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veintiséis de abril de dos mil veintitrés. </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b/>
        </w:rPr>
        <w:t>VISTO</w:t>
      </w:r>
      <w:r w:rsidRPr="001A0549">
        <w:rPr>
          <w:rFonts w:ascii="Palatino Linotype" w:eastAsia="Palatino Linotype" w:hAnsi="Palatino Linotype" w:cs="Palatino Linotype"/>
        </w:rPr>
        <w:t xml:space="preserve"> el expediente formado con motivo del recurso de revisión </w:t>
      </w:r>
      <w:r w:rsidRPr="001A0549">
        <w:rPr>
          <w:rFonts w:ascii="Palatino Linotype" w:eastAsia="Palatino Linotype" w:hAnsi="Palatino Linotype" w:cs="Palatino Linotype"/>
          <w:b/>
        </w:rPr>
        <w:t>00544/INFOEM/IP/RR/2023</w:t>
      </w:r>
      <w:r w:rsidRPr="001A0549">
        <w:rPr>
          <w:rFonts w:ascii="Palatino Linotype" w:eastAsia="Palatino Linotype" w:hAnsi="Palatino Linotype" w:cs="Palatino Linotype"/>
        </w:rPr>
        <w:t xml:space="preserve">, interpuesto por </w:t>
      </w:r>
      <w:r w:rsidR="00551E63">
        <w:rPr>
          <w:rFonts w:ascii="Palatino Linotype" w:eastAsia="Palatino Linotype" w:hAnsi="Palatino Linotype" w:cs="Palatino Linotype"/>
          <w:b/>
        </w:rPr>
        <w:t>XXXXX XX XXXXXXX</w:t>
      </w:r>
      <w:bookmarkStart w:id="0" w:name="_GoBack"/>
      <w:bookmarkEnd w:id="0"/>
      <w:r w:rsidRPr="001A0549">
        <w:rPr>
          <w:rFonts w:ascii="Palatino Linotype" w:eastAsia="Palatino Linotype" w:hAnsi="Palatino Linotype" w:cs="Palatino Linotype"/>
          <w:b/>
        </w:rPr>
        <w:t>,</w:t>
      </w:r>
      <w:r w:rsidRPr="001A0549">
        <w:rPr>
          <w:rFonts w:ascii="Palatino Linotype" w:eastAsia="Palatino Linotype" w:hAnsi="Palatino Linotype" w:cs="Palatino Linotype"/>
        </w:rPr>
        <w:t xml:space="preserve"> en lo sucesivo</w:t>
      </w:r>
      <w:r w:rsidRPr="001A0549">
        <w:rPr>
          <w:rFonts w:ascii="Palatino Linotype" w:eastAsia="Palatino Linotype" w:hAnsi="Palatino Linotype" w:cs="Palatino Linotype"/>
          <w:b/>
        </w:rPr>
        <w:t xml:space="preserve"> </w:t>
      </w:r>
      <w:r w:rsidRPr="001A0549">
        <w:rPr>
          <w:rFonts w:ascii="Palatino Linotype" w:eastAsia="Palatino Linotype" w:hAnsi="Palatino Linotype" w:cs="Palatino Linotype"/>
        </w:rPr>
        <w:t xml:space="preserve">la parte </w:t>
      </w:r>
      <w:r w:rsidRPr="001A0549">
        <w:rPr>
          <w:rFonts w:ascii="Palatino Linotype" w:eastAsia="Palatino Linotype" w:hAnsi="Palatino Linotype" w:cs="Palatino Linotype"/>
          <w:b/>
        </w:rPr>
        <w:t>Recurrente,</w:t>
      </w:r>
      <w:r w:rsidRPr="001A0549">
        <w:rPr>
          <w:rFonts w:ascii="Palatino Linotype" w:eastAsia="Palatino Linotype" w:hAnsi="Palatino Linotype" w:cs="Palatino Linotype"/>
        </w:rPr>
        <w:t xml:space="preserve"> en contra de la respuesta a su solicitud por parte del </w:t>
      </w:r>
      <w:r w:rsidRPr="001A0549">
        <w:rPr>
          <w:rFonts w:ascii="Palatino Linotype" w:eastAsia="Palatino Linotype" w:hAnsi="Palatino Linotype" w:cs="Palatino Linotype"/>
          <w:b/>
        </w:rPr>
        <w:t xml:space="preserve">Ayuntamiento de Villa Victoria, </w:t>
      </w:r>
      <w:r w:rsidRPr="001A0549">
        <w:rPr>
          <w:rFonts w:ascii="Palatino Linotype" w:eastAsia="Palatino Linotype" w:hAnsi="Palatino Linotype" w:cs="Palatino Linotype"/>
        </w:rPr>
        <w:t xml:space="preserve">en lo sucesivo el </w:t>
      </w:r>
      <w:r w:rsidRPr="001A0549">
        <w:rPr>
          <w:rFonts w:ascii="Palatino Linotype" w:eastAsia="Palatino Linotype" w:hAnsi="Palatino Linotype" w:cs="Palatino Linotype"/>
          <w:b/>
        </w:rPr>
        <w:t xml:space="preserve">Sujeto Obligado, </w:t>
      </w:r>
      <w:r w:rsidRPr="001A0549">
        <w:rPr>
          <w:rFonts w:ascii="Palatino Linotype" w:eastAsia="Palatino Linotype" w:hAnsi="Palatino Linotype" w:cs="Palatino Linotype"/>
        </w:rPr>
        <w:t xml:space="preserve">se procede a dictar la presente resolución con base en los siguientes: </w:t>
      </w:r>
    </w:p>
    <w:p w:rsidR="00000E7B" w:rsidRPr="001A0549" w:rsidRDefault="00CB2110">
      <w:pPr>
        <w:spacing w:before="240" w:after="240" w:line="360" w:lineRule="auto"/>
        <w:jc w:val="center"/>
        <w:rPr>
          <w:rFonts w:ascii="Palatino Linotype" w:eastAsia="Palatino Linotype" w:hAnsi="Palatino Linotype" w:cs="Palatino Linotype"/>
          <w:b/>
        </w:rPr>
      </w:pPr>
      <w:r w:rsidRPr="001A0549">
        <w:rPr>
          <w:rFonts w:ascii="Palatino Linotype" w:eastAsia="Palatino Linotype" w:hAnsi="Palatino Linotype" w:cs="Palatino Linotype"/>
          <w:b/>
        </w:rPr>
        <w:t>I. A N T E C E D E N T E S</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b/>
        </w:rPr>
        <w:t>1. Solicitud de acceso a la información.</w:t>
      </w:r>
      <w:r w:rsidRPr="001A0549">
        <w:rPr>
          <w:rFonts w:ascii="Palatino Linotype" w:eastAsia="Palatino Linotype" w:hAnsi="Palatino Linotype" w:cs="Palatino Linotype"/>
        </w:rPr>
        <w:t xml:space="preserve"> Con fecha </w:t>
      </w:r>
      <w:r w:rsidRPr="001A0549">
        <w:rPr>
          <w:rFonts w:ascii="Palatino Linotype" w:eastAsia="Palatino Linotype" w:hAnsi="Palatino Linotype" w:cs="Palatino Linotype"/>
          <w:b/>
        </w:rPr>
        <w:t>nueve de enero de dos mil veintitrés,</w:t>
      </w:r>
      <w:r w:rsidRPr="001A0549">
        <w:rPr>
          <w:rFonts w:ascii="Palatino Linotype" w:eastAsia="Palatino Linotype" w:hAnsi="Palatino Linotype" w:cs="Palatino Linotype"/>
        </w:rPr>
        <w:t xml:space="preserve"> la parte </w:t>
      </w:r>
      <w:r w:rsidRPr="001A0549">
        <w:rPr>
          <w:rFonts w:ascii="Palatino Linotype" w:eastAsia="Palatino Linotype" w:hAnsi="Palatino Linotype" w:cs="Palatino Linotype"/>
          <w:b/>
        </w:rPr>
        <w:t xml:space="preserve">Recurrente </w:t>
      </w:r>
      <w:r w:rsidRPr="001A0549">
        <w:rPr>
          <w:rFonts w:ascii="Palatino Linotype" w:eastAsia="Palatino Linotype" w:hAnsi="Palatino Linotype" w:cs="Palatino Linotype"/>
        </w:rPr>
        <w:t xml:space="preserve">presentó, a través del Sistema de Acceso a la Información Mexiquense, en lo subsecuente el </w:t>
      </w:r>
      <w:r w:rsidRPr="001A0549">
        <w:rPr>
          <w:rFonts w:ascii="Palatino Linotype" w:eastAsia="Palatino Linotype" w:hAnsi="Palatino Linotype" w:cs="Palatino Linotype"/>
          <w:b/>
        </w:rPr>
        <w:t>SAIMEX,</w:t>
      </w:r>
      <w:r w:rsidRPr="001A0549">
        <w:rPr>
          <w:rFonts w:ascii="Palatino Linotype" w:eastAsia="Palatino Linotype" w:hAnsi="Palatino Linotype" w:cs="Palatino Linotype"/>
        </w:rPr>
        <w:t xml:space="preserve"> ante el </w:t>
      </w:r>
      <w:r w:rsidRPr="001A0549">
        <w:rPr>
          <w:rFonts w:ascii="Palatino Linotype" w:eastAsia="Palatino Linotype" w:hAnsi="Palatino Linotype" w:cs="Palatino Linotype"/>
          <w:b/>
        </w:rPr>
        <w:t>Sujeto Obligado</w:t>
      </w:r>
      <w:r w:rsidRPr="001A0549">
        <w:rPr>
          <w:rFonts w:ascii="Palatino Linotype" w:eastAsia="Palatino Linotype" w:hAnsi="Palatino Linotype" w:cs="Palatino Linotype"/>
        </w:rPr>
        <w:t>, la solicitud de acceso a la información pública, a la que se le asignó el número</w:t>
      </w:r>
      <w:r w:rsidRPr="001A0549">
        <w:rPr>
          <w:rFonts w:ascii="Palatino Linotype" w:eastAsia="Palatino Linotype" w:hAnsi="Palatino Linotype" w:cs="Palatino Linotype"/>
          <w:b/>
        </w:rPr>
        <w:t xml:space="preserve"> 00005/VIVICTOR/IP/2023, </w:t>
      </w:r>
      <w:r w:rsidRPr="001A0549">
        <w:rPr>
          <w:rFonts w:ascii="Palatino Linotype" w:eastAsia="Palatino Linotype" w:hAnsi="Palatino Linotype" w:cs="Palatino Linotype"/>
        </w:rPr>
        <w:t xml:space="preserve">mediante la cual requirió la información siguiente: </w:t>
      </w:r>
    </w:p>
    <w:p w:rsidR="00000E7B" w:rsidRPr="001A0549" w:rsidRDefault="00CB2110">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1A0549">
        <w:rPr>
          <w:rFonts w:ascii="Palatino Linotype" w:eastAsia="Palatino Linotype" w:hAnsi="Palatino Linotype" w:cs="Palatino Linotype"/>
          <w:i/>
          <w:sz w:val="22"/>
          <w:szCs w:val="22"/>
        </w:rPr>
        <w:t xml:space="preserve">“En el artículo 79 de la Ley General de Contabilidad Gubernamental; artículos 78 y 110 de la Ley Federal de Presupuesto y Responsabilidad Hacendaria señalan que los entes públicos (municipios), deberán publicar en sus páginas de Internet a más tardar el último día hábil de abril su programa anual de evaluaciones, así como las metodologías e indicadores de desempeño. Así como publicar a más tardar a los 30 días posteriores a la conclusión de las evaluaciones, los resultados de las mismas e informar sobre las personas que realizaron dichas evaluaciones. Bajo esta obligatoriedad de Ley, solicitamos la siguiente información: 1) Programa Anual de Evaluación de los ejercicios fiscales 2018 al 2022 (PAE 2018 al 2022), en el que contenga los siguientes elementos: a. Condiciones generales; </w:t>
      </w:r>
      <w:r w:rsidRPr="001A0549">
        <w:rPr>
          <w:rFonts w:ascii="Palatino Linotype" w:eastAsia="Palatino Linotype" w:hAnsi="Palatino Linotype" w:cs="Palatino Linotype"/>
          <w:i/>
          <w:sz w:val="22"/>
          <w:szCs w:val="22"/>
        </w:rPr>
        <w:lastRenderedPageBreak/>
        <w:t>b. Programas presupuestarios sujetos a evaluarse; c. Fondos federales sujetos a evaluarse; d. Sujetos evaluados; e. Tipos de evaluación; f. Cronograma de evaluación; g. Mecanismos de difusión de los resultados de la evaluación, y h. Mecanismos de seguimiento a los resultados de evaluación. i. Los datos generales del evaluador externo, destacando al coordinador de la evaluación y a su principal equipo colaborador, costo de la evaluación; forma de contratación; instrumentos de recolección de información. 2) Términos de referencia de las evaluaciones realizadas en el marco de lo señalado en sus PAE 2018-2022. 3) Documento que contenga los resultados de las evaluaciones realizadas a programas presupuestarios y fondos federales, con base a la información presentada en su PAE 2018-2022. 4) Convenio para la mejora del Desempeño y Resultados Gubernamentales. 5) Link de la página web donde se encuentra publicada toda la información arriba solicitada (puntos 1 al 4).</w:t>
      </w:r>
      <w:r w:rsidRPr="001A0549">
        <w:rPr>
          <w:rFonts w:ascii="Palatino Linotype" w:eastAsia="Palatino Linotype" w:hAnsi="Palatino Linotype" w:cs="Palatino Linotype"/>
          <w:b/>
          <w:i/>
          <w:sz w:val="22"/>
          <w:szCs w:val="22"/>
        </w:rPr>
        <w:t>”</w:t>
      </w:r>
      <w:r w:rsidRPr="001A0549">
        <w:rPr>
          <w:rFonts w:ascii="Palatino Linotype" w:eastAsia="Palatino Linotype" w:hAnsi="Palatino Linotype" w:cs="Palatino Linotype"/>
          <w:i/>
          <w:sz w:val="22"/>
          <w:szCs w:val="22"/>
        </w:rPr>
        <w:t xml:space="preserve"> (</w:t>
      </w:r>
      <w:proofErr w:type="gramStart"/>
      <w:r w:rsidRPr="001A0549">
        <w:rPr>
          <w:rFonts w:ascii="Palatino Linotype" w:eastAsia="Palatino Linotype" w:hAnsi="Palatino Linotype" w:cs="Palatino Linotype"/>
          <w:i/>
          <w:sz w:val="22"/>
          <w:szCs w:val="22"/>
        </w:rPr>
        <w:t>sic</w:t>
      </w:r>
      <w:proofErr w:type="gramEnd"/>
      <w:r w:rsidRPr="001A0549">
        <w:rPr>
          <w:rFonts w:ascii="Palatino Linotype" w:eastAsia="Palatino Linotype" w:hAnsi="Palatino Linotype" w:cs="Palatino Linotype"/>
          <w:i/>
          <w:sz w:val="22"/>
          <w:szCs w:val="22"/>
        </w:rPr>
        <w:t xml:space="preserve">) </w:t>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La parte </w:t>
      </w:r>
      <w:r w:rsidRPr="001A0549">
        <w:rPr>
          <w:rFonts w:ascii="Palatino Linotype" w:eastAsia="Palatino Linotype" w:hAnsi="Palatino Linotype" w:cs="Palatino Linotype"/>
          <w:b/>
        </w:rPr>
        <w:t>Recurrente</w:t>
      </w:r>
      <w:r w:rsidRPr="001A0549">
        <w:rPr>
          <w:rFonts w:ascii="Palatino Linotype" w:eastAsia="Palatino Linotype" w:hAnsi="Palatino Linotype" w:cs="Palatino Linotype"/>
        </w:rPr>
        <w:t xml:space="preserve"> no adjuntó archivos.</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b/>
        </w:rPr>
        <w:t>Modalidad de Entrega:</w:t>
      </w:r>
      <w:r w:rsidRPr="001A0549">
        <w:rPr>
          <w:rFonts w:ascii="Palatino Linotype" w:eastAsia="Palatino Linotype" w:hAnsi="Palatino Linotype" w:cs="Palatino Linotype"/>
        </w:rPr>
        <w:t xml:space="preserve"> a través </w:t>
      </w:r>
      <w:r w:rsidRPr="001A0549">
        <w:rPr>
          <w:rFonts w:ascii="Palatino Linotype" w:eastAsia="Palatino Linotype" w:hAnsi="Palatino Linotype" w:cs="Palatino Linotype"/>
          <w:b/>
        </w:rPr>
        <w:t>de SAIMEX</w:t>
      </w:r>
    </w:p>
    <w:p w:rsidR="00000E7B" w:rsidRPr="001A0549" w:rsidRDefault="00CB2110">
      <w:pPr>
        <w:spacing w:before="240" w:after="240" w:line="360" w:lineRule="auto"/>
        <w:jc w:val="both"/>
        <w:rPr>
          <w:rFonts w:ascii="Palatino Linotype" w:eastAsia="Palatino Linotype" w:hAnsi="Palatino Linotype" w:cs="Palatino Linotype"/>
          <w:b/>
        </w:rPr>
      </w:pPr>
      <w:bookmarkStart w:id="2" w:name="_heading=h.3dy6vkm" w:colFirst="0" w:colLast="0"/>
      <w:bookmarkEnd w:id="2"/>
      <w:r w:rsidRPr="001A0549">
        <w:rPr>
          <w:rFonts w:ascii="Palatino Linotype" w:eastAsia="Palatino Linotype" w:hAnsi="Palatino Linotype" w:cs="Palatino Linotype"/>
          <w:b/>
        </w:rPr>
        <w:t xml:space="preserve">2. Respuesta. </w:t>
      </w:r>
      <w:r w:rsidRPr="001A0549">
        <w:rPr>
          <w:rFonts w:ascii="Palatino Linotype" w:eastAsia="Palatino Linotype" w:hAnsi="Palatino Linotype" w:cs="Palatino Linotype"/>
        </w:rPr>
        <w:t>Con fecha</w:t>
      </w:r>
      <w:r w:rsidRPr="001A0549">
        <w:rPr>
          <w:rFonts w:ascii="Palatino Linotype" w:eastAsia="Palatino Linotype" w:hAnsi="Palatino Linotype" w:cs="Palatino Linotype"/>
          <w:b/>
        </w:rPr>
        <w:t xml:space="preserve"> treinta de enero de dos mil veintitrés</w:t>
      </w:r>
      <w:r w:rsidRPr="001A0549">
        <w:rPr>
          <w:rFonts w:ascii="Palatino Linotype" w:eastAsia="Palatino Linotype" w:hAnsi="Palatino Linotype" w:cs="Palatino Linotype"/>
        </w:rPr>
        <w:t xml:space="preserve">, el </w:t>
      </w:r>
      <w:r w:rsidRPr="001A0549">
        <w:rPr>
          <w:rFonts w:ascii="Palatino Linotype" w:eastAsia="Palatino Linotype" w:hAnsi="Palatino Linotype" w:cs="Palatino Linotype"/>
          <w:b/>
        </w:rPr>
        <w:t xml:space="preserve">Sujeto Obligado </w:t>
      </w:r>
      <w:r w:rsidRPr="001A0549">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000E7B" w:rsidRPr="001A0549" w:rsidRDefault="00CB2110">
      <w:pPr>
        <w:spacing w:before="240" w:after="240"/>
        <w:ind w:left="851" w:right="902"/>
        <w:jc w:val="both"/>
        <w:rPr>
          <w:rFonts w:ascii="Palatino Linotype" w:eastAsia="Palatino Linotype" w:hAnsi="Palatino Linotype" w:cs="Palatino Linotype"/>
          <w:b/>
          <w:i/>
          <w:sz w:val="22"/>
          <w:szCs w:val="22"/>
        </w:rPr>
      </w:pPr>
      <w:r w:rsidRPr="001A0549">
        <w:rPr>
          <w:rFonts w:ascii="Palatino Linotype" w:eastAsia="Palatino Linotype" w:hAnsi="Palatino Linotype" w:cs="Palatino Linotype"/>
          <w:i/>
          <w:sz w:val="22"/>
          <w:szCs w:val="22"/>
        </w:rPr>
        <w:t xml:space="preserve">“…una vez realizada la búsqueda exhaustiva y razonable en los archivos de esta entidad municipal, específicamente de la Unidad de Información, Planeación, Programación y Evaluación, al tratarse de información relacionada con sus atribuciones según lo establecido en el Reglamento Orgánico de la Administración Municipal 2022-2024. Me permito adjuntar documento en formato </w:t>
      </w:r>
      <w:proofErr w:type="spellStart"/>
      <w:r w:rsidRPr="001A0549">
        <w:rPr>
          <w:rFonts w:ascii="Palatino Linotype" w:eastAsia="Palatino Linotype" w:hAnsi="Palatino Linotype" w:cs="Palatino Linotype"/>
          <w:i/>
          <w:sz w:val="22"/>
          <w:szCs w:val="22"/>
        </w:rPr>
        <w:t>pdf</w:t>
      </w:r>
      <w:proofErr w:type="spellEnd"/>
      <w:r w:rsidRPr="001A0549">
        <w:rPr>
          <w:rFonts w:ascii="Palatino Linotype" w:eastAsia="Palatino Linotype" w:hAnsi="Palatino Linotype" w:cs="Palatino Linotype"/>
          <w:i/>
          <w:sz w:val="22"/>
          <w:szCs w:val="22"/>
        </w:rPr>
        <w:t xml:space="preserve"> con la respuesta a lo solicitado...” (</w:t>
      </w:r>
      <w:proofErr w:type="gramStart"/>
      <w:r w:rsidRPr="001A0549">
        <w:rPr>
          <w:rFonts w:ascii="Palatino Linotype" w:eastAsia="Palatino Linotype" w:hAnsi="Palatino Linotype" w:cs="Palatino Linotype"/>
          <w:i/>
          <w:sz w:val="22"/>
          <w:szCs w:val="22"/>
        </w:rPr>
        <w:t>sic</w:t>
      </w:r>
      <w:proofErr w:type="gramEnd"/>
      <w:r w:rsidRPr="001A0549">
        <w:rPr>
          <w:rFonts w:ascii="Palatino Linotype" w:eastAsia="Palatino Linotype" w:hAnsi="Palatino Linotype" w:cs="Palatino Linotype"/>
          <w:i/>
          <w:sz w:val="22"/>
          <w:szCs w:val="22"/>
        </w:rPr>
        <w:t>)</w:t>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El </w:t>
      </w:r>
      <w:r w:rsidRPr="001A0549">
        <w:rPr>
          <w:rFonts w:ascii="Palatino Linotype" w:eastAsia="Palatino Linotype" w:hAnsi="Palatino Linotype" w:cs="Palatino Linotype"/>
          <w:b/>
        </w:rPr>
        <w:t xml:space="preserve">Sujeto Obligado </w:t>
      </w:r>
      <w:r w:rsidRPr="001A0549">
        <w:rPr>
          <w:rFonts w:ascii="Palatino Linotype" w:eastAsia="Palatino Linotype" w:hAnsi="Palatino Linotype" w:cs="Palatino Linotype"/>
        </w:rPr>
        <w:t>adjuntó los siguientes archivos:</w:t>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rPr>
        <w:t>- “</w:t>
      </w:r>
      <w:r w:rsidRPr="001A0549">
        <w:rPr>
          <w:rFonts w:ascii="Palatino Linotype" w:eastAsia="Palatino Linotype" w:hAnsi="Palatino Linotype" w:cs="Palatino Linotype"/>
          <w:i/>
        </w:rPr>
        <w:t>RESPUESTA UTAIP SOL. NO. 00005.pdf</w:t>
      </w:r>
      <w:r w:rsidRPr="001A0549">
        <w:rPr>
          <w:rFonts w:ascii="Palatino Linotype" w:eastAsia="Palatino Linotype" w:hAnsi="Palatino Linotype" w:cs="Palatino Linotype"/>
        </w:rPr>
        <w:t xml:space="preserve">”, que contiene el escrito de fecha treinta </w:t>
      </w:r>
      <w:proofErr w:type="gramStart"/>
      <w:r w:rsidRPr="001A0549">
        <w:rPr>
          <w:rFonts w:ascii="Palatino Linotype" w:eastAsia="Palatino Linotype" w:hAnsi="Palatino Linotype" w:cs="Palatino Linotype"/>
        </w:rPr>
        <w:t>de</w:t>
      </w:r>
      <w:proofErr w:type="gramEnd"/>
      <w:r w:rsidRPr="001A0549">
        <w:rPr>
          <w:rFonts w:ascii="Palatino Linotype" w:eastAsia="Palatino Linotype" w:hAnsi="Palatino Linotype" w:cs="Palatino Linotype"/>
        </w:rPr>
        <w:t xml:space="preserve"> enero de dos mil veintitrés, signado por el Titular de la Unidad de Transparencia </w:t>
      </w:r>
      <w:r w:rsidRPr="001A0549">
        <w:rPr>
          <w:rFonts w:ascii="Palatino Linotype" w:eastAsia="Palatino Linotype" w:hAnsi="Palatino Linotype" w:cs="Palatino Linotype"/>
        </w:rPr>
        <w:lastRenderedPageBreak/>
        <w:t>y Acceso a la Información Pública, mediante el cual notifica la respuesta a la persona solicitante en los mismos términos del SAIMEX.</w:t>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rPr>
        <w:t>- “</w:t>
      </w:r>
      <w:r w:rsidRPr="001A0549">
        <w:rPr>
          <w:rFonts w:ascii="Palatino Linotype" w:eastAsia="Palatino Linotype" w:hAnsi="Palatino Linotype" w:cs="Palatino Linotype"/>
          <w:i/>
        </w:rPr>
        <w:t xml:space="preserve">Respuesta UIPPE Sol. No. 00005.pdf”, </w:t>
      </w:r>
      <w:r w:rsidRPr="001A0549">
        <w:rPr>
          <w:rFonts w:ascii="Palatino Linotype" w:eastAsia="Palatino Linotype" w:hAnsi="Palatino Linotype" w:cs="Palatino Linotype"/>
        </w:rPr>
        <w:t>que contiene el oficio número UIPPE/011/2023, de fecha veinte de enero de dos mil veintitrés, signado por el Titular de la Unidad de Información, Planeación, Programación y Evaluación, mediante el cual manifiesta que la información solicitada de los ejercicios fiscales 2018 a 2022 se encuentra a disposición del público de manera permanente y actualizada, de manera sencilla, precisa y entendible, en la página oficial del Ayuntamiento Constitucional de Villa Victoria, indicando los pasos a seguir para consultar la información:</w:t>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noProof/>
        </w:rPr>
        <w:drawing>
          <wp:inline distT="0" distB="0" distL="0" distR="0">
            <wp:extent cx="5610860" cy="3366770"/>
            <wp:effectExtent l="0" t="0" r="0" b="0"/>
            <wp:docPr id="17676375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610860" cy="3366770"/>
                    </a:xfrm>
                    <a:prstGeom prst="rect">
                      <a:avLst/>
                    </a:prstGeom>
                    <a:ln/>
                  </pic:spPr>
                </pic:pic>
              </a:graphicData>
            </a:graphic>
          </wp:inline>
        </w:drawing>
      </w:r>
    </w:p>
    <w:p w:rsidR="00000E7B" w:rsidRPr="001A0549" w:rsidRDefault="00CB2110">
      <w:pPr>
        <w:spacing w:before="240" w:after="240" w:line="360" w:lineRule="auto"/>
        <w:ind w:right="49"/>
        <w:jc w:val="both"/>
        <w:rPr>
          <w:rFonts w:ascii="Palatino Linotype" w:eastAsia="Palatino Linotype" w:hAnsi="Palatino Linotype" w:cs="Palatino Linotype"/>
          <w:b/>
        </w:rPr>
      </w:pPr>
      <w:r w:rsidRPr="001A0549">
        <w:rPr>
          <w:rFonts w:ascii="Palatino Linotype" w:eastAsia="Palatino Linotype" w:hAnsi="Palatino Linotype" w:cs="Palatino Linotype"/>
          <w:b/>
        </w:rPr>
        <w:lastRenderedPageBreak/>
        <w:t xml:space="preserve">3. Interposición del recurso de revisión. </w:t>
      </w:r>
      <w:r w:rsidRPr="001A0549">
        <w:rPr>
          <w:rFonts w:ascii="Palatino Linotype" w:eastAsia="Palatino Linotype" w:hAnsi="Palatino Linotype" w:cs="Palatino Linotype"/>
        </w:rPr>
        <w:t xml:space="preserve">Inconforme con los términos de la respuesta emitida por parte del </w:t>
      </w:r>
      <w:r w:rsidRPr="001A0549">
        <w:rPr>
          <w:rFonts w:ascii="Palatino Linotype" w:eastAsia="Palatino Linotype" w:hAnsi="Palatino Linotype" w:cs="Palatino Linotype"/>
          <w:b/>
        </w:rPr>
        <w:t>Sujeto Obligado</w:t>
      </w:r>
      <w:r w:rsidRPr="001A0549">
        <w:rPr>
          <w:rFonts w:ascii="Palatino Linotype" w:eastAsia="Palatino Linotype" w:hAnsi="Palatino Linotype" w:cs="Palatino Linotype"/>
        </w:rPr>
        <w:t xml:space="preserve">, </w:t>
      </w:r>
      <w:r w:rsidRPr="001A0549">
        <w:rPr>
          <w:rFonts w:ascii="Palatino Linotype" w:eastAsia="Palatino Linotype" w:hAnsi="Palatino Linotype" w:cs="Palatino Linotype"/>
          <w:b/>
        </w:rPr>
        <w:t>treinta de enero de dos mil veintitrés,</w:t>
      </w:r>
      <w:r w:rsidRPr="001A0549">
        <w:rPr>
          <w:rFonts w:ascii="Palatino Linotype" w:eastAsia="Palatino Linotype" w:hAnsi="Palatino Linotype" w:cs="Palatino Linotype"/>
        </w:rPr>
        <w:t xml:space="preserve"> la parte </w:t>
      </w:r>
      <w:r w:rsidRPr="001A0549">
        <w:rPr>
          <w:rFonts w:ascii="Palatino Linotype" w:eastAsia="Palatino Linotype" w:hAnsi="Palatino Linotype" w:cs="Palatino Linotype"/>
          <w:b/>
        </w:rPr>
        <w:t>Recurrente</w:t>
      </w:r>
      <w:r w:rsidRPr="001A0549">
        <w:rPr>
          <w:rFonts w:ascii="Palatino Linotype" w:eastAsia="Palatino Linotype" w:hAnsi="Palatino Linotype" w:cs="Palatino Linotype"/>
        </w:rPr>
        <w:t xml:space="preserve"> interpuso el recurso de revisión a través de </w:t>
      </w:r>
      <w:r w:rsidRPr="001A0549">
        <w:rPr>
          <w:rFonts w:ascii="Palatino Linotype" w:eastAsia="Palatino Linotype" w:hAnsi="Palatino Linotype" w:cs="Palatino Linotype"/>
          <w:b/>
        </w:rPr>
        <w:t xml:space="preserve">SAIMEX, </w:t>
      </w:r>
      <w:r w:rsidRPr="001A0549">
        <w:rPr>
          <w:rFonts w:ascii="Palatino Linotype" w:eastAsia="Palatino Linotype" w:hAnsi="Palatino Linotype" w:cs="Palatino Linotype"/>
        </w:rPr>
        <w:t>en donde se manifestó de la siguiente manera:</w:t>
      </w:r>
    </w:p>
    <w:p w:rsidR="00000E7B" w:rsidRPr="001A0549" w:rsidRDefault="00CB2110">
      <w:pPr>
        <w:tabs>
          <w:tab w:val="left" w:pos="2745"/>
        </w:tabs>
        <w:spacing w:before="240" w:after="240" w:line="360" w:lineRule="auto"/>
        <w:jc w:val="both"/>
        <w:rPr>
          <w:rFonts w:ascii="Palatino Linotype" w:eastAsia="Palatino Linotype" w:hAnsi="Palatino Linotype" w:cs="Palatino Linotype"/>
          <w:b/>
        </w:rPr>
      </w:pPr>
      <w:r w:rsidRPr="001A0549">
        <w:rPr>
          <w:rFonts w:ascii="Palatino Linotype" w:eastAsia="Palatino Linotype" w:hAnsi="Palatino Linotype" w:cs="Palatino Linotype"/>
          <w:b/>
        </w:rPr>
        <w:t xml:space="preserve">Acto impugnado: </w:t>
      </w:r>
    </w:p>
    <w:p w:rsidR="00000E7B" w:rsidRPr="001A0549" w:rsidRDefault="00CB2110">
      <w:pPr>
        <w:tabs>
          <w:tab w:val="left" w:pos="2745"/>
        </w:tabs>
        <w:spacing w:before="240" w:after="240"/>
        <w:ind w:left="851" w:right="900"/>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i/>
          <w:sz w:val="22"/>
          <w:szCs w:val="22"/>
        </w:rPr>
        <w:t xml:space="preserve">“Indican que se consulte su </w:t>
      </w:r>
      <w:proofErr w:type="spellStart"/>
      <w:r w:rsidRPr="001A0549">
        <w:rPr>
          <w:rFonts w:ascii="Palatino Linotype" w:eastAsia="Palatino Linotype" w:hAnsi="Palatino Linotype" w:cs="Palatino Linotype"/>
          <w:i/>
          <w:sz w:val="22"/>
          <w:szCs w:val="22"/>
        </w:rPr>
        <w:t>pagina</w:t>
      </w:r>
      <w:proofErr w:type="spellEnd"/>
      <w:r w:rsidRPr="001A0549">
        <w:rPr>
          <w:rFonts w:ascii="Palatino Linotype" w:eastAsia="Palatino Linotype" w:hAnsi="Palatino Linotype" w:cs="Palatino Linotype"/>
          <w:i/>
          <w:sz w:val="22"/>
          <w:szCs w:val="22"/>
        </w:rPr>
        <w:t xml:space="preserve"> web, sin embargo la información </w:t>
      </w:r>
      <w:proofErr w:type="spellStart"/>
      <w:r w:rsidRPr="001A0549">
        <w:rPr>
          <w:rFonts w:ascii="Palatino Linotype" w:eastAsia="Palatino Linotype" w:hAnsi="Palatino Linotype" w:cs="Palatino Linotype"/>
          <w:i/>
          <w:sz w:val="22"/>
          <w:szCs w:val="22"/>
        </w:rPr>
        <w:t>esta</w:t>
      </w:r>
      <w:proofErr w:type="spellEnd"/>
      <w:r w:rsidRPr="001A0549">
        <w:rPr>
          <w:rFonts w:ascii="Palatino Linotype" w:eastAsia="Palatino Linotype" w:hAnsi="Palatino Linotype" w:cs="Palatino Linotype"/>
          <w:i/>
          <w:sz w:val="22"/>
          <w:szCs w:val="22"/>
        </w:rPr>
        <w:t xml:space="preserve"> incompleta y para remitir la respuesta a la página web excedió el plazo marcado en la ley, por lo que debe entregarla de manera completa e integra en la respuesta.” (</w:t>
      </w:r>
      <w:proofErr w:type="gramStart"/>
      <w:r w:rsidRPr="001A0549">
        <w:rPr>
          <w:rFonts w:ascii="Palatino Linotype" w:eastAsia="Palatino Linotype" w:hAnsi="Palatino Linotype" w:cs="Palatino Linotype"/>
          <w:i/>
          <w:sz w:val="22"/>
          <w:szCs w:val="22"/>
        </w:rPr>
        <w:t>sic</w:t>
      </w:r>
      <w:proofErr w:type="gramEnd"/>
      <w:r w:rsidRPr="001A0549">
        <w:rPr>
          <w:rFonts w:ascii="Palatino Linotype" w:eastAsia="Palatino Linotype" w:hAnsi="Palatino Linotype" w:cs="Palatino Linotype"/>
          <w:i/>
          <w:sz w:val="22"/>
          <w:szCs w:val="22"/>
        </w:rPr>
        <w:t>)</w:t>
      </w:r>
    </w:p>
    <w:p w:rsidR="00000E7B" w:rsidRPr="001A0549" w:rsidRDefault="00CB2110">
      <w:pPr>
        <w:spacing w:line="360" w:lineRule="auto"/>
        <w:jc w:val="both"/>
        <w:rPr>
          <w:rFonts w:ascii="Palatino Linotype" w:eastAsia="Palatino Linotype" w:hAnsi="Palatino Linotype" w:cs="Palatino Linotype"/>
        </w:rPr>
      </w:pPr>
      <w:bookmarkStart w:id="3" w:name="_heading=h.30j0zll" w:colFirst="0" w:colLast="0"/>
      <w:bookmarkEnd w:id="3"/>
      <w:r w:rsidRPr="001A0549">
        <w:rPr>
          <w:rFonts w:ascii="Palatino Linotype" w:eastAsia="Palatino Linotype" w:hAnsi="Palatino Linotype" w:cs="Palatino Linotype"/>
          <w:b/>
        </w:rPr>
        <w:t>Y Razones o motivos de inconformidad</w:t>
      </w:r>
      <w:r w:rsidRPr="001A0549">
        <w:rPr>
          <w:rFonts w:ascii="Palatino Linotype" w:eastAsia="Palatino Linotype" w:hAnsi="Palatino Linotype" w:cs="Palatino Linotype"/>
        </w:rPr>
        <w:t xml:space="preserve">: </w:t>
      </w:r>
    </w:p>
    <w:p w:rsidR="00000E7B" w:rsidRPr="001A0549" w:rsidRDefault="00CB2110">
      <w:pPr>
        <w:tabs>
          <w:tab w:val="left" w:pos="2745"/>
        </w:tabs>
        <w:spacing w:before="240" w:after="240"/>
        <w:ind w:left="851" w:right="900"/>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i/>
          <w:sz w:val="22"/>
          <w:szCs w:val="22"/>
        </w:rPr>
        <w:t xml:space="preserve">“información incompleta en </w:t>
      </w:r>
      <w:proofErr w:type="spellStart"/>
      <w:r w:rsidRPr="001A0549">
        <w:rPr>
          <w:rFonts w:ascii="Palatino Linotype" w:eastAsia="Palatino Linotype" w:hAnsi="Palatino Linotype" w:cs="Palatino Linotype"/>
          <w:i/>
          <w:sz w:val="22"/>
          <w:szCs w:val="22"/>
        </w:rPr>
        <w:t>pagina</w:t>
      </w:r>
      <w:proofErr w:type="spellEnd"/>
      <w:r w:rsidRPr="001A0549">
        <w:rPr>
          <w:rFonts w:ascii="Palatino Linotype" w:eastAsia="Palatino Linotype" w:hAnsi="Palatino Linotype" w:cs="Palatino Linotype"/>
          <w:i/>
          <w:sz w:val="22"/>
          <w:szCs w:val="22"/>
        </w:rPr>
        <w:t xml:space="preserve"> web del sujeto obligado y no indica de manera </w:t>
      </w:r>
      <w:proofErr w:type="spellStart"/>
      <w:r w:rsidRPr="001A0549">
        <w:rPr>
          <w:rFonts w:ascii="Palatino Linotype" w:eastAsia="Palatino Linotype" w:hAnsi="Palatino Linotype" w:cs="Palatino Linotype"/>
          <w:i/>
          <w:sz w:val="22"/>
          <w:szCs w:val="22"/>
        </w:rPr>
        <w:t>especifica</w:t>
      </w:r>
      <w:proofErr w:type="spellEnd"/>
      <w:r w:rsidRPr="001A0549">
        <w:rPr>
          <w:rFonts w:ascii="Palatino Linotype" w:eastAsia="Palatino Linotype" w:hAnsi="Palatino Linotype" w:cs="Palatino Linotype"/>
          <w:i/>
          <w:sz w:val="22"/>
          <w:szCs w:val="22"/>
        </w:rPr>
        <w:t xml:space="preserve"> la forma de consultar la información.” (</w:t>
      </w:r>
      <w:proofErr w:type="gramStart"/>
      <w:r w:rsidRPr="001A0549">
        <w:rPr>
          <w:rFonts w:ascii="Palatino Linotype" w:eastAsia="Palatino Linotype" w:hAnsi="Palatino Linotype" w:cs="Palatino Linotype"/>
          <w:i/>
          <w:sz w:val="22"/>
          <w:szCs w:val="22"/>
        </w:rPr>
        <w:t>sic</w:t>
      </w:r>
      <w:proofErr w:type="gramEnd"/>
      <w:r w:rsidRPr="001A0549">
        <w:rPr>
          <w:rFonts w:ascii="Palatino Linotype" w:eastAsia="Palatino Linotype" w:hAnsi="Palatino Linotype" w:cs="Palatino Linotype"/>
          <w:i/>
          <w:sz w:val="22"/>
          <w:szCs w:val="22"/>
        </w:rPr>
        <w:t>)</w:t>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b/>
        </w:rPr>
        <w:t xml:space="preserve">Anexos: </w:t>
      </w:r>
      <w:r w:rsidRPr="001A0549">
        <w:rPr>
          <w:rFonts w:ascii="Palatino Linotype" w:eastAsia="Palatino Linotype" w:hAnsi="Palatino Linotype" w:cs="Palatino Linotype"/>
        </w:rPr>
        <w:t xml:space="preserve">La parte </w:t>
      </w:r>
      <w:r w:rsidRPr="001A0549">
        <w:rPr>
          <w:rFonts w:ascii="Palatino Linotype" w:eastAsia="Palatino Linotype" w:hAnsi="Palatino Linotype" w:cs="Palatino Linotype"/>
          <w:b/>
        </w:rPr>
        <w:t xml:space="preserve">Recurrente </w:t>
      </w:r>
      <w:r w:rsidRPr="001A0549">
        <w:rPr>
          <w:rFonts w:ascii="Palatino Linotype" w:eastAsia="Palatino Linotype" w:hAnsi="Palatino Linotype" w:cs="Palatino Linotype"/>
        </w:rPr>
        <w:t xml:space="preserve">no adjuntó archivos. </w:t>
      </w:r>
    </w:p>
    <w:p w:rsidR="00000E7B" w:rsidRPr="001A0549" w:rsidRDefault="00CB2110">
      <w:pPr>
        <w:spacing w:before="240" w:after="240" w:line="360" w:lineRule="auto"/>
        <w:ind w:right="51"/>
        <w:jc w:val="both"/>
        <w:rPr>
          <w:rFonts w:ascii="Palatino Linotype" w:eastAsia="Palatino Linotype" w:hAnsi="Palatino Linotype" w:cs="Palatino Linotype"/>
        </w:rPr>
      </w:pPr>
      <w:r w:rsidRPr="001A0549">
        <w:rPr>
          <w:rFonts w:ascii="Palatino Linotype" w:eastAsia="Palatino Linotype" w:hAnsi="Palatino Linotype" w:cs="Palatino Linotype"/>
          <w:b/>
        </w:rPr>
        <w:t xml:space="preserve">4. Turno. </w:t>
      </w:r>
      <w:r w:rsidRPr="001A054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A0549">
        <w:rPr>
          <w:rFonts w:ascii="Palatino Linotype" w:eastAsia="Palatino Linotype" w:hAnsi="Palatino Linotype" w:cs="Palatino Linotype"/>
          <w:b/>
        </w:rPr>
        <w:t xml:space="preserve">Guadalupe Ramírez Peña, </w:t>
      </w:r>
      <w:r w:rsidRPr="001A0549">
        <w:rPr>
          <w:rFonts w:ascii="Palatino Linotype" w:eastAsia="Palatino Linotype" w:hAnsi="Palatino Linotype" w:cs="Palatino Linotype"/>
        </w:rPr>
        <w:t xml:space="preserve">a efecto de que analizara sobre su admisión o su </w:t>
      </w:r>
      <w:proofErr w:type="spellStart"/>
      <w:r w:rsidRPr="001A0549">
        <w:rPr>
          <w:rFonts w:ascii="Palatino Linotype" w:eastAsia="Palatino Linotype" w:hAnsi="Palatino Linotype" w:cs="Palatino Linotype"/>
        </w:rPr>
        <w:t>desechamiento</w:t>
      </w:r>
      <w:proofErr w:type="spellEnd"/>
      <w:r w:rsidRPr="001A0549">
        <w:rPr>
          <w:rFonts w:ascii="Palatino Linotype" w:eastAsia="Palatino Linotype" w:hAnsi="Palatino Linotype" w:cs="Palatino Linotype"/>
        </w:rPr>
        <w:t>.</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b/>
        </w:rPr>
        <w:t>5. Admisión del Recurso de revisión.</w:t>
      </w:r>
      <w:r w:rsidRPr="001A0549">
        <w:rPr>
          <w:rFonts w:ascii="Palatino Linotype" w:eastAsia="Palatino Linotype" w:hAnsi="Palatino Linotype" w:cs="Palatino Linotype"/>
        </w:rPr>
        <w:t xml:space="preserve"> Con fecha</w:t>
      </w:r>
      <w:r w:rsidRPr="001A0549">
        <w:rPr>
          <w:rFonts w:ascii="Palatino Linotype" w:eastAsia="Palatino Linotype" w:hAnsi="Palatino Linotype" w:cs="Palatino Linotype"/>
          <w:b/>
        </w:rPr>
        <w:t xml:space="preserve"> dos de febrero de dos mil veintidós, </w:t>
      </w:r>
      <w:r w:rsidRPr="001A054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w:t>
      </w:r>
      <w:r w:rsidRPr="001A0549">
        <w:rPr>
          <w:rFonts w:ascii="Palatino Linotype" w:eastAsia="Palatino Linotype" w:hAnsi="Palatino Linotype" w:cs="Palatino Linotype"/>
        </w:rPr>
        <w:lastRenderedPageBreak/>
        <w:t xml:space="preserve">siete días hábiles para que las partes manifestaran lo que a su derecho resultara conveniente, ofrecieran pruebas, formularan alegatos y el </w:t>
      </w:r>
      <w:r w:rsidRPr="001A0549">
        <w:rPr>
          <w:rFonts w:ascii="Palatino Linotype" w:eastAsia="Palatino Linotype" w:hAnsi="Palatino Linotype" w:cs="Palatino Linotype"/>
          <w:b/>
        </w:rPr>
        <w:t xml:space="preserve">Sujeto Obligado </w:t>
      </w:r>
      <w:r w:rsidRPr="001A0549">
        <w:rPr>
          <w:rFonts w:ascii="Palatino Linotype" w:eastAsia="Palatino Linotype" w:hAnsi="Palatino Linotype" w:cs="Palatino Linotype"/>
        </w:rPr>
        <w:t>presentara su informe justificado.</w:t>
      </w:r>
    </w:p>
    <w:p w:rsidR="00000E7B" w:rsidRPr="001A0549" w:rsidRDefault="00CB2110">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1A0549">
        <w:rPr>
          <w:rFonts w:ascii="Palatino Linotype" w:eastAsia="Palatino Linotype" w:hAnsi="Palatino Linotype" w:cs="Palatino Linotype"/>
          <w:b/>
        </w:rPr>
        <w:t>6. Manifestaciones</w:t>
      </w:r>
      <w:r w:rsidRPr="001A0549">
        <w:rPr>
          <w:rFonts w:ascii="Palatino Linotype" w:eastAsia="Palatino Linotype" w:hAnsi="Palatino Linotype" w:cs="Palatino Linotype"/>
        </w:rPr>
        <w:t xml:space="preserve">. En fecha </w:t>
      </w:r>
      <w:r w:rsidRPr="001A0549">
        <w:rPr>
          <w:rFonts w:ascii="Palatino Linotype" w:eastAsia="Palatino Linotype" w:hAnsi="Palatino Linotype" w:cs="Palatino Linotype"/>
          <w:b/>
        </w:rPr>
        <w:t xml:space="preserve">siete de febrero de dos mil veintitrés, </w:t>
      </w:r>
      <w:r w:rsidRPr="001A0549">
        <w:rPr>
          <w:rFonts w:ascii="Palatino Linotype" w:eastAsia="Palatino Linotype" w:hAnsi="Palatino Linotype" w:cs="Palatino Linotype"/>
        </w:rPr>
        <w:t xml:space="preserve">el </w:t>
      </w:r>
      <w:r w:rsidRPr="001A0549">
        <w:rPr>
          <w:rFonts w:ascii="Palatino Linotype" w:eastAsia="Palatino Linotype" w:hAnsi="Palatino Linotype" w:cs="Palatino Linotype"/>
          <w:b/>
        </w:rPr>
        <w:t xml:space="preserve">Sujeto Obligado </w:t>
      </w:r>
      <w:r w:rsidRPr="001A0549">
        <w:rPr>
          <w:rFonts w:ascii="Palatino Linotype" w:eastAsia="Palatino Linotype" w:hAnsi="Palatino Linotype" w:cs="Palatino Linotype"/>
        </w:rPr>
        <w:t xml:space="preserve">remitió, a través de SAIMEX, su informe justificado, mediante el cual, en atención a los motivos de inconformidad aducidos por la parte </w:t>
      </w:r>
      <w:r w:rsidRPr="001A0549">
        <w:rPr>
          <w:rFonts w:ascii="Palatino Linotype" w:eastAsia="Palatino Linotype" w:hAnsi="Palatino Linotype" w:cs="Palatino Linotype"/>
          <w:b/>
        </w:rPr>
        <w:t xml:space="preserve">Recurrente, </w:t>
      </w:r>
      <w:r w:rsidRPr="001A0549">
        <w:rPr>
          <w:rFonts w:ascii="Palatino Linotype" w:eastAsia="Palatino Linotype" w:hAnsi="Palatino Linotype" w:cs="Palatino Linotype"/>
        </w:rPr>
        <w:t xml:space="preserve">manifiesta que adjunta documentos en formato </w:t>
      </w:r>
      <w:proofErr w:type="spellStart"/>
      <w:r w:rsidRPr="001A0549">
        <w:rPr>
          <w:rFonts w:ascii="Palatino Linotype" w:eastAsia="Palatino Linotype" w:hAnsi="Palatino Linotype" w:cs="Palatino Linotype"/>
        </w:rPr>
        <w:t>pdf</w:t>
      </w:r>
      <w:proofErr w:type="spellEnd"/>
      <w:r w:rsidRPr="001A0549">
        <w:rPr>
          <w:rFonts w:ascii="Palatino Linotype" w:eastAsia="Palatino Linotype" w:hAnsi="Palatino Linotype" w:cs="Palatino Linotype"/>
        </w:rPr>
        <w:t xml:space="preserve"> con la información solicitada, adjuntando en el acto lo siguiente:</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 - Programa Anual de Evaluación 2018.</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Términos de Referencia para la Evaluación del Diseño Programático 2018.</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Informe Final de Resultados Evaluación de Diseño Programático 2018, del Programa Presupuestario: Comunicación y Fortalecimiento.</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Informe Final de Resultados Evaluación de Diseño Programático 2018, del Programa Presupuestario: Planeación y Presupuesto Basado en Resultados.</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Convenio para la Mejora del Desempeño y Resultados Gubernamentales, 2018.</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Programa Anual de Evaluación 2019.</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Términos de Referencia para la Evaluación del Diseño Programático 2019.</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Informe Final de Resultados Evaluación de Diseño Programático 2019, del Programa Presupuestario: Protección al Medio Ambiente</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Convenio para la Mejora del Desempeño y Resultados Gubernamentales, 2019.</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Programa Anual de Evaluación 2020.</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lastRenderedPageBreak/>
        <w:t>-  Términos de Referencia para la Evaluación del Diseño Programático 2020.</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Informe Final de Resultados Evaluación de Diseño Programático 2020, del Programa Presupuestario: Desarrollo de la Función Pública y Ética en el Servicio Público</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Convenio para la Mejora del Desempeño y Resultados Gubernamentales, 2020.</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Programa Anual de Evaluación 2021.</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Términos de Referencia para la Evaluación del Diseño Programático 2021.</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Informe Final de Resultados Evaluación de Diseño Programático 2021, del Programa Presupuestario: Desarrollo Agrícola</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Convenio para la Mejora del Desempeño y Resultados Gubernamentales, 2021.</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Programa Anual de Evaluación 2022.</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Términos de Referencia para la Evaluación del Diseño Programático 2022.</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Una vez analizados los documentos referidos, los mismos se hicieron del conocimiento de la persona solicitante con la finalidad de que manifestara lo que a su derecho estimara conveniente, siendo omisa en ejercer dicha prerrogativa.</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b/>
        </w:rPr>
        <w:t xml:space="preserve">7. Cierre de instrucción. </w:t>
      </w:r>
      <w:r w:rsidRPr="001A054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1A0549">
        <w:rPr>
          <w:rFonts w:ascii="Palatino Linotype" w:eastAsia="Palatino Linotype" w:hAnsi="Palatino Linotype" w:cs="Palatino Linotype"/>
          <w:b/>
        </w:rPr>
        <w:t>diecinueve de abril de dos mil veintitrés</w:t>
      </w:r>
      <w:r w:rsidRPr="001A0549">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b/>
        </w:rPr>
        <w:lastRenderedPageBreak/>
        <w:t>8. Ampliación del término para resolver</w:t>
      </w:r>
      <w:r w:rsidRPr="001A0549">
        <w:rPr>
          <w:rFonts w:ascii="Palatino Linotype" w:eastAsia="Palatino Linotype" w:hAnsi="Palatino Linotype" w:cs="Palatino Linotype"/>
        </w:rPr>
        <w:t xml:space="preserve">. En fecha </w:t>
      </w:r>
      <w:r w:rsidRPr="001A0549">
        <w:rPr>
          <w:rFonts w:ascii="Palatino Linotype" w:eastAsia="Palatino Linotype" w:hAnsi="Palatino Linotype" w:cs="Palatino Linotype"/>
          <w:b/>
        </w:rPr>
        <w:t>diecinueve de abril de dos mil veintitrés</w:t>
      </w:r>
      <w:r w:rsidRPr="001A0549">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E7B" w:rsidRPr="001A0549" w:rsidRDefault="00CB2110">
      <w:pPr>
        <w:spacing w:before="240" w:after="240" w:line="360" w:lineRule="auto"/>
        <w:jc w:val="both"/>
        <w:rPr>
          <w:rFonts w:ascii="Palatino Linotype" w:eastAsia="Palatino Linotype" w:hAnsi="Palatino Linotype" w:cs="Palatino Linotype"/>
          <w:strike/>
        </w:rPr>
      </w:pPr>
      <w:r w:rsidRPr="001A054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000E7B" w:rsidRPr="001A0549" w:rsidRDefault="00CB2110">
      <w:pPr>
        <w:numPr>
          <w:ilvl w:val="0"/>
          <w:numId w:val="2"/>
        </w:num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000E7B" w:rsidRPr="001A0549" w:rsidRDefault="00CB2110">
      <w:pPr>
        <w:numPr>
          <w:ilvl w:val="0"/>
          <w:numId w:val="2"/>
        </w:num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Actividad Procesal del interesado. Acciones u omisiones del interesado.</w:t>
      </w:r>
    </w:p>
    <w:p w:rsidR="00000E7B" w:rsidRPr="001A0549" w:rsidRDefault="00CB2110">
      <w:pPr>
        <w:numPr>
          <w:ilvl w:val="0"/>
          <w:numId w:val="2"/>
        </w:num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Conducta de la Autoridad: Las Acciones u omisiones realizadas en el procedimiento. Así como si la autoridad actuó con la debida diligencia.</w:t>
      </w:r>
    </w:p>
    <w:p w:rsidR="00000E7B" w:rsidRPr="001A0549" w:rsidRDefault="00CB2110">
      <w:pPr>
        <w:spacing w:before="240" w:after="240" w:line="360" w:lineRule="auto"/>
        <w:ind w:left="567"/>
        <w:jc w:val="both"/>
        <w:rPr>
          <w:rFonts w:ascii="Palatino Linotype" w:eastAsia="Palatino Linotype" w:hAnsi="Palatino Linotype" w:cs="Palatino Linotype"/>
        </w:rPr>
      </w:pPr>
      <w:r w:rsidRPr="001A0549">
        <w:rPr>
          <w:rFonts w:ascii="Palatino Linotype" w:eastAsia="Palatino Linotype" w:hAnsi="Palatino Linotype" w:cs="Palatino Linotype"/>
        </w:rPr>
        <w:t>d) La afectación generada en la situación jurídica de la persona involucrada en el proceso: Violación a sus derechos humanos.</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E7B" w:rsidRPr="001A0549" w:rsidRDefault="00CB2110">
      <w:pPr>
        <w:spacing w:before="240" w:after="240" w:line="360" w:lineRule="auto"/>
        <w:jc w:val="both"/>
        <w:rPr>
          <w:rFonts w:ascii="Palatino Linotype" w:eastAsia="Palatino Linotype" w:hAnsi="Palatino Linotype" w:cs="Palatino Linotype"/>
          <w:b/>
        </w:rPr>
      </w:pPr>
      <w:r w:rsidRPr="001A0549">
        <w:rPr>
          <w:rFonts w:ascii="Palatino Linotype" w:eastAsia="Palatino Linotype" w:hAnsi="Palatino Linotype" w:cs="Palatino Linotype"/>
        </w:rPr>
        <w:lastRenderedPageBreak/>
        <w:t>Argumento que encuentra sustento en la jurisprudencia P</w:t>
      </w:r>
      <w:proofErr w:type="gramStart"/>
      <w:r w:rsidRPr="001A0549">
        <w:rPr>
          <w:rFonts w:ascii="Palatino Linotype" w:eastAsia="Palatino Linotype" w:hAnsi="Palatino Linotype" w:cs="Palatino Linotype"/>
        </w:rPr>
        <w:t>./</w:t>
      </w:r>
      <w:proofErr w:type="gramEnd"/>
      <w:r w:rsidRPr="001A0549">
        <w:rPr>
          <w:rFonts w:ascii="Palatino Linotype" w:eastAsia="Palatino Linotype" w:hAnsi="Palatino Linotype" w:cs="Palatino Linotype"/>
        </w:rPr>
        <w:t xml:space="preserve">J. 32/92 emitida por el Pleno de la Suprema Corte de Justicia de la Nación de rubro </w:t>
      </w:r>
      <w:r w:rsidRPr="001A054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A0549">
        <w:rPr>
          <w:rFonts w:ascii="Palatino Linotype" w:eastAsia="Palatino Linotype" w:hAnsi="Palatino Linotype" w:cs="Palatino Linotype"/>
        </w:rPr>
        <w:t>, visible en la Gaceta del Seminario Judicial de la Federación con el registro digital 205635.</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000E7B" w:rsidRPr="001A0549" w:rsidRDefault="00CB2110">
      <w:pPr>
        <w:spacing w:before="240" w:after="240"/>
        <w:ind w:left="851" w:right="902"/>
        <w:jc w:val="both"/>
        <w:rPr>
          <w:rFonts w:ascii="Palatino Linotype" w:eastAsia="Palatino Linotype" w:hAnsi="Palatino Linotype" w:cs="Palatino Linotype"/>
          <w:sz w:val="22"/>
          <w:szCs w:val="22"/>
        </w:rPr>
      </w:pPr>
      <w:r w:rsidRPr="001A0549">
        <w:rPr>
          <w:rFonts w:ascii="Palatino Linotype" w:eastAsia="Palatino Linotype" w:hAnsi="Palatino Linotype" w:cs="Palatino Linotype"/>
        </w:rPr>
        <w:t xml:space="preserve"> </w:t>
      </w:r>
      <w:r w:rsidRPr="001A0549">
        <w:rPr>
          <w:rFonts w:ascii="Palatino Linotype" w:eastAsia="Palatino Linotype" w:hAnsi="Palatino Linotype" w:cs="Palatino Linotype"/>
          <w:i/>
          <w:sz w:val="22"/>
          <w:szCs w:val="22"/>
        </w:rPr>
        <w:t>“</w:t>
      </w:r>
      <w:r w:rsidRPr="001A0549">
        <w:rPr>
          <w:rFonts w:ascii="Palatino Linotype" w:eastAsia="Palatino Linotype" w:hAnsi="Palatino Linotype" w:cs="Palatino Linotype"/>
          <w:b/>
          <w:i/>
          <w:sz w:val="22"/>
          <w:szCs w:val="22"/>
        </w:rPr>
        <w:t>PLAZO RAZONABLE PARA RESOLVER. DIMENSIÓN Y EFECTOS DE ESTE CONCEPTO CUANDO SE ADUCE EXCESIVA CARGA DE TRABAJO</w:t>
      </w:r>
      <w:r w:rsidRPr="001A0549">
        <w:rPr>
          <w:rFonts w:ascii="Palatino Linotype" w:eastAsia="Palatino Linotype" w:hAnsi="Palatino Linotype" w:cs="Palatino Linotype"/>
          <w:i/>
          <w:sz w:val="22"/>
          <w:szCs w:val="22"/>
        </w:rPr>
        <w:t>.”</w:t>
      </w:r>
      <w:r w:rsidRPr="001A0549">
        <w:rPr>
          <w:rFonts w:ascii="Palatino Linotype" w:eastAsia="Palatino Linotype" w:hAnsi="Palatino Linotype" w:cs="Palatino Linotype"/>
          <w:sz w:val="22"/>
          <w:szCs w:val="22"/>
        </w:rPr>
        <w:t xml:space="preserve"> consultable en el Seminario Judicial de la Federación y su gaceta, con el registro digital 2002351.</w:t>
      </w:r>
    </w:p>
    <w:p w:rsidR="00000E7B" w:rsidRPr="001A0549" w:rsidRDefault="00CB2110">
      <w:pPr>
        <w:spacing w:before="240" w:after="240"/>
        <w:ind w:left="851" w:right="902"/>
        <w:jc w:val="both"/>
        <w:rPr>
          <w:rFonts w:ascii="Palatino Linotype" w:eastAsia="Palatino Linotype" w:hAnsi="Palatino Linotype" w:cs="Palatino Linotype"/>
          <w:sz w:val="22"/>
          <w:szCs w:val="22"/>
        </w:rPr>
      </w:pPr>
      <w:r w:rsidRPr="001A0549">
        <w:rPr>
          <w:rFonts w:ascii="Palatino Linotype" w:eastAsia="Palatino Linotype" w:hAnsi="Palatino Linotype" w:cs="Palatino Linotype"/>
          <w:i/>
          <w:sz w:val="22"/>
          <w:szCs w:val="22"/>
        </w:rPr>
        <w:lastRenderedPageBreak/>
        <w:t>“</w:t>
      </w:r>
      <w:r w:rsidRPr="001A0549">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1A0549">
        <w:rPr>
          <w:rFonts w:ascii="Palatino Linotype" w:eastAsia="Palatino Linotype" w:hAnsi="Palatino Linotype" w:cs="Palatino Linotype"/>
          <w:i/>
          <w:sz w:val="22"/>
          <w:szCs w:val="22"/>
        </w:rPr>
        <w:t>.”</w:t>
      </w:r>
      <w:r w:rsidRPr="001A0549">
        <w:rPr>
          <w:rFonts w:ascii="Palatino Linotype" w:eastAsia="Palatino Linotype" w:hAnsi="Palatino Linotype" w:cs="Palatino Linotype"/>
          <w:sz w:val="22"/>
          <w:szCs w:val="22"/>
        </w:rPr>
        <w:t>, visible en el Seminario Judicial de la Federación y su gaceta, con el registro digital 2002350.</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000E7B" w:rsidRPr="001A0549" w:rsidRDefault="00CB2110">
      <w:pPr>
        <w:widowControl w:val="0"/>
        <w:spacing w:before="240" w:after="240" w:line="360" w:lineRule="auto"/>
        <w:jc w:val="center"/>
        <w:rPr>
          <w:rFonts w:ascii="Palatino Linotype" w:eastAsia="Palatino Linotype" w:hAnsi="Palatino Linotype" w:cs="Palatino Linotype"/>
          <w:b/>
        </w:rPr>
      </w:pPr>
      <w:r w:rsidRPr="001A0549">
        <w:rPr>
          <w:rFonts w:ascii="Palatino Linotype" w:eastAsia="Palatino Linotype" w:hAnsi="Palatino Linotype" w:cs="Palatino Linotype"/>
          <w:b/>
        </w:rPr>
        <w:t>II. C O N S I D E R A N D O S</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b/>
        </w:rPr>
        <w:t>Primero. Competencia.</w:t>
      </w:r>
      <w:r w:rsidRPr="001A054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E7B" w:rsidRPr="001A0549" w:rsidRDefault="00CB2110">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1A0549">
        <w:rPr>
          <w:rFonts w:ascii="Palatino Linotype" w:eastAsia="Palatino Linotype" w:hAnsi="Palatino Linotype" w:cs="Palatino Linotype"/>
          <w:b/>
        </w:rPr>
        <w:lastRenderedPageBreak/>
        <w:t xml:space="preserve">Segundo. Oportunidad y </w:t>
      </w:r>
      <w:proofErr w:type="spellStart"/>
      <w:r w:rsidRPr="001A0549">
        <w:rPr>
          <w:rFonts w:ascii="Palatino Linotype" w:eastAsia="Palatino Linotype" w:hAnsi="Palatino Linotype" w:cs="Palatino Linotype"/>
          <w:b/>
        </w:rPr>
        <w:t>Procedibilidad</w:t>
      </w:r>
      <w:proofErr w:type="spellEnd"/>
      <w:r w:rsidRPr="001A0549">
        <w:rPr>
          <w:rFonts w:ascii="Palatino Linotype" w:eastAsia="Palatino Linotype" w:hAnsi="Palatino Linotype" w:cs="Palatino Linotype"/>
          <w:b/>
        </w:rPr>
        <w:t xml:space="preserve"> del Recurso de Revisión</w:t>
      </w:r>
      <w:r w:rsidRPr="001A0549">
        <w:rPr>
          <w:rFonts w:ascii="Palatino Linotype" w:eastAsia="Palatino Linotype" w:hAnsi="Palatino Linotype" w:cs="Palatino Linotype"/>
        </w:rPr>
        <w:t xml:space="preserve">. Previo al estudio del fondo del asunto, se procede a analizar los requisitos de oportunidad y </w:t>
      </w:r>
      <w:proofErr w:type="spellStart"/>
      <w:r w:rsidRPr="001A0549">
        <w:rPr>
          <w:rFonts w:ascii="Palatino Linotype" w:eastAsia="Palatino Linotype" w:hAnsi="Palatino Linotype" w:cs="Palatino Linotype"/>
        </w:rPr>
        <w:t>procedibilidad</w:t>
      </w:r>
      <w:proofErr w:type="spellEnd"/>
      <w:r w:rsidRPr="001A0549">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1A0549">
        <w:rPr>
          <w:rFonts w:ascii="Palatino Linotype" w:eastAsia="Palatino Linotype" w:hAnsi="Palatino Linotype" w:cs="Palatino Linotype"/>
          <w:b/>
        </w:rPr>
        <w:t xml:space="preserve">Sujeto Obligado </w:t>
      </w:r>
      <w:r w:rsidRPr="001A0549">
        <w:rPr>
          <w:rFonts w:ascii="Palatino Linotype" w:eastAsia="Palatino Linotype" w:hAnsi="Palatino Linotype" w:cs="Palatino Linotype"/>
        </w:rPr>
        <w:t xml:space="preserve">remitió la respuesta a la solicitud de información el día </w:t>
      </w:r>
      <w:r w:rsidRPr="001A0549">
        <w:rPr>
          <w:rFonts w:ascii="Palatino Linotype" w:eastAsia="Palatino Linotype" w:hAnsi="Palatino Linotype" w:cs="Palatino Linotype"/>
          <w:b/>
        </w:rPr>
        <w:t xml:space="preserve">treinta de enero de dos mil veintitrés, </w:t>
      </w:r>
      <w:r w:rsidRPr="001A0549">
        <w:rPr>
          <w:rFonts w:ascii="Palatino Linotype" w:eastAsia="Palatino Linotype" w:hAnsi="Palatino Linotype" w:cs="Palatino Linotype"/>
        </w:rPr>
        <w:t xml:space="preserve">mientras que el recurso de revisión interpuesto por la parte </w:t>
      </w:r>
      <w:r w:rsidRPr="001A0549">
        <w:rPr>
          <w:rFonts w:ascii="Palatino Linotype" w:eastAsia="Palatino Linotype" w:hAnsi="Palatino Linotype" w:cs="Palatino Linotype"/>
          <w:b/>
        </w:rPr>
        <w:t>Recurrente</w:t>
      </w:r>
      <w:r w:rsidRPr="001A0549">
        <w:rPr>
          <w:rFonts w:ascii="Palatino Linotype" w:eastAsia="Palatino Linotype" w:hAnsi="Palatino Linotype" w:cs="Palatino Linotype"/>
        </w:rPr>
        <w:t xml:space="preserve">, se tuvo por presentado el día </w:t>
      </w:r>
      <w:r w:rsidRPr="001A0549">
        <w:rPr>
          <w:rFonts w:ascii="Palatino Linotype" w:eastAsia="Palatino Linotype" w:hAnsi="Palatino Linotype" w:cs="Palatino Linotype"/>
          <w:b/>
        </w:rPr>
        <w:t>treinta de enero de dos mil veintitrés</w:t>
      </w:r>
      <w:r w:rsidRPr="001A0549">
        <w:rPr>
          <w:rFonts w:ascii="Palatino Linotype" w:eastAsia="Palatino Linotype" w:hAnsi="Palatino Linotype" w:cs="Palatino Linotype"/>
        </w:rPr>
        <w:t>, esto es, el mismo día hábil en que tuvo conocimiento de la respuesta impugnada.</w:t>
      </w:r>
    </w:p>
    <w:p w:rsidR="00000E7B" w:rsidRPr="001A0549" w:rsidRDefault="00CB2110">
      <w:pPr>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1A0549">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E7B" w:rsidRPr="001A0549" w:rsidRDefault="00CB2110">
      <w:pPr>
        <w:spacing w:before="120" w:after="120"/>
        <w:ind w:left="851" w:right="902"/>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b/>
          <w:i/>
          <w:sz w:val="22"/>
          <w:szCs w:val="22"/>
        </w:rPr>
        <w:lastRenderedPageBreak/>
        <w:t>“RECURSO DE RECLAMACIÓN. SU INTERPOSICIÓN NO ES EXTEMPORÁNEA SI SE REALIZA ANTES DE QUE INICIE EL PLAZO PARA HACERLO</w:t>
      </w:r>
      <w:r w:rsidRPr="001A0549">
        <w:rPr>
          <w:rFonts w:ascii="Palatino Linotype" w:eastAsia="Palatino Linotype" w:hAnsi="Palatino Linotype" w:cs="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00E7B" w:rsidRPr="001A0549" w:rsidRDefault="00CB2110">
      <w:pPr>
        <w:tabs>
          <w:tab w:val="left" w:pos="7938"/>
        </w:tabs>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Al mismo tiempo, por cuanto hace a la </w:t>
      </w:r>
      <w:proofErr w:type="spellStart"/>
      <w:r w:rsidRPr="001A0549">
        <w:rPr>
          <w:rFonts w:ascii="Palatino Linotype" w:eastAsia="Palatino Linotype" w:hAnsi="Palatino Linotype" w:cs="Palatino Linotype"/>
        </w:rPr>
        <w:t>procedibilidad</w:t>
      </w:r>
      <w:proofErr w:type="spellEnd"/>
      <w:r w:rsidRPr="001A0549">
        <w:rPr>
          <w:rFonts w:ascii="Palatino Linotype" w:eastAsia="Palatino Linotype" w:hAnsi="Palatino Linotype" w:cs="Palatino Linotype"/>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A efecto de sustentar lo anterior, es de suma importancia mencionar que si bien la persona solicitante </w:t>
      </w:r>
      <w:r w:rsidRPr="001A0549">
        <w:rPr>
          <w:rFonts w:ascii="Palatino Linotype" w:eastAsia="Palatino Linotype" w:hAnsi="Palatino Linotype" w:cs="Palatino Linotype"/>
          <w:b/>
        </w:rPr>
        <w:t xml:space="preserve">no proporcionó nombre, </w:t>
      </w:r>
      <w:r w:rsidRPr="001A0549">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E7B" w:rsidRPr="001A0549" w:rsidRDefault="00CB2110">
      <w:pPr>
        <w:spacing w:before="120" w:after="120"/>
        <w:ind w:left="851" w:right="902"/>
        <w:jc w:val="both"/>
        <w:rPr>
          <w:rFonts w:ascii="Palatino Linotype" w:eastAsia="Palatino Linotype" w:hAnsi="Palatino Linotype" w:cs="Palatino Linotype"/>
          <w:sz w:val="22"/>
          <w:szCs w:val="22"/>
        </w:rPr>
      </w:pPr>
      <w:r w:rsidRPr="001A0549">
        <w:rPr>
          <w:rFonts w:ascii="Palatino Linotype" w:eastAsia="Palatino Linotype" w:hAnsi="Palatino Linotype" w:cs="Palatino Linotype"/>
          <w:i/>
          <w:sz w:val="22"/>
          <w:szCs w:val="22"/>
        </w:rPr>
        <w:t>"</w:t>
      </w:r>
      <w:r w:rsidRPr="001A0549">
        <w:rPr>
          <w:rFonts w:ascii="Palatino Linotype" w:eastAsia="Palatino Linotype" w:hAnsi="Palatino Linotype" w:cs="Palatino Linotype"/>
          <w:b/>
          <w:i/>
          <w:sz w:val="22"/>
          <w:szCs w:val="22"/>
        </w:rPr>
        <w:t>Las solicitudes anónimas</w:t>
      </w:r>
      <w:r w:rsidRPr="001A0549">
        <w:rPr>
          <w:rFonts w:ascii="Palatino Linotype" w:eastAsia="Palatino Linotype" w:hAnsi="Palatino Linotype" w:cs="Palatino Linotype"/>
          <w:i/>
          <w:sz w:val="22"/>
          <w:szCs w:val="22"/>
        </w:rPr>
        <w:t xml:space="preserve">, con nombre incompleto o seudónimo </w:t>
      </w:r>
      <w:r w:rsidRPr="001A0549">
        <w:rPr>
          <w:rFonts w:ascii="Palatino Linotype" w:eastAsia="Palatino Linotype" w:hAnsi="Palatino Linotype" w:cs="Palatino Linotype"/>
          <w:b/>
          <w:i/>
          <w:sz w:val="22"/>
          <w:szCs w:val="22"/>
        </w:rPr>
        <w:t>serán procedentes para su trámite por parte del sujeto obligado ante quien se presente</w:t>
      </w:r>
      <w:r w:rsidRPr="001A0549">
        <w:rPr>
          <w:rFonts w:ascii="Palatino Linotype" w:eastAsia="Palatino Linotype" w:hAnsi="Palatino Linotype" w:cs="Palatino Linotype"/>
          <w:i/>
          <w:sz w:val="22"/>
          <w:szCs w:val="22"/>
        </w:rPr>
        <w:t>. No podrá requerirse información adicional con motivo del nombre proporcionado por el solicitante."</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lastRenderedPageBreak/>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1A0549">
        <w:rPr>
          <w:rFonts w:ascii="Palatino Linotype" w:eastAsia="Palatino Linotype" w:hAnsi="Palatino Linotype" w:cs="Palatino Linotype"/>
          <w:b/>
        </w:rPr>
        <w:t>Recurrente</w:t>
      </w:r>
      <w:r w:rsidRPr="001A0549">
        <w:rPr>
          <w:rFonts w:ascii="Palatino Linotype" w:eastAsia="Palatino Linotype" w:hAnsi="Palatino Linotype" w:cs="Palatino Linotype"/>
        </w:rPr>
        <w:t>, por lo que, en el presente caso, al haber sido presentado el recurso de revisión vía SAIMEX, dicho requisito resulta innecesario.</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Finalmente, se advierte que resulta procedente la interposición del recurso, según lo manifestado por la parte </w:t>
      </w:r>
      <w:r w:rsidRPr="001A0549">
        <w:rPr>
          <w:rFonts w:ascii="Palatino Linotype" w:eastAsia="Palatino Linotype" w:hAnsi="Palatino Linotype" w:cs="Palatino Linotype"/>
          <w:b/>
        </w:rPr>
        <w:t>Recurrente</w:t>
      </w:r>
      <w:r w:rsidRPr="001A0549">
        <w:rPr>
          <w:rFonts w:ascii="Palatino Linotype" w:eastAsia="Palatino Linotype" w:hAnsi="Palatino Linotype" w:cs="Palatino Linotype"/>
        </w:rPr>
        <w:t xml:space="preserve"> en sus motivos de inconformidad, de acuerdo al artículo 179, fracción V del ordenamiento legal citado, que a la letra dice: </w:t>
      </w:r>
    </w:p>
    <w:p w:rsidR="00000E7B" w:rsidRPr="001A0549" w:rsidRDefault="00CB2110">
      <w:pPr>
        <w:spacing w:before="120" w:after="120"/>
        <w:ind w:left="993" w:right="902"/>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i/>
          <w:sz w:val="22"/>
          <w:szCs w:val="22"/>
        </w:rPr>
        <w:t>“</w:t>
      </w:r>
      <w:r w:rsidRPr="001A0549">
        <w:rPr>
          <w:rFonts w:ascii="Palatino Linotype" w:eastAsia="Palatino Linotype" w:hAnsi="Palatino Linotype" w:cs="Palatino Linotype"/>
          <w:b/>
          <w:i/>
          <w:sz w:val="22"/>
          <w:szCs w:val="22"/>
        </w:rPr>
        <w:t>Artículo 179.</w:t>
      </w:r>
      <w:r w:rsidRPr="001A0549">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000E7B" w:rsidRPr="001A0549" w:rsidRDefault="00CB2110">
      <w:pPr>
        <w:spacing w:before="120" w:after="120"/>
        <w:ind w:left="1134"/>
        <w:rPr>
          <w:rFonts w:ascii="Palatino Linotype" w:eastAsia="Palatino Linotype" w:hAnsi="Palatino Linotype" w:cs="Palatino Linotype"/>
          <w:b/>
          <w:i/>
          <w:sz w:val="22"/>
          <w:szCs w:val="22"/>
        </w:rPr>
      </w:pPr>
      <w:r w:rsidRPr="001A0549">
        <w:rPr>
          <w:rFonts w:ascii="Palatino Linotype" w:eastAsia="Palatino Linotype" w:hAnsi="Palatino Linotype" w:cs="Palatino Linotype"/>
          <w:b/>
          <w:i/>
          <w:sz w:val="22"/>
          <w:szCs w:val="22"/>
        </w:rPr>
        <w:t>...</w:t>
      </w:r>
    </w:p>
    <w:p w:rsidR="00000E7B" w:rsidRPr="001A0549" w:rsidRDefault="00CB2110">
      <w:pPr>
        <w:spacing w:before="120" w:after="120"/>
        <w:ind w:left="1134"/>
        <w:rPr>
          <w:rFonts w:ascii="Palatino Linotype" w:eastAsia="Palatino Linotype" w:hAnsi="Palatino Linotype" w:cs="Palatino Linotype"/>
          <w:i/>
          <w:sz w:val="22"/>
          <w:szCs w:val="22"/>
        </w:rPr>
      </w:pPr>
      <w:r w:rsidRPr="001A0549">
        <w:rPr>
          <w:rFonts w:ascii="Palatino Linotype" w:eastAsia="Palatino Linotype" w:hAnsi="Palatino Linotype" w:cs="Palatino Linotype"/>
          <w:b/>
          <w:i/>
          <w:sz w:val="22"/>
          <w:szCs w:val="22"/>
        </w:rPr>
        <w:t>V.</w:t>
      </w:r>
      <w:r w:rsidRPr="001A0549">
        <w:rPr>
          <w:rFonts w:ascii="Palatino Linotype" w:eastAsia="Palatino Linotype" w:hAnsi="Palatino Linotype" w:cs="Palatino Linotype"/>
          <w:i/>
          <w:sz w:val="22"/>
          <w:szCs w:val="22"/>
        </w:rPr>
        <w:t xml:space="preserve"> La entrega de información incompleta;”</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b/>
        </w:rPr>
        <w:t>Tercero. Análisis de las causales de sobreseimiento del recurso de revisión.</w:t>
      </w:r>
      <w:r w:rsidRPr="001A0549">
        <w:rPr>
          <w:rFonts w:ascii="Palatino Linotype" w:eastAsia="Palatino Linotype" w:hAnsi="Palatino Linotype" w:cs="Palatino Linotype"/>
        </w:rPr>
        <w:t xml:space="preserve"> En primera instancia, debe apuntarse que del análisis al recurso de revisión que ahora se resuelve, se tiene que se actualiza la causal de sobreseimiento del recurso de revisión establecido en la fracción III del artículo 192</w:t>
      </w:r>
      <w:r w:rsidRPr="001A0549">
        <w:rPr>
          <w:rFonts w:ascii="Palatino Linotype" w:eastAsia="Palatino Linotype" w:hAnsi="Palatino Linotype" w:cs="Palatino Linotype"/>
          <w:vertAlign w:val="superscript"/>
        </w:rPr>
        <w:footnoteReference w:id="1"/>
      </w:r>
      <w:r w:rsidRPr="001A0549">
        <w:rPr>
          <w:rFonts w:ascii="Palatino Linotype" w:eastAsia="Palatino Linotype" w:hAnsi="Palatino Linotype" w:cs="Palatino Linotype"/>
        </w:rPr>
        <w:t xml:space="preserve"> en relación con el diverso 186 fracción I</w:t>
      </w:r>
      <w:r w:rsidRPr="001A0549">
        <w:rPr>
          <w:rFonts w:ascii="Palatino Linotype" w:eastAsia="Palatino Linotype" w:hAnsi="Palatino Linotype" w:cs="Palatino Linotype"/>
          <w:vertAlign w:val="superscript"/>
        </w:rPr>
        <w:footnoteReference w:id="2"/>
      </w:r>
      <w:r w:rsidRPr="001A0549">
        <w:rPr>
          <w:rFonts w:ascii="Palatino Linotype" w:eastAsia="Palatino Linotype" w:hAnsi="Palatino Linotype" w:cs="Palatino Linotype"/>
        </w:rPr>
        <w:t xml:space="preserve">, ambos de la Ley de Transparencia y Acceso a la Información Pública del </w:t>
      </w:r>
      <w:r w:rsidRPr="001A0549">
        <w:rPr>
          <w:rFonts w:ascii="Palatino Linotype" w:eastAsia="Palatino Linotype" w:hAnsi="Palatino Linotype" w:cs="Palatino Linotype"/>
        </w:rPr>
        <w:lastRenderedPageBreak/>
        <w:t xml:space="preserve">Estado de México y Municipios, derivado del contenido del informe justificado rendido por el </w:t>
      </w:r>
      <w:r w:rsidRPr="001A0549">
        <w:rPr>
          <w:rFonts w:ascii="Palatino Linotype" w:eastAsia="Palatino Linotype" w:hAnsi="Palatino Linotype" w:cs="Palatino Linotype"/>
          <w:b/>
        </w:rPr>
        <w:t>Sujeto Obligado.</w:t>
      </w:r>
      <w:r w:rsidRPr="001A0549">
        <w:rPr>
          <w:rFonts w:ascii="Palatino Linotype" w:eastAsia="Palatino Linotype" w:hAnsi="Palatino Linotype" w:cs="Palatino Linotype"/>
        </w:rPr>
        <w:t xml:space="preserve"> </w:t>
      </w:r>
    </w:p>
    <w:p w:rsidR="00000E7B" w:rsidRPr="001A0549" w:rsidRDefault="00CB2110">
      <w:pPr>
        <w:tabs>
          <w:tab w:val="left" w:pos="7513"/>
        </w:tabs>
        <w:spacing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rsidR="00000E7B" w:rsidRPr="001A0549" w:rsidRDefault="00CB2110">
      <w:pPr>
        <w:tabs>
          <w:tab w:val="left" w:pos="7513"/>
        </w:tabs>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En la solicitud de información materia del presente recurso, la parte solicitante requirió al </w:t>
      </w:r>
      <w:r w:rsidRPr="001A0549">
        <w:rPr>
          <w:rFonts w:ascii="Palatino Linotype" w:eastAsia="Palatino Linotype" w:hAnsi="Palatino Linotype" w:cs="Palatino Linotype"/>
          <w:b/>
        </w:rPr>
        <w:t>Sujeto Obligado,</w:t>
      </w:r>
      <w:r w:rsidRPr="001A0549">
        <w:rPr>
          <w:rFonts w:ascii="Palatino Linotype" w:eastAsia="Palatino Linotype" w:hAnsi="Palatino Linotype" w:cs="Palatino Linotype"/>
        </w:rPr>
        <w:t xml:space="preserve"> lo siguiente:</w:t>
      </w:r>
    </w:p>
    <w:p w:rsidR="00000E7B" w:rsidRPr="001A0549" w:rsidRDefault="00CB2110">
      <w:pPr>
        <w:spacing w:before="240" w:after="240" w:line="360" w:lineRule="auto"/>
        <w:ind w:left="284"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1. Programa Anual de Evaluación de los ejercicios fiscales 2018 al 2022 (PAE 2018 al 2022), en el que contenga los siguientes elementos: </w:t>
      </w:r>
    </w:p>
    <w:p w:rsidR="00000E7B" w:rsidRPr="001A0549" w:rsidRDefault="00CB2110">
      <w:pPr>
        <w:spacing w:before="240" w:after="240" w:line="276" w:lineRule="auto"/>
        <w:ind w:left="567"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a. Condiciones generales; </w:t>
      </w:r>
    </w:p>
    <w:p w:rsidR="00000E7B" w:rsidRPr="001A0549" w:rsidRDefault="00CB2110">
      <w:pPr>
        <w:spacing w:before="240" w:after="240" w:line="276" w:lineRule="auto"/>
        <w:ind w:left="567"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b. Programas presupuestarios sujetos a evaluarse; </w:t>
      </w:r>
    </w:p>
    <w:p w:rsidR="00000E7B" w:rsidRPr="001A0549" w:rsidRDefault="00CB2110">
      <w:pPr>
        <w:spacing w:before="240" w:after="240" w:line="276" w:lineRule="auto"/>
        <w:ind w:left="567"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c. Fondos federales sujetos a evaluarse; </w:t>
      </w:r>
    </w:p>
    <w:p w:rsidR="00000E7B" w:rsidRPr="001A0549" w:rsidRDefault="00CB2110">
      <w:pPr>
        <w:spacing w:before="240" w:after="240" w:line="276" w:lineRule="auto"/>
        <w:ind w:left="567"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d. Sujetos evaluados; </w:t>
      </w:r>
    </w:p>
    <w:p w:rsidR="00000E7B" w:rsidRPr="001A0549" w:rsidRDefault="00CB2110">
      <w:pPr>
        <w:spacing w:before="240" w:after="240" w:line="276" w:lineRule="auto"/>
        <w:ind w:left="567"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e. Tipos de evaluación; </w:t>
      </w:r>
    </w:p>
    <w:p w:rsidR="00000E7B" w:rsidRPr="001A0549" w:rsidRDefault="00CB2110">
      <w:pPr>
        <w:spacing w:before="240" w:after="240" w:line="276" w:lineRule="auto"/>
        <w:ind w:left="567"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f. Cronograma de evaluación; </w:t>
      </w:r>
    </w:p>
    <w:p w:rsidR="00000E7B" w:rsidRPr="001A0549" w:rsidRDefault="00CB2110">
      <w:pPr>
        <w:spacing w:before="240" w:after="240" w:line="276" w:lineRule="auto"/>
        <w:ind w:left="567"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g. Mecanismos de difusión de los resultados de la evaluación, y </w:t>
      </w:r>
    </w:p>
    <w:p w:rsidR="00000E7B" w:rsidRPr="001A0549" w:rsidRDefault="00CB2110">
      <w:pPr>
        <w:spacing w:before="240" w:after="240" w:line="276" w:lineRule="auto"/>
        <w:ind w:left="567"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h. Mecanismos de seguimiento a los resultados de evaluación. </w:t>
      </w:r>
    </w:p>
    <w:p w:rsidR="00000E7B" w:rsidRPr="001A0549" w:rsidRDefault="00CB2110">
      <w:pPr>
        <w:spacing w:before="240" w:after="240" w:line="276" w:lineRule="auto"/>
        <w:ind w:left="567"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i. Los datos generales del evaluador externo, destacando al coordinador de la evaluación y a su principal equipo colaborador, costo de la evaluación; forma de contratación; instrumentos de recolección de información. </w:t>
      </w:r>
    </w:p>
    <w:p w:rsidR="00000E7B" w:rsidRPr="001A0549" w:rsidRDefault="00CB2110">
      <w:pPr>
        <w:spacing w:before="240" w:after="240" w:line="360" w:lineRule="auto"/>
        <w:ind w:left="284" w:right="49"/>
        <w:jc w:val="both"/>
        <w:rPr>
          <w:rFonts w:ascii="Palatino Linotype" w:eastAsia="Palatino Linotype" w:hAnsi="Palatino Linotype" w:cs="Palatino Linotype"/>
        </w:rPr>
      </w:pPr>
      <w:r w:rsidRPr="001A0549">
        <w:rPr>
          <w:rFonts w:ascii="Palatino Linotype" w:eastAsia="Palatino Linotype" w:hAnsi="Palatino Linotype" w:cs="Palatino Linotype"/>
        </w:rPr>
        <w:lastRenderedPageBreak/>
        <w:t xml:space="preserve">2. Términos de referencia de las evaluaciones realizadas en el marco de lo señalado en sus PAE 2018-2022. </w:t>
      </w:r>
    </w:p>
    <w:p w:rsidR="00000E7B" w:rsidRPr="001A0549" w:rsidRDefault="00CB2110">
      <w:pPr>
        <w:spacing w:before="240" w:after="240" w:line="360" w:lineRule="auto"/>
        <w:ind w:left="284"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3. Documento que contenga los resultados de las evaluaciones realizadas a programas presupuestarios y fondos federales, con base a la información presentada en su PAE 2018-2022. </w:t>
      </w:r>
    </w:p>
    <w:p w:rsidR="00000E7B" w:rsidRPr="001A0549" w:rsidRDefault="00CB2110">
      <w:pPr>
        <w:spacing w:before="240" w:after="240" w:line="360" w:lineRule="auto"/>
        <w:ind w:left="284"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4. Convenio para la mejora del Desempeño y Resultados Gubernamentales. </w:t>
      </w:r>
    </w:p>
    <w:p w:rsidR="00000E7B" w:rsidRPr="001A0549" w:rsidRDefault="00CB2110">
      <w:pPr>
        <w:spacing w:before="240" w:after="240" w:line="360" w:lineRule="auto"/>
        <w:ind w:left="284" w:right="49"/>
        <w:jc w:val="both"/>
        <w:rPr>
          <w:rFonts w:ascii="Palatino Linotype" w:eastAsia="Palatino Linotype" w:hAnsi="Palatino Linotype" w:cs="Palatino Linotype"/>
        </w:rPr>
      </w:pPr>
      <w:r w:rsidRPr="001A0549">
        <w:rPr>
          <w:rFonts w:ascii="Palatino Linotype" w:eastAsia="Palatino Linotype" w:hAnsi="Palatino Linotype" w:cs="Palatino Linotype"/>
        </w:rPr>
        <w:t>5. Link de la página web donde se encuentra publicada toda la información arriba solicitada (puntos 1 al 4).</w:t>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En respuesta, el </w:t>
      </w:r>
      <w:r w:rsidRPr="001A0549">
        <w:rPr>
          <w:rFonts w:ascii="Palatino Linotype" w:eastAsia="Palatino Linotype" w:hAnsi="Palatino Linotype" w:cs="Palatino Linotype"/>
          <w:b/>
        </w:rPr>
        <w:t>Sujeto Obligado</w:t>
      </w:r>
      <w:r w:rsidRPr="001A0549">
        <w:rPr>
          <w:rFonts w:ascii="Palatino Linotype" w:eastAsia="Palatino Linotype" w:hAnsi="Palatino Linotype" w:cs="Palatino Linotype"/>
        </w:rPr>
        <w:t>, a través de la Unidad de Transparencia, hizo del conocimiento de la persona solicitante el pronunciamiento vertido por el Titular de la Unidad de Información, Planeación, Programación y Evaluación, mediante el cual manifiesta que la información solicitada de los ejercicios fiscales 2018 a 2022 se encuentra a disposición del público de manera permanente y actualizada, de manera sencilla, precisa y entendible, en la página oficial del Ayuntamiento Constitucional de Villa Victoria, señalando el procedimiento para realizar la consulta de la misma, como a continuación se ilustra para mayor referencia:</w:t>
      </w:r>
    </w:p>
    <w:p w:rsidR="00000E7B" w:rsidRPr="001A0549" w:rsidRDefault="00CB2110">
      <w:pPr>
        <w:spacing w:before="240" w:after="240" w:line="360" w:lineRule="auto"/>
        <w:ind w:right="49"/>
        <w:jc w:val="center"/>
        <w:rPr>
          <w:rFonts w:ascii="Palatino Linotype" w:eastAsia="Palatino Linotype" w:hAnsi="Palatino Linotype" w:cs="Palatino Linotype"/>
        </w:rPr>
      </w:pPr>
      <w:r w:rsidRPr="001A0549">
        <w:rPr>
          <w:rFonts w:ascii="Palatino Linotype" w:eastAsia="Palatino Linotype" w:hAnsi="Palatino Linotype" w:cs="Palatino Linotype"/>
          <w:noProof/>
        </w:rPr>
        <w:drawing>
          <wp:inline distT="0" distB="0" distL="0" distR="0">
            <wp:extent cx="4500000" cy="1546950"/>
            <wp:effectExtent l="0" t="0" r="0" b="0"/>
            <wp:docPr id="17676375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b="42710"/>
                    <a:stretch>
                      <a:fillRect/>
                    </a:stretch>
                  </pic:blipFill>
                  <pic:spPr>
                    <a:xfrm>
                      <a:off x="0" y="0"/>
                      <a:ext cx="4500000" cy="1546950"/>
                    </a:xfrm>
                    <a:prstGeom prst="rect">
                      <a:avLst/>
                    </a:prstGeom>
                    <a:ln/>
                  </pic:spPr>
                </pic:pic>
              </a:graphicData>
            </a:graphic>
          </wp:inline>
        </w:drawing>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rPr>
        <w:lastRenderedPageBreak/>
        <w:t>Asimismo, señaló que en la opción de Planeación Municipal podría encontrar lo relacionado con el Programa Anual de Evaluación, PAE; y, que en el caso del ejercicio 2022, no se encontraba disponible el Informe de Resultados de la Evaluación y el Convenio de Mejora, de acuerdo con lo establecido en los Lineamientos Generales para la Evaluación de Programas Presupuestarios Municipales, en el numeral Vigésimo Cuarto y en el tercero transitorio, numeral 3, en los que se establecen los tiempos para su elaboración.</w:t>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rPr>
        <w:t>Conocida la respuesta por la persona solicitante, al no estar conforme con los términos de la misma, interpuso el recurso de revisión que nos ocupa, mediante el cual manifestó, como motivo de inconformidad que la información en la página web estaba incompleta, asimismo, que no se indicó de manera específica la forma de consultar la información.</w:t>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rPr>
        <w:t>Una vez admitido el presente recurso de revisión, en términos del artículo 185 fracción II</w:t>
      </w:r>
      <w:r w:rsidRPr="001A0549">
        <w:rPr>
          <w:rFonts w:ascii="Palatino Linotype" w:eastAsia="Palatino Linotype" w:hAnsi="Palatino Linotype" w:cs="Palatino Linotype"/>
          <w:vertAlign w:val="superscript"/>
        </w:rPr>
        <w:footnoteReference w:id="3"/>
      </w:r>
      <w:r w:rsidRPr="001A0549">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En tal sentido, el </w:t>
      </w:r>
      <w:r w:rsidRPr="001A0549">
        <w:rPr>
          <w:rFonts w:ascii="Palatino Linotype" w:eastAsia="Palatino Linotype" w:hAnsi="Palatino Linotype" w:cs="Palatino Linotype"/>
          <w:b/>
        </w:rPr>
        <w:t xml:space="preserve">Sujeto Obligado, </w:t>
      </w:r>
      <w:r w:rsidRPr="001A0549">
        <w:rPr>
          <w:rFonts w:ascii="Palatino Linotype" w:eastAsia="Palatino Linotype" w:hAnsi="Palatino Linotype" w:cs="Palatino Linotype"/>
        </w:rPr>
        <w:t>remitió los siguientes documentos:</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Programa Anual de Evaluación 2018.</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lastRenderedPageBreak/>
        <w:t>-  Términos de Referencia para la Evaluación del Diseño Programático 2018.</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Informe Final de Resultados Evaluación de Diseño Programático 2018, del Programa Presupuestario: Comunicación y Fortalecimiento.</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Informe Final de Resultados Evaluación de Diseño Programático 2018, del Programa Presupuestario: Planeación y Presupuesto Basado en Resultados.</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Convenio para la Mejora del Desempeño y Resultados Gubernamentales, 2018.</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Programa Anual de Evaluación 2019.</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Términos de Referencia para la Evaluación del Diseño Programático 2019.</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Informe Final de Resultados Evaluación de Diseño Programático 2019, del Programa Presupuestario: Protección al Medio Ambiente</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Convenio para la Mejora del Desempeño y Resultados Gubernamentales, 2019.</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Programa Anual de Evaluación 2020.</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Términos de Referencia para la Evaluación del Diseño Programático 2020.</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Informe Final de Resultados Evaluación de Diseño Programático 2020, del Programa Presupuestario: Desarrollo de la Función Pública y Ética en el Servicio Público</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Convenio para la Mejora del Desempeño y Resultados Gubernamentales, 2020.</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Programa Anual de Evaluación 2021.</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Términos de Referencia para la Evaluación del Diseño Programático 2021.</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lastRenderedPageBreak/>
        <w:t>- Informe Final de Resultados Evaluación de Diseño Programático 2021, del Programa Presupuestario: Desarrollo Agrícola</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Convenio para la Mejora del Desempeño y Resultados Gubernamentales, 2021.</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Programa Anual de Evaluación 2022.</w:t>
      </w:r>
    </w:p>
    <w:p w:rsidR="00000E7B" w:rsidRPr="001A0549" w:rsidRDefault="00CB2110">
      <w:pPr>
        <w:spacing w:before="120" w:after="12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Términos de Referencia para la Evaluación del Diseño Programático 2022.</w:t>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Información que se hizo de conocimiento de la parte </w:t>
      </w:r>
      <w:r w:rsidRPr="001A0549">
        <w:rPr>
          <w:rFonts w:ascii="Palatino Linotype" w:eastAsia="Palatino Linotype" w:hAnsi="Palatino Linotype" w:cs="Palatino Linotype"/>
          <w:b/>
        </w:rPr>
        <w:t>Recurrente</w:t>
      </w:r>
      <w:r w:rsidRPr="001A0549">
        <w:rPr>
          <w:rFonts w:ascii="Palatino Linotype" w:eastAsia="Palatino Linotype" w:hAnsi="Palatino Linotype" w:cs="Palatino Linotype"/>
        </w:rPr>
        <w:t xml:space="preserve">, con la finalidad de que manifestara lo que a su derecho estimara conveniente, sin embargo, fue omisa en ejercer dicha prerrogativa.  </w:t>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rPr>
        <w:t>En esta tesitura, de las constancias que integran el expediente electrónico  relacionado con el recurso de revisión materia de estudio, se colige que el Sujeto Obligado no niega la competencia para conocer de la información solicitada, sino por el contrario, con la respuesta pronunciada asevera que es competente para conocer de la solicitud de información</w:t>
      </w:r>
      <w:r w:rsidRPr="001A0549">
        <w:rPr>
          <w:rFonts w:ascii="Palatino Linotype" w:eastAsia="Palatino Linotype" w:hAnsi="Palatino Linotype" w:cs="Palatino Linotype"/>
          <w:i/>
          <w:sz w:val="20"/>
          <w:szCs w:val="20"/>
        </w:rPr>
        <w:t xml:space="preserve">, </w:t>
      </w:r>
      <w:r w:rsidRPr="001A0549">
        <w:rPr>
          <w:rFonts w:ascii="Palatino Linotype" w:eastAsia="Palatino Linotype" w:hAnsi="Palatino Linotype" w:cs="Palatino Linotype"/>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motivo por el cual se actualiza el supuesto previsto en el artículo 12 de la legislación aplicable en la materia. </w:t>
      </w:r>
    </w:p>
    <w:p w:rsidR="00000E7B" w:rsidRPr="001A0549" w:rsidRDefault="00CB2110">
      <w:pPr>
        <w:spacing w:before="240" w:after="240"/>
        <w:ind w:left="851" w:right="902"/>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w:t>
      </w:r>
      <w:r w:rsidRPr="001A0549">
        <w:rPr>
          <w:rFonts w:ascii="Palatino Linotype" w:eastAsia="Palatino Linotype" w:hAnsi="Palatino Linotype" w:cs="Palatino Linotype"/>
          <w:i/>
          <w:sz w:val="22"/>
          <w:szCs w:val="22"/>
        </w:rPr>
        <w:t xml:space="preserve"> en los términos de las disposiciones jurídicas aplicables. </w:t>
      </w:r>
    </w:p>
    <w:p w:rsidR="00000E7B" w:rsidRPr="001A0549" w:rsidRDefault="00CB2110">
      <w:pPr>
        <w:spacing w:before="240" w:after="240"/>
        <w:ind w:left="851" w:right="902"/>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1A0549">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rsidR="00000E7B" w:rsidRPr="001A0549" w:rsidRDefault="00CB2110">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Por consiguiente, se procede al análisis de los requerimientos planteados por la particular y la respuesta proporcionada por el </w:t>
      </w:r>
      <w:r w:rsidRPr="001A0549">
        <w:rPr>
          <w:rFonts w:ascii="Palatino Linotype" w:eastAsia="Palatino Linotype" w:hAnsi="Palatino Linotype" w:cs="Palatino Linotype"/>
          <w:b/>
        </w:rPr>
        <w:t>Sujeto Obligado</w:t>
      </w:r>
      <w:r w:rsidRPr="001A0549">
        <w:rPr>
          <w:rFonts w:ascii="Palatino Linotype" w:eastAsia="Palatino Linotype" w:hAnsi="Palatino Linotype" w:cs="Palatino Linotype"/>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Ahora bien, en el caso que nos ocupa, tomando en consideración los términos de la respuesta emitida, es oportuno traer a colación el artículo 161</w:t>
      </w:r>
      <w:r w:rsidRPr="001A0549">
        <w:rPr>
          <w:rFonts w:ascii="Palatino Linotype" w:eastAsia="Palatino Linotype" w:hAnsi="Palatino Linotype" w:cs="Palatino Linotype"/>
          <w:vertAlign w:val="superscript"/>
        </w:rPr>
        <w:footnoteReference w:id="4"/>
      </w:r>
      <w:r w:rsidRPr="001A0549">
        <w:rPr>
          <w:rFonts w:ascii="Palatino Linotype" w:eastAsia="Palatino Linotype" w:hAnsi="Palatino Linotype" w:cs="Palatino Linotype"/>
        </w:rPr>
        <w:t xml:space="preserve"> de la Ley de Transparencia y Acceso a la Información Pública del Estado de México y Municipios</w:t>
      </w:r>
      <w:r w:rsidRPr="001A0549">
        <w:rPr>
          <w:rFonts w:ascii="Palatino Linotype" w:eastAsia="Palatino Linotype" w:hAnsi="Palatino Linotype" w:cs="Palatino Linotype"/>
          <w:i/>
        </w:rPr>
        <w:t xml:space="preserve">, </w:t>
      </w:r>
      <w:r w:rsidRPr="001A0549">
        <w:rPr>
          <w:rFonts w:ascii="Palatino Linotype" w:eastAsia="Palatino Linotype" w:hAnsi="Palatino Linotype" w:cs="Palatino Linotype"/>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000E7B" w:rsidRPr="001A0549" w:rsidRDefault="00CB2110">
      <w:pPr>
        <w:spacing w:before="120" w:after="120" w:line="276" w:lineRule="auto"/>
        <w:ind w:left="284" w:right="51"/>
        <w:jc w:val="both"/>
        <w:rPr>
          <w:rFonts w:ascii="Palatino Linotype" w:eastAsia="Palatino Linotype" w:hAnsi="Palatino Linotype" w:cs="Palatino Linotype"/>
        </w:rPr>
      </w:pPr>
      <w:r w:rsidRPr="001A0549">
        <w:rPr>
          <w:rFonts w:ascii="Palatino Linotype" w:eastAsia="Palatino Linotype" w:hAnsi="Palatino Linotype" w:cs="Palatino Linotype"/>
        </w:rPr>
        <w:t>a) La fuente</w:t>
      </w:r>
    </w:p>
    <w:p w:rsidR="00000E7B" w:rsidRPr="001A0549" w:rsidRDefault="00CB2110">
      <w:pPr>
        <w:spacing w:before="120" w:after="120" w:line="276" w:lineRule="auto"/>
        <w:ind w:left="284" w:right="51"/>
        <w:jc w:val="both"/>
        <w:rPr>
          <w:rFonts w:ascii="Palatino Linotype" w:eastAsia="Palatino Linotype" w:hAnsi="Palatino Linotype" w:cs="Palatino Linotype"/>
        </w:rPr>
      </w:pPr>
      <w:r w:rsidRPr="001A0549">
        <w:rPr>
          <w:rFonts w:ascii="Palatino Linotype" w:eastAsia="Palatino Linotype" w:hAnsi="Palatino Linotype" w:cs="Palatino Linotype"/>
        </w:rPr>
        <w:lastRenderedPageBreak/>
        <w:t>b) El lugar y</w:t>
      </w:r>
    </w:p>
    <w:p w:rsidR="00000E7B" w:rsidRPr="001A0549" w:rsidRDefault="00CB2110">
      <w:pPr>
        <w:spacing w:before="120" w:after="120" w:line="276" w:lineRule="auto"/>
        <w:ind w:left="284" w:right="51"/>
        <w:jc w:val="both"/>
        <w:rPr>
          <w:rFonts w:ascii="Palatino Linotype" w:eastAsia="Palatino Linotype" w:hAnsi="Palatino Linotype" w:cs="Palatino Linotype"/>
        </w:rPr>
      </w:pPr>
      <w:r w:rsidRPr="001A0549">
        <w:rPr>
          <w:rFonts w:ascii="Palatino Linotype" w:eastAsia="Palatino Linotype" w:hAnsi="Palatino Linotype" w:cs="Palatino Linotype"/>
        </w:rPr>
        <w:t>c) La forma</w:t>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rPr>
        <w:t>Asimismo, se establece que la fuente de la información deberá ser:</w:t>
      </w:r>
    </w:p>
    <w:p w:rsidR="00000E7B" w:rsidRPr="001A0549" w:rsidRDefault="00CB2110">
      <w:pPr>
        <w:spacing w:before="120" w:after="120" w:line="276" w:lineRule="auto"/>
        <w:ind w:left="284" w:right="51"/>
        <w:jc w:val="both"/>
        <w:rPr>
          <w:rFonts w:ascii="Palatino Linotype" w:eastAsia="Palatino Linotype" w:hAnsi="Palatino Linotype" w:cs="Palatino Linotype"/>
        </w:rPr>
      </w:pPr>
      <w:r w:rsidRPr="001A0549">
        <w:rPr>
          <w:rFonts w:ascii="Palatino Linotype" w:eastAsia="Palatino Linotype" w:hAnsi="Palatino Linotype" w:cs="Palatino Linotype"/>
        </w:rPr>
        <w:t>a) Precisa</w:t>
      </w:r>
    </w:p>
    <w:p w:rsidR="00000E7B" w:rsidRPr="001A0549" w:rsidRDefault="00CB2110">
      <w:pPr>
        <w:spacing w:before="120" w:after="120" w:line="276" w:lineRule="auto"/>
        <w:ind w:left="284" w:right="51"/>
        <w:jc w:val="both"/>
        <w:rPr>
          <w:rFonts w:ascii="Palatino Linotype" w:eastAsia="Palatino Linotype" w:hAnsi="Palatino Linotype" w:cs="Palatino Linotype"/>
        </w:rPr>
      </w:pPr>
      <w:r w:rsidRPr="001A0549">
        <w:rPr>
          <w:rFonts w:ascii="Palatino Linotype" w:eastAsia="Palatino Linotype" w:hAnsi="Palatino Linotype" w:cs="Palatino Linotype"/>
        </w:rPr>
        <w:t>b) Concreta</w:t>
      </w:r>
    </w:p>
    <w:p w:rsidR="00000E7B" w:rsidRPr="001A0549" w:rsidRDefault="00CB2110">
      <w:pPr>
        <w:spacing w:before="120" w:after="120" w:line="276" w:lineRule="auto"/>
        <w:ind w:left="284" w:right="51"/>
        <w:jc w:val="both"/>
        <w:rPr>
          <w:rFonts w:ascii="Palatino Linotype" w:eastAsia="Palatino Linotype" w:hAnsi="Palatino Linotype" w:cs="Palatino Linotype"/>
        </w:rPr>
      </w:pPr>
      <w:r w:rsidRPr="001A0549">
        <w:rPr>
          <w:rFonts w:ascii="Palatino Linotype" w:eastAsia="Palatino Linotype" w:hAnsi="Palatino Linotype" w:cs="Palatino Linotype"/>
        </w:rPr>
        <w:t>c) Y no debe implicar que el solicitante realice una búsqueda en toda la información que se encuentre disponible.</w:t>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rPr>
        <w:t>Imperativos legales que establecen el procedimiento que deben seguir los Sujetos Obligados para que pueda tomarse como válida su orientación sobre la forma en que puede consultar la información requerida.</w:t>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Derivado de lo anterior, este Organismo Garante se dio a la tarea de realizar la consulta respectiva, con la finalidad de determinar si la información contenida en la página oficial del </w:t>
      </w:r>
      <w:r w:rsidRPr="001A0549">
        <w:rPr>
          <w:rFonts w:ascii="Palatino Linotype" w:eastAsia="Palatino Linotype" w:hAnsi="Palatino Linotype" w:cs="Palatino Linotype"/>
          <w:b/>
        </w:rPr>
        <w:t>Sujeto Obligado</w:t>
      </w:r>
      <w:r w:rsidRPr="001A0549">
        <w:rPr>
          <w:rFonts w:ascii="Palatino Linotype" w:eastAsia="Palatino Linotype" w:hAnsi="Palatino Linotype" w:cs="Palatino Linotype"/>
        </w:rPr>
        <w:t xml:space="preserve"> era suficiente para tener por colmado el derecho de acceso de la persona solicitante, de donde se advirtió lo siguiente:</w:t>
      </w:r>
    </w:p>
    <w:p w:rsidR="00000E7B" w:rsidRPr="001A0549" w:rsidRDefault="00CB2110">
      <w:pPr>
        <w:spacing w:before="240" w:after="240" w:line="360" w:lineRule="auto"/>
        <w:ind w:right="49"/>
        <w:jc w:val="both"/>
        <w:rPr>
          <w:rFonts w:ascii="Palatino Linotype" w:eastAsia="Palatino Linotype" w:hAnsi="Palatino Linotype" w:cs="Palatino Linotype"/>
        </w:rPr>
      </w:pPr>
      <w:r w:rsidRPr="001A0549">
        <w:rPr>
          <w:noProof/>
        </w:rPr>
        <mc:AlternateContent>
          <mc:Choice Requires="wpg">
            <w:drawing>
              <wp:anchor distT="0" distB="0" distL="114300" distR="114300" simplePos="0" relativeHeight="251658240" behindDoc="0" locked="0" layoutInCell="1" hidden="0" allowOverlap="1">
                <wp:simplePos x="0" y="0"/>
                <wp:positionH relativeFrom="column">
                  <wp:posOffset>76201</wp:posOffset>
                </wp:positionH>
                <wp:positionV relativeFrom="paragraph">
                  <wp:posOffset>38100</wp:posOffset>
                </wp:positionV>
                <wp:extent cx="5549900" cy="2406650"/>
                <wp:effectExtent l="0" t="0" r="0" b="0"/>
                <wp:wrapNone/>
                <wp:docPr id="1767637541" name="Conector recto de flecha 1767637541"/>
                <wp:cNvGraphicFramePr/>
                <a:graphic xmlns:a="http://schemas.openxmlformats.org/drawingml/2006/main">
                  <a:graphicData uri="http://schemas.microsoft.com/office/word/2010/wordprocessingShape">
                    <wps:wsp>
                      <wps:cNvCnPr/>
                      <wps:spPr>
                        <a:xfrm>
                          <a:off x="2583750" y="2589375"/>
                          <a:ext cx="5524500" cy="2381250"/>
                        </a:xfrm>
                        <a:prstGeom prst="straightConnector1">
                          <a:avLst/>
                        </a:prstGeom>
                        <a:noFill/>
                        <a:ln w="25400"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38100</wp:posOffset>
                </wp:positionV>
                <wp:extent cx="5549900" cy="2406650"/>
                <wp:effectExtent b="0" l="0" r="0" t="0"/>
                <wp:wrapNone/>
                <wp:docPr id="1767637541"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5549900" cy="2406650"/>
                        </a:xfrm>
                        <a:prstGeom prst="rect"/>
                        <a:ln/>
                      </pic:spPr>
                    </pic:pic>
                  </a:graphicData>
                </a:graphic>
              </wp:anchor>
            </w:drawing>
          </mc:Fallback>
        </mc:AlternateContent>
      </w:r>
    </w:p>
    <w:p w:rsidR="00000E7B" w:rsidRPr="001A0549" w:rsidRDefault="00000E7B">
      <w:pPr>
        <w:spacing w:before="240" w:after="240" w:line="360" w:lineRule="auto"/>
        <w:ind w:right="49"/>
        <w:jc w:val="both"/>
        <w:rPr>
          <w:rFonts w:ascii="Palatino Linotype" w:eastAsia="Palatino Linotype" w:hAnsi="Palatino Linotype" w:cs="Palatino Linotype"/>
        </w:rPr>
      </w:pPr>
    </w:p>
    <w:p w:rsidR="00000E7B" w:rsidRPr="001A0549" w:rsidRDefault="00000E7B">
      <w:pPr>
        <w:spacing w:before="240" w:after="240" w:line="360" w:lineRule="auto"/>
        <w:ind w:right="49"/>
        <w:jc w:val="both"/>
        <w:rPr>
          <w:rFonts w:ascii="Palatino Linotype" w:eastAsia="Palatino Linotype" w:hAnsi="Palatino Linotype" w:cs="Palatino Linotype"/>
        </w:rPr>
      </w:pPr>
    </w:p>
    <w:p w:rsidR="00000E7B" w:rsidRPr="001A0549" w:rsidRDefault="00000E7B">
      <w:pPr>
        <w:spacing w:before="240" w:after="240" w:line="360" w:lineRule="auto"/>
        <w:ind w:right="49"/>
        <w:jc w:val="both"/>
        <w:rPr>
          <w:rFonts w:ascii="Palatino Linotype" w:eastAsia="Palatino Linotype" w:hAnsi="Palatino Linotype" w:cs="Palatino Linotype"/>
        </w:rPr>
      </w:pPr>
    </w:p>
    <w:p w:rsidR="00000E7B" w:rsidRPr="001A0549" w:rsidRDefault="00000E7B">
      <w:pPr>
        <w:spacing w:before="240" w:after="240" w:line="360" w:lineRule="auto"/>
        <w:ind w:right="49"/>
        <w:jc w:val="both"/>
        <w:rPr>
          <w:rFonts w:ascii="Palatino Linotype" w:eastAsia="Palatino Linotype" w:hAnsi="Palatino Linotype" w:cs="Palatino Linotype"/>
        </w:rPr>
      </w:pPr>
    </w:p>
    <w:p w:rsidR="00000E7B" w:rsidRPr="001A0549" w:rsidRDefault="00000E7B">
      <w:pPr>
        <w:spacing w:before="240" w:after="240" w:line="360" w:lineRule="auto"/>
        <w:ind w:right="49"/>
        <w:jc w:val="both"/>
        <w:rPr>
          <w:rFonts w:ascii="Palatino Linotype" w:eastAsia="Palatino Linotype" w:hAnsi="Palatino Linotype" w:cs="Palatino Linotype"/>
        </w:rPr>
      </w:pPr>
    </w:p>
    <w:p w:rsidR="00000E7B" w:rsidRPr="001A0549" w:rsidRDefault="00551E63">
      <w:pPr>
        <w:numPr>
          <w:ilvl w:val="0"/>
          <w:numId w:val="1"/>
        </w:numPr>
        <w:pBdr>
          <w:top w:val="nil"/>
          <w:left w:val="nil"/>
          <w:bottom w:val="nil"/>
          <w:right w:val="nil"/>
          <w:between w:val="nil"/>
        </w:pBdr>
        <w:rPr>
          <w:rFonts w:ascii="Palatino Linotype" w:eastAsia="Palatino Linotype" w:hAnsi="Palatino Linotype" w:cs="Palatino Linotype"/>
        </w:rPr>
      </w:pPr>
      <w:hyperlink r:id="rId14">
        <w:r w:rsidR="00CB2110" w:rsidRPr="001A0549">
          <w:rPr>
            <w:rFonts w:ascii="Palatino Linotype" w:eastAsia="Palatino Linotype" w:hAnsi="Palatino Linotype" w:cs="Palatino Linotype"/>
            <w:u w:val="single"/>
          </w:rPr>
          <w:t>https://villavictoria.edomex.gob.mx/</w:t>
        </w:r>
      </w:hyperlink>
    </w:p>
    <w:p w:rsidR="00000E7B" w:rsidRPr="001A0549" w:rsidRDefault="00000E7B">
      <w:pPr>
        <w:pBdr>
          <w:top w:val="nil"/>
          <w:left w:val="nil"/>
          <w:bottom w:val="nil"/>
          <w:right w:val="nil"/>
          <w:between w:val="nil"/>
        </w:pBdr>
        <w:ind w:left="720"/>
        <w:rPr>
          <w:rFonts w:ascii="Palatino Linotype" w:eastAsia="Palatino Linotype" w:hAnsi="Palatino Linotype" w:cs="Palatino Linotype"/>
        </w:rPr>
      </w:pPr>
    </w:p>
    <w:p w:rsidR="00000E7B" w:rsidRPr="001A0549" w:rsidRDefault="00CB2110">
      <w:pPr>
        <w:jc w:val="center"/>
        <w:rPr>
          <w:rFonts w:ascii="Palatino Linotype" w:eastAsia="Palatino Linotype" w:hAnsi="Palatino Linotype" w:cs="Palatino Linotype"/>
        </w:rPr>
      </w:pPr>
      <w:r w:rsidRPr="001A0549">
        <w:rPr>
          <w:rFonts w:ascii="Palatino Linotype" w:eastAsia="Palatino Linotype" w:hAnsi="Palatino Linotype" w:cs="Palatino Linotype"/>
          <w:noProof/>
        </w:rPr>
        <w:drawing>
          <wp:inline distT="0" distB="0" distL="0" distR="0">
            <wp:extent cx="4500000" cy="2716837"/>
            <wp:effectExtent l="0" t="0" r="0" b="0"/>
            <wp:docPr id="17676375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4500000" cy="2716837"/>
                    </a:xfrm>
                    <a:prstGeom prst="rect">
                      <a:avLst/>
                    </a:prstGeom>
                    <a:ln/>
                  </pic:spPr>
                </pic:pic>
              </a:graphicData>
            </a:graphic>
          </wp:inline>
        </w:drawing>
      </w:r>
      <w:r w:rsidRPr="001A0549">
        <w:rPr>
          <w:noProof/>
        </w:rPr>
        <mc:AlternateContent>
          <mc:Choice Requires="wpg">
            <w:drawing>
              <wp:anchor distT="0" distB="0" distL="114300" distR="114300" simplePos="0" relativeHeight="251659264" behindDoc="0" locked="0" layoutInCell="1" hidden="0" allowOverlap="1">
                <wp:simplePos x="0" y="0"/>
                <wp:positionH relativeFrom="column">
                  <wp:posOffset>2590800</wp:posOffset>
                </wp:positionH>
                <wp:positionV relativeFrom="paragraph">
                  <wp:posOffset>622300</wp:posOffset>
                </wp:positionV>
                <wp:extent cx="476250" cy="142875"/>
                <wp:effectExtent l="0" t="0" r="0" b="0"/>
                <wp:wrapNone/>
                <wp:docPr id="1767637538" name="Conector recto de flecha 1767637538"/>
                <wp:cNvGraphicFramePr/>
                <a:graphic xmlns:a="http://schemas.openxmlformats.org/drawingml/2006/main">
                  <a:graphicData uri="http://schemas.microsoft.com/office/word/2010/wordprocessingShape">
                    <wps:wsp>
                      <wps:cNvCnPr/>
                      <wps:spPr>
                        <a:xfrm flipH="1">
                          <a:off x="5126925" y="3727613"/>
                          <a:ext cx="438150" cy="104775"/>
                        </a:xfrm>
                        <a:prstGeom prst="straightConnector1">
                          <a:avLst/>
                        </a:prstGeom>
                        <a:noFill/>
                        <a:ln w="38100" cap="flat" cmpd="sng">
                          <a:solidFill>
                            <a:srgbClr val="C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2590800</wp:posOffset>
                </wp:positionH>
                <wp:positionV relativeFrom="paragraph">
                  <wp:posOffset>622300</wp:posOffset>
                </wp:positionV>
                <wp:extent cx="476250" cy="142875"/>
                <wp:effectExtent b="0" l="0" r="0" t="0"/>
                <wp:wrapNone/>
                <wp:docPr id="1767637538"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476250" cy="142875"/>
                        </a:xfrm>
                        <a:prstGeom prst="rect"/>
                        <a:ln/>
                      </pic:spPr>
                    </pic:pic>
                  </a:graphicData>
                </a:graphic>
              </wp:anchor>
            </w:drawing>
          </mc:Fallback>
        </mc:AlternateContent>
      </w:r>
    </w:p>
    <w:p w:rsidR="00000E7B" w:rsidRPr="001A0549" w:rsidRDefault="00000E7B">
      <w:pPr>
        <w:rPr>
          <w:rFonts w:ascii="Palatino Linotype" w:eastAsia="Palatino Linotype" w:hAnsi="Palatino Linotype" w:cs="Palatino Linotype"/>
        </w:rPr>
      </w:pPr>
    </w:p>
    <w:p w:rsidR="00000E7B" w:rsidRPr="001A0549" w:rsidRDefault="00551E63">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hyperlink r:id="rId17">
        <w:r w:rsidR="00CB2110" w:rsidRPr="001A0549">
          <w:rPr>
            <w:rFonts w:ascii="Palatino Linotype" w:eastAsia="Palatino Linotype" w:hAnsi="Palatino Linotype" w:cs="Palatino Linotype"/>
            <w:u w:val="single"/>
          </w:rPr>
          <w:t>https://villavictoria.edomex.gob.mx/transparencia</w:t>
        </w:r>
      </w:hyperlink>
      <w:r w:rsidR="00CB2110" w:rsidRPr="001A0549">
        <w:rPr>
          <w:rFonts w:ascii="Palatino Linotype" w:eastAsia="Palatino Linotype" w:hAnsi="Palatino Linotype" w:cs="Palatino Linotype"/>
        </w:rPr>
        <w:t xml:space="preserve"> </w:t>
      </w:r>
    </w:p>
    <w:p w:rsidR="00000E7B" w:rsidRPr="001A0549" w:rsidRDefault="00CB2110">
      <w:pPr>
        <w:spacing w:before="240" w:after="240" w:line="360" w:lineRule="auto"/>
        <w:jc w:val="center"/>
        <w:rPr>
          <w:rFonts w:ascii="Palatino Linotype" w:eastAsia="Palatino Linotype" w:hAnsi="Palatino Linotype" w:cs="Palatino Linotype"/>
        </w:rPr>
      </w:pPr>
      <w:r w:rsidRPr="001A0549">
        <w:rPr>
          <w:rFonts w:ascii="Palatino Linotype" w:eastAsia="Palatino Linotype" w:hAnsi="Palatino Linotype" w:cs="Palatino Linotype"/>
          <w:noProof/>
        </w:rPr>
        <w:drawing>
          <wp:inline distT="0" distB="0" distL="0" distR="0">
            <wp:extent cx="4500000" cy="3020032"/>
            <wp:effectExtent l="0" t="0" r="0" b="0"/>
            <wp:docPr id="17676375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4500000" cy="3020032"/>
                    </a:xfrm>
                    <a:prstGeom prst="rect">
                      <a:avLst/>
                    </a:prstGeom>
                    <a:ln/>
                  </pic:spPr>
                </pic:pic>
              </a:graphicData>
            </a:graphic>
          </wp:inline>
        </w:drawing>
      </w:r>
      <w:r w:rsidRPr="001A0549">
        <w:rPr>
          <w:noProof/>
        </w:rPr>
        <mc:AlternateContent>
          <mc:Choice Requires="wpg">
            <w:drawing>
              <wp:anchor distT="0" distB="0" distL="114300" distR="114300" simplePos="0" relativeHeight="251660288" behindDoc="0" locked="0" layoutInCell="1" hidden="0" allowOverlap="1">
                <wp:simplePos x="0" y="0"/>
                <wp:positionH relativeFrom="column">
                  <wp:posOffset>1206500</wp:posOffset>
                </wp:positionH>
                <wp:positionV relativeFrom="paragraph">
                  <wp:posOffset>2705100</wp:posOffset>
                </wp:positionV>
                <wp:extent cx="476250" cy="142875"/>
                <wp:effectExtent l="0" t="0" r="0" b="0"/>
                <wp:wrapNone/>
                <wp:docPr id="1767637545" name="Conector recto de flecha 1767637545"/>
                <wp:cNvGraphicFramePr/>
                <a:graphic xmlns:a="http://schemas.openxmlformats.org/drawingml/2006/main">
                  <a:graphicData uri="http://schemas.microsoft.com/office/word/2010/wordprocessingShape">
                    <wps:wsp>
                      <wps:cNvCnPr/>
                      <wps:spPr>
                        <a:xfrm flipH="1">
                          <a:off x="5126925" y="3727613"/>
                          <a:ext cx="438150" cy="104775"/>
                        </a:xfrm>
                        <a:prstGeom prst="straightConnector1">
                          <a:avLst/>
                        </a:prstGeom>
                        <a:noFill/>
                        <a:ln w="38100" cap="flat" cmpd="sng">
                          <a:solidFill>
                            <a:srgbClr val="C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1206500</wp:posOffset>
                </wp:positionH>
                <wp:positionV relativeFrom="paragraph">
                  <wp:posOffset>2705100</wp:posOffset>
                </wp:positionV>
                <wp:extent cx="476250" cy="142875"/>
                <wp:effectExtent b="0" l="0" r="0" t="0"/>
                <wp:wrapNone/>
                <wp:docPr id="1767637545" name="image23.png"/>
                <a:graphic>
                  <a:graphicData uri="http://schemas.openxmlformats.org/drawingml/2006/picture">
                    <pic:pic>
                      <pic:nvPicPr>
                        <pic:cNvPr id="0" name="image23.png"/>
                        <pic:cNvPicPr preferRelativeResize="0"/>
                      </pic:nvPicPr>
                      <pic:blipFill>
                        <a:blip r:embed="rId19"/>
                        <a:srcRect/>
                        <a:stretch>
                          <a:fillRect/>
                        </a:stretch>
                      </pic:blipFill>
                      <pic:spPr>
                        <a:xfrm>
                          <a:off x="0" y="0"/>
                          <a:ext cx="476250" cy="142875"/>
                        </a:xfrm>
                        <a:prstGeom prst="rect"/>
                        <a:ln/>
                      </pic:spPr>
                    </pic:pic>
                  </a:graphicData>
                </a:graphic>
              </wp:anchor>
            </w:drawing>
          </mc:Fallback>
        </mc:AlternateContent>
      </w:r>
    </w:p>
    <w:p w:rsidR="00000E7B" w:rsidRPr="001A0549" w:rsidRDefault="00551E63">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hyperlink r:id="rId20">
        <w:r w:rsidR="00CB2110" w:rsidRPr="001A0549">
          <w:rPr>
            <w:rFonts w:ascii="Palatino Linotype" w:eastAsia="Palatino Linotype" w:hAnsi="Palatino Linotype" w:cs="Palatino Linotype"/>
            <w:u w:val="single"/>
          </w:rPr>
          <w:t>https://villavictoria.edomex.gob.mx/planeacion_municipal</w:t>
        </w:r>
      </w:hyperlink>
      <w:r w:rsidR="00CB2110" w:rsidRPr="001A0549">
        <w:rPr>
          <w:rFonts w:ascii="Palatino Linotype" w:eastAsia="Palatino Linotype" w:hAnsi="Palatino Linotype" w:cs="Palatino Linotype"/>
        </w:rPr>
        <w:t xml:space="preserve"> </w:t>
      </w:r>
    </w:p>
    <w:p w:rsidR="00000E7B" w:rsidRPr="001A0549" w:rsidRDefault="00CB2110">
      <w:pPr>
        <w:spacing w:before="240" w:after="240" w:line="360" w:lineRule="auto"/>
        <w:jc w:val="center"/>
        <w:rPr>
          <w:rFonts w:ascii="Palatino Linotype" w:eastAsia="Palatino Linotype" w:hAnsi="Palatino Linotype" w:cs="Palatino Linotype"/>
        </w:rPr>
      </w:pPr>
      <w:r w:rsidRPr="001A0549">
        <w:rPr>
          <w:rFonts w:ascii="Palatino Linotype" w:eastAsia="Palatino Linotype" w:hAnsi="Palatino Linotype" w:cs="Palatino Linotype"/>
          <w:noProof/>
        </w:rPr>
        <w:drawing>
          <wp:inline distT="0" distB="0" distL="0" distR="0">
            <wp:extent cx="4500000" cy="2917885"/>
            <wp:effectExtent l="0" t="0" r="0" b="0"/>
            <wp:docPr id="17676375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4500000" cy="2917885"/>
                    </a:xfrm>
                    <a:prstGeom prst="rect">
                      <a:avLst/>
                    </a:prstGeom>
                    <a:ln/>
                  </pic:spPr>
                </pic:pic>
              </a:graphicData>
            </a:graphic>
          </wp:inline>
        </w:drawing>
      </w:r>
      <w:r w:rsidRPr="001A0549">
        <w:rPr>
          <w:noProof/>
        </w:rPr>
        <mc:AlternateContent>
          <mc:Choice Requires="wpg">
            <w:drawing>
              <wp:anchor distT="0" distB="0" distL="114300" distR="114300" simplePos="0" relativeHeight="251661312" behindDoc="0" locked="0" layoutInCell="1" hidden="0" allowOverlap="1">
                <wp:simplePos x="0" y="0"/>
                <wp:positionH relativeFrom="column">
                  <wp:posOffset>4737100</wp:posOffset>
                </wp:positionH>
                <wp:positionV relativeFrom="paragraph">
                  <wp:posOffset>2590800</wp:posOffset>
                </wp:positionV>
                <wp:extent cx="476250" cy="142875"/>
                <wp:effectExtent l="0" t="0" r="0" b="0"/>
                <wp:wrapNone/>
                <wp:docPr id="1767637544" name="Conector recto de flecha 1767637544"/>
                <wp:cNvGraphicFramePr/>
                <a:graphic xmlns:a="http://schemas.openxmlformats.org/drawingml/2006/main">
                  <a:graphicData uri="http://schemas.microsoft.com/office/word/2010/wordprocessingShape">
                    <wps:wsp>
                      <wps:cNvCnPr/>
                      <wps:spPr>
                        <a:xfrm flipH="1">
                          <a:off x="5126925" y="3727613"/>
                          <a:ext cx="438150" cy="104775"/>
                        </a:xfrm>
                        <a:prstGeom prst="straightConnector1">
                          <a:avLst/>
                        </a:prstGeom>
                        <a:noFill/>
                        <a:ln w="38100" cap="flat" cmpd="sng">
                          <a:solidFill>
                            <a:srgbClr val="E5B8B7"/>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4737100</wp:posOffset>
                </wp:positionH>
                <wp:positionV relativeFrom="paragraph">
                  <wp:posOffset>2590800</wp:posOffset>
                </wp:positionV>
                <wp:extent cx="476250" cy="142875"/>
                <wp:effectExtent b="0" l="0" r="0" t="0"/>
                <wp:wrapNone/>
                <wp:docPr id="1767637544" name="image22.png"/>
                <a:graphic>
                  <a:graphicData uri="http://schemas.openxmlformats.org/drawingml/2006/picture">
                    <pic:pic>
                      <pic:nvPicPr>
                        <pic:cNvPr id="0" name="image22.png"/>
                        <pic:cNvPicPr preferRelativeResize="0"/>
                      </pic:nvPicPr>
                      <pic:blipFill>
                        <a:blip r:embed="rId22"/>
                        <a:srcRect/>
                        <a:stretch>
                          <a:fillRect/>
                        </a:stretch>
                      </pic:blipFill>
                      <pic:spPr>
                        <a:xfrm>
                          <a:off x="0" y="0"/>
                          <a:ext cx="476250" cy="142875"/>
                        </a:xfrm>
                        <a:prstGeom prst="rect"/>
                        <a:ln/>
                      </pic:spPr>
                    </pic:pic>
                  </a:graphicData>
                </a:graphic>
              </wp:anchor>
            </w:drawing>
          </mc:Fallback>
        </mc:AlternateConten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De las imágenes anteriores se advierte que la orientación proporcionada por el </w:t>
      </w:r>
      <w:r w:rsidRPr="001A0549">
        <w:rPr>
          <w:rFonts w:ascii="Palatino Linotype" w:eastAsia="Palatino Linotype" w:hAnsi="Palatino Linotype" w:cs="Palatino Linotype"/>
          <w:b/>
        </w:rPr>
        <w:t xml:space="preserve">Sujeto Obligado </w:t>
      </w:r>
      <w:r w:rsidRPr="001A0549">
        <w:rPr>
          <w:rFonts w:ascii="Palatino Linotype" w:eastAsia="Palatino Linotype" w:hAnsi="Palatino Linotype" w:cs="Palatino Linotype"/>
        </w:rPr>
        <w:t xml:space="preserve">permite acceder a la dirección electrónica específica en la que se encuentra publicada, además del Programa Operativo Anual, Matriz de Indicadores para Resultados y Fichas Técnicas, Evaluación de Metas e Indicadores, </w:t>
      </w:r>
      <w:r w:rsidRPr="001A0549">
        <w:rPr>
          <w:rFonts w:ascii="Palatino Linotype" w:eastAsia="Palatino Linotype" w:hAnsi="Palatino Linotype" w:cs="Palatino Linotype"/>
          <w:b/>
        </w:rPr>
        <w:t xml:space="preserve">la relativa al </w:t>
      </w:r>
      <w:proofErr w:type="spellStart"/>
      <w:r w:rsidRPr="001A0549">
        <w:rPr>
          <w:rFonts w:ascii="Palatino Linotype" w:eastAsia="Palatino Linotype" w:hAnsi="Palatino Linotype" w:cs="Palatino Linotype"/>
          <w:b/>
        </w:rPr>
        <w:t>al</w:t>
      </w:r>
      <w:proofErr w:type="spellEnd"/>
      <w:r w:rsidRPr="001A0549">
        <w:rPr>
          <w:rFonts w:ascii="Palatino Linotype" w:eastAsia="Palatino Linotype" w:hAnsi="Palatino Linotype" w:cs="Palatino Linotype"/>
          <w:b/>
        </w:rPr>
        <w:t xml:space="preserve"> Programa Anual de Evaluación,</w:t>
      </w:r>
      <w:r w:rsidRPr="001A0549">
        <w:rPr>
          <w:rFonts w:ascii="Palatino Linotype" w:eastAsia="Palatino Linotype" w:hAnsi="Palatino Linotype" w:cs="Palatino Linotype"/>
        </w:rPr>
        <w:t xml:space="preserve"> como lo precisó en su respuesta.</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Al mismo tiempo, es importante mencionar que en la opción: </w:t>
      </w:r>
      <w:r w:rsidRPr="001A0549">
        <w:rPr>
          <w:rFonts w:ascii="Palatino Linotype" w:eastAsia="Palatino Linotype" w:hAnsi="Palatino Linotype" w:cs="Palatino Linotype"/>
          <w:b/>
        </w:rPr>
        <w:t xml:space="preserve">Programa Anual de Evaluación </w:t>
      </w:r>
      <w:r w:rsidRPr="001A0549">
        <w:rPr>
          <w:rFonts w:ascii="Palatino Linotype" w:eastAsia="Palatino Linotype" w:hAnsi="Palatino Linotype" w:cs="Palatino Linotype"/>
        </w:rPr>
        <w:t>se localiza información que corresponde con los ejercicios 2016 a 2022, como se muestra a continuación:</w:t>
      </w:r>
    </w:p>
    <w:p w:rsidR="00000E7B" w:rsidRPr="001A0549" w:rsidRDefault="00CB2110">
      <w:pPr>
        <w:spacing w:before="240" w:after="240" w:line="360" w:lineRule="auto"/>
        <w:jc w:val="center"/>
        <w:rPr>
          <w:rFonts w:ascii="Palatino Linotype" w:eastAsia="Palatino Linotype" w:hAnsi="Palatino Linotype" w:cs="Palatino Linotype"/>
        </w:rPr>
      </w:pPr>
      <w:r w:rsidRPr="001A0549">
        <w:rPr>
          <w:rFonts w:ascii="Palatino Linotype" w:eastAsia="Palatino Linotype" w:hAnsi="Palatino Linotype" w:cs="Palatino Linotype"/>
          <w:noProof/>
        </w:rPr>
        <w:lastRenderedPageBreak/>
        <w:drawing>
          <wp:inline distT="0" distB="0" distL="0" distR="0">
            <wp:extent cx="5040000" cy="2990985"/>
            <wp:effectExtent l="0" t="0" r="0" b="0"/>
            <wp:docPr id="17676375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5040000" cy="2990985"/>
                    </a:xfrm>
                    <a:prstGeom prst="rect">
                      <a:avLst/>
                    </a:prstGeom>
                    <a:ln/>
                  </pic:spPr>
                </pic:pic>
              </a:graphicData>
            </a:graphic>
          </wp:inline>
        </w:drawing>
      </w:r>
      <w:r w:rsidRPr="001A0549">
        <w:rPr>
          <w:noProof/>
        </w:rPr>
        <mc:AlternateContent>
          <mc:Choice Requires="wpg">
            <w:drawing>
              <wp:anchor distT="0" distB="0" distL="114300" distR="114300" simplePos="0" relativeHeight="251662336" behindDoc="0" locked="0" layoutInCell="1" hidden="0" allowOverlap="1">
                <wp:simplePos x="0" y="0"/>
                <wp:positionH relativeFrom="column">
                  <wp:posOffset>5207000</wp:posOffset>
                </wp:positionH>
                <wp:positionV relativeFrom="paragraph">
                  <wp:posOffset>1257300</wp:posOffset>
                </wp:positionV>
                <wp:extent cx="232963" cy="1674686"/>
                <wp:effectExtent l="0" t="0" r="0" b="0"/>
                <wp:wrapNone/>
                <wp:docPr id="1767637540" name="Cerrar llave 1767637540"/>
                <wp:cNvGraphicFramePr/>
                <a:graphic xmlns:a="http://schemas.openxmlformats.org/drawingml/2006/main">
                  <a:graphicData uri="http://schemas.microsoft.com/office/word/2010/wordprocessingShape">
                    <wps:wsp>
                      <wps:cNvSpPr/>
                      <wps:spPr>
                        <a:xfrm>
                          <a:off x="5242219" y="2955357"/>
                          <a:ext cx="207563" cy="1649286"/>
                        </a:xfrm>
                        <a:prstGeom prst="rightBrace">
                          <a:avLst>
                            <a:gd name="adj1" fmla="val 8333"/>
                            <a:gd name="adj2" fmla="val 50000"/>
                          </a:avLst>
                        </a:prstGeom>
                        <a:noFill/>
                        <a:ln w="25400" cap="flat" cmpd="sng">
                          <a:solidFill>
                            <a:srgbClr val="C00000"/>
                          </a:solidFill>
                          <a:prstDash val="solid"/>
                          <a:round/>
                          <a:headEnd type="none" w="sm" len="sm"/>
                          <a:tailEnd type="none" w="sm" len="sm"/>
                        </a:ln>
                      </wps:spPr>
                      <wps:txbx>
                        <w:txbxContent>
                          <w:p w:rsidR="00000E7B" w:rsidRDefault="00000E7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5207000</wp:posOffset>
                </wp:positionH>
                <wp:positionV relativeFrom="paragraph">
                  <wp:posOffset>1257300</wp:posOffset>
                </wp:positionV>
                <wp:extent cx="232963" cy="1674686"/>
                <wp:effectExtent b="0" l="0" r="0" t="0"/>
                <wp:wrapNone/>
                <wp:docPr id="1767637540"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232963" cy="1674686"/>
                        </a:xfrm>
                        <a:prstGeom prst="rect"/>
                        <a:ln/>
                      </pic:spPr>
                    </pic:pic>
                  </a:graphicData>
                </a:graphic>
              </wp:anchor>
            </w:drawing>
          </mc:Fallback>
        </mc:AlternateConten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Por lo que, si el interés de la persona solicitante consiste en conocer información de los ejercicios 2018 a 2022 del ayuntamiento, basta con seleccionar cada uno de los mismos, para desplegar la información, como se muestra a continuación del ejercicio 2020, a manera de ejemplo:</w:t>
      </w:r>
    </w:p>
    <w:p w:rsidR="00000E7B" w:rsidRPr="001A0549" w:rsidRDefault="00CB2110">
      <w:pPr>
        <w:spacing w:before="240" w:after="240" w:line="360" w:lineRule="auto"/>
        <w:jc w:val="center"/>
        <w:rPr>
          <w:rFonts w:ascii="Palatino Linotype" w:eastAsia="Palatino Linotype" w:hAnsi="Palatino Linotype" w:cs="Palatino Linotype"/>
        </w:rPr>
      </w:pPr>
      <w:r w:rsidRPr="001A0549">
        <w:rPr>
          <w:rFonts w:ascii="Palatino Linotype" w:eastAsia="Palatino Linotype" w:hAnsi="Palatino Linotype" w:cs="Palatino Linotype"/>
          <w:noProof/>
        </w:rPr>
        <w:drawing>
          <wp:inline distT="0" distB="0" distL="0" distR="0">
            <wp:extent cx="4500000" cy="1565882"/>
            <wp:effectExtent l="0" t="0" r="0" b="0"/>
            <wp:docPr id="17676375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500000" cy="1565882"/>
                    </a:xfrm>
                    <a:prstGeom prst="rect">
                      <a:avLst/>
                    </a:prstGeom>
                    <a:ln/>
                  </pic:spPr>
                </pic:pic>
              </a:graphicData>
            </a:graphic>
          </wp:inline>
        </w:drawing>
      </w:r>
      <w:r w:rsidRPr="001A0549">
        <w:rPr>
          <w:noProof/>
        </w:rPr>
        <mc:AlternateContent>
          <mc:Choice Requires="wpg">
            <w:drawing>
              <wp:anchor distT="0" distB="0" distL="114300" distR="114300" simplePos="0" relativeHeight="251663360" behindDoc="0" locked="0" layoutInCell="1" hidden="0" allowOverlap="1">
                <wp:simplePos x="0" y="0"/>
                <wp:positionH relativeFrom="column">
                  <wp:posOffset>4724400</wp:posOffset>
                </wp:positionH>
                <wp:positionV relativeFrom="paragraph">
                  <wp:posOffset>406400</wp:posOffset>
                </wp:positionV>
                <wp:extent cx="476250" cy="142875"/>
                <wp:effectExtent l="0" t="0" r="0" b="0"/>
                <wp:wrapNone/>
                <wp:docPr id="1767637542" name="Conector recto de flecha 1767637542"/>
                <wp:cNvGraphicFramePr/>
                <a:graphic xmlns:a="http://schemas.openxmlformats.org/drawingml/2006/main">
                  <a:graphicData uri="http://schemas.microsoft.com/office/word/2010/wordprocessingShape">
                    <wps:wsp>
                      <wps:cNvCnPr/>
                      <wps:spPr>
                        <a:xfrm flipH="1">
                          <a:off x="5126925" y="3727613"/>
                          <a:ext cx="438150" cy="104775"/>
                        </a:xfrm>
                        <a:prstGeom prst="straightConnector1">
                          <a:avLst/>
                        </a:prstGeom>
                        <a:noFill/>
                        <a:ln w="38100" cap="flat" cmpd="sng">
                          <a:solidFill>
                            <a:srgbClr val="C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4724400</wp:posOffset>
                </wp:positionH>
                <wp:positionV relativeFrom="paragraph">
                  <wp:posOffset>406400</wp:posOffset>
                </wp:positionV>
                <wp:extent cx="476250" cy="142875"/>
                <wp:effectExtent b="0" l="0" r="0" t="0"/>
                <wp:wrapNone/>
                <wp:docPr id="1767637542"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476250" cy="142875"/>
                        </a:xfrm>
                        <a:prstGeom prst="rect"/>
                        <a:ln/>
                      </pic:spPr>
                    </pic:pic>
                  </a:graphicData>
                </a:graphic>
              </wp:anchor>
            </w:drawing>
          </mc:Fallback>
        </mc:AlternateContent>
      </w:r>
    </w:p>
    <w:p w:rsidR="00000E7B" w:rsidRPr="001A0549" w:rsidRDefault="00CB2110">
      <w:pPr>
        <w:spacing w:before="240" w:after="240" w:line="360" w:lineRule="auto"/>
        <w:jc w:val="center"/>
        <w:rPr>
          <w:rFonts w:ascii="Palatino Linotype" w:eastAsia="Palatino Linotype" w:hAnsi="Palatino Linotype" w:cs="Palatino Linotype"/>
        </w:rPr>
      </w:pPr>
      <w:r w:rsidRPr="001A0549">
        <w:rPr>
          <w:rFonts w:ascii="Palatino Linotype" w:eastAsia="Palatino Linotype" w:hAnsi="Palatino Linotype" w:cs="Palatino Linotype"/>
          <w:noProof/>
        </w:rPr>
        <w:lastRenderedPageBreak/>
        <w:drawing>
          <wp:inline distT="0" distB="0" distL="0" distR="0">
            <wp:extent cx="4500000" cy="3390027"/>
            <wp:effectExtent l="0" t="0" r="0" b="0"/>
            <wp:docPr id="176763755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4500000" cy="3390027"/>
                    </a:xfrm>
                    <a:prstGeom prst="rect">
                      <a:avLst/>
                    </a:prstGeom>
                    <a:ln/>
                  </pic:spPr>
                </pic:pic>
              </a:graphicData>
            </a:graphic>
          </wp:inline>
        </w:drawing>
      </w:r>
      <w:r w:rsidRPr="001A0549">
        <w:rPr>
          <w:noProof/>
        </w:rPr>
        <mc:AlternateContent>
          <mc:Choice Requires="wpg">
            <w:drawing>
              <wp:anchor distT="0" distB="0" distL="114300" distR="114300" simplePos="0" relativeHeight="251664384" behindDoc="0" locked="0" layoutInCell="1" hidden="0" allowOverlap="1">
                <wp:simplePos x="0" y="0"/>
                <wp:positionH relativeFrom="column">
                  <wp:posOffset>4965700</wp:posOffset>
                </wp:positionH>
                <wp:positionV relativeFrom="paragraph">
                  <wp:posOffset>190500</wp:posOffset>
                </wp:positionV>
                <wp:extent cx="232963" cy="3106697"/>
                <wp:effectExtent l="0" t="0" r="0" b="0"/>
                <wp:wrapNone/>
                <wp:docPr id="1767637537" name="Cerrar llave 1767637537"/>
                <wp:cNvGraphicFramePr/>
                <a:graphic xmlns:a="http://schemas.openxmlformats.org/drawingml/2006/main">
                  <a:graphicData uri="http://schemas.microsoft.com/office/word/2010/wordprocessingShape">
                    <wps:wsp>
                      <wps:cNvSpPr/>
                      <wps:spPr>
                        <a:xfrm>
                          <a:off x="5242219" y="2239352"/>
                          <a:ext cx="207563" cy="3081297"/>
                        </a:xfrm>
                        <a:prstGeom prst="rightBrace">
                          <a:avLst>
                            <a:gd name="adj1" fmla="val 8333"/>
                            <a:gd name="adj2" fmla="val 50000"/>
                          </a:avLst>
                        </a:prstGeom>
                        <a:noFill/>
                        <a:ln w="25400" cap="flat" cmpd="sng">
                          <a:solidFill>
                            <a:srgbClr val="C00000"/>
                          </a:solidFill>
                          <a:prstDash val="solid"/>
                          <a:round/>
                          <a:headEnd type="none" w="sm" len="sm"/>
                          <a:tailEnd type="none" w="sm" len="sm"/>
                        </a:ln>
                      </wps:spPr>
                      <wps:txbx>
                        <w:txbxContent>
                          <w:p w:rsidR="00000E7B" w:rsidRDefault="00000E7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4965700</wp:posOffset>
                </wp:positionH>
                <wp:positionV relativeFrom="paragraph">
                  <wp:posOffset>190500</wp:posOffset>
                </wp:positionV>
                <wp:extent cx="232963" cy="3106697"/>
                <wp:effectExtent b="0" l="0" r="0" t="0"/>
                <wp:wrapNone/>
                <wp:docPr id="1767637537" name="image15.png"/>
                <a:graphic>
                  <a:graphicData uri="http://schemas.openxmlformats.org/drawingml/2006/picture">
                    <pic:pic>
                      <pic:nvPicPr>
                        <pic:cNvPr id="0" name="image15.png"/>
                        <pic:cNvPicPr preferRelativeResize="0"/>
                      </pic:nvPicPr>
                      <pic:blipFill>
                        <a:blip r:embed="rId28"/>
                        <a:srcRect/>
                        <a:stretch>
                          <a:fillRect/>
                        </a:stretch>
                      </pic:blipFill>
                      <pic:spPr>
                        <a:xfrm>
                          <a:off x="0" y="0"/>
                          <a:ext cx="232963" cy="3106697"/>
                        </a:xfrm>
                        <a:prstGeom prst="rect"/>
                        <a:ln/>
                      </pic:spPr>
                    </pic:pic>
                  </a:graphicData>
                </a:graphic>
              </wp:anchor>
            </w:drawing>
          </mc:Fallback>
        </mc:AlternateConten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En las relatadas circunstancias, se advierte que si bien el </w:t>
      </w:r>
      <w:r w:rsidRPr="001A0549">
        <w:rPr>
          <w:rFonts w:ascii="Palatino Linotype" w:eastAsia="Palatino Linotype" w:hAnsi="Palatino Linotype" w:cs="Palatino Linotype"/>
          <w:b/>
        </w:rPr>
        <w:t xml:space="preserve">Sujeto Obligado </w:t>
      </w:r>
      <w:r w:rsidRPr="001A0549">
        <w:rPr>
          <w:rFonts w:ascii="Palatino Linotype" w:eastAsia="Palatino Linotype" w:hAnsi="Palatino Linotype" w:cs="Palatino Linotype"/>
        </w:rPr>
        <w:t xml:space="preserve">no detalló de manera específica todos y cada uno de los pasos para consultar la información, como pretendió hacerlo valer la parte </w:t>
      </w:r>
      <w:r w:rsidRPr="001A0549">
        <w:rPr>
          <w:rFonts w:ascii="Palatino Linotype" w:eastAsia="Palatino Linotype" w:hAnsi="Palatino Linotype" w:cs="Palatino Linotype"/>
          <w:b/>
        </w:rPr>
        <w:t>Recurrente</w:t>
      </w:r>
      <w:r w:rsidRPr="001A0549">
        <w:rPr>
          <w:rFonts w:ascii="Palatino Linotype" w:eastAsia="Palatino Linotype" w:hAnsi="Palatino Linotype" w:cs="Palatino Linotype"/>
        </w:rPr>
        <w:t xml:space="preserve"> en su recurso de revisión, esto no fue impedimento para que pudiera realizar la consulta, tan es así que en sus motivos de inconformidad no señaló dicha circunstancia, sino por el contrario, indicó que la información “</w:t>
      </w:r>
      <w:r w:rsidRPr="001A0549">
        <w:rPr>
          <w:rFonts w:ascii="Palatino Linotype" w:eastAsia="Palatino Linotype" w:hAnsi="Palatino Linotype" w:cs="Palatino Linotype"/>
          <w:i/>
        </w:rPr>
        <w:t>está incompleta en la página web del sujeto obligado</w:t>
      </w:r>
      <w:r w:rsidRPr="001A0549">
        <w:rPr>
          <w:rFonts w:ascii="Palatino Linotype" w:eastAsia="Palatino Linotype" w:hAnsi="Palatino Linotype" w:cs="Palatino Linotype"/>
        </w:rPr>
        <w:t>” (sic), manifestación que permite a este Organismo Garante advertir que sí pudo consultar la información, pero que a su parecer, la misma no estaba completa.</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En atención a lo anterior, se procedió a realizar la consulta de la información publicada en el portal del </w:t>
      </w:r>
      <w:r w:rsidRPr="001A0549">
        <w:rPr>
          <w:rFonts w:ascii="Palatino Linotype" w:eastAsia="Palatino Linotype" w:hAnsi="Palatino Linotype" w:cs="Palatino Linotype"/>
          <w:b/>
        </w:rPr>
        <w:t>Sujeto Obligado</w:t>
      </w:r>
      <w:r w:rsidRPr="001A0549">
        <w:rPr>
          <w:rFonts w:ascii="Palatino Linotype" w:eastAsia="Palatino Linotype" w:hAnsi="Palatino Linotype" w:cs="Palatino Linotype"/>
        </w:rPr>
        <w:t xml:space="preserve">, donde se advirtió que se encuentra publicado el Plan Anual de Evaluación, PAE; los Términos de referencia de las evaluaciones; el Informe final de las evaluaciones realizadas a los programas </w:t>
      </w:r>
      <w:r w:rsidRPr="001A0549">
        <w:rPr>
          <w:rFonts w:ascii="Palatino Linotype" w:eastAsia="Palatino Linotype" w:hAnsi="Palatino Linotype" w:cs="Palatino Linotype"/>
        </w:rPr>
        <w:lastRenderedPageBreak/>
        <w:t xml:space="preserve">presupuestarios, y, el Convenio para la Mejora del Desempeño y Resultados Gubernamentales, de los ejercicios 2018 a 2022, como se advierte en la página anterior, asimismo, es importante mencionar que los documentos publicados en dicho portal pueden ser descargados en formato </w:t>
      </w:r>
      <w:proofErr w:type="spellStart"/>
      <w:r w:rsidRPr="001A0549">
        <w:rPr>
          <w:rFonts w:ascii="Palatino Linotype" w:eastAsia="Palatino Linotype" w:hAnsi="Palatino Linotype" w:cs="Palatino Linotype"/>
        </w:rPr>
        <w:t>pdf</w:t>
      </w:r>
      <w:proofErr w:type="spellEnd"/>
      <w:r w:rsidRPr="001A0549">
        <w:rPr>
          <w:rFonts w:ascii="Palatino Linotype" w:eastAsia="Palatino Linotype" w:hAnsi="Palatino Linotype" w:cs="Palatino Linotype"/>
        </w:rPr>
        <w:t xml:space="preserve"> por cualquier persona.</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Sin embargo, de la revisión efectuada a cada uno de los documentos publicados, se advirtió que el hipervínculo al Programa Anual de Evaluación del ejercicio 2019, no dirige al documento respectivo, como se muestra a continuación: </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noProof/>
        </w:rPr>
        <w:drawing>
          <wp:inline distT="0" distB="0" distL="0" distR="0">
            <wp:extent cx="5610225" cy="1943100"/>
            <wp:effectExtent l="0" t="0" r="0" b="0"/>
            <wp:docPr id="17676375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610225" cy="1943100"/>
                    </a:xfrm>
                    <a:prstGeom prst="rect">
                      <a:avLst/>
                    </a:prstGeom>
                    <a:ln/>
                  </pic:spPr>
                </pic:pic>
              </a:graphicData>
            </a:graphic>
          </wp:inline>
        </w:drawing>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Razón por la cual se estima que los motivos de inconformidad aducidos por la parte recurrente devienen fundados.</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Ahora bien, con la finalidad de satisfacer la pretensión de la persona solicitante, y en atención a los motivos de inconformidad señalados en el recurso de revisión, el </w:t>
      </w:r>
      <w:r w:rsidRPr="001A0549">
        <w:rPr>
          <w:rFonts w:ascii="Palatino Linotype" w:eastAsia="Palatino Linotype" w:hAnsi="Palatino Linotype" w:cs="Palatino Linotype"/>
          <w:b/>
        </w:rPr>
        <w:t xml:space="preserve">Sujeto Obligado </w:t>
      </w:r>
      <w:r w:rsidRPr="001A0549">
        <w:rPr>
          <w:rFonts w:ascii="Palatino Linotype" w:eastAsia="Palatino Linotype" w:hAnsi="Palatino Linotype" w:cs="Palatino Linotype"/>
        </w:rPr>
        <w:t xml:space="preserve">remitió en informe justificado el Plan Anual de Evaluación, PAE; los Términos de referencia de las evaluaciones; el Informe final de las evaluaciones realizadas a los programas presupuestarios, y, el Convenio para la Mejora del Desempeño y Resultados Gubernamentales, de los ejercicios 2018 a 2021, y el Plan </w:t>
      </w:r>
      <w:r w:rsidRPr="001A0549">
        <w:rPr>
          <w:rFonts w:ascii="Palatino Linotype" w:eastAsia="Palatino Linotype" w:hAnsi="Palatino Linotype" w:cs="Palatino Linotype"/>
        </w:rPr>
        <w:lastRenderedPageBreak/>
        <w:t>Anual de Evaluación, PAE; y los Términos de referencia de las evaluaciones del ejercicio 2022, como ha quedado señalado en líneas anteriores.</w:t>
      </w:r>
    </w:p>
    <w:p w:rsidR="00000E7B" w:rsidRPr="001A0549" w:rsidRDefault="00CB2110">
      <w:pPr>
        <w:spacing w:before="240" w:after="240" w:line="360" w:lineRule="auto"/>
        <w:jc w:val="both"/>
        <w:rPr>
          <w:rFonts w:ascii="Palatino Linotype" w:eastAsia="Palatino Linotype" w:hAnsi="Palatino Linotype" w:cs="Palatino Linotype"/>
        </w:rPr>
      </w:pPr>
      <w:bookmarkStart w:id="7" w:name="_heading=h.17dp8vu" w:colFirst="0" w:colLast="0"/>
      <w:bookmarkEnd w:id="7"/>
      <w:r w:rsidRPr="001A0549">
        <w:rPr>
          <w:rFonts w:ascii="Palatino Linotype" w:eastAsia="Palatino Linotype" w:hAnsi="Palatino Linotype" w:cs="Palatino Linotype"/>
        </w:rPr>
        <w:t>Cabe señalar que entre los documentos se encuentra evidentemente el Programa Anual de Evaluación, 2019, como se muestra a continuación:</w:t>
      </w:r>
    </w:p>
    <w:p w:rsidR="00000E7B" w:rsidRPr="001A0549" w:rsidRDefault="00CB2110">
      <w:pPr>
        <w:spacing w:before="240" w:after="240" w:line="360" w:lineRule="auto"/>
        <w:jc w:val="center"/>
        <w:rPr>
          <w:rFonts w:ascii="Palatino Linotype" w:eastAsia="Palatino Linotype" w:hAnsi="Palatino Linotype" w:cs="Palatino Linotype"/>
        </w:rPr>
      </w:pPr>
      <w:r w:rsidRPr="001A0549">
        <w:rPr>
          <w:rFonts w:ascii="Palatino Linotype" w:eastAsia="Palatino Linotype" w:hAnsi="Palatino Linotype" w:cs="Palatino Linotype"/>
          <w:noProof/>
        </w:rPr>
        <w:drawing>
          <wp:inline distT="0" distB="0" distL="0" distR="0">
            <wp:extent cx="4500000" cy="2062815"/>
            <wp:effectExtent l="0" t="0" r="0" b="0"/>
            <wp:docPr id="17676375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4500000" cy="2062815"/>
                    </a:xfrm>
                    <a:prstGeom prst="rect">
                      <a:avLst/>
                    </a:prstGeom>
                    <a:ln/>
                  </pic:spPr>
                </pic:pic>
              </a:graphicData>
            </a:graphic>
          </wp:inline>
        </w:drawing>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Por cuanto hace al ejercicio 2022, es de suma importancia recordar que en respuesta el S</w:t>
      </w:r>
      <w:r w:rsidRPr="001A0549">
        <w:rPr>
          <w:rFonts w:ascii="Palatino Linotype" w:eastAsia="Palatino Linotype" w:hAnsi="Palatino Linotype" w:cs="Palatino Linotype"/>
          <w:b/>
        </w:rPr>
        <w:t xml:space="preserve">ujeto Obligado </w:t>
      </w:r>
      <w:r w:rsidRPr="001A0549">
        <w:rPr>
          <w:rFonts w:ascii="Palatino Linotype" w:eastAsia="Palatino Linotype" w:hAnsi="Palatino Linotype" w:cs="Palatino Linotype"/>
        </w:rPr>
        <w:t xml:space="preserve">manifestó que el </w:t>
      </w:r>
      <w:r w:rsidRPr="001A0549">
        <w:rPr>
          <w:rFonts w:ascii="Palatino Linotype" w:eastAsia="Palatino Linotype" w:hAnsi="Palatino Linotype" w:cs="Palatino Linotype"/>
          <w:b/>
        </w:rPr>
        <w:t>Informe de Evaluación de Resultados</w:t>
      </w:r>
      <w:r w:rsidRPr="001A0549">
        <w:rPr>
          <w:rFonts w:ascii="Palatino Linotype" w:eastAsia="Palatino Linotype" w:hAnsi="Palatino Linotype" w:cs="Palatino Linotype"/>
        </w:rPr>
        <w:t xml:space="preserve"> y el </w:t>
      </w:r>
      <w:r w:rsidRPr="001A0549">
        <w:rPr>
          <w:rFonts w:ascii="Palatino Linotype" w:eastAsia="Palatino Linotype" w:hAnsi="Palatino Linotype" w:cs="Palatino Linotype"/>
          <w:b/>
        </w:rPr>
        <w:t>Convenio de Mejora</w:t>
      </w:r>
      <w:r w:rsidRPr="001A0549">
        <w:rPr>
          <w:rFonts w:ascii="Palatino Linotype" w:eastAsia="Palatino Linotype" w:hAnsi="Palatino Linotype" w:cs="Palatino Linotype"/>
        </w:rPr>
        <w:t>, aún no se encontraban disponibles, de acuerdo con lo establecido en los Lineamientos Generales para la Evaluación de Programas Presupuestarios Municipales, numeral Vigésimo Cuarto y tercero transitorio numeral 3, que establecen los tiempos para su elaboración, a saber;</w:t>
      </w:r>
    </w:p>
    <w:p w:rsidR="00000E7B" w:rsidRPr="001A0549" w:rsidRDefault="00CB2110">
      <w:pPr>
        <w:spacing w:before="120" w:after="120"/>
        <w:ind w:left="851" w:right="902"/>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rPr>
        <w:t>“</w:t>
      </w:r>
      <w:r w:rsidRPr="001A0549">
        <w:rPr>
          <w:b/>
        </w:rPr>
        <w:t>VI</w:t>
      </w:r>
      <w:r w:rsidRPr="001A0549">
        <w:rPr>
          <w:rFonts w:ascii="Palatino Linotype" w:eastAsia="Palatino Linotype" w:hAnsi="Palatino Linotype" w:cs="Palatino Linotype"/>
          <w:b/>
          <w:i/>
          <w:sz w:val="22"/>
          <w:szCs w:val="22"/>
        </w:rPr>
        <w:t>GÉSIMA CUARTA</w:t>
      </w:r>
      <w:r w:rsidRPr="001A0549">
        <w:rPr>
          <w:rFonts w:ascii="Palatino Linotype" w:eastAsia="Palatino Linotype" w:hAnsi="Palatino Linotype" w:cs="Palatino Linotype"/>
          <w:i/>
          <w:sz w:val="22"/>
          <w:szCs w:val="22"/>
        </w:rPr>
        <w:t>.- Los sujetos evaluados, en coordinación con la UIPPE, deberán dar a conocer de forma permanente a través de la página de Internet del Municipio, en un lugar visible y de fácil acceso, los documentos y resultados de todas las evaluaciones aplicadas a los programas presupuestarios que ejecutan. Deberán difundir en sus respectivas páginas de Internet la información siguiente:</w:t>
      </w:r>
    </w:p>
    <w:p w:rsidR="00000E7B" w:rsidRPr="001A0549" w:rsidRDefault="00CB2110">
      <w:pPr>
        <w:spacing w:before="120" w:after="120"/>
        <w:ind w:left="1134" w:right="902"/>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i/>
          <w:sz w:val="22"/>
          <w:szCs w:val="22"/>
        </w:rPr>
        <w:t xml:space="preserve">a) Sus Matrices de Indicadores para Resultados aprobadas mediante la Comisión Temática en Materia de Planeación, Programación, </w:t>
      </w:r>
      <w:proofErr w:type="spellStart"/>
      <w:r w:rsidRPr="001A0549">
        <w:rPr>
          <w:rFonts w:ascii="Palatino Linotype" w:eastAsia="Palatino Linotype" w:hAnsi="Palatino Linotype" w:cs="Palatino Linotype"/>
          <w:i/>
          <w:sz w:val="22"/>
          <w:szCs w:val="22"/>
        </w:rPr>
        <w:lastRenderedPageBreak/>
        <w:t>Presupuestación</w:t>
      </w:r>
      <w:proofErr w:type="spellEnd"/>
      <w:r w:rsidRPr="001A0549">
        <w:rPr>
          <w:rFonts w:ascii="Palatino Linotype" w:eastAsia="Palatino Linotype" w:hAnsi="Palatino Linotype" w:cs="Palatino Linotype"/>
          <w:i/>
          <w:sz w:val="22"/>
          <w:szCs w:val="22"/>
        </w:rPr>
        <w:t xml:space="preserve">, Contabilidad Gubernamental, Transparencia y Evaluación Municipal coordinada por el IHAEM, en el marco del Sistema de Coordinación Hacendaría del Estado de México y Municipios; </w:t>
      </w:r>
    </w:p>
    <w:p w:rsidR="00000E7B" w:rsidRPr="001A0549" w:rsidRDefault="00CB2110">
      <w:pPr>
        <w:spacing w:before="120" w:after="120"/>
        <w:ind w:left="1134" w:right="902"/>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i/>
          <w:sz w:val="22"/>
          <w:szCs w:val="22"/>
        </w:rPr>
        <w:t xml:space="preserve">b) El texto completo, el resumen ejecutivo y los anexos correspondientes de las evaluaciones realizadas a los programas presupuestarios que ejecutan, resaltando la evaluación más reciente; c) En un apartado especial, los principales resultados de dichas evaluaciones; </w:t>
      </w:r>
    </w:p>
    <w:p w:rsidR="00000E7B" w:rsidRPr="001A0549" w:rsidRDefault="00CB2110">
      <w:pPr>
        <w:spacing w:before="120" w:after="120"/>
        <w:ind w:left="1134" w:right="902"/>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i/>
          <w:sz w:val="22"/>
          <w:szCs w:val="22"/>
        </w:rPr>
        <w:t xml:space="preserve">d) En su caso, las reglas de operación vigentes de los programas presupuestarios, y </w:t>
      </w:r>
    </w:p>
    <w:p w:rsidR="00000E7B" w:rsidRPr="001A0549" w:rsidRDefault="00CB2110">
      <w:pPr>
        <w:spacing w:before="120" w:after="120"/>
        <w:ind w:left="1134" w:right="902"/>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i/>
          <w:sz w:val="22"/>
          <w:szCs w:val="22"/>
        </w:rPr>
        <w:t xml:space="preserve">e) El Convenio para la mejora del Desempeño y Resultados Gubernamentales. </w:t>
      </w:r>
    </w:p>
    <w:p w:rsidR="00000E7B" w:rsidRPr="001A0549" w:rsidRDefault="00CB2110">
      <w:pPr>
        <w:spacing w:before="120" w:after="120"/>
        <w:ind w:left="851" w:right="902"/>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i/>
          <w:sz w:val="22"/>
          <w:szCs w:val="22"/>
        </w:rPr>
        <w:t>Para el caso de las evaluaciones realizadas a los fondos del Ramo General 33, sus resultados serán reportados a través del Portal Aplicativo de la Secretaría de Hacienda y Crédito Público (PASH), del Sistema Formato Único (SFU); y deberán ser publicados en el sitio web del municipio, atendiendo la “Norma para establecer el formato para la difusión de los resultados de las evaluaciones de los recursos federales ministrados a las entidades federativas” emitida por el Consejo Nacional de Armonización Contable.</w:t>
      </w:r>
    </w:p>
    <w:p w:rsidR="00000E7B" w:rsidRPr="001A0549" w:rsidRDefault="00CB2110">
      <w:pPr>
        <w:spacing w:before="120" w:after="120"/>
        <w:ind w:left="851" w:right="902"/>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i/>
          <w:sz w:val="22"/>
          <w:szCs w:val="22"/>
        </w:rPr>
        <w:t>“</w:t>
      </w:r>
      <w:r w:rsidRPr="001A0549">
        <w:rPr>
          <w:rFonts w:ascii="Palatino Linotype" w:eastAsia="Palatino Linotype" w:hAnsi="Palatino Linotype" w:cs="Palatino Linotype"/>
          <w:b/>
          <w:i/>
          <w:sz w:val="22"/>
          <w:szCs w:val="22"/>
        </w:rPr>
        <w:t>TERCERO</w:t>
      </w:r>
      <w:r w:rsidRPr="001A0549">
        <w:rPr>
          <w:rFonts w:ascii="Palatino Linotype" w:eastAsia="Palatino Linotype" w:hAnsi="Palatino Linotype" w:cs="Palatino Linotype"/>
          <w:i/>
          <w:sz w:val="22"/>
          <w:szCs w:val="22"/>
        </w:rPr>
        <w:t>.- En el ejercicio 2022, y para efectos de los numerales que a continuación se enuncian, los sujetos evaluados se sujetarán a lo siguiente:</w:t>
      </w:r>
    </w:p>
    <w:p w:rsidR="00000E7B" w:rsidRPr="001A0549" w:rsidRDefault="00CB2110">
      <w:pPr>
        <w:spacing w:before="120" w:after="120"/>
        <w:ind w:left="851" w:right="902"/>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i/>
          <w:sz w:val="22"/>
          <w:szCs w:val="22"/>
        </w:rPr>
        <w:t>...</w:t>
      </w:r>
    </w:p>
    <w:p w:rsidR="00000E7B" w:rsidRPr="001A0549" w:rsidRDefault="00CB2110">
      <w:pPr>
        <w:spacing w:before="120" w:after="120"/>
        <w:ind w:left="1134" w:right="902"/>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b/>
          <w:i/>
          <w:sz w:val="22"/>
          <w:szCs w:val="22"/>
        </w:rPr>
        <w:t>3)</w:t>
      </w:r>
      <w:r w:rsidRPr="001A0549">
        <w:rPr>
          <w:rFonts w:ascii="Palatino Linotype" w:eastAsia="Palatino Linotype" w:hAnsi="Palatino Linotype" w:cs="Palatino Linotype"/>
          <w:i/>
          <w:sz w:val="22"/>
          <w:szCs w:val="22"/>
        </w:rPr>
        <w:t xml:space="preserve"> </w:t>
      </w:r>
      <w:r w:rsidRPr="001A0549">
        <w:rPr>
          <w:rFonts w:ascii="Palatino Linotype" w:eastAsia="Palatino Linotype" w:hAnsi="Palatino Linotype" w:cs="Palatino Linotype"/>
          <w:b/>
          <w:i/>
          <w:sz w:val="22"/>
          <w:szCs w:val="22"/>
        </w:rPr>
        <w:t>Deberán dar a conocer</w:t>
      </w:r>
      <w:r w:rsidRPr="001A0549">
        <w:rPr>
          <w:rFonts w:ascii="Palatino Linotype" w:eastAsia="Palatino Linotype" w:hAnsi="Palatino Linotype" w:cs="Palatino Linotype"/>
          <w:i/>
          <w:sz w:val="22"/>
          <w:szCs w:val="22"/>
        </w:rPr>
        <w:t xml:space="preserve"> de forma permanente a través de la página de Internet del Municipio, en un lugar visible y de fácil acceso, </w:t>
      </w:r>
      <w:r w:rsidRPr="001A0549">
        <w:rPr>
          <w:rFonts w:ascii="Palatino Linotype" w:eastAsia="Palatino Linotype" w:hAnsi="Palatino Linotype" w:cs="Palatino Linotype"/>
          <w:b/>
          <w:i/>
          <w:sz w:val="22"/>
          <w:szCs w:val="22"/>
        </w:rPr>
        <w:t>los documentos y resultados de todas las evaluaciones</w:t>
      </w:r>
      <w:r w:rsidRPr="001A0549">
        <w:rPr>
          <w:rFonts w:ascii="Palatino Linotype" w:eastAsia="Palatino Linotype" w:hAnsi="Palatino Linotype" w:cs="Palatino Linotype"/>
          <w:i/>
          <w:sz w:val="22"/>
          <w:szCs w:val="22"/>
        </w:rPr>
        <w:t xml:space="preserve"> externas existentes de los Programas presupuestarios a que se refiere la disposición Vigésima Cuarta y Vigésima Quinta, </w:t>
      </w:r>
      <w:r w:rsidRPr="001A0549">
        <w:rPr>
          <w:rFonts w:ascii="Palatino Linotype" w:eastAsia="Palatino Linotype" w:hAnsi="Palatino Linotype" w:cs="Palatino Linotype"/>
          <w:b/>
          <w:i/>
          <w:sz w:val="22"/>
          <w:szCs w:val="22"/>
        </w:rPr>
        <w:t>a más tardar 30 días hábiles después de la conclusión de las evaluaciones</w:t>
      </w:r>
      <w:r w:rsidRPr="001A0549">
        <w:rPr>
          <w:rFonts w:ascii="Palatino Linotype" w:eastAsia="Palatino Linotype" w:hAnsi="Palatino Linotype" w:cs="Palatino Linotype"/>
          <w:i/>
          <w:sz w:val="22"/>
          <w:szCs w:val="22"/>
        </w:rPr>
        <w:t>.”</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En tal contexto, el </w:t>
      </w:r>
      <w:r w:rsidRPr="001A0549">
        <w:rPr>
          <w:rFonts w:ascii="Palatino Linotype" w:eastAsia="Palatino Linotype" w:hAnsi="Palatino Linotype" w:cs="Palatino Linotype"/>
          <w:b/>
        </w:rPr>
        <w:t xml:space="preserve">Sujeto Obligado </w:t>
      </w:r>
      <w:r w:rsidRPr="001A0549">
        <w:rPr>
          <w:rFonts w:ascii="Palatino Linotype" w:eastAsia="Palatino Linotype" w:hAnsi="Palatino Linotype" w:cs="Palatino Linotype"/>
        </w:rPr>
        <w:t xml:space="preserve">se encontraba en tiempo para generar y publicar dicha información, toda vez que de conformidad con el Programa Anual de Evaluación, la evaluación del programa presupuestario 02060805 Igualdad de Trato y Oportunidades para la Mujer y el Hombre, se ejecutó del 01 de mayo al 31 de diciembre de 2022, por lo que, una vez concluida la referida evaluación, se contaba </w:t>
      </w:r>
      <w:r w:rsidRPr="001A0549">
        <w:rPr>
          <w:rFonts w:ascii="Palatino Linotype" w:eastAsia="Palatino Linotype" w:hAnsi="Palatino Linotype" w:cs="Palatino Linotype"/>
        </w:rPr>
        <w:lastRenderedPageBreak/>
        <w:t>con el plazo de 30 días hábiles para publicar los resultados correspondientes, y el convenio para la mejora.</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Sin embargo, es de señalar que a la fecha en la que se resuelve, dicha información ya se encuentra disponible en el portal, como se muestra a continuación:</w:t>
      </w:r>
      <w:r w:rsidRPr="001A0549">
        <w:rPr>
          <w:noProof/>
        </w:rPr>
        <mc:AlternateContent>
          <mc:Choice Requires="wpg">
            <w:drawing>
              <wp:anchor distT="0" distB="0" distL="114300" distR="114300" simplePos="0" relativeHeight="251665408" behindDoc="0" locked="0" layoutInCell="1" hidden="0" allowOverlap="1">
                <wp:simplePos x="0" y="0"/>
                <wp:positionH relativeFrom="column">
                  <wp:posOffset>2565400</wp:posOffset>
                </wp:positionH>
                <wp:positionV relativeFrom="paragraph">
                  <wp:posOffset>622300</wp:posOffset>
                </wp:positionV>
                <wp:extent cx="628650" cy="295275"/>
                <wp:effectExtent l="0" t="0" r="0" b="0"/>
                <wp:wrapNone/>
                <wp:docPr id="1767637539" name="Conector recto de flecha 1767637539"/>
                <wp:cNvGraphicFramePr/>
                <a:graphic xmlns:a="http://schemas.openxmlformats.org/drawingml/2006/main">
                  <a:graphicData uri="http://schemas.microsoft.com/office/word/2010/wordprocessingShape">
                    <wps:wsp>
                      <wps:cNvCnPr/>
                      <wps:spPr>
                        <a:xfrm flipH="1">
                          <a:off x="5050725" y="3651413"/>
                          <a:ext cx="590550" cy="257175"/>
                        </a:xfrm>
                        <a:prstGeom prst="straightConnector1">
                          <a:avLst/>
                        </a:prstGeom>
                        <a:noFill/>
                        <a:ln w="38100" cap="flat" cmpd="sng">
                          <a:solidFill>
                            <a:srgbClr val="C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622300</wp:posOffset>
                </wp:positionV>
                <wp:extent cx="628650" cy="295275"/>
                <wp:effectExtent b="0" l="0" r="0" t="0"/>
                <wp:wrapNone/>
                <wp:docPr id="1767637539" name="image17.png"/>
                <a:graphic>
                  <a:graphicData uri="http://schemas.openxmlformats.org/drawingml/2006/picture">
                    <pic:pic>
                      <pic:nvPicPr>
                        <pic:cNvPr id="0" name="image17.png"/>
                        <pic:cNvPicPr preferRelativeResize="0"/>
                      </pic:nvPicPr>
                      <pic:blipFill>
                        <a:blip r:embed="rId31"/>
                        <a:srcRect/>
                        <a:stretch>
                          <a:fillRect/>
                        </a:stretch>
                      </pic:blipFill>
                      <pic:spPr>
                        <a:xfrm>
                          <a:off x="0" y="0"/>
                          <a:ext cx="628650" cy="295275"/>
                        </a:xfrm>
                        <a:prstGeom prst="rect"/>
                        <a:ln/>
                      </pic:spPr>
                    </pic:pic>
                  </a:graphicData>
                </a:graphic>
              </wp:anchor>
            </w:drawing>
          </mc:Fallback>
        </mc:AlternateContent>
      </w:r>
    </w:p>
    <w:p w:rsidR="00000E7B" w:rsidRPr="001A0549" w:rsidRDefault="00CB2110">
      <w:pPr>
        <w:spacing w:before="240" w:after="240" w:line="360" w:lineRule="auto"/>
        <w:jc w:val="center"/>
        <w:rPr>
          <w:rFonts w:ascii="Palatino Linotype" w:eastAsia="Palatino Linotype" w:hAnsi="Palatino Linotype" w:cs="Palatino Linotype"/>
          <w:sz w:val="28"/>
          <w:szCs w:val="28"/>
        </w:rPr>
      </w:pPr>
      <w:r w:rsidRPr="001A0549">
        <w:rPr>
          <w:rFonts w:ascii="Palatino Linotype" w:eastAsia="Palatino Linotype" w:hAnsi="Palatino Linotype" w:cs="Palatino Linotype"/>
          <w:noProof/>
          <w:sz w:val="28"/>
          <w:szCs w:val="28"/>
        </w:rPr>
        <w:drawing>
          <wp:inline distT="0" distB="0" distL="0" distR="0">
            <wp:extent cx="4140000" cy="3204117"/>
            <wp:effectExtent l="0" t="0" r="0" b="0"/>
            <wp:docPr id="1767637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4140000" cy="3204117"/>
                    </a:xfrm>
                    <a:prstGeom prst="rect">
                      <a:avLst/>
                    </a:prstGeom>
                    <a:ln/>
                  </pic:spPr>
                </pic:pic>
              </a:graphicData>
            </a:graphic>
          </wp:inline>
        </w:drawing>
      </w:r>
      <w:r w:rsidRPr="001A0549">
        <w:rPr>
          <w:noProof/>
        </w:rPr>
        <mc:AlternateContent>
          <mc:Choice Requires="wpg">
            <w:drawing>
              <wp:anchor distT="0" distB="0" distL="114300" distR="114300" simplePos="0" relativeHeight="251666432" behindDoc="0" locked="0" layoutInCell="1" hidden="0" allowOverlap="1">
                <wp:simplePos x="0" y="0"/>
                <wp:positionH relativeFrom="column">
                  <wp:posOffset>673100</wp:posOffset>
                </wp:positionH>
                <wp:positionV relativeFrom="paragraph">
                  <wp:posOffset>2146300</wp:posOffset>
                </wp:positionV>
                <wp:extent cx="234950" cy="1044575"/>
                <wp:effectExtent l="0" t="0" r="0" b="0"/>
                <wp:wrapNone/>
                <wp:docPr id="1767637543" name="Cerrar llave 1767637543"/>
                <wp:cNvGraphicFramePr/>
                <a:graphic xmlns:a="http://schemas.openxmlformats.org/drawingml/2006/main">
                  <a:graphicData uri="http://schemas.microsoft.com/office/word/2010/wordprocessingShape">
                    <wps:wsp>
                      <wps:cNvSpPr/>
                      <wps:spPr>
                        <a:xfrm rot="10800000">
                          <a:off x="5241225" y="3270413"/>
                          <a:ext cx="209550" cy="1019175"/>
                        </a:xfrm>
                        <a:prstGeom prst="rightBrace">
                          <a:avLst>
                            <a:gd name="adj1" fmla="val 8333"/>
                            <a:gd name="adj2" fmla="val 50000"/>
                          </a:avLst>
                        </a:prstGeom>
                        <a:noFill/>
                        <a:ln w="25400" cap="flat" cmpd="sng">
                          <a:solidFill>
                            <a:srgbClr val="C00000"/>
                          </a:solidFill>
                          <a:prstDash val="solid"/>
                          <a:round/>
                          <a:headEnd type="none" w="sm" len="sm"/>
                          <a:tailEnd type="none" w="sm" len="sm"/>
                        </a:ln>
                      </wps:spPr>
                      <wps:txbx>
                        <w:txbxContent>
                          <w:p w:rsidR="00000E7B" w:rsidRDefault="00000E7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2146300</wp:posOffset>
                </wp:positionV>
                <wp:extent cx="234950" cy="1044575"/>
                <wp:effectExtent b="0" l="0" r="0" t="0"/>
                <wp:wrapNone/>
                <wp:docPr id="1767637543" name="image21.png"/>
                <a:graphic>
                  <a:graphicData uri="http://schemas.openxmlformats.org/drawingml/2006/picture">
                    <pic:pic>
                      <pic:nvPicPr>
                        <pic:cNvPr id="0" name="image21.png"/>
                        <pic:cNvPicPr preferRelativeResize="0"/>
                      </pic:nvPicPr>
                      <pic:blipFill>
                        <a:blip r:embed="rId33"/>
                        <a:srcRect/>
                        <a:stretch>
                          <a:fillRect/>
                        </a:stretch>
                      </pic:blipFill>
                      <pic:spPr>
                        <a:xfrm>
                          <a:off x="0" y="0"/>
                          <a:ext cx="234950" cy="1044575"/>
                        </a:xfrm>
                        <a:prstGeom prst="rect"/>
                        <a:ln/>
                      </pic:spPr>
                    </pic:pic>
                  </a:graphicData>
                </a:graphic>
              </wp:anchor>
            </w:drawing>
          </mc:Fallback>
        </mc:AlternateContent>
      </w:r>
    </w:p>
    <w:tbl>
      <w:tblPr>
        <w:tblStyle w:val="a9"/>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1A0549" w:rsidRPr="001A0549">
        <w:tc>
          <w:tcPr>
            <w:tcW w:w="4414" w:type="dxa"/>
          </w:tcPr>
          <w:p w:rsidR="00000E7B" w:rsidRPr="001A0549" w:rsidRDefault="00CB2110">
            <w:pPr>
              <w:spacing w:before="240" w:after="240" w:line="360" w:lineRule="auto"/>
              <w:jc w:val="center"/>
              <w:rPr>
                <w:rFonts w:ascii="Palatino Linotype" w:eastAsia="Palatino Linotype" w:hAnsi="Palatino Linotype" w:cs="Palatino Linotype"/>
                <w:sz w:val="28"/>
                <w:szCs w:val="28"/>
              </w:rPr>
            </w:pPr>
            <w:r w:rsidRPr="001A0549">
              <w:rPr>
                <w:rFonts w:ascii="Palatino Linotype" w:eastAsia="Palatino Linotype" w:hAnsi="Palatino Linotype" w:cs="Palatino Linotype"/>
                <w:noProof/>
              </w:rPr>
              <w:drawing>
                <wp:inline distT="0" distB="0" distL="0" distR="0">
                  <wp:extent cx="2520000" cy="1843257"/>
                  <wp:effectExtent l="0" t="0" r="0" b="0"/>
                  <wp:docPr id="17676375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2520000" cy="1843257"/>
                          </a:xfrm>
                          <a:prstGeom prst="rect">
                            <a:avLst/>
                          </a:prstGeom>
                          <a:ln/>
                        </pic:spPr>
                      </pic:pic>
                    </a:graphicData>
                  </a:graphic>
                </wp:inline>
              </w:drawing>
            </w:r>
          </w:p>
        </w:tc>
        <w:tc>
          <w:tcPr>
            <w:tcW w:w="4414" w:type="dxa"/>
          </w:tcPr>
          <w:p w:rsidR="00000E7B" w:rsidRPr="001A0549" w:rsidRDefault="00CB2110">
            <w:pPr>
              <w:spacing w:before="240" w:after="240" w:line="360" w:lineRule="auto"/>
              <w:jc w:val="center"/>
            </w:pPr>
            <w:r w:rsidRPr="001A0549">
              <w:object w:dxaOrig="3960" w:dyaOrig="1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1pt;height:71.15pt" o:ole="">
                  <v:imagedata r:id="rId35" o:title=""/>
                </v:shape>
                <o:OLEObject Type="Embed" ProgID="PBrush" ShapeID="_x0000_i1025" DrawAspect="Content" ObjectID="_1744623516" r:id="rId36"/>
              </w:object>
            </w:r>
          </w:p>
          <w:p w:rsidR="00000E7B" w:rsidRPr="001A0549" w:rsidRDefault="00CB2110">
            <w:pPr>
              <w:spacing w:before="240" w:after="240" w:line="360" w:lineRule="auto"/>
              <w:jc w:val="center"/>
              <w:rPr>
                <w:rFonts w:ascii="Palatino Linotype" w:eastAsia="Palatino Linotype" w:hAnsi="Palatino Linotype" w:cs="Palatino Linotype"/>
                <w:sz w:val="28"/>
                <w:szCs w:val="28"/>
              </w:rPr>
            </w:pPr>
            <w:r w:rsidRPr="001A0549">
              <w:object w:dxaOrig="3960" w:dyaOrig="330">
                <v:shape id="_x0000_i1026" type="#_x0000_t75" style="width:198.1pt;height:16.6pt" o:ole="">
                  <v:imagedata r:id="rId37" o:title=""/>
                </v:shape>
                <o:OLEObject Type="Embed" ProgID="PBrush" ShapeID="_x0000_i1026" DrawAspect="Content" ObjectID="_1744623517" r:id="rId38"/>
              </w:object>
            </w:r>
          </w:p>
        </w:tc>
      </w:tr>
    </w:tbl>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lastRenderedPageBreak/>
        <w:t xml:space="preserve">En esta tesitura, se estima que la información remitida por el </w:t>
      </w:r>
      <w:r w:rsidRPr="001A0549">
        <w:rPr>
          <w:rFonts w:ascii="Palatino Linotype" w:eastAsia="Palatino Linotype" w:hAnsi="Palatino Linotype" w:cs="Palatino Linotype"/>
          <w:b/>
        </w:rPr>
        <w:t xml:space="preserve">Sujeto Obligado </w:t>
      </w:r>
      <w:r w:rsidRPr="001A0549">
        <w:rPr>
          <w:rFonts w:ascii="Palatino Linotype" w:eastAsia="Palatino Linotype" w:hAnsi="Palatino Linotype" w:cs="Palatino Linotype"/>
        </w:rPr>
        <w:t>en la etapa de manifestaciones</w:t>
      </w:r>
      <w:r w:rsidRPr="001A0549">
        <w:rPr>
          <w:rFonts w:ascii="Palatino Linotype" w:eastAsia="Palatino Linotype" w:hAnsi="Palatino Linotype" w:cs="Palatino Linotype"/>
          <w:b/>
        </w:rPr>
        <w:t xml:space="preserve"> </w:t>
      </w:r>
      <w:r w:rsidRPr="001A0549">
        <w:rPr>
          <w:rFonts w:ascii="Palatino Linotype" w:eastAsia="Palatino Linotype" w:hAnsi="Palatino Linotype" w:cs="Palatino Linotype"/>
        </w:rPr>
        <w:t>es suficiente para tener por atendido el derecho de acceso a la información de la persona solicitante, máxime que misma se hizo de su conocimiento con la finalidad de que manifestara lo que a su derecho estimara conveniente, sin que ejerciera dicha prerrogativa hasta el momento de decretar el cierre de instrucción correspondiente, por lo que se entiende que con la información remitida ha quedado satisfecha.</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Con base en lo expuesto, se estima que el presente caso actualiza el supuesto previsto en el artículo 192, fracción III de la Ley de Transparencia y Acceso a la Información Pública del Estado de México y Municipios vigente, a saber:</w:t>
      </w:r>
    </w:p>
    <w:p w:rsidR="00000E7B" w:rsidRPr="001A0549" w:rsidRDefault="00CB2110">
      <w:pPr>
        <w:spacing w:before="240" w:after="240"/>
        <w:ind w:left="851" w:right="900"/>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i/>
          <w:sz w:val="22"/>
          <w:szCs w:val="22"/>
        </w:rPr>
        <w:t>“</w:t>
      </w:r>
      <w:r w:rsidRPr="001A0549">
        <w:rPr>
          <w:rFonts w:ascii="Palatino Linotype" w:eastAsia="Palatino Linotype" w:hAnsi="Palatino Linotype" w:cs="Palatino Linotype"/>
          <w:b/>
          <w:i/>
          <w:sz w:val="22"/>
          <w:szCs w:val="22"/>
        </w:rPr>
        <w:t>Artículo 192</w:t>
      </w:r>
      <w:r w:rsidRPr="001A0549">
        <w:rPr>
          <w:rFonts w:ascii="Palatino Linotype" w:eastAsia="Palatino Linotype" w:hAnsi="Palatino Linotype" w:cs="Palatino Linotype"/>
          <w:i/>
          <w:sz w:val="22"/>
          <w:szCs w:val="22"/>
        </w:rPr>
        <w:t xml:space="preserve">. </w:t>
      </w:r>
      <w:r w:rsidRPr="001A0549">
        <w:rPr>
          <w:rFonts w:ascii="Palatino Linotype" w:eastAsia="Palatino Linotype" w:hAnsi="Palatino Linotype" w:cs="Palatino Linotype"/>
          <w:b/>
          <w:i/>
          <w:sz w:val="22"/>
          <w:szCs w:val="22"/>
        </w:rPr>
        <w:t>El recurso será sobreseído</w:t>
      </w:r>
      <w:r w:rsidRPr="001A0549">
        <w:rPr>
          <w:rFonts w:ascii="Palatino Linotype" w:eastAsia="Palatino Linotype" w:hAnsi="Palatino Linotype" w:cs="Palatino Linotype"/>
          <w:i/>
          <w:sz w:val="22"/>
          <w:szCs w:val="22"/>
        </w:rPr>
        <w:t xml:space="preserve">, </w:t>
      </w:r>
      <w:r w:rsidRPr="001A0549">
        <w:rPr>
          <w:rFonts w:ascii="Palatino Linotype" w:eastAsia="Palatino Linotype" w:hAnsi="Palatino Linotype" w:cs="Palatino Linotype"/>
          <w:b/>
          <w:i/>
          <w:sz w:val="22"/>
          <w:szCs w:val="22"/>
        </w:rPr>
        <w:t>en todo o en parte,</w:t>
      </w:r>
      <w:r w:rsidRPr="001A0549">
        <w:rPr>
          <w:rFonts w:ascii="Palatino Linotype" w:eastAsia="Palatino Linotype" w:hAnsi="Palatino Linotype" w:cs="Palatino Linotype"/>
          <w:i/>
          <w:sz w:val="22"/>
          <w:szCs w:val="22"/>
        </w:rPr>
        <w:t xml:space="preserve"> </w:t>
      </w:r>
      <w:r w:rsidRPr="001A0549">
        <w:rPr>
          <w:rFonts w:ascii="Palatino Linotype" w:eastAsia="Palatino Linotype" w:hAnsi="Palatino Linotype" w:cs="Palatino Linotype"/>
          <w:b/>
          <w:i/>
          <w:sz w:val="22"/>
          <w:szCs w:val="22"/>
        </w:rPr>
        <w:t>cuando una vez admitido, se actualicen alguno de los siguientes supuestos</w:t>
      </w:r>
      <w:r w:rsidRPr="001A0549">
        <w:rPr>
          <w:rFonts w:ascii="Palatino Linotype" w:eastAsia="Palatino Linotype" w:hAnsi="Palatino Linotype" w:cs="Palatino Linotype"/>
          <w:i/>
          <w:sz w:val="22"/>
          <w:szCs w:val="22"/>
        </w:rPr>
        <w:t xml:space="preserve">: </w:t>
      </w:r>
    </w:p>
    <w:p w:rsidR="00000E7B" w:rsidRPr="001A0549" w:rsidRDefault="00CB2110">
      <w:pPr>
        <w:spacing w:before="240" w:after="240"/>
        <w:ind w:left="1134" w:right="900"/>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i/>
          <w:sz w:val="22"/>
          <w:szCs w:val="22"/>
        </w:rPr>
        <w:t>(…)</w:t>
      </w:r>
    </w:p>
    <w:p w:rsidR="00000E7B" w:rsidRPr="001A0549" w:rsidRDefault="00CB2110">
      <w:pPr>
        <w:spacing w:before="240" w:after="240"/>
        <w:ind w:left="1134" w:right="900"/>
        <w:jc w:val="both"/>
        <w:rPr>
          <w:rFonts w:ascii="Palatino Linotype" w:eastAsia="Palatino Linotype" w:hAnsi="Palatino Linotype" w:cs="Palatino Linotype"/>
          <w:i/>
          <w:sz w:val="22"/>
          <w:szCs w:val="22"/>
        </w:rPr>
      </w:pPr>
      <w:r w:rsidRPr="001A0549">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1A0549">
        <w:rPr>
          <w:rFonts w:ascii="Palatino Linotype" w:eastAsia="Palatino Linotype" w:hAnsi="Palatino Linotype" w:cs="Palatino Linotype"/>
          <w:i/>
          <w:sz w:val="22"/>
          <w:szCs w:val="22"/>
        </w:rPr>
        <w:t>”</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De lo establecido en el precepto legal citado se advierte que el sobreseimiento del recurso de revisión procede en los siguientes casos</w:t>
      </w:r>
    </w:p>
    <w:p w:rsidR="00000E7B" w:rsidRPr="001A0549" w:rsidRDefault="00CB2110">
      <w:pPr>
        <w:spacing w:before="240" w:after="24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a) Cuando el sujeto obligado modifique el acto impugnado. </w:t>
      </w:r>
    </w:p>
    <w:p w:rsidR="00000E7B" w:rsidRPr="001A0549" w:rsidRDefault="00CB2110">
      <w:pPr>
        <w:spacing w:before="240" w:after="240" w:line="360" w:lineRule="auto"/>
        <w:ind w:left="284"/>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b) Cuando el sujeto obligado revoque el acto impugnado; </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Quedando en ambos casos el acto combatido sin materia o sin efectos.</w:t>
      </w:r>
    </w:p>
    <w:p w:rsidR="00000E7B" w:rsidRPr="001A0549" w:rsidRDefault="00CB2110">
      <w:pPr>
        <w:spacing w:before="240" w:after="240" w:line="360" w:lineRule="auto"/>
        <w:jc w:val="both"/>
        <w:rPr>
          <w:rFonts w:ascii="Palatino Linotype" w:eastAsia="Palatino Linotype" w:hAnsi="Palatino Linotype" w:cs="Palatino Linotype"/>
          <w:b/>
        </w:rPr>
      </w:pPr>
      <w:r w:rsidRPr="001A0549">
        <w:rPr>
          <w:rFonts w:ascii="Palatino Linotype" w:eastAsia="Palatino Linotype" w:hAnsi="Palatino Linotype" w:cs="Palatino Linotype"/>
        </w:rPr>
        <w:lastRenderedPageBreak/>
        <w:t xml:space="preserve">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la parte </w:t>
      </w:r>
      <w:r w:rsidRPr="001A0549">
        <w:rPr>
          <w:rFonts w:ascii="Palatino Linotype" w:eastAsia="Palatino Linotype" w:hAnsi="Palatino Linotype" w:cs="Palatino Linotype"/>
          <w:b/>
        </w:rPr>
        <w:t>Recurrente.</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En este orden de ideas, un acto impugnado queda sin efectos, cuando aun existiendo jurídicamente (esto es, que no se ha modificado, ni revocado) ya no genera ninguna consecuencia legal.</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En tanto que, un acto impugnado queda sin materia, cuando ha sido satisfecha la pretensión del recurrente de manera que el Sujeto Obligado entrega una respuesta aunque sea posterior a los términos previstos en la ley y mediante ésta concede la información solicitada.</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De lo hasta aquí expuesto, resulta evidente que el </w:t>
      </w:r>
      <w:r w:rsidRPr="001A0549">
        <w:rPr>
          <w:rFonts w:ascii="Palatino Linotype" w:eastAsia="Palatino Linotype" w:hAnsi="Palatino Linotype" w:cs="Palatino Linotype"/>
          <w:b/>
        </w:rPr>
        <w:t>Sujeto Obligado</w:t>
      </w:r>
      <w:r w:rsidRPr="001A0549">
        <w:rPr>
          <w:rFonts w:ascii="Palatino Linotype" w:eastAsia="Palatino Linotype" w:hAnsi="Palatino Linotype" w:cs="Palatino Linotype"/>
        </w:rPr>
        <w:t xml:space="preserve"> modificó la respuesta a la solicitud de acceso a la información pública de la persona solicitante, aunque ello haya sido de manera posterior a su respuesta inicial, información que se hizo del conocimiento de la parte </w:t>
      </w:r>
      <w:r w:rsidRPr="001A0549">
        <w:rPr>
          <w:rFonts w:ascii="Palatino Linotype" w:eastAsia="Palatino Linotype" w:hAnsi="Palatino Linotype" w:cs="Palatino Linotype"/>
          <w:b/>
        </w:rPr>
        <w:t>Recurrente</w:t>
      </w:r>
      <w:r w:rsidRPr="001A0549">
        <w:rPr>
          <w:rFonts w:ascii="Palatino Linotype" w:eastAsia="Palatino Linotype" w:hAnsi="Palatino Linotype" w:cs="Palatino Linotype"/>
        </w:rPr>
        <w:t xml:space="preserve">, con la finalidad de que manifestara lo que a su derecho estimara conveniente, sin que obre constancia en el expediente </w:t>
      </w:r>
      <w:r w:rsidRPr="001A0549">
        <w:rPr>
          <w:rFonts w:ascii="Palatino Linotype" w:eastAsia="Palatino Linotype" w:hAnsi="Palatino Linotype" w:cs="Palatino Linotype"/>
        </w:rPr>
        <w:lastRenderedPageBreak/>
        <w:t>electrónico de que hubiera ejercido dicha prerrogativa, presumiendo en consecuencia, que dicha información satisface su pretensión.</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rPr>
        <w:t xml:space="preserve">Por tal motivo, debe tenerse que con lo entregado por el </w:t>
      </w:r>
      <w:r w:rsidRPr="001A0549">
        <w:rPr>
          <w:rFonts w:ascii="Palatino Linotype" w:eastAsia="Palatino Linotype" w:hAnsi="Palatino Linotype" w:cs="Palatino Linotype"/>
          <w:b/>
        </w:rPr>
        <w:t>Sujeto Obligado,</w:t>
      </w:r>
      <w:r w:rsidRPr="001A0549">
        <w:rPr>
          <w:rFonts w:ascii="Palatino Linotype" w:eastAsia="Palatino Linotype" w:hAnsi="Palatino Linotype" w:cs="Palatino Linotype"/>
        </w:rPr>
        <w:t xml:space="preserve"> se satisface la solicitud planteada, con lo cual quedo sin materia el presente recurso de revisión, actualizándose entonces, la causal prevista en la fracción III del artículo 192 de la Ley de la Materia vigente en la Entidad, antes transcrita. </w:t>
      </w:r>
    </w:p>
    <w:p w:rsidR="00000E7B" w:rsidRPr="001A0549" w:rsidRDefault="00CB2110">
      <w:pPr>
        <w:spacing w:before="240" w:after="240" w:line="360" w:lineRule="auto"/>
        <w:jc w:val="both"/>
        <w:rPr>
          <w:rFonts w:ascii="Palatino Linotype" w:eastAsia="Palatino Linotype" w:hAnsi="Palatino Linotype" w:cs="Palatino Linotype"/>
          <w:b/>
        </w:rPr>
      </w:pPr>
      <w:r w:rsidRPr="001A0549">
        <w:rPr>
          <w:rFonts w:ascii="Palatino Linotype" w:eastAsia="Palatino Linotype" w:hAnsi="Palatino Linotype" w:cs="Palatino Linotype"/>
        </w:rPr>
        <w:t xml:space="preserve">Siendo el </w:t>
      </w:r>
      <w:r w:rsidRPr="001A0549">
        <w:rPr>
          <w:rFonts w:ascii="Palatino Linotype" w:eastAsia="Palatino Linotype" w:hAnsi="Palatino Linotype" w:cs="Palatino Linotype"/>
          <w:i/>
        </w:rPr>
        <w:t>sobreseimiento</w:t>
      </w:r>
      <w:r w:rsidRPr="001A0549">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1A0549">
        <w:rPr>
          <w:rFonts w:ascii="Palatino Linotype" w:eastAsia="Palatino Linotype" w:hAnsi="Palatino Linotype" w:cs="Palatino Linotype"/>
          <w:b/>
        </w:rPr>
        <w:t>SOBRESEIMIENTO, NO PERMITE ENTRAR AL ESTUDIO DE LAS CUESTIONES DE FONDO</w:t>
      </w:r>
      <w:r w:rsidRPr="001A0549">
        <w:rPr>
          <w:rFonts w:ascii="Palatino Linotype" w:eastAsia="Palatino Linotype" w:hAnsi="Palatino Linotype" w:cs="Palatino Linotype"/>
          <w:b/>
          <w:vertAlign w:val="superscript"/>
        </w:rPr>
        <w:footnoteReference w:id="5"/>
      </w:r>
      <w:r w:rsidRPr="001A0549">
        <w:rPr>
          <w:rFonts w:ascii="Palatino Linotype" w:eastAsia="Palatino Linotype" w:hAnsi="Palatino Linotype" w:cs="Palatino Linotype"/>
          <w:b/>
        </w:rPr>
        <w:t>.</w:t>
      </w:r>
    </w:p>
    <w:p w:rsidR="00000E7B" w:rsidRPr="001A0549" w:rsidRDefault="00CB2110">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1A054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E7B" w:rsidRPr="001A0549" w:rsidRDefault="00CB2110">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A0549">
        <w:rPr>
          <w:rFonts w:ascii="Palatino Linotype" w:eastAsia="Palatino Linotype" w:hAnsi="Palatino Linotype" w:cs="Palatino Linotype"/>
          <w:b/>
        </w:rPr>
        <w:lastRenderedPageBreak/>
        <w:t>III. R E S U E L V E</w:t>
      </w:r>
    </w:p>
    <w:p w:rsidR="00000E7B" w:rsidRPr="001A0549" w:rsidRDefault="00CB2110">
      <w:pPr>
        <w:spacing w:before="160" w:line="360" w:lineRule="auto"/>
        <w:jc w:val="both"/>
        <w:rPr>
          <w:rFonts w:ascii="Palatino Linotype" w:eastAsia="Palatino Linotype" w:hAnsi="Palatino Linotype" w:cs="Palatino Linotype"/>
        </w:rPr>
      </w:pPr>
      <w:bookmarkStart w:id="8" w:name="_heading=h.1fob9te" w:colFirst="0" w:colLast="0"/>
      <w:bookmarkEnd w:id="8"/>
      <w:r w:rsidRPr="001A0549">
        <w:rPr>
          <w:rFonts w:ascii="Palatino Linotype" w:eastAsia="Palatino Linotype" w:hAnsi="Palatino Linotype" w:cs="Palatino Linotype"/>
          <w:b/>
        </w:rPr>
        <w:t xml:space="preserve">Primero. </w:t>
      </w:r>
      <w:r w:rsidRPr="001A0549">
        <w:rPr>
          <w:rFonts w:ascii="Palatino Linotype" w:eastAsia="Palatino Linotype" w:hAnsi="Palatino Linotype" w:cs="Palatino Linotype"/>
        </w:rPr>
        <w:t>Se</w:t>
      </w:r>
      <w:r w:rsidRPr="001A0549">
        <w:rPr>
          <w:rFonts w:ascii="Palatino Linotype" w:eastAsia="Palatino Linotype" w:hAnsi="Palatino Linotype" w:cs="Palatino Linotype"/>
          <w:b/>
        </w:rPr>
        <w:t xml:space="preserve"> Sobresee </w:t>
      </w:r>
      <w:r w:rsidRPr="001A0549">
        <w:rPr>
          <w:rFonts w:ascii="Palatino Linotype" w:eastAsia="Palatino Linotype" w:hAnsi="Palatino Linotype" w:cs="Palatino Linotype"/>
        </w:rPr>
        <w:t xml:space="preserve">el recurso de revisión número </w:t>
      </w:r>
      <w:r w:rsidRPr="001A0549">
        <w:rPr>
          <w:rFonts w:ascii="Palatino Linotype" w:eastAsia="Palatino Linotype" w:hAnsi="Palatino Linotype" w:cs="Palatino Linotype"/>
          <w:b/>
        </w:rPr>
        <w:t xml:space="preserve">00544/INFOEM/IP/RR/2023, </w:t>
      </w:r>
      <w:r w:rsidRPr="001A0549">
        <w:rPr>
          <w:rFonts w:ascii="Palatino Linotype" w:eastAsia="Palatino Linotype" w:hAnsi="Palatino Linotype" w:cs="Palatino Linotype"/>
        </w:rPr>
        <w:t xml:space="preserve">porque al </w:t>
      </w:r>
      <w:r w:rsidRPr="001A0549">
        <w:rPr>
          <w:rFonts w:ascii="Palatino Linotype" w:eastAsia="Palatino Linotype" w:hAnsi="Palatino Linotype" w:cs="Palatino Linotype"/>
          <w:b/>
        </w:rPr>
        <w:t>modificar la respuesta</w:t>
      </w:r>
      <w:r w:rsidRPr="001A0549">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1A0549">
        <w:rPr>
          <w:rFonts w:ascii="Palatino Linotype" w:eastAsia="Palatino Linotype" w:hAnsi="Palatino Linotype" w:cs="Palatino Linotype"/>
          <w:b/>
        </w:rPr>
        <w:t xml:space="preserve">Tercero </w:t>
      </w:r>
      <w:r w:rsidRPr="001A0549">
        <w:rPr>
          <w:rFonts w:ascii="Palatino Linotype" w:eastAsia="Palatino Linotype" w:hAnsi="Palatino Linotype" w:cs="Palatino Linotype"/>
        </w:rPr>
        <w:t>de la presente Resolución.</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b/>
        </w:rPr>
        <w:t xml:space="preserve">Segundo. Notifíquese, </w:t>
      </w:r>
      <w:r w:rsidRPr="001A0549">
        <w:rPr>
          <w:rFonts w:ascii="Palatino Linotype" w:eastAsia="Palatino Linotype" w:hAnsi="Palatino Linotype" w:cs="Palatino Linotype"/>
        </w:rPr>
        <w:t>vía</w:t>
      </w:r>
      <w:r w:rsidRPr="001A0549">
        <w:rPr>
          <w:rFonts w:ascii="Palatino Linotype" w:eastAsia="Palatino Linotype" w:hAnsi="Palatino Linotype" w:cs="Palatino Linotype"/>
          <w:b/>
        </w:rPr>
        <w:t xml:space="preserve"> SAIMEX</w:t>
      </w:r>
      <w:r w:rsidRPr="001A0549">
        <w:rPr>
          <w:rFonts w:ascii="Palatino Linotype" w:eastAsia="Palatino Linotype" w:hAnsi="Palatino Linotype" w:cs="Palatino Linotype"/>
          <w:b/>
          <w:i/>
        </w:rPr>
        <w:t xml:space="preserve">, </w:t>
      </w:r>
      <w:r w:rsidRPr="001A0549">
        <w:rPr>
          <w:rFonts w:ascii="Palatino Linotype" w:eastAsia="Palatino Linotype" w:hAnsi="Palatino Linotype" w:cs="Palatino Linotype"/>
        </w:rPr>
        <w:t xml:space="preserve">al Titular de la Unidad de Transparencia del </w:t>
      </w:r>
      <w:r w:rsidRPr="001A0549">
        <w:rPr>
          <w:rFonts w:ascii="Palatino Linotype" w:eastAsia="Palatino Linotype" w:hAnsi="Palatino Linotype" w:cs="Palatino Linotype"/>
          <w:b/>
        </w:rPr>
        <w:t>Sujeto Obligado</w:t>
      </w:r>
      <w:r w:rsidRPr="001A0549">
        <w:rPr>
          <w:rFonts w:ascii="Palatino Linotype" w:eastAsia="Palatino Linotype" w:hAnsi="Palatino Linotype" w:cs="Palatino Linotype"/>
        </w:rPr>
        <w:t xml:space="preserve"> la presente resolución, para su conocimiento.</w:t>
      </w:r>
    </w:p>
    <w:p w:rsidR="00000E7B" w:rsidRPr="001A0549" w:rsidRDefault="00CB2110">
      <w:pPr>
        <w:spacing w:before="240" w:after="240" w:line="360" w:lineRule="auto"/>
        <w:jc w:val="both"/>
        <w:rPr>
          <w:rFonts w:ascii="Palatino Linotype" w:eastAsia="Palatino Linotype" w:hAnsi="Palatino Linotype" w:cs="Palatino Linotype"/>
        </w:rPr>
      </w:pPr>
      <w:r w:rsidRPr="001A0549">
        <w:rPr>
          <w:rFonts w:ascii="Palatino Linotype" w:eastAsia="Palatino Linotype" w:hAnsi="Palatino Linotype" w:cs="Palatino Linotype"/>
          <w:b/>
        </w:rPr>
        <w:t xml:space="preserve">Tercero. Notifíquese, </w:t>
      </w:r>
      <w:r w:rsidRPr="001A0549">
        <w:rPr>
          <w:rFonts w:ascii="Palatino Linotype" w:eastAsia="Palatino Linotype" w:hAnsi="Palatino Linotype" w:cs="Palatino Linotype"/>
        </w:rPr>
        <w:t>vía</w:t>
      </w:r>
      <w:r w:rsidRPr="001A0549">
        <w:rPr>
          <w:rFonts w:ascii="Palatino Linotype" w:eastAsia="Palatino Linotype" w:hAnsi="Palatino Linotype" w:cs="Palatino Linotype"/>
          <w:b/>
        </w:rPr>
        <w:t xml:space="preserve"> SAIMEX</w:t>
      </w:r>
      <w:r w:rsidRPr="001A0549">
        <w:rPr>
          <w:rFonts w:ascii="Palatino Linotype" w:eastAsia="Palatino Linotype" w:hAnsi="Palatino Linotype" w:cs="Palatino Linotype"/>
        </w:rPr>
        <w:t>, a</w:t>
      </w:r>
      <w:r w:rsidRPr="001A0549">
        <w:rPr>
          <w:rFonts w:ascii="Palatino Linotype" w:eastAsia="Palatino Linotype" w:hAnsi="Palatino Linotype" w:cs="Palatino Linotype"/>
          <w:b/>
        </w:rPr>
        <w:t xml:space="preserve"> </w:t>
      </w:r>
      <w:r w:rsidRPr="001A0549">
        <w:rPr>
          <w:rFonts w:ascii="Palatino Linotype" w:eastAsia="Palatino Linotype" w:hAnsi="Palatino Linotype" w:cs="Palatino Linotype"/>
        </w:rPr>
        <w:t xml:space="preserve">la parte </w:t>
      </w:r>
      <w:r w:rsidRPr="001A0549">
        <w:rPr>
          <w:rFonts w:ascii="Palatino Linotype" w:eastAsia="Palatino Linotype" w:hAnsi="Palatino Linotype" w:cs="Palatino Linotype"/>
          <w:b/>
        </w:rPr>
        <w:t>Recurrente</w:t>
      </w:r>
      <w:r w:rsidRPr="001A054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000E7B" w:rsidRPr="001A0549" w:rsidRDefault="00CB2110">
      <w:pPr>
        <w:spacing w:line="360" w:lineRule="auto"/>
        <w:jc w:val="both"/>
        <w:rPr>
          <w:rFonts w:ascii="Palatino Linotype" w:eastAsia="Palatino Linotype" w:hAnsi="Palatino Linotype" w:cs="Palatino Linotype"/>
        </w:rPr>
      </w:pPr>
      <w:bookmarkStart w:id="9" w:name="_heading=h.3rdcrjn" w:colFirst="0" w:colLast="0"/>
      <w:bookmarkEnd w:id="9"/>
      <w:r w:rsidRPr="001A054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DÉCIMO QUINTA  SESIÓN ORDINARIA, CELEBRADA EL VEINTISÉIS DE ABRIL DE DOS MIL VEINTITRÉS, ANTE EL SECRETARIO TÉCNICO DEL PLENO ALEXIS TAPIA RAMÍREZ.</w:t>
      </w:r>
    </w:p>
    <w:p w:rsidR="00000E7B" w:rsidRPr="001A0549" w:rsidRDefault="00000E7B">
      <w:pPr>
        <w:spacing w:line="360" w:lineRule="auto"/>
        <w:jc w:val="both"/>
        <w:rPr>
          <w:rFonts w:ascii="Palatino Linotype" w:eastAsia="Palatino Linotype" w:hAnsi="Palatino Linotype" w:cs="Palatino Linotype"/>
        </w:rPr>
      </w:pPr>
      <w:bookmarkStart w:id="10" w:name="_heading=h.1t3h5sf" w:colFirst="0" w:colLast="0"/>
      <w:bookmarkEnd w:id="10"/>
    </w:p>
    <w:p w:rsidR="00000E7B" w:rsidRPr="001A0549" w:rsidRDefault="00000E7B">
      <w:pPr>
        <w:spacing w:line="360" w:lineRule="auto"/>
        <w:jc w:val="both"/>
        <w:rPr>
          <w:rFonts w:ascii="Palatino Linotype" w:eastAsia="Palatino Linotype" w:hAnsi="Palatino Linotype" w:cs="Palatino Linotype"/>
        </w:rPr>
      </w:pPr>
    </w:p>
    <w:p w:rsidR="00000E7B" w:rsidRPr="001A0549" w:rsidRDefault="00000E7B">
      <w:pPr>
        <w:spacing w:line="360" w:lineRule="auto"/>
        <w:jc w:val="both"/>
        <w:rPr>
          <w:rFonts w:ascii="Palatino Linotype" w:eastAsia="Palatino Linotype" w:hAnsi="Palatino Linotype" w:cs="Palatino Linotype"/>
        </w:rPr>
      </w:pPr>
    </w:p>
    <w:p w:rsidR="00000E7B" w:rsidRPr="001A0549" w:rsidRDefault="00000E7B">
      <w:pPr>
        <w:spacing w:line="360" w:lineRule="auto"/>
        <w:jc w:val="both"/>
        <w:rPr>
          <w:rFonts w:ascii="Palatino Linotype" w:eastAsia="Palatino Linotype" w:hAnsi="Palatino Linotype" w:cs="Palatino Linotype"/>
        </w:rPr>
      </w:pPr>
    </w:p>
    <w:p w:rsidR="00000E7B" w:rsidRPr="001A0549" w:rsidRDefault="00000E7B">
      <w:pPr>
        <w:spacing w:line="360" w:lineRule="auto"/>
        <w:jc w:val="both"/>
        <w:rPr>
          <w:rFonts w:ascii="Palatino Linotype" w:eastAsia="Palatino Linotype" w:hAnsi="Palatino Linotype" w:cs="Palatino Linotype"/>
        </w:rPr>
      </w:pPr>
    </w:p>
    <w:p w:rsidR="00000E7B" w:rsidRPr="001A0549" w:rsidRDefault="00000E7B">
      <w:pPr>
        <w:spacing w:line="360" w:lineRule="auto"/>
        <w:jc w:val="both"/>
        <w:rPr>
          <w:rFonts w:ascii="Palatino Linotype" w:eastAsia="Palatino Linotype" w:hAnsi="Palatino Linotype" w:cs="Palatino Linotype"/>
        </w:rPr>
      </w:pPr>
    </w:p>
    <w:p w:rsidR="00000E7B" w:rsidRPr="001A0549" w:rsidRDefault="00000E7B">
      <w:pPr>
        <w:spacing w:line="360" w:lineRule="auto"/>
        <w:jc w:val="both"/>
        <w:rPr>
          <w:rFonts w:ascii="Palatino Linotype" w:eastAsia="Palatino Linotype" w:hAnsi="Palatino Linotype" w:cs="Palatino Linotype"/>
        </w:rPr>
      </w:pPr>
    </w:p>
    <w:p w:rsidR="00000E7B" w:rsidRPr="001A0549" w:rsidRDefault="00000E7B">
      <w:pPr>
        <w:spacing w:line="360" w:lineRule="auto"/>
        <w:jc w:val="both"/>
        <w:rPr>
          <w:rFonts w:ascii="Palatino Linotype" w:eastAsia="Palatino Linotype" w:hAnsi="Palatino Linotype" w:cs="Palatino Linotype"/>
        </w:rPr>
      </w:pPr>
    </w:p>
    <w:p w:rsidR="00000E7B" w:rsidRPr="001A0549" w:rsidRDefault="00000E7B">
      <w:pPr>
        <w:spacing w:line="360" w:lineRule="auto"/>
        <w:jc w:val="both"/>
        <w:rPr>
          <w:rFonts w:ascii="Palatino Linotype" w:eastAsia="Palatino Linotype" w:hAnsi="Palatino Linotype" w:cs="Palatino Linotype"/>
        </w:rPr>
      </w:pPr>
    </w:p>
    <w:p w:rsidR="00000E7B" w:rsidRPr="001A0549" w:rsidRDefault="00000E7B">
      <w:pPr>
        <w:spacing w:line="360" w:lineRule="auto"/>
        <w:jc w:val="both"/>
        <w:rPr>
          <w:rFonts w:ascii="Palatino Linotype" w:eastAsia="Palatino Linotype" w:hAnsi="Palatino Linotype" w:cs="Palatino Linotype"/>
        </w:rPr>
      </w:pPr>
    </w:p>
    <w:sectPr w:rsidR="00000E7B" w:rsidRPr="001A0549">
      <w:headerReference w:type="default" r:id="rId39"/>
      <w:footerReference w:type="default" r:id="rId40"/>
      <w:headerReference w:type="first" r:id="rId41"/>
      <w:footerReference w:type="first" r:id="rId4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FD1" w:rsidRDefault="00EF1FD1">
      <w:r>
        <w:separator/>
      </w:r>
    </w:p>
  </w:endnote>
  <w:endnote w:type="continuationSeparator" w:id="0">
    <w:p w:rsidR="00EF1FD1" w:rsidRDefault="00EF1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E7B" w:rsidRDefault="00CB211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51E63">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51E63">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rsidR="00000E7B" w:rsidRDefault="00000E7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E7B" w:rsidRDefault="00CB211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51E6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51E63">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p>
  <w:p w:rsidR="00000E7B" w:rsidRDefault="00000E7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FD1" w:rsidRDefault="00EF1FD1">
      <w:r>
        <w:separator/>
      </w:r>
    </w:p>
  </w:footnote>
  <w:footnote w:type="continuationSeparator" w:id="0">
    <w:p w:rsidR="00EF1FD1" w:rsidRDefault="00EF1FD1">
      <w:r>
        <w:continuationSeparator/>
      </w:r>
    </w:p>
  </w:footnote>
  <w:footnote w:id="1">
    <w:p w:rsidR="00000E7B" w:rsidRDefault="00CB2110">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16"/>
          <w:szCs w:val="16"/>
        </w:rPr>
        <w:t xml:space="preserve"> </w:t>
      </w:r>
      <w:r>
        <w:rPr>
          <w:rFonts w:ascii="Palatino Linotype" w:eastAsia="Palatino Linotype" w:hAnsi="Palatino Linotype" w:cs="Palatino Linotype"/>
          <w:b/>
          <w:color w:val="000000"/>
          <w:sz w:val="16"/>
          <w:szCs w:val="16"/>
        </w:rPr>
        <w:t>Artículo 192.</w:t>
      </w:r>
      <w:r>
        <w:rPr>
          <w:rFonts w:ascii="Palatino Linotype" w:eastAsia="Palatino Linotype" w:hAnsi="Palatino Linotype" w:cs="Palatino Linotype"/>
          <w:color w:val="000000"/>
          <w:sz w:val="16"/>
          <w:szCs w:val="16"/>
        </w:rPr>
        <w:t xml:space="preserve"> El recurso será sobreseído, en todo o en parte, cuando una vez admitido, se actualicen alguno de los siguientes supuestos:</w:t>
      </w:r>
    </w:p>
    <w:p w:rsidR="00000E7B" w:rsidRDefault="00CB2110">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rsidR="00000E7B" w:rsidRDefault="00CB2110">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III. El sujeto obligado responsable del acto lo modifique o revoque de tal manera que el recurso de revisión quede sin materia;</w:t>
      </w:r>
    </w:p>
  </w:footnote>
  <w:footnote w:id="2">
    <w:p w:rsidR="00000E7B" w:rsidRDefault="00CB2110">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186</w:t>
      </w:r>
      <w:r>
        <w:rPr>
          <w:rFonts w:ascii="Palatino Linotype" w:eastAsia="Palatino Linotype" w:hAnsi="Palatino Linotype" w:cs="Palatino Linotype"/>
          <w:color w:val="000000"/>
          <w:sz w:val="16"/>
          <w:szCs w:val="16"/>
        </w:rPr>
        <w:t>. Las resoluciones del Instituto podrán:</w:t>
      </w:r>
    </w:p>
    <w:p w:rsidR="00000E7B" w:rsidRDefault="00CB2110">
      <w:pPr>
        <w:pBdr>
          <w:top w:val="nil"/>
          <w:left w:val="nil"/>
          <w:bottom w:val="nil"/>
          <w:right w:val="nil"/>
          <w:between w:val="nil"/>
        </w:pBdr>
        <w:rPr>
          <w:rFonts w:ascii="Cambria" w:eastAsia="Cambria" w:hAnsi="Cambria" w:cs="Cambria"/>
          <w:color w:val="000000"/>
          <w:sz w:val="16"/>
          <w:szCs w:val="16"/>
        </w:rPr>
      </w:pPr>
      <w:r>
        <w:rPr>
          <w:rFonts w:ascii="Palatino Linotype" w:eastAsia="Palatino Linotype" w:hAnsi="Palatino Linotype" w:cs="Palatino Linotype"/>
          <w:color w:val="000000"/>
          <w:sz w:val="16"/>
          <w:szCs w:val="16"/>
        </w:rPr>
        <w:t>I. Desechar o sobreseer el recurso;</w:t>
      </w:r>
    </w:p>
  </w:footnote>
  <w:footnote w:id="3">
    <w:p w:rsidR="00000E7B" w:rsidRDefault="00CB2110">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000E7B" w:rsidRDefault="00CB211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rsidR="00000E7B" w:rsidRDefault="00CB211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5">
    <w:p w:rsidR="00000E7B" w:rsidRDefault="00CB2110">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rsidR="00000E7B" w:rsidRDefault="00CB2110">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E7B" w:rsidRDefault="00CB2110">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-1080121</wp:posOffset>
          </wp:positionH>
          <wp:positionV relativeFrom="paragraph">
            <wp:posOffset>-488299</wp:posOffset>
          </wp:positionV>
          <wp:extent cx="7809865" cy="10165715"/>
          <wp:effectExtent l="0" t="0" r="0" b="0"/>
          <wp:wrapNone/>
          <wp:docPr id="17676375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000E7B">
      <w:tc>
        <w:tcPr>
          <w:tcW w:w="2489" w:type="dxa"/>
          <w:shd w:val="clear" w:color="auto" w:fill="auto"/>
        </w:tcPr>
        <w:p w:rsidR="00000E7B" w:rsidRDefault="00CB21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000E7B" w:rsidRDefault="00CB211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00544/INFOEM/IP/RR/2023</w:t>
          </w:r>
        </w:p>
      </w:tc>
    </w:tr>
    <w:tr w:rsidR="00000E7B">
      <w:trPr>
        <w:trHeight w:val="228"/>
      </w:trPr>
      <w:tc>
        <w:tcPr>
          <w:tcW w:w="2489" w:type="dxa"/>
          <w:shd w:val="clear" w:color="auto" w:fill="auto"/>
          <w:vAlign w:val="center"/>
        </w:tcPr>
        <w:p w:rsidR="00000E7B" w:rsidRDefault="00CB21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000E7B" w:rsidRDefault="00CB211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Villa Victoria</w:t>
          </w:r>
        </w:p>
      </w:tc>
    </w:tr>
    <w:tr w:rsidR="00000E7B">
      <w:tc>
        <w:tcPr>
          <w:tcW w:w="2489" w:type="dxa"/>
          <w:shd w:val="clear" w:color="auto" w:fill="auto"/>
          <w:vAlign w:val="center"/>
        </w:tcPr>
        <w:p w:rsidR="00000E7B" w:rsidRDefault="00CB211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000E7B" w:rsidRDefault="00CB211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00E7B" w:rsidRDefault="00CB211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E7B" w:rsidRDefault="00CB211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-1079499</wp:posOffset>
          </wp:positionH>
          <wp:positionV relativeFrom="paragraph">
            <wp:posOffset>-328929</wp:posOffset>
          </wp:positionV>
          <wp:extent cx="7809865" cy="10165715"/>
          <wp:effectExtent l="0" t="0" r="0" b="0"/>
          <wp:wrapNone/>
          <wp:docPr id="17676375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5670" w:type="dxa"/>
      <w:tblInd w:w="3261" w:type="dxa"/>
      <w:tblLayout w:type="fixed"/>
      <w:tblLook w:val="0400" w:firstRow="0" w:lastRow="0" w:firstColumn="0" w:lastColumn="0" w:noHBand="0" w:noVBand="1"/>
    </w:tblPr>
    <w:tblGrid>
      <w:gridCol w:w="2551"/>
      <w:gridCol w:w="3119"/>
    </w:tblGrid>
    <w:tr w:rsidR="00000E7B">
      <w:tc>
        <w:tcPr>
          <w:tcW w:w="2551" w:type="dxa"/>
          <w:shd w:val="clear" w:color="auto" w:fill="auto"/>
          <w:vAlign w:val="center"/>
        </w:tcPr>
        <w:p w:rsidR="00000E7B" w:rsidRDefault="00CB21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000E7B" w:rsidRDefault="00CB211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00544/INFOEM/IP/RR/2023</w:t>
          </w:r>
        </w:p>
      </w:tc>
    </w:tr>
    <w:tr w:rsidR="00000E7B">
      <w:trPr>
        <w:trHeight w:val="130"/>
      </w:trPr>
      <w:tc>
        <w:tcPr>
          <w:tcW w:w="2551" w:type="dxa"/>
          <w:shd w:val="clear" w:color="auto" w:fill="auto"/>
          <w:vAlign w:val="center"/>
        </w:tcPr>
        <w:p w:rsidR="00000E7B" w:rsidRDefault="00CB21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000E7B" w:rsidRDefault="00551E63" w:rsidP="00551E63">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 XXXXXXX</w:t>
          </w:r>
        </w:p>
      </w:tc>
    </w:tr>
    <w:tr w:rsidR="00000E7B">
      <w:trPr>
        <w:trHeight w:val="228"/>
      </w:trPr>
      <w:tc>
        <w:tcPr>
          <w:tcW w:w="2551" w:type="dxa"/>
          <w:shd w:val="clear" w:color="auto" w:fill="auto"/>
          <w:vAlign w:val="center"/>
        </w:tcPr>
        <w:p w:rsidR="00000E7B" w:rsidRDefault="00CB21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000E7B" w:rsidRDefault="00CB2110">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Villa Victoria</w:t>
          </w:r>
        </w:p>
      </w:tc>
    </w:tr>
    <w:tr w:rsidR="00000E7B">
      <w:tc>
        <w:tcPr>
          <w:tcW w:w="2551" w:type="dxa"/>
          <w:shd w:val="clear" w:color="auto" w:fill="auto"/>
          <w:vAlign w:val="center"/>
        </w:tcPr>
        <w:p w:rsidR="00000E7B" w:rsidRDefault="00CB211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000E7B" w:rsidRDefault="00CB211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00E7B" w:rsidRDefault="00000E7B">
    <w:pPr>
      <w:pBdr>
        <w:top w:val="nil"/>
        <w:left w:val="nil"/>
        <w:bottom w:val="nil"/>
        <w:right w:val="nil"/>
        <w:between w:val="nil"/>
      </w:pBdr>
      <w:tabs>
        <w:tab w:val="center" w:pos="4252"/>
        <w:tab w:val="right" w:pos="8504"/>
      </w:tabs>
      <w:rPr>
        <w:rFonts w:ascii="Cambria" w:eastAsia="Cambria" w:hAnsi="Cambria" w:cs="Cambria"/>
        <w:color w:val="000000"/>
      </w:rPr>
    </w:pPr>
  </w:p>
  <w:p w:rsidR="00000E7B" w:rsidRDefault="00000E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B7144"/>
    <w:multiLevelType w:val="multilevel"/>
    <w:tmpl w:val="30B054CE"/>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A0F67D3"/>
    <w:multiLevelType w:val="multilevel"/>
    <w:tmpl w:val="A94C37BE"/>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E7B"/>
    <w:rsid w:val="00000E7B"/>
    <w:rsid w:val="00056E6F"/>
    <w:rsid w:val="001A0549"/>
    <w:rsid w:val="00551E63"/>
    <w:rsid w:val="006D6DD6"/>
    <w:rsid w:val="00CB2110"/>
    <w:rsid w:val="00EF1F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656BBEA5-3549-493F-96B3-F8C097F4D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0"/>
    <w:tblPr>
      <w:tblStyleRowBandSize w:val="1"/>
      <w:tblStyleColBandSize w:val="1"/>
      <w:tblCellMar>
        <w:top w:w="0" w:type="dxa"/>
        <w:left w:w="115" w:type="dxa"/>
        <w:bottom w:w="0" w:type="dxa"/>
        <w:right w:w="115" w:type="dxa"/>
      </w:tblCellMar>
    </w:tblPr>
  </w:style>
  <w:style w:type="table" w:customStyle="1" w:styleId="6">
    <w:name w:val="6"/>
    <w:basedOn w:val="TableNormal30"/>
    <w:tblPr>
      <w:tblStyleRowBandSize w:val="1"/>
      <w:tblStyleColBandSize w:val="1"/>
      <w:tblCellMar>
        <w:top w:w="0" w:type="dxa"/>
        <w:left w:w="115" w:type="dxa"/>
        <w:bottom w:w="0" w:type="dxa"/>
        <w:right w:w="115" w:type="dxa"/>
      </w:tblCellMar>
    </w:tblPr>
  </w:style>
  <w:style w:type="table" w:customStyle="1" w:styleId="20">
    <w:name w:val="20"/>
    <w:basedOn w:val="TableNormal4"/>
    <w:tblPr>
      <w:tblStyleRowBandSize w:val="1"/>
      <w:tblStyleColBandSize w:val="1"/>
      <w:tblCellMar>
        <w:top w:w="0" w:type="dxa"/>
        <w:left w:w="115" w:type="dxa"/>
        <w:bottom w:w="0" w:type="dxa"/>
        <w:right w:w="115" w:type="dxa"/>
      </w:tblCellMar>
    </w:tblPr>
  </w:style>
  <w:style w:type="table" w:customStyle="1" w:styleId="19">
    <w:name w:val="19"/>
    <w:basedOn w:val="TableNormal4"/>
    <w:tblPr>
      <w:tblStyleRowBandSize w:val="1"/>
      <w:tblStyleColBandSize w:val="1"/>
      <w:tblCellMar>
        <w:top w:w="0" w:type="dxa"/>
        <w:left w:w="115" w:type="dxa"/>
        <w:bottom w:w="0" w:type="dxa"/>
        <w:right w:w="115" w:type="dxa"/>
      </w:tblCellMar>
    </w:tblPr>
  </w:style>
  <w:style w:type="table" w:customStyle="1" w:styleId="18">
    <w:name w:val="18"/>
    <w:basedOn w:val="TableNormal5"/>
    <w:tblPr>
      <w:tblStyleRowBandSize w:val="1"/>
      <w:tblStyleColBandSize w:val="1"/>
      <w:tblCellMar>
        <w:top w:w="0" w:type="dxa"/>
        <w:left w:w="115" w:type="dxa"/>
        <w:bottom w:w="0" w:type="dxa"/>
        <w:right w:w="115" w:type="dxa"/>
      </w:tblCellMar>
    </w:tblPr>
  </w:style>
  <w:style w:type="table" w:customStyle="1" w:styleId="17">
    <w:name w:val="17"/>
    <w:basedOn w:val="TableNormal5"/>
    <w:tblPr>
      <w:tblStyleRowBandSize w:val="1"/>
      <w:tblStyleColBandSize w:val="1"/>
      <w:tblCellMar>
        <w:top w:w="0" w:type="dxa"/>
        <w:left w:w="115" w:type="dxa"/>
        <w:bottom w:w="0" w:type="dxa"/>
        <w:right w:w="115" w:type="dxa"/>
      </w:tblCellMar>
    </w:tblPr>
  </w:style>
  <w:style w:type="table" w:customStyle="1" w:styleId="16">
    <w:name w:val="16"/>
    <w:basedOn w:val="TableNormal6"/>
    <w:tblPr>
      <w:tblStyleRowBandSize w:val="1"/>
      <w:tblStyleColBandSize w:val="1"/>
      <w:tblCellMar>
        <w:top w:w="0" w:type="dxa"/>
        <w:left w:w="115" w:type="dxa"/>
        <w:bottom w:w="0" w:type="dxa"/>
        <w:right w:w="115" w:type="dxa"/>
      </w:tblCellMar>
    </w:tblPr>
  </w:style>
  <w:style w:type="table" w:customStyle="1" w:styleId="15">
    <w:name w:val="15"/>
    <w:basedOn w:val="TableNormal6"/>
    <w:tblPr>
      <w:tblStyleRowBandSize w:val="1"/>
      <w:tblStyleColBandSize w:val="1"/>
      <w:tblCellMar>
        <w:top w:w="0" w:type="dxa"/>
        <w:left w:w="115" w:type="dxa"/>
        <w:bottom w:w="0" w:type="dxa"/>
        <w:right w:w="115" w:type="dxa"/>
      </w:tblCellMar>
    </w:tblPr>
  </w:style>
  <w:style w:type="table" w:customStyle="1" w:styleId="14">
    <w:name w:val="14"/>
    <w:basedOn w:val="TableNormal7"/>
    <w:tblPr>
      <w:tblStyleRowBandSize w:val="1"/>
      <w:tblStyleColBandSize w:val="1"/>
      <w:tblCellMar>
        <w:top w:w="0" w:type="dxa"/>
        <w:left w:w="115" w:type="dxa"/>
        <w:bottom w:w="0" w:type="dxa"/>
        <w:right w:w="115" w:type="dxa"/>
      </w:tblCellMar>
    </w:tblPr>
  </w:style>
  <w:style w:type="table" w:customStyle="1" w:styleId="13">
    <w:name w:val="13"/>
    <w:basedOn w:val="TableNormal7"/>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top w:w="0" w:type="dxa"/>
        <w:left w:w="115" w:type="dxa"/>
        <w:bottom w:w="0" w:type="dxa"/>
        <w:right w:w="115" w:type="dxa"/>
      </w:tblCellMar>
    </w:tblPr>
  </w:style>
  <w:style w:type="table" w:customStyle="1" w:styleId="10">
    <w:name w:val="10"/>
    <w:basedOn w:val="TableNormal8"/>
    <w:tblPr>
      <w:tblStyleRowBandSize w:val="1"/>
      <w:tblStyleColBandSize w:val="1"/>
      <w:tblCellMar>
        <w:top w:w="0" w:type="dxa"/>
        <w:left w:w="115" w:type="dxa"/>
        <w:bottom w:w="0" w:type="dxa"/>
        <w:right w:w="115" w:type="dxa"/>
      </w:tblCellMar>
    </w:tblPr>
  </w:style>
  <w:style w:type="table" w:customStyle="1" w:styleId="24">
    <w:name w:val="24"/>
    <w:basedOn w:val="TableNormal9"/>
    <w:tblPr>
      <w:tblStyleRowBandSize w:val="1"/>
      <w:tblStyleColBandSize w:val="1"/>
      <w:tblCellMar>
        <w:top w:w="0" w:type="dxa"/>
        <w:left w:w="115" w:type="dxa"/>
        <w:bottom w:w="0" w:type="dxa"/>
        <w:right w:w="115" w:type="dxa"/>
      </w:tblCellMar>
    </w:tblPr>
  </w:style>
  <w:style w:type="table" w:customStyle="1" w:styleId="23">
    <w:name w:val="23"/>
    <w:basedOn w:val="TableNormal9"/>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top w:w="0" w:type="dxa"/>
        <w:left w:w="115" w:type="dxa"/>
        <w:bottom w:w="0" w:type="dxa"/>
        <w:right w:w="115" w:type="dxa"/>
      </w:tblCellMar>
    </w:tblPr>
  </w:style>
  <w:style w:type="table" w:customStyle="1" w:styleId="21">
    <w:name w:val="21"/>
    <w:basedOn w:val="TableNormal9"/>
    <w:tblPr>
      <w:tblStyleRowBandSize w:val="1"/>
      <w:tblStyleColBandSize w:val="1"/>
      <w:tblCellMar>
        <w:top w:w="0" w:type="dxa"/>
        <w:left w:w="115" w:type="dxa"/>
        <w:bottom w:w="0" w:type="dxa"/>
        <w:right w:w="115" w:type="dxa"/>
      </w:tblCellMar>
    </w:tblPr>
  </w:style>
  <w:style w:type="table" w:customStyle="1" w:styleId="a">
    <w:basedOn w:val="TableNormal3"/>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2"/>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character" w:customStyle="1" w:styleId="Mencinsinresolver5">
    <w:name w:val="Mención sin resolver5"/>
    <w:basedOn w:val="Fuentedeprrafopredeter"/>
    <w:uiPriority w:val="99"/>
    <w:semiHidden/>
    <w:unhideWhenUsed/>
    <w:rsid w:val="00160ABB"/>
    <w:rPr>
      <w:color w:val="605E5C"/>
      <w:shd w:val="clear" w:color="auto" w:fill="E1DFDD"/>
    </w:r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9.png"/><Relationship Id="rId18" Type="http://schemas.openxmlformats.org/officeDocument/2006/relationships/image" Target="media/image3.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footer" Target="footer2.xml"/><Relationship Id="rId7" Type="http://schemas.openxmlformats.org/officeDocument/2006/relationships/endnotes" Target="endnotes.xml"/><Relationship Id="rId17" Type="http://schemas.openxmlformats.org/officeDocument/2006/relationships/hyperlink" Target="https://villavictoria.edomex.gob.mx/transparencia" TargetMode="External"/><Relationship Id="rId25"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16.png"/><Relationship Id="rId20" Type="http://schemas.openxmlformats.org/officeDocument/2006/relationships/hyperlink" Target="https://villavictoria.edomex.gob.mx/planeacion_municipal" TargetMode="External"/><Relationship Id="rId29" Type="http://schemas.openxmlformats.org/officeDocument/2006/relationships/image" Target="media/image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8.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5.png"/><Relationship Id="rId36" Type="http://schemas.openxmlformats.org/officeDocument/2006/relationships/oleObject" Target="embeddings/oleObject1.bin"/><Relationship Id="rId19" Type="http://schemas.openxmlformats.org/officeDocument/2006/relationships/image" Target="media/image23.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hyperlink" Target="https://villavictoria.edomex.gob.mx/" TargetMode="External"/><Relationship Id="rId22" Type="http://schemas.openxmlformats.org/officeDocument/2006/relationships/image" Target="media/image22.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PtkHuZTaGNWG9xpcyo3pQzOI6nQ==">AMUW2mVgjfpJQVPhbaYD7fUKn1ztukpdHVQpg+fmCIuKwuS5qx14+kD7VYD/OiRCk0SGDuu8AequfM4RInhSMX7YEwCU53cruY7crsPU77B5kTN7dnLFL0078DNQGOm8uW3Mi0pbIpVyrrghY/zeU4IWUq4X9KyxJDt675Cjyf5ugPt7HguJOfdmbjSPUBBcWZPAmbqe+YZ96jXWA8kXBAvngRf/5Y5WASOGKGJSxgpE2Bnl6XIu7TrUKN4rEPvMoINI7Qte2NvJ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6284</Words>
  <Characters>34566</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2023-04-28T16:14:00Z</cp:lastPrinted>
  <dcterms:created xsi:type="dcterms:W3CDTF">2023-05-03T17:52:00Z</dcterms:created>
  <dcterms:modified xsi:type="dcterms:W3CDTF">2023-05-03T17:52:00Z</dcterms:modified>
</cp:coreProperties>
</file>