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del </w:t>
      </w:r>
      <w:r w:rsidDel="00000000" w:rsidR="00000000" w:rsidRPr="00000000">
        <w:rPr>
          <w:rFonts w:ascii="Palatino Linotype" w:cs="Palatino Linotype" w:eastAsia="Palatino Linotype" w:hAnsi="Palatino Linotype"/>
          <w:b w:val="1"/>
          <w:rtl w:val="0"/>
        </w:rPr>
        <w:t xml:space="preserve">once de enero del dos mil veintitrés</w:t>
      </w:r>
      <w:r w:rsidDel="00000000" w:rsidR="00000000" w:rsidRPr="00000000">
        <w:rPr>
          <w:rFonts w:ascii="Palatino Linotype" w:cs="Palatino Linotype" w:eastAsia="Palatino Linotype" w:hAnsi="Palatino Linotype"/>
          <w:rtl w:val="0"/>
        </w:rPr>
        <w:t xml:space="preserve">.</w:t>
      </w:r>
      <w:r w:rsidDel="00000000" w:rsidR="00000000" w:rsidRPr="00000000">
        <w:rPr>
          <w:rtl w:val="0"/>
        </w:rPr>
      </w:r>
    </w:p>
    <w:p w:rsidR="00000000" w:rsidDel="00000000" w:rsidP="00000000" w:rsidRDefault="00000000" w:rsidRPr="00000000" w14:paraId="00000002">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rtl w:val="0"/>
        </w:rPr>
        <w:t xml:space="preserve">Vistos</w:t>
      </w:r>
      <w:r w:rsidDel="00000000" w:rsidR="00000000" w:rsidRPr="00000000">
        <w:rPr>
          <w:rFonts w:ascii="Palatino Linotype" w:cs="Palatino Linotype" w:eastAsia="Palatino Linotype" w:hAnsi="Palatino Linotype"/>
          <w:rtl w:val="0"/>
        </w:rPr>
        <w:t xml:space="preserve"> los expedientes relativos a los recursos de revisión </w:t>
      </w:r>
      <w:r w:rsidDel="00000000" w:rsidR="00000000" w:rsidRPr="00000000">
        <w:rPr>
          <w:rFonts w:ascii="Palatino Linotype" w:cs="Palatino Linotype" w:eastAsia="Palatino Linotype" w:hAnsi="Palatino Linotype"/>
          <w:b w:val="1"/>
          <w:sz w:val="22"/>
          <w:szCs w:val="22"/>
          <w:rtl w:val="0"/>
        </w:rPr>
        <w:t xml:space="preserve">12004/INFOEM/IP/RR/2022</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sz w:val="22"/>
          <w:szCs w:val="22"/>
          <w:rtl w:val="0"/>
        </w:rPr>
        <w:t xml:space="preserve">12005/INFOEM/IP/RR/2022 </w:t>
      </w:r>
      <w:r w:rsidDel="00000000" w:rsidR="00000000" w:rsidRPr="00000000">
        <w:rPr>
          <w:rFonts w:ascii="Palatino Linotype" w:cs="Palatino Linotype" w:eastAsia="Palatino Linotype" w:hAnsi="Palatino Linotype"/>
          <w:sz w:val="22"/>
          <w:szCs w:val="22"/>
          <w:rtl w:val="0"/>
        </w:rPr>
        <w:t xml:space="preserve">y </w:t>
      </w:r>
      <w:r w:rsidDel="00000000" w:rsidR="00000000" w:rsidRPr="00000000">
        <w:rPr>
          <w:rFonts w:ascii="Palatino Linotype" w:cs="Palatino Linotype" w:eastAsia="Palatino Linotype" w:hAnsi="Palatino Linotype"/>
          <w:b w:val="1"/>
          <w:sz w:val="22"/>
          <w:szCs w:val="22"/>
          <w:rtl w:val="0"/>
        </w:rPr>
        <w:t xml:space="preserve">12008/INFOEM/IP/RR/2022 </w:t>
      </w:r>
      <w:r w:rsidDel="00000000" w:rsidR="00000000" w:rsidRPr="00000000">
        <w:rPr>
          <w:rFonts w:ascii="Palatino Linotype" w:cs="Palatino Linotype" w:eastAsia="Palatino Linotype" w:hAnsi="Palatino Linotype"/>
          <w:rtl w:val="0"/>
        </w:rPr>
        <w:t xml:space="preserve">interpuestos por </w:t>
      </w:r>
      <w:r w:rsidDel="00000000" w:rsidR="00000000" w:rsidRPr="00000000">
        <w:rPr>
          <w:rFonts w:ascii="Palatino Linotype" w:cs="Palatino Linotype" w:eastAsia="Palatino Linotype" w:hAnsi="Palatino Linotype"/>
          <w:b w:val="1"/>
          <w:rtl w:val="0"/>
        </w:rPr>
        <w:t xml:space="preserve">persona que no señaló nombre,</w:t>
      </w:r>
      <w:r w:rsidDel="00000000" w:rsidR="00000000" w:rsidRPr="00000000">
        <w:rPr>
          <w:rFonts w:ascii="Palatino Linotype" w:cs="Palatino Linotype" w:eastAsia="Palatino Linotype" w:hAnsi="Palatino Linotype"/>
          <w:rtl w:val="0"/>
        </w:rPr>
        <w:t xml:space="preserve"> a quien en lo sucesivo se le denominará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en contra de las respuestas a las solicitudes de información con número de folio</w:t>
      </w:r>
      <w:r w:rsidDel="00000000" w:rsidR="00000000" w:rsidRPr="00000000">
        <w:rPr>
          <w:rFonts w:ascii="Verdana" w:cs="Verdana" w:eastAsia="Verdana" w:hAnsi="Verdana"/>
          <w:b w:val="1"/>
          <w:rtl w:val="0"/>
        </w:rPr>
        <w:t xml:space="preserve"> </w:t>
      </w:r>
      <w:r w:rsidDel="00000000" w:rsidR="00000000" w:rsidRPr="00000000">
        <w:rPr>
          <w:rFonts w:ascii="Palatino Linotype" w:cs="Palatino Linotype" w:eastAsia="Palatino Linotype" w:hAnsi="Palatino Linotype"/>
          <w:b w:val="1"/>
          <w:sz w:val="22"/>
          <w:szCs w:val="22"/>
          <w:rtl w:val="0"/>
        </w:rPr>
        <w:t xml:space="preserve">00406/CHIMALHU/IP/2022</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sz w:val="22"/>
          <w:szCs w:val="22"/>
          <w:rtl w:val="0"/>
        </w:rPr>
        <w:t xml:space="preserve">00402/CHIMALHU/IP/2022 y 00404/CHIMALHU/IP/2022</w:t>
      </w:r>
      <w:r w:rsidDel="00000000" w:rsidR="00000000" w:rsidRPr="00000000">
        <w:rPr>
          <w:rFonts w:ascii="Palatino Linotype" w:cs="Palatino Linotype" w:eastAsia="Palatino Linotype" w:hAnsi="Palatino Linotype"/>
          <w:rtl w:val="0"/>
        </w:rPr>
        <w:t xml:space="preserve"> otorgadas por el </w:t>
      </w:r>
      <w:r w:rsidDel="00000000" w:rsidR="00000000" w:rsidRPr="00000000">
        <w:rPr>
          <w:rFonts w:ascii="Palatino Linotype" w:cs="Palatino Linotype" w:eastAsia="Palatino Linotype" w:hAnsi="Palatino Linotype"/>
          <w:b w:val="1"/>
          <w:sz w:val="22"/>
          <w:szCs w:val="22"/>
          <w:rtl w:val="0"/>
        </w:rPr>
        <w:t xml:space="preserve">Ayuntamiento de Chimalhuacán</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se procede a dictar la presente resolución, con base en lo siguiente. </w:t>
      </w:r>
      <w:r w:rsidDel="00000000" w:rsidR="00000000" w:rsidRPr="00000000">
        <w:rPr>
          <w:rtl w:val="0"/>
        </w:rPr>
      </w:r>
    </w:p>
    <w:p w:rsidR="00000000" w:rsidDel="00000000" w:rsidP="00000000" w:rsidRDefault="00000000" w:rsidRPr="00000000" w14:paraId="00000003">
      <w:pPr>
        <w:pStyle w:val="Heading2"/>
        <w:jc w:val="center"/>
        <w:rPr>
          <w:rFonts w:ascii="Palatino Linotype" w:cs="Palatino Linotype" w:eastAsia="Palatino Linotype" w:hAnsi="Palatino Linotype"/>
          <w:b w:val="1"/>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Solicitudes de acceso a la información.</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rtl w:val="0"/>
        </w:rPr>
        <w:t xml:space="preserve">Con fecha primero</w:t>
      </w:r>
      <w:r w:rsidDel="00000000" w:rsidR="00000000" w:rsidRPr="00000000">
        <w:rPr>
          <w:rFonts w:ascii="Palatino Linotype" w:cs="Palatino Linotype" w:eastAsia="Palatino Linotype" w:hAnsi="Palatino Linotype"/>
          <w:b w:val="1"/>
          <w:rtl w:val="0"/>
        </w:rPr>
        <w:t xml:space="preserve"> de junio del dos mil veintidós,</w:t>
      </w:r>
      <w:r w:rsidDel="00000000" w:rsidR="00000000" w:rsidRPr="00000000">
        <w:rPr>
          <w:rFonts w:ascii="Palatino Linotype" w:cs="Palatino Linotype" w:eastAsia="Palatino Linotype" w:hAnsi="Palatino Linotype"/>
          <w:rtl w:val="0"/>
        </w:rPr>
        <w:t xml:space="preserve"> la ahora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solicitudes de acceso a la información pública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requiriendo lo siguiente:</w:t>
      </w:r>
    </w:p>
    <w:p w:rsidR="00000000" w:rsidDel="00000000" w:rsidP="00000000" w:rsidRDefault="00000000" w:rsidRPr="00000000" w14:paraId="00000005">
      <w:pPr>
        <w:spacing w:after="0" w:before="240" w:lineRule="auto"/>
        <w:ind w:left="851" w:right="902"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Solicitud 00406/CHIMALHU/IP/2022 </w:t>
      </w:r>
    </w:p>
    <w:p w:rsidR="00000000" w:rsidDel="00000000" w:rsidP="00000000" w:rsidRDefault="00000000" w:rsidRPr="00000000" w14:paraId="00000006">
      <w:pPr>
        <w:spacing w:after="0" w:before="0" w:lineRule="auto"/>
        <w:ind w:left="851" w:right="902"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7">
      <w:pPr>
        <w:spacing w:after="0" w:before="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la adquisición de patrullas, entregados en el evento entrega de resultados de los 150 días de la administración 2022-2024 del H. Ayuntamiento de Chimalhuacán, solicitó copia simple a través del sistema SAIMEX soporte documental de: 1.- El estudio o investigación de mercado. 2.-La determinación de precio para la evaluación de las propuestas. 3.-Modalidad de contratación, en caso de que sea un proceso básico de contratación, es decir licitación pública: solicitó documentación de la misma de soporte que se haya realizado cada paso conforme a la ley. En caso de que sea una contratación a licitación pública, solicitó la justificación y registro del caso de excepción. 4.-Por último, soporte documental del gasto realizado, facturas, ordenes de pago, comprobantes de pago, donde señale la descripción en cuanto a la unidad adquirida, cantidad, costo unitario e importe por el moto total que se pagó por las unidades. Lo anterior solicitado bajo el principio máximo de publicidad. “(Sic)</w:t>
      </w:r>
    </w:p>
    <w:p w:rsidR="00000000" w:rsidDel="00000000" w:rsidP="00000000" w:rsidRDefault="00000000" w:rsidRPr="00000000" w14:paraId="00000008">
      <w:pPr>
        <w:spacing w:after="240" w:before="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9">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Solicitud 00402/CHIMALHU/IP/2022:</w:t>
      </w:r>
    </w:p>
    <w:p w:rsidR="00000000" w:rsidDel="00000000" w:rsidP="00000000" w:rsidRDefault="00000000" w:rsidRPr="00000000" w14:paraId="0000000A">
      <w:pPr>
        <w:spacing w:after="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la adquisición de 50 vehículos patrulla, entregados en el evento "entrega de resultados de los 150 días de la administración 2022-2024 del H. Ayuntamiento de Chimalhuacán", solicitó copia simple a través del sistema SAIMEX soporte documental de: a) Diagnóstico de necesidad de compra. b) El programa anual de adquisiciones. c) El estudio o investigación de mercado. d) La determinación de precio para la evaluación de las propuestas. e) Modalidad de contratación, en caso de que sea un proceso básico de contratación, es decir licitación pública: solicitó documentación de la misma de soporte que se haya realizado cada paso conforme a la ley. En caso de que sea una contratación a licitación pública, solicitó la justificación y registro del caso de excepción. f) Por último, del fallo solicitó soporte documental de la descripción en cuanto a la unidad adquirida, cantidad, costo unitario e importe y copia simple de la factura por el moto total que se pagó por las unidades.?”.</w:t>
      </w:r>
    </w:p>
    <w:p w:rsidR="00000000" w:rsidDel="00000000" w:rsidP="00000000" w:rsidRDefault="00000000" w:rsidRPr="00000000" w14:paraId="0000000B">
      <w:pPr>
        <w:spacing w:after="240" w:before="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C">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Solicitud 00404/CHIMALHU/IP/2022:</w:t>
      </w:r>
    </w:p>
    <w:p w:rsidR="00000000" w:rsidDel="00000000" w:rsidP="00000000" w:rsidRDefault="00000000" w:rsidRPr="00000000" w14:paraId="0000000D">
      <w:pPr>
        <w:spacing w:after="0" w:before="240" w:lineRule="auto"/>
        <w:ind w:left="851" w:right="902"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i w:val="1"/>
          <w:sz w:val="22"/>
          <w:szCs w:val="22"/>
          <w:rtl w:val="0"/>
        </w:rPr>
        <w:t xml:space="preserve">“De la adquisición de 50 vehículos patrulla, entregados en el evento entrega de resultados de los 150 días de la administración 2022-2024 del H. Ayuntamiento de Chimalhuacán, solicitó copia simple a través del sistema SAIMEX soporte documental de: 1.- El estudio o investigación de mercado. 2.-La determinación de precio para la evaluación de las propuestas. 3.-Modalidad de contratación, en caso de que sea un proceso básico de contratación, es decir licitación pública: solicitó documentación de la misma de soporte que se haya realizado cada paso conforme a la ley. En caso de que sea una contratación a licitación pública, solicitó la justificación y registro del caso de excepción. 4.-Por último, soporte documental del gasto realizado, facturas, ordenes de pago, comprobantes de pago, donde señale la descripción en cuanto a la unidad adquirida, cantidad, costo unitario e importe por el moto total que se pago por las unidades.”(Sic)</w:t>
      </w:r>
      <w:r w:rsidDel="00000000" w:rsidR="00000000" w:rsidRPr="00000000">
        <w:rPr>
          <w:rtl w:val="0"/>
        </w:rPr>
      </w:r>
    </w:p>
    <w:p w:rsidR="00000000" w:rsidDel="00000000" w:rsidP="00000000" w:rsidRDefault="00000000" w:rsidRPr="00000000" w14:paraId="0000000E">
      <w:pPr>
        <w:spacing w:after="240" w:before="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F">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Modalidad de entrega de la información</w:t>
      </w:r>
      <w:r w:rsidDel="00000000" w:rsidR="00000000" w:rsidRPr="00000000">
        <w:rPr>
          <w:rFonts w:ascii="Palatino Linotype" w:cs="Palatino Linotype" w:eastAsia="Palatino Linotype" w:hAnsi="Palatino Linotype"/>
          <w:rtl w:val="0"/>
        </w:rPr>
        <w:t xml:space="preserve">: a través del SAIMEX. </w:t>
      </w:r>
      <w:r w:rsidDel="00000000" w:rsidR="00000000" w:rsidRPr="00000000">
        <w:rPr>
          <w:rtl w:val="0"/>
        </w:rPr>
      </w:r>
    </w:p>
    <w:p w:rsidR="00000000" w:rsidDel="00000000" w:rsidP="00000000" w:rsidRDefault="00000000" w:rsidRPr="00000000" w14:paraId="0000001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Respuestas.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veintidós de junio del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otorgó,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respuestas a las solicitudes de acceso a la información de la siguiente manera:</w:t>
      </w:r>
    </w:p>
    <w:p w:rsidR="00000000" w:rsidDel="00000000" w:rsidP="00000000" w:rsidRDefault="00000000" w:rsidRPr="00000000" w14:paraId="00000011">
      <w:pPr>
        <w:spacing w:after="0" w:before="240" w:lineRule="auto"/>
        <w:ind w:left="851" w:right="902"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rtl w:val="0"/>
        </w:rPr>
        <w:t xml:space="preserve">Para la </w:t>
      </w:r>
      <w:r w:rsidDel="00000000" w:rsidR="00000000" w:rsidRPr="00000000">
        <w:rPr>
          <w:rFonts w:ascii="Palatino Linotype" w:cs="Palatino Linotype" w:eastAsia="Palatino Linotype" w:hAnsi="Palatino Linotype"/>
          <w:b w:val="1"/>
          <w:sz w:val="22"/>
          <w:szCs w:val="22"/>
          <w:rtl w:val="0"/>
        </w:rPr>
        <w:t xml:space="preserve">Solicitud 00406/CHIMALHU/IP/2022: </w:t>
      </w:r>
    </w:p>
    <w:p w:rsidR="00000000" w:rsidDel="00000000" w:rsidP="00000000" w:rsidRDefault="00000000" w:rsidRPr="00000000" w14:paraId="00000012">
      <w:pPr>
        <w:spacing w:after="24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3">
      <w:pPr>
        <w:spacing w:after="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no existe registro en las documentales del presente ejercicio fiscal sobre procedimiento de licitación referente a la ADQUISICIÓN DE PATRULLAS</w:t>
      </w:r>
      <w:r w:rsidDel="00000000" w:rsidR="00000000" w:rsidRPr="00000000">
        <w:rPr>
          <w:rFonts w:ascii="Palatino Linotype" w:cs="Palatino Linotype" w:eastAsia="Palatino Linotype" w:hAnsi="Palatino Linotype"/>
          <w:i w:val="1"/>
          <w:sz w:val="22"/>
          <w:szCs w:val="22"/>
          <w:rtl w:val="0"/>
        </w:rPr>
        <w:t xml:space="preserve">; por lo que no ha lugar a entregar la información en los términos en los que fueron solicitados..” (Sic)</w:t>
      </w:r>
    </w:p>
    <w:p w:rsidR="00000000" w:rsidDel="00000000" w:rsidP="00000000" w:rsidRDefault="00000000" w:rsidRPr="00000000" w14:paraId="00000014">
      <w:pPr>
        <w:spacing w:after="0" w:before="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5">
      <w:pPr>
        <w:spacing w:after="240" w:before="0" w:line="360" w:lineRule="auto"/>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Solicitud 00402/CHIMALHU/IP/2022:</w:t>
      </w:r>
    </w:p>
    <w:p w:rsidR="00000000" w:rsidDel="00000000" w:rsidP="00000000" w:rsidRDefault="00000000" w:rsidRPr="00000000" w14:paraId="00000016">
      <w:pPr>
        <w:spacing w:after="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7">
      <w:pPr>
        <w:spacing w:after="0" w:before="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advierte que la de la búsqueda realizada en los expedientes correspondientes, no existe registro en las documentales del presente ejercicio fiscal sobre procedimiento de licitación referente a la ADQUISICIÓN DE 50 VEHÍCULOS PATRULLAS; por lo que no ha lugar a entregar la información en los términos en los que fueron solicitados en los incisos a), c), d),e),f). . Referente al inciso b) este se encuentra disponible para su consulta en https://compramex.edomex.gob.mx. Sin otro particular por el momento, aprovecho la ocasión para enviarle un cordial saludo.</w:t>
      </w:r>
    </w:p>
    <w:p w:rsidR="00000000" w:rsidDel="00000000" w:rsidP="00000000" w:rsidRDefault="00000000" w:rsidRPr="00000000" w14:paraId="00000018">
      <w:pPr>
        <w:spacing w:after="0" w:before="0" w:lineRule="auto"/>
        <w:ind w:left="851" w:right="90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9">
      <w:pPr>
        <w:spacing w:after="240" w:before="0" w:line="360" w:lineRule="auto"/>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Solicitud 00404/CHIMALHU/IP/2022:</w:t>
      </w:r>
    </w:p>
    <w:p w:rsidR="00000000" w:rsidDel="00000000" w:rsidP="00000000" w:rsidRDefault="00000000" w:rsidRPr="00000000" w14:paraId="0000001A">
      <w:pPr>
        <w:spacing w:after="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de la búsqueda realizada en los expedientes correspondientes, no existe registro en las documentales del presente ejercicio fiscal sobre procedimiento de licitación referente a la adquisición de 50 vehículos patrullas; por lo que no ha lugar a entregar la información en los términos en los que fueron solicitados. Por cuanto hace a la factura por el monto total que se pagó por las unidades, no se ha recibido por parte del proveedor factura alguna a la fecha.”</w:t>
      </w:r>
    </w:p>
    <w:p w:rsidR="00000000" w:rsidDel="00000000" w:rsidP="00000000" w:rsidRDefault="00000000" w:rsidRPr="00000000" w14:paraId="0000001B">
      <w:pPr>
        <w:spacing w:after="0" w:before="0" w:lineRule="auto"/>
        <w:ind w:left="851" w:right="90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C">
      <w:pPr>
        <w:spacing w:after="0" w:before="0" w:lineRule="auto"/>
        <w:ind w:right="90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D">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Recursos de revisión.</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rtl w:val="0"/>
        </w:rPr>
        <w:t xml:space="preserve">Inconforme con las respuestas recibidas,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en fecha </w:t>
      </w:r>
      <w:r w:rsidDel="00000000" w:rsidR="00000000" w:rsidRPr="00000000">
        <w:rPr>
          <w:rFonts w:ascii="Palatino Linotype" w:cs="Palatino Linotype" w:eastAsia="Palatino Linotype" w:hAnsi="Palatino Linotype"/>
          <w:b w:val="1"/>
          <w:rtl w:val="0"/>
        </w:rPr>
        <w:t xml:space="preserve">veintidós de junio de dos mil veintidós</w:t>
      </w:r>
      <w:r w:rsidDel="00000000" w:rsidR="00000000" w:rsidRPr="00000000">
        <w:rPr>
          <w:rFonts w:ascii="Palatino Linotype" w:cs="Palatino Linotype" w:eastAsia="Palatino Linotype" w:hAnsi="Palatino Linotype"/>
          <w:rtl w:val="0"/>
        </w:rPr>
        <w:t xml:space="preserve">, los presentes medios de impugnación expresando las siguientes manifestaciones:</w:t>
      </w:r>
    </w:p>
    <w:p w:rsidR="00000000" w:rsidDel="00000000" w:rsidP="00000000" w:rsidRDefault="00000000" w:rsidRPr="00000000" w14:paraId="0000001E">
      <w:pPr>
        <w:spacing w:after="0" w:before="0" w:line="360" w:lineRule="auto"/>
        <w:ind w:left="567"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1F">
      <w:pPr>
        <w:spacing w:after="0" w:before="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“Sujeto obligado niega el acceso a la información pública solicitada mediante oficio con folio… “(Sic)</w:t>
      </w:r>
    </w:p>
    <w:p w:rsidR="00000000" w:rsidDel="00000000" w:rsidP="00000000" w:rsidRDefault="00000000" w:rsidRPr="00000000" w14:paraId="00000020">
      <w:pPr>
        <w:spacing w:after="0" w:before="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1">
      <w:pPr>
        <w:spacing w:after="240" w:before="0" w:line="360" w:lineRule="auto"/>
        <w:ind w:left="567"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Razones o motivos de inconformidad.</w:t>
      </w:r>
    </w:p>
    <w:p w:rsidR="00000000" w:rsidDel="00000000" w:rsidP="00000000" w:rsidRDefault="00000000" w:rsidRPr="00000000" w14:paraId="00000022">
      <w:pPr>
        <w:spacing w:after="240" w:before="240" w:lineRule="auto"/>
        <w:ind w:left="851"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i w:val="1"/>
          <w:sz w:val="22"/>
          <w:szCs w:val="22"/>
          <w:rtl w:val="0"/>
        </w:rPr>
        <w:t xml:space="preserve">“El sujeto obligado Ayuntamiento de Chimalhuacán niega la atención de petición de información pública correspondiente a la adquisición de 50 vehículos patrulla. La información solicitada forma parte de las obligaciones comunes de transparencia enmarcadas en la Ley De Transparencia y Acceso a la Información Pública del Estado De México y Municipios. El sujeto obligado menciona que no existe registros documentales de la información de la adquisición de vehículos compactadores de basura, carritos de basura y equipamiento por lo que no hay lugar para entregar la información solicitada. Sin embargo y citando el artículo 19 de la Ley De Transparencia y Acceso a la Información Pública del Estado De México y Municipios, señala: “Se presume que la información debe existir si se refiere a las facultades, competencias y funciones que los ordenamientos jurídicos aplicables otorgan a los sujetos obligados” Así mismo, el artículo 92 fracción XXIX, señala: “La información sobre los procesos y resultados sobre procedimientos de adjudicación directa, invitación restringida y licitación de cualquier naturaleza, y de los contratos celebrados” a) De licitaciones públicas o procedimientos de invitación restringida: 1) La convocatoria o invitación emitida, así como los fundamentos legales aplicados para llevarla a cabo; 2) Los nombres de los participantes o invitados; 3) El nombre del ganador y las razones que lo justifican; 4) El área solicitante y la responsable de su ejecución; 5) Las convocatorias e invitaciones emitidas; 6) Los dictámenes y fallo de adjudicación; 7) El contrato y, en su caso, sus anexos; 8) Los mecanismos de vigilancia y supervisión, incluyendo en su caso, los estudios de impacto urbano y ambiental, según corresponda; 9) La partida presupuestal, de conformidad con el clasificador por objeto del gasto, en el caso de ser aplicable; 10) Origen de los recursos especificando si son federales, estatales o municipales, así como el tipo de fondo de participación o aportación respectiva; 11) Los convenios modificatorios que, en su caso, sean firmados, precisando el objeto y la fecha de celebración; 12) Los informes de avance físico y financiero sobre las obras o servicios contratados; 13) El convenio de terminación; y 14) El finiquito. b) De las adjudicaciones directas: 1) La propuesta enviada por el participante; 2) Los motivos y fundamentos legales aplicados para llevarla a cabo; 3) La autorización del ejercicio de la opción; 4) En su caso, las cotizaciones consideradas, especificando los nombres de los proveedores y sus montos; 5) El nombre de la persona física o jurídica colectiva adjudicada; 6) La unidad administrativa solicitante y la responsable de su ejecución; 7) El número, fecha, el monto del contrato y el plazo de entrega o de ejecución de los servicios u obra; 8) Los mecanismos de vigilancia y supervisión, incluyendo, en su caso, los estudios de impacto urbano y ambiental, según corresponda; 9) Los informes de avance sobre las obras o servicios contratados; 10) El convenio de terminación; y 11) El finiquito. De manera que en este orden de ideas se estima que la contratación, compra, renta o adquisición de vehículos patrulla sea por medio de licitación pública, restringida o adjudicación directa debe de existir soporte documental, pero el sujeto obligado mantiene la negativa de brindar la información publica solicitada, violentando el principio de máxima publicidad que emana del artículo 5°, fracción III, de la Constitución Política del Estado Libre y Soberano de México y los preceptos de la Ley De Transparencia y Acceso a la Información Pública del Estado De México y Municipios anteriormente enunciados. Por otra parte, el sujeto obligado actúa de mala fe, esto al mencionar que no existe soporte documental de la adquisición de vehículos patrulla, puesto que el Articulo 26 de la Ley de Contratación Pública del Estado de México y Municipios señala: “Las adquisiciones, arrendamientos y servicios se adjudicarán a través de licitaciones públicas, mediante convocatoria pública” O bien Articulo 27 “La Secretaría, las entidades, los tribunales administrativos y los ayuntamientos podrán adjudicar adquisiciones, arrendamientos y servicios, mediante las excepciones al procedimiento de licitación que a continuación se señalan: I. Invitación restringida. II. II. Adjudicación directa” Así mismo, el Reglamento de la Ley de Contratación pública del Estado de México y Municipios Señala que los municipios previamente a la adquisición deberán realizar estudios de mercado, de manera que debe de haber un estudio de mercado previo a la adquisición, mismo que advierte el sujeto obligado no existe. (Sic)</w:t>
      </w:r>
      <w:r w:rsidDel="00000000" w:rsidR="00000000" w:rsidRPr="00000000">
        <w:rPr>
          <w:rtl w:val="0"/>
        </w:rPr>
      </w:r>
    </w:p>
    <w:p w:rsidR="00000000" w:rsidDel="00000000" w:rsidP="00000000" w:rsidRDefault="00000000" w:rsidRPr="00000000" w14:paraId="00000023">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Transparencia y Acceso a la Información Pública, los recursos de revisión fueron turnados en el siguiente orden, a efecto de presentar al Pleno los proyectos de resolución correspondientes.</w:t>
      </w:r>
      <w:r w:rsidDel="00000000" w:rsidR="00000000" w:rsidRPr="00000000">
        <w:rPr>
          <w:rtl w:val="0"/>
        </w:rPr>
      </w:r>
    </w:p>
    <w:tbl>
      <w:tblPr>
        <w:tblStyle w:val="Table1"/>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6"/>
        <w:gridCol w:w="5572"/>
        <w:tblGridChange w:id="0">
          <w:tblGrid>
            <w:gridCol w:w="3256"/>
            <w:gridCol w:w="5572"/>
          </w:tblGrid>
        </w:tblGridChange>
      </w:tblGrid>
      <w:tr>
        <w:trPr>
          <w:cantSplit w:val="0"/>
          <w:tblHeader w:val="0"/>
        </w:trPr>
        <w:tc>
          <w:tcPr>
            <w:shd w:fill="d9d9d9" w:val="clear"/>
          </w:tcPr>
          <w:p w:rsidR="00000000" w:rsidDel="00000000" w:rsidP="00000000" w:rsidRDefault="00000000" w:rsidRPr="00000000" w14:paraId="00000024">
            <w:pPr>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Recurso de Revisión </w:t>
            </w:r>
          </w:p>
        </w:tc>
        <w:tc>
          <w:tcPr>
            <w:shd w:fill="d9d9d9" w:val="clear"/>
          </w:tcPr>
          <w:p w:rsidR="00000000" w:rsidDel="00000000" w:rsidP="00000000" w:rsidRDefault="00000000" w:rsidRPr="00000000" w14:paraId="00000025">
            <w:pPr>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Comisionada (o) </w:t>
            </w:r>
          </w:p>
        </w:tc>
      </w:tr>
      <w:tr>
        <w:trPr>
          <w:cantSplit w:val="0"/>
          <w:tblHeader w:val="0"/>
        </w:trPr>
        <w:tc>
          <w:tcPr/>
          <w:p w:rsidR="00000000" w:rsidDel="00000000" w:rsidP="00000000" w:rsidRDefault="00000000" w:rsidRPr="00000000" w14:paraId="00000026">
            <w:pPr>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12004/INFOEM/IP/RR/2022 </w:t>
            </w:r>
          </w:p>
        </w:tc>
        <w:tc>
          <w:tcPr/>
          <w:p w:rsidR="00000000" w:rsidDel="00000000" w:rsidP="00000000" w:rsidRDefault="00000000" w:rsidRPr="00000000" w14:paraId="00000027">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Comisionada Guadalupe Ramírez Peña</w:t>
            </w:r>
          </w:p>
        </w:tc>
      </w:tr>
      <w:tr>
        <w:trPr>
          <w:cantSplit w:val="0"/>
          <w:tblHeader w:val="0"/>
        </w:trPr>
        <w:tc>
          <w:tcPr/>
          <w:p w:rsidR="00000000" w:rsidDel="00000000" w:rsidP="00000000" w:rsidRDefault="00000000" w:rsidRPr="00000000" w14:paraId="00000028">
            <w:pPr>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12005/INFOEM/IP/RR/2022</w:t>
            </w:r>
          </w:p>
        </w:tc>
        <w:tc>
          <w:tcPr/>
          <w:p w:rsidR="00000000" w:rsidDel="00000000" w:rsidP="00000000" w:rsidRDefault="00000000" w:rsidRPr="00000000" w14:paraId="00000029">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Comisionado Presidente José Martínez Vilchis</w:t>
            </w:r>
          </w:p>
        </w:tc>
      </w:tr>
      <w:tr>
        <w:trPr>
          <w:cantSplit w:val="0"/>
          <w:tblHeader w:val="0"/>
        </w:trPr>
        <w:tc>
          <w:tcPr/>
          <w:p w:rsidR="00000000" w:rsidDel="00000000" w:rsidP="00000000" w:rsidRDefault="00000000" w:rsidRPr="00000000" w14:paraId="0000002A">
            <w:pPr>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12008/INFOEM/IP/RR/2022</w:t>
            </w:r>
          </w:p>
        </w:tc>
        <w:tc>
          <w:tcPr/>
          <w:p w:rsidR="00000000" w:rsidDel="00000000" w:rsidP="00000000" w:rsidRDefault="00000000" w:rsidRPr="00000000" w14:paraId="0000002B">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Comisionada María del Rosario Mejía Ayala</w:t>
            </w:r>
          </w:p>
        </w:tc>
      </w:tr>
    </w:tbl>
    <w:p w:rsidR="00000000" w:rsidDel="00000000" w:rsidP="00000000" w:rsidRDefault="00000000" w:rsidRPr="00000000" w14:paraId="0000002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veintisiete y veintiocho de junio de dos mil veintidós</w:t>
      </w:r>
      <w:r w:rsidDel="00000000" w:rsidR="00000000" w:rsidRPr="00000000">
        <w:rPr>
          <w:rFonts w:ascii="Palatino Linotype" w:cs="Palatino Linotype" w:eastAsia="Palatino Linotype" w:hAnsi="Palatino Linotype"/>
          <w:rtl w:val="0"/>
        </w:rPr>
        <w:t xml:space="preserve">, este Órgano Garante, admitió a trámite los recursos de revisión respectivos,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rsidR="00000000" w:rsidDel="00000000" w:rsidP="00000000" w:rsidRDefault="00000000" w:rsidRPr="00000000" w14:paraId="0000002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Acumulación.</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 En la Vigésima Quinta  Sesión ordinaria celebrada el seis de julio de la presente anualidad, al advertir la conexidad de causa y con la finalidad de evitar que se dicten resoluciones contradictorias, de conformidad con el diverso 195  de la Ley de Transparencia y Acceso a la Información Pública del Estado de México y Municipios en consonancia con el arábigo 18 del Código de Procedimientos Administrativos del Estado de México, se acordó la acumulación de los recurso de revisión antes señalados, acordando que fuera ponente la Comisionada Guadalupe Ramírez Peña y que mediante acuerdo fueron notificadas las partes.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240" w:before="12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7. Manifestaciones.</w:t>
      </w: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las constancias que integran el expediente en que se actúan se advierte que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y la parte recurrente fueron omisas en manifestarse en esta etapa procesal, tal como se advierte en las siguientes imágenes.</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240" w:before="12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240" w:before="12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inline distB="0" distT="0" distL="0" distR="0">
            <wp:extent cx="5612130" cy="1677670"/>
            <wp:effectExtent b="0" l="0" r="0" t="0"/>
            <wp:docPr id="1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612130" cy="167767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240" w:before="12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inline distB="0" distT="0" distL="0" distR="0">
            <wp:extent cx="5612130" cy="1603375"/>
            <wp:effectExtent b="0" l="0" r="0" t="0"/>
            <wp:docPr id="1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612130" cy="1603375"/>
                    </a:xfrm>
                    <a:prstGeom prst="rect"/>
                    <a:ln/>
                  </pic:spPr>
                </pic:pic>
              </a:graphicData>
            </a:graphic>
          </wp:inline>
        </w:drawing>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240" w:before="12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8. Ampliación de plazo.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fecha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catorce y veinte de diciembre de dos mil veintidós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 fundamento en el artículo 181, párrafo tercero de la Ley de Transparencia y Acceso a la Información Pública del Estado de México y Municipios, se acordó la aplicación del plazo para su resolución.</w:t>
      </w:r>
    </w:p>
    <w:p w:rsidR="00000000" w:rsidDel="00000000" w:rsidP="00000000" w:rsidRDefault="00000000" w:rsidRPr="00000000" w14:paraId="0000003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3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3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3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3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B">
      <w:pPr>
        <w:spacing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3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D">
      <w:pPr>
        <w:numPr>
          <w:ilvl w:val="0"/>
          <w:numId w:val="1"/>
        </w:numPr>
        <w:spacing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3E">
      <w:pPr>
        <w:spacing w:line="360" w:lineRule="auto"/>
        <w:ind w:left="92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F">
      <w:pPr>
        <w:numPr>
          <w:ilvl w:val="0"/>
          <w:numId w:val="1"/>
        </w:numPr>
        <w:spacing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4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1">
      <w:pPr>
        <w:numPr>
          <w:ilvl w:val="0"/>
          <w:numId w:val="1"/>
        </w:numPr>
        <w:spacing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42">
      <w:pPr>
        <w:spacing w:line="360" w:lineRule="auto"/>
        <w:ind w:left="708"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3">
      <w:pPr>
        <w:spacing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La afectación generada en la situación jurídica de la persona involucrada en el proceso: Violación a sus derechos humanos.</w:t>
      </w:r>
    </w:p>
    <w:p w:rsidR="00000000" w:rsidDel="00000000" w:rsidP="00000000" w:rsidRDefault="00000000" w:rsidRPr="00000000" w14:paraId="0000004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4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7">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4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4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4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4E">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5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los presentes asuntos, resulta de carácter excepcional.</w:t>
      </w:r>
    </w:p>
    <w:p w:rsidR="00000000" w:rsidDel="00000000" w:rsidP="00000000" w:rsidRDefault="00000000" w:rsidRPr="00000000" w14:paraId="0000005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240" w:before="12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8. Cierre de Instrucción.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fecha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catorce y veinte de diciembre de dos mil veintidós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se emitió el acuerdo por medio del cual se declaró cerrada la instrucción, pasando los expedientes a resolución, debido a que fueron debidamente substanciados y no existiendo diligencia pendiente de desahogo, en términos del artículo 185 fracciones VI y VIII de la Ley de Transparencia y Acceso a la Información Pública del Estado de México y Municipios, el cual fue notificado a las partes en la misma fecha. </w:t>
      </w: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4">
      <w:pPr>
        <w:pStyle w:val="Heading2"/>
        <w:jc w:val="center"/>
        <w:rPr>
          <w:rFonts w:ascii="Palatino Linotype" w:cs="Palatino Linotype" w:eastAsia="Palatino Linotype" w:hAnsi="Palatino Linotype"/>
          <w:b w:val="1"/>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II. C O N S I D E R A N D O S:</w:t>
      </w:r>
    </w:p>
    <w:p w:rsidR="00000000" w:rsidDel="00000000" w:rsidP="00000000" w:rsidRDefault="00000000" w:rsidRPr="00000000" w14:paraId="00000055">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highlight w:val="white"/>
          <w:rtl w:val="0"/>
        </w:rPr>
        <w:t xml:space="preserve">El Instituto de Transparencia, Acceso a la Información Pública y Protección de Datos Personales del Estado de México y Municipios, es competente para conocer y resolver los presentes recursos de revisión interpuestos por la parte </w:t>
      </w:r>
      <w:r w:rsidDel="00000000" w:rsidR="00000000" w:rsidRPr="00000000">
        <w:rPr>
          <w:rFonts w:ascii="Palatino Linotype" w:cs="Palatino Linotype" w:eastAsia="Palatino Linotype" w:hAnsi="Palatino Linotype"/>
          <w:b w:val="1"/>
          <w:highlight w:val="white"/>
          <w:rtl w:val="0"/>
        </w:rPr>
        <w:t xml:space="preserve">recurrente</w:t>
      </w:r>
      <w:r w:rsidDel="00000000" w:rsidR="00000000" w:rsidRPr="00000000">
        <w:rPr>
          <w:rFonts w:ascii="Palatino Linotype" w:cs="Palatino Linotype" w:eastAsia="Palatino Linotype" w:hAnsi="Palatino Linotype"/>
          <w:highlight w:val="white"/>
          <w:rtl w:val="0"/>
        </w:rPr>
        <w:t xml:space="preserve">, conforme a lo dispuesto en los artículos 6, apartado A de la Constitución Política de los Estados Unidos Mexicanos; 5, párrafos trigésimo,  trigésimo primero, y trigésimo segundo fracción IV y V de la Constitución Política del Estado Libre y Soberano de México; 1, 2, fracción II; 13,  29, 36, fracciones I y II; 176, 178, 179, 181 párrafo 3 y 185 de la Ley Transparencia y Acceso a la Información Pública del Estado de México y Municipios; </w:t>
      </w:r>
      <w:r w:rsidDel="00000000" w:rsidR="00000000" w:rsidRPr="00000000">
        <w:rPr>
          <w:rFonts w:ascii="Palatino Linotype" w:cs="Palatino Linotype" w:eastAsia="Palatino Linotype" w:hAnsi="Palatino Linotype"/>
          <w:rtl w:val="0"/>
        </w:rPr>
        <w:t xml:space="preserve">9 fracciones I, XXIV y 11 </w:t>
      </w:r>
      <w:r w:rsidDel="00000000" w:rsidR="00000000" w:rsidRPr="00000000">
        <w:rPr>
          <w:rFonts w:ascii="Palatino Linotype" w:cs="Palatino Linotype" w:eastAsia="Palatino Linotype" w:hAnsi="Palatino Linotype"/>
          <w:highlight w:val="white"/>
          <w:rtl w:val="0"/>
        </w:rPr>
        <w:t xml:space="preserve">del Reglamento Interior del Instituto de Transparencia, Acceso a la Información Pública y Protección de Datos Personales del Estado de México y Municipios.</w:t>
      </w:r>
      <w:r w:rsidDel="00000000" w:rsidR="00000000" w:rsidRPr="00000000">
        <w:rPr>
          <w:rtl w:val="0"/>
        </w:rPr>
      </w:r>
    </w:p>
    <w:p w:rsidR="00000000" w:rsidDel="00000000" w:rsidP="00000000" w:rsidRDefault="00000000" w:rsidRPr="00000000" w14:paraId="00000056">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rtl w:val="0"/>
        </w:rPr>
        <w:t xml:space="preserve">De conformidad con los requisitos de Oportunidad y Procedibilidad que deben reunir los recursos de revisión interpuestos, previstos en los artículos 178 y 180 de la Ley de Transparencia y Acceso a la Información Pública del Estado de México y Municipios; en la especie se advierte que los presentes medios de impugnación fueron interpuestos dentro del plazo de quince días previsto en el primer artículo de referencia;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emitió sus respuestas a las solicitudes planteadas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veintidós de junio del año dos mil veintidós</w:t>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presentó sus recursos de revisión el mismo día, circunstancia que no es determinante para declararlos extemporáneos, toda vez que el tiempo concedido es para delimitar el término en que puede impugnarse la respuesta, lo cual no impide  que se presente antes de iniciado el plazo previsto. </w:t>
      </w:r>
      <w:r w:rsidDel="00000000" w:rsidR="00000000" w:rsidRPr="00000000">
        <w:rPr>
          <w:rtl w:val="0"/>
        </w:rPr>
      </w:r>
    </w:p>
    <w:p w:rsidR="00000000" w:rsidDel="00000000" w:rsidP="00000000" w:rsidRDefault="00000000" w:rsidRPr="00000000" w14:paraId="0000005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Criterio 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000000" w:rsidDel="00000000" w:rsidP="00000000" w:rsidRDefault="00000000" w:rsidRPr="00000000" w14:paraId="00000058">
      <w:pPr>
        <w:widowControl w:val="0"/>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RECURSO DE RECLAMACIÓN. SU INTERPOSICIÓN NO ES EXTEMPORÁNEA SI SE REALIZA ANTES DE QUE INICIE EL PLAZO PARA HACERLO.</w:t>
      </w:r>
    </w:p>
    <w:p w:rsidR="00000000" w:rsidDel="00000000" w:rsidP="00000000" w:rsidRDefault="00000000" w:rsidRPr="00000000" w14:paraId="00000059">
      <w:pPr>
        <w:widowControl w:val="0"/>
        <w:ind w:left="567"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A">
      <w:pPr>
        <w:widowControl w:val="0"/>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w:t>
      </w:r>
    </w:p>
    <w:p w:rsidR="00000000" w:rsidDel="00000000" w:rsidP="00000000" w:rsidRDefault="00000000" w:rsidRPr="00000000" w14:paraId="0000005B">
      <w:pPr>
        <w:widowControl w:val="0"/>
        <w:ind w:left="567"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C">
      <w:pPr>
        <w:widowControl w:val="0"/>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ahí que si dicho recurso se interpone antes de que inicie el plazo para hacerlo, su presentación no es extemporánea.</w:t>
      </w:r>
    </w:p>
    <w:p w:rsidR="00000000" w:rsidDel="00000000" w:rsidP="00000000" w:rsidRDefault="00000000" w:rsidRPr="00000000" w14:paraId="0000005D">
      <w:pPr>
        <w:widowControl w:val="0"/>
        <w:ind w:left="567"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E">
      <w:pPr>
        <w:widowControl w:val="0"/>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000000" w:rsidDel="00000000" w:rsidP="00000000" w:rsidRDefault="00000000" w:rsidRPr="00000000" w14:paraId="0000005F">
      <w:pPr>
        <w:widowControl w:val="0"/>
        <w:ind w:left="567"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0">
      <w:pPr>
        <w:widowControl w:val="0"/>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000000" w:rsidDel="00000000" w:rsidP="00000000" w:rsidRDefault="00000000" w:rsidRPr="00000000" w14:paraId="00000061">
      <w:pPr>
        <w:widowControl w:val="0"/>
        <w:ind w:left="567"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2">
      <w:pPr>
        <w:widowControl w:val="0"/>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rsidR="00000000" w:rsidDel="00000000" w:rsidP="00000000" w:rsidRDefault="00000000" w:rsidRPr="00000000" w14:paraId="00000063">
      <w:pPr>
        <w:widowControl w:val="0"/>
        <w:ind w:left="567"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4">
      <w:pPr>
        <w:widowControl w:val="0"/>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rsidR="00000000" w:rsidDel="00000000" w:rsidP="00000000" w:rsidRDefault="00000000" w:rsidRPr="00000000" w14:paraId="00000065">
      <w:pPr>
        <w:widowControl w:val="0"/>
        <w:ind w:left="567"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6">
      <w:pPr>
        <w:widowControl w:val="0"/>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000000" w:rsidDel="00000000" w:rsidP="00000000" w:rsidRDefault="00000000" w:rsidRPr="00000000" w14:paraId="00000067">
      <w:pPr>
        <w:widowControl w:val="0"/>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Tesis de jurisprudencia 41/2015 (10a.). Aprobada por la Primera Sala de este Alto Tribunal, en sesión privada de veintisiete de mayo de dos mil quince.</w:t>
      </w:r>
    </w:p>
    <w:p w:rsidR="00000000" w:rsidDel="00000000" w:rsidP="00000000" w:rsidRDefault="00000000" w:rsidRPr="00000000" w14:paraId="00000068">
      <w:pPr>
        <w:widowControl w:val="0"/>
        <w:ind w:left="567"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9">
      <w:pPr>
        <w:widowControl w:val="0"/>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rsidR="00000000" w:rsidDel="00000000" w:rsidP="00000000" w:rsidRDefault="00000000" w:rsidRPr="00000000" w14:paraId="0000006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B">
      <w:pPr>
        <w:spacing w:line="360" w:lineRule="auto"/>
        <w:jc w:val="both"/>
        <w:rPr/>
      </w:pPr>
      <w:r w:rsidDel="00000000" w:rsidR="00000000" w:rsidRPr="00000000">
        <w:rPr>
          <w:rFonts w:ascii="Palatino Linotype" w:cs="Palatino Linotype" w:eastAsia="Palatino Linotype" w:hAnsi="Palatino Linotype"/>
          <w:rtl w:val="0"/>
        </w:rPr>
        <w:t xml:space="preserve">En ese sentido, al considerar la fecha en que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interpuso los recursos de revisión, estos como ya se refirió se encuentran dentro de los márgenes temporales previstos en el cuerpo de leyes de la materia</w:t>
      </w:r>
      <w:r w:rsidDel="00000000" w:rsidR="00000000" w:rsidRPr="00000000">
        <w:rPr>
          <w:rtl w:val="0"/>
        </w:rPr>
        <w:t xml:space="preserve">.</w:t>
      </w:r>
    </w:p>
    <w:p w:rsidR="00000000" w:rsidDel="00000000" w:rsidP="00000000" w:rsidRDefault="00000000" w:rsidRPr="00000000" w14:paraId="0000006C">
      <w:pPr>
        <w:spacing w:line="360" w:lineRule="auto"/>
        <w:jc w:val="both"/>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360" w:lineRule="auto"/>
        <w:ind w:right="-14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es de suma importancia mencionar que, si bien la parte recurrente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 </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276" w:lineRule="auto"/>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"Las solicitudes anónimas, con nombre incompleto o seudónimo serán procedentes para su trámite por parte del sujeto obligado ante quien se presente.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360" w:lineRule="auto"/>
        <w:ind w:right="-14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360" w:lineRule="auto"/>
        <w:ind w:right="-14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resulta procedente la interposición de los recursos, según lo aducido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razones o motivos de inconformidad, de acuerdo a los artículos 176 y 179, fracción I de la Ley de Transparencia y Acceso a la Información Pública del Estado de México y Municipios; que a la letra dice:</w:t>
      </w:r>
    </w:p>
    <w:p w:rsidR="00000000" w:rsidDel="00000000" w:rsidP="00000000" w:rsidRDefault="00000000" w:rsidRPr="00000000" w14:paraId="00000072">
      <w:pPr>
        <w:spacing w:after="120" w:lineRule="auto"/>
        <w:ind w:left="851" w:right="902" w:firstLine="0"/>
        <w:jc w:val="both"/>
        <w:rPr>
          <w:rFonts w:ascii="Palatino Linotype" w:cs="Palatino Linotype" w:eastAsia="Palatino Linotype" w:hAnsi="Palatino Linotype"/>
          <w:b w:val="1"/>
          <w:i w:val="1"/>
          <w:sz w:val="20"/>
          <w:szCs w:val="20"/>
        </w:rPr>
      </w:pPr>
      <w:r w:rsidDel="00000000" w:rsidR="00000000" w:rsidRPr="00000000">
        <w:rPr>
          <w:rtl w:val="0"/>
        </w:rPr>
      </w:r>
    </w:p>
    <w:p w:rsidR="00000000" w:rsidDel="00000000" w:rsidP="00000000" w:rsidRDefault="00000000" w:rsidRPr="00000000" w14:paraId="00000073">
      <w:pPr>
        <w:spacing w:after="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“Artículo 176. </w:t>
      </w:r>
      <w:r w:rsidDel="00000000" w:rsidR="00000000" w:rsidRPr="00000000">
        <w:rPr>
          <w:rFonts w:ascii="Palatino Linotype" w:cs="Palatino Linotype" w:eastAsia="Palatino Linotype" w:hAnsi="Palatino Linotype"/>
          <w:i w:val="1"/>
          <w:sz w:val="22"/>
          <w:szCs w:val="22"/>
          <w:rtl w:val="0"/>
        </w:rPr>
        <w:t xml:space="preserve">El recurso de revisión es la garantía secundaria mediante la cual se pretende reparar cualquier posible afectación al derecho de acceso a la información pública en términos del presente y siguiente Capítulo.</w:t>
      </w:r>
    </w:p>
    <w:p w:rsidR="00000000" w:rsidDel="00000000" w:rsidP="00000000" w:rsidRDefault="00000000" w:rsidRPr="00000000" w14:paraId="00000074">
      <w:pPr>
        <w:spacing w:after="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75">
      <w:pPr>
        <w:spacing w:after="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76">
      <w:pPr>
        <w:spacing w:after="12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993" w:right="902"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 La negativa a la información solicitada;</w:t>
        <w:br w:type="textWrapping"/>
      </w:r>
    </w:p>
    <w:p w:rsidR="00000000" w:rsidDel="00000000" w:rsidP="00000000" w:rsidRDefault="00000000" w:rsidRPr="00000000" w14:paraId="00000078">
      <w:pPr>
        <w:spacing w:after="120" w:lineRule="auto"/>
        <w:ind w:right="902"/>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 (Sic)</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tl w:val="0"/>
        </w:rPr>
      </w:r>
    </w:p>
    <w:p w:rsidR="00000000" w:rsidDel="00000000" w:rsidP="00000000" w:rsidRDefault="00000000" w:rsidRPr="00000000" w14:paraId="0000007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tras la revisión de los escritos de interposición,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los presentes medios de impugnación.</w:t>
      </w:r>
    </w:p>
    <w:p w:rsidR="00000000" w:rsidDel="00000000" w:rsidP="00000000" w:rsidRDefault="00000000" w:rsidRPr="00000000" w14:paraId="0000007A">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los expedientes electrónicos se advierte, que el tema sobre el que este Órgano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las respuestas otorgadas por el SUJETO OBLIGADO son adecuadas y suficientes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 oportuna.</w:t>
      </w:r>
    </w:p>
    <w:p w:rsidR="00000000" w:rsidDel="00000000" w:rsidP="00000000" w:rsidRDefault="00000000" w:rsidRPr="00000000" w14:paraId="0000007B">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Cuarto. Estudio del asunto. Agotado lo anterior, tenemos</w:t>
      </w:r>
      <w:r w:rsidDel="00000000" w:rsidR="00000000" w:rsidRPr="00000000">
        <w:rPr>
          <w:rFonts w:ascii="Palatino Linotype" w:cs="Palatino Linotype" w:eastAsia="Palatino Linotype" w:hAnsi="Palatino Linotype"/>
          <w:rtl w:val="0"/>
        </w:rPr>
        <w:t xml:space="preserve"> en principio de cuentas que  el artículo 6°, Apartado A), fracción I de la Constitución Política de los Estados Unidos Mexicanos, establece que toda la información en posesión de cualquier autoridad es pública y sólo podrá ser reservada temporalmente por razones de interés público. </w:t>
      </w:r>
      <w:r w:rsidDel="00000000" w:rsidR="00000000" w:rsidRPr="00000000">
        <w:rPr>
          <w:rtl w:val="0"/>
        </w:rPr>
      </w:r>
    </w:p>
    <w:p w:rsidR="00000000" w:rsidDel="00000000" w:rsidP="00000000" w:rsidRDefault="00000000" w:rsidRPr="00000000" w14:paraId="0000007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000000" w:rsidDel="00000000" w:rsidP="00000000" w:rsidRDefault="00000000" w:rsidRPr="00000000" w14:paraId="0000007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 Ley de Transparencia y Acceso a la Información Pública del Estado de México y Municipios (Reglamentaria del artículo 5° de la Constitución Local), establece lo siguiente:</w:t>
      </w:r>
    </w:p>
    <w:p w:rsidR="00000000" w:rsidDel="00000000" w:rsidP="00000000" w:rsidRDefault="00000000" w:rsidRPr="00000000" w14:paraId="0000007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artículo 12, que, quienes generen, recopilen, administren, manejen, procesen, archiven o conserven información pública serán responsables de la misma.</w:t>
      </w:r>
    </w:p>
    <w:p w:rsidR="00000000" w:rsidDel="00000000" w:rsidP="00000000" w:rsidRDefault="00000000" w:rsidRPr="00000000" w14:paraId="0000008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artículo 18, que, los Sujetos Obligados deberán documentar todo acto que derive del ejercicio de sus facultades, competencias o funciones, considerando desde su origen la eventual publicidad y reutilización de la información que generen.</w:t>
      </w:r>
    </w:p>
    <w:p w:rsidR="00000000" w:rsidDel="00000000" w:rsidP="00000000" w:rsidRDefault="00000000" w:rsidRPr="00000000" w14:paraId="0000008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000000" w:rsidDel="00000000" w:rsidP="00000000" w:rsidRDefault="00000000" w:rsidRPr="00000000" w14:paraId="00000084">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lógica,  debe destacarse que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86">
      <w:pPr>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7">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88">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9">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8A">
      <w:pPr>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8C">
      <w:pPr>
        <w:ind w:right="89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D">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8E">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8F">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90">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w:t>
      </w:r>
      <w:r w:rsidDel="00000000" w:rsidR="00000000" w:rsidRPr="00000000">
        <w:rPr>
          <w:rFonts w:ascii="Palatino Linotype" w:cs="Palatino Linotype" w:eastAsia="Palatino Linotype" w:hAnsi="Palatino Linotype"/>
          <w:b w:val="1"/>
          <w:i w:val="1"/>
          <w:sz w:val="22"/>
          <w:szCs w:val="22"/>
          <w:rtl w:val="0"/>
        </w:rPr>
        <w:t xml:space="preserve">Que se trate de información registrada en cualquier soporte documental, que en ejercicio de las atribuciones conferidas, sea generada por los Sujetos Obligados;</w:t>
      </w:r>
      <w:r w:rsidDel="00000000" w:rsidR="00000000" w:rsidRPr="00000000">
        <w:rPr>
          <w:rtl w:val="0"/>
        </w:rPr>
      </w:r>
    </w:p>
    <w:p w:rsidR="00000000" w:rsidDel="00000000" w:rsidP="00000000" w:rsidRDefault="00000000" w:rsidRPr="00000000" w14:paraId="00000091">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92">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93">
      <w:pPr>
        <w:ind w:left="851" w:right="899"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94">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apuntado lo anterior, este Órgano Garante procede al análisis de las razones o motivos de inconformidad hechos valer por la parte recurrente; en tal virtud, tenemos que el particular solicitó respecto de la adquisición de patrullas, entregadas en el evento entrega de resultados de los 150 días de la administración 2022-2024 del Ayuntamiento de Chimalhuacán, el soporte documental de:</w:t>
      </w:r>
    </w:p>
    <w:p w:rsidR="00000000" w:rsidDel="00000000" w:rsidP="00000000" w:rsidRDefault="00000000" w:rsidRPr="00000000" w14:paraId="00000095">
      <w:pPr>
        <w:ind w:left="708"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El estudio o investigación de mercado;</w:t>
      </w:r>
    </w:p>
    <w:p w:rsidR="00000000" w:rsidDel="00000000" w:rsidP="00000000" w:rsidRDefault="00000000" w:rsidRPr="00000000" w14:paraId="00000096">
      <w:pPr>
        <w:ind w:left="708" w:firstLine="0"/>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97">
      <w:pPr>
        <w:ind w:left="708"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2.-La determinación de precio para la evaluación de las propuestas;</w:t>
      </w:r>
    </w:p>
    <w:p w:rsidR="00000000" w:rsidDel="00000000" w:rsidP="00000000" w:rsidRDefault="00000000" w:rsidRPr="00000000" w14:paraId="00000098">
      <w:pPr>
        <w:ind w:left="708" w:firstLine="0"/>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99">
      <w:pPr>
        <w:ind w:left="708"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3.-Modalidad de contratación, en caso de que sea un proceso básico de contratación, es decir licitación pública: solicitó documentación de la misma de soporte que se haya realizado cada paso conforme a la ley. En caso de que sea una contratación a licitación pública, solicitó la justificación y registro del caso de excepción;</w:t>
      </w:r>
    </w:p>
    <w:p w:rsidR="00000000" w:rsidDel="00000000" w:rsidP="00000000" w:rsidRDefault="00000000" w:rsidRPr="00000000" w14:paraId="0000009A">
      <w:pPr>
        <w:ind w:left="708" w:firstLine="0"/>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9B">
      <w:pPr>
        <w:ind w:left="708"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4.-Por último, soporte documental del gasto realizado, facturas, órdenes de pago, comprobantes de pago, donde señale la descripción en cuanto a la unidad adquirida, cantidad, costo unitario e importe por el monto total que se pagó por las unidades.</w:t>
      </w:r>
    </w:p>
    <w:p w:rsidR="00000000" w:rsidDel="00000000" w:rsidP="00000000" w:rsidRDefault="00000000" w:rsidRPr="00000000" w14:paraId="0000009C">
      <w:pPr>
        <w:ind w:left="708"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D">
      <w:pPr>
        <w:ind w:left="708"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5.- Diagnostico de necesidad de compra; y, </w:t>
      </w:r>
    </w:p>
    <w:p w:rsidR="00000000" w:rsidDel="00000000" w:rsidP="00000000" w:rsidRDefault="00000000" w:rsidRPr="00000000" w14:paraId="0000009E">
      <w:pPr>
        <w:ind w:left="708"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F">
      <w:pPr>
        <w:ind w:left="708"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6.- El programa anual de adquisiciones.</w:t>
      </w:r>
    </w:p>
    <w:p w:rsidR="00000000" w:rsidDel="00000000" w:rsidP="00000000" w:rsidRDefault="00000000" w:rsidRPr="00000000" w14:paraId="000000A0">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Agotado lo previo, por orden y método jurídico este pleno considera oportuno comenzar con el análisis del inciso 6) donde el particular solicita del SUJETO OBLIGADO el </w:t>
      </w:r>
      <w:r w:rsidDel="00000000" w:rsidR="00000000" w:rsidRPr="00000000">
        <w:rPr>
          <w:rFonts w:ascii="Palatino Linotype" w:cs="Palatino Linotype" w:eastAsia="Palatino Linotype" w:hAnsi="Palatino Linotype"/>
          <w:b w:val="1"/>
          <w:u w:val="single"/>
          <w:rtl w:val="0"/>
        </w:rPr>
        <w:t xml:space="preserve">programa anual de adquisiciones.</w:t>
      </w:r>
      <w:r w:rsidDel="00000000" w:rsidR="00000000" w:rsidRPr="00000000">
        <w:rPr>
          <w:rtl w:val="0"/>
        </w:rPr>
      </w:r>
    </w:p>
    <w:p w:rsidR="00000000" w:rsidDel="00000000" w:rsidP="00000000" w:rsidRDefault="00000000" w:rsidRPr="00000000" w14:paraId="000000A1">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recordar que de las constancias que de las constancias que integran el expediente electrónico, se advierte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realizó el requerimiento correspondiente al Servidor Público Habilitado, tal como se advierte en la siguiente imagen. </w:t>
      </w:r>
    </w:p>
    <w:p w:rsidR="00000000" w:rsidDel="00000000" w:rsidP="00000000" w:rsidRDefault="00000000" w:rsidRPr="00000000" w14:paraId="000000A2">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1504950"/>
            <wp:effectExtent b="0" l="0" r="0" t="0"/>
            <wp:docPr id="1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612130" cy="150495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importe referir que la Servidora Pública Habilitada a quien se turnó la solicitud de información es la Tesorera Municipal de Chimalhuacán, de acuerdo con los registros publicados en el Portal de Información Pública de Oficio (IPOMEX).</w:t>
      </w:r>
    </w:p>
    <w:p w:rsidR="00000000" w:rsidDel="00000000" w:rsidP="00000000" w:rsidRDefault="00000000" w:rsidRPr="00000000" w14:paraId="000000A4">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1510665"/>
            <wp:effectExtent b="0" l="0" r="0" t="0"/>
            <wp:docPr id="15"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612130" cy="1510665"/>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Es así que, se tiene que la Tesorera Municipal de Chimalhuacán refirió que la documental que daba cuenta del requerimiento del particular, se encontraba disponible para su consulta en </w:t>
      </w:r>
      <w:hyperlink r:id="rId12">
        <w:r w:rsidDel="00000000" w:rsidR="00000000" w:rsidRPr="00000000">
          <w:rPr>
            <w:rFonts w:ascii="Palatino Linotype" w:cs="Palatino Linotype" w:eastAsia="Palatino Linotype" w:hAnsi="Palatino Linotype"/>
            <w:color w:val="000000"/>
            <w:u w:val="single"/>
            <w:rtl w:val="0"/>
          </w:rPr>
          <w:t xml:space="preserve">https://compramex.edomex.gob.mx</w:t>
        </w:r>
      </w:hyperlink>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es oportuno traer a colación el contenido del artículo 161</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000000" w:rsidDel="00000000" w:rsidP="00000000" w:rsidRDefault="00000000" w:rsidRPr="00000000" w14:paraId="000000A7">
      <w:pPr>
        <w:spacing w:after="120" w:before="120" w:line="276"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La fuente</w:t>
      </w:r>
    </w:p>
    <w:p w:rsidR="00000000" w:rsidDel="00000000" w:rsidP="00000000" w:rsidRDefault="00000000" w:rsidRPr="00000000" w14:paraId="000000A8">
      <w:pPr>
        <w:spacing w:after="120" w:before="120" w:line="276"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El lugar y</w:t>
      </w:r>
    </w:p>
    <w:p w:rsidR="00000000" w:rsidDel="00000000" w:rsidP="00000000" w:rsidRDefault="00000000" w:rsidRPr="00000000" w14:paraId="000000A9">
      <w:pPr>
        <w:spacing w:after="120" w:before="120" w:line="276"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 La forma</w:t>
      </w:r>
    </w:p>
    <w:p w:rsidR="00000000" w:rsidDel="00000000" w:rsidP="00000000" w:rsidRDefault="00000000" w:rsidRPr="00000000" w14:paraId="000000AA">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se establece que la fuente de la información deberá ser:</w:t>
      </w:r>
    </w:p>
    <w:p w:rsidR="00000000" w:rsidDel="00000000" w:rsidP="00000000" w:rsidRDefault="00000000" w:rsidRPr="00000000" w14:paraId="000000AB">
      <w:pPr>
        <w:spacing w:after="120" w:before="120" w:line="276"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Precisa</w:t>
      </w:r>
    </w:p>
    <w:p w:rsidR="00000000" w:rsidDel="00000000" w:rsidP="00000000" w:rsidRDefault="00000000" w:rsidRPr="00000000" w14:paraId="000000AC">
      <w:pPr>
        <w:spacing w:after="120" w:before="120" w:line="276"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Concreta</w:t>
      </w:r>
    </w:p>
    <w:p w:rsidR="00000000" w:rsidDel="00000000" w:rsidP="00000000" w:rsidRDefault="00000000" w:rsidRPr="00000000" w14:paraId="000000AD">
      <w:pPr>
        <w:spacing w:after="120" w:before="120" w:line="276"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 Y no debe implicar que el solicitante realice una búsqueda en toda la información que se encuentre disponible.</w:t>
      </w:r>
    </w:p>
    <w:p w:rsidR="00000000" w:rsidDel="00000000" w:rsidP="00000000" w:rsidRDefault="00000000" w:rsidRPr="00000000" w14:paraId="000000AE">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Imperativos legales que establecen el procedimiento que deben seguir los Sujetos Obligados para que pueda tomarse como válida su orientación sobre la forma en que puede consultar la información requerida.</w:t>
      </w:r>
    </w:p>
    <w:p w:rsidR="00000000" w:rsidDel="00000000" w:rsidP="00000000" w:rsidRDefault="00000000" w:rsidRPr="00000000" w14:paraId="000000A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anterior, este Organismo Garante se dio a la tarea de consultar la información contenida en la dirección electrónica proporcionada, observando lo siguiente:</w:t>
      </w:r>
    </w:p>
    <w:p w:rsidR="00000000" w:rsidDel="00000000" w:rsidP="00000000" w:rsidRDefault="00000000" w:rsidRPr="00000000" w14:paraId="000000B0">
      <w:pPr>
        <w:spacing w:after="360" w:before="240" w:line="360" w:lineRule="auto"/>
        <w:jc w:val="center"/>
        <w:rPr>
          <w:rFonts w:ascii="Palatino Linotype" w:cs="Palatino Linotype" w:eastAsia="Palatino Linotype" w:hAnsi="Palatino Linotype"/>
          <w:sz w:val="22"/>
          <w:szCs w:val="22"/>
        </w:rPr>
      </w:pPr>
      <w:r w:rsidDel="00000000" w:rsidR="00000000" w:rsidRPr="00000000">
        <w:rPr/>
        <w:drawing>
          <wp:inline distB="0" distT="0" distL="0" distR="0">
            <wp:extent cx="4437802" cy="2353827"/>
            <wp:effectExtent b="0" l="0" r="0" t="0"/>
            <wp:docPr id="19" name="image5.png"/>
            <a:graphic>
              <a:graphicData uri="http://schemas.openxmlformats.org/drawingml/2006/picture">
                <pic:pic>
                  <pic:nvPicPr>
                    <pic:cNvPr id="0" name="image5.png"/>
                    <pic:cNvPicPr preferRelativeResize="0"/>
                  </pic:nvPicPr>
                  <pic:blipFill>
                    <a:blip r:embed="rId13"/>
                    <a:srcRect b="19386" l="8928" r="11996" t="6045"/>
                    <a:stretch>
                      <a:fillRect/>
                    </a:stretch>
                  </pic:blipFill>
                  <pic:spPr>
                    <a:xfrm>
                      <a:off x="0" y="0"/>
                      <a:ext cx="4437802" cy="2353827"/>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pacing w:after="36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puede advertirse, la fuente proporcionada, si bien se hizo del conocimiento de la persona solicitante tal como lo establece el artículo 161 de la Ley de la Materia Local, no pasa desapercibido que no es precisa ni concreta, pues implica que el particular realice una búsqueda en toda la información que se encuentre disponible en la página electrónica proporcionada, en virtud 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omitió señalar concretamente el procedimiento mediante el cual podía obtener la información que es de su interés, toda vez que se limitó a  entregar la liga electrónica que dirige a la página principal de COMPRAMEX. </w:t>
      </w:r>
    </w:p>
    <w:p w:rsidR="00000000" w:rsidDel="00000000" w:rsidP="00000000" w:rsidRDefault="00000000" w:rsidRPr="00000000" w14:paraId="000000B3">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deduce que el Sujeto Obligado, si bien, manifestó que la información se encuentra en el sitio electrónico señalado, también lo es que, el al verificar el contenido del mismo, no se encontró información.</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240" w:before="240" w:line="360" w:lineRule="auto"/>
        <w:ind w:left="0"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que dicha información no colma el derecho accionado por el recurrente, toda vez que, como se ha mencionado con anterioridad, el derecho de acceso a la información pública se basa en entregar toda aquella información que se encuentre en documentos y, que éstos sean generados, administrados o poseídos por los sujetos obligados. Por ello que, se ORDENA al SUJETO OBLIGADO entregar al particular la documental que da cuenta del programa anual de adquisiciones.</w:t>
      </w:r>
      <w:r w:rsidDel="00000000" w:rsidR="00000000" w:rsidRPr="00000000">
        <w:rPr>
          <w:rtl w:val="0"/>
        </w:rPr>
      </w:r>
    </w:p>
    <w:p w:rsidR="00000000" w:rsidDel="00000000" w:rsidP="00000000" w:rsidRDefault="00000000" w:rsidRPr="00000000" w14:paraId="000000B5">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respecto de los incisos 1), 2), 3), 4) y 5) el SUJETO OBLIGADO refiere como respuesta que, de la búsqueda realizada en los expedientes correspondientes, no existe registro en las documentales del presente ejercicio fiscal sobre procedimiento de licitación referente a la ADQUISICIÓN DE PATRULLAS. </w:t>
      </w:r>
    </w:p>
    <w:p w:rsidR="00000000" w:rsidDel="00000000" w:rsidP="00000000" w:rsidRDefault="00000000" w:rsidRPr="00000000" w14:paraId="000000B6">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esta lógica,  es  importante referir que las Unidades de Transparencia son las áreas responsables en cada Sujeto Obligado de dar atención a las solicitudes de información, por lo tanto, el responsable de dicha área es el enlace entre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los solicitantes, quien cuenta con la responsabilidad de dar trámite internamente a las mismas solicitudes de información.</w:t>
      </w:r>
    </w:p>
    <w:p w:rsidR="00000000" w:rsidDel="00000000" w:rsidP="00000000" w:rsidRDefault="00000000" w:rsidRPr="00000000" w14:paraId="000000B7">
      <w:pPr>
        <w:spacing w:line="360" w:lineRule="auto"/>
        <w:ind w:right="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corresponde al Titular de la Unidad de Transparencia garantizar que las solicitudes se turnen a todas las áreas competentes que puedan contar con la información, con el objeto de que realicen una búsqueda exhaustiva y razonable, en este caso, de turnar la solicitud a todas las unidades administrativas que, conforme a sus atribuciones previstas en su Bando Municipal, pudieran contar con lo requerido.</w:t>
      </w:r>
    </w:p>
    <w:p w:rsidR="00000000" w:rsidDel="00000000" w:rsidP="00000000" w:rsidRDefault="00000000" w:rsidRPr="00000000" w14:paraId="000000B8">
      <w:pPr>
        <w:spacing w:line="360" w:lineRule="auto"/>
        <w:ind w:right="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9">
      <w:pPr>
        <w:spacing w:line="360" w:lineRule="auto"/>
        <w:ind w:right="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si bien es cierto que el Titular de la Unidad de Transparencia en el presente caso se advierte que turnó la solicitud de información a la Tesorería Municipal, también lo es que, no se advierte que haya realizado el requerimiento a otras áreas que puedan o deban tener la información, de conformidad con lo previsto en el artículo 162 de la Ley de Transparencia Local. </w:t>
      </w:r>
    </w:p>
    <w:p w:rsidR="00000000" w:rsidDel="00000000" w:rsidP="00000000" w:rsidRDefault="00000000" w:rsidRPr="00000000" w14:paraId="000000BA">
      <w:pPr>
        <w:spacing w:line="360" w:lineRule="auto"/>
        <w:ind w:right="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B">
      <w:pPr>
        <w:spacing w:line="360" w:lineRule="auto"/>
        <w:ind w:right="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la Unidad de Transparencia soslayo que en términos de lo que establece el diverso 61 del Bando Municipal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el estudio, planeación y despacho de los diversos asuntos de la Administración Pública Municipal, el Titular del Ejecutivo se auxiliará de las dependencias administrativas, organismos descentralizados, órganos autónomos y autoridades auxiliares, que se prevén en el artículo 62, entre las que se señala: </w:t>
      </w:r>
    </w:p>
    <w:p w:rsidR="00000000" w:rsidDel="00000000" w:rsidP="00000000" w:rsidRDefault="00000000" w:rsidRPr="00000000" w14:paraId="000000BC">
      <w:pPr>
        <w:spacing w:line="360" w:lineRule="auto"/>
        <w:ind w:right="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D">
      <w:pPr>
        <w:ind w:left="708" w:right="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62.- La Administración Pública Municipal contará con las siguientes unidades administrativas centralizadas:</w:t>
      </w:r>
    </w:p>
    <w:p w:rsidR="00000000" w:rsidDel="00000000" w:rsidP="00000000" w:rsidRDefault="00000000" w:rsidRPr="00000000" w14:paraId="000000BE">
      <w:pPr>
        <w:ind w:left="708" w:right="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F">
      <w:pPr>
        <w:ind w:left="708" w:right="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Tesorería Municipal;</w:t>
      </w:r>
    </w:p>
    <w:p w:rsidR="00000000" w:rsidDel="00000000" w:rsidP="00000000" w:rsidRDefault="00000000" w:rsidRPr="00000000" w14:paraId="000000C0">
      <w:pPr>
        <w:ind w:left="708" w:right="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(Sic)</w:t>
      </w:r>
    </w:p>
    <w:p w:rsidR="00000000" w:rsidDel="00000000" w:rsidP="00000000" w:rsidRDefault="00000000" w:rsidRPr="00000000" w14:paraId="000000C1">
      <w:pPr>
        <w:spacing w:line="360" w:lineRule="auto"/>
        <w:ind w:right="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2">
      <w:pPr>
        <w:spacing w:line="360" w:lineRule="auto"/>
        <w:ind w:right="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cual, en el artículo 65 del citado ordenamiento se prevé que es el órgano encargado de la obtención y aplicación del recurso financiero de acuerdo con la Ley de Ingresos, Código Financiero del Estado de México y Municipios y demás disposiciones aplicables vigentes. Asimismo, se señala que esa dependencia se encargará de recibir la Hacienda Pública, de acuerdo con las previsiones a que se refiere el artículo 19 de la Ley Orgánica Municipal del Estado de México.</w:t>
      </w:r>
    </w:p>
    <w:p w:rsidR="00000000" w:rsidDel="00000000" w:rsidP="00000000" w:rsidRDefault="00000000" w:rsidRPr="00000000" w14:paraId="000000C3">
      <w:pPr>
        <w:spacing w:line="360" w:lineRule="auto"/>
        <w:ind w:right="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Atento a lo anterior, cabe referir que si bien es cierto se pronunció el Servidor Público Habilitado de la Tesorería Municipal, con las facultades, competencias y funciones para generar, administrar o poseer la información, también lo es que las respuestas proporcionadas únicamente refieren que “</w:t>
      </w:r>
      <w:r w:rsidDel="00000000" w:rsidR="00000000" w:rsidRPr="00000000">
        <w:rPr>
          <w:rFonts w:ascii="Palatino Linotype" w:cs="Palatino Linotype" w:eastAsia="Palatino Linotype" w:hAnsi="Palatino Linotype"/>
          <w:i w:val="1"/>
          <w:rtl w:val="0"/>
        </w:rPr>
        <w:t xml:space="preserve">no existe registro en las documentales del presente ejercicio fiscal sobre </w:t>
      </w:r>
      <w:r w:rsidDel="00000000" w:rsidR="00000000" w:rsidRPr="00000000">
        <w:rPr>
          <w:rFonts w:ascii="Palatino Linotype" w:cs="Palatino Linotype" w:eastAsia="Palatino Linotype" w:hAnsi="Palatino Linotype"/>
          <w:b w:val="1"/>
          <w:i w:val="1"/>
          <w:u w:val="single"/>
          <w:rtl w:val="0"/>
        </w:rPr>
        <w:t xml:space="preserve">procedimiento de licitación</w:t>
      </w:r>
      <w:r w:rsidDel="00000000" w:rsidR="00000000" w:rsidRPr="00000000">
        <w:rPr>
          <w:rFonts w:ascii="Palatino Linotype" w:cs="Palatino Linotype" w:eastAsia="Palatino Linotype" w:hAnsi="Palatino Linotype"/>
          <w:i w:val="1"/>
          <w:rtl w:val="0"/>
        </w:rPr>
        <w:t xml:space="preserve"> referente a la ADQUISICIÓN DE 50 VEHÍCULOS PATRULLAS”, </w:t>
      </w:r>
      <w:r w:rsidDel="00000000" w:rsidR="00000000" w:rsidRPr="00000000">
        <w:rPr>
          <w:rFonts w:ascii="Palatino Linotype" w:cs="Palatino Linotype" w:eastAsia="Palatino Linotype" w:hAnsi="Palatino Linotype"/>
          <w:rtl w:val="0"/>
        </w:rPr>
        <w:t xml:space="preserve">pronunciamiento del que se traduce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no llevó a cabo procedimientos de licitación; no obstante, no escapa de la óptica de este Organismo Garante que el entonces solicitante requirió la documentación que acredite la adquisición bajo cualquier modalidad de contratación. </w:t>
      </w:r>
    </w:p>
    <w:p w:rsidR="00000000" w:rsidDel="00000000" w:rsidP="00000000" w:rsidRDefault="00000000" w:rsidRPr="00000000" w14:paraId="000000C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se tiene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omitió pronunciarse sobre todas las modalidades en las que se pudieron adquirir dichas unidades ya que únicamente respondió en relación al procedimiento de licitación pública, por lo que, su respuesta no agotó los principios de congruencia y exhaustividad, resultando aplicable el Criterio 02/17 emitido por el Peno del Instituto Nacional de Transparencia y Acceso a la Información y Protección de Datos Personales, de título y texto siguientes:</w:t>
      </w:r>
    </w:p>
    <w:p w:rsidR="00000000" w:rsidDel="00000000" w:rsidP="00000000" w:rsidRDefault="00000000" w:rsidRPr="00000000" w14:paraId="000000C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“Congruencia y exhaustividad. Sus alcances para garantizar el derecho de acceso a la información. </w:t>
      </w:r>
      <w:r w:rsidDel="00000000" w:rsidR="00000000" w:rsidRPr="00000000">
        <w:rPr>
          <w:rFonts w:ascii="Palatino Linotype" w:cs="Palatino Linotype" w:eastAsia="Palatino Linotype" w:hAnsi="Palatino Linotype"/>
          <w:i w:val="1"/>
          <w:sz w:val="22"/>
          <w:szCs w:val="22"/>
          <w:rtl w:val="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Del="00000000" w:rsidR="00000000" w:rsidRPr="00000000">
        <w:rPr>
          <w:rFonts w:ascii="Palatino Linotype" w:cs="Palatino Linotype" w:eastAsia="Palatino Linotype" w:hAnsi="Palatino Linotype"/>
          <w:b w:val="1"/>
          <w:i w:val="1"/>
          <w:sz w:val="22"/>
          <w:szCs w:val="22"/>
          <w:rtl w:val="0"/>
        </w:rPr>
        <w:t xml:space="preserve">la congruencia implica que exista concordancia entre el requerimiento formulado por el particular y la respuesta proporcionada por el sujeto obligado</w:t>
      </w:r>
      <w:r w:rsidDel="00000000" w:rsidR="00000000" w:rsidRPr="00000000">
        <w:rPr>
          <w:rFonts w:ascii="Palatino Linotype" w:cs="Palatino Linotype" w:eastAsia="Palatino Linotype" w:hAnsi="Palatino Linotype"/>
          <w:i w:val="1"/>
          <w:sz w:val="22"/>
          <w:szCs w:val="22"/>
          <w:rtl w:val="0"/>
        </w:rPr>
        <w:t xml:space="preserve">; mientras que </w:t>
      </w:r>
      <w:r w:rsidDel="00000000" w:rsidR="00000000" w:rsidRPr="00000000">
        <w:rPr>
          <w:rFonts w:ascii="Palatino Linotype" w:cs="Palatino Linotype" w:eastAsia="Palatino Linotype" w:hAnsi="Palatino Linotype"/>
          <w:b w:val="1"/>
          <w:i w:val="1"/>
          <w:sz w:val="22"/>
          <w:szCs w:val="22"/>
          <w:rtl w:val="0"/>
        </w:rPr>
        <w:t xml:space="preserve">la exhaustividad significa que dicha respuesta se refiera expresamente a cada uno de los puntos solicitados</w:t>
      </w:r>
      <w:r w:rsidDel="00000000" w:rsidR="00000000" w:rsidRPr="00000000">
        <w:rPr>
          <w:rFonts w:ascii="Palatino Linotype" w:cs="Palatino Linotype" w:eastAsia="Palatino Linotype" w:hAnsi="Palatino Linotype"/>
          <w:i w:val="1"/>
          <w:sz w:val="22"/>
          <w:szCs w:val="22"/>
          <w:rtl w:val="0"/>
        </w:rPr>
        <w:t xml:space="preserve">.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000000" w:rsidDel="00000000" w:rsidP="00000000" w:rsidRDefault="00000000" w:rsidRPr="00000000" w14:paraId="000000C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se insiste que si bien es cierto que de las constancias que integran el expediente se advierte que el Titular de la Unidad de Transparencia turnó la solicitud a la Tesorería Municipal que es la encargada de administrar la Hacienda Pública, también lo que el artículo 102 del propio Bando Municipal del Chimalhuacán 2022 establece: </w:t>
      </w:r>
    </w:p>
    <w:p w:rsidR="00000000" w:rsidDel="00000000" w:rsidP="00000000" w:rsidRDefault="00000000" w:rsidRPr="00000000" w14:paraId="000000C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102.- Para el auxilio, consulta y desarrollo de sus actividades, el Ayuntamiento contará con los órganos siguientes:</w:t>
      </w:r>
    </w:p>
    <w:p w:rsidR="00000000" w:rsidDel="00000000" w:rsidP="00000000" w:rsidRDefault="00000000" w:rsidRPr="00000000" w14:paraId="000000C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E">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IV</w:t>
      </w:r>
      <w:r w:rsidDel="00000000" w:rsidR="00000000" w:rsidRPr="00000000">
        <w:rPr>
          <w:rFonts w:ascii="Palatino Linotype" w:cs="Palatino Linotype" w:eastAsia="Palatino Linotype" w:hAnsi="Palatino Linotype"/>
          <w:b w:val="1"/>
          <w:i w:val="1"/>
          <w:sz w:val="22"/>
          <w:szCs w:val="22"/>
          <w:rtl w:val="0"/>
        </w:rPr>
        <w:t xml:space="preserve">. Comité Municipal de Adquisiciones y Servicios.</w:t>
      </w:r>
    </w:p>
    <w:p w:rsidR="00000000" w:rsidDel="00000000" w:rsidP="00000000" w:rsidRDefault="00000000" w:rsidRPr="00000000" w14:paraId="000000CF">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D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D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cabe referir que la Ley de Contratación Pública del Estado de México y Municipios y el Reglamento de la Ley de Contratación Pública del Estado de México y Municipios, se inserta a continuación la siguiente cita con la finalidad de reforzar este dicho: </w:t>
      </w:r>
    </w:p>
    <w:p w:rsidR="00000000" w:rsidDel="00000000" w:rsidP="00000000" w:rsidRDefault="00000000" w:rsidRPr="00000000" w14:paraId="000000D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3">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Ley de Contratación Pública del Estado de México y Municipios: </w:t>
      </w:r>
    </w:p>
    <w:p w:rsidR="00000000" w:rsidDel="00000000" w:rsidP="00000000" w:rsidRDefault="00000000" w:rsidRPr="00000000" w14:paraId="000000D4">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D5">
      <w:pPr>
        <w:spacing w:line="276"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23.- Los comités de adquisiciones y de servicios tendrán las funciones siguientes: </w:t>
      </w:r>
    </w:p>
    <w:p w:rsidR="00000000" w:rsidDel="00000000" w:rsidP="00000000" w:rsidRDefault="00000000" w:rsidRPr="00000000" w14:paraId="000000D6">
      <w:pPr>
        <w:spacing w:line="276"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Dictaminar sobre la procedencia de los casos de excepción al procedimiento de licitación pública. </w:t>
      </w:r>
    </w:p>
    <w:p w:rsidR="00000000" w:rsidDel="00000000" w:rsidP="00000000" w:rsidRDefault="00000000" w:rsidRPr="00000000" w14:paraId="000000D7">
      <w:pPr>
        <w:spacing w:line="276"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Participar en los procedimientos de licitación, invitación restringida y adjudicación directa, hasta dejarlos en estado de dictar el fallo correspondiente, incluidos los que tengan que desahogarse bajo la modalidad de subasta inversa. </w:t>
      </w:r>
    </w:p>
    <w:p w:rsidR="00000000" w:rsidDel="00000000" w:rsidP="00000000" w:rsidRDefault="00000000" w:rsidRPr="00000000" w14:paraId="000000D8">
      <w:pPr>
        <w:spacing w:line="276"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Emitir los dictámenes de adjudicación. </w:t>
      </w:r>
    </w:p>
    <w:p w:rsidR="00000000" w:rsidDel="00000000" w:rsidP="00000000" w:rsidRDefault="00000000" w:rsidRPr="00000000" w14:paraId="000000D9">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Las demás que establezca el reglamento de esta Ley.” </w:t>
      </w:r>
      <w:r w:rsidDel="00000000" w:rsidR="00000000" w:rsidRPr="00000000">
        <w:rPr>
          <w:rFonts w:ascii="Palatino Linotype" w:cs="Palatino Linotype" w:eastAsia="Palatino Linotype" w:hAnsi="Palatino Linotype"/>
          <w:i w:val="1"/>
          <w:sz w:val="22"/>
          <w:szCs w:val="22"/>
          <w:rtl w:val="0"/>
        </w:rPr>
        <w:t xml:space="preserve">(Sic) (Énfasis añadido)</w:t>
      </w:r>
    </w:p>
    <w:p w:rsidR="00000000" w:rsidDel="00000000" w:rsidP="00000000" w:rsidRDefault="00000000" w:rsidRPr="00000000" w14:paraId="000000D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B">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Reglamento de la Ley de Contratación Pública del Estado de México y Municipios: </w:t>
      </w:r>
    </w:p>
    <w:p w:rsidR="00000000" w:rsidDel="00000000" w:rsidP="00000000" w:rsidRDefault="00000000" w:rsidRPr="00000000" w14:paraId="000000DC">
      <w:pPr>
        <w:spacing w:line="276" w:lineRule="auto"/>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DD">
      <w:pPr>
        <w:spacing w:line="276"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43.- La Secretaría, organismos auxiliares, tribunales administrativos y municipios, se auxiliarán de un Comité de Adquisiciones y Servicios, para la substanciación de los procedimientos de adquisición regulados en la Ley. </w:t>
      </w:r>
    </w:p>
    <w:p w:rsidR="00000000" w:rsidDel="00000000" w:rsidP="00000000" w:rsidRDefault="00000000" w:rsidRPr="00000000" w14:paraId="000000DE">
      <w:pPr>
        <w:spacing w:line="276"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DF">
      <w:pPr>
        <w:spacing w:line="276"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44.- El Comité de Adquisiciones y Servicios se integrará por: </w:t>
      </w:r>
    </w:p>
    <w:p w:rsidR="00000000" w:rsidDel="00000000" w:rsidP="00000000" w:rsidRDefault="00000000" w:rsidRPr="00000000" w14:paraId="000000E0">
      <w:pPr>
        <w:spacing w:line="276"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I. En la Secretaría, por el titular del área encargada de operar el sistema de adquisiciones de las dependencias del Poder Ejecutivo, y en los organismos</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auxiliares, tribunales administrativos y</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municipios, por el titular de la unidad administrativa, quien fungirá como presidente;</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E1">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Un representante del área financiera de la Secretaría, entidad, tribunal administrativo o municipio, con función de vocal; </w:t>
      </w:r>
    </w:p>
    <w:p w:rsidR="00000000" w:rsidDel="00000000" w:rsidP="00000000" w:rsidRDefault="00000000" w:rsidRPr="00000000" w14:paraId="000000E2">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Un representante de cada dependencia o unidad administrativa interesada en la adquisición de los bienes o contratación del servicio, con función de vocal; </w:t>
      </w:r>
    </w:p>
    <w:p w:rsidR="00000000" w:rsidDel="00000000" w:rsidP="00000000" w:rsidRDefault="00000000" w:rsidRPr="00000000" w14:paraId="000000E3">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Un representante de la Consejería Jurídica o del área jurídica respectiva o quien lleve a cabo las funciones de esta naturaleza, con función de vocal; V. Un representante del Órgano de Control, con función de vocal; y </w:t>
      </w:r>
    </w:p>
    <w:p w:rsidR="00000000" w:rsidDel="00000000" w:rsidP="00000000" w:rsidRDefault="00000000" w:rsidRPr="00000000" w14:paraId="000000E4">
      <w:pP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VI. </w:t>
      </w:r>
      <w:r w:rsidDel="00000000" w:rsidR="00000000" w:rsidRPr="00000000">
        <w:rPr>
          <w:rFonts w:ascii="Palatino Linotype" w:cs="Palatino Linotype" w:eastAsia="Palatino Linotype" w:hAnsi="Palatino Linotype"/>
          <w:b w:val="1"/>
          <w:i w:val="1"/>
          <w:sz w:val="22"/>
          <w:szCs w:val="22"/>
          <w:u w:val="single"/>
          <w:rtl w:val="0"/>
        </w:rPr>
        <w:t xml:space="preserve">Un secretario ejecutivo, que será designado por el presidente</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E5">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 </w:t>
      </w:r>
    </w:p>
    <w:p w:rsidR="00000000" w:rsidDel="00000000" w:rsidP="00000000" w:rsidRDefault="00000000" w:rsidRPr="00000000" w14:paraId="000000E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es de señalar que de las constancias que integran el expediente, no se advierte que el Titular de la Unidad de Transparencia haya turnado la solicitud de información a todas las áreas que pudieran generar, poseer o administrar la información solicitada. </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se concluye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satisfizo el derecho de acceso a la información de la parte recurrente, </w:t>
      </w:r>
      <w:r w:rsidDel="00000000" w:rsidR="00000000" w:rsidRPr="00000000">
        <w:rPr>
          <w:rFonts w:ascii="Palatino Linotype" w:cs="Palatino Linotype" w:eastAsia="Palatino Linotype" w:hAnsi="Palatino Linotype"/>
          <w:b w:val="1"/>
          <w:rtl w:val="0"/>
        </w:rPr>
        <w:t xml:space="preserve">al incumplir el principio de exhaustividad</w:t>
      </w:r>
      <w:r w:rsidDel="00000000" w:rsidR="00000000" w:rsidRPr="00000000">
        <w:rPr>
          <w:rFonts w:ascii="Palatino Linotype" w:cs="Palatino Linotype" w:eastAsia="Palatino Linotype" w:hAnsi="Palatino Linotype"/>
          <w:rtl w:val="0"/>
        </w:rPr>
        <w:t xml:space="preserve">, toda vez que no dio atención completa a los requerimientos formulado; razón por la cual deberá turnar a las áreas competentes que puedan contar con la información solicitada, atendiendo a cabalidad lo previsto en los artículos 160 y 162 de la Ley de Transparencia y Acceso a la Información Pública del Estado de México y Municipios. </w:t>
      </w:r>
    </w:p>
    <w:p w:rsidR="00000000" w:rsidDel="00000000" w:rsidP="00000000" w:rsidRDefault="00000000" w:rsidRPr="00000000" w14:paraId="000000E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cabe referir que se localizaron publicaciones en medios electrónicos oficiales del sujeto obligado, que constituyen un indicio de que la Administración Publica de Chimalhuacán adquirió 50 patrullas. Información que se encuentra publicada en la página oficial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la liga electrónica. </w:t>
      </w:r>
      <w:hyperlink r:id="rId14">
        <w:r w:rsidDel="00000000" w:rsidR="00000000" w:rsidRPr="00000000">
          <w:rPr>
            <w:rFonts w:ascii="Palatino Linotype" w:cs="Palatino Linotype" w:eastAsia="Palatino Linotype" w:hAnsi="Palatino Linotype"/>
            <w:color w:val="000000"/>
            <w:u w:val="single"/>
            <w:rtl w:val="0"/>
          </w:rPr>
          <w:t xml:space="preserve">https://chimalhuacan.gob.mx/2022/05/30/xochitl-flores-jimenez-entrego-patrullas-y-ambulancias-en-la-entrega-de-resultados/</w:t>
        </w:r>
      </w:hyperlink>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E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3143250"/>
            <wp:effectExtent b="0" l="0" r="0" t="0"/>
            <wp:docPr id="17"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612130" cy="314325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1253490"/>
            <wp:effectExtent b="19050" l="19050" r="19050" t="19050"/>
            <wp:docPr id="20"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612130" cy="1253490"/>
                    </a:xfrm>
                    <a:prstGeom prst="rect"/>
                    <a:ln w="190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suerte que con lo vertido anteriormente, podemos concluir que hay un indicio de la adquisición de las patrullas durante la presente anualidad, por lo que estaríamos ante un hecho notorio, el cual se sustenta conforme a las siguientes tesis jurisprudenciales:</w:t>
      </w:r>
    </w:p>
    <w:p w:rsidR="00000000" w:rsidDel="00000000" w:rsidP="00000000" w:rsidRDefault="00000000" w:rsidRPr="00000000" w14:paraId="000000F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5">
      <w:pPr>
        <w:ind w:left="567"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“HECHOS NOTORIOS. CONCEPTOS GENERAL Y JURÍDICO</w:t>
      </w:r>
    </w:p>
    <w:p w:rsidR="00000000" w:rsidDel="00000000" w:rsidP="00000000" w:rsidRDefault="00000000" w:rsidRPr="00000000" w14:paraId="000000F6">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Conforme al artículo </w:t>
      </w:r>
      <w:hyperlink r:id="rId17">
        <w:r w:rsidDel="00000000" w:rsidR="00000000" w:rsidRPr="00000000">
          <w:rPr>
            <w:rFonts w:ascii="Palatino Linotype" w:cs="Palatino Linotype" w:eastAsia="Palatino Linotype" w:hAnsi="Palatino Linotype"/>
            <w:b w:val="1"/>
            <w:i w:val="1"/>
            <w:sz w:val="22"/>
            <w:szCs w:val="22"/>
            <w:rtl w:val="0"/>
          </w:rPr>
          <w:t xml:space="preserve">88 del Código Federal de Procedimientos Civiles</w:t>
        </w:r>
      </w:hyperlink>
      <w:r w:rsidDel="00000000" w:rsidR="00000000" w:rsidRPr="00000000">
        <w:rPr>
          <w:rFonts w:ascii="Palatino Linotype" w:cs="Palatino Linotype" w:eastAsia="Palatino Linotype" w:hAnsi="Palatino Linotype"/>
          <w:b w:val="1"/>
          <w:i w:val="1"/>
          <w:sz w:val="22"/>
          <w:szCs w:val="22"/>
          <w:rtl w:val="0"/>
        </w:rPr>
        <w:t xml:space="preserve"> los tribunales pueden invocar hechos notorios aunque no hayan sido alegados ni probados por las partes.</w:t>
      </w:r>
      <w:r w:rsidDel="00000000" w:rsidR="00000000" w:rsidRPr="00000000">
        <w:rPr>
          <w:rFonts w:ascii="Palatino Linotype" w:cs="Palatino Linotype" w:eastAsia="Palatino Linotype" w:hAnsi="Palatino Linotype"/>
          <w:i w:val="1"/>
          <w:sz w:val="22"/>
          <w:szCs w:val="22"/>
          <w:rtl w:val="0"/>
        </w:rPr>
        <w:t xml:space="preserve"> Por hechos notorios deben entenderse, en general, aquellos que por el conocimiento humano se consideran ciertos e indiscutibles, ya sea que pertenezcan a la historia, a la ciencia, a la naturaleza</w:t>
      </w:r>
      <w:r w:rsidDel="00000000" w:rsidR="00000000" w:rsidRPr="00000000">
        <w:rPr>
          <w:rFonts w:ascii="Palatino Linotype" w:cs="Palatino Linotype" w:eastAsia="Palatino Linotype" w:hAnsi="Palatino Linotype"/>
          <w:b w:val="1"/>
          <w:i w:val="1"/>
          <w:sz w:val="22"/>
          <w:szCs w:val="22"/>
          <w:rtl w:val="0"/>
        </w:rPr>
        <w:t xml:space="preserve">, a las vicisitudes de la vida pública actual o a circunstancias comúnmente conocidas en un determinado lugar</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 modo que toda persona de ese medio esté en condiciones de saberlo</w:t>
      </w:r>
      <w:r w:rsidDel="00000000" w:rsidR="00000000" w:rsidRPr="00000000">
        <w:rPr>
          <w:rFonts w:ascii="Palatino Linotype" w:cs="Palatino Linotype" w:eastAsia="Palatino Linotype" w:hAnsi="Palatino Linotype"/>
          <w:i w:val="1"/>
          <w:sz w:val="22"/>
          <w:szCs w:val="22"/>
          <w:rtl w:val="0"/>
        </w:rPr>
        <w:t xml:space="preserve">;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000000" w:rsidDel="00000000" w:rsidP="00000000" w:rsidRDefault="00000000" w:rsidRPr="00000000" w14:paraId="000000F7">
      <w:pPr>
        <w:ind w:left="567" w:right="616" w:firstLine="0"/>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8">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Controversia constitucional 24/2005. Cámara de Diputados del Congreso de la Unión. 9 de marzo de 2006. Once votos. Ponente: José Ramón Cossío Díaz. Secretarios: Raúl Manuel Mejía Garza y Laura Patricia Rojas Zamudio.</w:t>
      </w:r>
    </w:p>
    <w:p w:rsidR="00000000" w:rsidDel="00000000" w:rsidP="00000000" w:rsidRDefault="00000000" w:rsidRPr="00000000" w14:paraId="000000F9">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Tribunal Pleno, el dieciséis de mayo en curso, aprobó, con el número 74/2006, la tesis jurisprudencial que antecede. México, Distrito Federal, a dieciséis de mayo de dos mil seis.</w:t>
      </w:r>
    </w:p>
    <w:p w:rsidR="00000000" w:rsidDel="00000000" w:rsidP="00000000" w:rsidRDefault="00000000" w:rsidRPr="00000000" w14:paraId="000000FA">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Nota: Esta tesis fue objeto de la denuncia relativa a la contradicción de tesis 91/2014, desechada por notoriamente improcedente, mediante acuerdo de 24 de marzo de 2014.”</w:t>
      </w:r>
    </w:p>
    <w:p w:rsidR="00000000" w:rsidDel="00000000" w:rsidP="00000000" w:rsidRDefault="00000000" w:rsidRPr="00000000" w14:paraId="000000FB">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hd w:fill="ffffff" w:val="clear"/>
        <w:spacing w:after="12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PÁGINAS WEB O ELECTRÓNICAS. SU CONTENIDO ES UN HECHO NOTORIO Y SUSCEPTIBLE DE SER VALORADO EN UNA DECISIÓN JUDICIAL.</w:t>
      </w:r>
      <w:r w:rsidDel="00000000" w:rsidR="00000000" w:rsidRPr="00000000">
        <w:rPr>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Mardygras, S.A. de C.V. 7 de diciembre de 2012. Unanimidad de votos. Ponente: Neófito López Ramos. Secretaria: Ana Lilia Osorno Arroyo. 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Pag.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rsidR="00000000" w:rsidDel="00000000" w:rsidP="00000000" w:rsidRDefault="00000000" w:rsidRPr="00000000" w14:paraId="000000F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se procede a analizar los documentos solicitados por el Particular, en primer término, tenemos que la información relacionada con los procedimientos de adquisición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encuentra dentro de sus obligaciones de transparencia de acuerdo a lo señalado en el artículo 92, fracción XXIX, de la Ley de Transparencia y Acceso a la Información Pública del Estado de México y Municipios, que se transcribe a continuación:</w:t>
      </w:r>
    </w:p>
    <w:p w:rsidR="00000000" w:rsidDel="00000000" w:rsidP="00000000" w:rsidRDefault="00000000" w:rsidRPr="00000000" w14:paraId="000000FF">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0">
      <w:pPr>
        <w:spacing w:line="360"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01">
      <w:pPr>
        <w:spacing w:line="360"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2">
      <w:pPr>
        <w:ind w:left="567" w:right="53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ab/>
      </w: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al</w:t>
      </w:r>
      <w:r w:rsidDel="00000000" w:rsidR="00000000" w:rsidRPr="00000000">
        <w:rPr>
          <w:rFonts w:ascii="Palatino Linotype" w:cs="Palatino Linotype" w:eastAsia="Palatino Linotype" w:hAnsi="Palatino Linotype"/>
          <w:b w:val="1"/>
          <w:i w:val="1"/>
          <w:sz w:val="22"/>
          <w:szCs w:val="22"/>
          <w:rtl w:val="0"/>
        </w:rPr>
        <w:t xml:space="preserve"> XXVIII…</w:t>
      </w:r>
    </w:p>
    <w:p w:rsidR="00000000" w:rsidDel="00000000" w:rsidP="00000000" w:rsidRDefault="00000000" w:rsidRPr="00000000" w14:paraId="00000103">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XXIX. </w:t>
      </w:r>
      <w:r w:rsidDel="00000000" w:rsidR="00000000" w:rsidRPr="00000000">
        <w:rPr>
          <w:rFonts w:ascii="Palatino Linotype" w:cs="Palatino Linotype" w:eastAsia="Palatino Linotype" w:hAnsi="Palatino Linotype"/>
          <w:i w:val="1"/>
          <w:sz w:val="22"/>
          <w:szCs w:val="22"/>
          <w:rtl w:val="0"/>
        </w:rPr>
        <w:t xml:space="preserve">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00000000" w:rsidDel="00000000" w:rsidP="00000000" w:rsidRDefault="00000000" w:rsidRPr="00000000" w14:paraId="00000104">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w:t>
      </w:r>
      <w:r w:rsidDel="00000000" w:rsidR="00000000" w:rsidRPr="00000000">
        <w:rPr>
          <w:rFonts w:ascii="Palatino Linotype" w:cs="Palatino Linotype" w:eastAsia="Palatino Linotype" w:hAnsi="Palatino Linotype"/>
          <w:i w:val="1"/>
          <w:sz w:val="22"/>
          <w:szCs w:val="22"/>
          <w:rtl w:val="0"/>
        </w:rPr>
        <w:t xml:space="preserve">De licitaciones públicas o procedimientos de invitación restringida:</w:t>
      </w:r>
    </w:p>
    <w:p w:rsidR="00000000" w:rsidDel="00000000" w:rsidP="00000000" w:rsidRDefault="00000000" w:rsidRPr="00000000" w14:paraId="00000105">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La convocatoria o invitación emitida, así como los fundamentos legales aplicados para llevarla a cabo;</w:t>
      </w:r>
    </w:p>
    <w:p w:rsidR="00000000" w:rsidDel="00000000" w:rsidP="00000000" w:rsidRDefault="00000000" w:rsidRPr="00000000" w14:paraId="00000106">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Los nombres de los participantes o invitados;</w:t>
      </w:r>
    </w:p>
    <w:p w:rsidR="00000000" w:rsidDel="00000000" w:rsidP="00000000" w:rsidRDefault="00000000" w:rsidRPr="00000000" w14:paraId="00000107">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El nombre del ganador y las razones que lo justifican;</w:t>
      </w:r>
    </w:p>
    <w:p w:rsidR="00000000" w:rsidDel="00000000" w:rsidP="00000000" w:rsidRDefault="00000000" w:rsidRPr="00000000" w14:paraId="00000108">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 El área solicitante y la responsable de su ejecución;</w:t>
      </w:r>
    </w:p>
    <w:p w:rsidR="00000000" w:rsidDel="00000000" w:rsidP="00000000" w:rsidRDefault="00000000" w:rsidRPr="00000000" w14:paraId="00000109">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5) Las convocatorias e invitaciones emitidas;</w:t>
      </w:r>
    </w:p>
    <w:p w:rsidR="00000000" w:rsidDel="00000000" w:rsidP="00000000" w:rsidRDefault="00000000" w:rsidRPr="00000000" w14:paraId="0000010A">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6) Los dictámenes y fallo de adjudicación;</w:t>
      </w:r>
    </w:p>
    <w:p w:rsidR="00000000" w:rsidDel="00000000" w:rsidP="00000000" w:rsidRDefault="00000000" w:rsidRPr="00000000" w14:paraId="0000010B">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7) El contrato y, en su caso, sus anexos;</w:t>
      </w:r>
    </w:p>
    <w:p w:rsidR="00000000" w:rsidDel="00000000" w:rsidP="00000000" w:rsidRDefault="00000000" w:rsidRPr="00000000" w14:paraId="0000010C">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8) Los mecanismos de vigilancia y supervisión, incluyendo en su caso, los estudios de impacto urbano y ambiental, según corresponda;</w:t>
      </w:r>
    </w:p>
    <w:p w:rsidR="00000000" w:rsidDel="00000000" w:rsidP="00000000" w:rsidRDefault="00000000" w:rsidRPr="00000000" w14:paraId="0000010D">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9) La partida presupuestal, de conformidad con el clasificador por objeto del gasto, en el caso de ser aplicable;</w:t>
      </w:r>
    </w:p>
    <w:p w:rsidR="00000000" w:rsidDel="00000000" w:rsidP="00000000" w:rsidRDefault="00000000" w:rsidRPr="00000000" w14:paraId="0000010E">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10) Origen de los recursos especificando si son federales, estatales o municipales, así como el tipo de fondo de participación o aportación respectiva;</w:t>
      </w:r>
    </w:p>
    <w:p w:rsidR="00000000" w:rsidDel="00000000" w:rsidP="00000000" w:rsidRDefault="00000000" w:rsidRPr="00000000" w14:paraId="0000010F">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11) Los convenios modificatorios que, en su caso, sean firmados, precisando el objeto y la fecha de celebración;</w:t>
      </w:r>
    </w:p>
    <w:p w:rsidR="00000000" w:rsidDel="00000000" w:rsidP="00000000" w:rsidRDefault="00000000" w:rsidRPr="00000000" w14:paraId="00000110">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12) Los informes de avance físico y financiero sobre las obras o servicios contratados;</w:t>
      </w:r>
    </w:p>
    <w:p w:rsidR="00000000" w:rsidDel="00000000" w:rsidP="00000000" w:rsidRDefault="00000000" w:rsidRPr="00000000" w14:paraId="00000111">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13) El convenio de terminación; y</w:t>
      </w:r>
    </w:p>
    <w:p w:rsidR="00000000" w:rsidDel="00000000" w:rsidP="00000000" w:rsidRDefault="00000000" w:rsidRPr="00000000" w14:paraId="00000112">
      <w:pPr>
        <w:spacing w:after="360" w:before="24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14) El finiquito. ”(Sic)</w:t>
      </w:r>
      <w:r w:rsidDel="00000000" w:rsidR="00000000" w:rsidRPr="00000000">
        <w:rPr>
          <w:rtl w:val="0"/>
        </w:rPr>
      </w:r>
    </w:p>
    <w:p w:rsidR="00000000" w:rsidDel="00000000" w:rsidP="00000000" w:rsidRDefault="00000000" w:rsidRPr="00000000" w14:paraId="00000113">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la Ley de Contratación Pública del Estado de México y Municipios, señala lo siguiente:</w:t>
      </w:r>
    </w:p>
    <w:p w:rsidR="00000000" w:rsidDel="00000000" w:rsidP="00000000" w:rsidRDefault="00000000" w:rsidRPr="00000000" w14:paraId="00000114">
      <w:pPr>
        <w:spacing w:line="360" w:lineRule="auto"/>
        <w:ind w:right="-93"/>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15">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26.-</w:t>
      </w:r>
      <w:r w:rsidDel="00000000" w:rsidR="00000000" w:rsidRPr="00000000">
        <w:rPr>
          <w:rFonts w:ascii="Palatino Linotype" w:cs="Palatino Linotype" w:eastAsia="Palatino Linotype" w:hAnsi="Palatino Linotype"/>
          <w:i w:val="1"/>
          <w:sz w:val="22"/>
          <w:szCs w:val="22"/>
          <w:rtl w:val="0"/>
        </w:rPr>
        <w:t xml:space="preserve"> Las adquisiciones, arrendamientos y servicios se adjudicarán a través de </w:t>
      </w:r>
      <w:r w:rsidDel="00000000" w:rsidR="00000000" w:rsidRPr="00000000">
        <w:rPr>
          <w:rFonts w:ascii="Palatino Linotype" w:cs="Palatino Linotype" w:eastAsia="Palatino Linotype" w:hAnsi="Palatino Linotype"/>
          <w:b w:val="1"/>
          <w:i w:val="1"/>
          <w:sz w:val="22"/>
          <w:szCs w:val="22"/>
          <w:u w:val="single"/>
          <w:rtl w:val="0"/>
        </w:rPr>
        <w:t xml:space="preserve">licitaciones públicas, mediante convocatoria pública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16">
      <w:pPr>
        <w:ind w:left="567" w:right="539"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17">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27.-</w:t>
      </w:r>
      <w:r w:rsidDel="00000000" w:rsidR="00000000" w:rsidRPr="00000000">
        <w:rPr>
          <w:rFonts w:ascii="Palatino Linotype" w:cs="Palatino Linotype" w:eastAsia="Palatino Linotype" w:hAnsi="Palatino Linotype"/>
          <w:i w:val="1"/>
          <w:sz w:val="22"/>
          <w:szCs w:val="22"/>
          <w:rtl w:val="0"/>
        </w:rPr>
        <w:t xml:space="preserve"> La Secretaría, las entidades, los tribunales administrativos y los ayuntamientos podrán adjudicar adquisiciones, arrendamientos y servicios, mediante las excepciones al procedimiento de licitación que a continuación se señalan:</w:t>
      </w:r>
    </w:p>
    <w:p w:rsidR="00000000" w:rsidDel="00000000" w:rsidP="00000000" w:rsidRDefault="00000000" w:rsidRPr="00000000" w14:paraId="00000118">
      <w:pPr>
        <w:ind w:left="567" w:right="539"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I. Invitación restringida.</w:t>
      </w:r>
    </w:p>
    <w:p w:rsidR="00000000" w:rsidDel="00000000" w:rsidP="00000000" w:rsidRDefault="00000000" w:rsidRPr="00000000" w14:paraId="00000119">
      <w:pPr>
        <w:ind w:left="567" w:right="539"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II. Adjudicación directa.</w:t>
      </w:r>
    </w:p>
    <w:p w:rsidR="00000000" w:rsidDel="00000000" w:rsidP="00000000" w:rsidRDefault="00000000" w:rsidRPr="00000000" w14:paraId="0000011A">
      <w:pPr>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B">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35.-</w:t>
      </w:r>
      <w:r w:rsidDel="00000000" w:rsidR="00000000" w:rsidRPr="00000000">
        <w:rPr>
          <w:rFonts w:ascii="Palatino Linotype" w:cs="Palatino Linotype" w:eastAsia="Palatino Linotype" w:hAnsi="Palatino Linotype"/>
          <w:i w:val="1"/>
          <w:sz w:val="22"/>
          <w:szCs w:val="22"/>
          <w:rtl w:val="0"/>
        </w:rPr>
        <w:t xml:space="preserve"> En los procedimientos de licitación pública se observará lo siguiente:</w:t>
      </w:r>
    </w:p>
    <w:p w:rsidR="00000000" w:rsidDel="00000000" w:rsidP="00000000" w:rsidRDefault="00000000" w:rsidRPr="00000000" w14:paraId="0000011C">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acto de presentación y apertura de propuestas se llevará a cabo por el servidor público que designe la convocante, conforme al procedimiento que se establezca en el reglamento de esta Ley.</w:t>
      </w:r>
    </w:p>
    <w:p w:rsidR="00000000" w:rsidDel="00000000" w:rsidP="00000000" w:rsidRDefault="00000000" w:rsidRPr="00000000" w14:paraId="0000011D">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comité de adquisiciones y servicios evaluará y analizará las propuestas técnicas y económicas presentadas por los licitantes en el ámbito de las respectivas competencias de sus integrantes, y emitirá el dictamen de adjudicación.</w:t>
      </w:r>
    </w:p>
    <w:p w:rsidR="00000000" w:rsidDel="00000000" w:rsidP="00000000" w:rsidRDefault="00000000" w:rsidRPr="00000000" w14:paraId="0000011E">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a VIII…</w:t>
      </w:r>
    </w:p>
    <w:p w:rsidR="00000000" w:rsidDel="00000000" w:rsidP="00000000" w:rsidRDefault="00000000" w:rsidRPr="00000000" w14:paraId="0000011F">
      <w:pPr>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20">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36</w:t>
      </w:r>
      <w:r w:rsidDel="00000000" w:rsidR="00000000" w:rsidRPr="00000000">
        <w:rPr>
          <w:rFonts w:ascii="Palatino Linotype" w:cs="Palatino Linotype" w:eastAsia="Palatino Linotype" w:hAnsi="Palatino Linotype"/>
          <w:i w:val="1"/>
          <w:sz w:val="22"/>
          <w:szCs w:val="22"/>
          <w:rtl w:val="0"/>
        </w:rPr>
        <w:t xml:space="preserve">.- El acto de presentación y apertura de propuestas se celebrará de manera pública y en presencia de todos los oferentes, en la forma siguiente:</w:t>
      </w:r>
    </w:p>
    <w:p w:rsidR="00000000" w:rsidDel="00000000" w:rsidP="00000000" w:rsidRDefault="00000000" w:rsidRPr="00000000" w14:paraId="00000121">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Los licitantes presentarán, por escrito y en sobre cerrado por separado, sus propuestas técnica y económica, así como los demás documentos requeridos en las bases de la licitación.</w:t>
      </w:r>
    </w:p>
    <w:p w:rsidR="00000000" w:rsidDel="00000000" w:rsidP="00000000" w:rsidRDefault="00000000" w:rsidRPr="00000000" w14:paraId="00000122">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La apertura de propuestas podrá efectuarse cuando se haya presentado una propuesta cuando menos.</w:t>
      </w:r>
    </w:p>
    <w:p w:rsidR="00000000" w:rsidDel="00000000" w:rsidP="00000000" w:rsidRDefault="00000000" w:rsidRPr="00000000" w14:paraId="00000123">
      <w:pPr>
        <w:ind w:left="567" w:right="539"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III. Se abrirán las propuestas técnicas, desechándose las que cuantitativamente no cumplan con cualquiera de los requisitos establecidos en las bases de licitación, poniéndolas a disposición del interesado conjuntamente con el sobre que contenga la propuesta económica.</w:t>
      </w:r>
    </w:p>
    <w:p w:rsidR="00000000" w:rsidDel="00000000" w:rsidP="00000000" w:rsidRDefault="00000000" w:rsidRPr="00000000" w14:paraId="00000124">
      <w:pPr>
        <w:ind w:left="567" w:right="539"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IV. Se procederá a la apertura de las propuestas económicas de los licitantes cuyas propuestas técnicas fueron aceptadas cuantitativamente.</w:t>
      </w:r>
    </w:p>
    <w:p w:rsidR="00000000" w:rsidDel="00000000" w:rsidP="00000000" w:rsidRDefault="00000000" w:rsidRPr="00000000" w14:paraId="00000125">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a VIII…</w:t>
      </w:r>
    </w:p>
    <w:p w:rsidR="00000000" w:rsidDel="00000000" w:rsidP="00000000" w:rsidRDefault="00000000" w:rsidRPr="00000000" w14:paraId="00000126">
      <w:pPr>
        <w:spacing w:line="360"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27">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65.-</w:t>
      </w:r>
      <w:r w:rsidDel="00000000" w:rsidR="00000000" w:rsidRPr="00000000">
        <w:rPr>
          <w:rFonts w:ascii="Palatino Linotype" w:cs="Palatino Linotype" w:eastAsia="Palatino Linotype" w:hAnsi="Palatino Linotype"/>
          <w:i w:val="1"/>
          <w:sz w:val="22"/>
          <w:szCs w:val="22"/>
          <w:rtl w:val="0"/>
        </w:rPr>
        <w:t xml:space="preserve"> La adjudicación de los contratos derivados de los procedimientos de adquisiciones de bienes o servicios, </w:t>
      </w:r>
      <w:r w:rsidDel="00000000" w:rsidR="00000000" w:rsidRPr="00000000">
        <w:rPr>
          <w:rFonts w:ascii="Palatino Linotype" w:cs="Palatino Linotype" w:eastAsia="Palatino Linotype" w:hAnsi="Palatino Linotype"/>
          <w:b w:val="1"/>
          <w:i w:val="1"/>
          <w:sz w:val="22"/>
          <w:szCs w:val="22"/>
          <w:u w:val="single"/>
          <w:rtl w:val="0"/>
        </w:rPr>
        <w:t xml:space="preserve">obligará a la convocante y al licitante ganador a suscribir el contrato respectivo</w:t>
      </w:r>
      <w:r w:rsidDel="00000000" w:rsidR="00000000" w:rsidRPr="00000000">
        <w:rPr>
          <w:rFonts w:ascii="Palatino Linotype" w:cs="Palatino Linotype" w:eastAsia="Palatino Linotype" w:hAnsi="Palatino Linotype"/>
          <w:i w:val="1"/>
          <w:sz w:val="22"/>
          <w:szCs w:val="22"/>
          <w:rtl w:val="0"/>
        </w:rPr>
        <w:t xml:space="preserve">, dentro de los diez días hábiles siguientes al de la notificación del fallo. Los contratos podrán suscribirse mediante el uso de la firma electrónica, en apego a las disposiciones de la Ley de Medios Electrónicos y de su Reglamento.</w:t>
      </w:r>
    </w:p>
    <w:p w:rsidR="00000000" w:rsidDel="00000000" w:rsidP="00000000" w:rsidRDefault="00000000" w:rsidRPr="00000000" w14:paraId="00000128">
      <w:pPr>
        <w:spacing w:line="360" w:lineRule="auto"/>
        <w:ind w:left="567" w:right="53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29">
      <w:pPr>
        <w:spacing w:after="240" w:before="240" w:line="360" w:lineRule="auto"/>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rtl w:val="0"/>
        </w:rPr>
        <w:t xml:space="preserve">Ahora bien, en lo referente a la “</w:t>
      </w:r>
      <w:r w:rsidDel="00000000" w:rsidR="00000000" w:rsidRPr="00000000">
        <w:rPr>
          <w:rFonts w:ascii="Palatino Linotype" w:cs="Palatino Linotype" w:eastAsia="Palatino Linotype" w:hAnsi="Palatino Linotype"/>
          <w:b w:val="1"/>
          <w:i w:val="1"/>
          <w:rtl w:val="0"/>
        </w:rPr>
        <w:t xml:space="preserve">investigación de mercado</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cuya denominación correcta es “</w:t>
      </w:r>
      <w:r w:rsidDel="00000000" w:rsidR="00000000" w:rsidRPr="00000000">
        <w:rPr>
          <w:rFonts w:ascii="Palatino Linotype" w:cs="Palatino Linotype" w:eastAsia="Palatino Linotype" w:hAnsi="Palatino Linotype"/>
          <w:b w:val="1"/>
          <w:i w:val="1"/>
          <w:rtl w:val="0"/>
        </w:rPr>
        <w:t xml:space="preserve">estudio de mercado”</w:t>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b w:val="1"/>
          <w:i w:val="1"/>
          <w:rtl w:val="0"/>
        </w:rPr>
        <w:t xml:space="preserve">la determinación de precio para evaluación de las propuestas”</w:t>
      </w:r>
      <w:r w:rsidDel="00000000" w:rsidR="00000000" w:rsidRPr="00000000">
        <w:rPr>
          <w:rFonts w:ascii="Palatino Linotype" w:cs="Palatino Linotype" w:eastAsia="Palatino Linotype" w:hAnsi="Palatino Linotype"/>
          <w:rtl w:val="0"/>
        </w:rPr>
        <w:t xml:space="preserve">,  es pertinente destacar que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dicha información se refiere en los artículos 8, 9;  17 y 18, respectivamente, todos ellos del Reglamento de la Ley de Contratación Pública del Estado de México  y Municipios que a la letra ordenan:   </w:t>
      </w:r>
      <w:r w:rsidDel="00000000" w:rsidR="00000000" w:rsidRPr="00000000">
        <w:rPr>
          <w:rFonts w:ascii="Palatino Linotype" w:cs="Palatino Linotype" w:eastAsia="Palatino Linotype" w:hAnsi="Palatino Linotype"/>
          <w:b w:val="1"/>
          <w:i w:val="1"/>
          <w:rtl w:val="0"/>
        </w:rPr>
        <w:t xml:space="preserve">   </w:t>
      </w:r>
    </w:p>
    <w:p w:rsidR="00000000" w:rsidDel="00000000" w:rsidP="00000000" w:rsidRDefault="00000000" w:rsidRPr="00000000" w14:paraId="0000012A">
      <w:pPr>
        <w:spacing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8</w:t>
      </w:r>
      <w:r w:rsidDel="00000000" w:rsidR="00000000" w:rsidRPr="00000000">
        <w:rPr>
          <w:rFonts w:ascii="Palatino Linotype" w:cs="Palatino Linotype" w:eastAsia="Palatino Linotype" w:hAnsi="Palatino Linotype"/>
          <w:i w:val="1"/>
          <w:sz w:val="22"/>
          <w:szCs w:val="22"/>
          <w:rtl w:val="0"/>
        </w:rPr>
        <w:t xml:space="preserve">.- Para que la Secretaría, las dependencias, organismos auxiliares, tribunales administrativos </w:t>
      </w:r>
      <w:r w:rsidDel="00000000" w:rsidR="00000000" w:rsidRPr="00000000">
        <w:rPr>
          <w:rFonts w:ascii="Palatino Linotype" w:cs="Palatino Linotype" w:eastAsia="Palatino Linotype" w:hAnsi="Palatino Linotype"/>
          <w:i w:val="1"/>
          <w:sz w:val="22"/>
          <w:szCs w:val="22"/>
          <w:u w:val="single"/>
          <w:rtl w:val="0"/>
        </w:rPr>
        <w:t xml:space="preserve">y municipios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realicen operaciones adquisitivas y de contratación de servicios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dichos bienes o servicios deberán estar incluidos en el</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programa anual de adquisiciones</w:t>
      </w:r>
      <w:r w:rsidDel="00000000" w:rsidR="00000000" w:rsidRPr="00000000">
        <w:rPr>
          <w:rFonts w:ascii="Palatino Linotype" w:cs="Palatino Linotype" w:eastAsia="Palatino Linotype" w:hAnsi="Palatino Linotype"/>
          <w:i w:val="1"/>
          <w:sz w:val="22"/>
          <w:szCs w:val="22"/>
          <w:rtl w:val="0"/>
        </w:rPr>
        <w:t xml:space="preserve">; cuando el bien o servicio requerido no esté considerado en dicho programa, éste deberá modificarse a efecto de que se incluya en el mismo, con la finalidad de que se lleve a cabo la adquisición o contratación correspondiente.”</w:t>
      </w:r>
    </w:p>
    <w:p w:rsidR="00000000" w:rsidDel="00000000" w:rsidP="00000000" w:rsidRDefault="00000000" w:rsidRPr="00000000" w14:paraId="0000012B">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2C">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Las dependencias deberán solicitar a la Secretaría autorización para que ésta convoque, adjudique y, en su caso, formalice contratos cuya vigencia inicie en el periodo fiscal siguiente de aquél en que se solicite, con base en los anteproyectos de presupuesto; en el caso de los organismos auxiliares y los tribunales administrativos, igualmente podrán efectuar esta solicitud. </w:t>
      </w:r>
    </w:p>
    <w:p w:rsidR="00000000" w:rsidDel="00000000" w:rsidP="00000000" w:rsidRDefault="00000000" w:rsidRPr="00000000" w14:paraId="0000012D">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2E">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u w:val="single"/>
          <w:rtl w:val="0"/>
        </w:rPr>
        <w:t xml:space="preserve">Para el caso de los municipios, sus autoridades determinarán lo procedente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F">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30">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Los programas de adquisiciones</w:t>
      </w:r>
      <w:r w:rsidDel="00000000" w:rsidR="00000000" w:rsidRPr="00000000">
        <w:rPr>
          <w:rFonts w:ascii="Palatino Linotype" w:cs="Palatino Linotype" w:eastAsia="Palatino Linotype" w:hAnsi="Palatino Linotype"/>
          <w:i w:val="1"/>
          <w:sz w:val="22"/>
          <w:szCs w:val="22"/>
          <w:rtl w:val="0"/>
        </w:rPr>
        <w:t xml:space="preserve">, arrendamientos y servicios </w:t>
      </w:r>
      <w:r w:rsidDel="00000000" w:rsidR="00000000" w:rsidRPr="00000000">
        <w:rPr>
          <w:rFonts w:ascii="Palatino Linotype" w:cs="Palatino Linotype" w:eastAsia="Palatino Linotype" w:hAnsi="Palatino Linotype"/>
          <w:i w:val="1"/>
          <w:sz w:val="22"/>
          <w:szCs w:val="22"/>
          <w:u w:val="single"/>
          <w:rtl w:val="0"/>
        </w:rPr>
        <w:t xml:space="preserve">de</w:t>
      </w:r>
      <w:r w:rsidDel="00000000" w:rsidR="00000000" w:rsidRPr="00000000">
        <w:rPr>
          <w:rFonts w:ascii="Palatino Linotype" w:cs="Palatino Linotype" w:eastAsia="Palatino Linotype" w:hAnsi="Palatino Linotype"/>
          <w:i w:val="1"/>
          <w:sz w:val="22"/>
          <w:szCs w:val="22"/>
          <w:rtl w:val="0"/>
        </w:rPr>
        <w:t xml:space="preserve"> las dependencias, organismos auxiliares, tribunales administrativos  y </w:t>
      </w:r>
      <w:r w:rsidDel="00000000" w:rsidR="00000000" w:rsidRPr="00000000">
        <w:rPr>
          <w:rFonts w:ascii="Palatino Linotype" w:cs="Palatino Linotype" w:eastAsia="Palatino Linotype" w:hAnsi="Palatino Linotype"/>
          <w:i w:val="1"/>
          <w:sz w:val="22"/>
          <w:szCs w:val="22"/>
          <w:u w:val="single"/>
          <w:rtl w:val="0"/>
        </w:rPr>
        <w:t xml:space="preserve">municipios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deberán contener, en lo conducente, lo siguiente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1">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32">
      <w:pPr>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Justificación; </w:t>
      </w:r>
    </w:p>
    <w:p w:rsidR="00000000" w:rsidDel="00000000" w:rsidP="00000000" w:rsidRDefault="00000000" w:rsidRPr="00000000" w14:paraId="00000133">
      <w:pPr>
        <w:ind w:left="1276"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34">
      <w:pPr>
        <w:ind w:left="1560" w:right="902" w:hanging="284.00000000000006"/>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Organigrama y plantilla de personal aprobados, únicamente cuando se considere el arrendamiento de inmuebles; </w:t>
      </w:r>
    </w:p>
    <w:p w:rsidR="00000000" w:rsidDel="00000000" w:rsidP="00000000" w:rsidRDefault="00000000" w:rsidRPr="00000000" w14:paraId="00000135">
      <w:pPr>
        <w:ind w:left="1276"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36">
      <w:pPr>
        <w:ind w:left="1276"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Previsiones presupuestales; </w:t>
      </w:r>
    </w:p>
    <w:p w:rsidR="00000000" w:rsidDel="00000000" w:rsidP="00000000" w:rsidRDefault="00000000" w:rsidRPr="00000000" w14:paraId="00000137">
      <w:pPr>
        <w:ind w:left="1276"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38">
      <w:pPr>
        <w:ind w:left="1276"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Origen de los recursos, de gasto corriente, inversión o concurrente; </w:t>
      </w:r>
    </w:p>
    <w:p w:rsidR="00000000" w:rsidDel="00000000" w:rsidP="00000000" w:rsidRDefault="00000000" w:rsidRPr="00000000" w14:paraId="00000139">
      <w:pPr>
        <w:ind w:left="1276"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3A">
      <w:pPr>
        <w:ind w:left="1276"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Datos generales del inmueble y costo de la renta; </w:t>
      </w:r>
    </w:p>
    <w:p w:rsidR="00000000" w:rsidDel="00000000" w:rsidP="00000000" w:rsidRDefault="00000000" w:rsidRPr="00000000" w14:paraId="0000013B">
      <w:pPr>
        <w:ind w:left="1276"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3C">
      <w:pPr>
        <w:ind w:left="1560" w:right="902" w:hanging="284.00000000000006"/>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Los bienes o servicios estrictamente necesarios para la realización de sus funciones, acciones y ejecución de sus programas; y </w:t>
      </w:r>
    </w:p>
    <w:p w:rsidR="00000000" w:rsidDel="00000000" w:rsidP="00000000" w:rsidRDefault="00000000" w:rsidRPr="00000000" w14:paraId="0000013D">
      <w:pPr>
        <w:ind w:left="1276"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3E">
      <w:pPr>
        <w:ind w:left="1276"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Lo demás que determine la Secretaría.”</w:t>
      </w:r>
    </w:p>
    <w:p w:rsidR="00000000" w:rsidDel="00000000" w:rsidP="00000000" w:rsidRDefault="00000000" w:rsidRPr="00000000" w14:paraId="0000013F">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40">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41">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w:t>
      </w:r>
      <w:r w:rsidDel="00000000" w:rsidR="00000000" w:rsidRPr="00000000">
        <w:rPr>
          <w:rFonts w:ascii="Palatino Linotype" w:cs="Palatino Linotype" w:eastAsia="Palatino Linotype" w:hAnsi="Palatino Linotype"/>
          <w:i w:val="1"/>
          <w:sz w:val="22"/>
          <w:szCs w:val="22"/>
          <w:rtl w:val="0"/>
        </w:rPr>
        <w:t xml:space="preserve"> Previo a la tramitación de sus adquisiciones, los titulares de las unidades administrativas de las dependencias serán responsables de obtener, a través de la Secretaría, el estudio de mercado, con el propósito de obtener los precios máximos a los que deberán adquirir los bienes y servicios; los organismos auxiliares y tribunales administrativos lo harán preferentemente, a través de ésta.</w:t>
      </w:r>
    </w:p>
    <w:p w:rsidR="00000000" w:rsidDel="00000000" w:rsidP="00000000" w:rsidRDefault="00000000" w:rsidRPr="00000000" w14:paraId="00000142">
      <w:pPr>
        <w:ind w:right="902"/>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43">
      <w:pPr>
        <w:ind w:right="902"/>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En el caso de los municipios, sus autoridades determinarán lo conducente. </w:t>
      </w:r>
    </w:p>
    <w:p w:rsidR="00000000" w:rsidDel="00000000" w:rsidP="00000000" w:rsidRDefault="00000000" w:rsidRPr="00000000" w14:paraId="00000144">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45">
      <w:pPr>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sz w:val="22"/>
          <w:szCs w:val="22"/>
          <w:rtl w:val="0"/>
        </w:rPr>
        <w:t xml:space="preserve">El </w:t>
      </w:r>
      <w:r w:rsidDel="00000000" w:rsidR="00000000" w:rsidRPr="00000000">
        <w:rPr>
          <w:rFonts w:ascii="Palatino Linotype" w:cs="Palatino Linotype" w:eastAsia="Palatino Linotype" w:hAnsi="Palatino Linotype"/>
          <w:i w:val="1"/>
          <w:sz w:val="22"/>
          <w:szCs w:val="22"/>
          <w:u w:val="single"/>
          <w:rtl w:val="0"/>
        </w:rPr>
        <w:t xml:space="preserve">estudio de mercado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tendrá como propósito</w:t>
      </w:r>
      <w:r w:rsidDel="00000000" w:rsidR="00000000" w:rsidRPr="00000000">
        <w:rPr>
          <w:rFonts w:ascii="Palatino Linotype" w:cs="Palatino Linotype" w:eastAsia="Palatino Linotype" w:hAnsi="Palatino Linotype"/>
          <w:i w:val="1"/>
          <w:sz w:val="22"/>
          <w:szCs w:val="22"/>
          <w:rtl w:val="0"/>
        </w:rPr>
        <w:t xml:space="preserve"> determinar la existencia de bienes o servicios, en la cantidad, calidad y oportunidad requeridas, así como verificar la existencia de proveedores o prestadores de servicios y conocer el precio que prevalece en el mercado, previo al inicio del acto de presentación y apertura de propuestas.</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46">
      <w:pPr>
        <w:ind w:left="851" w:right="902"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47">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El </w:t>
      </w:r>
      <w:r w:rsidDel="00000000" w:rsidR="00000000" w:rsidRPr="00000000">
        <w:rPr>
          <w:rFonts w:ascii="Palatino Linotype" w:cs="Palatino Linotype" w:eastAsia="Palatino Linotype" w:hAnsi="Palatino Linotype"/>
          <w:b w:val="1"/>
          <w:i w:val="1"/>
          <w:sz w:val="22"/>
          <w:szCs w:val="22"/>
          <w:u w:val="single"/>
          <w:rtl w:val="0"/>
        </w:rPr>
        <w:t xml:space="preserve">estudio de mercado</w:t>
      </w:r>
      <w:r w:rsidDel="00000000" w:rsidR="00000000" w:rsidRPr="00000000">
        <w:rPr>
          <w:rFonts w:ascii="Palatino Linotype" w:cs="Palatino Linotype" w:eastAsia="Palatino Linotype" w:hAnsi="Palatino Linotype"/>
          <w:b w:val="1"/>
          <w:i w:val="1"/>
          <w:sz w:val="22"/>
          <w:szCs w:val="22"/>
          <w:rtl w:val="0"/>
        </w:rPr>
        <w:t xml:space="preserve"> tendrá </w:t>
      </w:r>
      <w:r w:rsidDel="00000000" w:rsidR="00000000" w:rsidRPr="00000000">
        <w:rPr>
          <w:rFonts w:ascii="Palatino Linotype" w:cs="Palatino Linotype" w:eastAsia="Palatino Linotype" w:hAnsi="Palatino Linotype"/>
          <w:b w:val="1"/>
          <w:i w:val="1"/>
          <w:sz w:val="22"/>
          <w:szCs w:val="22"/>
          <w:u w:val="single"/>
          <w:rtl w:val="0"/>
        </w:rPr>
        <w:t xml:space="preserve">también como fines</w:t>
      </w:r>
      <w:r w:rsidDel="00000000" w:rsidR="00000000" w:rsidRPr="00000000">
        <w:rPr>
          <w:rFonts w:ascii="Palatino Linotype" w:cs="Palatino Linotype" w:eastAsia="Palatino Linotype" w:hAnsi="Palatino Linotype"/>
          <w:b w:val="1"/>
          <w:i w:val="1"/>
          <w:sz w:val="22"/>
          <w:szCs w:val="22"/>
          <w:rtl w:val="0"/>
        </w:rPr>
        <w:t xml:space="preserve">, elegir</w:t>
      </w:r>
      <w:r w:rsidDel="00000000" w:rsidR="00000000" w:rsidRPr="00000000">
        <w:rPr>
          <w:rFonts w:ascii="Palatino Linotype" w:cs="Palatino Linotype" w:eastAsia="Palatino Linotype" w:hAnsi="Palatino Linotype"/>
          <w:i w:val="1"/>
          <w:sz w:val="22"/>
          <w:szCs w:val="22"/>
          <w:rtl w:val="0"/>
        </w:rPr>
        <w:t xml:space="preserve"> la modalidad adquisitiva que deberá llevarse a cabo, establecer los precios máximos de referencia, proporcionar información a las unidades administrativas solicitantes para la determinación de la suficiencia presupuestal. </w:t>
      </w:r>
    </w:p>
    <w:p w:rsidR="00000000" w:rsidDel="00000000" w:rsidP="00000000" w:rsidRDefault="00000000" w:rsidRPr="00000000" w14:paraId="00000148">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49">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w:t>
      </w:r>
      <w:r w:rsidDel="00000000" w:rsidR="00000000" w:rsidRPr="00000000">
        <w:rPr>
          <w:rFonts w:ascii="Palatino Linotype" w:cs="Palatino Linotype" w:eastAsia="Palatino Linotype" w:hAnsi="Palatino Linotype"/>
          <w:i w:val="1"/>
          <w:sz w:val="22"/>
          <w:szCs w:val="22"/>
          <w:u w:val="single"/>
          <w:rtl w:val="0"/>
        </w:rPr>
        <w:t xml:space="preserve">estudio de mercado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deberá integrarse con</w:t>
      </w:r>
      <w:r w:rsidDel="00000000" w:rsidR="00000000" w:rsidRPr="00000000">
        <w:rPr>
          <w:rFonts w:ascii="Palatino Linotype" w:cs="Palatino Linotype" w:eastAsia="Palatino Linotype" w:hAnsi="Palatino Linotype"/>
          <w:i w:val="1"/>
          <w:sz w:val="22"/>
          <w:szCs w:val="22"/>
          <w:rtl w:val="0"/>
        </w:rPr>
        <w:t xml:space="preserve"> las características del bien o servicio obtenidas de los catálogos de bienes y servicios, o bien, a través de la información proporcionada por los fabricantes, distribuidores o comercializadoras y cámaras del ramo correspondiente.”</w:t>
      </w:r>
    </w:p>
    <w:p w:rsidR="00000000" w:rsidDel="00000000" w:rsidP="00000000" w:rsidRDefault="00000000" w:rsidRPr="00000000" w14:paraId="0000014A">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4B">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w:t>
      </w:r>
      <w:r w:rsidDel="00000000" w:rsidR="00000000" w:rsidRPr="00000000">
        <w:rPr>
          <w:rFonts w:ascii="Palatino Linotype" w:cs="Palatino Linotype" w:eastAsia="Palatino Linotype" w:hAnsi="Palatino Linotype"/>
          <w:i w:val="1"/>
          <w:sz w:val="22"/>
          <w:szCs w:val="22"/>
          <w:rtl w:val="0"/>
        </w:rPr>
        <w:t xml:space="preserve"> Los </w:t>
      </w:r>
      <w:r w:rsidDel="00000000" w:rsidR="00000000" w:rsidRPr="00000000">
        <w:rPr>
          <w:rFonts w:ascii="Palatino Linotype" w:cs="Palatino Linotype" w:eastAsia="Palatino Linotype" w:hAnsi="Palatino Linotype"/>
          <w:b w:val="1"/>
          <w:i w:val="1"/>
          <w:sz w:val="22"/>
          <w:szCs w:val="22"/>
          <w:u w:val="single"/>
          <w:rtl w:val="0"/>
        </w:rPr>
        <w:t xml:space="preserve">precios de referencia</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se determinarán mediante el promedio de al menos dos cotizaciones de los fabricantes</w:t>
      </w:r>
      <w:r w:rsidDel="00000000" w:rsidR="00000000" w:rsidRPr="00000000">
        <w:rPr>
          <w:rFonts w:ascii="Palatino Linotype" w:cs="Palatino Linotype" w:eastAsia="Palatino Linotype" w:hAnsi="Palatino Linotype"/>
          <w:i w:val="1"/>
          <w:sz w:val="22"/>
          <w:szCs w:val="22"/>
          <w:rtl w:val="0"/>
        </w:rPr>
        <w:t xml:space="preserve">, distribuidores o comercializadoras y cámaras del ramo correspondiente, que se deberán obtener por escrito, o a través de los medios electrónicos disponibles o mediante el estudio de precios, considerando las mismas condiciones en cuanto a cantidades, plazos y lugares de entrega de los bienes o de la prestación de los servicios, la forma y términos de pago, las características técnicas de los bienes o servicios y las demás condiciones que resulten aplicables y que permitan una comparación objetiva. </w:t>
      </w:r>
    </w:p>
    <w:p w:rsidR="00000000" w:rsidDel="00000000" w:rsidP="00000000" w:rsidRDefault="00000000" w:rsidRPr="00000000" w14:paraId="0000014C">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4D">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u w:val="single"/>
          <w:rtl w:val="0"/>
        </w:rPr>
        <w:t xml:space="preserve">Cuando no se puedan obtener las cotizaciones referidas en el párrafo anterior</w:t>
      </w:r>
      <w:r w:rsidDel="00000000" w:rsidR="00000000" w:rsidRPr="00000000">
        <w:rPr>
          <w:rFonts w:ascii="Palatino Linotype" w:cs="Palatino Linotype" w:eastAsia="Palatino Linotype" w:hAnsi="Palatino Linotype"/>
          <w:i w:val="1"/>
          <w:sz w:val="22"/>
          <w:szCs w:val="22"/>
          <w:rtl w:val="0"/>
        </w:rPr>
        <w:t xml:space="preserve">, por razones de titularidad de patentes, registros, derechos de autor o derechos exclusivos; mantenimientos correctivos; o porque las empresas o particulares no tengan interés en emitirlas; o bien, porque el área usuaria no lo considere conveniente por motivos de confidencialidad de la información o porque ponga en riesgo la seguridad del Estado, </w:t>
      </w:r>
      <w:r w:rsidDel="00000000" w:rsidR="00000000" w:rsidRPr="00000000">
        <w:rPr>
          <w:rFonts w:ascii="Palatino Linotype" w:cs="Palatino Linotype" w:eastAsia="Palatino Linotype" w:hAnsi="Palatino Linotype"/>
          <w:i w:val="1"/>
          <w:sz w:val="22"/>
          <w:szCs w:val="22"/>
          <w:u w:val="single"/>
          <w:rtl w:val="0"/>
        </w:rPr>
        <w:t xml:space="preserve">se podrá utilizar como precio de mercado el monto comprometido señalado en las solicitudes de adquisiciones de bienes o servicios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que se haya determinado con base en documentos de índole comercial</w:t>
      </w:r>
      <w:r w:rsidDel="00000000" w:rsidR="00000000" w:rsidRPr="00000000">
        <w:rPr>
          <w:rFonts w:ascii="Palatino Linotype" w:cs="Palatino Linotype" w:eastAsia="Palatino Linotype" w:hAnsi="Palatino Linotype"/>
          <w:i w:val="1"/>
          <w:sz w:val="22"/>
          <w:szCs w:val="22"/>
          <w:rtl w:val="0"/>
        </w:rPr>
        <w:t xml:space="preserve">, relacionados con bienes o servicios similares que tengan registrados las unidades administrativas solicitantes.”</w:t>
      </w:r>
    </w:p>
    <w:p w:rsidR="00000000" w:rsidDel="00000000" w:rsidP="00000000" w:rsidRDefault="00000000" w:rsidRPr="00000000" w14:paraId="0000014E">
      <w:pPr>
        <w:spacing w:after="20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F">
      <w:pPr>
        <w:spacing w:after="20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tenor, se colige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haber generado la información a la que se alude en la solicitud de información, se encuentra en posibilidad de otorgar  los documentos relacionados con sus  facultades, competencias o funciones; información que es pública y que tiene la obligación de proporcionarla de forma actualizada, completa, integra y veraz, por lo que resulta procedente modificar la respuesta emitida a dichos requerimientos y ordenar el soporte documental en donde conste, respecto de la adquisición de patrullas, bajo cualquier modalidad, entregadas en el evento entrega de resultados de los 150 días de la administración 2022-2024 del  Ayuntamiento de Chimalhuacán, el soporte documental de:  i)  El estudio o investigación de mercado; ii) La determinación de precio para la evaluación de las propuestas; iii) Modalidad de contratación, en caso de que sea un proceso básico de contratación, es decir licitación pública: solicitó documentación de la misma de soporte que se haya realizado cada paso conforme a la ley. En caso de que sea una contratación a licitación pública, solicitó la justificación y registro del caso de excepción; y,  iv) por último, soporte documental del gasto realizado, facturas, órdenes de pago, comprobantes de pago, donde señale la descripción en cuanto a la unidad adquirida, cantidad, costo unitario e importe por el monto total que se pagó por las unidades. </w:t>
      </w:r>
    </w:p>
    <w:p w:rsidR="00000000" w:rsidDel="00000000" w:rsidP="00000000" w:rsidRDefault="00000000" w:rsidRPr="00000000" w14:paraId="00000150">
      <w:pPr>
        <w:spacing w:after="20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manera, para iniciar una compra, es fundamental que los servidores públicos identifiquen las necesidades de bienes, arrendamientos o servicios que la dependencia o entidad requiere para el cumplimiento de sus atribuciones y de sus objetivos. Para ello es posible que el SUJETO OBLIGADO haya generado el Diagnostico de Necesidad de Compra con motivo de las patrullas adquiridas. </w:t>
      </w:r>
    </w:p>
    <w:p w:rsidR="00000000" w:rsidDel="00000000" w:rsidP="00000000" w:rsidRDefault="00000000" w:rsidRPr="00000000" w14:paraId="0000015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es desapercibido por este pleno, que los requerimientos se encuentran relacionados con el parque vehicular destinado a patrullas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por lo que es factible que el soporte documental relacionado con la adquisición de los vehículos contenga características, datos y especificaciones técnicas, información que es susceptible de ser clasificada como reservada, conforme a lo siguiente.   </w:t>
      </w:r>
    </w:p>
    <w:p w:rsidR="00000000" w:rsidDel="00000000" w:rsidP="00000000" w:rsidRDefault="00000000" w:rsidRPr="00000000" w14:paraId="00000152">
      <w:pPr>
        <w:tabs>
          <w:tab w:val="left" w:leader="none" w:pos="426"/>
        </w:tabs>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escapa de la óptica de este organismo garante que de ser el caso en el que la documentación que se ordena entregar, contenga especificaciones técnicas de las patrullas, dichos datos deberá clasificarse como reservados, lo anterior encuentra sustento en lo previsto por los Lineamientos Generales en Materia de Clasificación y Desclasificación de la Información, así como para la Elaboración de Versiones Públicas -Lineamientos Generales-, los cuales establecen lo siguiente:</w:t>
      </w:r>
    </w:p>
    <w:p w:rsidR="00000000" w:rsidDel="00000000" w:rsidP="00000000" w:rsidRDefault="00000000" w:rsidRPr="00000000" w14:paraId="00000153">
      <w:pPr>
        <w:tabs>
          <w:tab w:val="left" w:leader="none" w:pos="426"/>
        </w:tabs>
        <w:spacing w:after="240" w:before="240" w:line="276"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“Décimo séptimo. De conformidad con el artículo 113, fracción I de la Ley General, podrá considerarse como información reservada, aquella que de difundirse actualice o potencialice un riesgo o amenaza a la seguridad nacional cuando: </w:t>
      </w:r>
    </w:p>
    <w:p w:rsidR="00000000" w:rsidDel="00000000" w:rsidP="00000000" w:rsidRDefault="00000000" w:rsidRPr="00000000" w14:paraId="00000154">
      <w:pPr>
        <w:tabs>
          <w:tab w:val="left" w:leader="none" w:pos="426"/>
        </w:tabs>
        <w:spacing w:after="240" w:before="240" w:line="276"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55">
      <w:pPr>
        <w:tabs>
          <w:tab w:val="left" w:leader="none" w:pos="426"/>
        </w:tabs>
        <w:spacing w:after="240" w:before="240" w:line="276"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Se puedan menoscabar, obstaculizar o dificultar las estrategias o acciones para combatir la delincuencia organizada, la comisión de los delitos contra la seguridad de la nación, entendiéndose estos últimos como traición a la patria, espionaje, sedición, motín, rebelión, terrorismo, sabotaje, conspiración, el tráfico ilegal de materiales nucleares, de armas químicas, biológicas y convencionales de destrucción masiva;</w:t>
      </w:r>
    </w:p>
    <w:p w:rsidR="00000000" w:rsidDel="00000000" w:rsidP="00000000" w:rsidRDefault="00000000" w:rsidRPr="00000000" w14:paraId="00000156">
      <w:pPr>
        <w:tabs>
          <w:tab w:val="left" w:leader="none" w:pos="426"/>
        </w:tabs>
        <w:spacing w:after="240" w:before="240" w:line="276"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57">
      <w:pPr>
        <w:tabs>
          <w:tab w:val="left" w:leader="none" w:pos="426"/>
        </w:tabs>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podrá considerarse como reservada aquella que revele datos que pudieran ser aprovechados para conocer la capacidad de reacción de las instituciones encargadas de la seguridad nacional; sus normas, procedimientos, métodos, fuentes, especificaciones técnicas, tecnología o equipo útiles a la generación de inteligencia para la Seguridad Nacional, sin importar la naturaleza o el origen de los documentos que la consignen. </w:t>
      </w:r>
    </w:p>
    <w:p w:rsidR="00000000" w:rsidDel="00000000" w:rsidP="00000000" w:rsidRDefault="00000000" w:rsidRPr="00000000" w14:paraId="00000158">
      <w:pPr>
        <w:tabs>
          <w:tab w:val="left" w:leader="none" w:pos="426"/>
          <w:tab w:val="left" w:leader="none" w:pos="7655"/>
        </w:tabs>
        <w:spacing w:after="240" w:before="24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Décimo octavo.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 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rsidR="00000000" w:rsidDel="00000000" w:rsidP="00000000" w:rsidRDefault="00000000" w:rsidRPr="00000000" w14:paraId="00000159">
      <w:pPr>
        <w:tabs>
          <w:tab w:val="left" w:leader="none" w:pos="426"/>
          <w:tab w:val="left" w:leader="none" w:pos="7655"/>
        </w:tabs>
        <w:spacing w:after="240" w:before="24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Asimismo, podrá considerarse como reservada aquella que revele datos que pudieran ser aprovechados para conocer la capacidad de reacción de las instituciones encargadas de la seguridad pública, sus planes, estrategias, tecnología, información, sistemas de comunicaciones. </w:t>
      </w:r>
    </w:p>
    <w:p w:rsidR="00000000" w:rsidDel="00000000" w:rsidP="00000000" w:rsidRDefault="00000000" w:rsidRPr="00000000" w14:paraId="0000015A">
      <w:pPr>
        <w:tabs>
          <w:tab w:val="left" w:leader="none" w:pos="426"/>
          <w:tab w:val="left" w:leader="none" w:pos="7655"/>
        </w:tabs>
        <w:spacing w:after="240" w:before="24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Décimo noveno. De conformidad con el artículo 113, fracción I de la Ley General, podrá considerarse como información reservada que compromete la defensa nacional, aquella que difunda, actualice o potencialice un riesgo o amenaza que ponga en peligro las misiones generales del Ejército, Fuerza Aérea Mexicana o Armada de México, relacionadas con la defensa del Estado mexicano, para salvaguardar la soberanía y defender la integridad, y permanencia del territorio nacional. Asimismo, podrá considerarse como reservada aquella que revele datos que pudieran ser aprovechados para conocer la capacidad de reacción del Estado, sus planes, o uso de tecnología, información y producción de los sistemas de armamento y otros sistemas militares incluidos los sistemas de comunicaciones.” (Sic)</w:t>
      </w:r>
    </w:p>
    <w:p w:rsidR="00000000" w:rsidDel="00000000" w:rsidP="00000000" w:rsidRDefault="00000000" w:rsidRPr="00000000" w14:paraId="0000015B">
      <w:pPr>
        <w:tabs>
          <w:tab w:val="left" w:leader="none" w:pos="426"/>
        </w:tabs>
        <w:spacing w:after="240" w:before="240" w:lineRule="auto"/>
        <w:ind w:left="851" w:right="90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C">
      <w:pPr>
        <w:tabs>
          <w:tab w:val="left" w:leader="none" w:pos="426"/>
        </w:tabs>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Lineamiento referido, se desprende que para clasificar la información como reservada, será aquella que revele datos que pudieran ser aprovechados para conocer la capacidad de reacción de las instituciones encargadas de la seguridad pública y que pongan en peligro la seguridad pública y funciones de los Municipios, tendientes a preservar y resguardar la vida e integridad física de los gobernados.</w:t>
      </w:r>
    </w:p>
    <w:p w:rsidR="00000000" w:rsidDel="00000000" w:rsidP="00000000" w:rsidRDefault="00000000" w:rsidRPr="00000000" w14:paraId="0000015D">
      <w:pPr>
        <w:tabs>
          <w:tab w:val="left" w:leader="none" w:pos="426"/>
          <w:tab w:val="left" w:leader="none" w:pos="7655"/>
        </w:tabs>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el artículo 81, fracción II, de la Ley de Seguridad del Estado de México, establece lo siguiente:</w:t>
      </w:r>
    </w:p>
    <w:p w:rsidR="00000000" w:rsidDel="00000000" w:rsidP="00000000" w:rsidRDefault="00000000" w:rsidRPr="00000000" w14:paraId="0000015E">
      <w:pPr>
        <w:tabs>
          <w:tab w:val="left" w:leader="none" w:pos="426"/>
        </w:tabs>
        <w:spacing w:after="240" w:before="240"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81.-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rsidR="00000000" w:rsidDel="00000000" w:rsidP="00000000" w:rsidRDefault="00000000" w:rsidRPr="00000000" w14:paraId="0000015F">
      <w:pPr>
        <w:tabs>
          <w:tab w:val="left" w:leader="none" w:pos="426"/>
        </w:tabs>
        <w:spacing w:after="240" w:before="240"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60">
      <w:pPr>
        <w:tabs>
          <w:tab w:val="left" w:leader="none" w:pos="426"/>
        </w:tabs>
        <w:spacing w:after="240" w:before="240"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Aquella cuya revelación pueda ser utilizada para actualizar o potenciar una amenaza a la seguridad pública o a las instituciones del Estado de México…” (Sic)</w:t>
      </w:r>
    </w:p>
    <w:p w:rsidR="00000000" w:rsidDel="00000000" w:rsidP="00000000" w:rsidRDefault="00000000" w:rsidRPr="00000000" w14:paraId="00000161">
      <w:pPr>
        <w:tabs>
          <w:tab w:val="left" w:leader="none" w:pos="426"/>
        </w:tabs>
        <w:spacing w:after="240" w:before="240" w:line="360" w:lineRule="auto"/>
        <w:ind w:right="49"/>
        <w:jc w:val="both"/>
        <w:rPr/>
      </w:pPr>
      <w:r w:rsidDel="00000000" w:rsidR="00000000" w:rsidRPr="00000000">
        <w:rPr>
          <w:rFonts w:ascii="Palatino Linotype" w:cs="Palatino Linotype" w:eastAsia="Palatino Linotype" w:hAnsi="Palatino Linotype"/>
          <w:rtl w:val="0"/>
        </w:rPr>
        <w:t xml:space="preserve">Así, se desprende que es reservada toda aquella información que revele el estado de fuerza, y que puede ser utilizada para poner en riesgo la seguridad pública del Municipio.</w:t>
      </w:r>
      <w:r w:rsidDel="00000000" w:rsidR="00000000" w:rsidRPr="00000000">
        <w:rPr>
          <w:rtl w:val="0"/>
        </w:rPr>
      </w:r>
    </w:p>
    <w:p w:rsidR="00000000" w:rsidDel="00000000" w:rsidP="00000000" w:rsidRDefault="00000000" w:rsidRPr="00000000" w14:paraId="0000016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la información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entregará al particular, deberá expedirla, en su caso, en versión pública en términos de lo previsto en el apartado correspondiente de esta resolución. </w:t>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el sistema de medios de impugnación se centra en el análisis de los agravios o motivos de inconformidad, los que deben tener relación directa con el acto de autoridad que lo motiva. En materia de transparencia, los motivos de la inconformidad deben versar sobre la respuesta de información proporcionada por los sujetos obligados o la negativa de entrega de la misma, derivada de la solicitud de información pública. De este modo, en los motivos de inconformidad los recurrentes no pueden incluir situaciones novedosas o solicitudes de información nuevas de las que el SUJETO OBLIGADO no tuvo la oportunidad de conocer y por consiguiente producir un posicionamiento</w:t>
      </w:r>
    </w:p>
    <w:p w:rsidR="00000000" w:rsidDel="00000000" w:rsidP="00000000" w:rsidRDefault="00000000" w:rsidRPr="00000000" w14:paraId="0000016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por ello, que la Ley de la materia contempla que en los casos en que a través del recurso de revisión se pretenda ampliar los requerimientos de información, la inconformidad relativa a estas situaciones novedosas no debe ser tomada en cuenta como parte de la Litis y debe ser desechada, tal y como lo establece el artículo 191 fracción VII.</w:t>
      </w:r>
    </w:p>
    <w:p w:rsidR="00000000" w:rsidDel="00000000" w:rsidP="00000000" w:rsidRDefault="00000000" w:rsidRPr="00000000" w14:paraId="0000016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8">
      <w:pPr>
        <w:spacing w:line="36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191. El recurso será desechado por improcedente cuando:</w:t>
      </w:r>
    </w:p>
    <w:p w:rsidR="00000000" w:rsidDel="00000000" w:rsidP="00000000" w:rsidRDefault="00000000" w:rsidRPr="00000000" w14:paraId="00000169">
      <w:pPr>
        <w:spacing w:line="36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6A">
      <w:pPr>
        <w:spacing w:line="36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El recurrente amplíe su solicitud en el recurso de revisión, únicamente respecto de los nuevos contenidos.</w:t>
      </w:r>
    </w:p>
    <w:p w:rsidR="00000000" w:rsidDel="00000000" w:rsidP="00000000" w:rsidRDefault="00000000" w:rsidRPr="00000000" w14:paraId="0000016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resulta improcedente el referido motivo de inconformidad </w:t>
      </w:r>
      <w:r w:rsidDel="00000000" w:rsidR="00000000" w:rsidRPr="00000000">
        <w:rPr>
          <w:rFonts w:ascii="Palatino Linotype" w:cs="Palatino Linotype" w:eastAsia="Palatino Linotype" w:hAnsi="Palatino Linotype"/>
          <w:i w:val="1"/>
          <w:rtl w:val="0"/>
        </w:rPr>
        <w:t xml:space="preserve">“El sujeto obligado menciona que no existe registros documentales de la información de la adquisición de vehículos compactadores de basura, carritos de basura y equipamiento por lo que no hay lugar para entregar la información solicitada. Sin embargo y citando el artículo 19 de la Ley De Transparencia y Acceso a la Información Pública del Estado De México y Municipios, señala: … “(Sic)</w:t>
      </w:r>
      <w:r w:rsidDel="00000000" w:rsidR="00000000" w:rsidRPr="00000000">
        <w:rPr>
          <w:rFonts w:ascii="Palatino Linotype" w:cs="Palatino Linotype" w:eastAsia="Palatino Linotype" w:hAnsi="Palatino Linotype"/>
          <w:rtl w:val="0"/>
        </w:rPr>
        <w:t xml:space="preserve"> se aprecia que él ahora recurrente se excede dentro de su inconformidad respecto a lo requerido originalmente en la solicitud de información, siendo el caso que pretende ampliar lo solicitado de origen, lo que hace que se surta lo que en la teoría jurídica se le denomina como plus petitio</w:t>
      </w:r>
    </w:p>
    <w:p w:rsidR="00000000" w:rsidDel="00000000" w:rsidP="00000000" w:rsidRDefault="00000000" w:rsidRPr="00000000" w14:paraId="0000016D">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Versión Pública. </w:t>
      </w:r>
      <w:r w:rsidDel="00000000" w:rsidR="00000000" w:rsidRPr="00000000">
        <w:rPr>
          <w:rFonts w:ascii="Palatino Linotype" w:cs="Palatino Linotype" w:eastAsia="Palatino Linotype" w:hAnsi="Palatino Linotype"/>
          <w:rtl w:val="0"/>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recurrente sin menoscabar el derecho a la protección de los datos personales de terceros.</w:t>
      </w:r>
    </w:p>
    <w:p w:rsidR="00000000" w:rsidDel="00000000" w:rsidP="00000000" w:rsidRDefault="00000000" w:rsidRPr="00000000" w14:paraId="0000016F">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0">
      <w:pPr>
        <w:spacing w:after="240" w:before="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a lo que señalan los artículos 3, fracciones IX, XX, XXXII, XLV; 6, 137 y 143 fracción I, de la Ley de Transparencia y Acceso a la Información Pública del Estado de México y Municipios vigente, que se leen como sigue:</w:t>
      </w:r>
    </w:p>
    <w:p w:rsidR="00000000" w:rsidDel="00000000" w:rsidP="00000000" w:rsidRDefault="00000000" w:rsidRPr="00000000" w14:paraId="00000171">
      <w:pPr>
        <w:ind w:left="993" w:right="104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“Artículo 3. Para los efectos de la presente Ley se entenderá por:</w:t>
      </w:r>
    </w:p>
    <w:p w:rsidR="00000000" w:rsidDel="00000000" w:rsidP="00000000" w:rsidRDefault="00000000" w:rsidRPr="00000000" w14:paraId="00000172">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información concerniente a una persona, identificada o identificable</w:t>
      </w:r>
      <w:r w:rsidDel="00000000" w:rsidR="00000000" w:rsidRPr="00000000">
        <w:rPr>
          <w:rFonts w:ascii="Palatino Linotype" w:cs="Palatino Linotype" w:eastAsia="Palatino Linotype" w:hAnsi="Palatino Linotype"/>
          <w:i w:val="1"/>
          <w:sz w:val="22"/>
          <w:szCs w:val="22"/>
          <w:rtl w:val="0"/>
        </w:rPr>
        <w:t xml:space="preserve"> según lo dispuesto por la Ley de Protección de Datos Personales del Estado de México;</w:t>
      </w:r>
    </w:p>
    <w:p w:rsidR="00000000" w:rsidDel="00000000" w:rsidP="00000000" w:rsidRDefault="00000000" w:rsidRPr="00000000" w14:paraId="00000173">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174">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XXXII. Protección de Datos Personales:</w:t>
      </w:r>
      <w:r w:rsidDel="00000000" w:rsidR="00000000" w:rsidRPr="00000000">
        <w:rPr>
          <w:rFonts w:ascii="Palatino Linotype" w:cs="Palatino Linotype" w:eastAsia="Palatino Linotype" w:hAnsi="Palatino Linotype"/>
          <w:i w:val="1"/>
          <w:sz w:val="22"/>
          <w:szCs w:val="22"/>
          <w:rtl w:val="0"/>
        </w:rPr>
        <w:t xml:space="preserve"> Derecho humano que tutela la privacidad de datos personales en poder de los sujetos obligados y sujetos particulares;</w:t>
      </w:r>
    </w:p>
    <w:p w:rsidR="00000000" w:rsidDel="00000000" w:rsidP="00000000" w:rsidRDefault="00000000" w:rsidRPr="00000000" w14:paraId="00000175">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176">
      <w:pPr>
        <w:ind w:left="993"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77">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w:t>
      </w:r>
      <w:r w:rsidDel="00000000" w:rsidR="00000000" w:rsidRPr="00000000">
        <w:rPr>
          <w:rFonts w:ascii="Palatino Linotype" w:cs="Palatino Linotype" w:eastAsia="Palatino Linotype" w:hAnsi="Palatino Linotype"/>
          <w:i w:val="1"/>
          <w:sz w:val="22"/>
          <w:szCs w:val="22"/>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00000" w:rsidDel="00000000" w:rsidP="00000000" w:rsidRDefault="00000000" w:rsidRPr="00000000" w14:paraId="00000178">
      <w:pPr>
        <w:spacing w:after="0" w:lineRule="auto"/>
        <w:ind w:left="993"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79">
      <w:pPr>
        <w:spacing w:after="0" w:before="0" w:lineRule="auto"/>
        <w:ind w:left="993" w:right="104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w:t>
      </w:r>
      <w:r w:rsidDel="00000000" w:rsidR="00000000" w:rsidRPr="00000000">
        <w:rPr>
          <w:rFonts w:ascii="Palatino Linotype" w:cs="Palatino Linotype" w:eastAsia="Palatino Linotype" w:hAnsi="Palatino Linotype"/>
          <w:i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Del="00000000" w:rsidR="00000000" w:rsidRPr="00000000">
        <w:rPr>
          <w:rtl w:val="0"/>
        </w:rPr>
      </w:r>
    </w:p>
    <w:p w:rsidR="00000000" w:rsidDel="00000000" w:rsidP="00000000" w:rsidRDefault="00000000" w:rsidRPr="00000000" w14:paraId="0000017A">
      <w:pPr>
        <w:spacing w:after="0" w:before="0" w:lineRule="auto"/>
        <w:ind w:left="993" w:right="104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7B">
      <w:pPr>
        <w:spacing w:after="0" w:before="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7C">
      <w:pPr>
        <w:spacing w:after="0" w:before="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jurídica colectiva identificada o identificable;</w:t>
      </w:r>
    </w:p>
    <w:p w:rsidR="00000000" w:rsidDel="00000000" w:rsidP="00000000" w:rsidRDefault="00000000" w:rsidRPr="00000000" w14:paraId="0000017D">
      <w:pPr>
        <w:spacing w:after="0" w:before="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7E">
      <w:pPr>
        <w:spacing w:after="0" w:before="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que presenten los particulares a los sujetos obligados, de conformidad con lo dispuesto por las leyes o los tratados internacionales.” (Sic)</w:t>
      </w:r>
    </w:p>
    <w:p w:rsidR="00000000" w:rsidDel="00000000" w:rsidP="00000000" w:rsidRDefault="00000000" w:rsidRPr="00000000" w14:paraId="0000017F">
      <w:pPr>
        <w:spacing w:after="0" w:before="0" w:lineRule="auto"/>
        <w:ind w:left="993"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80">
      <w:pPr>
        <w:spacing w:after="0" w:before="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00000" w:rsidDel="00000000" w:rsidP="00000000" w:rsidRDefault="00000000" w:rsidRPr="00000000" w14:paraId="00000181">
      <w:pPr>
        <w:spacing w:after="0" w:before="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2">
      <w:pPr>
        <w:spacing w:after="0" w:before="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183">
      <w:pPr>
        <w:spacing w:after="0" w:before="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4">
      <w:pPr>
        <w:spacing w:after="0" w:before="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185">
      <w:pPr>
        <w:spacing w:after="0" w:before="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6">
      <w:pPr>
        <w:spacing w:after="0" w:before="0"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187">
      <w:pPr>
        <w:spacing w:after="0" w:before="0"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88">
      <w:pPr>
        <w:spacing w:after="0" w:before="0"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53.</w:t>
      </w:r>
      <w:r w:rsidDel="00000000" w:rsidR="00000000" w:rsidRPr="00000000">
        <w:rPr>
          <w:rFonts w:ascii="Palatino Linotype" w:cs="Palatino Linotype" w:eastAsia="Palatino Linotype" w:hAnsi="Palatino Linotype"/>
          <w:i w:val="1"/>
          <w:sz w:val="22"/>
          <w:szCs w:val="22"/>
          <w:rtl w:val="0"/>
        </w:rPr>
        <w:t xml:space="preserve"> Las </w:t>
      </w:r>
      <w:r w:rsidDel="00000000" w:rsidR="00000000" w:rsidRPr="00000000">
        <w:rPr>
          <w:rFonts w:ascii="Palatino Linotype" w:cs="Palatino Linotype" w:eastAsia="Palatino Linotype" w:hAnsi="Palatino Linotype"/>
          <w:b w:val="1"/>
          <w:i w:val="1"/>
          <w:sz w:val="22"/>
          <w:szCs w:val="22"/>
          <w:rtl w:val="0"/>
        </w:rPr>
        <w:t xml:space="preserve">Unidades de Transparencia</w:t>
      </w:r>
      <w:r w:rsidDel="00000000" w:rsidR="00000000" w:rsidRPr="00000000">
        <w:rPr>
          <w:rFonts w:ascii="Palatino Linotype" w:cs="Palatino Linotype" w:eastAsia="Palatino Linotype" w:hAnsi="Palatino Linotype"/>
          <w:i w:val="1"/>
          <w:sz w:val="22"/>
          <w:szCs w:val="22"/>
          <w:rtl w:val="0"/>
        </w:rPr>
        <w:t xml:space="preserve"> tendrán las siguientes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89">
      <w:pPr>
        <w:spacing w:after="0" w:before="0"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8A">
      <w:pPr>
        <w:spacing w:after="0" w:before="0"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59.</w:t>
      </w:r>
      <w:r w:rsidDel="00000000" w:rsidR="00000000" w:rsidRPr="00000000">
        <w:rPr>
          <w:rFonts w:ascii="Palatino Linotype" w:cs="Palatino Linotype" w:eastAsia="Palatino Linotype" w:hAnsi="Palatino Linotype"/>
          <w:i w:val="1"/>
          <w:sz w:val="22"/>
          <w:szCs w:val="22"/>
          <w:rtl w:val="0"/>
        </w:rPr>
        <w:t xml:space="preserve"> Los </w:t>
      </w:r>
      <w:r w:rsidDel="00000000" w:rsidR="00000000" w:rsidRPr="00000000">
        <w:rPr>
          <w:rFonts w:ascii="Palatino Linotype" w:cs="Palatino Linotype" w:eastAsia="Palatino Linotype" w:hAnsi="Palatino Linotype"/>
          <w:b w:val="1"/>
          <w:i w:val="1"/>
          <w:sz w:val="22"/>
          <w:szCs w:val="22"/>
          <w:rtl w:val="0"/>
        </w:rPr>
        <w:t xml:space="preserve">servidores públicos habilitados</w:t>
      </w:r>
      <w:r w:rsidDel="00000000" w:rsidR="00000000" w:rsidRPr="00000000">
        <w:rPr>
          <w:rFonts w:ascii="Palatino Linotype" w:cs="Palatino Linotype" w:eastAsia="Palatino Linotype" w:hAnsi="Palatino Linotype"/>
          <w:i w:val="1"/>
          <w:sz w:val="22"/>
          <w:szCs w:val="22"/>
          <w:rtl w:val="0"/>
        </w:rPr>
        <w:t xml:space="preserve"> tendrán las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 siguientes:</w:t>
      </w:r>
    </w:p>
    <w:p w:rsidR="00000000" w:rsidDel="00000000" w:rsidP="00000000" w:rsidRDefault="00000000" w:rsidRPr="00000000" w14:paraId="0000018B">
      <w:pPr>
        <w:spacing w:after="0" w:before="0"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sz w:val="22"/>
          <w:szCs w:val="22"/>
          <w:rtl w:val="0"/>
        </w:rPr>
        <w:t xml:space="preserve">, la cual tendrá los fundamentos y argumentos en que se basa dicha propuesta…”</w:t>
      </w:r>
    </w:p>
    <w:p w:rsidR="00000000" w:rsidDel="00000000" w:rsidP="00000000" w:rsidRDefault="00000000" w:rsidRPr="00000000" w14:paraId="0000018C">
      <w:pPr>
        <w:spacing w:after="0" w:before="0" w:lineRule="auto"/>
        <w:ind w:left="992" w:right="10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8D">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18E">
      <w:pPr>
        <w:spacing w:after="240" w:before="0" w:lineRule="auto"/>
        <w:ind w:right="1041"/>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8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190">
      <w:pPr>
        <w:spacing w:after="240" w:before="240" w:line="360" w:lineRule="auto"/>
        <w:jc w:val="both"/>
        <w:rPr>
          <w:rFonts w:ascii="Palatino Linotype" w:cs="Palatino Linotype" w:eastAsia="Palatino Linotype" w:hAnsi="Palatino Linotype"/>
        </w:rPr>
      </w:pPr>
      <w:bookmarkStart w:colFirst="0" w:colLast="0" w:name="_heading=h.gjdgxs" w:id="0"/>
      <w:bookmarkEnd w:id="0"/>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w:t>
      </w:r>
      <w:r w:rsidDel="00000000" w:rsidR="00000000" w:rsidRPr="00000000">
        <w:rPr>
          <w:rFonts w:ascii="Palatino Linotype" w:cs="Palatino Linotype" w:eastAsia="Palatino Linotype" w:hAnsi="Palatino Linotype"/>
          <w:highlight w:val="white"/>
          <w:rtl w:val="0"/>
        </w:rPr>
        <w:t xml:space="preserve"> fracciones IV y V de la </w:t>
      </w:r>
      <w:r w:rsidDel="00000000" w:rsidR="00000000" w:rsidRPr="00000000">
        <w:rPr>
          <w:rFonts w:ascii="Palatino Linotype" w:cs="Palatino Linotype" w:eastAsia="Palatino Linotype" w:hAnsi="Palatino Linotype"/>
          <w:rtl w:val="0"/>
        </w:rPr>
        <w:t xml:space="preserve">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9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426" w:right="0" w:hanging="72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 E S U E L V E</w:t>
      </w:r>
    </w:p>
    <w:p w:rsidR="00000000" w:rsidDel="00000000" w:rsidP="00000000" w:rsidRDefault="00000000" w:rsidRPr="00000000" w14:paraId="0000019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w:t>
      </w:r>
      <w:r w:rsidDel="00000000" w:rsidR="00000000" w:rsidRPr="00000000">
        <w:rPr>
          <w:rFonts w:ascii="Palatino Linotype" w:cs="Palatino Linotype" w:eastAsia="Palatino Linotype" w:hAnsi="Palatino Linotype"/>
          <w:rtl w:val="0"/>
        </w:rPr>
        <w:t xml:space="preserve">. Resultan  parcialmente </w:t>
      </w:r>
      <w:r w:rsidDel="00000000" w:rsidR="00000000" w:rsidRPr="00000000">
        <w:rPr>
          <w:rFonts w:ascii="Palatino Linotype" w:cs="Palatino Linotype" w:eastAsia="Palatino Linotype" w:hAnsi="Palatino Linotype"/>
          <w:b w:val="1"/>
          <w:rtl w:val="0"/>
        </w:rPr>
        <w:t xml:space="preserve">fundados</w:t>
      </w:r>
      <w:r w:rsidDel="00000000" w:rsidR="00000000" w:rsidRPr="00000000">
        <w:rPr>
          <w:rFonts w:ascii="Palatino Linotype" w:cs="Palatino Linotype" w:eastAsia="Palatino Linotype" w:hAnsi="Palatino Linotype"/>
          <w:rtl w:val="0"/>
        </w:rPr>
        <w:t xml:space="preserve"> los motivos de inconformidad planteados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en los recursos de revisión </w:t>
      </w:r>
      <w:r w:rsidDel="00000000" w:rsidR="00000000" w:rsidRPr="00000000">
        <w:rPr>
          <w:rFonts w:ascii="Palatino Linotype" w:cs="Palatino Linotype" w:eastAsia="Palatino Linotype" w:hAnsi="Palatino Linotype"/>
          <w:b w:val="1"/>
          <w:sz w:val="22"/>
          <w:szCs w:val="22"/>
          <w:rtl w:val="0"/>
        </w:rPr>
        <w:t xml:space="preserve">12004/INFOEM/IP/RR/2022</w:t>
      </w:r>
      <w:r w:rsidDel="00000000" w:rsidR="00000000" w:rsidRPr="00000000">
        <w:rPr>
          <w:rFonts w:ascii="Palatino Linotype" w:cs="Palatino Linotype" w:eastAsia="Palatino Linotype" w:hAnsi="Palatino Linotype"/>
          <w:rtl w:val="0"/>
        </w:rPr>
        <w:t xml:space="preserve">,</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12005/INFOEM/IP/RR/2022, y 12008/INFOEM/IP/RR/2022  por lo que, en términos del </w:t>
      </w:r>
      <w:r w:rsidDel="00000000" w:rsidR="00000000" w:rsidRPr="00000000">
        <w:rPr>
          <w:rFonts w:ascii="Palatino Linotype" w:cs="Palatino Linotype" w:eastAsia="Palatino Linotype" w:hAnsi="Palatino Linotype"/>
          <w:b w:val="1"/>
          <w:rtl w:val="0"/>
        </w:rPr>
        <w:t xml:space="preserve">Considerando Cuarto</w:t>
      </w:r>
      <w:r w:rsidDel="00000000" w:rsidR="00000000" w:rsidRPr="00000000">
        <w:rPr>
          <w:rFonts w:ascii="Palatino Linotype" w:cs="Palatino Linotype" w:eastAsia="Palatino Linotype" w:hAnsi="Palatino Linotype"/>
          <w:rtl w:val="0"/>
        </w:rPr>
        <w:t xml:space="preserve"> de la presente resolución, se </w:t>
      </w:r>
      <w:r w:rsidDel="00000000" w:rsidR="00000000" w:rsidRPr="00000000">
        <w:rPr>
          <w:rFonts w:ascii="Palatino Linotype" w:cs="Palatino Linotype" w:eastAsia="Palatino Linotype" w:hAnsi="Palatino Linotype"/>
          <w:b w:val="1"/>
          <w:rtl w:val="0"/>
        </w:rPr>
        <w:t xml:space="preserve">REVOCAN</w:t>
      </w:r>
      <w:r w:rsidDel="00000000" w:rsidR="00000000" w:rsidRPr="00000000">
        <w:rPr>
          <w:rFonts w:ascii="Palatino Linotype" w:cs="Palatino Linotype" w:eastAsia="Palatino Linotype" w:hAnsi="Palatino Linotype"/>
          <w:rtl w:val="0"/>
        </w:rPr>
        <w:t xml:space="preserve"> las respuestas emitidas por el </w:t>
      </w:r>
      <w:r w:rsidDel="00000000" w:rsidR="00000000" w:rsidRPr="00000000">
        <w:rPr>
          <w:rFonts w:ascii="Palatino Linotype" w:cs="Palatino Linotype" w:eastAsia="Palatino Linotype" w:hAnsi="Palatino Linotype"/>
          <w:b w:val="1"/>
          <w:sz w:val="22"/>
          <w:szCs w:val="22"/>
          <w:rtl w:val="0"/>
        </w:rPr>
        <w:t xml:space="preserve">Ayuntamiento de Chimalhuacán.</w:t>
      </w:r>
      <w:r w:rsidDel="00000000" w:rsidR="00000000" w:rsidRPr="00000000">
        <w:rPr>
          <w:rtl w:val="0"/>
        </w:rPr>
      </w:r>
    </w:p>
    <w:p w:rsidR="00000000" w:rsidDel="00000000" w:rsidP="00000000" w:rsidRDefault="00000000" w:rsidRPr="00000000" w14:paraId="00000193">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Se</w:t>
      </w:r>
      <w:r w:rsidDel="00000000" w:rsidR="00000000" w:rsidRPr="00000000">
        <w:rPr>
          <w:rFonts w:ascii="Palatino Linotype" w:cs="Palatino Linotype" w:eastAsia="Palatino Linotype" w:hAnsi="Palatino Linotype"/>
          <w:b w:val="1"/>
          <w:rtl w:val="0"/>
        </w:rPr>
        <w:t xml:space="preserve"> 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que en términos del </w:t>
      </w:r>
      <w:r w:rsidDel="00000000" w:rsidR="00000000" w:rsidRPr="00000000">
        <w:rPr>
          <w:rFonts w:ascii="Palatino Linotype" w:cs="Palatino Linotype" w:eastAsia="Palatino Linotype" w:hAnsi="Palatino Linotype"/>
          <w:b w:val="1"/>
          <w:rtl w:val="0"/>
        </w:rPr>
        <w:t xml:space="preserve">Considerando Cuarto</w:t>
      </w:r>
      <w:r w:rsidDel="00000000" w:rsidR="00000000" w:rsidRPr="00000000">
        <w:rPr>
          <w:rFonts w:ascii="Palatino Linotype" w:cs="Palatino Linotype" w:eastAsia="Palatino Linotype" w:hAnsi="Palatino Linotype"/>
          <w:rtl w:val="0"/>
        </w:rPr>
        <w:t xml:space="preserve"> de esta resolución haga entrega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previa búsqueda exhaustiva y razonable, de ser procedente en versión pública, respecto de la adquisición de patrullas (bajo cualquier modalidad), entregadas en el evento entrega de resultados de los 150 días de la administración 2022-2024 del Ayuntamiento de Chimalhuacán, los documentos donde conste lo siguiente: </w:t>
      </w:r>
    </w:p>
    <w:p w:rsidR="00000000" w:rsidDel="00000000" w:rsidP="00000000" w:rsidRDefault="00000000" w:rsidRPr="00000000" w14:paraId="00000194">
      <w:pPr>
        <w:spacing w:after="240" w:before="24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 </w:t>
      </w:r>
      <w:r w:rsidDel="00000000" w:rsidR="00000000" w:rsidRPr="00000000">
        <w:rPr>
          <w:rFonts w:ascii="Palatino Linotype" w:cs="Palatino Linotype" w:eastAsia="Palatino Linotype" w:hAnsi="Palatino Linotype"/>
          <w:i w:val="1"/>
          <w:rtl w:val="0"/>
        </w:rPr>
        <w:t xml:space="preserve">El Diagnóstico de necesidad de compra;</w:t>
      </w:r>
    </w:p>
    <w:p w:rsidR="00000000" w:rsidDel="00000000" w:rsidP="00000000" w:rsidRDefault="00000000" w:rsidRPr="00000000" w14:paraId="00000195">
      <w:pPr>
        <w:spacing w:after="240" w:before="240" w:lineRule="auto"/>
        <w:ind w:left="567" w:right="90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ii). </w:t>
      </w:r>
      <w:r w:rsidDel="00000000" w:rsidR="00000000" w:rsidRPr="00000000">
        <w:rPr>
          <w:rFonts w:ascii="Palatino Linotype" w:cs="Palatino Linotype" w:eastAsia="Palatino Linotype" w:hAnsi="Palatino Linotype"/>
          <w:i w:val="1"/>
          <w:rtl w:val="0"/>
        </w:rPr>
        <w:t xml:space="preserve">El Programa anual de adquisiciones;</w:t>
      </w:r>
      <w:r w:rsidDel="00000000" w:rsidR="00000000" w:rsidRPr="00000000">
        <w:rPr>
          <w:rtl w:val="0"/>
        </w:rPr>
      </w:r>
    </w:p>
    <w:p w:rsidR="00000000" w:rsidDel="00000000" w:rsidP="00000000" w:rsidRDefault="00000000" w:rsidRPr="00000000" w14:paraId="00000196">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estudio de mercado;</w:t>
      </w:r>
    </w:p>
    <w:p w:rsidR="00000000" w:rsidDel="00000000" w:rsidP="00000000" w:rsidRDefault="00000000" w:rsidRPr="00000000" w14:paraId="00000197">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rtl w:val="0"/>
        </w:rPr>
        <w:t xml:space="preserve">iv). </w:t>
      </w:r>
      <w:r w:rsidDel="00000000" w:rsidR="00000000" w:rsidRPr="00000000">
        <w:rPr>
          <w:rFonts w:ascii="Palatino Linotype" w:cs="Palatino Linotype" w:eastAsia="Palatino Linotype" w:hAnsi="Palatino Linotype"/>
          <w:i w:val="1"/>
          <w:sz w:val="22"/>
          <w:szCs w:val="22"/>
          <w:rtl w:val="0"/>
        </w:rPr>
        <w:t xml:space="preserve">La determinación de precio para la evaluación de las propuestas;</w:t>
      </w:r>
    </w:p>
    <w:p w:rsidR="00000000" w:rsidDel="00000000" w:rsidP="00000000" w:rsidRDefault="00000000" w:rsidRPr="00000000" w14:paraId="00000198">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rtl w:val="0"/>
        </w:rPr>
        <w:t xml:space="preserve">v). </w:t>
      </w:r>
      <w:r w:rsidDel="00000000" w:rsidR="00000000" w:rsidRPr="00000000">
        <w:rPr>
          <w:rFonts w:ascii="Palatino Linotype" w:cs="Palatino Linotype" w:eastAsia="Palatino Linotype" w:hAnsi="Palatino Linotype"/>
          <w:i w:val="1"/>
          <w:sz w:val="22"/>
          <w:szCs w:val="22"/>
          <w:rtl w:val="0"/>
        </w:rPr>
        <w:t xml:space="preserve">Modalidad de contratación, en caso de que sea licitación pública el  soporte que se haya realizado en cada paso o etapa  conforme a la ley, así como la justificación y registro del caso de excepción; y, </w:t>
      </w:r>
    </w:p>
    <w:p w:rsidR="00000000" w:rsidDel="00000000" w:rsidP="00000000" w:rsidRDefault="00000000" w:rsidRPr="00000000" w14:paraId="00000199">
      <w:pPr>
        <w:spacing w:after="240" w:before="24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w:t>
      </w:r>
      <w:r w:rsidDel="00000000" w:rsidR="00000000" w:rsidRPr="00000000">
        <w:rPr>
          <w:rFonts w:ascii="Palatino Linotype" w:cs="Palatino Linotype" w:eastAsia="Palatino Linotype" w:hAnsi="Palatino Linotype"/>
          <w:i w:val="1"/>
          <w:sz w:val="22"/>
          <w:szCs w:val="22"/>
          <w:rtl w:val="0"/>
        </w:rPr>
        <w:t xml:space="preserve">). El gasto realizado, facturas, órdenes de pago y/o comprobantes de pago donde señale la descripción en cuanto a la unidad adquirida, cantidad, así como el costo unitario.  </w:t>
      </w:r>
      <w:r w:rsidDel="00000000" w:rsidR="00000000" w:rsidRPr="00000000">
        <w:rPr>
          <w:rtl w:val="0"/>
        </w:rPr>
      </w:r>
    </w:p>
    <w:p w:rsidR="00000000" w:rsidDel="00000000" w:rsidP="00000000" w:rsidRDefault="00000000" w:rsidRPr="00000000" w14:paraId="0000019A">
      <w:pPr>
        <w:spacing w:after="240" w:before="24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rsidR="00000000" w:rsidDel="00000000" w:rsidP="00000000" w:rsidRDefault="00000000" w:rsidRPr="00000000" w14:paraId="0000019B">
      <w:pPr>
        <w:tabs>
          <w:tab w:val="left" w:leader="none" w:pos="1560"/>
        </w:tabs>
        <w:spacing w:after="240" w:before="24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el caso de no haberse generado la información que se ordena su entrega en el inciso i) deberá fundar y motivar dicha situación</w:t>
      </w:r>
      <w:r w:rsidDel="00000000" w:rsidR="00000000" w:rsidRPr="00000000">
        <w:rPr>
          <w:rtl w:val="0"/>
        </w:rPr>
        <w:t xml:space="preserve"> </w:t>
      </w:r>
      <w:r w:rsidDel="00000000" w:rsidR="00000000" w:rsidRPr="00000000">
        <w:rPr>
          <w:rFonts w:ascii="Palatino Linotype" w:cs="Palatino Linotype" w:eastAsia="Palatino Linotype" w:hAnsi="Palatino Linotype"/>
          <w:i w:val="1"/>
          <w:rtl w:val="0"/>
        </w:rPr>
        <w:t xml:space="preserve">en términos del artículo 19, párrafo segundo de la Ley de Transparencia y Acceso a la .información Pública del Estado de México y Municipios.</w:t>
      </w:r>
    </w:p>
    <w:p w:rsidR="00000000" w:rsidDel="00000000" w:rsidP="00000000" w:rsidRDefault="00000000" w:rsidRPr="00000000" w14:paraId="0000019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b w:val="1"/>
          <w:rtl w:val="0"/>
        </w:rPr>
        <w:t xml:space="preserve">Notifíquese,</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al Responsable de la Unidad de Transparencia del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vía SAIMEX,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00000" w:rsidDel="00000000" w:rsidP="00000000" w:rsidRDefault="00000000" w:rsidRPr="00000000" w14:paraId="0000019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9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NOTIFÍQUESE</w:t>
      </w:r>
      <w:r w:rsidDel="00000000" w:rsidR="00000000" w:rsidRPr="00000000">
        <w:rPr>
          <w:rFonts w:ascii="Palatino Linotype" w:cs="Palatino Linotype" w:eastAsia="Palatino Linotype" w:hAnsi="Palatino Linotype"/>
          <w:rtl w:val="0"/>
        </w:rPr>
        <w:t xml:space="preserve"> a la parte Recurrente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000000" w:rsidDel="00000000" w:rsidP="00000000" w:rsidRDefault="00000000" w:rsidRPr="00000000" w14:paraId="0000019F">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ONCE DE ENERO DE DOS MIL VEINTITRÉS, ANTE EL SECRETARIO TÉCNICO DEL PLENO ALEXIS TAPIA RAMÍREZ.</w:t>
      </w:r>
    </w:p>
    <w:p w:rsidR="00000000" w:rsidDel="00000000" w:rsidP="00000000" w:rsidRDefault="00000000" w:rsidRPr="00000000" w14:paraId="000001A0">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A1">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2">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3">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4">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5">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6">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7">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8">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9">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A">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B">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C">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D">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E">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F">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0">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1">
      <w:pPr>
        <w:spacing w:after="240" w:before="240" w:line="360" w:lineRule="auto"/>
        <w:jc w:val="both"/>
        <w:rPr>
          <w:rFonts w:ascii="Palatino Linotype" w:cs="Palatino Linotype" w:eastAsia="Palatino Linotype" w:hAnsi="Palatino Linotype"/>
        </w:rPr>
      </w:pPr>
      <w:r w:rsidDel="00000000" w:rsidR="00000000" w:rsidRPr="00000000">
        <w:rPr>
          <w:rtl w:val="0"/>
        </w:rPr>
      </w:r>
    </w:p>
    <w:sectPr>
      <w:headerReference r:id="rId18" w:type="default"/>
      <w:headerReference r:id="rId19" w:type="first"/>
      <w:footerReference r:id="rId20" w:type="default"/>
      <w:footerReference r:id="rId21" w:type="first"/>
      <w:pgSz w:h="15840" w:w="12240" w:orient="portrait"/>
      <w:pgMar w:bottom="1417" w:top="1417"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Times New Roman"/>
  <w:font w:name="Cambr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rPr>
      <w:drawing>
        <wp:inline distB="0" distT="0" distL="0" distR="0">
          <wp:extent cx="5612130" cy="1471930"/>
          <wp:effectExtent b="0" l="0" r="0" t="0"/>
          <wp:docPr id="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612130" cy="1471930"/>
                  </a:xfrm>
                  <a:prstGeom prst="rect"/>
                  <a:ln/>
                </pic:spPr>
              </pic:pic>
            </a:graphicData>
          </a:graphic>
        </wp:inline>
      </w:drawing>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708"/>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B2">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161</w:t>
      </w:r>
      <w:r w:rsidDel="00000000" w:rsidR="00000000" w:rsidRPr="00000000">
        <w:rPr>
          <w:rFonts w:ascii="Palatino Linotype" w:cs="Palatino Linotype" w:eastAsia="Palatino Linotype" w:hAnsi="Palatino Linotype"/>
          <w:color w:val="000000"/>
          <w:sz w:val="16"/>
          <w:szCs w:val="16"/>
          <w:rtl w:val="0"/>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 w:id="1">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Al respecto, es preciso aclarar  que  el particular requirió la “El estudio o investigación de mercado”, no obstante, conforme a lo dispuesto en el artículo 17 del Reglamento de la Ley de Contratación Pública del Estado de México, la denominación correcta es “</w:t>
      </w: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tl w:val="0"/>
        </w:rPr>
        <w:t xml:space="preserve">estudio de mercado”</w:t>
      </w: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 por lo que queda subsanada la citada deficiencia para mejor proveer al derecho del peticionario.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-916304</wp:posOffset>
          </wp:positionH>
          <wp:positionV relativeFrom="paragraph">
            <wp:posOffset>-354865</wp:posOffset>
          </wp:positionV>
          <wp:extent cx="7635600" cy="9943200"/>
          <wp:effectExtent b="0" l="0" r="0" t="0"/>
          <wp:wrapNone/>
          <wp:docPr id="12" name="image9.jpg"/>
          <a:graphic>
            <a:graphicData uri="http://schemas.openxmlformats.org/drawingml/2006/picture">
              <pic:pic>
                <pic:nvPicPr>
                  <pic:cNvPr id="0" name="image9.jpg"/>
                  <pic:cNvPicPr preferRelativeResize="0"/>
                </pic:nvPicPr>
                <pic:blipFill>
                  <a:blip r:embed="rId1"/>
                  <a:srcRect b="0" l="0" r="0" t="0"/>
                  <a:stretch>
                    <a:fillRect/>
                  </a:stretch>
                </pic:blipFill>
                <pic:spPr>
                  <a:xfrm>
                    <a:off x="0" y="0"/>
                    <a:ext cx="7635600" cy="9943200"/>
                  </a:xfrm>
                  <a:prstGeom prst="rect"/>
                  <a:ln/>
                </pic:spPr>
              </pic:pic>
            </a:graphicData>
          </a:graphic>
        </wp:anchor>
      </w:drawing>
    </w:r>
  </w:p>
  <w:tbl>
    <w:tblPr>
      <w:tblStyle w:val="Table2"/>
      <w:tblW w:w="6240.0" w:type="dxa"/>
      <w:jc w:val="left"/>
      <w:tblInd w:w="3685.0" w:type="dxa"/>
      <w:tblLayout w:type="fixed"/>
      <w:tblLook w:val="0400"/>
    </w:tblPr>
    <w:tblGrid>
      <w:gridCol w:w="2553"/>
      <w:gridCol w:w="3687"/>
      <w:tblGridChange w:id="0">
        <w:tblGrid>
          <w:gridCol w:w="2553"/>
          <w:gridCol w:w="3687"/>
        </w:tblGrid>
      </w:tblGridChange>
    </w:tblGrid>
    <w:tr>
      <w:trPr>
        <w:cantSplit w:val="0"/>
        <w:tblHeader w:val="0"/>
      </w:trPr>
      <w:tc>
        <w:tcPr>
          <w:vAlign w:val="center"/>
        </w:tcPr>
        <w:p w:rsidR="00000000" w:rsidDel="00000000" w:rsidP="00000000" w:rsidRDefault="00000000" w:rsidRPr="00000000" w14:paraId="000001B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B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12004 /INFOEM/IP/RR/2022 y acumulados</w:t>
          </w:r>
        </w:p>
      </w:tc>
    </w:tr>
    <w:tr>
      <w:trPr>
        <w:cantSplit w:val="0"/>
        <w:tblHeader w:val="0"/>
      </w:trPr>
      <w:tc>
        <w:tcPr>
          <w:vAlign w:val="center"/>
        </w:tcPr>
        <w:p w:rsidR="00000000" w:rsidDel="00000000" w:rsidP="00000000" w:rsidRDefault="00000000" w:rsidRPr="00000000" w14:paraId="000001B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 Recurrente: </w:t>
          </w:r>
        </w:p>
      </w:tc>
      <w:tc>
        <w:tcPr>
          <w:vAlign w:val="center"/>
        </w:tcPr>
        <w:p w:rsidR="00000000" w:rsidDel="00000000" w:rsidP="00000000" w:rsidRDefault="00000000" w:rsidRPr="00000000" w14:paraId="000001B8">
          <w:pPr>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B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BA">
          <w:pPr>
            <w:ind w:right="596"/>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Chimalhuacán</w:t>
          </w:r>
        </w:p>
      </w:tc>
    </w:tr>
    <w:tr>
      <w:trPr>
        <w:cantSplit w:val="0"/>
        <w:tblHeader w:val="0"/>
      </w:trPr>
      <w:tc>
        <w:tcPr>
          <w:vAlign w:val="center"/>
        </w:tcPr>
        <w:p w:rsidR="00000000" w:rsidDel="00000000" w:rsidP="00000000" w:rsidRDefault="00000000" w:rsidRPr="00000000" w14:paraId="000001B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BC">
          <w:pPr>
            <w:ind w:right="-533"/>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
      <w:tblW w:w="6240.0" w:type="dxa"/>
      <w:jc w:val="left"/>
      <w:tblInd w:w="3746.0" w:type="dxa"/>
      <w:tblLayout w:type="fixed"/>
      <w:tblLook w:val="0400"/>
    </w:tblPr>
    <w:tblGrid>
      <w:gridCol w:w="2553"/>
      <w:gridCol w:w="3687"/>
      <w:tblGridChange w:id="0">
        <w:tblGrid>
          <w:gridCol w:w="2553"/>
          <w:gridCol w:w="3687"/>
        </w:tblGrid>
      </w:tblGridChange>
    </w:tblGrid>
    <w:tr>
      <w:trPr>
        <w:cantSplit w:val="0"/>
        <w:tblHeader w:val="0"/>
      </w:trPr>
      <w:tc>
        <w:tcPr>
          <w:vAlign w:val="center"/>
        </w:tcPr>
        <w:p w:rsidR="00000000" w:rsidDel="00000000" w:rsidP="00000000" w:rsidRDefault="00000000" w:rsidRPr="00000000" w14:paraId="000001C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C1">
          <w:pPr>
            <w:ind w:right="666"/>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12004/INFOEM/IP/RR/2022 y acumulados</w:t>
          </w:r>
        </w:p>
      </w:tc>
    </w:tr>
    <w:tr>
      <w:trPr>
        <w:cantSplit w:val="0"/>
        <w:trHeight w:val="228" w:hRule="atLeast"/>
        <w:tblHeader w:val="0"/>
      </w:trPr>
      <w:tc>
        <w:tcPr>
          <w:vAlign w:val="center"/>
        </w:tcPr>
        <w:p w:rsidR="00000000" w:rsidDel="00000000" w:rsidP="00000000" w:rsidRDefault="00000000" w:rsidRPr="00000000" w14:paraId="000001C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C3">
          <w:pPr>
            <w:ind w:right="954"/>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C4">
          <w:pPr>
            <w:ind w:right="954"/>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Chimalhuacán</w:t>
          </w:r>
        </w:p>
      </w:tc>
    </w:tr>
    <w:tr>
      <w:trPr>
        <w:cantSplit w:val="0"/>
        <w:tblHeader w:val="0"/>
      </w:trPr>
      <w:tc>
        <w:tcPr>
          <w:vAlign w:val="center"/>
        </w:tcPr>
        <w:p w:rsidR="00000000" w:rsidDel="00000000" w:rsidP="00000000" w:rsidRDefault="00000000" w:rsidRPr="00000000" w14:paraId="000001C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C6">
          <w:pPr>
            <w:ind w:right="-533"/>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2326"/>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drawing>
        <wp:anchor allowOverlap="1" behindDoc="1" distB="0" distT="0" distL="0" distR="0" hidden="0" layoutInCell="1" locked="0" relativeHeight="0" simplePos="0">
          <wp:simplePos x="0" y="0"/>
          <wp:positionH relativeFrom="column">
            <wp:posOffset>-982344</wp:posOffset>
          </wp:positionH>
          <wp:positionV relativeFrom="paragraph">
            <wp:posOffset>-1108074</wp:posOffset>
          </wp:positionV>
          <wp:extent cx="7635600" cy="9943200"/>
          <wp:effectExtent b="0" l="0" r="0" t="0"/>
          <wp:wrapNone/>
          <wp:docPr id="18" name="image9.jpg"/>
          <a:graphic>
            <a:graphicData uri="http://schemas.openxmlformats.org/drawingml/2006/picture">
              <pic:pic>
                <pic:nvPicPr>
                  <pic:cNvPr id="0" name="image9.jpg"/>
                  <pic:cNvPicPr preferRelativeResize="0"/>
                </pic:nvPicPr>
                <pic:blipFill>
                  <a:blip r:embed="rId1"/>
                  <a:srcRect b="0" l="0" r="0" t="0"/>
                  <a:stretch>
                    <a:fillRect/>
                  </a:stretch>
                </pic:blipFill>
                <pic:spPr>
                  <a:xfrm>
                    <a:off x="0" y="0"/>
                    <a:ext cx="7635600" cy="9943200"/>
                  </a:xfrm>
                  <a:prstGeom prst="rect"/>
                  <a:ln/>
                </pic:spPr>
              </pic:pic>
            </a:graphicData>
          </a:graphic>
        </wp:anchor>
      </w:drawing>
    </w:r>
  </w:p>
  <w:p w:rsidR="00000000" w:rsidDel="00000000" w:rsidP="00000000" w:rsidRDefault="00000000" w:rsidRPr="00000000" w14:paraId="000001C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2">
    <w:lvl w:ilvl="0">
      <w:start w:val="3"/>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spacing w:before="40" w:lineRule="auto"/>
    </w:pPr>
    <w:rPr>
      <w:rFonts w:ascii="Calibri" w:cs="Calibri" w:eastAsia="Calibri" w:hAnsi="Calibri"/>
      <w:i w:val="1"/>
      <w:color w:val="36609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80F8C"/>
    <w:rPr>
      <w:rFonts w:ascii="Times New Roman" w:cs="Times New Roman" w:eastAsia="Times New Roman" w:hAnsi="Times New Roman"/>
      <w:lang w:val="es-ES"/>
    </w:rPr>
  </w:style>
  <w:style w:type="paragraph" w:styleId="Ttulo1">
    <w:name w:val="heading 1"/>
    <w:basedOn w:val="Normal"/>
    <w:next w:val="Normal"/>
    <w:link w:val="Ttulo1Car"/>
    <w:uiPriority w:val="9"/>
    <w:qFormat w:val="1"/>
    <w:rsid w:val="007F61DA"/>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unhideWhenUsed w:val="1"/>
    <w:qFormat w:val="1"/>
    <w:rsid w:val="004A6EFE"/>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D006F2"/>
    <w:pPr>
      <w:keepNext w:val="1"/>
      <w:keepLines w:val="1"/>
      <w:spacing w:before="40"/>
      <w:outlineLvl w:val="2"/>
    </w:pPr>
    <w:rPr>
      <w:rFonts w:asciiTheme="majorHAnsi" w:cstheme="majorBidi" w:eastAsiaTheme="majorEastAsia" w:hAnsiTheme="majorHAnsi"/>
      <w:color w:val="243f60" w:themeColor="accent1" w:themeShade="00007F"/>
    </w:rPr>
  </w:style>
  <w:style w:type="paragraph" w:styleId="Ttulo4">
    <w:name w:val="heading 4"/>
    <w:basedOn w:val="Normal"/>
    <w:next w:val="Normal"/>
    <w:link w:val="Ttulo4Car"/>
    <w:uiPriority w:val="9"/>
    <w:semiHidden w:val="1"/>
    <w:unhideWhenUsed w:val="1"/>
    <w:qFormat w:val="1"/>
    <w:rsid w:val="00D006F2"/>
    <w:pPr>
      <w:keepNext w:val="1"/>
      <w:keepLines w:val="1"/>
      <w:spacing w:before="40"/>
      <w:outlineLvl w:val="3"/>
    </w:pPr>
    <w:rPr>
      <w:rFonts w:asciiTheme="majorHAnsi" w:cstheme="majorBidi" w:eastAsiaTheme="majorEastAsia" w:hAnsiTheme="majorHAnsi"/>
      <w:i w:val="1"/>
      <w:iCs w:val="1"/>
      <w:color w:val="365f91" w:themeColor="accent1" w:themeShade="0000BF"/>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D485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9D4854"/>
    <w:pPr>
      <w:ind w:left="708"/>
    </w:pPr>
  </w:style>
  <w:style w:type="table" w:styleId="Tablaconcuadrcula">
    <w:name w:val="Table Grid"/>
    <w:basedOn w:val="Tablanormal"/>
    <w:uiPriority w:val="39"/>
    <w:rsid w:val="00AB3F5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B3F5E"/>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B3F5E"/>
    <w:rPr>
      <w:vertAlign w:val="superscript"/>
    </w:rPr>
  </w:style>
  <w:style w:type="character" w:styleId="Ttulo2Car" w:customStyle="1">
    <w:name w:val="Título 2 Car"/>
    <w:basedOn w:val="Fuentedeprrafopredeter"/>
    <w:link w:val="Ttulo2"/>
    <w:uiPriority w:val="9"/>
    <w:rsid w:val="004A6EFE"/>
    <w:rPr>
      <w:rFonts w:asciiTheme="majorHAnsi" w:cstheme="majorBidi" w:eastAsiaTheme="majorEastAsia" w:hAnsiTheme="majorHAnsi"/>
      <w:color w:val="365f91" w:themeColor="accent1" w:themeShade="0000BF"/>
      <w:sz w:val="26"/>
      <w:szCs w:val="26"/>
      <w:lang w:val="es-ES"/>
    </w:rPr>
  </w:style>
  <w:style w:type="character" w:styleId="apple-converted-space" w:customStyle="1">
    <w:name w:val="apple-converted-space"/>
    <w:basedOn w:val="Fuentedeprrafopredeter"/>
    <w:rsid w:val="00A5404F"/>
  </w:style>
  <w:style w:type="character" w:styleId="normaltextrun" w:customStyle="1">
    <w:name w:val="normaltextrun"/>
    <w:basedOn w:val="Fuentedeprrafopredeter"/>
    <w:rsid w:val="00355B75"/>
  </w:style>
  <w:style w:type="paragraph" w:styleId="paragraph" w:customStyle="1">
    <w:name w:val="paragraph"/>
    <w:basedOn w:val="Normal"/>
    <w:rsid w:val="00355B75"/>
    <w:pPr>
      <w:spacing w:after="100" w:afterAutospacing="1" w:before="100" w:beforeAutospacing="1"/>
    </w:pPr>
    <w:rPr>
      <w:lang w:eastAsia="es-MX" w:val="es-MX"/>
    </w:rPr>
  </w:style>
  <w:style w:type="character" w:styleId="eop" w:customStyle="1">
    <w:name w:val="eop"/>
    <w:basedOn w:val="Fuentedeprrafopredeter"/>
    <w:rsid w:val="00355B75"/>
  </w:style>
  <w:style w:type="character" w:styleId="Hipervnculo">
    <w:name w:val="Hyperlink"/>
    <w:basedOn w:val="Fuentedeprrafopredeter"/>
    <w:uiPriority w:val="99"/>
    <w:unhideWhenUsed w:val="1"/>
    <w:rsid w:val="00623EA3"/>
    <w:rPr>
      <w:color w:val="0000ff" w:themeColor="hyperlink"/>
      <w:u w:val="single"/>
    </w:rPr>
  </w:style>
  <w:style w:type="character" w:styleId="nacep" w:customStyle="1">
    <w:name w:val="n_acep"/>
    <w:basedOn w:val="Fuentedeprrafopredeter"/>
    <w:rsid w:val="00585C24"/>
  </w:style>
  <w:style w:type="paragraph" w:styleId="Texto" w:customStyle="1">
    <w:name w:val="Texto"/>
    <w:basedOn w:val="Normal"/>
    <w:link w:val="TextoCar"/>
    <w:qFormat w:val="1"/>
    <w:rsid w:val="009573BD"/>
    <w:pPr>
      <w:spacing w:after="101" w:line="216" w:lineRule="exact"/>
      <w:ind w:firstLine="288"/>
      <w:jc w:val="both"/>
    </w:pPr>
    <w:rPr>
      <w:rFonts w:ascii="Arial" w:cs="Arial" w:hAnsi="Arial"/>
      <w:sz w:val="18"/>
      <w:szCs w:val="20"/>
    </w:rPr>
  </w:style>
  <w:style w:type="character" w:styleId="TextoCar" w:customStyle="1">
    <w:name w:val="Texto Car"/>
    <w:link w:val="Texto"/>
    <w:locked w:val="1"/>
    <w:rsid w:val="009573BD"/>
    <w:rPr>
      <w:rFonts w:ascii="Arial" w:cs="Arial" w:eastAsia="Times New Roman" w:hAnsi="Arial"/>
      <w:sz w:val="18"/>
      <w:szCs w:val="20"/>
      <w:lang w:val="es-ES"/>
    </w:rPr>
  </w:style>
  <w:style w:type="character" w:styleId="Ttulo1Car" w:customStyle="1">
    <w:name w:val="Título 1 Car"/>
    <w:basedOn w:val="Fuentedeprrafopredeter"/>
    <w:link w:val="Ttulo1"/>
    <w:uiPriority w:val="9"/>
    <w:rsid w:val="007F61DA"/>
    <w:rPr>
      <w:rFonts w:asciiTheme="majorHAnsi" w:cstheme="majorBidi" w:eastAsiaTheme="majorEastAsia" w:hAnsiTheme="majorHAnsi"/>
      <w:color w:val="365f91" w:themeColor="accent1" w:themeShade="0000BF"/>
      <w:sz w:val="32"/>
      <w:szCs w:val="32"/>
      <w:lang w:val="es-ES"/>
    </w:rPr>
  </w:style>
  <w:style w:type="paragraph" w:styleId="Default" w:customStyle="1">
    <w:name w:val="Default"/>
    <w:rsid w:val="00DF0D44"/>
    <w:pPr>
      <w:autoSpaceDE w:val="0"/>
      <w:autoSpaceDN w:val="0"/>
      <w:adjustRightInd w:val="0"/>
    </w:pPr>
    <w:rPr>
      <w:rFonts w:ascii="Arial" w:cs="Arial" w:hAnsi="Arial"/>
      <w:color w:val="000000"/>
      <w:lang w:val="es-MX"/>
    </w:rPr>
  </w:style>
  <w:style w:type="paragraph" w:styleId="Sinespaciado">
    <w:name w:val="No Spacing"/>
    <w:aliases w:val="Francesa,INAI"/>
    <w:link w:val="SinespaciadoCar"/>
    <w:uiPriority w:val="1"/>
    <w:qFormat w:val="1"/>
    <w:rsid w:val="00932CFF"/>
    <w:rPr>
      <w:rFonts w:ascii="Times New Roman" w:cs="Times New Roman" w:eastAsia="Times New Roman" w:hAnsi="Times New Roman"/>
      <w:lang w:val="es-MX"/>
    </w:rPr>
  </w:style>
  <w:style w:type="character" w:styleId="Textoennegrita">
    <w:name w:val="Strong"/>
    <w:uiPriority w:val="22"/>
    <w:qFormat w:val="1"/>
    <w:rsid w:val="00932CFF"/>
    <w:rPr>
      <w:b w:val="1"/>
      <w:bCs w:val="1"/>
    </w:rPr>
  </w:style>
  <w:style w:type="character" w:styleId="SinespaciadoCar" w:customStyle="1">
    <w:name w:val="Sin espaciado Car"/>
    <w:aliases w:val="Francesa Car,INAI Car"/>
    <w:link w:val="Sinespaciado"/>
    <w:uiPriority w:val="1"/>
    <w:locked w:val="1"/>
    <w:rsid w:val="00932CFF"/>
    <w:rPr>
      <w:rFonts w:ascii="Times New Roman" w:cs="Times New Roman" w:eastAsia="Times New Roman" w:hAnsi="Times New Roman"/>
      <w:lang w:val="es-MX"/>
    </w:rPr>
  </w:style>
  <w:style w:type="paragraph" w:styleId="NormalWeb">
    <w:name w:val="Normal (Web)"/>
    <w:basedOn w:val="Normal"/>
    <w:uiPriority w:val="99"/>
    <w:unhideWhenUsed w:val="1"/>
    <w:rsid w:val="00444919"/>
    <w:pPr>
      <w:spacing w:after="100" w:afterAutospacing="1" w:before="100" w:beforeAutospacing="1"/>
    </w:pPr>
    <w:rPr>
      <w:lang w:eastAsia="es-MX" w:val="es-MX"/>
    </w:rPr>
  </w:style>
  <w:style w:type="paragraph" w:styleId="Textoindependiente">
    <w:name w:val="Body Text"/>
    <w:basedOn w:val="Normal"/>
    <w:link w:val="TextoindependienteCar"/>
    <w:uiPriority w:val="1"/>
    <w:qFormat w:val="1"/>
    <w:rsid w:val="00446C36"/>
    <w:pPr>
      <w:widowControl w:val="0"/>
      <w:autoSpaceDE w:val="0"/>
      <w:autoSpaceDN w:val="0"/>
      <w:adjustRightInd w:val="0"/>
      <w:ind w:left="112"/>
    </w:pPr>
    <w:rPr>
      <w:rFonts w:eastAsiaTheme="minorEastAsia"/>
      <w:sz w:val="25"/>
      <w:szCs w:val="25"/>
      <w:lang w:eastAsia="es-MX" w:val="es-MX"/>
    </w:rPr>
  </w:style>
  <w:style w:type="character" w:styleId="TextoindependienteCar" w:customStyle="1">
    <w:name w:val="Texto independiente Car"/>
    <w:basedOn w:val="Fuentedeprrafopredeter"/>
    <w:link w:val="Textoindependiente"/>
    <w:uiPriority w:val="1"/>
    <w:rsid w:val="00446C36"/>
    <w:rPr>
      <w:rFonts w:ascii="Times New Roman" w:cs="Times New Roman" w:hAnsi="Times New Roman"/>
      <w:sz w:val="25"/>
      <w:szCs w:val="25"/>
      <w:lang w:eastAsia="es-MX" w:val="es-MX"/>
    </w:rPr>
  </w:style>
  <w:style w:type="paragraph" w:styleId="Textosinformato">
    <w:name w:val="Plain Text"/>
    <w:basedOn w:val="Normal"/>
    <w:link w:val="TextosinformatoCar"/>
    <w:unhideWhenUsed w:val="1"/>
    <w:rsid w:val="006F1806"/>
    <w:rPr>
      <w:rFonts w:ascii="Courier New" w:hAnsi="Courier New"/>
      <w:sz w:val="20"/>
      <w:szCs w:val="20"/>
    </w:rPr>
  </w:style>
  <w:style w:type="character" w:styleId="TextosinformatoCar" w:customStyle="1">
    <w:name w:val="Texto sin formato Car"/>
    <w:basedOn w:val="Fuentedeprrafopredeter"/>
    <w:link w:val="Textosinformato"/>
    <w:rsid w:val="006F1806"/>
    <w:rPr>
      <w:rFonts w:ascii="Courier New" w:cs="Times New Roman" w:eastAsia="Times New Roman" w:hAnsi="Courier New"/>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CA08C0"/>
    <w:rPr>
      <w:color w:val="605e5c"/>
      <w:shd w:color="auto" w:fill="e1dfdd" w:val="clear"/>
    </w:rPr>
  </w:style>
  <w:style w:type="table" w:styleId="Tablaconcuadrcula4-nfasis5">
    <w:name w:val="Grid Table 4 Accent 5"/>
    <w:basedOn w:val="Tablanormal"/>
    <w:uiPriority w:val="49"/>
    <w:rsid w:val="006E38D5"/>
    <w:tblPr>
      <w:tblStyleRowBandSize w:val="1"/>
      <w:tblStyleColBandSize w:val="1"/>
      <w:tblBorders>
        <w:top w:color="92cddc" w:space="0" w:sz="4" w:themeColor="accent5" w:themeTint="000099" w:val="single"/>
        <w:left w:color="92cddc" w:space="0" w:sz="4" w:themeColor="accent5" w:themeTint="000099" w:val="single"/>
        <w:bottom w:color="92cddc" w:space="0" w:sz="4" w:themeColor="accent5" w:themeTint="000099" w:val="single"/>
        <w:right w:color="92cddc" w:space="0" w:sz="4" w:themeColor="accent5" w:themeTint="000099" w:val="single"/>
        <w:insideH w:color="92cddc" w:space="0" w:sz="4" w:themeColor="accent5" w:themeTint="000099" w:val="single"/>
        <w:insideV w:color="92cddc" w:space="0" w:sz="4" w:themeColor="accent5" w:themeTint="000099" w:val="single"/>
      </w:tblBorders>
    </w:tblPr>
    <w:tblStylePr w:type="firstRow">
      <w:rPr>
        <w:b w:val="1"/>
        <w:bCs w:val="1"/>
        <w:color w:val="ffffff" w:themeColor="background1"/>
      </w:rPr>
      <w:tblPr/>
      <w:tcPr>
        <w:tcBorders>
          <w:top w:color="4bacc6" w:space="0" w:sz="4" w:themeColor="accent5" w:val="single"/>
          <w:left w:color="4bacc6" w:space="0" w:sz="4" w:themeColor="accent5" w:val="single"/>
          <w:bottom w:color="4bacc6" w:space="0" w:sz="4" w:themeColor="accent5" w:val="single"/>
          <w:right w:color="4bacc6" w:space="0" w:sz="4" w:themeColor="accent5" w:val="single"/>
          <w:insideH w:space="0" w:sz="0" w:val="nil"/>
          <w:insideV w:space="0" w:sz="0" w:val="nil"/>
        </w:tcBorders>
        <w:shd w:color="auto" w:fill="4bacc6" w:themeFill="accent5" w:val="clear"/>
      </w:tcPr>
    </w:tblStylePr>
    <w:tblStylePr w:type="lastRow">
      <w:rPr>
        <w:b w:val="1"/>
        <w:bCs w:val="1"/>
      </w:rPr>
      <w:tblPr/>
      <w:tcPr>
        <w:tcBorders>
          <w:top w:color="4bacc6" w:space="0" w:sz="4" w:themeColor="accent5" w:val="double"/>
        </w:tcBorders>
      </w:tcPr>
    </w:tblStylePr>
    <w:tblStylePr w:type="firstCol">
      <w:rPr>
        <w:b w:val="1"/>
        <w:bCs w:val="1"/>
      </w:rPr>
    </w:tblStylePr>
    <w:tblStylePr w:type="lastCol">
      <w:rPr>
        <w:b w:val="1"/>
        <w:bCs w:val="1"/>
      </w:rPr>
    </w:tblStylePr>
    <w:tblStylePr w:type="band1Vert">
      <w:tblPr/>
      <w:tcPr>
        <w:shd w:color="auto" w:fill="daeef3" w:themeFill="accent5" w:themeFillTint="000033" w:val="clear"/>
      </w:tcPr>
    </w:tblStylePr>
    <w:tblStylePr w:type="band1Horz">
      <w:tblPr/>
      <w:tcPr>
        <w:shd w:color="auto" w:fill="daeef3" w:themeFill="accent5" w:themeFillTint="000033" w:val="clear"/>
      </w:tcPr>
    </w:tblStylePr>
  </w:style>
  <w:style w:type="character" w:styleId="Ttulo3Car" w:customStyle="1">
    <w:name w:val="Título 3 Car"/>
    <w:basedOn w:val="Fuentedeprrafopredeter"/>
    <w:link w:val="Ttulo3"/>
    <w:uiPriority w:val="9"/>
    <w:semiHidden w:val="1"/>
    <w:rsid w:val="00D006F2"/>
    <w:rPr>
      <w:rFonts w:asciiTheme="majorHAnsi" w:cstheme="majorBidi" w:eastAsiaTheme="majorEastAsia" w:hAnsiTheme="majorHAnsi"/>
      <w:color w:val="243f60" w:themeColor="accent1" w:themeShade="00007F"/>
      <w:lang w:val="es-ES"/>
    </w:rPr>
  </w:style>
  <w:style w:type="character" w:styleId="Ttulo4Car" w:customStyle="1">
    <w:name w:val="Título 4 Car"/>
    <w:basedOn w:val="Fuentedeprrafopredeter"/>
    <w:link w:val="Ttulo4"/>
    <w:uiPriority w:val="9"/>
    <w:semiHidden w:val="1"/>
    <w:rsid w:val="00D006F2"/>
    <w:rPr>
      <w:rFonts w:asciiTheme="majorHAnsi" w:cstheme="majorBidi" w:eastAsiaTheme="majorEastAsia" w:hAnsiTheme="majorHAnsi"/>
      <w:i w:val="1"/>
      <w:iCs w:val="1"/>
      <w:color w:val="365f91" w:themeColor="accent1" w:themeShade="0000BF"/>
      <w:lang w:val="es-ES"/>
    </w:rPr>
  </w:style>
  <w:style w:type="paragraph" w:styleId="m-698976158124685028gmail-default" w:customStyle="1">
    <w:name w:val="m_-698976158124685028gmail-default"/>
    <w:basedOn w:val="Normal"/>
    <w:rsid w:val="006B1B2B"/>
    <w:pPr>
      <w:spacing w:after="100" w:afterAutospacing="1" w:before="100" w:beforeAutospacing="1"/>
    </w:pPr>
    <w:rPr>
      <w:lang w:eastAsia="es-MX" w:val="es-MX"/>
    </w:rPr>
  </w:style>
  <w:style w:type="paragraph" w:styleId="m-698976158124685028gmail-msolistparagraph" w:customStyle="1">
    <w:name w:val="m_-698976158124685028gmail-msolistparagraph"/>
    <w:basedOn w:val="Normal"/>
    <w:rsid w:val="006B1B2B"/>
    <w:pPr>
      <w:spacing w:after="100" w:afterAutospacing="1" w:before="100" w:beforeAutospacing="1"/>
    </w:pPr>
    <w:rPr>
      <w:lang w:eastAsia="es-MX" w:val="es-MX"/>
    </w:rPr>
  </w:style>
  <w:style w:type="paragraph" w:styleId="m-698976158124685028gmail-m483811427706604298gmail-msolistparagraph" w:customStyle="1">
    <w:name w:val="m_-698976158124685028gmail-m483811427706604298gmail-msolistparagraph"/>
    <w:basedOn w:val="Normal"/>
    <w:rsid w:val="00D41810"/>
    <w:pPr>
      <w:spacing w:after="100" w:afterAutospacing="1" w:before="100" w:beforeAutospacing="1"/>
    </w:pPr>
    <w:rPr>
      <w:lang w:eastAsia="es-MX" w:val="es-MX"/>
    </w:rPr>
  </w:style>
  <w:style w:type="paragraph" w:styleId="m-698976158124685028gmail-msonormal" w:customStyle="1">
    <w:name w:val="m_-698976158124685028gmail-msonormal"/>
    <w:basedOn w:val="Normal"/>
    <w:rsid w:val="00D41810"/>
    <w:pPr>
      <w:spacing w:after="100" w:afterAutospacing="1" w:before="100" w:beforeAutospacing="1"/>
    </w:pPr>
    <w:rPr>
      <w:lang w:eastAsia="es-MX" w:val="es-MX"/>
    </w:rPr>
  </w:style>
  <w:style w:type="character" w:styleId="m-698976158124685028gmail-apple-converted-space" w:customStyle="1">
    <w:name w:val="m_-698976158124685028gmail-apple-converted-space"/>
    <w:basedOn w:val="Fuentedeprrafopredeter"/>
    <w:rsid w:val="00D41810"/>
  </w:style>
  <w:style w:type="character" w:styleId="Refdecomentario">
    <w:name w:val="annotation reference"/>
    <w:basedOn w:val="Fuentedeprrafopredeter"/>
    <w:uiPriority w:val="99"/>
    <w:semiHidden w:val="1"/>
    <w:unhideWhenUsed w:val="1"/>
    <w:rsid w:val="00A418E0"/>
    <w:rPr>
      <w:sz w:val="16"/>
      <w:szCs w:val="16"/>
    </w:rPr>
  </w:style>
  <w:style w:type="paragraph" w:styleId="Textocomentario">
    <w:name w:val="annotation text"/>
    <w:basedOn w:val="Normal"/>
    <w:link w:val="TextocomentarioCar"/>
    <w:uiPriority w:val="99"/>
    <w:semiHidden w:val="1"/>
    <w:unhideWhenUsed w:val="1"/>
    <w:rsid w:val="00A418E0"/>
    <w:rPr>
      <w:sz w:val="20"/>
      <w:szCs w:val="20"/>
    </w:rPr>
  </w:style>
  <w:style w:type="character" w:styleId="TextocomentarioCar" w:customStyle="1">
    <w:name w:val="Texto comentario Car"/>
    <w:basedOn w:val="Fuentedeprrafopredeter"/>
    <w:link w:val="Textocomentario"/>
    <w:uiPriority w:val="99"/>
    <w:semiHidden w:val="1"/>
    <w:rsid w:val="00A418E0"/>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A418E0"/>
    <w:rPr>
      <w:b w:val="1"/>
      <w:bCs w:val="1"/>
    </w:rPr>
  </w:style>
  <w:style w:type="character" w:styleId="AsuntodelcomentarioCar" w:customStyle="1">
    <w:name w:val="Asunto del comentario Car"/>
    <w:basedOn w:val="TextocomentarioCar"/>
    <w:link w:val="Asuntodelcomentario"/>
    <w:uiPriority w:val="99"/>
    <w:semiHidden w:val="1"/>
    <w:rsid w:val="00A418E0"/>
    <w:rPr>
      <w:rFonts w:ascii="Times New Roman" w:cs="Times New Roman" w:eastAsia="Times New Roman" w:hAnsi="Times New Roman"/>
      <w:b w:val="1"/>
      <w:bCs w:val="1"/>
      <w:sz w:val="20"/>
      <w:szCs w:val="20"/>
      <w:lang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6.png"/><Relationship Id="rId10" Type="http://schemas.openxmlformats.org/officeDocument/2006/relationships/image" Target="media/image3.png"/><Relationship Id="rId21" Type="http://schemas.openxmlformats.org/officeDocument/2006/relationships/footer" Target="footer1.xml"/><Relationship Id="rId13" Type="http://schemas.openxmlformats.org/officeDocument/2006/relationships/image" Target="media/image5.png"/><Relationship Id="rId12" Type="http://schemas.openxmlformats.org/officeDocument/2006/relationships/hyperlink" Target="https://compramex.edomex.gob.m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5" Type="http://schemas.openxmlformats.org/officeDocument/2006/relationships/image" Target="media/image8.png"/><Relationship Id="rId14" Type="http://schemas.openxmlformats.org/officeDocument/2006/relationships/hyperlink" Target="https://chimalhuacan.gob.mx/2022/05/30/xochitl-flores-jimenez-entrego-patrullas-y-ambulancias-en-la-entrega-de-resultados/" TargetMode="External"/><Relationship Id="rId17" Type="http://schemas.openxmlformats.org/officeDocument/2006/relationships/hyperlink" Target="about:blank" TargetMode="External"/><Relationship Id="rId16" Type="http://schemas.openxmlformats.org/officeDocument/2006/relationships/image" Target="media/image7.png"/><Relationship Id="rId5" Type="http://schemas.openxmlformats.org/officeDocument/2006/relationships/numbering" Target="numbering.xml"/><Relationship Id="rId19" Type="http://schemas.openxmlformats.org/officeDocument/2006/relationships/header" Target="header1.xml"/><Relationship Id="rId6" Type="http://schemas.openxmlformats.org/officeDocument/2006/relationships/styles" Target="styles.xml"/><Relationship Id="rId18" Type="http://schemas.openxmlformats.org/officeDocument/2006/relationships/header" Target="header2.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DcA3ubllNoXF/XREbnjl1wgkdzQ==">AMUW2mVRCGE9lAwfvAf/WiZ+aw9+hogd7ItKqg0moKzOaZFp3k1tTCcAkvEyJEU4c1ogCvR4SAhbpYV0nCNOHLmuRXrvYPPT2A+fw+OdQWjXe/L0M754JXNFCjPRLM5N3ry/JHA3gCgr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2023-01-16T20:06:00Z</dcterms:created>
  <dc:creator>iMac</dc:creator>
</cp:coreProperties>
</file>