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1313E"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agosto de dos mil veintitrés. </w:t>
      </w:r>
    </w:p>
    <w:p w14:paraId="37CADFD4" w14:textId="313C7DB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01789/INFOEM/IP/RR/2023</w:t>
      </w:r>
      <w:r>
        <w:rPr>
          <w:rFonts w:ascii="Palatino Linotype" w:eastAsia="Palatino Linotype" w:hAnsi="Palatino Linotype" w:cs="Palatino Linotype"/>
        </w:rPr>
        <w:t xml:space="preserve">, interpuesto por </w:t>
      </w:r>
      <w:r w:rsidR="00027556">
        <w:rPr>
          <w:rFonts w:ascii="Palatino Linotype" w:eastAsia="Palatino Linotype" w:hAnsi="Palatino Linotype" w:cs="Palatino Linotype"/>
          <w:b/>
        </w:rPr>
        <w:t>XXXXXX XXXXX XX</w:t>
      </w:r>
      <w:r>
        <w:rPr>
          <w:rFonts w:ascii="Palatino Linotype" w:eastAsia="Palatino Linotype" w:hAnsi="Palatino Linotype" w:cs="Palatino Linotype"/>
          <w:b/>
        </w:rPr>
        <w:t>,</w:t>
      </w:r>
      <w:r>
        <w:rPr>
          <w:rFonts w:ascii="Palatino Linotype" w:eastAsia="Palatino Linotype" w:hAnsi="Palatino Linotype" w:cs="Palatino Linotype"/>
        </w:rPr>
        <w:t xml:space="preserve"> 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de información con número de folio</w:t>
      </w:r>
      <w:r>
        <w:rPr>
          <w:rFonts w:ascii="Palatino Linotype" w:eastAsia="Palatino Linotype" w:hAnsi="Palatino Linotype" w:cs="Palatino Linotype"/>
          <w:b/>
        </w:rPr>
        <w:t xml:space="preserve"> 00090/TLALMANA/IP/2023, </w:t>
      </w:r>
      <w:r>
        <w:rPr>
          <w:rFonts w:ascii="Palatino Linotype" w:eastAsia="Palatino Linotype" w:hAnsi="Palatino Linotype" w:cs="Palatino Linotype"/>
        </w:rPr>
        <w:t xml:space="preserve">por parte de la </w:t>
      </w:r>
      <w:r>
        <w:rPr>
          <w:rFonts w:ascii="Palatino Linotype" w:eastAsia="Palatino Linotype" w:hAnsi="Palatino Linotype" w:cs="Palatino Linotype"/>
          <w:b/>
        </w:rPr>
        <w:t xml:space="preserve">Ayuntamiento de Tlalmanalco,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7CF9ACB7" w14:textId="77777777" w:rsidR="00A1678E" w:rsidRDefault="004E2D14">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163ED7B"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veintiuno de marzo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00090/TLALMANA/IP/2023, </w:t>
      </w:r>
      <w:r>
        <w:rPr>
          <w:rFonts w:ascii="Palatino Linotype" w:eastAsia="Palatino Linotype" w:hAnsi="Palatino Linotype" w:cs="Palatino Linotype"/>
        </w:rPr>
        <w:t xml:space="preserve">mediante la cual requirió la información siguiente: </w:t>
      </w:r>
    </w:p>
    <w:p w14:paraId="419A4B0B" w14:textId="77777777" w:rsidR="00A1678E" w:rsidRDefault="004E2D14">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“ANEXO AL ESTADO DE SITUACION FINANCIERA, ESTADO DE SITUACION FINANCIERA Y DIARIO GENERAL DE POLIZAS DEL MES DE DICIEMBRE DE 2022, TODA ESTA INFORMACION DEL DIF DE TLALMANALCO” (Sic)</w:t>
      </w:r>
    </w:p>
    <w:p w14:paraId="573DCA26" w14:textId="77777777" w:rsidR="00A1678E" w:rsidRDefault="00A1678E">
      <w:pPr>
        <w:spacing w:before="240"/>
        <w:ind w:left="851" w:right="902"/>
        <w:jc w:val="both"/>
        <w:rPr>
          <w:rFonts w:ascii="Palatino Linotype" w:eastAsia="Palatino Linotype" w:hAnsi="Palatino Linotype" w:cs="Palatino Linotype"/>
          <w:i/>
          <w:sz w:val="22"/>
          <w:szCs w:val="22"/>
        </w:rPr>
      </w:pPr>
    </w:p>
    <w:p w14:paraId="7880F5E2"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0665D664" w14:textId="77777777" w:rsidR="00A1678E" w:rsidRDefault="004E2D14">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veintiocho de marzo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BDE7467" w14:textId="77777777" w:rsidR="00A1678E" w:rsidRDefault="004E2D14">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atención a su solicitud de información con No. de Folio: 00090/TLALMANA/IP/2023. Se le hace llegar la respuesta en PDF., Misma brindada por el LIC. IVAN ESTRADA TAPIA, DIRECTOR DEL SISTEMA MUNICIPAL DIF Sin </w:t>
      </w:r>
      <w:proofErr w:type="spellStart"/>
      <w:r>
        <w:rPr>
          <w:rFonts w:ascii="Palatino Linotype" w:eastAsia="Palatino Linotype" w:hAnsi="Palatino Linotype" w:cs="Palatino Linotype"/>
          <w:i/>
          <w:sz w:val="22"/>
          <w:szCs w:val="22"/>
        </w:rPr>
        <w:t>mas</w:t>
      </w:r>
      <w:proofErr w:type="spellEnd"/>
      <w:r>
        <w:rPr>
          <w:rFonts w:ascii="Palatino Linotype" w:eastAsia="Palatino Linotype" w:hAnsi="Palatino Linotype" w:cs="Palatino Linotype"/>
          <w:i/>
          <w:sz w:val="22"/>
          <w:szCs w:val="22"/>
        </w:rPr>
        <w:t xml:space="preserve"> por el momento que tenga un buen día...” (Sic)</w:t>
      </w:r>
    </w:p>
    <w:p w14:paraId="70243E20" w14:textId="77777777" w:rsidR="00A1678E" w:rsidRDefault="004E2D14">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El SUJETO OBLIGADO, adjuntó a su respuesta el siguiente archivo electrónico:</w:t>
      </w:r>
    </w:p>
    <w:p w14:paraId="39703FFF" w14:textId="77777777" w:rsidR="00A1678E" w:rsidRDefault="004E2D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8">
        <w:r>
          <w:rPr>
            <w:rFonts w:ascii="Palatino Linotype" w:eastAsia="Palatino Linotype" w:hAnsi="Palatino Linotype" w:cs="Palatino Linotype"/>
          </w:rPr>
          <w:t>00090 DIF.pdf</w:t>
        </w:r>
      </w:hyperlink>
      <w:r>
        <w:rPr>
          <w:rFonts w:ascii="Palatino Linotype" w:eastAsia="Palatino Linotype" w:hAnsi="Palatino Linotype" w:cs="Palatino Linotype"/>
        </w:rPr>
        <w:t xml:space="preserve">”, el cual contiene dos oficios, el primero contiene el número de oficio DIR/SMDIF/0161/2023, por medio del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del Sistema Municipal para el Desarrollo Integral de la Familia del Municipio de Tlalmanalco, si hizo llegar al Titular de la Unidad del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contestación a la solicitud número 00090/TLALMANA/IP/2023.</w:t>
      </w:r>
    </w:p>
    <w:p w14:paraId="2253E28B" w14:textId="77777777" w:rsidR="00A1678E" w:rsidRDefault="004E2D14">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El segundo, contiene el número de oficio DIF/TES/018/2023, por medio del cual el Tesorero del Sistema Municipal para el Desarrollo Integral de la Familia del Municipio de Tlalmanalco, solicitó se someta a aprobación del Comité de Transparencia y Acceso a la Información Pública del Municipio de Tlalmanalco la eliminación de cuentas bancarias (nombre y número).</w:t>
      </w:r>
    </w:p>
    <w:p w14:paraId="0726BE39" w14:textId="77777777" w:rsidR="00A1678E" w:rsidRDefault="004E2D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diez de abril del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745C4E5F" w14:textId="77777777" w:rsidR="00A1678E" w:rsidRDefault="004E2D14">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Acto impugnado: </w:t>
      </w:r>
      <w:r>
        <w:rPr>
          <w:rFonts w:ascii="Palatino Linotype" w:eastAsia="Palatino Linotype" w:hAnsi="Palatino Linotype" w:cs="Palatino Linotype"/>
          <w:b/>
        </w:rPr>
        <w:tab/>
      </w:r>
    </w:p>
    <w:p w14:paraId="14377F29" w14:textId="77777777" w:rsidR="00A1678E" w:rsidRDefault="004E2D14">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SOLICITO EL ANEXO AL ESTADO DE SITUACION FINANCIERA, ESTADO DE SITUACION FINANCIERA Y DIARIO GENERAL DE POLIZAS DEL MES DE DICIEMBRE DE 2022, TODA ESTA INFORMACION DEL DIF DE TLALMANALCO” (Sic)</w:t>
      </w:r>
    </w:p>
    <w:p w14:paraId="30160A0F"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588CA3D6" w14:textId="77777777" w:rsidR="00A1678E" w:rsidRDefault="004E2D14">
      <w:pPr>
        <w:spacing w:line="360" w:lineRule="auto"/>
        <w:ind w:left="851" w:right="900"/>
        <w:jc w:val="both"/>
        <w:rPr>
          <w:rFonts w:ascii="Palatino Linotype" w:eastAsia="Palatino Linotype" w:hAnsi="Palatino Linotype" w:cs="Palatino Linotype"/>
          <w:i/>
          <w:sz w:val="22"/>
          <w:szCs w:val="22"/>
        </w:rPr>
      </w:pPr>
      <w:bookmarkStart w:id="1" w:name="_heading=h.30j0zll" w:colFirst="0" w:colLast="0"/>
      <w:bookmarkEnd w:id="1"/>
      <w:r>
        <w:rPr>
          <w:rFonts w:ascii="Palatino Linotype" w:eastAsia="Palatino Linotype" w:hAnsi="Palatino Linotype" w:cs="Palatino Linotype"/>
          <w:i/>
          <w:sz w:val="22"/>
          <w:szCs w:val="22"/>
        </w:rPr>
        <w:t xml:space="preserve"> “CONSIDERO QUE HAY NEGATIVA A ENTREGAR LA INFORMACION YA QEU SOLO ADJUNTAN OFICIO EN EL QUE DETALLAN SOLICITUD DE CLASIFICACION DE INFORMACION SOLICITO ME ENTREGUEN LA INFORMACION SOLICITADA” (Sic)</w:t>
      </w:r>
    </w:p>
    <w:p w14:paraId="26762009" w14:textId="77777777" w:rsidR="00A1678E" w:rsidRDefault="00A1678E">
      <w:pPr>
        <w:ind w:left="851" w:right="902"/>
        <w:jc w:val="both"/>
        <w:rPr>
          <w:rFonts w:ascii="Palatino Linotype" w:eastAsia="Palatino Linotype" w:hAnsi="Palatino Linotype" w:cs="Palatino Linotype"/>
          <w:i/>
          <w:sz w:val="22"/>
          <w:szCs w:val="22"/>
        </w:rPr>
      </w:pPr>
    </w:p>
    <w:p w14:paraId="1CB7C433" w14:textId="77777777" w:rsidR="00A1678E" w:rsidRDefault="004E2D1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50EEA494" w14:textId="77777777" w:rsidR="00A1678E" w:rsidRDefault="00A1678E">
      <w:pPr>
        <w:spacing w:line="360" w:lineRule="auto"/>
        <w:ind w:right="51"/>
        <w:jc w:val="both"/>
        <w:rPr>
          <w:rFonts w:ascii="Palatino Linotype" w:eastAsia="Palatino Linotype" w:hAnsi="Palatino Linotype" w:cs="Palatino Linotype"/>
        </w:rPr>
      </w:pPr>
    </w:p>
    <w:p w14:paraId="6E2CA99D" w14:textId="77777777" w:rsidR="00A1678E" w:rsidRDefault="004E2D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trece de abril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Pr>
          <w:rFonts w:ascii="Palatino Linotype" w:eastAsia="Palatino Linotype" w:hAnsi="Palatino Linotype" w:cs="Palatino Linotype"/>
        </w:rPr>
        <w:lastRenderedPageBreak/>
        <w:t xml:space="preserve">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4273E2CC" w14:textId="77777777" w:rsidR="00A1678E" w:rsidRDefault="004E2D14">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De las constancias que integran el expediente en que se actúa se advierte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fue omisa en presentar sus alegatos o manifestación alguna.</w:t>
      </w:r>
    </w:p>
    <w:p w14:paraId="72D08233"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diecinueve de abril y veinticuatro de mayo, ambas fechas del año 2023, remitió su informe justificado a través de los siguientes archivos electrónicos:</w:t>
      </w:r>
    </w:p>
    <w:p w14:paraId="441FD36A" w14:textId="77777777" w:rsidR="00A1678E" w:rsidRDefault="00A1678E">
      <w:pPr>
        <w:spacing w:line="360" w:lineRule="auto"/>
        <w:jc w:val="both"/>
        <w:rPr>
          <w:rFonts w:ascii="Palatino Linotype" w:eastAsia="Palatino Linotype" w:hAnsi="Palatino Linotype" w:cs="Palatino Linotype"/>
        </w:rPr>
      </w:pPr>
    </w:p>
    <w:p w14:paraId="13FE7123"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9">
        <w:r>
          <w:rPr>
            <w:rFonts w:ascii="Palatino Linotype" w:eastAsia="Palatino Linotype" w:hAnsi="Palatino Linotype" w:cs="Palatino Linotype"/>
          </w:rPr>
          <w:t>00090 DIF.pdf</w:t>
        </w:r>
      </w:hyperlink>
      <w:r>
        <w:rPr>
          <w:rFonts w:ascii="Palatino Linotype" w:eastAsia="Palatino Linotype" w:hAnsi="Palatino Linotype" w:cs="Palatino Linotype"/>
        </w:rPr>
        <w:t>”, el cual contiene los dos oficios remitidos en respuesta, consistentes en:</w:t>
      </w:r>
    </w:p>
    <w:p w14:paraId="23470736" w14:textId="77777777" w:rsidR="00A1678E" w:rsidRDefault="004E2D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primero contiene el número de oficio DIR/SMDIF/0161/2023, por medio del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del Sistema Municipal para el Desarrollo Integral de la Familia del Municipio de Tlalmanalco, si hizo llegar al Titular de la Unidad del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contestación a la solicitud número 00090/TLALMANA/IP/2023.</w:t>
      </w:r>
    </w:p>
    <w:p w14:paraId="76EC5EA2" w14:textId="77777777" w:rsidR="00A1678E" w:rsidRDefault="004E2D14">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El segundo, contiene el número de oficio DIF/TES/018/2023, por medio del cual el Tesorero del Sistema Municipal para el Desarrollo Integral de la Familia del Municipio de Tlalmanalco, solicitó se someta a aprobación del Comité de Transparencia y Acceso a la Información Pública del Municipio de Tlalmanalco la eliminación de cuentas bancarias (nombre y número).</w:t>
      </w:r>
    </w:p>
    <w:p w14:paraId="64F759A5"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w:t>
      </w:r>
      <w:hyperlink r:id="rId10">
        <w:r>
          <w:rPr>
            <w:rFonts w:ascii="Palatino Linotype" w:eastAsia="Palatino Linotype" w:hAnsi="Palatino Linotype" w:cs="Palatino Linotype"/>
          </w:rPr>
          <w:t xml:space="preserve">diario general de </w:t>
        </w:r>
        <w:proofErr w:type="spellStart"/>
        <w:r>
          <w:rPr>
            <w:rFonts w:ascii="Palatino Linotype" w:eastAsia="Palatino Linotype" w:hAnsi="Palatino Linotype" w:cs="Palatino Linotype"/>
          </w:rPr>
          <w:t>polizas</w:t>
        </w:r>
        <w:proofErr w:type="spellEnd"/>
        <w:r>
          <w:rPr>
            <w:rFonts w:ascii="Palatino Linotype" w:eastAsia="Palatino Linotype" w:hAnsi="Palatino Linotype" w:cs="Palatino Linotype"/>
          </w:rPr>
          <w:t xml:space="preserve"> diciembre 2022 (1).</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contiene el diario general de pólizas del Sistema Municipal para el Desarrollo Integral de la Familia del Municipio de Tlalmanalco del primero de enero al treinta y uno de diciembre del año 2022, integrado por 162 fojas.</w:t>
      </w:r>
    </w:p>
    <w:p w14:paraId="00370542" w14:textId="77777777" w:rsidR="00A1678E" w:rsidRDefault="00A1678E">
      <w:pPr>
        <w:spacing w:line="360" w:lineRule="auto"/>
        <w:jc w:val="both"/>
        <w:rPr>
          <w:rFonts w:ascii="Palatino Linotype" w:eastAsia="Palatino Linotype" w:hAnsi="Palatino Linotype" w:cs="Palatino Linotype"/>
        </w:rPr>
      </w:pPr>
    </w:p>
    <w:p w14:paraId="59D1612F"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w:t>
      </w:r>
      <w:hyperlink r:id="rId11">
        <w:r>
          <w:rPr>
            <w:rFonts w:ascii="Palatino Linotype" w:eastAsia="Palatino Linotype" w:hAnsi="Palatino Linotype" w:cs="Palatino Linotype"/>
          </w:rPr>
          <w:t xml:space="preserve">anexo al estado de </w:t>
        </w:r>
        <w:proofErr w:type="spellStart"/>
        <w:r>
          <w:rPr>
            <w:rFonts w:ascii="Palatino Linotype" w:eastAsia="Palatino Linotype" w:hAnsi="Palatino Linotype" w:cs="Palatino Linotype"/>
          </w:rPr>
          <w:t>situacion</w:t>
        </w:r>
        <w:proofErr w:type="spellEnd"/>
        <w:r>
          <w:rPr>
            <w:rFonts w:ascii="Palatino Linotype" w:eastAsia="Palatino Linotype" w:hAnsi="Palatino Linotype" w:cs="Palatino Linotype"/>
          </w:rPr>
          <w:t xml:space="preserve"> financiera diciembre 2022 (1).</w:t>
        </w:r>
        <w:proofErr w:type="spellStart"/>
        <w:r>
          <w:rPr>
            <w:rFonts w:ascii="Palatino Linotype" w:eastAsia="Palatino Linotype" w:hAnsi="Palatino Linotype" w:cs="Palatino Linotype"/>
          </w:rPr>
          <w:t>pdf</w:t>
        </w:r>
        <w:proofErr w:type="spellEnd"/>
      </w:hyperlink>
      <w:r>
        <w:rPr>
          <w:rFonts w:ascii="Palatino Linotype" w:eastAsia="Palatino Linotype" w:hAnsi="Palatino Linotype" w:cs="Palatino Linotype"/>
        </w:rPr>
        <w:t>”, el cual contiene el anexo al estado de situación financiera del Sistema Municipal para el Desarrollo Integral de la Familia del Municipio de Tlalmanalco del primero de enero al treinta y uno de diciembre del año 2022, integrado por 426 fojas.</w:t>
      </w:r>
    </w:p>
    <w:p w14:paraId="508A285C" w14:textId="77777777" w:rsidR="00A1678E" w:rsidRDefault="00A1678E">
      <w:pPr>
        <w:spacing w:line="360" w:lineRule="auto"/>
        <w:jc w:val="both"/>
        <w:rPr>
          <w:rFonts w:ascii="Palatino Linotype" w:eastAsia="Palatino Linotype" w:hAnsi="Palatino Linotype" w:cs="Palatino Linotype"/>
        </w:rPr>
      </w:pPr>
    </w:p>
    <w:p w14:paraId="5F3B22F1"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en el documento descrito anteriormente se aprecia que se testaron las cuentas bancarias del Sistema Municipal para el Desarrollo Integral de la Familia del Municipio de Tlalmanalco.</w:t>
      </w:r>
    </w:p>
    <w:p w14:paraId="7AB8695D" w14:textId="77777777" w:rsidR="00A1678E" w:rsidRDefault="00A1678E">
      <w:pPr>
        <w:spacing w:line="360" w:lineRule="auto"/>
        <w:jc w:val="both"/>
        <w:rPr>
          <w:rFonts w:ascii="Palatino Linotype" w:eastAsia="Palatino Linotype" w:hAnsi="Palatino Linotype" w:cs="Palatino Linotype"/>
        </w:rPr>
      </w:pPr>
    </w:p>
    <w:p w14:paraId="0FAF119E"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“0</w:t>
      </w:r>
      <w:hyperlink r:id="rId12">
        <w:r>
          <w:rPr>
            <w:rFonts w:ascii="Palatino Linotype" w:eastAsia="Palatino Linotype" w:hAnsi="Palatino Linotype" w:cs="Palatino Linotype"/>
          </w:rPr>
          <w:t>0090 acta DIF.pdf</w:t>
        </w:r>
      </w:hyperlink>
      <w:r>
        <w:rPr>
          <w:rFonts w:ascii="Palatino Linotype" w:eastAsia="Palatino Linotype" w:hAnsi="Palatino Linotype" w:cs="Palatino Linotype"/>
        </w:rPr>
        <w:t>”, el cual contiene el acta de la quincuagésima bis sesión extraordinaria del Comité de Transparencia del Comité de Transparencia del Ayuntamiento de Tlalmanalco, por medio del cual se aprobó la clasificación como confidencial el nombre y número de cuentas bancarias del Sistema Municipal para el Desarrollo Integral de la Familia del Municipio de Tlalmanalco, constante de tres fojas.</w:t>
      </w:r>
    </w:p>
    <w:p w14:paraId="4A43A58D" w14:textId="77777777" w:rsidR="00A1678E" w:rsidRDefault="00A1678E">
      <w:pPr>
        <w:spacing w:line="360" w:lineRule="auto"/>
        <w:jc w:val="both"/>
        <w:rPr>
          <w:rFonts w:ascii="Palatino Linotype" w:eastAsia="Palatino Linotype" w:hAnsi="Palatino Linotype" w:cs="Palatino Linotype"/>
        </w:rPr>
      </w:pPr>
    </w:p>
    <w:p w14:paraId="2032F32F"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Dichos archivos, se pusieron a la vista en fecha primero de </w:t>
      </w:r>
      <w:proofErr w:type="gramStart"/>
      <w:r>
        <w:rPr>
          <w:rFonts w:ascii="Palatino Linotype" w:eastAsia="Palatino Linotype" w:hAnsi="Palatino Linotype" w:cs="Palatino Linotype"/>
        </w:rPr>
        <w:t>agosto  del</w:t>
      </w:r>
      <w:proofErr w:type="gramEnd"/>
      <w:r>
        <w:rPr>
          <w:rFonts w:ascii="Palatino Linotype" w:eastAsia="Palatino Linotype" w:hAnsi="Palatino Linotype" w:cs="Palatino Linotype"/>
        </w:rPr>
        <w:t xml:space="preserve"> año en curso, de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términos de la fracción III del artículo 185 de la Ley de Transparencia y Acceso a la Información Pública del Estado de México y </w:t>
      </w:r>
      <w:r>
        <w:rPr>
          <w:rFonts w:ascii="Palatino Linotype" w:eastAsia="Palatino Linotype" w:hAnsi="Palatino Linotype" w:cs="Palatino Linotype"/>
        </w:rPr>
        <w:lastRenderedPageBreak/>
        <w:t xml:space="preserve">Municipios; para que en el término de tres días manifestara lo que a su derecho convenga, sin que la parte </w:t>
      </w:r>
      <w:r>
        <w:rPr>
          <w:rFonts w:ascii="Palatino Linotype" w:eastAsia="Palatino Linotype" w:hAnsi="Palatino Linotype" w:cs="Palatino Linotype"/>
          <w:b/>
        </w:rPr>
        <w:t>RECURRENTE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hiciera manifestación alguna. </w:t>
      </w:r>
    </w:p>
    <w:p w14:paraId="5DA80732" w14:textId="77777777" w:rsidR="00A1678E" w:rsidRDefault="00A1678E">
      <w:pPr>
        <w:widowControl w:val="0"/>
        <w:spacing w:line="360" w:lineRule="auto"/>
        <w:jc w:val="both"/>
        <w:rPr>
          <w:rFonts w:ascii="Palatino Linotype" w:eastAsia="Palatino Linotype" w:hAnsi="Palatino Linotype" w:cs="Palatino Linotype"/>
        </w:rPr>
      </w:pPr>
    </w:p>
    <w:p w14:paraId="1229010D" w14:textId="77777777" w:rsidR="00A1678E" w:rsidRDefault="004E2D14">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w:t>
      </w:r>
      <w:r>
        <w:rPr>
          <w:rFonts w:ascii="Palatino Linotype" w:eastAsia="Palatino Linotype" w:hAnsi="Palatino Linotype" w:cs="Palatino Linotype"/>
        </w:rPr>
        <w:t xml:space="preserve"> En fecha primero de agosto del año dos mil veintitrés, con fundamento en el artículo 181, párrafo tercero de la Ley de Transparencia y Acceso a la Información Pública del Estado de México y Municipios, se acordó la ampliación del plazo para su resolución.</w:t>
      </w:r>
    </w:p>
    <w:p w14:paraId="4A1A1B2D" w14:textId="77777777" w:rsidR="00A1678E" w:rsidRDefault="00A1678E">
      <w:pPr>
        <w:widowControl w:val="0"/>
        <w:spacing w:line="360" w:lineRule="auto"/>
        <w:jc w:val="both"/>
        <w:rPr>
          <w:rFonts w:ascii="Palatino Linotype" w:eastAsia="Palatino Linotype" w:hAnsi="Palatino Linotype" w:cs="Palatino Linotype"/>
        </w:rPr>
      </w:pPr>
    </w:p>
    <w:p w14:paraId="669163D0" w14:textId="77777777" w:rsidR="00A1678E" w:rsidRDefault="004E2D14">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2AF13ED" w14:textId="77777777" w:rsidR="00A1678E" w:rsidRDefault="00A1678E">
      <w:pPr>
        <w:spacing w:line="360" w:lineRule="auto"/>
        <w:jc w:val="both"/>
        <w:rPr>
          <w:rFonts w:ascii="Palatino Linotype" w:eastAsia="Palatino Linotype" w:hAnsi="Palatino Linotype" w:cs="Palatino Linotype"/>
        </w:rPr>
      </w:pPr>
    </w:p>
    <w:p w14:paraId="419C647B"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7C7A66A" w14:textId="77777777" w:rsidR="00A1678E" w:rsidRDefault="00A1678E">
      <w:pPr>
        <w:spacing w:line="360" w:lineRule="auto"/>
        <w:jc w:val="both"/>
        <w:rPr>
          <w:rFonts w:ascii="Palatino Linotype" w:eastAsia="Palatino Linotype" w:hAnsi="Palatino Linotype" w:cs="Palatino Linotype"/>
        </w:rPr>
      </w:pPr>
    </w:p>
    <w:p w14:paraId="31480148"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265F9A7" w14:textId="77777777" w:rsidR="00A1678E" w:rsidRDefault="00A1678E">
      <w:pPr>
        <w:spacing w:line="360" w:lineRule="auto"/>
        <w:jc w:val="both"/>
        <w:rPr>
          <w:rFonts w:ascii="Palatino Linotype" w:eastAsia="Palatino Linotype" w:hAnsi="Palatino Linotype" w:cs="Palatino Linotype"/>
        </w:rPr>
      </w:pPr>
    </w:p>
    <w:p w14:paraId="0D2754FC"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8F40ECE" w14:textId="77777777" w:rsidR="00A1678E" w:rsidRDefault="00A1678E">
      <w:pPr>
        <w:spacing w:line="360" w:lineRule="auto"/>
        <w:jc w:val="both"/>
        <w:rPr>
          <w:rFonts w:ascii="Palatino Linotype" w:eastAsia="Palatino Linotype" w:hAnsi="Palatino Linotype" w:cs="Palatino Linotype"/>
        </w:rPr>
      </w:pPr>
    </w:p>
    <w:p w14:paraId="05E8C4B7" w14:textId="77777777" w:rsidR="00A1678E" w:rsidRDefault="004E2D14">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DCF45B8" w14:textId="77777777" w:rsidR="00A1678E" w:rsidRDefault="00A1678E">
      <w:pPr>
        <w:spacing w:line="360" w:lineRule="auto"/>
        <w:jc w:val="both"/>
        <w:rPr>
          <w:rFonts w:ascii="Palatino Linotype" w:eastAsia="Palatino Linotype" w:hAnsi="Palatino Linotype" w:cs="Palatino Linotype"/>
        </w:rPr>
      </w:pPr>
    </w:p>
    <w:p w14:paraId="23B28840" w14:textId="77777777" w:rsidR="00A1678E" w:rsidRDefault="004E2D14">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321C204" w14:textId="77777777" w:rsidR="00A1678E" w:rsidRDefault="00A1678E">
      <w:pPr>
        <w:ind w:left="851" w:hanging="360"/>
        <w:jc w:val="both"/>
        <w:rPr>
          <w:rFonts w:ascii="Palatino Linotype" w:eastAsia="Palatino Linotype" w:hAnsi="Palatino Linotype" w:cs="Palatino Linotype"/>
        </w:rPr>
      </w:pPr>
    </w:p>
    <w:p w14:paraId="111CC0DD" w14:textId="77777777" w:rsidR="00A1678E" w:rsidRDefault="004E2D14">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71F949C" w14:textId="77777777" w:rsidR="00A1678E" w:rsidRDefault="00A1678E">
      <w:pPr>
        <w:ind w:left="851" w:hanging="360"/>
        <w:jc w:val="both"/>
        <w:rPr>
          <w:rFonts w:ascii="Palatino Linotype" w:eastAsia="Palatino Linotype" w:hAnsi="Palatino Linotype" w:cs="Palatino Linotype"/>
        </w:rPr>
      </w:pPr>
    </w:p>
    <w:p w14:paraId="3194F299" w14:textId="77777777" w:rsidR="00A1678E" w:rsidRDefault="004E2D14">
      <w:pPr>
        <w:numPr>
          <w:ilvl w:val="0"/>
          <w:numId w:val="1"/>
        </w:numPr>
        <w:ind w:left="851"/>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3A2BADD3" w14:textId="77777777" w:rsidR="00A1678E" w:rsidRDefault="00A1678E">
      <w:pPr>
        <w:ind w:left="851" w:hanging="360"/>
        <w:rPr>
          <w:rFonts w:ascii="Palatino Linotype" w:eastAsia="Palatino Linotype" w:hAnsi="Palatino Linotype" w:cs="Palatino Linotype"/>
        </w:rPr>
      </w:pPr>
    </w:p>
    <w:p w14:paraId="38B8541D" w14:textId="77777777" w:rsidR="00A1678E" w:rsidRDefault="004E2D14">
      <w:pPr>
        <w:ind w:left="851" w:hanging="360"/>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127FBBEC" w14:textId="77777777" w:rsidR="00A1678E" w:rsidRDefault="00A1678E">
      <w:pPr>
        <w:spacing w:line="360" w:lineRule="auto"/>
        <w:jc w:val="both"/>
        <w:rPr>
          <w:rFonts w:ascii="Palatino Linotype" w:eastAsia="Palatino Linotype" w:hAnsi="Palatino Linotype" w:cs="Palatino Linotype"/>
        </w:rPr>
      </w:pPr>
    </w:p>
    <w:p w14:paraId="495908FA"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7BA3A28" w14:textId="77777777" w:rsidR="00A1678E" w:rsidRDefault="00A1678E">
      <w:pPr>
        <w:spacing w:line="360" w:lineRule="auto"/>
        <w:jc w:val="both"/>
        <w:rPr>
          <w:rFonts w:ascii="Palatino Linotype" w:eastAsia="Palatino Linotype" w:hAnsi="Palatino Linotype" w:cs="Palatino Linotype"/>
        </w:rPr>
      </w:pPr>
    </w:p>
    <w:p w14:paraId="3E55FA7B" w14:textId="77777777" w:rsidR="00A1678E" w:rsidRDefault="004E2D14">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03771488" w14:textId="77777777" w:rsidR="00A1678E" w:rsidRDefault="00A1678E">
      <w:pPr>
        <w:spacing w:line="360" w:lineRule="auto"/>
        <w:jc w:val="both"/>
        <w:rPr>
          <w:rFonts w:ascii="Palatino Linotype" w:eastAsia="Palatino Linotype" w:hAnsi="Palatino Linotype" w:cs="Palatino Linotype"/>
        </w:rPr>
      </w:pPr>
    </w:p>
    <w:p w14:paraId="0A5B62B4"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EE636D4" w14:textId="77777777" w:rsidR="00A1678E" w:rsidRDefault="00A1678E">
      <w:pPr>
        <w:spacing w:line="360" w:lineRule="auto"/>
        <w:jc w:val="both"/>
        <w:rPr>
          <w:rFonts w:ascii="Palatino Linotype" w:eastAsia="Palatino Linotype" w:hAnsi="Palatino Linotype" w:cs="Palatino Linotype"/>
        </w:rPr>
      </w:pPr>
    </w:p>
    <w:p w14:paraId="10D26000"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1B99293" w14:textId="77777777" w:rsidR="00A1678E" w:rsidRDefault="00A1678E">
      <w:pPr>
        <w:spacing w:line="360" w:lineRule="auto"/>
        <w:jc w:val="both"/>
        <w:rPr>
          <w:rFonts w:ascii="Palatino Linotype" w:eastAsia="Palatino Linotype" w:hAnsi="Palatino Linotype" w:cs="Palatino Linotype"/>
        </w:rPr>
      </w:pPr>
    </w:p>
    <w:p w14:paraId="7739028B"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61237320" w14:textId="77777777" w:rsidR="00A1678E" w:rsidRDefault="00A1678E">
      <w:pPr>
        <w:spacing w:line="360" w:lineRule="auto"/>
        <w:jc w:val="both"/>
        <w:rPr>
          <w:rFonts w:ascii="Palatino Linotype" w:eastAsia="Palatino Linotype" w:hAnsi="Palatino Linotype" w:cs="Palatino Linotype"/>
          <w:b/>
        </w:rPr>
      </w:pPr>
    </w:p>
    <w:p w14:paraId="28046A5E"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C716686" w14:textId="77777777" w:rsidR="00A1678E" w:rsidRDefault="00A1678E">
      <w:pPr>
        <w:spacing w:line="360" w:lineRule="auto"/>
        <w:jc w:val="both"/>
        <w:rPr>
          <w:rFonts w:ascii="Palatino Linotype" w:eastAsia="Palatino Linotype" w:hAnsi="Palatino Linotype" w:cs="Palatino Linotype"/>
        </w:rPr>
      </w:pPr>
    </w:p>
    <w:p w14:paraId="3576FC5F"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0BC8C40"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highlight w:val="yellow"/>
        </w:rPr>
        <w:t>siete de agosto de dos mil veintitrés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C5D2E85"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DCE71CB" w14:textId="77777777" w:rsidR="00A1678E" w:rsidRDefault="004E2D14">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3F04B8A" w14:textId="77777777" w:rsidR="00A1678E" w:rsidRDefault="00A1678E">
      <w:pPr>
        <w:widowControl w:val="0"/>
        <w:spacing w:line="360" w:lineRule="auto"/>
        <w:jc w:val="center"/>
        <w:rPr>
          <w:rFonts w:ascii="Palatino Linotype" w:eastAsia="Palatino Linotype" w:hAnsi="Palatino Linotype" w:cs="Palatino Linotype"/>
          <w:b/>
        </w:rPr>
      </w:pPr>
    </w:p>
    <w:p w14:paraId="148EE253"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88D40ED" w14:textId="77777777" w:rsidR="00A1678E" w:rsidRDefault="004E2D14">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w:t>
      </w:r>
      <w:r>
        <w:rPr>
          <w:rFonts w:ascii="Palatino Linotype" w:eastAsia="Palatino Linotype" w:hAnsi="Palatino Linotype" w:cs="Palatino Linotype"/>
        </w:rPr>
        <w:lastRenderedPageBreak/>
        <w:t xml:space="preserve">solicitante el veintiocho de marzo del año dos mil veintitrés y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de revisión el diez de abril del mismo año; esto es, al cuarto día hábil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14:paraId="6E009578" w14:textId="77777777" w:rsidR="00A1678E" w:rsidRDefault="004E2D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Al mismo tiempo, tras la revisión del formato de interposición del recurso</w:t>
      </w:r>
      <w:r>
        <w:rPr>
          <w:rFonts w:ascii="Palatino Linotype" w:eastAsia="Palatino Linotype" w:hAnsi="Palatino Linotype" w:cs="Palatino Linotype"/>
        </w:rPr>
        <w:t xml:space="preserve">, es de suma importancia señalar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proporcionó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773007A" w14:textId="77777777" w:rsidR="00A1678E" w:rsidRDefault="00A1678E">
      <w:pPr>
        <w:ind w:left="567" w:right="474"/>
        <w:jc w:val="both"/>
        <w:rPr>
          <w:rFonts w:ascii="Palatino Linotype" w:eastAsia="Palatino Linotype" w:hAnsi="Palatino Linotype" w:cs="Palatino Linotype"/>
          <w:i/>
        </w:rPr>
      </w:pPr>
    </w:p>
    <w:p w14:paraId="01E600BF" w14:textId="77777777" w:rsidR="00A1678E" w:rsidRDefault="004E2D14">
      <w:pPr>
        <w:spacing w:after="240"/>
        <w:ind w:left="567" w:right="47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solicitante."(Sic)</w:t>
      </w:r>
    </w:p>
    <w:p w14:paraId="6FB74A3E" w14:textId="77777777" w:rsidR="00A1678E" w:rsidRDefault="00A1678E">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65A828D4" w14:textId="77777777" w:rsidR="00A1678E" w:rsidRDefault="004E2D14">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Además, por cuanto hace a la procedibilidad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de revisión una vez realizado el análisis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formato de interposición de</w:t>
      </w:r>
      <w:r>
        <w:rPr>
          <w:rFonts w:ascii="Palatino Linotype" w:eastAsia="Palatino Linotype" w:hAnsi="Palatino Linotype" w:cs="Palatino Linotype"/>
        </w:rPr>
        <w:t>l</w:t>
      </w:r>
      <w:r>
        <w:rPr>
          <w:rFonts w:ascii="Palatino Linotype" w:eastAsia="Palatino Linotype" w:hAnsi="Palatino Linotype" w:cs="Palatino Linotype"/>
          <w:color w:val="000000"/>
        </w:rPr>
        <w:t xml:space="preserve">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Pr>
          <w:rFonts w:ascii="Palatino Linotype" w:eastAsia="Palatino Linotype" w:hAnsi="Palatino Linotype" w:cs="Palatino Linotype"/>
          <w:b/>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w:t>
      </w:r>
    </w:p>
    <w:p w14:paraId="7F334AF7" w14:textId="77777777" w:rsidR="00A1678E" w:rsidRDefault="00A1678E">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p>
    <w:p w14:paraId="6DCFF2E5" w14:textId="77777777" w:rsidR="00A1678E" w:rsidRDefault="004E2D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14:paraId="5DA61D1F" w14:textId="77777777" w:rsidR="00A1678E" w:rsidRDefault="004E2D14">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179.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B817B0" w14:textId="77777777" w:rsidR="00A1678E" w:rsidRDefault="004E2D14">
      <w:pPr>
        <w:ind w:left="1276" w:right="175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La negativa de la información solicitada…” (Sic)</w:t>
      </w:r>
    </w:p>
    <w:p w14:paraId="59718437" w14:textId="77777777" w:rsidR="00A1678E" w:rsidRDefault="004E2D14">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como informe justificado otorgados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72EA248B"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B88DE49" w14:textId="77777777" w:rsidR="00A1678E" w:rsidRDefault="004E2D14">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CC45EAC" w14:textId="77777777" w:rsidR="00A1678E" w:rsidRDefault="004E2D1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70E99D" w14:textId="77777777" w:rsidR="00A1678E" w:rsidRDefault="004E2D14">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ABF1310" w14:textId="77777777" w:rsidR="00A1678E" w:rsidRDefault="00A1678E">
      <w:pPr>
        <w:spacing w:line="360" w:lineRule="auto"/>
        <w:jc w:val="both"/>
        <w:rPr>
          <w:rFonts w:ascii="Palatino Linotype" w:eastAsia="Palatino Linotype" w:hAnsi="Palatino Linotype" w:cs="Palatino Linotype"/>
        </w:rPr>
      </w:pPr>
    </w:p>
    <w:p w14:paraId="4F4B1D49"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FAF5682" w14:textId="77777777" w:rsidR="00A1678E" w:rsidRDefault="00A1678E">
      <w:pPr>
        <w:spacing w:line="360" w:lineRule="auto"/>
        <w:jc w:val="both"/>
        <w:rPr>
          <w:rFonts w:ascii="Palatino Linotype" w:eastAsia="Palatino Linotype" w:hAnsi="Palatino Linotype" w:cs="Palatino Linotype"/>
        </w:rPr>
      </w:pPr>
    </w:p>
    <w:p w14:paraId="54967CA9" w14:textId="77777777" w:rsidR="00A1678E" w:rsidRDefault="004E2D1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C394B85" w14:textId="77777777" w:rsidR="00A1678E" w:rsidRDefault="00A1678E">
      <w:pPr>
        <w:ind w:left="567" w:right="758"/>
        <w:jc w:val="both"/>
        <w:rPr>
          <w:rFonts w:ascii="Palatino Linotype" w:eastAsia="Palatino Linotype" w:hAnsi="Palatino Linotype" w:cs="Palatino Linotype"/>
          <w:i/>
          <w:sz w:val="22"/>
          <w:szCs w:val="22"/>
        </w:rPr>
      </w:pPr>
    </w:p>
    <w:p w14:paraId="2D12E4EA" w14:textId="77777777" w:rsidR="00A1678E" w:rsidRDefault="004E2D14">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Pr>
          <w:rFonts w:ascii="Palatino Linotype" w:eastAsia="Palatino Linotype" w:hAnsi="Palatino Linotype" w:cs="Palatino Linotype"/>
          <w:b/>
          <w:i/>
          <w:sz w:val="22"/>
          <w:szCs w:val="22"/>
        </w:rPr>
        <w:lastRenderedPageBreak/>
        <w:t>obligados a generarla, resumirla, efectuar cálculos o practicar investigaciones.” (Sic)</w:t>
      </w:r>
    </w:p>
    <w:p w14:paraId="48E4B64E" w14:textId="77777777" w:rsidR="00A1678E" w:rsidRDefault="00A1678E">
      <w:pPr>
        <w:spacing w:line="360" w:lineRule="auto"/>
        <w:ind w:right="-93"/>
        <w:jc w:val="both"/>
        <w:rPr>
          <w:rFonts w:ascii="Palatino Linotype" w:eastAsia="Palatino Linotype" w:hAnsi="Palatino Linotype" w:cs="Palatino Linotype"/>
          <w:color w:val="000000"/>
        </w:rPr>
      </w:pPr>
    </w:p>
    <w:p w14:paraId="0932AB40" w14:textId="77777777" w:rsidR="00A1678E" w:rsidRDefault="004E2D14">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w:t>
      </w:r>
      <w:r>
        <w:rPr>
          <w:rFonts w:ascii="Palatino Linotype" w:eastAsia="Palatino Linotype" w:hAnsi="Palatino Linotype" w:cs="Palatino Linotype"/>
        </w:rPr>
        <w:t>concretarán</w:t>
      </w:r>
      <w:r>
        <w:rPr>
          <w:rFonts w:ascii="Palatino Linotype" w:eastAsia="Palatino Linotype" w:hAnsi="Palatino Linotype" w:cs="Palatino Linotype"/>
          <w:color w:val="000000"/>
        </w:rPr>
        <w:t xml:space="preserve"> a proporcionar la información solicitada que tengan en su poder en el estado que se encuentran, sin necesidad de concretarse al interés o términos específicos del solicitante.</w:t>
      </w:r>
    </w:p>
    <w:p w14:paraId="77E072B7" w14:textId="77777777" w:rsidR="00A1678E" w:rsidRDefault="00A1678E">
      <w:pPr>
        <w:spacing w:line="360" w:lineRule="auto"/>
        <w:ind w:right="-93"/>
        <w:jc w:val="both"/>
        <w:rPr>
          <w:rFonts w:ascii="Palatino Linotype" w:eastAsia="Palatino Linotype" w:hAnsi="Palatino Linotype" w:cs="Palatino Linotype"/>
          <w:color w:val="000000"/>
        </w:rPr>
      </w:pPr>
    </w:p>
    <w:p w14:paraId="789DC6B8" w14:textId="77777777" w:rsidR="00A1678E" w:rsidRDefault="004E2D14">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14:paraId="57DD84F1" w14:textId="77777777" w:rsidR="00A1678E" w:rsidRDefault="00A1678E">
      <w:pPr>
        <w:ind w:left="851" w:right="850"/>
        <w:jc w:val="both"/>
        <w:rPr>
          <w:rFonts w:ascii="Palatino Linotype" w:eastAsia="Palatino Linotype" w:hAnsi="Palatino Linotype" w:cs="Palatino Linotype"/>
          <w:color w:val="000000"/>
        </w:rPr>
      </w:pPr>
    </w:p>
    <w:p w14:paraId="6841F461" w14:textId="77777777" w:rsidR="00A1678E" w:rsidRDefault="004E2D1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5491D7B" w14:textId="77777777" w:rsidR="00A1678E" w:rsidRDefault="004E2D14">
      <w:pPr>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14:paraId="20FCD545" w14:textId="77777777" w:rsidR="00A1678E" w:rsidRDefault="004E2D1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1E8E8CE3" w14:textId="77777777" w:rsidR="00A1678E" w:rsidRDefault="004E2D1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5DBFAB9E" w14:textId="77777777" w:rsidR="00A1678E" w:rsidRDefault="004E2D14">
      <w:pPr>
        <w:ind w:left="851" w:right="901"/>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Pr>
          <w:rFonts w:ascii="Palatino Linotype" w:eastAsia="Palatino Linotype" w:hAnsi="Palatino Linotype" w:cs="Palatino Linotype"/>
          <w:i/>
          <w:color w:val="000000"/>
          <w:sz w:val="22"/>
          <w:szCs w:val="22"/>
        </w:rPr>
        <w:t>.”(</w:t>
      </w:r>
      <w:proofErr w:type="gramEnd"/>
      <w:r>
        <w:rPr>
          <w:rFonts w:ascii="Palatino Linotype" w:eastAsia="Palatino Linotype" w:hAnsi="Palatino Linotype" w:cs="Palatino Linotype"/>
          <w:i/>
          <w:color w:val="000000"/>
          <w:sz w:val="22"/>
          <w:szCs w:val="22"/>
        </w:rPr>
        <w:t>Sic)</w:t>
      </w:r>
    </w:p>
    <w:p w14:paraId="1D27AD5C" w14:textId="77777777" w:rsidR="00A1678E" w:rsidRDefault="00A1678E">
      <w:pPr>
        <w:spacing w:line="360" w:lineRule="auto"/>
        <w:ind w:right="-93"/>
        <w:jc w:val="both"/>
        <w:rPr>
          <w:rFonts w:ascii="Palatino Linotype" w:eastAsia="Palatino Linotype" w:hAnsi="Palatino Linotype" w:cs="Palatino Linotype"/>
          <w:color w:val="000000"/>
        </w:rPr>
      </w:pPr>
    </w:p>
    <w:p w14:paraId="1632578D" w14:textId="77777777" w:rsidR="00A1678E" w:rsidRDefault="004E2D14">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556762" w14:textId="77777777" w:rsidR="00A1678E" w:rsidRDefault="00A1678E">
      <w:pPr>
        <w:spacing w:line="360" w:lineRule="auto"/>
        <w:jc w:val="both"/>
        <w:rPr>
          <w:rFonts w:ascii="Palatino Linotype" w:eastAsia="Palatino Linotype" w:hAnsi="Palatino Linotype" w:cs="Palatino Linotype"/>
          <w:color w:val="000000"/>
        </w:rPr>
      </w:pPr>
    </w:p>
    <w:p w14:paraId="7B6BE60D" w14:textId="77777777" w:rsidR="00A1678E" w:rsidRDefault="004E2D1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5657D8D" w14:textId="77777777" w:rsidR="00A1678E" w:rsidRDefault="00A1678E">
      <w:pPr>
        <w:spacing w:line="360" w:lineRule="auto"/>
        <w:ind w:right="49"/>
        <w:jc w:val="both"/>
        <w:rPr>
          <w:rFonts w:ascii="Palatino Linotype" w:eastAsia="Palatino Linotype" w:hAnsi="Palatino Linotype" w:cs="Palatino Linotype"/>
        </w:rPr>
      </w:pPr>
    </w:p>
    <w:p w14:paraId="518E7BBD"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22DE2B1" w14:textId="77777777" w:rsidR="00A1678E" w:rsidRDefault="00A1678E">
      <w:pPr>
        <w:ind w:left="851" w:right="899"/>
        <w:jc w:val="both"/>
        <w:rPr>
          <w:rFonts w:ascii="Palatino Linotype" w:eastAsia="Palatino Linotype" w:hAnsi="Palatino Linotype" w:cs="Palatino Linotype"/>
          <w:i/>
          <w:sz w:val="22"/>
          <w:szCs w:val="22"/>
        </w:rPr>
      </w:pPr>
    </w:p>
    <w:p w14:paraId="155E82C2" w14:textId="77777777" w:rsidR="00A1678E" w:rsidRDefault="004E2D1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65CB19E0" w14:textId="77777777" w:rsidR="00A1678E" w:rsidRDefault="004E2D1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BAC9891" w14:textId="77777777" w:rsidR="00A1678E" w:rsidRDefault="004E2D14">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765C59F" w14:textId="77777777" w:rsidR="00A1678E" w:rsidRDefault="00A1678E">
      <w:pPr>
        <w:ind w:left="851" w:right="899"/>
        <w:jc w:val="both"/>
        <w:rPr>
          <w:rFonts w:ascii="Palatino Linotype" w:eastAsia="Palatino Linotype" w:hAnsi="Palatino Linotype" w:cs="Palatino Linotype"/>
          <w:sz w:val="22"/>
          <w:szCs w:val="22"/>
        </w:rPr>
      </w:pPr>
    </w:p>
    <w:p w14:paraId="465B4186"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5ED8693" w14:textId="77777777" w:rsidR="00A1678E" w:rsidRDefault="00A1678E">
      <w:pPr>
        <w:ind w:left="851" w:right="899"/>
        <w:jc w:val="both"/>
        <w:rPr>
          <w:rFonts w:ascii="Palatino Linotype" w:eastAsia="Palatino Linotype" w:hAnsi="Palatino Linotype" w:cs="Palatino Linotype"/>
        </w:rPr>
      </w:pPr>
    </w:p>
    <w:p w14:paraId="74508785" w14:textId="77777777" w:rsidR="00A1678E" w:rsidRDefault="004E2D1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506BFC84" w14:textId="77777777" w:rsidR="00A1678E" w:rsidRDefault="004E2D1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9C32FE4" w14:textId="77777777" w:rsidR="00A1678E" w:rsidRDefault="004E2D1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01112CC" w14:textId="77777777" w:rsidR="00A1678E" w:rsidRDefault="004E2D14">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1A0AF534" w14:textId="77777777" w:rsidR="00A1678E" w:rsidRDefault="004E2D1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2)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sea administrada por los Sujetos Obligados, y</w:t>
      </w:r>
    </w:p>
    <w:p w14:paraId="316D7E3E" w14:textId="77777777" w:rsidR="00A1678E" w:rsidRDefault="004E2D14">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w:t>
      </w:r>
      <w:proofErr w:type="gramStart"/>
      <w:r>
        <w:rPr>
          <w:rFonts w:ascii="Palatino Linotype" w:eastAsia="Palatino Linotype" w:hAnsi="Palatino Linotype" w:cs="Palatino Linotype"/>
          <w:b/>
          <w:i/>
          <w:sz w:val="22"/>
          <w:szCs w:val="22"/>
        </w:rPr>
        <w:t>que</w:t>
      </w:r>
      <w:proofErr w:type="gramEnd"/>
      <w:r>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090ECC2" w14:textId="77777777" w:rsidR="00A1678E" w:rsidRDefault="00A1678E">
      <w:pPr>
        <w:spacing w:line="360" w:lineRule="auto"/>
        <w:jc w:val="both"/>
        <w:rPr>
          <w:rFonts w:ascii="Palatino Linotype" w:eastAsia="Palatino Linotype" w:hAnsi="Palatino Linotype" w:cs="Palatino Linotype"/>
        </w:rPr>
      </w:pPr>
    </w:p>
    <w:p w14:paraId="62D7BF51" w14:textId="77777777" w:rsidR="00A1678E" w:rsidRDefault="004E2D14">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Pr>
          <w:rFonts w:ascii="Palatino Linotype" w:eastAsia="Palatino Linotype" w:hAnsi="Palatino Linotype" w:cs="Palatino Linotype"/>
        </w:rPr>
        <w:t>Ahora bien, del análisis de la solicitud de información motivo del recurso de revisión que ahora se resuelve, se advierte que el particular requirió al Ayuntamiento de Tlalmanalco de su Sistema Municipal para el Desarrollo Integral de la Familia, la información correspondiente al mes de diciembre de 2022 consistente en lo siguiente:</w:t>
      </w:r>
    </w:p>
    <w:p w14:paraId="09D37566" w14:textId="77777777" w:rsidR="00A1678E" w:rsidRDefault="004E2D14">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ANEXO AL ESTADO DE SITUACION FINANCIERA</w:t>
      </w:r>
    </w:p>
    <w:p w14:paraId="104B7DE9" w14:textId="77777777" w:rsidR="00A1678E" w:rsidRDefault="004E2D14">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ESTADO DE SITUACION FINANCIERA </w:t>
      </w:r>
    </w:p>
    <w:p w14:paraId="3B29FB6F" w14:textId="77777777" w:rsidR="00A1678E" w:rsidRDefault="004E2D14">
      <w:pPr>
        <w:numPr>
          <w:ilvl w:val="0"/>
          <w:numId w:val="2"/>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DIARIO GENERAL DE POLIZAS </w:t>
      </w:r>
    </w:p>
    <w:p w14:paraId="549F961C"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su parte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en donde sólo se concretó a entregar dos oficios: el primero contiene el número de oficio DIR/SMDIF/0161/2023, por medio del cual el </w:t>
      </w:r>
      <w:proofErr w:type="gramStart"/>
      <w:r>
        <w:rPr>
          <w:rFonts w:ascii="Palatino Linotype" w:eastAsia="Palatino Linotype" w:hAnsi="Palatino Linotype" w:cs="Palatino Linotype"/>
        </w:rPr>
        <w:t>Director</w:t>
      </w:r>
      <w:proofErr w:type="gramEnd"/>
      <w:r>
        <w:rPr>
          <w:rFonts w:ascii="Palatino Linotype" w:eastAsia="Palatino Linotype" w:hAnsi="Palatino Linotype" w:cs="Palatino Linotype"/>
        </w:rPr>
        <w:t xml:space="preserve"> del Sistema Municipal para el Desarrollo Integral de la Familia del Municipio de Tlalmanalco, si hizo llegar al Titular de la Unidad del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la contestación a la solicitud número 00090/TLALMANA/IP/2023.</w:t>
      </w:r>
    </w:p>
    <w:p w14:paraId="094E8046" w14:textId="77777777" w:rsidR="00A1678E" w:rsidRDefault="004E2D14">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rPr>
        <w:t>El segundo, contiene el número de oficio DIF/TES/018/2023, por medio del cual el Tesorero del Sistema Municipal para el Desarrollo Integral de la Familia del Municipio de Tlalmanalco, solicitó se someta a aprobación del Comité de Transparencia y Acceso a la Información Pública del Municipio de Tlalmanalco la eliminación de cuentas bancarias (nombre y número).</w:t>
      </w:r>
    </w:p>
    <w:p w14:paraId="239BB793"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Inconforme la parte</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 la respuesta, interpuso el Recurso de Revisión en lo medular por la negativa de la información solicitada.</w:t>
      </w:r>
    </w:p>
    <w:p w14:paraId="27DE5A72" w14:textId="77777777" w:rsidR="00A1678E" w:rsidRDefault="00A1678E">
      <w:pPr>
        <w:spacing w:line="360" w:lineRule="auto"/>
        <w:jc w:val="both"/>
        <w:rPr>
          <w:rFonts w:ascii="Palatino Linotype" w:eastAsia="Palatino Linotype" w:hAnsi="Palatino Linotype" w:cs="Palatino Linotype"/>
        </w:rPr>
      </w:pPr>
    </w:p>
    <w:p w14:paraId="18408B4D" w14:textId="77777777" w:rsidR="00A1678E" w:rsidRDefault="004E2D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notificado el recurso de revisión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a través del cual entregó: </w:t>
      </w:r>
    </w:p>
    <w:p w14:paraId="7F2CD22D" w14:textId="77777777" w:rsidR="00A1678E" w:rsidRDefault="004E2D14">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diario general de pólizas del Sistema Municipal para el Desarrollo Integral de la Familia del Municipio de Tlalmanalco del primero de enero al treinta y uno de diciembre del año 2022 y</w:t>
      </w:r>
    </w:p>
    <w:p w14:paraId="7587F3F1" w14:textId="77777777" w:rsidR="00A1678E" w:rsidRDefault="004E2D14">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anexo al estado de situación financiera del Sistema Municipal para el Desarrollo Integral de la Familia del Municipio de Tlalmanalco del primero de enero al treinta y uno de diciembre del año 2022.</w:t>
      </w:r>
    </w:p>
    <w:p w14:paraId="7BA65E75"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señalar, que en el Anexo al estado de situación financiera se aprecia que se testaron las cuentas bancarias del Sistema Municipal para el Desarrollo Integral de la Familia del Municipio de Tlalmanalco y nombre de una empresa particular.</w:t>
      </w:r>
    </w:p>
    <w:p w14:paraId="38829CB9"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fundados para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versión pública, en razón de las consideraciones de derecho que a continuación se exponen:</w:t>
      </w:r>
    </w:p>
    <w:p w14:paraId="05C3468B"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si bien es cierto que de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adjuntar la documentación relacionada con el anexo al estado de situación </w:t>
      </w:r>
      <w:r>
        <w:rPr>
          <w:rFonts w:ascii="Palatino Linotype" w:eastAsia="Palatino Linotype" w:hAnsi="Palatino Linotype" w:cs="Palatino Linotype"/>
        </w:rPr>
        <w:lastRenderedPageBreak/>
        <w:t xml:space="preserve">financiera, estado de situación financiera y diario general de pólizas del mes de diciembre de 2022 del Sistema Municipal para el Desarrollo Integral de la Familia del Municipio de Tlalmanalco; sin embargo, a través del informe justificado hizo entrega del anexo al estado de situación financiera y diario general de pólizas del primero de enero al treinta y uno de diciembre de 2022 del Sistema Municipal para el Desarrollo Integral de la Familia del Municipio de Tlalmanalco, no obstante, este Organismo Garante advirtió con la información entregada en informe justificado tiene diversas irregularidades, las cuales se abordaran de la siguiente manera: </w:t>
      </w:r>
    </w:p>
    <w:p w14:paraId="2F75F41A"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Respecto del anexo al estado de situación financiera y estado de situación financiera</w:t>
      </w:r>
      <w:r>
        <w:rPr>
          <w:rFonts w:ascii="Palatino Linotype" w:eastAsia="Palatino Linotype" w:hAnsi="Palatino Linotype" w:cs="Palatino Linotype"/>
        </w:rPr>
        <w:t xml:space="preserve">. </w:t>
      </w:r>
    </w:p>
    <w:p w14:paraId="5B22465C"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w:t>
      </w:r>
      <w:proofErr w:type="gramStart"/>
      <w:r>
        <w:rPr>
          <w:rFonts w:ascii="Palatino Linotype" w:eastAsia="Palatino Linotype" w:hAnsi="Palatino Linotype" w:cs="Palatino Linotype"/>
        </w:rPr>
        <w:t>término</w:t>
      </w:r>
      <w:proofErr w:type="gramEnd"/>
      <w:r>
        <w:rPr>
          <w:rFonts w:ascii="Palatino Linotype" w:eastAsia="Palatino Linotype" w:hAnsi="Palatino Linotype" w:cs="Palatino Linotype"/>
        </w:rPr>
        <w:t xml:space="preserve"> debemos establecer en que consiste cada uno, los cuales son contemplados por los Lineamientos para la integración y entrega del Informe Trimestral Municipal 2022 emitidos por el Órgano Superior de Fiscalización del Estado de México, los cuales su finalidad y llenado es el siguiente conforme a las siguientes imágenes:</w:t>
      </w:r>
    </w:p>
    <w:p w14:paraId="4CF22B1C" w14:textId="77777777" w:rsidR="00A1678E" w:rsidRDefault="00A1678E">
      <w:pPr>
        <w:spacing w:before="240" w:after="240" w:line="360" w:lineRule="auto"/>
        <w:jc w:val="both"/>
        <w:rPr>
          <w:rFonts w:ascii="Palatino Linotype" w:eastAsia="Palatino Linotype" w:hAnsi="Palatino Linotype" w:cs="Palatino Linotype"/>
        </w:rPr>
      </w:pPr>
    </w:p>
    <w:p w14:paraId="016CBC66" w14:textId="77777777" w:rsidR="00A1678E" w:rsidRDefault="00A1678E">
      <w:pPr>
        <w:spacing w:before="240" w:after="240" w:line="360" w:lineRule="auto"/>
        <w:jc w:val="both"/>
        <w:rPr>
          <w:rFonts w:ascii="Palatino Linotype" w:eastAsia="Palatino Linotype" w:hAnsi="Palatino Linotype" w:cs="Palatino Linotype"/>
        </w:rPr>
      </w:pPr>
    </w:p>
    <w:p w14:paraId="438445C2" w14:textId="77777777" w:rsidR="00A1678E" w:rsidRDefault="00A1678E">
      <w:pPr>
        <w:spacing w:before="240" w:after="240" w:line="360" w:lineRule="auto"/>
        <w:jc w:val="both"/>
        <w:rPr>
          <w:rFonts w:ascii="Palatino Linotype" w:eastAsia="Palatino Linotype" w:hAnsi="Palatino Linotype" w:cs="Palatino Linotype"/>
        </w:rPr>
      </w:pPr>
    </w:p>
    <w:p w14:paraId="4474FFDD" w14:textId="77777777" w:rsidR="00A1678E" w:rsidRDefault="00A1678E">
      <w:pPr>
        <w:spacing w:before="240" w:line="360" w:lineRule="auto"/>
        <w:jc w:val="both"/>
      </w:pPr>
    </w:p>
    <w:p w14:paraId="5788A52A" w14:textId="77777777" w:rsidR="00A1678E" w:rsidRDefault="00A1678E">
      <w:pPr>
        <w:spacing w:line="360" w:lineRule="auto"/>
        <w:jc w:val="both"/>
      </w:pPr>
    </w:p>
    <w:p w14:paraId="30351AF8" w14:textId="77777777" w:rsidR="00A1678E" w:rsidRDefault="004E2D14">
      <w:pPr>
        <w:spacing w:line="360" w:lineRule="auto"/>
        <w:jc w:val="both"/>
      </w:pPr>
      <w:r>
        <w:rPr>
          <w:noProof/>
        </w:rPr>
        <w:lastRenderedPageBreak/>
        <w:drawing>
          <wp:inline distT="0" distB="0" distL="0" distR="0" wp14:anchorId="303437B6" wp14:editId="5E4A1CAE">
            <wp:extent cx="5612130" cy="3517265"/>
            <wp:effectExtent l="0" t="0" r="0" b="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2130" cy="3517265"/>
                    </a:xfrm>
                    <a:prstGeom prst="rect">
                      <a:avLst/>
                    </a:prstGeom>
                    <a:ln/>
                  </pic:spPr>
                </pic:pic>
              </a:graphicData>
            </a:graphic>
          </wp:inline>
        </w:drawing>
      </w:r>
    </w:p>
    <w:p w14:paraId="0058665A" w14:textId="77777777" w:rsidR="00A1678E" w:rsidRDefault="004E2D14">
      <w:pPr>
        <w:spacing w:line="360" w:lineRule="auto"/>
        <w:jc w:val="both"/>
        <w:rPr>
          <w:rFonts w:ascii="Palatino Linotype" w:eastAsia="Palatino Linotype" w:hAnsi="Palatino Linotype" w:cs="Palatino Linotype"/>
        </w:rPr>
      </w:pPr>
      <w:r>
        <w:rPr>
          <w:noProof/>
        </w:rPr>
        <w:drawing>
          <wp:inline distT="0" distB="0" distL="0" distR="0" wp14:anchorId="5C3B17B3" wp14:editId="62091BB8">
            <wp:extent cx="5450441" cy="3195850"/>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8188" t="27014" r="23527" b="17699"/>
                    <a:stretch>
                      <a:fillRect/>
                    </a:stretch>
                  </pic:blipFill>
                  <pic:spPr>
                    <a:xfrm>
                      <a:off x="0" y="0"/>
                      <a:ext cx="5450441" cy="3195850"/>
                    </a:xfrm>
                    <a:prstGeom prst="rect">
                      <a:avLst/>
                    </a:prstGeom>
                    <a:ln/>
                  </pic:spPr>
                </pic:pic>
              </a:graphicData>
            </a:graphic>
          </wp:inline>
        </w:drawing>
      </w:r>
    </w:p>
    <w:p w14:paraId="5A5B3E65" w14:textId="77777777" w:rsidR="00A1678E" w:rsidRDefault="00A1678E">
      <w:pPr>
        <w:spacing w:line="360" w:lineRule="auto"/>
        <w:jc w:val="both"/>
        <w:rPr>
          <w:rFonts w:ascii="Palatino Linotype" w:eastAsia="Palatino Linotype" w:hAnsi="Palatino Linotype" w:cs="Palatino Linotype"/>
        </w:rPr>
      </w:pPr>
    </w:p>
    <w:p w14:paraId="79758F44" w14:textId="77777777" w:rsidR="00A1678E" w:rsidRDefault="004E2D14">
      <w:pPr>
        <w:spacing w:line="360" w:lineRule="auto"/>
        <w:jc w:val="both"/>
        <w:rPr>
          <w:rFonts w:ascii="Palatino Linotype" w:eastAsia="Palatino Linotype" w:hAnsi="Palatino Linotype" w:cs="Palatino Linotype"/>
        </w:rPr>
      </w:pPr>
      <w:r>
        <w:rPr>
          <w:noProof/>
        </w:rPr>
        <w:lastRenderedPageBreak/>
        <w:drawing>
          <wp:inline distT="0" distB="0" distL="0" distR="0" wp14:anchorId="12795F0D" wp14:editId="55403D34">
            <wp:extent cx="5529916" cy="3798079"/>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7089" t="22568" r="23830" b="15745"/>
                    <a:stretch>
                      <a:fillRect/>
                    </a:stretch>
                  </pic:blipFill>
                  <pic:spPr>
                    <a:xfrm>
                      <a:off x="0" y="0"/>
                      <a:ext cx="5529916" cy="3798079"/>
                    </a:xfrm>
                    <a:prstGeom prst="rect">
                      <a:avLst/>
                    </a:prstGeom>
                    <a:ln/>
                  </pic:spPr>
                </pic:pic>
              </a:graphicData>
            </a:graphic>
          </wp:inline>
        </w:drawing>
      </w:r>
    </w:p>
    <w:p w14:paraId="2E06257B" w14:textId="77777777" w:rsidR="00A1678E" w:rsidRDefault="00A1678E">
      <w:pPr>
        <w:spacing w:line="360" w:lineRule="auto"/>
        <w:jc w:val="both"/>
        <w:rPr>
          <w:rFonts w:ascii="Palatino Linotype" w:eastAsia="Palatino Linotype" w:hAnsi="Palatino Linotype" w:cs="Palatino Linotype"/>
        </w:rPr>
      </w:pPr>
    </w:p>
    <w:p w14:paraId="3CD8AA3D"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anteriores imágenes podemos establecer que el estado de situación financiera tiene como finalidad exponer la situación financiera del ente público sobre los recursos y obligaciones financieras, de sus activos, pasivos y Hacienda Pública/Patrimonio y el anexo al estado de situación financiera tiene como objetivo revelar detalladamente los movimientos individuales del ente público, con lo que podemos concluir que el estado de situación financiera y el anexo a este, </w:t>
      </w:r>
      <w:r>
        <w:rPr>
          <w:rFonts w:ascii="Palatino Linotype" w:eastAsia="Palatino Linotype" w:hAnsi="Palatino Linotype" w:cs="Palatino Linotype"/>
          <w:b/>
          <w:u w:val="single"/>
        </w:rPr>
        <w:t xml:space="preserve">son documento diferentes </w:t>
      </w:r>
      <w:r>
        <w:rPr>
          <w:rFonts w:ascii="Palatino Linotype" w:eastAsia="Palatino Linotype" w:hAnsi="Palatino Linotype" w:cs="Palatino Linotype"/>
        </w:rPr>
        <w:t>que se debieron generar por el ente público, en este caso por el Sistema Municipal para el Desarrollo Integral de la Familia del Municipio de Tlalmanalco.</w:t>
      </w:r>
    </w:p>
    <w:p w14:paraId="5F07B5BC" w14:textId="77777777" w:rsidR="00A1678E" w:rsidRDefault="00A1678E">
      <w:pPr>
        <w:spacing w:line="360" w:lineRule="auto"/>
        <w:jc w:val="both"/>
        <w:rPr>
          <w:rFonts w:ascii="Palatino Linotype" w:eastAsia="Palatino Linotype" w:hAnsi="Palatino Linotype" w:cs="Palatino Linotype"/>
        </w:rPr>
      </w:pPr>
    </w:p>
    <w:p w14:paraId="45D3C364"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de una revisión a la información entregada en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sólo se concretó a entregar el anexo al estado de situación financiera del Sistema Municipal para el Desarrollo Integral de la Familia del Municipio de Tlalmanalco del primero de enero al treinta y uno de diciembre del año 2022, omitiendo proporcionar lo relacionado con el documento que contiene el estado de situación financiera del Sistema Municipal para el Desarrollo Integral de la Familia del Municipio de Tlalmanalco del mes de diciembre del año 2022; de ahí que, la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67FBA1DA" w14:textId="77777777" w:rsidR="00A1678E" w:rsidRDefault="00A1678E">
      <w:pPr>
        <w:spacing w:line="360" w:lineRule="auto"/>
        <w:jc w:val="both"/>
        <w:rPr>
          <w:rFonts w:ascii="Palatino Linotype" w:eastAsia="Palatino Linotype" w:hAnsi="Palatino Linotype" w:cs="Palatino Linotype"/>
        </w:rPr>
      </w:pPr>
    </w:p>
    <w:p w14:paraId="3B7D0FD2" w14:textId="77777777" w:rsidR="00A1678E" w:rsidRDefault="004E2D14">
      <w:pPr>
        <w:spacing w:before="8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7D4CD25"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estado de situación financiera del Sistema Municipal para el Desarrollo Integral de la Familia del Municipio de </w:t>
      </w:r>
      <w:r>
        <w:rPr>
          <w:rFonts w:ascii="Palatino Linotype" w:eastAsia="Palatino Linotype" w:hAnsi="Palatino Linotype" w:cs="Palatino Linotype"/>
        </w:rPr>
        <w:lastRenderedPageBreak/>
        <w:t xml:space="preserve">Tlalmanalco del mes de diciembre del año 2022, en versión pública de ser procedente conforme a lo señalado por el considerando quinto del presente fallo. </w:t>
      </w:r>
    </w:p>
    <w:p w14:paraId="49CEE6D2" w14:textId="77777777" w:rsidR="00A1678E" w:rsidRDefault="00A1678E">
      <w:pPr>
        <w:spacing w:line="360" w:lineRule="auto"/>
        <w:jc w:val="both"/>
        <w:rPr>
          <w:rFonts w:ascii="Palatino Linotype" w:eastAsia="Palatino Linotype" w:hAnsi="Palatino Linotype" w:cs="Palatino Linotype"/>
        </w:rPr>
      </w:pPr>
    </w:p>
    <w:p w14:paraId="2179F316"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otro orden de ideas, sobre el Anexo al Estado de Situación Financiera Sistema Municipal para el Desarrollo Integral de la Familia del Municipio de Tlalmanalco del mes diciembre del año 2022,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informe justificado remitió la información solicitada y si bien esta colmaría el derecho de acceso a la información pública de la parte </w:t>
      </w:r>
      <w:r>
        <w:rPr>
          <w:rFonts w:ascii="Palatino Linotype" w:eastAsia="Palatino Linotype" w:hAnsi="Palatino Linotype" w:cs="Palatino Linotype"/>
          <w:b/>
        </w:rPr>
        <w:t>RECURRENTE</w:t>
      </w:r>
      <w:r>
        <w:rPr>
          <w:rFonts w:ascii="Palatino Linotype" w:eastAsia="Palatino Linotype" w:hAnsi="Palatino Linotype" w:cs="Palatino Linotype"/>
        </w:rPr>
        <w:t>; también lo es que se advierte que dentro del documento se testó información que este Organismo Garante es considerada como pública, relativo al nombre de una empresa particular de servicios telefónico e internet</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y número de cuentas bancarias del DIF de Tlalmanalco (Sistema Municipal para el Desarrollo Integral de la Familia del Municipio de Tlalmanalco), como se advierte a continuación de manera de ejemplo:</w:t>
      </w:r>
    </w:p>
    <w:p w14:paraId="5E6F62F0" w14:textId="77777777" w:rsidR="00A1678E" w:rsidRDefault="00A1678E">
      <w:pPr>
        <w:spacing w:line="360" w:lineRule="auto"/>
        <w:jc w:val="both"/>
      </w:pPr>
    </w:p>
    <w:p w14:paraId="72338A1E" w14:textId="77777777" w:rsidR="00A1678E" w:rsidRDefault="004E2D14">
      <w:pPr>
        <w:spacing w:line="360" w:lineRule="auto"/>
        <w:jc w:val="both"/>
        <w:rPr>
          <w:rFonts w:ascii="Palatino Linotype" w:eastAsia="Palatino Linotype" w:hAnsi="Palatino Linotype" w:cs="Palatino Linotype"/>
        </w:rPr>
      </w:pPr>
      <w:r>
        <w:rPr>
          <w:noProof/>
        </w:rPr>
        <w:drawing>
          <wp:inline distT="0" distB="0" distL="0" distR="0" wp14:anchorId="1C78D8AC" wp14:editId="631CFDB9">
            <wp:extent cx="5727307" cy="1064090"/>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15451" t="20503" r="1375" b="45811"/>
                    <a:stretch>
                      <a:fillRect/>
                    </a:stretch>
                  </pic:blipFill>
                  <pic:spPr>
                    <a:xfrm>
                      <a:off x="0" y="0"/>
                      <a:ext cx="5727307" cy="1064090"/>
                    </a:xfrm>
                    <a:prstGeom prst="rect">
                      <a:avLst/>
                    </a:prstGeom>
                    <a:ln/>
                  </pic:spPr>
                </pic:pic>
              </a:graphicData>
            </a:graphic>
          </wp:inline>
        </w:drawing>
      </w:r>
    </w:p>
    <w:p w14:paraId="3E46A78C" w14:textId="77777777" w:rsidR="00A1678E" w:rsidRDefault="00A1678E">
      <w:pPr>
        <w:spacing w:line="360" w:lineRule="auto"/>
        <w:jc w:val="both"/>
      </w:pPr>
    </w:p>
    <w:p w14:paraId="37966912" w14:textId="77777777" w:rsidR="00A1678E" w:rsidRDefault="004E2D14">
      <w:pPr>
        <w:spacing w:line="360" w:lineRule="auto"/>
        <w:jc w:val="both"/>
        <w:rPr>
          <w:rFonts w:ascii="Palatino Linotype" w:eastAsia="Palatino Linotype" w:hAnsi="Palatino Linotype" w:cs="Palatino Linotype"/>
          <w:color w:val="FF0000"/>
        </w:rPr>
      </w:pPr>
      <w:r>
        <w:rPr>
          <w:noProof/>
        </w:rPr>
        <w:drawing>
          <wp:inline distT="0" distB="0" distL="0" distR="0" wp14:anchorId="6A3E87BC" wp14:editId="7BEA15DA">
            <wp:extent cx="5673086" cy="1417982"/>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l="33775" t="17306" r="32469" b="25288"/>
                    <a:stretch>
                      <a:fillRect/>
                    </a:stretch>
                  </pic:blipFill>
                  <pic:spPr>
                    <a:xfrm>
                      <a:off x="0" y="0"/>
                      <a:ext cx="5673086" cy="1417982"/>
                    </a:xfrm>
                    <a:prstGeom prst="rect">
                      <a:avLst/>
                    </a:prstGeom>
                    <a:ln/>
                  </pic:spPr>
                </pic:pic>
              </a:graphicData>
            </a:graphic>
          </wp:inline>
        </w:drawing>
      </w:r>
    </w:p>
    <w:p w14:paraId="2049AEC2" w14:textId="77777777" w:rsidR="00A1678E" w:rsidRDefault="00A1678E">
      <w:pPr>
        <w:spacing w:line="360" w:lineRule="auto"/>
        <w:jc w:val="both"/>
        <w:rPr>
          <w:rFonts w:ascii="Palatino Linotype" w:eastAsia="Palatino Linotype" w:hAnsi="Palatino Linotype" w:cs="Palatino Linotype"/>
          <w:color w:val="FF0000"/>
        </w:rPr>
      </w:pPr>
    </w:p>
    <w:p w14:paraId="45C20C70" w14:textId="77777777" w:rsidR="00A1678E" w:rsidRDefault="004E2D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se procede analizar el acuerdo de clasificación emitido por el SUJETO OBLIGADO, de acuerdo al siguiente cuadro: </w:t>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A1678E" w14:paraId="2ACB4215" w14:textId="77777777">
        <w:trPr>
          <w:trHeight w:val="569"/>
        </w:trPr>
        <w:tc>
          <w:tcPr>
            <w:tcW w:w="1548" w:type="dxa"/>
            <w:shd w:val="clear" w:color="auto" w:fill="92D050"/>
          </w:tcPr>
          <w:p w14:paraId="4063F4DC" w14:textId="77777777" w:rsidR="00A1678E" w:rsidRDefault="004E2D14">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Elementos del acuerdo de clasificación</w:t>
            </w:r>
          </w:p>
        </w:tc>
        <w:tc>
          <w:tcPr>
            <w:tcW w:w="6020" w:type="dxa"/>
            <w:gridSpan w:val="2"/>
            <w:shd w:val="clear" w:color="auto" w:fill="92D050"/>
          </w:tcPr>
          <w:p w14:paraId="55B58366" w14:textId="77777777" w:rsidR="00A1678E" w:rsidRDefault="004E2D14">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Contenido</w:t>
            </w:r>
          </w:p>
        </w:tc>
        <w:tc>
          <w:tcPr>
            <w:tcW w:w="1499" w:type="dxa"/>
            <w:shd w:val="clear" w:color="auto" w:fill="92D050"/>
          </w:tcPr>
          <w:p w14:paraId="2F7EB3FA" w14:textId="77777777" w:rsidR="00A1678E" w:rsidRDefault="004E2D14">
            <w:pPr>
              <w:spacing w:before="100" w:after="200" w:line="276" w:lineRule="auto"/>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color w:val="000000"/>
                <w:sz w:val="18"/>
                <w:szCs w:val="18"/>
              </w:rPr>
              <w:t>¿Cumple?</w:t>
            </w:r>
          </w:p>
        </w:tc>
      </w:tr>
      <w:tr w:rsidR="00A1678E" w14:paraId="0D499467" w14:textId="77777777">
        <w:tc>
          <w:tcPr>
            <w:tcW w:w="1548" w:type="dxa"/>
          </w:tcPr>
          <w:p w14:paraId="52B2E550" w14:textId="77777777" w:rsidR="00A1678E" w:rsidRDefault="004E2D14">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Número de folio de la solicitud</w:t>
            </w:r>
          </w:p>
        </w:tc>
        <w:tc>
          <w:tcPr>
            <w:tcW w:w="6020" w:type="dxa"/>
            <w:gridSpan w:val="2"/>
          </w:tcPr>
          <w:p w14:paraId="3414050E" w14:textId="77777777" w:rsidR="00A1678E" w:rsidRDefault="004E2D14">
            <w:pPr>
              <w:spacing w:before="100" w:after="200" w:line="276" w:lineRule="auto"/>
              <w:rPr>
                <w:rFonts w:ascii="Calibri" w:eastAsia="Calibri" w:hAnsi="Calibri" w:cs="Calibri"/>
                <w:sz w:val="20"/>
                <w:szCs w:val="20"/>
              </w:rPr>
            </w:pPr>
            <w:r>
              <w:rPr>
                <w:noProof/>
              </w:rPr>
              <w:drawing>
                <wp:inline distT="0" distB="0" distL="0" distR="0" wp14:anchorId="5E55553D" wp14:editId="0AB3E78B">
                  <wp:extent cx="3479152" cy="716177"/>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l="30466" t="34367" r="16994" b="48148"/>
                          <a:stretch>
                            <a:fillRect/>
                          </a:stretch>
                        </pic:blipFill>
                        <pic:spPr>
                          <a:xfrm>
                            <a:off x="0" y="0"/>
                            <a:ext cx="3479152" cy="716177"/>
                          </a:xfrm>
                          <a:prstGeom prst="rect">
                            <a:avLst/>
                          </a:prstGeom>
                          <a:ln/>
                        </pic:spPr>
                      </pic:pic>
                    </a:graphicData>
                  </a:graphic>
                </wp:inline>
              </w:drawing>
            </w:r>
          </w:p>
        </w:tc>
        <w:tc>
          <w:tcPr>
            <w:tcW w:w="1499" w:type="dxa"/>
          </w:tcPr>
          <w:p w14:paraId="7F12BF80" w14:textId="77777777" w:rsidR="00A1678E" w:rsidRDefault="004E2D14">
            <w:pPr>
              <w:spacing w:before="100" w:after="200"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Sí</w:t>
            </w:r>
          </w:p>
        </w:tc>
      </w:tr>
      <w:tr w:rsidR="00A1678E" w14:paraId="756E4822" w14:textId="77777777">
        <w:tc>
          <w:tcPr>
            <w:tcW w:w="1548" w:type="dxa"/>
          </w:tcPr>
          <w:p w14:paraId="5ACEF37B" w14:textId="77777777" w:rsidR="00A1678E" w:rsidRDefault="004E2D14">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Referencia de la información solicitada</w:t>
            </w:r>
          </w:p>
        </w:tc>
        <w:tc>
          <w:tcPr>
            <w:tcW w:w="6020" w:type="dxa"/>
            <w:gridSpan w:val="2"/>
          </w:tcPr>
          <w:p w14:paraId="505F9B23" w14:textId="77777777" w:rsidR="00A1678E" w:rsidRDefault="004E2D14">
            <w:pPr>
              <w:spacing w:before="100" w:after="200" w:line="276" w:lineRule="auto"/>
              <w:jc w:val="center"/>
              <w:rPr>
                <w:rFonts w:ascii="Palatino Linotype" w:eastAsia="Palatino Linotype" w:hAnsi="Palatino Linotype" w:cs="Palatino Linotype"/>
              </w:rPr>
            </w:pPr>
            <w:r>
              <w:rPr>
                <w:noProof/>
              </w:rPr>
              <w:drawing>
                <wp:inline distT="0" distB="0" distL="0" distR="0" wp14:anchorId="32C685EE" wp14:editId="050CCB6A">
                  <wp:extent cx="3386861" cy="641900"/>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31915" t="33794" r="17327" b="57894"/>
                          <a:stretch>
                            <a:fillRect/>
                          </a:stretch>
                        </pic:blipFill>
                        <pic:spPr>
                          <a:xfrm>
                            <a:off x="0" y="0"/>
                            <a:ext cx="3386861" cy="641900"/>
                          </a:xfrm>
                          <a:prstGeom prst="rect">
                            <a:avLst/>
                          </a:prstGeom>
                          <a:ln/>
                        </pic:spPr>
                      </pic:pic>
                    </a:graphicData>
                  </a:graphic>
                </wp:inline>
              </w:drawing>
            </w:r>
          </w:p>
        </w:tc>
        <w:tc>
          <w:tcPr>
            <w:tcW w:w="1499" w:type="dxa"/>
          </w:tcPr>
          <w:p w14:paraId="7ECF654D" w14:textId="77777777" w:rsidR="00A1678E" w:rsidRDefault="004E2D14">
            <w:pPr>
              <w:spacing w:before="100" w:after="200" w:line="276"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Sí</w:t>
            </w:r>
          </w:p>
        </w:tc>
      </w:tr>
      <w:tr w:rsidR="00A1678E" w14:paraId="1DE1106D" w14:textId="77777777">
        <w:tc>
          <w:tcPr>
            <w:tcW w:w="1548" w:type="dxa"/>
          </w:tcPr>
          <w:p w14:paraId="22D248A6" w14:textId="77777777" w:rsidR="00A1678E" w:rsidRDefault="004E2D14">
            <w:pPr>
              <w:spacing w:before="100" w:after="200" w:line="276" w:lineRule="auto"/>
              <w:jc w:val="center"/>
              <w:rPr>
                <w:rFonts w:ascii="Palatino Linotype" w:eastAsia="Palatino Linotype" w:hAnsi="Palatino Linotype" w:cs="Palatino Linotype"/>
                <w:b/>
                <w:sz w:val="18"/>
                <w:szCs w:val="18"/>
              </w:rPr>
            </w:pPr>
            <w:r>
              <w:rPr>
                <w:rFonts w:ascii="Palatino Linotype" w:eastAsia="Palatino Linotype" w:hAnsi="Palatino Linotype" w:cs="Palatino Linotype"/>
                <w:b/>
                <w:sz w:val="18"/>
                <w:szCs w:val="18"/>
              </w:rPr>
              <w:t>Artículo, fracción, inciso, párrafo o numeral de la ley que le otorga el carácter de confidencial.</w:t>
            </w:r>
          </w:p>
        </w:tc>
        <w:tc>
          <w:tcPr>
            <w:tcW w:w="6020" w:type="dxa"/>
            <w:gridSpan w:val="2"/>
          </w:tcPr>
          <w:p w14:paraId="7839CB5D" w14:textId="77777777" w:rsidR="00A1678E" w:rsidRDefault="004E2D14">
            <w:pPr>
              <w:spacing w:before="100" w:after="200" w:line="276" w:lineRule="auto"/>
              <w:rPr>
                <w:rFonts w:ascii="Calibri" w:eastAsia="Calibri" w:hAnsi="Calibri" w:cs="Calibri"/>
                <w:sz w:val="20"/>
                <w:szCs w:val="20"/>
              </w:rPr>
            </w:pPr>
            <w:r>
              <w:rPr>
                <w:noProof/>
              </w:rPr>
              <w:drawing>
                <wp:inline distT="0" distB="0" distL="0" distR="0" wp14:anchorId="56E44DB7" wp14:editId="0F8645C4">
                  <wp:extent cx="3314878" cy="894467"/>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29649" t="22052" r="16869" b="58466"/>
                          <a:stretch>
                            <a:fillRect/>
                          </a:stretch>
                        </pic:blipFill>
                        <pic:spPr>
                          <a:xfrm>
                            <a:off x="0" y="0"/>
                            <a:ext cx="3314878" cy="894467"/>
                          </a:xfrm>
                          <a:prstGeom prst="rect">
                            <a:avLst/>
                          </a:prstGeom>
                          <a:ln/>
                        </pic:spPr>
                      </pic:pic>
                    </a:graphicData>
                  </a:graphic>
                </wp:inline>
              </w:drawing>
            </w:r>
          </w:p>
        </w:tc>
        <w:tc>
          <w:tcPr>
            <w:tcW w:w="1499" w:type="dxa"/>
          </w:tcPr>
          <w:p w14:paraId="5C3B9E6D" w14:textId="77777777" w:rsidR="00A1678E" w:rsidRDefault="004E2D14">
            <w:pPr>
              <w:spacing w:before="100" w:after="200"/>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Sí</w:t>
            </w:r>
          </w:p>
          <w:p w14:paraId="7639AE4F" w14:textId="77777777" w:rsidR="00A1678E" w:rsidRDefault="004E2D14">
            <w:pPr>
              <w:spacing w:before="100" w:after="2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Pero la información que se clasificación como confidencial es considera como pública</w:t>
            </w:r>
          </w:p>
        </w:tc>
      </w:tr>
      <w:tr w:rsidR="00A1678E" w14:paraId="62E7C7E0" w14:textId="77777777">
        <w:tc>
          <w:tcPr>
            <w:tcW w:w="1548" w:type="dxa"/>
          </w:tcPr>
          <w:p w14:paraId="5E3FE5A9" w14:textId="77777777" w:rsidR="00A1678E" w:rsidRDefault="004E2D14">
            <w:pPr>
              <w:spacing w:before="100" w:after="200" w:line="276" w:lineRule="auto"/>
              <w:jc w:val="center"/>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Motivación Legal</w:t>
            </w:r>
          </w:p>
        </w:tc>
        <w:tc>
          <w:tcPr>
            <w:tcW w:w="6020" w:type="dxa"/>
            <w:gridSpan w:val="2"/>
          </w:tcPr>
          <w:p w14:paraId="545A69D9" w14:textId="77777777" w:rsidR="00A1678E" w:rsidRDefault="004E2D14">
            <w:pPr>
              <w:spacing w:before="100" w:after="200" w:line="276" w:lineRule="auto"/>
              <w:rPr>
                <w:rFonts w:ascii="Calibri" w:eastAsia="Calibri" w:hAnsi="Calibri" w:cs="Calibri"/>
                <w:sz w:val="20"/>
                <w:szCs w:val="20"/>
              </w:rPr>
            </w:pPr>
            <w:r>
              <w:rPr>
                <w:noProof/>
              </w:rPr>
              <w:drawing>
                <wp:inline distT="0" distB="0" distL="0" distR="0" wp14:anchorId="2D2F3357" wp14:editId="06D160DC">
                  <wp:extent cx="3400527" cy="111966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l="29817" t="28065" r="17007" b="25506"/>
                          <a:stretch>
                            <a:fillRect/>
                          </a:stretch>
                        </pic:blipFill>
                        <pic:spPr>
                          <a:xfrm>
                            <a:off x="0" y="0"/>
                            <a:ext cx="3400527" cy="1119660"/>
                          </a:xfrm>
                          <a:prstGeom prst="rect">
                            <a:avLst/>
                          </a:prstGeom>
                          <a:ln/>
                        </pic:spPr>
                      </pic:pic>
                    </a:graphicData>
                  </a:graphic>
                </wp:inline>
              </w:drawing>
            </w:r>
          </w:p>
          <w:p w14:paraId="2B9B816D" w14:textId="77777777" w:rsidR="00A1678E" w:rsidRDefault="00A1678E">
            <w:pPr>
              <w:spacing w:before="100" w:after="200" w:line="276" w:lineRule="auto"/>
              <w:rPr>
                <w:rFonts w:ascii="Calibri" w:eastAsia="Calibri" w:hAnsi="Calibri" w:cs="Calibri"/>
                <w:sz w:val="20"/>
                <w:szCs w:val="20"/>
              </w:rPr>
            </w:pPr>
          </w:p>
        </w:tc>
        <w:tc>
          <w:tcPr>
            <w:tcW w:w="1499" w:type="dxa"/>
          </w:tcPr>
          <w:p w14:paraId="07C0F30A" w14:textId="77777777" w:rsidR="00A1678E" w:rsidRDefault="004E2D14">
            <w:pPr>
              <w:spacing w:before="100" w:after="200" w:line="276" w:lineRule="auto"/>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Parcialmente</w:t>
            </w:r>
          </w:p>
          <w:p w14:paraId="10388234" w14:textId="77777777" w:rsidR="00A1678E" w:rsidRDefault="004E2D14">
            <w:pPr>
              <w:spacing w:before="100" w:after="200" w:line="276" w:lineRule="auto"/>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2"/>
                <w:szCs w:val="22"/>
              </w:rPr>
              <w:t xml:space="preserve">Pero la información que se clasificación como confidencial </w:t>
            </w:r>
            <w:r>
              <w:rPr>
                <w:rFonts w:ascii="Palatino Linotype" w:eastAsia="Palatino Linotype" w:hAnsi="Palatino Linotype" w:cs="Palatino Linotype"/>
                <w:b/>
                <w:sz w:val="22"/>
                <w:szCs w:val="22"/>
              </w:rPr>
              <w:lastRenderedPageBreak/>
              <w:t>es considera como pública</w:t>
            </w:r>
          </w:p>
        </w:tc>
      </w:tr>
      <w:tr w:rsidR="00A1678E" w14:paraId="017DCAD4" w14:textId="77777777">
        <w:tc>
          <w:tcPr>
            <w:tcW w:w="1555" w:type="dxa"/>
            <w:gridSpan w:val="2"/>
            <w:shd w:val="clear" w:color="auto" w:fill="auto"/>
          </w:tcPr>
          <w:p w14:paraId="70EBC50C" w14:textId="77777777" w:rsidR="00A1678E" w:rsidRDefault="004E2D14">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1FF3540C" w14:textId="77777777" w:rsidR="00A1678E" w:rsidRDefault="004E2D14">
            <w:pPr>
              <w:spacing w:before="100" w:after="200" w:line="276" w:lineRule="auto"/>
              <w:jc w:val="center"/>
            </w:pPr>
            <w:r>
              <w:rPr>
                <w:noProof/>
              </w:rPr>
              <w:drawing>
                <wp:inline distT="0" distB="0" distL="0" distR="0" wp14:anchorId="297D79A4" wp14:editId="4DB05860">
                  <wp:extent cx="3062329" cy="666148"/>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l="32918" t="43870" r="21431" b="23990"/>
                          <a:stretch>
                            <a:fillRect/>
                          </a:stretch>
                        </pic:blipFill>
                        <pic:spPr>
                          <a:xfrm>
                            <a:off x="0" y="0"/>
                            <a:ext cx="3062329" cy="666148"/>
                          </a:xfrm>
                          <a:prstGeom prst="rect">
                            <a:avLst/>
                          </a:prstGeom>
                          <a:ln/>
                        </pic:spPr>
                      </pic:pic>
                    </a:graphicData>
                  </a:graphic>
                </wp:inline>
              </w:drawing>
            </w:r>
          </w:p>
        </w:tc>
        <w:tc>
          <w:tcPr>
            <w:tcW w:w="1499" w:type="dxa"/>
            <w:shd w:val="clear" w:color="auto" w:fill="auto"/>
          </w:tcPr>
          <w:p w14:paraId="54EC1F68" w14:textId="77777777" w:rsidR="00A1678E" w:rsidRDefault="004E2D14">
            <w:pPr>
              <w:spacing w:before="100" w:after="200" w:line="276"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000000"/>
                <w:sz w:val="18"/>
                <w:szCs w:val="18"/>
              </w:rPr>
              <w:t>Si</w:t>
            </w:r>
          </w:p>
        </w:tc>
      </w:tr>
    </w:tbl>
    <w:p w14:paraId="51DAC5A9" w14:textId="77777777" w:rsidR="00A1678E" w:rsidRDefault="00A1678E">
      <w:pPr>
        <w:spacing w:line="360" w:lineRule="auto"/>
        <w:jc w:val="both"/>
        <w:rPr>
          <w:rFonts w:ascii="Palatino Linotype" w:eastAsia="Palatino Linotype" w:hAnsi="Palatino Linotype" w:cs="Palatino Linotype"/>
          <w:color w:val="FF0000"/>
        </w:rPr>
      </w:pPr>
    </w:p>
    <w:p w14:paraId="50DDC966" w14:textId="77777777" w:rsidR="00A1678E" w:rsidRDefault="004E2D14">
      <w:pPr>
        <w:widowControl w:val="0"/>
        <w:tabs>
          <w:tab w:val="left" w:pos="1701"/>
          <w:tab w:val="left" w:pos="1843"/>
        </w:tabs>
        <w:spacing w:before="36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ende, en el presente caso,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si bien es cierto que debe atender las disposiciones en materia de protección de datos personales, a fin de salvaguardar los datos de particulares y emitir el debido Acuerdo que sustente la clasificación que se genere, ya que ésta no se da por simple mandato de ley, sino que es necesario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cuando clasifique un documento, ya sea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 </w:t>
      </w:r>
    </w:p>
    <w:p w14:paraId="67842DA9" w14:textId="77777777" w:rsidR="00A1678E" w:rsidRDefault="004E2D14">
      <w:pPr>
        <w:widowControl w:val="0"/>
        <w:tabs>
          <w:tab w:val="left" w:pos="1701"/>
          <w:tab w:val="left" w:pos="1843"/>
        </w:tabs>
        <w:spacing w:before="360" w:after="240" w:line="360" w:lineRule="auto"/>
        <w:ind w:right="162"/>
        <w:jc w:val="both"/>
        <w:rPr>
          <w:rFonts w:ascii="Palatino Linotype" w:eastAsia="Palatino Linotype" w:hAnsi="Palatino Linotype" w:cs="Palatino Linotype"/>
        </w:rPr>
      </w:pPr>
      <w:r>
        <w:rPr>
          <w:rFonts w:ascii="Palatino Linotype" w:eastAsia="Palatino Linotype" w:hAnsi="Palatino Linotype" w:cs="Palatino Linotype"/>
        </w:rPr>
        <w:t xml:space="preserve">Así es,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cumplir con todos y cada uno de los requisitos señalados en la Ley de Protección de Datos Personales en Posesión de Sujetos Obligados del Estado de México y Municipios, y con los Lineamientos </w:t>
      </w:r>
      <w:r>
        <w:rPr>
          <w:rFonts w:ascii="Palatino Linotype" w:eastAsia="Palatino Linotype" w:hAnsi="Palatino Linotype" w:cs="Palatino Linotype"/>
        </w:rPr>
        <w:lastRenderedPageBreak/>
        <w:t xml:space="preserve">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 en términos de lo señalado por el artículo 135 de la Ley de Transparencia y Acceso a la Información Pública del Estado de México y Municipios, en relación con el numeral octavo de los Lineamientos Generales en Materia de Clasificación y Desclasificación de la Información, así como para la Elaboración de Versiones Públicas, los cuales se insertan para mayor referencia del presente análisis: </w:t>
      </w:r>
    </w:p>
    <w:p w14:paraId="54D8A3E7" w14:textId="77777777" w:rsidR="00A1678E" w:rsidRDefault="004E2D1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135.</w:t>
      </w:r>
      <w:r>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1614CA42" w14:textId="77777777" w:rsidR="00A1678E" w:rsidRDefault="004E2D1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A00AB0" w14:textId="77777777" w:rsidR="00A1678E" w:rsidRDefault="004E2D14">
      <w:pPr>
        <w:widowControl w:val="0"/>
        <w:tabs>
          <w:tab w:val="left" w:pos="1701"/>
          <w:tab w:val="left" w:pos="1843"/>
        </w:tabs>
        <w:spacing w:before="360" w:after="240"/>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 Para motivar la clasificación se deberán señalar las razones o circunstancias especiales que lo llevaron a concluir que el caso particular se ajusta al supuesto previsto por la norma legal invocada como fundamento. En caso de referirse a información reservada, la motivación de la clasificación también deberá comprender las circunstancias que justifican el establecimiento de determinado plazo de reserva. Tratándose de </w:t>
      </w:r>
      <w:r>
        <w:rPr>
          <w:rFonts w:ascii="Palatino Linotype" w:eastAsia="Palatino Linotype" w:hAnsi="Palatino Linotype" w:cs="Palatino Linotype"/>
          <w:i/>
          <w:sz w:val="22"/>
          <w:szCs w:val="22"/>
        </w:rPr>
        <w:lastRenderedPageBreak/>
        <w:t>información clasificada como confidencial respecto de la cual se haya determinado su conservación permanente por tener valor histórico, ésta conservará tal carácter de conformidad con la normativa aplicable en materia de archivos. Los documentos contenidos en los archivos históricos y los identificados como históricos confidenciales no serán susceptibles de clasificación como reservados</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4C6CB12" w14:textId="77777777" w:rsidR="00A1678E" w:rsidRDefault="004E2D1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t xml:space="preserve">Por tanto, el dicho acuerdo careció de fundamentación y motivación, la cual consiste en la obligación que tiene todo ente público de expresar los preceptos jurídicos aplicables al asunto motivo del acto y las razones o argumentos de su actuar. </w:t>
      </w:r>
    </w:p>
    <w:p w14:paraId="49692FCE" w14:textId="77777777" w:rsidR="00A1678E" w:rsidRDefault="004E2D14">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Pr>
          <w:rFonts w:ascii="Palatino Linotype" w:eastAsia="Palatino Linotype" w:hAnsi="Palatino Linotype" w:cs="Palatino Linotype"/>
          <w:i/>
          <w:sz w:val="22"/>
          <w:szCs w:val="22"/>
        </w:rPr>
        <w:t>subincisos</w:t>
      </w:r>
      <w:proofErr w:type="spellEnd"/>
      <w:r>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 (Sic)</w:t>
      </w:r>
    </w:p>
    <w:p w14:paraId="635BC980" w14:textId="77777777" w:rsidR="00A1678E" w:rsidRDefault="00A1678E">
      <w:pPr>
        <w:jc w:val="both"/>
        <w:rPr>
          <w:rFonts w:ascii="Palatino Linotype" w:eastAsia="Palatino Linotype" w:hAnsi="Palatino Linotype" w:cs="Palatino Linotype"/>
          <w:sz w:val="16"/>
          <w:szCs w:val="16"/>
        </w:rPr>
      </w:pPr>
    </w:p>
    <w:p w14:paraId="534E2145" w14:textId="77777777" w:rsidR="00A1678E" w:rsidRDefault="004E2D14">
      <w:pPr>
        <w:widowControl w:val="0"/>
        <w:tabs>
          <w:tab w:val="left" w:pos="1701"/>
          <w:tab w:val="left" w:pos="1843"/>
        </w:tabs>
        <w:spacing w:before="360" w:after="240" w:line="360" w:lineRule="auto"/>
        <w:ind w:right="142"/>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consecuencia, la fundamentación y motivación implica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en el acto de autoridad, además de contenerse los supuestos jurídicos aplicables, se expliquen claramente, por qué, a través de la utilización de la norma se emitió el acto. De este modo, la persona que se sienta afectada por el acto, puede impugnar la decisión, permitiéndole una real y auténtica defensa.</w:t>
      </w:r>
    </w:p>
    <w:p w14:paraId="775F31E0" w14:textId="77777777" w:rsidR="00A1678E" w:rsidRDefault="004E2D14">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Máxime, que la información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que pretendió clasificar como confidencial, es considerada por esta Organismo Garante como información pública, en términos de lo señalado enseguida:</w:t>
      </w:r>
    </w:p>
    <w:p w14:paraId="1A09481A" w14:textId="77777777" w:rsidR="00A1678E" w:rsidRDefault="004E2D14">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Nombre de un proveedor de un servicio:</w:t>
      </w:r>
    </w:p>
    <w:p w14:paraId="711FCC4F" w14:textId="77777777" w:rsidR="00A1678E" w:rsidRDefault="004E2D14">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BEDDBBF" w14:textId="77777777" w:rsidR="00A1678E" w:rsidRDefault="004E2D14">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w:t>
      </w:r>
      <w:r>
        <w:rPr>
          <w:rFonts w:ascii="Palatino Linotype" w:eastAsia="Palatino Linotype" w:hAnsi="Palatino Linotype" w:cs="Palatino Linotype"/>
          <w:b/>
        </w:rPr>
        <w:t>lo relativo a su nombre</w:t>
      </w:r>
      <w:r>
        <w:rPr>
          <w:rFonts w:ascii="Palatino Linotype" w:eastAsia="Palatino Linotype" w:hAnsi="Palatino Linotype" w:cs="Palatino Linotype"/>
        </w:rPr>
        <w:t>, registro federal de contribuyentes y domicilio fiscal, atento a que dicha información es la que puede generar certeza en los gobernados en que se está ejerciendo debidamente el presupuesto.</w:t>
      </w:r>
    </w:p>
    <w:p w14:paraId="1F1421B4" w14:textId="77777777" w:rsidR="00A1678E" w:rsidRDefault="004E2D1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Cuentas Bancarias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14:paraId="625DBED8" w14:textId="77777777" w:rsidR="00A1678E" w:rsidRDefault="00A1678E">
      <w:pPr>
        <w:spacing w:line="360" w:lineRule="auto"/>
        <w:jc w:val="both"/>
        <w:rPr>
          <w:rFonts w:ascii="Palatino Linotype" w:eastAsia="Palatino Linotype" w:hAnsi="Palatino Linotype" w:cs="Palatino Linotype"/>
        </w:rPr>
      </w:pPr>
    </w:p>
    <w:p w14:paraId="416F571C"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sobre el tema de cuentas bancarias, el artículo 46, fracción I, incisos a), b), c) y d), y XVI de la Ley de Instituciones de Crédito, establecen que dentro de las operaciones que pueden desarrollar las Instituciones de Crédito se encuentran las siguientes</w:t>
      </w:r>
    </w:p>
    <w:p w14:paraId="676DA390" w14:textId="77777777" w:rsidR="00A1678E" w:rsidRDefault="00A1678E">
      <w:pPr>
        <w:spacing w:line="360" w:lineRule="auto"/>
        <w:jc w:val="both"/>
        <w:rPr>
          <w:rFonts w:ascii="Palatino Linotype" w:eastAsia="Palatino Linotype" w:hAnsi="Palatino Linotype" w:cs="Palatino Linotype"/>
        </w:rPr>
      </w:pPr>
    </w:p>
    <w:p w14:paraId="7428B5B5" w14:textId="77777777" w:rsidR="00A1678E" w:rsidRDefault="004E2D14">
      <w:pPr>
        <w:spacing w:line="360" w:lineRule="auto"/>
        <w:jc w:val="both"/>
        <w:rPr>
          <w:rFonts w:ascii="Palatino Linotype" w:eastAsia="Palatino Linotype" w:hAnsi="Palatino Linotype" w:cs="Palatino Linotype"/>
        </w:rPr>
      </w:pPr>
      <w:r>
        <w:rPr>
          <w:rFonts w:ascii="Symbol" w:eastAsia="Symbol" w:hAnsi="Symbol" w:cs="Symbol"/>
        </w:rPr>
        <w:t>∙</w:t>
      </w:r>
      <w:r>
        <w:rPr>
          <w:rFonts w:ascii="Palatino Linotype" w:eastAsia="Palatino Linotype" w:hAnsi="Palatino Linotype" w:cs="Palatino Linotype"/>
        </w:rPr>
        <w:t xml:space="preserve"> Recibir depósitos de dinero: o A la vista. o Retirables en días preestablecidos. o De ahorro y: o A plazo o con previo aviso. </w:t>
      </w:r>
    </w:p>
    <w:p w14:paraId="58CFDE42" w14:textId="77777777" w:rsidR="00A1678E" w:rsidRDefault="004E2D14">
      <w:pPr>
        <w:spacing w:line="360" w:lineRule="auto"/>
        <w:jc w:val="both"/>
        <w:rPr>
          <w:rFonts w:ascii="Palatino Linotype" w:eastAsia="Palatino Linotype" w:hAnsi="Palatino Linotype" w:cs="Palatino Linotype"/>
        </w:rPr>
      </w:pPr>
      <w:r>
        <w:rPr>
          <w:rFonts w:ascii="Symbol" w:eastAsia="Symbol" w:hAnsi="Symbol" w:cs="Symbol"/>
        </w:rPr>
        <w:t>∙</w:t>
      </w:r>
      <w:r>
        <w:rPr>
          <w:rFonts w:ascii="Palatino Linotype" w:eastAsia="Palatino Linotype" w:hAnsi="Palatino Linotype" w:cs="Palatino Linotype"/>
        </w:rPr>
        <w:t xml:space="preserve"> Recibir depósitos en administración o custodio, o en garantía por cuenta de terceros, de títulos o valores y en general documentos mercantiles.</w:t>
      </w:r>
    </w:p>
    <w:p w14:paraId="398E6D68" w14:textId="77777777" w:rsidR="00A1678E" w:rsidRDefault="00A1678E">
      <w:pPr>
        <w:spacing w:line="360" w:lineRule="auto"/>
        <w:jc w:val="both"/>
        <w:rPr>
          <w:rFonts w:ascii="Palatino Linotype" w:eastAsia="Palatino Linotype" w:hAnsi="Palatino Linotype" w:cs="Palatino Linotype"/>
        </w:rPr>
      </w:pPr>
    </w:p>
    <w:p w14:paraId="28080A0C"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en seguimiento a lo previsto al artículo 2° del Código de Comercio, el artículo 2516 del Código Civil Federal establece que el depósito es un contrato por el cual el depositario se obliga hacia el depositante a recibir una cosa, mueble o inmueble que aquel confía, y a guardarla para restituirla cuando lo pida el depositante. En esa misma línea, el Capítulo II de la Ley General de Títulos y Operaciones de Crédito, prevé tres tipos de operaciones de crédito de depósito que se pueden realizar, a saber: i) depósito bancario de dinero, </w:t>
      </w:r>
      <w:proofErr w:type="spellStart"/>
      <w:r>
        <w:rPr>
          <w:rFonts w:ascii="Palatino Linotype" w:eastAsia="Palatino Linotype" w:hAnsi="Palatino Linotype" w:cs="Palatino Linotype"/>
        </w:rPr>
        <w:t>ii</w:t>
      </w:r>
      <w:proofErr w:type="spellEnd"/>
      <w:r>
        <w:rPr>
          <w:rFonts w:ascii="Palatino Linotype" w:eastAsia="Palatino Linotype" w:hAnsi="Palatino Linotype" w:cs="Palatino Linotype"/>
        </w:rPr>
        <w:t xml:space="preserve">) depósito bancario de títulos y </w:t>
      </w:r>
      <w:proofErr w:type="spellStart"/>
      <w:r>
        <w:rPr>
          <w:rFonts w:ascii="Palatino Linotype" w:eastAsia="Palatino Linotype" w:hAnsi="Palatino Linotype" w:cs="Palatino Linotype"/>
        </w:rPr>
        <w:t>iii</w:t>
      </w:r>
      <w:proofErr w:type="spellEnd"/>
      <w:r>
        <w:rPr>
          <w:rFonts w:ascii="Palatino Linotype" w:eastAsia="Palatino Linotype" w:hAnsi="Palatino Linotype" w:cs="Palatino Linotype"/>
        </w:rPr>
        <w:t>) depósito de mercancías en almacenes generales.</w:t>
      </w:r>
    </w:p>
    <w:p w14:paraId="57762AFA" w14:textId="77777777" w:rsidR="00A1678E" w:rsidRDefault="00A1678E">
      <w:pPr>
        <w:spacing w:line="360" w:lineRule="auto"/>
        <w:jc w:val="both"/>
        <w:rPr>
          <w:rFonts w:ascii="Palatino Linotype" w:eastAsia="Palatino Linotype" w:hAnsi="Palatino Linotype" w:cs="Palatino Linotype"/>
        </w:rPr>
      </w:pPr>
    </w:p>
    <w:p w14:paraId="6B5B90A2"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el artículo 2°, fracción III, de la Ley General de Títulos y Operaciones de Crédito establece que los actos y las operaciones que regula esta Ley General, se regirán por los usos bancarios y mercantiles, es así que, a manera de </w:t>
      </w:r>
      <w:r>
        <w:rPr>
          <w:rFonts w:ascii="Palatino Linotype" w:eastAsia="Palatino Linotype" w:hAnsi="Palatino Linotype" w:cs="Palatino Linotype"/>
        </w:rPr>
        <w:lastRenderedPageBreak/>
        <w:t>contextualización (consultados en: https://www.bbva.mx/educacion-financiera/banca-digital/como-abrir-una-cuentabancaria.html y https://www.bbva.mx/educacion-financiera/banca-digital/estado-de-cuentadigital-mas-facil-y-sin-papel.html,) cuenta bancaria se define como:</w:t>
      </w:r>
    </w:p>
    <w:p w14:paraId="32C8928F" w14:textId="77777777" w:rsidR="00A1678E" w:rsidRDefault="00A1678E">
      <w:pPr>
        <w:spacing w:line="360" w:lineRule="auto"/>
        <w:jc w:val="both"/>
        <w:rPr>
          <w:rFonts w:ascii="Palatino Linotype" w:eastAsia="Palatino Linotype" w:hAnsi="Palatino Linotype" w:cs="Palatino Linotype"/>
        </w:rPr>
      </w:pPr>
    </w:p>
    <w:p w14:paraId="53AB4D97" w14:textId="77777777" w:rsidR="00A1678E" w:rsidRDefault="004E2D14">
      <w:pPr>
        <w:spacing w:line="360" w:lineRule="auto"/>
        <w:jc w:val="both"/>
        <w:rPr>
          <w:rFonts w:ascii="Palatino Linotype" w:eastAsia="Palatino Linotype" w:hAnsi="Palatino Linotype" w:cs="Palatino Linotype"/>
        </w:rPr>
      </w:pPr>
      <w:r>
        <w:rPr>
          <w:rFonts w:ascii="Symbol" w:eastAsia="Symbol" w:hAnsi="Symbol" w:cs="Symbol"/>
        </w:rPr>
        <w:t>∙</w:t>
      </w:r>
      <w:r>
        <w:rPr>
          <w:rFonts w:ascii="Palatino Linotype" w:eastAsia="Palatino Linotype" w:hAnsi="Palatino Linotype" w:cs="Palatino Linotype"/>
        </w:rPr>
        <w:t xml:space="preserve"> Cuenta bancaria: Una cuenta bancaria es un registro que mantiene un banco, en el que guarda dinero y contabiliza todas las entradas y salidas de efectivo, así como los créditos en curso, inversiones y productos relacionados</w:t>
      </w:r>
    </w:p>
    <w:p w14:paraId="6DCC8B4B" w14:textId="77777777" w:rsidR="00A1678E" w:rsidRDefault="00A1678E">
      <w:pPr>
        <w:spacing w:line="360" w:lineRule="auto"/>
        <w:jc w:val="both"/>
        <w:rPr>
          <w:rFonts w:ascii="Palatino Linotype" w:eastAsia="Palatino Linotype" w:hAnsi="Palatino Linotype" w:cs="Palatino Linotype"/>
        </w:rPr>
      </w:pPr>
    </w:p>
    <w:p w14:paraId="5B08BC99"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decir, que el SUJETO OBLIGADO, tiene la facultad de contratar los servicios de un banco para resguardar los recursos públicos asignados como realizar operaciones bancarias.</w:t>
      </w:r>
    </w:p>
    <w:p w14:paraId="79381943" w14:textId="77777777" w:rsidR="00A1678E" w:rsidRDefault="00A1678E">
      <w:pPr>
        <w:spacing w:line="360" w:lineRule="auto"/>
        <w:jc w:val="both"/>
        <w:rPr>
          <w:color w:val="FF0000"/>
          <w:highlight w:val="yellow"/>
        </w:rPr>
      </w:pPr>
    </w:p>
    <w:p w14:paraId="782E1DD1"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en lo que corresponde a la clasificación de la información como confidencial, el artículo 143 de la Ley de Transparencia Local, establece que debe entenderse por esta:</w:t>
      </w:r>
    </w:p>
    <w:p w14:paraId="1C3ACC25" w14:textId="77777777" w:rsidR="00A1678E" w:rsidRDefault="00A1678E">
      <w:pPr>
        <w:spacing w:line="360" w:lineRule="auto"/>
        <w:jc w:val="both"/>
        <w:rPr>
          <w:rFonts w:ascii="Palatino Linotype" w:eastAsia="Palatino Linotype" w:hAnsi="Palatino Linotype" w:cs="Palatino Linotype"/>
          <w:i/>
          <w:sz w:val="22"/>
          <w:szCs w:val="22"/>
        </w:rPr>
      </w:pPr>
    </w:p>
    <w:p w14:paraId="16B66C9A"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143. Para los efectos de esta Ley se considera información confidencial, la clasificada como tal, de manera permanente, por su naturaleza, cuando:</w:t>
      </w:r>
    </w:p>
    <w:p w14:paraId="6F711C85"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I. Se refiera a la información privada y los datos personales concernientes a una persona física o jurídico colectiva identificada o identificable; </w:t>
      </w:r>
    </w:p>
    <w:p w14:paraId="61600C95"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3CCF8A1E"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La información confidencial no estará sujeta a temporalidad alguna y sólo podrán tener acceso a ella los titulares de la misma, sus representantes y los servidores públicos facultados para ello. </w:t>
      </w:r>
    </w:p>
    <w:p w14:paraId="00F28083"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No se considerará confidencial la información que se encuentre en los registros públicos o en fuentes de acceso público, ni tampoco la que sea considerada por la presente ley como información pública. </w:t>
      </w:r>
    </w:p>
    <w:p w14:paraId="7238CC5F" w14:textId="77777777" w:rsidR="00A1678E" w:rsidRDefault="004E2D14">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Artículo 149. El acuerdo que clasifique la información como confidencial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08054DDB" w14:textId="77777777" w:rsidR="00A1678E" w:rsidRDefault="00A1678E">
      <w:pPr>
        <w:spacing w:line="360" w:lineRule="auto"/>
        <w:jc w:val="both"/>
      </w:pPr>
    </w:p>
    <w:p w14:paraId="4E887471"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conformidad con los preceptos legales citados, se advierte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igual manera, cuando los Sujetos Obligados pretendan clasificar información como confidencial por encuadrar en alguno de los supuestos del artículo 143 de la Ley citada, debe emitir el acuerdo que contenga un razonamiento lógico en el que demuestre que la información se encuentra en alguna o algunas de las hipótesis previstas en la Ley. </w:t>
      </w:r>
    </w:p>
    <w:p w14:paraId="63E8017E" w14:textId="77777777" w:rsidR="00A1678E" w:rsidRDefault="00A1678E">
      <w:pPr>
        <w:spacing w:line="360" w:lineRule="auto"/>
        <w:jc w:val="both"/>
      </w:pPr>
    </w:p>
    <w:p w14:paraId="568E34EF" w14:textId="77777777" w:rsidR="00A1678E" w:rsidRDefault="004E2D14">
      <w:pPr>
        <w:spacing w:line="360" w:lineRule="auto"/>
        <w:jc w:val="both"/>
      </w:pPr>
      <w:r>
        <w:rPr>
          <w:rFonts w:ascii="Palatino Linotype" w:eastAsia="Palatino Linotype" w:hAnsi="Palatino Linotype" w:cs="Palatino Linotype"/>
        </w:rPr>
        <w:t xml:space="preserve">En el caso particular si bien el SUJETO OBLIGADO, remitió el acuerdo de versión pública, también lo es que a consideración de este Organismo Garante, no encuentran en los supuestos señalados; es decir no es procedente clasificar como confidencial las cuentas bancarias del Ayuntamiento de Tlalmanalco y el nombre de proveedores de servicios al recibir recursos públicos por el pago del servicio que presta, por el artículo 143 de la ley de transparencia y acceso a la información pública del Estado de México Y Municipios; es decir, para este Instituto las cuentas bancarias del </w:t>
      </w:r>
      <w:r>
        <w:rPr>
          <w:rFonts w:ascii="Palatino Linotype" w:eastAsia="Palatino Linotype" w:hAnsi="Palatino Linotype" w:cs="Palatino Linotype"/>
          <w:b/>
        </w:rPr>
        <w:t>SUJETO OBLIGADO y nombre de proveedores</w:t>
      </w:r>
      <w:r>
        <w:rPr>
          <w:rFonts w:ascii="Palatino Linotype" w:eastAsia="Palatino Linotype" w:hAnsi="Palatino Linotype" w:cs="Palatino Linotype"/>
        </w:rPr>
        <w:t xml:space="preserve"> son consideradas como información pública ya que su difusión favorece la rendición de cuentas al transparentar la forma en que se administran los recursos públicos.</w:t>
      </w:r>
      <w:r>
        <w:t xml:space="preserve"> </w:t>
      </w:r>
    </w:p>
    <w:p w14:paraId="28919FD3" w14:textId="77777777" w:rsidR="00A1678E" w:rsidRDefault="00A1678E">
      <w:pPr>
        <w:spacing w:line="360" w:lineRule="auto"/>
        <w:jc w:val="both"/>
        <w:rPr>
          <w:rFonts w:ascii="Palatino Linotype" w:eastAsia="Palatino Linotype" w:hAnsi="Palatino Linotype" w:cs="Palatino Linotype"/>
        </w:rPr>
      </w:pPr>
    </w:p>
    <w:p w14:paraId="75AD23D0"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que se robustece con el criterio 11-17 del Instituto Nacional de Transparencia, Acceso a la Información y Protección de Datos Personales, donde establece que las cuentas bancarias como las claves interbancarias de los </w:t>
      </w:r>
      <w:r>
        <w:rPr>
          <w:rFonts w:ascii="Palatino Linotype" w:eastAsia="Palatino Linotype" w:hAnsi="Palatino Linotype" w:cs="Palatino Linotype"/>
          <w:b/>
        </w:rPr>
        <w:t>SUJETO OBLIGADOS</w:t>
      </w:r>
      <w:r>
        <w:rPr>
          <w:rFonts w:ascii="Palatino Linotype" w:eastAsia="Palatino Linotype" w:hAnsi="Palatino Linotype" w:cs="Palatino Linotype"/>
        </w:rPr>
        <w:t xml:space="preserve"> es </w:t>
      </w:r>
      <w:r>
        <w:rPr>
          <w:rFonts w:ascii="Palatino Linotype" w:eastAsia="Palatino Linotype" w:hAnsi="Palatino Linotype" w:cs="Palatino Linotype"/>
        </w:rPr>
        <w:lastRenderedPageBreak/>
        <w:t>información pública, por administrar recursos públicos; por ende se considera como información que no debe ser clasificada como confidencial por ser una obligación a transparentar la forma en que se gestionan los recursos públicos, criterio que se transcribe en seguida:</w:t>
      </w:r>
    </w:p>
    <w:p w14:paraId="0E43CB51" w14:textId="77777777" w:rsidR="00A1678E" w:rsidRDefault="00A1678E">
      <w:pPr>
        <w:spacing w:line="360" w:lineRule="auto"/>
        <w:jc w:val="both"/>
        <w:rPr>
          <w:rFonts w:ascii="Palatino Linotype" w:eastAsia="Palatino Linotype" w:hAnsi="Palatino Linotype" w:cs="Palatino Linotype"/>
        </w:rPr>
      </w:pPr>
    </w:p>
    <w:p w14:paraId="59DB9381" w14:textId="77777777" w:rsidR="00A1678E" w:rsidRDefault="004E2D1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57B694BA" w14:textId="77777777" w:rsidR="00A1678E" w:rsidRDefault="00A1678E">
      <w:pPr>
        <w:ind w:left="567" w:right="616"/>
        <w:jc w:val="both"/>
        <w:rPr>
          <w:rFonts w:ascii="Palatino Linotype" w:eastAsia="Palatino Linotype" w:hAnsi="Palatino Linotype" w:cs="Palatino Linotype"/>
          <w:i/>
          <w:sz w:val="22"/>
          <w:szCs w:val="22"/>
        </w:rPr>
      </w:pPr>
    </w:p>
    <w:p w14:paraId="12748DBF" w14:textId="77777777" w:rsidR="00A1678E" w:rsidRDefault="004E2D14">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0448/16. NOTIMEX, Agencia de Noticias del Estado Mexicano. 24 de agosto de 2016. Por unanimidad. Comisionado Ponente Joel Salas Suárez.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2787/16. Colegio de Postgraduados. 01 de noviembre de 2016. Por unanimidad. Comisionado Ponente Francisco Javier Acuña Llamas. </w:t>
      </w:r>
      <w:r>
        <w:rPr>
          <w:rFonts w:ascii="Symbol" w:eastAsia="Symbol" w:hAnsi="Symbol" w:cs="Symbol"/>
          <w:i/>
          <w:sz w:val="22"/>
          <w:szCs w:val="22"/>
        </w:rPr>
        <w:t>∙</w:t>
      </w:r>
      <w:r>
        <w:rPr>
          <w:rFonts w:ascii="Palatino Linotype" w:eastAsia="Palatino Linotype" w:hAnsi="Palatino Linotype" w:cs="Palatino Linotype"/>
          <w:i/>
          <w:sz w:val="22"/>
          <w:szCs w:val="22"/>
        </w:rPr>
        <w:t xml:space="preserve"> RRA 4756/16. Instituto Mexicano del Seguro Social. 08 de febrero de 2017. Por unanimidad. Comisionado Ponente Oscar Mauricio Guerra Ford. Criterio 11/17</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1C6E9AA0" w14:textId="77777777" w:rsidR="00A1678E" w:rsidRDefault="00A1678E">
      <w:pPr>
        <w:spacing w:line="360" w:lineRule="auto"/>
        <w:jc w:val="both"/>
        <w:rPr>
          <w:rFonts w:ascii="Palatino Linotype" w:eastAsia="Palatino Linotype" w:hAnsi="Palatino Linotype" w:cs="Palatino Linotype"/>
        </w:rPr>
      </w:pPr>
    </w:p>
    <w:p w14:paraId="5A2EB57B"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al estarse ejerciendo recursos públicos a través de la administración que haga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las cuentas bancarias a su nombre</w:t>
      </w:r>
      <w:r>
        <w:rPr>
          <w:rFonts w:ascii="Palatino Linotype" w:eastAsia="Palatino Linotype" w:hAnsi="Palatino Linotype" w:cs="Palatino Linotype"/>
          <w:b/>
        </w:rPr>
        <w:t xml:space="preserve">, </w:t>
      </w:r>
      <w:r>
        <w:rPr>
          <w:rFonts w:ascii="Palatino Linotype" w:eastAsia="Palatino Linotype" w:hAnsi="Palatino Linotype" w:cs="Palatino Linotype"/>
        </w:rPr>
        <w:t>se cae en la hipótesis establecida en el ordenamiento en cita, no existiendo causal de excepción para su confidencialidad, por lo que es dable ordenar la entrega de la información peticionada.</w:t>
      </w:r>
    </w:p>
    <w:p w14:paraId="4CF502DB" w14:textId="77777777" w:rsidR="00A1678E" w:rsidRDefault="00A1678E">
      <w:pPr>
        <w:spacing w:line="360" w:lineRule="auto"/>
        <w:jc w:val="both"/>
        <w:rPr>
          <w:rFonts w:ascii="Palatino Linotype" w:eastAsia="Palatino Linotype" w:hAnsi="Palatino Linotype" w:cs="Palatino Linotype"/>
        </w:rPr>
      </w:pPr>
    </w:p>
    <w:p w14:paraId="6E7B56DC"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lo procedente es ordenar el Estado de Situación Financiera, Anexo al Estado de Situación Financiera y Diario General de Pólizas del Sistema Municipal para el Desarrollo Integral de la Familia del Municipio de Tlalmanalco del mes de diciembre del año 2022, estos dos últimos </w:t>
      </w:r>
      <w:proofErr w:type="gramStart"/>
      <w:r>
        <w:rPr>
          <w:rFonts w:ascii="Palatino Linotype" w:eastAsia="Palatino Linotype" w:hAnsi="Palatino Linotype" w:cs="Palatino Linotype"/>
        </w:rPr>
        <w:t>remitidos  en</w:t>
      </w:r>
      <w:proofErr w:type="gramEnd"/>
      <w:r>
        <w:rPr>
          <w:rFonts w:ascii="Palatino Linotype" w:eastAsia="Palatino Linotype" w:hAnsi="Palatino Linotype" w:cs="Palatino Linotype"/>
        </w:rPr>
        <w:t xml:space="preserve"> informe justificado de manera íntegra y en versión pública de ser procedente el Estado de </w:t>
      </w:r>
      <w:r>
        <w:rPr>
          <w:rFonts w:ascii="Palatino Linotype" w:eastAsia="Palatino Linotype" w:hAnsi="Palatino Linotype" w:cs="Palatino Linotype"/>
        </w:rPr>
        <w:lastRenderedPageBreak/>
        <w:t xml:space="preserve">Situación Financiera, conforme a lo señalado por el considerando quinto del presente fallo. </w:t>
      </w:r>
    </w:p>
    <w:p w14:paraId="0CC024D2" w14:textId="77777777" w:rsidR="00A1678E" w:rsidRDefault="00A1678E">
      <w:pPr>
        <w:spacing w:line="360" w:lineRule="auto"/>
        <w:jc w:val="both"/>
        <w:rPr>
          <w:rFonts w:ascii="Palatino Linotype" w:eastAsia="Palatino Linotype" w:hAnsi="Palatino Linotype" w:cs="Palatino Linotype"/>
        </w:rPr>
      </w:pPr>
    </w:p>
    <w:p w14:paraId="4251392C"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14:paraId="410B1F42" w14:textId="77777777" w:rsidR="00A1678E" w:rsidRDefault="00A1678E">
      <w:pPr>
        <w:spacing w:line="360" w:lineRule="auto"/>
        <w:jc w:val="both"/>
        <w:rPr>
          <w:rFonts w:ascii="Palatino Linotype" w:eastAsia="Palatino Linotype" w:hAnsi="Palatino Linotype" w:cs="Palatino Linotype"/>
        </w:rPr>
      </w:pPr>
    </w:p>
    <w:p w14:paraId="62BAEB62" w14:textId="77777777" w:rsidR="00A1678E" w:rsidRDefault="004E2D14">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7E50896" w14:textId="77777777" w:rsidR="00A1678E" w:rsidRDefault="004E2D14">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14:paraId="6887313D"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2578EDB1"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2B4374CC"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5E47340"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826407B" w14:textId="77777777" w:rsidR="00A1678E" w:rsidRDefault="00A1678E">
      <w:pPr>
        <w:ind w:left="993" w:right="1041"/>
        <w:jc w:val="both"/>
        <w:rPr>
          <w:rFonts w:ascii="Palatino Linotype" w:eastAsia="Palatino Linotype" w:hAnsi="Palatino Linotype" w:cs="Palatino Linotype"/>
          <w:i/>
          <w:sz w:val="22"/>
          <w:szCs w:val="22"/>
        </w:rPr>
      </w:pPr>
    </w:p>
    <w:p w14:paraId="2E848D8B"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E36E5B0" w14:textId="77777777" w:rsidR="00A1678E" w:rsidRDefault="00A1678E">
      <w:pPr>
        <w:ind w:left="993" w:right="1041"/>
        <w:jc w:val="both"/>
        <w:rPr>
          <w:rFonts w:ascii="Palatino Linotype" w:eastAsia="Palatino Linotype" w:hAnsi="Palatino Linotype" w:cs="Palatino Linotype"/>
          <w:i/>
          <w:sz w:val="22"/>
          <w:szCs w:val="22"/>
        </w:rPr>
      </w:pPr>
    </w:p>
    <w:p w14:paraId="0B1662C3" w14:textId="77777777" w:rsidR="00A1678E" w:rsidRDefault="004E2D14">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4D793CD" w14:textId="77777777" w:rsidR="00A1678E" w:rsidRDefault="00A1678E">
      <w:pPr>
        <w:ind w:left="993" w:right="1041"/>
        <w:jc w:val="both"/>
        <w:rPr>
          <w:rFonts w:ascii="Palatino Linotype" w:eastAsia="Palatino Linotype" w:hAnsi="Palatino Linotype" w:cs="Palatino Linotype"/>
          <w:b/>
          <w:i/>
          <w:sz w:val="22"/>
          <w:szCs w:val="22"/>
        </w:rPr>
      </w:pPr>
    </w:p>
    <w:p w14:paraId="0D4E0BD3"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62843F2"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1C3476C"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B97D007" w14:textId="77777777" w:rsidR="00A1678E" w:rsidRDefault="004E2D14">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A14758F" w14:textId="77777777" w:rsidR="00A1678E" w:rsidRDefault="00A1678E">
      <w:pPr>
        <w:ind w:left="993" w:right="1041"/>
        <w:jc w:val="both"/>
        <w:rPr>
          <w:rFonts w:ascii="Palatino Linotype" w:eastAsia="Palatino Linotype" w:hAnsi="Palatino Linotype" w:cs="Palatino Linotype"/>
          <w:i/>
          <w:sz w:val="22"/>
          <w:szCs w:val="22"/>
        </w:rPr>
      </w:pPr>
    </w:p>
    <w:p w14:paraId="1DEEC0B3" w14:textId="77777777" w:rsidR="00A1678E" w:rsidRDefault="004E2D1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deberá proceder a testar los datos personales que se </w:t>
      </w:r>
      <w:r>
        <w:rPr>
          <w:rFonts w:ascii="Palatino Linotype" w:eastAsia="Palatino Linotype" w:hAnsi="Palatino Linotype" w:cs="Palatino Linotype"/>
        </w:rPr>
        <w:lastRenderedPageBreak/>
        <w:t xml:space="preserve">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B634D05" w14:textId="77777777" w:rsidR="00A1678E" w:rsidRDefault="00A1678E">
      <w:pPr>
        <w:spacing w:line="360" w:lineRule="auto"/>
        <w:ind w:right="51"/>
        <w:jc w:val="both"/>
        <w:rPr>
          <w:rFonts w:ascii="Palatino Linotype" w:eastAsia="Palatino Linotype" w:hAnsi="Palatino Linotype" w:cs="Palatino Linotype"/>
        </w:rPr>
      </w:pPr>
    </w:p>
    <w:p w14:paraId="5B8EA948" w14:textId="77777777" w:rsidR="00A1678E" w:rsidRDefault="004E2D14">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B0121BA"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14:paraId="457785A2"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54E6003"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compartido por el Instituto </w:t>
      </w:r>
      <w:r>
        <w:rPr>
          <w:rFonts w:ascii="Palatino Linotype" w:eastAsia="Palatino Linotype" w:hAnsi="Palatino Linotype" w:cs="Palatino Linotype"/>
          <w:highlight w:val="white"/>
        </w:rPr>
        <w:t xml:space="preserve">Nacional de Transparencia, Acceso a la Información y Protección de Datos Personales, INAI, a través del Criterio 19/17, </w:t>
      </w:r>
      <w:r>
        <w:rPr>
          <w:rFonts w:ascii="Palatino Linotype" w:eastAsia="Palatino Linotype" w:hAnsi="Palatino Linotype" w:cs="Palatino Linotype"/>
        </w:rPr>
        <w:t>el cual es del tenor literal siguiente:</w:t>
      </w:r>
    </w:p>
    <w:p w14:paraId="7AC6037E" w14:textId="77777777" w:rsidR="00A1678E" w:rsidRDefault="004E2D14">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“Registro Federal de Contribuyentes (RFC) de personas físicas</w:t>
      </w:r>
      <w:r>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1980DFA7" w14:textId="77777777" w:rsidR="00A1678E" w:rsidRDefault="00A1678E">
      <w:pPr>
        <w:spacing w:line="360" w:lineRule="auto"/>
        <w:ind w:right="50"/>
        <w:jc w:val="both"/>
        <w:rPr>
          <w:rFonts w:ascii="Palatino Linotype" w:eastAsia="Palatino Linotype" w:hAnsi="Palatino Linotype" w:cs="Palatino Linotype"/>
        </w:rPr>
      </w:pPr>
    </w:p>
    <w:p w14:paraId="0010CC49" w14:textId="77777777" w:rsidR="00A1678E" w:rsidRDefault="004E2D14">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 sin embargo, para el caso específico de proveedores, la información debe ser pública, pues permite garantizar el cumplimiento de obligaciones fiscales de la persona que recibió recursos públicos, por tanto dicho dato no puede ser clasificado, pues su publicidad abona a la transparencia y a la rendición de cuentas. Por lo que el RFC de los proveedores de algún servicio o producto, deberá ser público ya que no actualiza el supuesto jurídico 143 fracción I de la Ley de Transparencia y Acceso a la Información Pública del Estado de México y Municipios, ya sean personas físicas o jurídico colectivas.</w:t>
      </w:r>
    </w:p>
    <w:p w14:paraId="1F79ABFE" w14:textId="77777777" w:rsidR="00A1678E" w:rsidRDefault="00A1678E">
      <w:pPr>
        <w:spacing w:line="360" w:lineRule="auto"/>
        <w:ind w:right="50"/>
        <w:jc w:val="both"/>
        <w:rPr>
          <w:rFonts w:ascii="Palatino Linotype" w:eastAsia="Palatino Linotype" w:hAnsi="Palatino Linotype" w:cs="Palatino Linotype"/>
        </w:rPr>
      </w:pPr>
    </w:p>
    <w:p w14:paraId="19C7EDD8"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cuanto al número de cuenta bancaria y clave interbancaria, de proveedores o personas físicas, es información considera como confidencial ya que es información que atañe a su patrimonio, lo que se sustenta con el criterio número 10/17 emitido por el Instituto Nacional de Transparencia, que señala:</w:t>
      </w:r>
    </w:p>
    <w:p w14:paraId="25FC2BEC" w14:textId="77777777" w:rsidR="00A1678E" w:rsidRDefault="00A1678E">
      <w:pPr>
        <w:spacing w:line="360" w:lineRule="auto"/>
        <w:jc w:val="both"/>
        <w:rPr>
          <w:rFonts w:ascii="Palatino Linotype" w:eastAsia="Palatino Linotype" w:hAnsi="Palatino Linotype" w:cs="Palatino Linotype"/>
          <w:color w:val="FF0000"/>
        </w:rPr>
      </w:pPr>
    </w:p>
    <w:p w14:paraId="562DB5E7" w14:textId="77777777" w:rsidR="00A1678E" w:rsidRDefault="004E2D14">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“Cuentas bancarias y/o CLABE interbancaria de personas físicas y morales privadas. </w:t>
      </w:r>
    </w:p>
    <w:p w14:paraId="32A84F76" w14:textId="77777777" w:rsidR="00A1678E" w:rsidRDefault="004E2D14">
      <w:pPr>
        <w:shd w:val="clear" w:color="auto" w:fill="FFFFFF"/>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Resoluciones: </w:t>
      </w:r>
    </w:p>
    <w:p w14:paraId="7DFD34F6" w14:textId="77777777" w:rsidR="00A1678E" w:rsidRDefault="004E2D14">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1276/16 Grupo Aeroportuario de la Ciudad de México. S.A. de C.V. 01 de noviembre de 2016. Por unanimidad. Comisionada Ponente Areli Cano Guadiana. </w:t>
      </w:r>
    </w:p>
    <w:p w14:paraId="75E5AC10" w14:textId="77777777" w:rsidR="00A1678E" w:rsidRDefault="004E2D14">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3527/16 Servicio de Administración Tributaria. 07 de diciembre de 2016. Por unanimidad. Comisionada Ponente Ximena Puente de la Mora. </w:t>
      </w:r>
    </w:p>
    <w:p w14:paraId="0706D4D5" w14:textId="77777777" w:rsidR="00A1678E" w:rsidRDefault="004E2D14">
      <w:pPr>
        <w:shd w:val="clear" w:color="auto" w:fill="FFFFFF"/>
        <w:ind w:left="851" w:right="851"/>
        <w:jc w:val="both"/>
        <w:rPr>
          <w:rFonts w:ascii="Palatino Linotype" w:eastAsia="Palatino Linotype" w:hAnsi="Palatino Linotype" w:cs="Palatino Linotype"/>
          <w:i/>
          <w:sz w:val="22"/>
          <w:szCs w:val="22"/>
        </w:rPr>
      </w:pPr>
      <w:r>
        <w:rPr>
          <w:rFonts w:ascii="Symbol" w:eastAsia="Symbol" w:hAnsi="Symbol" w:cs="Symbol"/>
          <w:i/>
          <w:sz w:val="22"/>
          <w:szCs w:val="22"/>
        </w:rPr>
        <w:t>∙</w:t>
      </w:r>
      <w:r>
        <w:rPr>
          <w:rFonts w:ascii="Palatino Linotype" w:eastAsia="Palatino Linotype" w:hAnsi="Palatino Linotype" w:cs="Palatino Linotype"/>
          <w:i/>
          <w:sz w:val="22"/>
          <w:szCs w:val="22"/>
        </w:rPr>
        <w:t xml:space="preserve"> RRA 4404/16 Partido del Trabajo. 01 de febrero de 2017. Por unanimidad. Comisionado Ponente Francisco Acuña Llamas.” (Sic)</w:t>
      </w:r>
    </w:p>
    <w:p w14:paraId="2C1F9BF6" w14:textId="77777777" w:rsidR="00A1678E" w:rsidRDefault="00A1678E">
      <w:pPr>
        <w:spacing w:line="360" w:lineRule="auto"/>
        <w:ind w:right="50"/>
        <w:jc w:val="both"/>
        <w:rPr>
          <w:rFonts w:ascii="Palatino Linotype" w:eastAsia="Palatino Linotype" w:hAnsi="Palatino Linotype" w:cs="Palatino Linotype"/>
        </w:rPr>
      </w:pPr>
    </w:p>
    <w:p w14:paraId="53AF0921" w14:textId="77777777" w:rsidR="00A1678E" w:rsidRDefault="004E2D14">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7CFE0BE1" w14:textId="77777777" w:rsidR="00A1678E" w:rsidRDefault="00A1678E">
      <w:pPr>
        <w:spacing w:line="360" w:lineRule="auto"/>
        <w:ind w:right="51"/>
        <w:jc w:val="both"/>
        <w:rPr>
          <w:rFonts w:ascii="Palatino Linotype" w:eastAsia="Palatino Linotype" w:hAnsi="Palatino Linotype" w:cs="Palatino Linotype"/>
        </w:rPr>
      </w:pPr>
    </w:p>
    <w:p w14:paraId="391AAF39"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4FC0FA8B"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3958825C"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138DD16D"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42A7F972"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411962C1" w14:textId="77777777" w:rsidR="00A1678E" w:rsidRDefault="004E2D1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05EE65E0" w14:textId="77777777" w:rsidR="00A1678E" w:rsidRDefault="00A1678E">
      <w:pPr>
        <w:ind w:left="992" w:right="1043"/>
        <w:jc w:val="both"/>
        <w:rPr>
          <w:rFonts w:ascii="Palatino Linotype" w:eastAsia="Palatino Linotype" w:hAnsi="Palatino Linotype" w:cs="Palatino Linotype"/>
          <w:i/>
          <w:sz w:val="22"/>
          <w:szCs w:val="22"/>
        </w:rPr>
      </w:pPr>
    </w:p>
    <w:p w14:paraId="25C6FB19"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D9BB4D0" w14:textId="77777777" w:rsidR="00A1678E" w:rsidRDefault="00A1678E">
      <w:pPr>
        <w:spacing w:line="360" w:lineRule="auto"/>
        <w:jc w:val="both"/>
        <w:rPr>
          <w:rFonts w:ascii="Palatino Linotype" w:eastAsia="Palatino Linotype" w:hAnsi="Palatino Linotype" w:cs="Palatino Linotype"/>
        </w:rPr>
      </w:pPr>
    </w:p>
    <w:p w14:paraId="39747B63"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4AE470D" w14:textId="77777777" w:rsidR="00A1678E" w:rsidRDefault="00A1678E">
      <w:pPr>
        <w:spacing w:line="360" w:lineRule="auto"/>
        <w:jc w:val="both"/>
        <w:rPr>
          <w:rFonts w:ascii="Palatino Linotype" w:eastAsia="Palatino Linotype" w:hAnsi="Palatino Linotype" w:cs="Palatino Linotype"/>
        </w:rPr>
      </w:pPr>
    </w:p>
    <w:p w14:paraId="6CE89F80" w14:textId="77777777" w:rsidR="00A1678E" w:rsidRDefault="004E2D14">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Pr>
          <w:rFonts w:ascii="Palatino Linotype" w:eastAsia="Palatino Linotype" w:hAnsi="Palatino Linotype" w:cs="Palatino Linotype"/>
          <w:i/>
          <w:sz w:val="22"/>
          <w:szCs w:val="22"/>
        </w:rPr>
        <w:t>.”(</w:t>
      </w:r>
      <w:proofErr w:type="gramEnd"/>
      <w:r>
        <w:rPr>
          <w:rFonts w:ascii="Palatino Linotype" w:eastAsia="Palatino Linotype" w:hAnsi="Palatino Linotype" w:cs="Palatino Linotype"/>
          <w:i/>
          <w:sz w:val="22"/>
          <w:szCs w:val="22"/>
        </w:rPr>
        <w:t>Sic)</w:t>
      </w:r>
    </w:p>
    <w:p w14:paraId="333BF347" w14:textId="77777777" w:rsidR="00A1678E" w:rsidRDefault="004E2D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1DF0B559"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669E6E8" w14:textId="77777777" w:rsidR="00A1678E" w:rsidRDefault="00A1678E">
      <w:pPr>
        <w:ind w:left="709" w:right="709"/>
        <w:jc w:val="both"/>
        <w:rPr>
          <w:rFonts w:ascii="Palatino Linotype" w:eastAsia="Palatino Linotype" w:hAnsi="Palatino Linotype" w:cs="Palatino Linotype"/>
          <w:b/>
          <w:i/>
          <w:sz w:val="22"/>
          <w:szCs w:val="22"/>
        </w:rPr>
      </w:pPr>
    </w:p>
    <w:p w14:paraId="17CC2860"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lastRenderedPageBreak/>
        <w:t>“Lineamientos Generales en materia de Clasificación y Desclasificación de la Información, así como para la elaboración de Versiones Públicas</w:t>
      </w:r>
    </w:p>
    <w:p w14:paraId="0E35B967"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w:t>
      </w:r>
      <w:proofErr w:type="gramStart"/>
      <w:r>
        <w:rPr>
          <w:rFonts w:ascii="Palatino Linotype" w:eastAsia="Palatino Linotype" w:hAnsi="Palatino Linotype" w:cs="Palatino Linotype"/>
          <w:b/>
          <w:i/>
          <w:color w:val="000000"/>
          <w:sz w:val="22"/>
          <w:szCs w:val="22"/>
        </w:rPr>
        <w:t>Segundo.-</w:t>
      </w:r>
      <w:proofErr w:type="gramEnd"/>
      <w:r>
        <w:rPr>
          <w:rFonts w:ascii="Palatino Linotype" w:eastAsia="Palatino Linotype" w:hAnsi="Palatino Linotype" w:cs="Palatino Linotype"/>
          <w:i/>
          <w:color w:val="000000"/>
          <w:sz w:val="22"/>
          <w:szCs w:val="22"/>
        </w:rPr>
        <w:t xml:space="preserve"> Para efectos de los presentes Lineamientos Generales, se entenderá por:</w:t>
      </w:r>
    </w:p>
    <w:p w14:paraId="3E1665AE"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XVIII.</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Versión pública:</w:t>
      </w:r>
      <w:r>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color w:val="000000"/>
          <w:sz w:val="22"/>
          <w:szCs w:val="22"/>
          <w:u w:val="single"/>
        </w:rPr>
        <w:t>fundando y motivando la</w:t>
      </w:r>
      <w:r>
        <w:rPr>
          <w:rFonts w:ascii="Palatino Linotype" w:eastAsia="Palatino Linotype" w:hAnsi="Palatino Linotype" w:cs="Palatino Linotype"/>
          <w:i/>
          <w:color w:val="000000"/>
          <w:sz w:val="22"/>
          <w:szCs w:val="22"/>
        </w:rPr>
        <w:t xml:space="preserve"> reserva o </w:t>
      </w:r>
      <w:r>
        <w:rPr>
          <w:rFonts w:ascii="Palatino Linotype" w:eastAsia="Palatino Linotype" w:hAnsi="Palatino Linotype" w:cs="Palatino Linotype"/>
          <w:b/>
          <w:i/>
          <w:color w:val="000000"/>
          <w:sz w:val="22"/>
          <w:szCs w:val="22"/>
          <w:u w:val="single"/>
        </w:rPr>
        <w:t>confidencialidad</w:t>
      </w:r>
      <w:r>
        <w:rPr>
          <w:rFonts w:ascii="Palatino Linotype" w:eastAsia="Palatino Linotype" w:hAnsi="Palatino Linotype" w:cs="Palatino Linotype"/>
          <w:i/>
          <w:color w:val="000000"/>
          <w:sz w:val="22"/>
          <w:szCs w:val="22"/>
        </w:rPr>
        <w:t>, a través de la resolución que para tal efecto emita el Comité de Transparencia.</w:t>
      </w:r>
    </w:p>
    <w:p w14:paraId="7C47A610"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Cuarto.</w:t>
      </w:r>
      <w:r>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BABC8E"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0DE08076"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Quinto.</w:t>
      </w:r>
      <w:r>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ACDF6B"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w:t>
      </w:r>
    </w:p>
    <w:p w14:paraId="1B0400B0"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Séptimo.</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039B1A50"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reciba una solicitud de acceso a la información;</w:t>
      </w:r>
    </w:p>
    <w:p w14:paraId="704D0F47" w14:textId="77777777" w:rsidR="00A1678E" w:rsidRDefault="004E2D14">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w:t>
      </w:r>
      <w:proofErr w:type="gramStart"/>
      <w:r>
        <w:rPr>
          <w:rFonts w:ascii="Palatino Linotype" w:eastAsia="Palatino Linotype" w:hAnsi="Palatino Linotype" w:cs="Palatino Linotype"/>
          <w:i/>
          <w:color w:val="000000"/>
          <w:sz w:val="22"/>
          <w:szCs w:val="22"/>
        </w:rPr>
        <w:t>Se  determine</w:t>
      </w:r>
      <w:proofErr w:type="gramEnd"/>
      <w:r>
        <w:rPr>
          <w:rFonts w:ascii="Palatino Linotype" w:eastAsia="Palatino Linotype" w:hAnsi="Palatino Linotype" w:cs="Palatino Linotype"/>
          <w:i/>
          <w:color w:val="000000"/>
          <w:sz w:val="22"/>
          <w:szCs w:val="22"/>
        </w:rPr>
        <w:t xml:space="preserve"> mediante resolución del Comité de Transparencia, el órgano garante </w:t>
      </w:r>
    </w:p>
    <w:p w14:paraId="57501B0A"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competente, o en cumplimiento a una sentencia del Poder Judicial; o</w:t>
      </w:r>
    </w:p>
    <w:p w14:paraId="372A3F67"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6ACF140E"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25413B6C"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Octavo.</w:t>
      </w:r>
      <w:r>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916C16"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2FEC5745" w14:textId="77777777" w:rsidR="00A1678E" w:rsidRDefault="004E2D14">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18DCAC4A"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Noveno.</w:t>
      </w:r>
      <w:r>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CA4B87" w14:textId="77777777" w:rsidR="00A1678E" w:rsidRDefault="004E2D14">
      <w:pPr>
        <w:ind w:left="709" w:right="709"/>
        <w:jc w:val="both"/>
        <w:rPr>
          <w:color w:val="000000"/>
        </w:rPr>
      </w:pPr>
      <w:r>
        <w:rPr>
          <w:rFonts w:ascii="Palatino Linotype" w:eastAsia="Palatino Linotype" w:hAnsi="Palatino Linotype" w:cs="Palatino Linotype"/>
          <w:b/>
          <w:i/>
          <w:color w:val="000000"/>
          <w:sz w:val="22"/>
          <w:szCs w:val="22"/>
        </w:rPr>
        <w:t>Décimo.</w:t>
      </w:r>
      <w:r>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FC0602C"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52364190" w14:textId="77777777" w:rsidR="00A1678E" w:rsidRDefault="004E2D14">
      <w:pPr>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Décimo primero.</w:t>
      </w:r>
      <w:r>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67E1964" w14:textId="77777777" w:rsidR="00A1678E" w:rsidRDefault="00A1678E">
      <w:pPr>
        <w:ind w:right="709"/>
        <w:jc w:val="both"/>
        <w:rPr>
          <w:color w:val="000000"/>
        </w:rPr>
      </w:pPr>
    </w:p>
    <w:p w14:paraId="2EA0D045" w14:textId="77777777" w:rsidR="00A1678E" w:rsidRDefault="004E2D14">
      <w:pPr>
        <w:ind w:left="709" w:right="709"/>
        <w:jc w:val="both"/>
        <w:rPr>
          <w:color w:val="000000"/>
        </w:rPr>
      </w:pPr>
      <w:r>
        <w:rPr>
          <w:rFonts w:ascii="Palatino Linotype" w:eastAsia="Palatino Linotype" w:hAnsi="Palatino Linotype" w:cs="Palatino Linotype"/>
          <w:i/>
          <w:color w:val="000000"/>
          <w:sz w:val="22"/>
          <w:szCs w:val="22"/>
        </w:rPr>
        <w:t>[…]</w:t>
      </w:r>
    </w:p>
    <w:p w14:paraId="6A62B0B8" w14:textId="77777777" w:rsidR="00A1678E" w:rsidRDefault="004E2D14">
      <w:pPr>
        <w:ind w:left="709" w:right="709"/>
        <w:jc w:val="center"/>
        <w:rPr>
          <w:color w:val="000000"/>
        </w:rPr>
      </w:pPr>
      <w:r>
        <w:rPr>
          <w:rFonts w:ascii="Palatino Linotype" w:eastAsia="Palatino Linotype" w:hAnsi="Palatino Linotype" w:cs="Palatino Linotype"/>
          <w:b/>
          <w:i/>
          <w:color w:val="000000"/>
          <w:sz w:val="22"/>
          <w:szCs w:val="22"/>
        </w:rPr>
        <w:t>CAPÍTULO VIII</w:t>
      </w:r>
    </w:p>
    <w:p w14:paraId="672271E3" w14:textId="77777777" w:rsidR="00A1678E" w:rsidRDefault="004E2D14">
      <w:pPr>
        <w:spacing w:after="160"/>
        <w:ind w:left="709" w:right="709"/>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DE LOS ELEMENTOS PARA LA CLASIFICACIÓN</w:t>
      </w:r>
    </w:p>
    <w:p w14:paraId="2F77F2A6"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w:t>
      </w:r>
      <w:r>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7A49456"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primero</w:t>
      </w:r>
      <w:r>
        <w:rPr>
          <w:rFonts w:ascii="Palatino Linotype" w:eastAsia="Palatino Linotype" w:hAnsi="Palatino Linotype" w:cs="Palatino Linotype"/>
          <w:i/>
          <w:color w:val="000000"/>
          <w:sz w:val="22"/>
          <w:szCs w:val="22"/>
        </w:rPr>
        <w:t>. Toda acta del Comité de Transparencia deberá contener:</w:t>
      </w:r>
    </w:p>
    <w:p w14:paraId="6FDB6C66"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 El número de sesión y fecha; </w:t>
      </w:r>
    </w:p>
    <w:p w14:paraId="4FDA77FE"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El nombre del área que solicitó la clasificación de información;</w:t>
      </w:r>
    </w:p>
    <w:p w14:paraId="0B3A3DB1"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III. La fundamentación legal y motivación correspondiente;</w:t>
      </w:r>
    </w:p>
    <w:p w14:paraId="545D70CA"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La resolución o resoluciones aprobadas; y</w:t>
      </w:r>
    </w:p>
    <w:p w14:paraId="1FBCC5C8"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 La rúbrica o firma digital de cada integrante del Comité de Transparencia. </w:t>
      </w:r>
    </w:p>
    <w:p w14:paraId="27FC5FAD"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17EF3768"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F2D562A"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Descripción de las partes o secciones reservadas, en caso de clasificación parcial;</w:t>
      </w:r>
    </w:p>
    <w:p w14:paraId="194F6ABE"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El periodo por el que mantendrá su clasificación y fecha de expiración; y</w:t>
      </w:r>
    </w:p>
    <w:p w14:paraId="16BEBA91"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2E08015A"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0428A7C6"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6B914BF"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Quincuagésimo segundo</w:t>
      </w:r>
      <w:r>
        <w:rPr>
          <w:rFonts w:ascii="Palatino Linotype" w:eastAsia="Palatino Linotype" w:hAnsi="Palatino Linotype" w:cs="Palatino Linotype"/>
          <w:i/>
          <w:color w:val="000000"/>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55DB79C"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17599572"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62C6EB9D"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449BE88"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III. Señalar las personas o instancias autorizadas a acceder a la información clasificada.</w:t>
      </w:r>
    </w:p>
    <w:p w14:paraId="1C1F0861"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los documentos de difusión electrónica, señalar en la primera hoja y en el nombre del archivo, que la versión pública corresponde a un documento que contiene información confidencial.</w:t>
      </w:r>
    </w:p>
    <w:p w14:paraId="6D9121B7" w14:textId="77777777" w:rsidR="00A1678E" w:rsidRDefault="004E2D14">
      <w:pPr>
        <w:spacing w:after="160"/>
        <w:ind w:left="709" w:right="709"/>
        <w:jc w:val="both"/>
        <w:rPr>
          <w:color w:val="000000"/>
        </w:rPr>
      </w:pPr>
      <w:r>
        <w:rPr>
          <w:rFonts w:ascii="Palatino Linotype" w:eastAsia="Palatino Linotype" w:hAnsi="Palatino Linotype" w:cs="Palatino Linotype"/>
          <w:b/>
          <w:i/>
          <w:color w:val="000000"/>
          <w:sz w:val="22"/>
          <w:szCs w:val="22"/>
        </w:rPr>
        <w:t xml:space="preserve">Quincuagésimo tercero. </w:t>
      </w:r>
      <w:r>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Pr>
          <w:rFonts w:ascii="Palatino Linotype" w:eastAsia="Palatino Linotype" w:hAnsi="Palatino Linotype" w:cs="Palatino Linotype"/>
          <w:b/>
          <w:i/>
          <w:color w:val="000000"/>
          <w:sz w:val="22"/>
          <w:szCs w:val="22"/>
          <w:u w:val="single"/>
        </w:rPr>
        <w:t>siguiente:</w:t>
      </w:r>
      <w:r>
        <w:rPr>
          <w:rFonts w:ascii="Palatino Linotype" w:eastAsia="Palatino Linotype" w:hAnsi="Palatino Linotype" w:cs="Palatino Linotype"/>
          <w:i/>
          <w:color w:val="000000"/>
          <w:sz w:val="22"/>
          <w:szCs w:val="22"/>
        </w:rPr>
        <w:t>:</w:t>
      </w:r>
      <w:proofErr w:type="gramEnd"/>
    </w:p>
    <w:tbl>
      <w:tblPr>
        <w:tblStyle w:val="a6"/>
        <w:tblW w:w="8833" w:type="dxa"/>
        <w:jc w:val="center"/>
        <w:tblInd w:w="0" w:type="dxa"/>
        <w:tblLayout w:type="fixed"/>
        <w:tblLook w:val="0400" w:firstRow="0" w:lastRow="0" w:firstColumn="0" w:lastColumn="0" w:noHBand="0" w:noVBand="1"/>
      </w:tblPr>
      <w:tblGrid>
        <w:gridCol w:w="1660"/>
        <w:gridCol w:w="1980"/>
        <w:gridCol w:w="5193"/>
      </w:tblGrid>
      <w:tr w:rsidR="00A1678E" w14:paraId="6766F5FE" w14:textId="77777777">
        <w:trPr>
          <w:jc w:val="center"/>
        </w:trPr>
        <w:tc>
          <w:tcPr>
            <w:tcW w:w="1660" w:type="dxa"/>
            <w:tcBorders>
              <w:top w:val="nil"/>
              <w:left w:val="nil"/>
              <w:bottom w:val="single" w:sz="4" w:space="0" w:color="000000"/>
              <w:right w:val="single" w:sz="4" w:space="0" w:color="000000"/>
            </w:tcBorders>
            <w:tcMar>
              <w:top w:w="0" w:type="dxa"/>
              <w:left w:w="115" w:type="dxa"/>
              <w:bottom w:w="0" w:type="dxa"/>
              <w:right w:w="115" w:type="dxa"/>
            </w:tcMar>
          </w:tcPr>
          <w:p w14:paraId="73C75753" w14:textId="77777777" w:rsidR="00A1678E" w:rsidRDefault="00A1678E">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DF015" w14:textId="77777777" w:rsidR="00A1678E" w:rsidRDefault="004E2D14">
            <w:pPr>
              <w:jc w:val="center"/>
              <w:rPr>
                <w:color w:val="000000"/>
              </w:rPr>
            </w:pPr>
            <w:r>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022E2" w14:textId="77777777" w:rsidR="00A1678E" w:rsidRDefault="004E2D14">
            <w:pPr>
              <w:jc w:val="center"/>
              <w:rPr>
                <w:color w:val="000000"/>
              </w:rPr>
            </w:pPr>
            <w:r>
              <w:rPr>
                <w:rFonts w:ascii="Palatino Linotype" w:eastAsia="Palatino Linotype" w:hAnsi="Palatino Linotype" w:cs="Palatino Linotype"/>
                <w:b/>
                <w:i/>
                <w:color w:val="000000"/>
              </w:rPr>
              <w:t>Dónde:</w:t>
            </w:r>
          </w:p>
        </w:tc>
      </w:tr>
      <w:tr w:rsidR="00A1678E" w14:paraId="29F81ED1"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7EC75" w14:textId="77777777" w:rsidR="00A1678E" w:rsidRDefault="004E2D14">
            <w:pPr>
              <w:jc w:val="center"/>
              <w:rPr>
                <w:color w:val="000000"/>
              </w:rPr>
            </w:pPr>
            <w:r>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746E2" w14:textId="77777777" w:rsidR="00A1678E" w:rsidRDefault="004E2D14">
            <w:pPr>
              <w:jc w:val="center"/>
              <w:rPr>
                <w:color w:val="000000"/>
              </w:rPr>
            </w:pPr>
            <w:r>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A701AD" w14:textId="77777777" w:rsidR="00A1678E" w:rsidRDefault="004E2D14">
            <w:pPr>
              <w:jc w:val="both"/>
              <w:rPr>
                <w:color w:val="000000"/>
              </w:rPr>
            </w:pPr>
            <w:r>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A1678E" w14:paraId="596E926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31104"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09F2C" w14:textId="77777777" w:rsidR="00A1678E" w:rsidRDefault="004E2D14">
            <w:pPr>
              <w:jc w:val="center"/>
              <w:rPr>
                <w:color w:val="000000"/>
              </w:rPr>
            </w:pPr>
            <w:r>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710DB" w14:textId="77777777" w:rsidR="00A1678E" w:rsidRDefault="004E2D14">
            <w:pPr>
              <w:jc w:val="both"/>
              <w:rPr>
                <w:color w:val="000000"/>
              </w:rPr>
            </w:pPr>
            <w:r>
              <w:rPr>
                <w:rFonts w:ascii="Palatino Linotype" w:eastAsia="Palatino Linotype" w:hAnsi="Palatino Linotype" w:cs="Palatino Linotype"/>
                <w:i/>
                <w:color w:val="000000"/>
              </w:rPr>
              <w:t>Se señalará el nombre del área del cual es titular quien clasifica.</w:t>
            </w:r>
          </w:p>
        </w:tc>
      </w:tr>
      <w:tr w:rsidR="00A1678E" w14:paraId="39CF744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F34207"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38BA64" w14:textId="77777777" w:rsidR="00A1678E" w:rsidRDefault="004E2D14">
            <w:pPr>
              <w:jc w:val="center"/>
              <w:rPr>
                <w:color w:val="000000"/>
              </w:rPr>
            </w:pPr>
            <w:r>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5382D8" w14:textId="77777777" w:rsidR="00A1678E" w:rsidRDefault="004E2D14">
            <w:pPr>
              <w:jc w:val="both"/>
              <w:rPr>
                <w:color w:val="000000"/>
              </w:rPr>
            </w:pPr>
            <w:r>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A1678E" w14:paraId="4F6449C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BCF02"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31610E" w14:textId="77777777" w:rsidR="00A1678E" w:rsidRDefault="004E2D14">
            <w:pPr>
              <w:jc w:val="center"/>
              <w:rPr>
                <w:color w:val="000000"/>
              </w:rPr>
            </w:pPr>
            <w:r>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5546A" w14:textId="77777777" w:rsidR="00A1678E" w:rsidRDefault="004E2D14">
            <w:pPr>
              <w:jc w:val="both"/>
              <w:rPr>
                <w:color w:val="000000"/>
              </w:rPr>
            </w:pPr>
            <w:r>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A1678E" w14:paraId="19DAA6DB"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6F97B5"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1BE5FA" w14:textId="77777777" w:rsidR="00A1678E" w:rsidRDefault="004E2D14">
            <w:pPr>
              <w:jc w:val="center"/>
              <w:rPr>
                <w:color w:val="000000"/>
              </w:rPr>
            </w:pPr>
            <w:r>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527EE4" w14:textId="77777777" w:rsidR="00A1678E" w:rsidRDefault="004E2D14">
            <w:pPr>
              <w:jc w:val="both"/>
              <w:rPr>
                <w:color w:val="000000"/>
              </w:rPr>
            </w:pPr>
            <w:r>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A1678E" w14:paraId="160F4ECC"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3FD19C"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593466" w14:textId="77777777" w:rsidR="00A1678E" w:rsidRDefault="004E2D14">
            <w:pPr>
              <w:jc w:val="center"/>
              <w:rPr>
                <w:color w:val="000000"/>
              </w:rPr>
            </w:pPr>
            <w:r>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3C0818" w14:textId="77777777" w:rsidR="00A1678E" w:rsidRDefault="004E2D14">
            <w:pPr>
              <w:jc w:val="both"/>
              <w:rPr>
                <w:color w:val="000000"/>
              </w:rPr>
            </w:pPr>
            <w:r>
              <w:rPr>
                <w:rFonts w:ascii="Palatino Linotype" w:eastAsia="Palatino Linotype" w:hAnsi="Palatino Linotype" w:cs="Palatino Linotype"/>
                <w:i/>
                <w:color w:val="000000"/>
              </w:rPr>
              <w:t>En caso de haber solicitado la ampliación del periodo de reserva originalmente establecido, se deberá anotar el número de años o meses por los que se amplía la reserva.</w:t>
            </w:r>
          </w:p>
        </w:tc>
      </w:tr>
      <w:tr w:rsidR="00A1678E" w14:paraId="4108B18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4EA5EC"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404951" w14:textId="77777777" w:rsidR="00A1678E" w:rsidRDefault="004E2D14">
            <w:pPr>
              <w:jc w:val="center"/>
              <w:rPr>
                <w:color w:val="000000"/>
              </w:rPr>
            </w:pPr>
            <w:r>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498890" w14:textId="77777777" w:rsidR="00A1678E" w:rsidRDefault="004E2D14">
            <w:pPr>
              <w:jc w:val="both"/>
              <w:rPr>
                <w:color w:val="000000"/>
              </w:rPr>
            </w:pPr>
            <w:r>
              <w:rPr>
                <w:rFonts w:ascii="Palatino Linotype" w:eastAsia="Palatino Linotype" w:hAnsi="Palatino Linotype" w:cs="Palatino Linotype"/>
                <w:i/>
                <w:color w:val="000000"/>
              </w:rPr>
              <w:t>Rúbrica autógrafa o firma digital de quien clasifica.</w:t>
            </w:r>
          </w:p>
        </w:tc>
      </w:tr>
      <w:tr w:rsidR="00A1678E" w14:paraId="1DD9721A"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8EC716"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7837F6" w14:textId="77777777" w:rsidR="00A1678E" w:rsidRDefault="004E2D14">
            <w:pPr>
              <w:jc w:val="center"/>
              <w:rPr>
                <w:color w:val="000000"/>
              </w:rPr>
            </w:pPr>
            <w:r>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7AF36" w14:textId="77777777" w:rsidR="00A1678E" w:rsidRDefault="004E2D14">
            <w:pPr>
              <w:jc w:val="both"/>
              <w:rPr>
                <w:color w:val="000000"/>
              </w:rPr>
            </w:pPr>
            <w:r>
              <w:rPr>
                <w:rFonts w:ascii="Palatino Linotype" w:eastAsia="Palatino Linotype" w:hAnsi="Palatino Linotype" w:cs="Palatino Linotype"/>
                <w:i/>
                <w:color w:val="000000"/>
              </w:rPr>
              <w:t>Se anotará la fecha en que se desclasifica el documento.</w:t>
            </w:r>
          </w:p>
        </w:tc>
      </w:tr>
      <w:tr w:rsidR="00A1678E" w14:paraId="6C6667E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FB0DDC" w14:textId="77777777" w:rsidR="00A1678E" w:rsidRDefault="00A1678E">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4F9686" w14:textId="77777777" w:rsidR="00A1678E" w:rsidRDefault="004E2D14">
            <w:pPr>
              <w:jc w:val="center"/>
              <w:rPr>
                <w:color w:val="000000"/>
              </w:rPr>
            </w:pPr>
            <w:r>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4E7835" w14:textId="77777777" w:rsidR="00A1678E" w:rsidRDefault="004E2D14">
            <w:pPr>
              <w:jc w:val="both"/>
              <w:rPr>
                <w:color w:val="000000"/>
              </w:rPr>
            </w:pPr>
            <w:r>
              <w:rPr>
                <w:rFonts w:ascii="Palatino Linotype" w:eastAsia="Palatino Linotype" w:hAnsi="Palatino Linotype" w:cs="Palatino Linotype"/>
                <w:i/>
                <w:color w:val="000000"/>
              </w:rPr>
              <w:t>Rúbrica autógrafa o firma digital de quien desclasifica.</w:t>
            </w:r>
          </w:p>
        </w:tc>
      </w:tr>
      <w:tr w:rsidR="00A1678E" w14:paraId="01E38BE0"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AC591D" w14:textId="77777777" w:rsidR="00A1678E" w:rsidRDefault="00A1678E">
            <w:pPr>
              <w:widowControl w:val="0"/>
              <w:pBdr>
                <w:top w:val="nil"/>
                <w:left w:val="nil"/>
                <w:bottom w:val="nil"/>
                <w:right w:val="nil"/>
                <w:between w:val="nil"/>
              </w:pBdr>
              <w:spacing w:line="276" w:lineRule="auto"/>
              <w:rPr>
                <w:color w:val="000000"/>
              </w:rPr>
            </w:pPr>
          </w:p>
        </w:tc>
      </w:tr>
    </w:tbl>
    <w:p w14:paraId="1179B7CA" w14:textId="77777777" w:rsidR="00A1678E" w:rsidRDefault="004E2D14">
      <w:pPr>
        <w:spacing w:after="160"/>
        <w:ind w:left="709"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Quincuagésimo cuarto. Cuando el Comité de Transparencia confirme la clasificación de documentos reservados y/o confidenciales, sea total o parcialmente; se deberá </w:t>
      </w:r>
      <w:r>
        <w:rPr>
          <w:rFonts w:ascii="Palatino Linotype" w:eastAsia="Palatino Linotype" w:hAnsi="Palatino Linotype" w:cs="Palatino Linotype"/>
          <w:i/>
          <w:color w:val="000000"/>
          <w:sz w:val="22"/>
          <w:szCs w:val="22"/>
        </w:rPr>
        <w:lastRenderedPageBreak/>
        <w:t>anexar al expediente la resolución que determinó la clasificación o, en su defecto, identificar en la carátula del expediente del cual formen parte, la fecha y sesión del Comité de Transparencia en la que se confirmó dicha clasificación.</w:t>
      </w:r>
    </w:p>
    <w:p w14:paraId="058C88B2" w14:textId="77777777" w:rsidR="00A1678E" w:rsidRDefault="004E2D14">
      <w:pPr>
        <w:spacing w:after="160"/>
        <w:ind w:left="709" w:right="709"/>
        <w:jc w:val="both"/>
      </w:pPr>
      <w:r>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Pr>
          <w:rFonts w:ascii="Palatino Linotype" w:eastAsia="Palatino Linotype" w:hAnsi="Palatino Linotype" w:cs="Palatino Linotype"/>
          <w:i/>
          <w:color w:val="000000"/>
          <w:sz w:val="22"/>
          <w:szCs w:val="22"/>
        </w:rPr>
        <w:t>testado</w:t>
      </w:r>
      <w:proofErr w:type="spellEnd"/>
      <w:r>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t>.</w:t>
      </w:r>
    </w:p>
    <w:p w14:paraId="7B64C3A4" w14:textId="77777777" w:rsidR="00A1678E" w:rsidRDefault="00A1678E">
      <w:pPr>
        <w:jc w:val="both"/>
      </w:pPr>
    </w:p>
    <w:p w14:paraId="63B26682" w14:textId="77777777" w:rsidR="00A1678E" w:rsidRDefault="00A1678E">
      <w:pPr>
        <w:rPr>
          <w:color w:val="000000"/>
        </w:rPr>
      </w:pPr>
    </w:p>
    <w:p w14:paraId="4E1373D9"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5B5037E1" w14:textId="77777777" w:rsidR="00A1678E" w:rsidRDefault="00A1678E">
      <w:pPr>
        <w:spacing w:line="360" w:lineRule="auto"/>
        <w:jc w:val="both"/>
        <w:rPr>
          <w:rFonts w:ascii="Palatino Linotype" w:eastAsia="Palatino Linotype" w:hAnsi="Palatino Linotype" w:cs="Palatino Linotype"/>
        </w:rPr>
      </w:pPr>
    </w:p>
    <w:p w14:paraId="2F7C89BB" w14:textId="77777777" w:rsidR="00A1678E" w:rsidRDefault="004E2D14">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57BCA05A" w14:textId="77777777" w:rsidR="00A1678E" w:rsidRDefault="00A1678E">
      <w:pPr>
        <w:spacing w:line="360" w:lineRule="auto"/>
        <w:jc w:val="both"/>
        <w:rPr>
          <w:rFonts w:ascii="Palatino Linotype" w:eastAsia="Palatino Linotype" w:hAnsi="Palatino Linotype" w:cs="Palatino Linotype"/>
        </w:rPr>
      </w:pPr>
    </w:p>
    <w:p w14:paraId="7A60793A"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6217B2C9" w14:textId="77777777" w:rsidR="00A1678E" w:rsidRDefault="00A1678E">
      <w:pPr>
        <w:spacing w:line="360" w:lineRule="auto"/>
        <w:jc w:val="both"/>
        <w:rPr>
          <w:rFonts w:ascii="Palatino Linotype" w:eastAsia="Palatino Linotype" w:hAnsi="Palatino Linotype" w:cs="Palatino Linotype"/>
        </w:rPr>
      </w:pPr>
    </w:p>
    <w:p w14:paraId="4232A7A7" w14:textId="77777777" w:rsidR="00A1678E" w:rsidRDefault="004E2D1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179, fracción VII, 181, 185 de la Ley de Transparencia y Acceso a la Información Pública del Estado de México y Municipios, este Pleno:</w:t>
      </w:r>
    </w:p>
    <w:p w14:paraId="2C569B52" w14:textId="77777777" w:rsidR="00A1678E" w:rsidRDefault="00A1678E">
      <w:pPr>
        <w:spacing w:line="360" w:lineRule="auto"/>
        <w:jc w:val="both"/>
        <w:rPr>
          <w:rFonts w:ascii="Palatino Linotype" w:eastAsia="Palatino Linotype" w:hAnsi="Palatino Linotype" w:cs="Palatino Linotype"/>
        </w:rPr>
      </w:pPr>
    </w:p>
    <w:p w14:paraId="1191509D" w14:textId="77777777" w:rsidR="00A1678E" w:rsidRDefault="004E2D14">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w:t>
      </w:r>
      <w:r>
        <w:rPr>
          <w:rFonts w:ascii="Palatino Linotype" w:eastAsia="Palatino Linotype" w:hAnsi="Palatino Linotype" w:cs="Palatino Linotype"/>
          <w:b/>
        </w:rPr>
        <w:tab/>
        <w:t>R E S U E L V E:</w:t>
      </w:r>
    </w:p>
    <w:p w14:paraId="0ECE56E1" w14:textId="77777777" w:rsidR="00A1678E" w:rsidRDefault="00A1678E">
      <w:pPr>
        <w:spacing w:line="360" w:lineRule="auto"/>
        <w:jc w:val="center"/>
        <w:rPr>
          <w:rFonts w:ascii="Palatino Linotype" w:eastAsia="Palatino Linotype" w:hAnsi="Palatino Linotype" w:cs="Palatino Linotype"/>
          <w:b/>
        </w:rPr>
      </w:pPr>
    </w:p>
    <w:p w14:paraId="1CE79FED" w14:textId="77777777" w:rsidR="00A1678E" w:rsidRDefault="004E2D1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01789/INFOEM/IP/RR/2023</w:t>
      </w:r>
      <w:r>
        <w:rPr>
          <w:rFonts w:ascii="Palatino Linotype" w:eastAsia="Palatino Linotype" w:hAnsi="Palatino Linotype" w:cs="Palatino Linotype"/>
        </w:rPr>
        <w:t xml:space="preserve">; 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7CEF04AF" w14:textId="77777777" w:rsidR="00A1678E" w:rsidRDefault="004E2D14">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y </w:t>
      </w:r>
      <w:r>
        <w:rPr>
          <w:rFonts w:ascii="Palatino Linotype" w:eastAsia="Palatino Linotype" w:hAnsi="Palatino Linotype" w:cs="Palatino Linotype"/>
          <w:b/>
        </w:rPr>
        <w:t xml:space="preserve">Quinto </w:t>
      </w:r>
      <w:r>
        <w:rPr>
          <w:rFonts w:ascii="Palatino Linotype" w:eastAsia="Palatino Linotype" w:hAnsi="Palatino Linotype" w:cs="Palatino Linotype"/>
        </w:rPr>
        <w:t xml:space="preserve">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versión pública de ser procedente, de lo siguiente:</w:t>
      </w:r>
    </w:p>
    <w:p w14:paraId="7893B99D" w14:textId="77777777" w:rsidR="00A1678E" w:rsidRDefault="004E2D14">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Estado de Situación Financiera, Anexo al Estado de Situación Financiera y Diario General de Pólizas del Sistema Municipal para el Desarrollo Integral de la Familia del Municipio de Tlalmanalco del mes de diciembre del año 2022.</w:t>
      </w:r>
    </w:p>
    <w:p w14:paraId="5644A89B" w14:textId="77777777" w:rsidR="00A1678E" w:rsidRDefault="00A1678E">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230523CB" w14:textId="77777777" w:rsidR="00A1678E" w:rsidRDefault="004E2D14">
      <w:pPr>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Pr>
          <w:rFonts w:ascii="Palatino Linotype" w:eastAsia="Palatino Linotype" w:hAnsi="Palatino Linotype" w:cs="Palatino Linotype"/>
          <w:b/>
          <w:i/>
        </w:rPr>
        <w:t>RECURRENTE</w:t>
      </w:r>
      <w:r>
        <w:rPr>
          <w:rFonts w:ascii="Palatino Linotype" w:eastAsia="Palatino Linotype" w:hAnsi="Palatino Linotype" w:cs="Palatino Linotype"/>
          <w:i/>
        </w:rPr>
        <w:t>, mismo que igualmente hará de su conocimiento.</w:t>
      </w:r>
    </w:p>
    <w:p w14:paraId="173AE24A" w14:textId="77777777" w:rsidR="00A1678E" w:rsidRDefault="00A1678E">
      <w:pPr>
        <w:spacing w:line="360" w:lineRule="auto"/>
        <w:jc w:val="both"/>
        <w:rPr>
          <w:rFonts w:ascii="Palatino Linotype" w:eastAsia="Palatino Linotype" w:hAnsi="Palatino Linotype" w:cs="Palatino Linotype"/>
        </w:rPr>
      </w:pPr>
    </w:p>
    <w:p w14:paraId="4907E58F" w14:textId="77777777" w:rsidR="00A1678E" w:rsidRDefault="004E2D14">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la presente resolución al T</w:t>
      </w:r>
      <w:r>
        <w:rPr>
          <w:rFonts w:ascii="Palatino Linotype" w:eastAsia="Palatino Linotype" w:hAnsi="Palatino Linotype" w:cs="Palatino Linotype"/>
          <w:b/>
        </w:rPr>
        <w:t xml:space="preserve">itular de la Unidad de Transparencia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r>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EFE6D06" w14:textId="77777777" w:rsidR="00A1678E" w:rsidRDefault="004E2D1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a la parte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w:t>
      </w:r>
      <w:r>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11A9635D" w14:textId="77777777" w:rsidR="00A1678E" w:rsidRDefault="004E2D14">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2A5594A5" w14:textId="7DDEAA57" w:rsidR="00A1678E" w:rsidRDefault="004E2D14">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DE AGOSTO DE DOS MIL VEINTITRÉS, ANTE EL SECRETARIO TÉCNICO DEL PLENO ALEXIS TAPIA RAMÍREZ. </w:t>
      </w:r>
    </w:p>
    <w:p w14:paraId="6239C0A4" w14:textId="5CA0494A" w:rsidR="00730F57" w:rsidRDefault="00730F57">
      <w:pPr>
        <w:spacing w:before="240" w:after="240" w:line="360" w:lineRule="auto"/>
        <w:jc w:val="both"/>
        <w:rPr>
          <w:rFonts w:ascii="Palatino Linotype" w:eastAsia="Palatino Linotype" w:hAnsi="Palatino Linotype" w:cs="Palatino Linotype"/>
        </w:rPr>
      </w:pPr>
    </w:p>
    <w:p w14:paraId="0C288370" w14:textId="09471437" w:rsidR="00730F57" w:rsidRDefault="00730F57">
      <w:pPr>
        <w:spacing w:before="240" w:after="240" w:line="360" w:lineRule="auto"/>
        <w:jc w:val="both"/>
        <w:rPr>
          <w:rFonts w:ascii="Palatino Linotype" w:eastAsia="Palatino Linotype" w:hAnsi="Palatino Linotype" w:cs="Palatino Linotype"/>
        </w:rPr>
      </w:pPr>
    </w:p>
    <w:p w14:paraId="06DF421F" w14:textId="3DF86552" w:rsidR="00730F57" w:rsidRDefault="00730F57">
      <w:pPr>
        <w:spacing w:before="240" w:after="240" w:line="360" w:lineRule="auto"/>
        <w:jc w:val="both"/>
        <w:rPr>
          <w:rFonts w:ascii="Palatino Linotype" w:eastAsia="Palatino Linotype" w:hAnsi="Palatino Linotype" w:cs="Palatino Linotype"/>
        </w:rPr>
      </w:pPr>
    </w:p>
    <w:p w14:paraId="7D53CE41" w14:textId="131CA128" w:rsidR="00730F57" w:rsidRDefault="00730F57">
      <w:pPr>
        <w:spacing w:before="240" w:after="240" w:line="360" w:lineRule="auto"/>
        <w:jc w:val="both"/>
        <w:rPr>
          <w:rFonts w:ascii="Palatino Linotype" w:eastAsia="Palatino Linotype" w:hAnsi="Palatino Linotype" w:cs="Palatino Linotype"/>
        </w:rPr>
      </w:pPr>
    </w:p>
    <w:p w14:paraId="4C5F33A7" w14:textId="7B4D6960" w:rsidR="00730F57" w:rsidRDefault="00730F57">
      <w:pPr>
        <w:spacing w:before="240" w:after="240" w:line="360" w:lineRule="auto"/>
        <w:jc w:val="both"/>
        <w:rPr>
          <w:rFonts w:ascii="Palatino Linotype" w:eastAsia="Palatino Linotype" w:hAnsi="Palatino Linotype" w:cs="Palatino Linotype"/>
        </w:rPr>
      </w:pPr>
    </w:p>
    <w:p w14:paraId="63D094AA" w14:textId="53E42349" w:rsidR="00730F57" w:rsidRDefault="00730F57">
      <w:pPr>
        <w:spacing w:before="240" w:after="240" w:line="360" w:lineRule="auto"/>
        <w:jc w:val="both"/>
        <w:rPr>
          <w:rFonts w:ascii="Palatino Linotype" w:eastAsia="Palatino Linotype" w:hAnsi="Palatino Linotype" w:cs="Palatino Linotype"/>
        </w:rPr>
      </w:pPr>
    </w:p>
    <w:p w14:paraId="722A8614" w14:textId="64668FF2" w:rsidR="00730F57" w:rsidRDefault="00730F57">
      <w:pPr>
        <w:spacing w:before="240" w:after="240" w:line="360" w:lineRule="auto"/>
        <w:jc w:val="both"/>
        <w:rPr>
          <w:rFonts w:ascii="Palatino Linotype" w:eastAsia="Palatino Linotype" w:hAnsi="Palatino Linotype" w:cs="Palatino Linotype"/>
        </w:rPr>
      </w:pPr>
    </w:p>
    <w:p w14:paraId="4DAD194B" w14:textId="04B03F0C" w:rsidR="00730F57" w:rsidRDefault="00730F57">
      <w:pPr>
        <w:spacing w:before="240" w:after="240" w:line="360" w:lineRule="auto"/>
        <w:jc w:val="both"/>
        <w:rPr>
          <w:rFonts w:ascii="Palatino Linotype" w:eastAsia="Palatino Linotype" w:hAnsi="Palatino Linotype" w:cs="Palatino Linotype"/>
        </w:rPr>
      </w:pPr>
    </w:p>
    <w:p w14:paraId="786F58F1" w14:textId="62B40E7C" w:rsidR="00730F57" w:rsidRDefault="00730F57">
      <w:pPr>
        <w:spacing w:before="240" w:after="240" w:line="360" w:lineRule="auto"/>
        <w:jc w:val="both"/>
        <w:rPr>
          <w:rFonts w:ascii="Palatino Linotype" w:eastAsia="Palatino Linotype" w:hAnsi="Palatino Linotype" w:cs="Palatino Linotype"/>
        </w:rPr>
      </w:pPr>
    </w:p>
    <w:p w14:paraId="309C8B7B" w14:textId="009FBEC3" w:rsidR="00730F57" w:rsidRDefault="00730F57">
      <w:pPr>
        <w:spacing w:before="240" w:after="240" w:line="360" w:lineRule="auto"/>
        <w:jc w:val="both"/>
        <w:rPr>
          <w:rFonts w:ascii="Palatino Linotype" w:eastAsia="Palatino Linotype" w:hAnsi="Palatino Linotype" w:cs="Palatino Linotype"/>
        </w:rPr>
      </w:pPr>
    </w:p>
    <w:p w14:paraId="0B65E07C" w14:textId="5E61BDE0" w:rsidR="00730F57" w:rsidRDefault="00730F57">
      <w:pPr>
        <w:spacing w:before="240" w:after="240" w:line="360" w:lineRule="auto"/>
        <w:jc w:val="both"/>
        <w:rPr>
          <w:rFonts w:ascii="Palatino Linotype" w:eastAsia="Palatino Linotype" w:hAnsi="Palatino Linotype" w:cs="Palatino Linotype"/>
        </w:rPr>
      </w:pPr>
    </w:p>
    <w:p w14:paraId="66BE34FE" w14:textId="2A03EB1D" w:rsidR="00730F57" w:rsidRDefault="00730F57">
      <w:pPr>
        <w:spacing w:before="240" w:after="240" w:line="360" w:lineRule="auto"/>
        <w:jc w:val="both"/>
        <w:rPr>
          <w:rFonts w:ascii="Palatino Linotype" w:eastAsia="Palatino Linotype" w:hAnsi="Palatino Linotype" w:cs="Palatino Linotype"/>
        </w:rPr>
      </w:pPr>
    </w:p>
    <w:p w14:paraId="735F6E28" w14:textId="2F11DE55" w:rsidR="00730F57" w:rsidRDefault="00730F57">
      <w:pPr>
        <w:spacing w:before="240" w:after="240" w:line="360" w:lineRule="auto"/>
        <w:jc w:val="both"/>
        <w:rPr>
          <w:rFonts w:ascii="Palatino Linotype" w:eastAsia="Palatino Linotype" w:hAnsi="Palatino Linotype" w:cs="Palatino Linotype"/>
        </w:rPr>
      </w:pPr>
    </w:p>
    <w:p w14:paraId="5B8B28A3" w14:textId="77777777" w:rsidR="00730F57" w:rsidRDefault="00730F57">
      <w:pPr>
        <w:spacing w:before="240" w:after="240" w:line="360" w:lineRule="auto"/>
        <w:jc w:val="both"/>
        <w:rPr>
          <w:rFonts w:ascii="Palatino Linotype" w:eastAsia="Palatino Linotype" w:hAnsi="Palatino Linotype" w:cs="Palatino Linotype"/>
        </w:rPr>
      </w:pPr>
    </w:p>
    <w:sectPr w:rsidR="00730F57">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8BDB" w14:textId="77777777" w:rsidR="004E2D14" w:rsidRDefault="004E2D14">
      <w:r>
        <w:separator/>
      </w:r>
    </w:p>
  </w:endnote>
  <w:endnote w:type="continuationSeparator" w:id="0">
    <w:p w14:paraId="7B28AC63" w14:textId="77777777" w:rsidR="004E2D14" w:rsidRDefault="004E2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BCCD" w14:textId="77777777" w:rsidR="00A1678E" w:rsidRDefault="004E2D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0F5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0F5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5888BF97" w14:textId="77777777" w:rsidR="00A1678E" w:rsidRDefault="00A1678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4A4C" w14:textId="77777777" w:rsidR="00A1678E" w:rsidRDefault="004E2D1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30F5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30F5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5ECF2883" w14:textId="77777777" w:rsidR="00A1678E" w:rsidRDefault="00A1678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111D0" w14:textId="77777777" w:rsidR="004E2D14" w:rsidRDefault="004E2D14">
      <w:r>
        <w:separator/>
      </w:r>
    </w:p>
  </w:footnote>
  <w:footnote w:type="continuationSeparator" w:id="0">
    <w:p w14:paraId="08652AB9" w14:textId="77777777" w:rsidR="004E2D14" w:rsidRDefault="004E2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BFC6" w14:textId="77777777" w:rsidR="00A1678E" w:rsidRDefault="004E2D1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5FA59961" wp14:editId="6EFA0C3B">
          <wp:simplePos x="0" y="0"/>
          <wp:positionH relativeFrom="column">
            <wp:posOffset>-1080132</wp:posOffset>
          </wp:positionH>
          <wp:positionV relativeFrom="paragraph">
            <wp:posOffset>-488312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A1678E" w14:paraId="74CB96AB" w14:textId="77777777">
      <w:tc>
        <w:tcPr>
          <w:tcW w:w="2489" w:type="dxa"/>
          <w:shd w:val="clear" w:color="auto" w:fill="auto"/>
        </w:tcPr>
        <w:p w14:paraId="0CBBE494"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F3CA67C" w14:textId="77777777" w:rsidR="00A1678E" w:rsidRDefault="004E2D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01789/INFOEM/IP/RR/2023</w:t>
          </w:r>
        </w:p>
      </w:tc>
    </w:tr>
    <w:tr w:rsidR="00A1678E" w14:paraId="0ACA7CA0" w14:textId="77777777">
      <w:trPr>
        <w:trHeight w:val="228"/>
      </w:trPr>
      <w:tc>
        <w:tcPr>
          <w:tcW w:w="2489" w:type="dxa"/>
          <w:shd w:val="clear" w:color="auto" w:fill="auto"/>
          <w:vAlign w:val="center"/>
        </w:tcPr>
        <w:p w14:paraId="41602418"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0557DDE" w14:textId="77777777" w:rsidR="00A1678E" w:rsidRDefault="004E2D14">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A1678E" w14:paraId="6FC91BA3" w14:textId="77777777">
      <w:tc>
        <w:tcPr>
          <w:tcW w:w="2489" w:type="dxa"/>
          <w:shd w:val="clear" w:color="auto" w:fill="auto"/>
          <w:vAlign w:val="center"/>
        </w:tcPr>
        <w:p w14:paraId="151BCAD6" w14:textId="77777777" w:rsidR="00A1678E" w:rsidRDefault="004E2D1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6413CDF" w14:textId="77777777" w:rsidR="00A1678E" w:rsidRDefault="004E2D1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363A3F" w14:textId="77777777" w:rsidR="00A1678E" w:rsidRDefault="004E2D1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9284" w14:textId="77777777" w:rsidR="00A1678E" w:rsidRDefault="00A167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670" w:type="dxa"/>
      <w:tblInd w:w="3261" w:type="dxa"/>
      <w:tblLayout w:type="fixed"/>
      <w:tblLook w:val="0400" w:firstRow="0" w:lastRow="0" w:firstColumn="0" w:lastColumn="0" w:noHBand="0" w:noVBand="1"/>
    </w:tblPr>
    <w:tblGrid>
      <w:gridCol w:w="2551"/>
      <w:gridCol w:w="3119"/>
    </w:tblGrid>
    <w:tr w:rsidR="00A1678E" w14:paraId="4DED5D6D" w14:textId="77777777">
      <w:tc>
        <w:tcPr>
          <w:tcW w:w="2551" w:type="dxa"/>
          <w:shd w:val="clear" w:color="auto" w:fill="auto"/>
          <w:vAlign w:val="center"/>
        </w:tcPr>
        <w:p w14:paraId="323FA008"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4DEB10B9" w14:textId="77777777" w:rsidR="00A1678E" w:rsidRDefault="004E2D1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01789/INFOEM/IP/RR/2023</w:t>
          </w:r>
        </w:p>
      </w:tc>
    </w:tr>
    <w:tr w:rsidR="00A1678E" w14:paraId="0CBA0BA1" w14:textId="77777777">
      <w:trPr>
        <w:trHeight w:val="130"/>
      </w:trPr>
      <w:tc>
        <w:tcPr>
          <w:tcW w:w="2551" w:type="dxa"/>
          <w:shd w:val="clear" w:color="auto" w:fill="auto"/>
          <w:vAlign w:val="center"/>
        </w:tcPr>
        <w:p w14:paraId="2625FEBC"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1AAA2780" w14:textId="06D7F91B" w:rsidR="00A1678E" w:rsidRDefault="0002755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r w:rsidR="004E2D14">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w:t>
          </w:r>
          <w:r w:rsidR="004E2D14">
            <w:rPr>
              <w:rFonts w:ascii="Palatino Linotype" w:eastAsia="Palatino Linotype" w:hAnsi="Palatino Linotype" w:cs="Palatino Linotype"/>
              <w:b/>
              <w:sz w:val="22"/>
              <w:szCs w:val="22"/>
            </w:rPr>
            <w:t>X</w:t>
          </w:r>
        </w:p>
      </w:tc>
    </w:tr>
    <w:tr w:rsidR="00A1678E" w14:paraId="1EA328D6" w14:textId="77777777">
      <w:trPr>
        <w:trHeight w:val="228"/>
      </w:trPr>
      <w:tc>
        <w:tcPr>
          <w:tcW w:w="2551" w:type="dxa"/>
          <w:shd w:val="clear" w:color="auto" w:fill="auto"/>
          <w:vAlign w:val="center"/>
        </w:tcPr>
        <w:p w14:paraId="585CE6D2"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F0FDD21" w14:textId="77777777" w:rsidR="00A1678E" w:rsidRDefault="004E2D14">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Tlalmanalco.</w:t>
          </w:r>
        </w:p>
      </w:tc>
    </w:tr>
    <w:tr w:rsidR="00A1678E" w14:paraId="3F82BDD0" w14:textId="77777777">
      <w:tc>
        <w:tcPr>
          <w:tcW w:w="2551" w:type="dxa"/>
          <w:shd w:val="clear" w:color="auto" w:fill="auto"/>
          <w:vAlign w:val="center"/>
        </w:tcPr>
        <w:p w14:paraId="7462584E" w14:textId="77777777" w:rsidR="00A1678E" w:rsidRDefault="004E2D1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BE29BDF" w14:textId="77777777" w:rsidR="00A1678E" w:rsidRDefault="004E2D1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B89B86" w14:textId="77777777" w:rsidR="00A1678E" w:rsidRDefault="004E2D14">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09B42627" wp14:editId="5F285D3D">
          <wp:simplePos x="0" y="0"/>
          <wp:positionH relativeFrom="column">
            <wp:posOffset>-1089657</wp:posOffset>
          </wp:positionH>
          <wp:positionV relativeFrom="paragraph">
            <wp:posOffset>-1169667</wp:posOffset>
          </wp:positionV>
          <wp:extent cx="7809865" cy="1016571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3AA3"/>
    <w:multiLevelType w:val="multilevel"/>
    <w:tmpl w:val="839C5D8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FCB7F7C"/>
    <w:multiLevelType w:val="multilevel"/>
    <w:tmpl w:val="FDB0F574"/>
    <w:lvl w:ilvl="0">
      <w:start w:val="6"/>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09F67B4"/>
    <w:multiLevelType w:val="multilevel"/>
    <w:tmpl w:val="5C58312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78E"/>
    <w:rsid w:val="00027556"/>
    <w:rsid w:val="003F28C3"/>
    <w:rsid w:val="004E2D14"/>
    <w:rsid w:val="00730F57"/>
    <w:rsid w:val="00A1678E"/>
    <w:rsid w:val="00BB4FD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09B2E"/>
  <w15:docId w15:val="{FFA710A4-54B8-447A-9572-7AAAFE7F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984D89"/>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basedOn w:val="TableNormal0"/>
    <w:rPr>
      <w:rFonts w:ascii="Cambria" w:eastAsia="Cambria" w:hAnsi="Cambria" w:cs="Cambria"/>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45498.pag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saimex.org.mx/saimex/solicitud/downloadAttach/1792221.page"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64051.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saimex.org.mx/saimex/solicitud/downloadAttach/1764050.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aimex.org.mx/saimex/solicitud/downloadAttach/1764049.pa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fXRILjitCpBomgdyfL7a7W0nA==">CgMxLjAyCGguZ2pkZ3hzMgloLjMwajB6bGwyCGgudHlqY3d0MgloLjFmb2I5dGU4AHIhMU84RzU0clZuMDlUVVZYTERBRERLckpVbjJtUzU1UTc5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11545</Words>
  <Characters>63498</Characters>
  <Application>Microsoft Office Word</Application>
  <DocSecurity>4</DocSecurity>
  <Lines>529</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2023-08-12T19:12:00Z</cp:lastPrinted>
  <dcterms:created xsi:type="dcterms:W3CDTF">2023-09-01T20:07:00Z</dcterms:created>
  <dcterms:modified xsi:type="dcterms:W3CDTF">2023-09-01T20:07:00Z</dcterms:modified>
</cp:coreProperties>
</file>