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rsidR="00A91087" w:rsidRPr="007A7615" w:rsidRDefault="008A0C95">
      <w:pP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b/>
        </w:rPr>
        <w:t>VISTO</w:t>
      </w:r>
      <w:r w:rsidRPr="007A7615">
        <w:rPr>
          <w:rFonts w:ascii="Palatino Linotype" w:eastAsia="Palatino Linotype" w:hAnsi="Palatino Linotype" w:cs="Palatino Linotype"/>
        </w:rPr>
        <w:t xml:space="preserve"> el expediente formado con motivo del recurso de revisión</w:t>
      </w:r>
      <w:r w:rsidRPr="007A7615">
        <w:rPr>
          <w:rFonts w:ascii="Palatino Linotype" w:eastAsia="Palatino Linotype" w:hAnsi="Palatino Linotype" w:cs="Palatino Linotype"/>
          <w:b/>
        </w:rPr>
        <w:t xml:space="preserve"> 02229/INFOEM/IP/RR/2023</w:t>
      </w:r>
      <w:r w:rsidRPr="007A7615">
        <w:rPr>
          <w:rFonts w:ascii="Palatino Linotype" w:eastAsia="Palatino Linotype" w:hAnsi="Palatino Linotype" w:cs="Palatino Linotype"/>
        </w:rPr>
        <w:t>, interpuesto por</w:t>
      </w:r>
      <w:r w:rsidR="00E17FE0">
        <w:rPr>
          <w:rFonts w:ascii="Palatino Linotype" w:eastAsia="Palatino Linotype" w:hAnsi="Palatino Linotype" w:cs="Palatino Linotype"/>
          <w:b/>
        </w:rPr>
        <w:t xml:space="preserve"> XXXXX XXXXX</w:t>
      </w:r>
      <w:bookmarkStart w:id="0" w:name="_GoBack"/>
      <w:bookmarkEnd w:id="0"/>
      <w:r w:rsidR="00E17FE0">
        <w:rPr>
          <w:rFonts w:ascii="Palatino Linotype" w:eastAsia="Palatino Linotype" w:hAnsi="Palatino Linotype" w:cs="Palatino Linotype"/>
          <w:b/>
        </w:rPr>
        <w:t xml:space="preserve"> XXXX</w:t>
      </w:r>
      <w:r w:rsidRPr="007A7615">
        <w:rPr>
          <w:rFonts w:ascii="Palatino Linotype" w:eastAsia="Palatino Linotype" w:hAnsi="Palatino Linotype" w:cs="Palatino Linotype"/>
          <w:b/>
        </w:rPr>
        <w:t>,</w:t>
      </w:r>
      <w:r w:rsidRPr="007A7615">
        <w:rPr>
          <w:rFonts w:ascii="Palatino Linotype" w:eastAsia="Palatino Linotype" w:hAnsi="Palatino Linotype" w:cs="Palatino Linotype"/>
        </w:rPr>
        <w:t xml:space="preserve"> en lo sucesivo</w:t>
      </w:r>
      <w:r w:rsidRPr="007A7615">
        <w:rPr>
          <w:rFonts w:ascii="Palatino Linotype" w:eastAsia="Palatino Linotype" w:hAnsi="Palatino Linotype" w:cs="Palatino Linotype"/>
          <w:b/>
        </w:rPr>
        <w:t xml:space="preserve"> </w:t>
      </w:r>
      <w:r w:rsidRPr="007A7615">
        <w:rPr>
          <w:rFonts w:ascii="Palatino Linotype" w:eastAsia="Palatino Linotype" w:hAnsi="Palatino Linotype" w:cs="Palatino Linotype"/>
        </w:rPr>
        <w:t xml:space="preserve">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en contra de la respuesta a su solicitud por parte del </w:t>
      </w:r>
      <w:r w:rsidRPr="007A7615">
        <w:rPr>
          <w:rFonts w:ascii="Palatino Linotype" w:eastAsia="Palatino Linotype" w:hAnsi="Palatino Linotype" w:cs="Palatino Linotype"/>
          <w:b/>
        </w:rPr>
        <w:t xml:space="preserve">Ayuntamiento de Atizapán, </w:t>
      </w:r>
      <w:r w:rsidRPr="007A7615">
        <w:rPr>
          <w:rFonts w:ascii="Palatino Linotype" w:eastAsia="Palatino Linotype" w:hAnsi="Palatino Linotype" w:cs="Palatino Linotype"/>
        </w:rPr>
        <w:t xml:space="preserve">en lo sucesivo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 xml:space="preserve">se procede a dictar la presente resolución con base en los siguientes: </w:t>
      </w:r>
    </w:p>
    <w:p w:rsidR="00A91087" w:rsidRPr="007A7615" w:rsidRDefault="008A0C95">
      <w:pPr>
        <w:spacing w:before="240" w:after="240" w:line="360" w:lineRule="auto"/>
        <w:jc w:val="center"/>
        <w:rPr>
          <w:rFonts w:ascii="Palatino Linotype" w:eastAsia="Palatino Linotype" w:hAnsi="Palatino Linotype" w:cs="Palatino Linotype"/>
          <w:b/>
        </w:rPr>
      </w:pPr>
      <w:r w:rsidRPr="007A7615">
        <w:rPr>
          <w:rFonts w:ascii="Palatino Linotype" w:eastAsia="Palatino Linotype" w:hAnsi="Palatino Linotype" w:cs="Palatino Linotype"/>
          <w:b/>
        </w:rPr>
        <w:t>I. A N T E C E D E N T E 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1. Solicitud de acceso a la información.</w:t>
      </w:r>
      <w:r w:rsidRPr="007A7615">
        <w:rPr>
          <w:rFonts w:ascii="Palatino Linotype" w:eastAsia="Palatino Linotype" w:hAnsi="Palatino Linotype" w:cs="Palatino Linotype"/>
        </w:rPr>
        <w:t xml:space="preserve"> Con fecha </w:t>
      </w:r>
      <w:r w:rsidRPr="007A7615">
        <w:rPr>
          <w:rFonts w:ascii="Palatino Linotype" w:eastAsia="Palatino Linotype" w:hAnsi="Palatino Linotype" w:cs="Palatino Linotype"/>
          <w:b/>
        </w:rPr>
        <w:t>trece de abril de</w:t>
      </w: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rPr>
        <w:t>dos mil veintitrés,</w:t>
      </w:r>
      <w:r w:rsidRPr="007A7615">
        <w:rPr>
          <w:rFonts w:ascii="Palatino Linotype" w:eastAsia="Palatino Linotype" w:hAnsi="Palatino Linotype" w:cs="Palatino Linotype"/>
        </w:rPr>
        <w:t xml:space="preserve"> la parte </w:t>
      </w:r>
      <w:r w:rsidRPr="007A7615">
        <w:rPr>
          <w:rFonts w:ascii="Palatino Linotype" w:eastAsia="Palatino Linotype" w:hAnsi="Palatino Linotype" w:cs="Palatino Linotype"/>
          <w:b/>
        </w:rPr>
        <w:t xml:space="preserve">Recurrente </w:t>
      </w:r>
      <w:r w:rsidRPr="007A7615">
        <w:rPr>
          <w:rFonts w:ascii="Palatino Linotype" w:eastAsia="Palatino Linotype" w:hAnsi="Palatino Linotype" w:cs="Palatino Linotype"/>
        </w:rPr>
        <w:t xml:space="preserve">presentó, a través del Sistema de Acceso a la Información Mexiquense, en lo subsecuente el </w:t>
      </w:r>
      <w:r w:rsidRPr="007A7615">
        <w:rPr>
          <w:rFonts w:ascii="Palatino Linotype" w:eastAsia="Palatino Linotype" w:hAnsi="Palatino Linotype" w:cs="Palatino Linotype"/>
          <w:b/>
        </w:rPr>
        <w:t>SAIMEX,</w:t>
      </w:r>
      <w:r w:rsidRPr="007A7615">
        <w:rPr>
          <w:rFonts w:ascii="Palatino Linotype" w:eastAsia="Palatino Linotype" w:hAnsi="Palatino Linotype" w:cs="Palatino Linotype"/>
        </w:rPr>
        <w:t xml:space="preserve"> ante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la solicitud de acceso a la información pública, a la que se le asignó el número</w:t>
      </w:r>
      <w:r w:rsidRPr="007A7615">
        <w:rPr>
          <w:rFonts w:ascii="Palatino Linotype" w:eastAsia="Palatino Linotype" w:hAnsi="Palatino Linotype" w:cs="Palatino Linotype"/>
          <w:b/>
        </w:rPr>
        <w:t xml:space="preserve"> 00046/ATIZAPAN/IP/2023, </w:t>
      </w:r>
      <w:r w:rsidRPr="007A7615">
        <w:rPr>
          <w:rFonts w:ascii="Palatino Linotype" w:eastAsia="Palatino Linotype" w:hAnsi="Palatino Linotype" w:cs="Palatino Linotype"/>
        </w:rPr>
        <w:t xml:space="preserve">mediante la cual requirió la información siguiente: </w:t>
      </w:r>
    </w:p>
    <w:p w:rsidR="00A91087" w:rsidRPr="007A7615" w:rsidRDefault="008A0C95">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7A7615">
        <w:rPr>
          <w:rFonts w:ascii="Palatino Linotype" w:eastAsia="Palatino Linotype" w:hAnsi="Palatino Linotype" w:cs="Palatino Linotype"/>
          <w:i/>
          <w:sz w:val="22"/>
          <w:szCs w:val="22"/>
        </w:rPr>
        <w:t xml:space="preserve">“copia del contrato, estudios de mercado, acta del cabildo para su compra, o sub </w:t>
      </w:r>
      <w:proofErr w:type="spellStart"/>
      <w:r w:rsidRPr="007A7615">
        <w:rPr>
          <w:rFonts w:ascii="Palatino Linotype" w:eastAsia="Palatino Linotype" w:hAnsi="Palatino Linotype" w:cs="Palatino Linotype"/>
          <w:i/>
          <w:sz w:val="22"/>
          <w:szCs w:val="22"/>
        </w:rPr>
        <w:t>comite</w:t>
      </w:r>
      <w:proofErr w:type="spellEnd"/>
      <w:r w:rsidRPr="007A7615">
        <w:rPr>
          <w:rFonts w:ascii="Palatino Linotype" w:eastAsia="Palatino Linotype" w:hAnsi="Palatino Linotype" w:cs="Palatino Linotype"/>
          <w:i/>
          <w:sz w:val="22"/>
          <w:szCs w:val="22"/>
        </w:rPr>
        <w:t xml:space="preserve"> de adquisiciones arrendamiento y prestación de servicios , revisión de anexos por el OIC , Los anexos, Tarjeta de circulación , tenencias, verificación, junta de aclaraciones, propuestas económicas de sus patrullas de 2018 a la fecha, costo del vehículo, del equipo policial y del radio . </w:t>
      </w:r>
      <w:proofErr w:type="spellStart"/>
      <w:proofErr w:type="gramStart"/>
      <w:r w:rsidRPr="007A7615">
        <w:rPr>
          <w:rFonts w:ascii="Palatino Linotype" w:eastAsia="Palatino Linotype" w:hAnsi="Palatino Linotype" w:cs="Palatino Linotype"/>
          <w:i/>
          <w:sz w:val="22"/>
          <w:szCs w:val="22"/>
        </w:rPr>
        <w:t>maracas</w:t>
      </w:r>
      <w:proofErr w:type="spellEnd"/>
      <w:proofErr w:type="gramEnd"/>
      <w:r w:rsidRPr="007A7615">
        <w:rPr>
          <w:rFonts w:ascii="Palatino Linotype" w:eastAsia="Palatino Linotype" w:hAnsi="Palatino Linotype" w:cs="Palatino Linotype"/>
          <w:i/>
          <w:sz w:val="22"/>
          <w:szCs w:val="22"/>
        </w:rPr>
        <w:t xml:space="preserve"> y modelos</w:t>
      </w: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 xml:space="preserve"> (sic) </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no adjuntó archivos: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Modalidad de Entrega:</w:t>
      </w:r>
      <w:r w:rsidRPr="007A7615">
        <w:rPr>
          <w:rFonts w:ascii="Palatino Linotype" w:eastAsia="Palatino Linotype" w:hAnsi="Palatino Linotype" w:cs="Palatino Linotype"/>
        </w:rPr>
        <w:t xml:space="preserve"> a través </w:t>
      </w:r>
      <w:r w:rsidRPr="007A7615">
        <w:rPr>
          <w:rFonts w:ascii="Palatino Linotype" w:eastAsia="Palatino Linotype" w:hAnsi="Palatino Linotype" w:cs="Palatino Linotype"/>
          <w:b/>
        </w:rPr>
        <w:t>de SAIMEX</w:t>
      </w:r>
    </w:p>
    <w:p w:rsidR="00A91087" w:rsidRPr="007A7615" w:rsidRDefault="008A0C95">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7A7615">
        <w:rPr>
          <w:rFonts w:ascii="Palatino Linotype" w:eastAsia="Palatino Linotype" w:hAnsi="Palatino Linotype" w:cs="Palatino Linotype"/>
          <w:b/>
        </w:rPr>
        <w:lastRenderedPageBreak/>
        <w:t xml:space="preserve">2. Respuesta. </w:t>
      </w:r>
      <w:r w:rsidRPr="007A7615">
        <w:rPr>
          <w:rFonts w:ascii="Palatino Linotype" w:eastAsia="Palatino Linotype" w:hAnsi="Palatino Linotype" w:cs="Palatino Linotype"/>
        </w:rPr>
        <w:t>Con fecha</w:t>
      </w:r>
      <w:r w:rsidRPr="007A7615">
        <w:rPr>
          <w:rFonts w:ascii="Palatino Linotype" w:eastAsia="Palatino Linotype" w:hAnsi="Palatino Linotype" w:cs="Palatino Linotype"/>
          <w:b/>
        </w:rPr>
        <w:t xml:space="preserve"> veinticinco de abril de dos mil veintitrés</w:t>
      </w:r>
      <w:r w:rsidRPr="007A7615">
        <w:rPr>
          <w:rFonts w:ascii="Palatino Linotype" w:eastAsia="Palatino Linotype" w:hAnsi="Palatino Linotype" w:cs="Palatino Linotype"/>
        </w:rPr>
        <w:t xml:space="preserve">,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A91087" w:rsidRPr="007A7615" w:rsidRDefault="008A0C95">
      <w:pPr>
        <w:spacing w:before="240" w:after="24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i/>
          <w:sz w:val="22"/>
          <w:szCs w:val="22"/>
        </w:rPr>
        <w:t>“…Con fundamento en los artículos 50</w:t>
      </w:r>
      <w:proofErr w:type="gramStart"/>
      <w:r w:rsidRPr="007A7615">
        <w:rPr>
          <w:rFonts w:ascii="Palatino Linotype" w:eastAsia="Palatino Linotype" w:hAnsi="Palatino Linotype" w:cs="Palatino Linotype"/>
          <w:i/>
          <w:sz w:val="22"/>
          <w:szCs w:val="22"/>
        </w:rPr>
        <w:t>,51,53,55,56,57</w:t>
      </w:r>
      <w:proofErr w:type="gramEnd"/>
      <w:r w:rsidRPr="007A7615">
        <w:rPr>
          <w:rFonts w:ascii="Palatino Linotype" w:eastAsia="Palatino Linotype" w:hAnsi="Palatino Linotype" w:cs="Palatino Linotype"/>
          <w:i/>
          <w:sz w:val="22"/>
          <w:szCs w:val="22"/>
        </w:rPr>
        <w:t xml:space="preserve"> y 59 de la Ley de Transparencia y Acceso a la Información Pública del Estado de México y Municipios, compete a este ayuntamiento conocer y resolver la presente solicitud de acceso a la información. A continuación, se entrega la información con la que cuenta este sujeto obligado. En los siguiente </w:t>
      </w:r>
      <w:proofErr w:type="spellStart"/>
      <w:r w:rsidRPr="007A7615">
        <w:rPr>
          <w:rFonts w:ascii="Palatino Linotype" w:eastAsia="Palatino Linotype" w:hAnsi="Palatino Linotype" w:cs="Palatino Linotype"/>
          <w:i/>
          <w:sz w:val="22"/>
          <w:szCs w:val="22"/>
        </w:rPr>
        <w:t>PDF´s</w:t>
      </w:r>
      <w:proofErr w:type="spellEnd"/>
      <w:r w:rsidRPr="007A7615">
        <w:rPr>
          <w:rFonts w:ascii="Palatino Linotype" w:eastAsia="Palatino Linotype" w:hAnsi="Palatino Linotype" w:cs="Palatino Linotype"/>
          <w:i/>
          <w:sz w:val="22"/>
          <w:szCs w:val="22"/>
        </w:rPr>
        <w:t xml:space="preserve"> se encuentran la contestación de las 3 áreas las cuales fue dirigida la solicitud...” (</w:t>
      </w:r>
      <w:proofErr w:type="gramStart"/>
      <w:r w:rsidRPr="007A7615">
        <w:rPr>
          <w:rFonts w:ascii="Palatino Linotype" w:eastAsia="Palatino Linotype" w:hAnsi="Palatino Linotype" w:cs="Palatino Linotype"/>
          <w:i/>
          <w:sz w:val="22"/>
          <w:szCs w:val="22"/>
        </w:rPr>
        <w:t>sic</w:t>
      </w:r>
      <w:proofErr w:type="gramEnd"/>
      <w:r w:rsidRPr="007A7615">
        <w:rPr>
          <w:rFonts w:ascii="Palatino Linotype" w:eastAsia="Palatino Linotype" w:hAnsi="Palatino Linotype" w:cs="Palatino Linotype"/>
          <w:i/>
          <w:sz w:val="22"/>
          <w:szCs w:val="22"/>
        </w:rPr>
        <w:t>)</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adjuntó lo siguiente:</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Oficio número: PMASC/ADM/78/2023, de fecha diecisiete de abril de dos mil veintitrés, signado por el Director de Administración, mediante el cual, informa al Titular de la Unidad de Transparencia, Acceso a la Información Pública y Datos Personales, que no cuenta con información,  ya que a su área no le compete, sugiriendo pedirla al área correspondiente.</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Oficio número PMASC/SHA/049/2023, de fecha veintiuno de abril de dos mil veintitrés, signado por el Secretario del Ayuntamiento, mediante el cual informa al Titular de la Unidad de Transparencia, Acceso a la Información Pública y Datos Personales, que se realizó una búsqueda minuciosa en la Secretaría y no se encontró Acta de Cabildo donde se haya autorizado la compra de alguna patrulla de 2018 a la fecha.</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 Oficio número PMASC/DSPM/089/2023, de fecha veintisiete de abril de dos mil veintitrés, signado por el Director de Seguridad Pública, mediante el cual informa </w:t>
      </w:r>
      <w:r w:rsidRPr="007A7615">
        <w:rPr>
          <w:rFonts w:ascii="Palatino Linotype" w:eastAsia="Palatino Linotype" w:hAnsi="Palatino Linotype" w:cs="Palatino Linotype"/>
        </w:rPr>
        <w:lastRenderedPageBreak/>
        <w:t>al Titular de la Unidad de Transparencia, Acceso a la Información Pública y Datos Personales, lo siguiente:</w:t>
      </w:r>
    </w:p>
    <w:p w:rsidR="00A91087" w:rsidRPr="007A7615" w:rsidRDefault="008A0C95">
      <w:pPr>
        <w:spacing w:before="240" w:after="240" w:line="360" w:lineRule="auto"/>
        <w:ind w:left="284"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1. Del 2018 a la fecha solo se ha adquirido un vehículo siendo un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w:t>
      </w:r>
    </w:p>
    <w:p w:rsidR="00A91087" w:rsidRPr="007A7615" w:rsidRDefault="008A0C95">
      <w:pPr>
        <w:spacing w:before="240" w:after="240" w:line="360" w:lineRule="auto"/>
        <w:ind w:left="284"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2. Se anexa en copia simple el “CONTRATO DE ADQUISICIÓN DE VEHÍCULO”, informando que es la única documentación que obra en el archivo de la Secretaría Técnica, con relación a los vehículos </w:t>
      </w:r>
      <w:proofErr w:type="spellStart"/>
      <w:r w:rsidRPr="007A7615">
        <w:rPr>
          <w:rFonts w:ascii="Palatino Linotype" w:eastAsia="Palatino Linotype" w:hAnsi="Palatino Linotype" w:cs="Palatino Linotype"/>
        </w:rPr>
        <w:t>autopatrulla</w:t>
      </w:r>
      <w:proofErr w:type="spellEnd"/>
      <w:r w:rsidRPr="007A7615">
        <w:rPr>
          <w:rFonts w:ascii="Palatino Linotype" w:eastAsia="Palatino Linotype" w:hAnsi="Palatino Linotype" w:cs="Palatino Linotype"/>
        </w:rPr>
        <w:t xml:space="preserve"> de 2018 a la fecha.</w:t>
      </w:r>
    </w:p>
    <w:p w:rsidR="00A91087" w:rsidRPr="007A7615" w:rsidRDefault="008A0C95">
      <w:pPr>
        <w:spacing w:before="240" w:after="240" w:line="360" w:lineRule="auto"/>
        <w:ind w:left="284"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3. 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no cuenta con equipo de radiocomunicación.</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t xml:space="preserve">- </w:t>
      </w:r>
      <w:r w:rsidRPr="007A7615">
        <w:rPr>
          <w:rFonts w:ascii="Palatino Linotype" w:eastAsia="Palatino Linotype" w:hAnsi="Palatino Linotype" w:cs="Palatino Linotype"/>
        </w:rPr>
        <w:t>“CONTRATO DE ADQUISICIÓN DE VEHÍCULO”, de fecha veinticinco de agosto de dos mil veintiuno.</w:t>
      </w:r>
    </w:p>
    <w:p w:rsidR="00A91087" w:rsidRPr="007A7615" w:rsidRDefault="008A0C95">
      <w:pPr>
        <w:spacing w:before="240" w:after="240" w:line="360" w:lineRule="auto"/>
        <w:ind w:right="49"/>
        <w:jc w:val="both"/>
        <w:rPr>
          <w:rFonts w:ascii="Palatino Linotype" w:eastAsia="Palatino Linotype" w:hAnsi="Palatino Linotype" w:cs="Palatino Linotype"/>
          <w:b/>
        </w:rPr>
      </w:pPr>
      <w:r w:rsidRPr="007A7615">
        <w:rPr>
          <w:rFonts w:ascii="Palatino Linotype" w:eastAsia="Palatino Linotype" w:hAnsi="Palatino Linotype" w:cs="Palatino Linotype"/>
          <w:b/>
        </w:rPr>
        <w:t xml:space="preserve">3. Interposición del recurso de revisión. </w:t>
      </w:r>
      <w:r w:rsidRPr="007A7615">
        <w:rPr>
          <w:rFonts w:ascii="Palatino Linotype" w:eastAsia="Palatino Linotype" w:hAnsi="Palatino Linotype" w:cs="Palatino Linotype"/>
        </w:rPr>
        <w:t xml:space="preserve">Inconforme con los términos de la respuesta emitida por parte del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el</w:t>
      </w:r>
      <w:r w:rsidRPr="007A7615">
        <w:rPr>
          <w:rFonts w:ascii="Palatino Linotype" w:eastAsia="Palatino Linotype" w:hAnsi="Palatino Linotype" w:cs="Palatino Linotype"/>
          <w:b/>
        </w:rPr>
        <w:t xml:space="preserve"> veintiséis de abril de dos mil veintitrés,</w:t>
      </w:r>
      <w:r w:rsidRPr="007A7615">
        <w:rPr>
          <w:rFonts w:ascii="Palatino Linotype" w:eastAsia="Palatino Linotype" w:hAnsi="Palatino Linotype" w:cs="Palatino Linotype"/>
        </w:rPr>
        <w:t xml:space="preserve">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interpuso el recurso de revisión a través de </w:t>
      </w:r>
      <w:r w:rsidRPr="007A7615">
        <w:rPr>
          <w:rFonts w:ascii="Palatino Linotype" w:eastAsia="Palatino Linotype" w:hAnsi="Palatino Linotype" w:cs="Palatino Linotype"/>
          <w:b/>
        </w:rPr>
        <w:t xml:space="preserve">SAIMEX, </w:t>
      </w:r>
      <w:r w:rsidRPr="007A7615">
        <w:rPr>
          <w:rFonts w:ascii="Palatino Linotype" w:eastAsia="Palatino Linotype" w:hAnsi="Palatino Linotype" w:cs="Palatino Linotype"/>
        </w:rPr>
        <w:t>en donde se manifestó de la siguiente manera:</w:t>
      </w:r>
    </w:p>
    <w:p w:rsidR="00A91087" w:rsidRPr="007A7615" w:rsidRDefault="008A0C95">
      <w:pPr>
        <w:tabs>
          <w:tab w:val="left" w:pos="2745"/>
        </w:tabs>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b/>
        </w:rPr>
        <w:t xml:space="preserve">Acto impugnado: </w:t>
      </w:r>
    </w:p>
    <w:p w:rsidR="00A91087" w:rsidRPr="007A7615" w:rsidRDefault="008A0C95">
      <w:pPr>
        <w:tabs>
          <w:tab w:val="left" w:pos="2745"/>
        </w:tabs>
        <w:spacing w:before="240" w:after="24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“como se percataran con el </w:t>
      </w:r>
      <w:proofErr w:type="spellStart"/>
      <w:r w:rsidRPr="007A7615">
        <w:rPr>
          <w:rFonts w:ascii="Palatino Linotype" w:eastAsia="Palatino Linotype" w:hAnsi="Palatino Linotype" w:cs="Palatino Linotype"/>
          <w:i/>
          <w:sz w:val="22"/>
          <w:szCs w:val="22"/>
        </w:rPr>
        <w:t>doc</w:t>
      </w:r>
      <w:proofErr w:type="spellEnd"/>
      <w:r w:rsidRPr="007A7615">
        <w:rPr>
          <w:rFonts w:ascii="Palatino Linotype" w:eastAsia="Palatino Linotype" w:hAnsi="Palatino Linotype" w:cs="Palatino Linotype"/>
          <w:i/>
          <w:sz w:val="22"/>
          <w:szCs w:val="22"/>
        </w:rPr>
        <w:t xml:space="preserve"> adjunto han comprado y rentado patrullas desde 2018 a la fecha y optaron por esconder TODO lo solicitado </w:t>
      </w:r>
      <w:proofErr w:type="spellStart"/>
      <w:r w:rsidRPr="007A7615">
        <w:rPr>
          <w:rFonts w:ascii="Palatino Linotype" w:eastAsia="Palatino Linotype" w:hAnsi="Palatino Linotype" w:cs="Palatino Linotype"/>
          <w:i/>
          <w:sz w:val="22"/>
          <w:szCs w:val="22"/>
        </w:rPr>
        <w:t>Gugleen</w:t>
      </w:r>
      <w:proofErr w:type="spellEnd"/>
      <w:r w:rsidRPr="007A7615">
        <w:rPr>
          <w:rFonts w:ascii="Palatino Linotype" w:eastAsia="Palatino Linotype" w:hAnsi="Palatino Linotype" w:cs="Palatino Linotype"/>
          <w:i/>
          <w:sz w:val="22"/>
          <w:szCs w:val="22"/>
        </w:rPr>
        <w:t xml:space="preserve"> de 2018 a la fecha y verán cuantas patrullas compraron y </w:t>
      </w:r>
      <w:proofErr w:type="gramStart"/>
      <w:r w:rsidRPr="007A7615">
        <w:rPr>
          <w:rFonts w:ascii="Palatino Linotype" w:eastAsia="Palatino Linotype" w:hAnsi="Palatino Linotype" w:cs="Palatino Linotype"/>
          <w:i/>
          <w:sz w:val="22"/>
          <w:szCs w:val="22"/>
        </w:rPr>
        <w:t>rentaron .</w:t>
      </w:r>
      <w:proofErr w:type="gramEnd"/>
      <w:r w:rsidRPr="007A7615">
        <w:rPr>
          <w:rFonts w:ascii="Palatino Linotype" w:eastAsia="Palatino Linotype" w:hAnsi="Palatino Linotype" w:cs="Palatino Linotype"/>
          <w:i/>
          <w:sz w:val="22"/>
          <w:szCs w:val="22"/>
        </w:rPr>
        <w:t xml:space="preserve"> </w:t>
      </w:r>
      <w:proofErr w:type="gramStart"/>
      <w:r w:rsidRPr="007A7615">
        <w:rPr>
          <w:rFonts w:ascii="Palatino Linotype" w:eastAsia="Palatino Linotype" w:hAnsi="Palatino Linotype" w:cs="Palatino Linotype"/>
          <w:i/>
          <w:sz w:val="22"/>
          <w:szCs w:val="22"/>
        </w:rPr>
        <w:t>mas</w:t>
      </w:r>
      <w:proofErr w:type="gramEnd"/>
      <w:r w:rsidRPr="007A7615">
        <w:rPr>
          <w:rFonts w:ascii="Palatino Linotype" w:eastAsia="Palatino Linotype" w:hAnsi="Palatino Linotype" w:cs="Palatino Linotype"/>
          <w:i/>
          <w:sz w:val="22"/>
          <w:szCs w:val="22"/>
        </w:rPr>
        <w:t xml:space="preserve"> no entrega todos los </w:t>
      </w:r>
      <w:proofErr w:type="spellStart"/>
      <w:r w:rsidRPr="007A7615">
        <w:rPr>
          <w:rFonts w:ascii="Palatino Linotype" w:eastAsia="Palatino Linotype" w:hAnsi="Palatino Linotype" w:cs="Palatino Linotype"/>
          <w:i/>
          <w:sz w:val="22"/>
          <w:szCs w:val="22"/>
        </w:rPr>
        <w:t>doc</w:t>
      </w:r>
      <w:proofErr w:type="spellEnd"/>
      <w:r w:rsidRPr="007A7615">
        <w:rPr>
          <w:rFonts w:ascii="Palatino Linotype" w:eastAsia="Palatino Linotype" w:hAnsi="Palatino Linotype" w:cs="Palatino Linotype"/>
          <w:i/>
          <w:sz w:val="22"/>
          <w:szCs w:val="22"/>
        </w:rPr>
        <w:t xml:space="preserve"> solicitados con máxima transparencia” (sic)</w:t>
      </w:r>
    </w:p>
    <w:p w:rsidR="00A91087" w:rsidRPr="007A7615" w:rsidRDefault="008A0C95">
      <w:pPr>
        <w:spacing w:line="360" w:lineRule="auto"/>
        <w:jc w:val="both"/>
        <w:rPr>
          <w:rFonts w:ascii="Palatino Linotype" w:eastAsia="Palatino Linotype" w:hAnsi="Palatino Linotype" w:cs="Palatino Linotype"/>
        </w:rPr>
      </w:pPr>
      <w:bookmarkStart w:id="3" w:name="_heading=h.30j0zll" w:colFirst="0" w:colLast="0"/>
      <w:bookmarkEnd w:id="3"/>
      <w:r w:rsidRPr="007A7615">
        <w:rPr>
          <w:rFonts w:ascii="Palatino Linotype" w:eastAsia="Palatino Linotype" w:hAnsi="Palatino Linotype" w:cs="Palatino Linotype"/>
          <w:b/>
        </w:rPr>
        <w:t>Y Razones o motivos de inconformidad</w:t>
      </w:r>
      <w:r w:rsidRPr="007A7615">
        <w:rPr>
          <w:rFonts w:ascii="Palatino Linotype" w:eastAsia="Palatino Linotype" w:hAnsi="Palatino Linotype" w:cs="Palatino Linotype"/>
        </w:rPr>
        <w:t xml:space="preserve">: </w:t>
      </w:r>
    </w:p>
    <w:p w:rsidR="00A91087" w:rsidRPr="007A7615" w:rsidRDefault="008A0C95">
      <w:pPr>
        <w:tabs>
          <w:tab w:val="left" w:pos="2745"/>
        </w:tabs>
        <w:spacing w:before="240" w:after="24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lastRenderedPageBreak/>
        <w:t>“opacidad por corrupción" (sic)</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b/>
        </w:rPr>
        <w:t xml:space="preserve">Anexos: </w:t>
      </w:r>
      <w:r w:rsidRPr="007A7615">
        <w:rPr>
          <w:rFonts w:ascii="Palatino Linotype" w:eastAsia="Palatino Linotype" w:hAnsi="Palatino Linotype" w:cs="Palatino Linotype"/>
        </w:rPr>
        <w:t xml:space="preserve">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adjuntó el archivo “</w:t>
      </w:r>
      <w:r w:rsidRPr="007A7615">
        <w:rPr>
          <w:rFonts w:ascii="Palatino Linotype" w:eastAsia="Palatino Linotype" w:hAnsi="Palatino Linotype" w:cs="Palatino Linotype"/>
          <w:i/>
        </w:rPr>
        <w:t>atizapan.pdf</w:t>
      </w:r>
      <w:r w:rsidRPr="007A7615">
        <w:rPr>
          <w:rFonts w:ascii="Palatino Linotype" w:eastAsia="Palatino Linotype" w:hAnsi="Palatino Linotype" w:cs="Palatino Linotype"/>
        </w:rPr>
        <w:t>”, cuyo contenido es el siguiente:</w:t>
      </w:r>
    </w:p>
    <w:p w:rsidR="00A91087" w:rsidRPr="007A7615" w:rsidRDefault="008A0C95">
      <w:pPr>
        <w:spacing w:before="240" w:after="240" w:line="360" w:lineRule="auto"/>
        <w:ind w:right="49"/>
        <w:jc w:val="center"/>
        <w:rPr>
          <w:rFonts w:ascii="Palatino Linotype" w:eastAsia="Palatino Linotype" w:hAnsi="Palatino Linotype" w:cs="Palatino Linotype"/>
        </w:rPr>
      </w:pPr>
      <w:r w:rsidRPr="007A7615">
        <w:rPr>
          <w:noProof/>
        </w:rPr>
        <w:drawing>
          <wp:inline distT="0" distB="0" distL="0" distR="0">
            <wp:extent cx="4860000" cy="6138513"/>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4860000" cy="6138513"/>
                    </a:xfrm>
                    <a:prstGeom prst="rect">
                      <a:avLst/>
                    </a:prstGeom>
                    <a:ln/>
                  </pic:spPr>
                </pic:pic>
              </a:graphicData>
            </a:graphic>
          </wp:inline>
        </w:drawing>
      </w:r>
    </w:p>
    <w:p w:rsidR="00A91087" w:rsidRPr="007A7615" w:rsidRDefault="008A0C95">
      <w:pPr>
        <w:spacing w:before="240" w:after="240" w:line="360" w:lineRule="auto"/>
        <w:ind w:right="49"/>
        <w:jc w:val="center"/>
        <w:rPr>
          <w:rFonts w:ascii="Palatino Linotype" w:eastAsia="Palatino Linotype" w:hAnsi="Palatino Linotype" w:cs="Palatino Linotype"/>
        </w:rPr>
      </w:pPr>
      <w:r w:rsidRPr="007A7615">
        <w:rPr>
          <w:noProof/>
        </w:rPr>
        <w:lastRenderedPageBreak/>
        <w:drawing>
          <wp:inline distT="0" distB="0" distL="0" distR="0">
            <wp:extent cx="5612130" cy="482600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4826000"/>
                    </a:xfrm>
                    <a:prstGeom prst="rect">
                      <a:avLst/>
                    </a:prstGeom>
                    <a:ln/>
                  </pic:spPr>
                </pic:pic>
              </a:graphicData>
            </a:graphic>
          </wp:inline>
        </w:drawing>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b/>
        </w:rPr>
        <w:t xml:space="preserve">4. Turno. </w:t>
      </w:r>
      <w:r w:rsidRPr="007A761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7615">
        <w:rPr>
          <w:rFonts w:ascii="Palatino Linotype" w:eastAsia="Palatino Linotype" w:hAnsi="Palatino Linotype" w:cs="Palatino Linotype"/>
          <w:b/>
        </w:rPr>
        <w:t xml:space="preserve">Guadalupe Ramírez Peña, </w:t>
      </w:r>
      <w:r w:rsidRPr="007A7615">
        <w:rPr>
          <w:rFonts w:ascii="Palatino Linotype" w:eastAsia="Palatino Linotype" w:hAnsi="Palatino Linotype" w:cs="Palatino Linotype"/>
        </w:rPr>
        <w:t xml:space="preserve">a efecto de que analizara sobre su admisión o su </w:t>
      </w:r>
      <w:proofErr w:type="spellStart"/>
      <w:r w:rsidRPr="007A7615">
        <w:rPr>
          <w:rFonts w:ascii="Palatino Linotype" w:eastAsia="Palatino Linotype" w:hAnsi="Palatino Linotype" w:cs="Palatino Linotype"/>
        </w:rPr>
        <w:t>desechamiento</w:t>
      </w:r>
      <w:proofErr w:type="spellEnd"/>
      <w:r w:rsidRPr="007A7615">
        <w:rPr>
          <w:rFonts w:ascii="Palatino Linotype" w:eastAsia="Palatino Linotype" w:hAnsi="Palatino Linotype" w:cs="Palatino Linotype"/>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5. Admisión del Recurso de revisión.</w:t>
      </w:r>
      <w:r w:rsidRPr="007A7615">
        <w:rPr>
          <w:rFonts w:ascii="Palatino Linotype" w:eastAsia="Palatino Linotype" w:hAnsi="Palatino Linotype" w:cs="Palatino Linotype"/>
        </w:rPr>
        <w:t xml:space="preserve"> Con fecha</w:t>
      </w:r>
      <w:r w:rsidRPr="007A7615">
        <w:rPr>
          <w:rFonts w:ascii="Palatino Linotype" w:eastAsia="Palatino Linotype" w:hAnsi="Palatino Linotype" w:cs="Palatino Linotype"/>
          <w:b/>
        </w:rPr>
        <w:t xml:space="preserve"> dos de mayo de dos mil veintitrés, </w:t>
      </w:r>
      <w:r w:rsidRPr="007A7615">
        <w:rPr>
          <w:rFonts w:ascii="Palatino Linotype" w:eastAsia="Palatino Linotype" w:hAnsi="Palatino Linotype" w:cs="Palatino Linotype"/>
        </w:rPr>
        <w:t xml:space="preserve">este Instituto de Transparencia, Acceso a la Información Pública y Protección de </w:t>
      </w:r>
      <w:r w:rsidRPr="007A7615">
        <w:rPr>
          <w:rFonts w:ascii="Palatino Linotype" w:eastAsia="Palatino Linotype" w:hAnsi="Palatino Linotype" w:cs="Palatino Linotype"/>
        </w:rPr>
        <w:lastRenderedPageBreak/>
        <w:t xml:space="preserve">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presentara su informe justificado.</w:t>
      </w:r>
    </w:p>
    <w:p w:rsidR="00A91087" w:rsidRPr="007A7615" w:rsidRDefault="008A0C95">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7A7615">
        <w:rPr>
          <w:rFonts w:ascii="Palatino Linotype" w:eastAsia="Palatino Linotype" w:hAnsi="Palatino Linotype" w:cs="Palatino Linotype"/>
          <w:b/>
        </w:rPr>
        <w:t>6. Manifestaciones</w:t>
      </w:r>
      <w:r w:rsidRPr="007A7615">
        <w:rPr>
          <w:rFonts w:ascii="Palatino Linotype" w:eastAsia="Palatino Linotype" w:hAnsi="Palatino Linotype" w:cs="Palatino Linotype"/>
        </w:rPr>
        <w:t xml:space="preserve">. De las constancias que obran en el expediente electrónico del SAIMEX se desprende que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no rindió su informe justificado, del mismo modo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omitió realizar manifestaciones, como se observa a continuación: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noProof/>
        </w:rPr>
        <w:drawing>
          <wp:inline distT="0" distB="0" distL="0" distR="0">
            <wp:extent cx="5612130" cy="165544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1655445"/>
                    </a:xfrm>
                    <a:prstGeom prst="rect">
                      <a:avLst/>
                    </a:prstGeom>
                    <a:ln/>
                  </pic:spPr>
                </pic:pic>
              </a:graphicData>
            </a:graphic>
          </wp:inline>
        </w:drawing>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 xml:space="preserve">7. Cierre de instrucción. </w:t>
      </w:r>
      <w:r w:rsidRPr="007A761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A7615">
        <w:rPr>
          <w:rFonts w:ascii="Palatino Linotype" w:eastAsia="Palatino Linotype" w:hAnsi="Palatino Linotype" w:cs="Palatino Linotype"/>
          <w:b/>
        </w:rPr>
        <w:t>diecisiete de mayo de dos mil veintitrés</w:t>
      </w:r>
      <w:r w:rsidRPr="007A761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8. Ampliación del término para resolver</w:t>
      </w:r>
      <w:r w:rsidRPr="007A7615">
        <w:rPr>
          <w:rFonts w:ascii="Palatino Linotype" w:eastAsia="Palatino Linotype" w:hAnsi="Palatino Linotype" w:cs="Palatino Linotype"/>
        </w:rPr>
        <w:t xml:space="preserve">. En fecha </w:t>
      </w:r>
      <w:r w:rsidRPr="007A7615">
        <w:rPr>
          <w:rFonts w:ascii="Palatino Linotype" w:eastAsia="Palatino Linotype" w:hAnsi="Palatino Linotype" w:cs="Palatino Linotype"/>
          <w:b/>
        </w:rPr>
        <w:t>treinta de agosto de dos mil veintitrés</w:t>
      </w:r>
      <w:r w:rsidRPr="007A7615">
        <w:rPr>
          <w:rFonts w:ascii="Palatino Linotype" w:eastAsia="Palatino Linotype" w:hAnsi="Palatino Linotype" w:cs="Palatino Linotype"/>
        </w:rPr>
        <w:t xml:space="preserve">, se amplió el término para resolver el recurso de revisión en términos del </w:t>
      </w:r>
      <w:r w:rsidRPr="007A7615">
        <w:rPr>
          <w:rFonts w:ascii="Palatino Linotype" w:eastAsia="Palatino Linotype" w:hAnsi="Palatino Linotype" w:cs="Palatino Linotype"/>
        </w:rPr>
        <w:lastRenderedPageBreak/>
        <w:t>artículo 181 párrafo tercero de la Ley de Transparencia y Acceso a la Información Pública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A91087" w:rsidRPr="007A7615" w:rsidRDefault="008A0C95">
      <w:pPr>
        <w:numPr>
          <w:ilvl w:val="0"/>
          <w:numId w:val="3"/>
        </w:num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A91087" w:rsidRPr="007A7615" w:rsidRDefault="008A0C95">
      <w:pPr>
        <w:numPr>
          <w:ilvl w:val="0"/>
          <w:numId w:val="3"/>
        </w:num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Actividad Procesal del interesado. Acciones u omisiones del interesado.</w:t>
      </w:r>
    </w:p>
    <w:p w:rsidR="00A91087" w:rsidRPr="007A7615" w:rsidRDefault="008A0C95">
      <w:pPr>
        <w:numPr>
          <w:ilvl w:val="0"/>
          <w:numId w:val="3"/>
        </w:num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Conducta de la Autoridad: Las Acciones u omisiones realizadas en el procedimiento. Así como si la autoridad actuó con la debida diligencia.</w:t>
      </w:r>
    </w:p>
    <w:p w:rsidR="00A91087" w:rsidRPr="007A7615" w:rsidRDefault="008A0C95">
      <w:pPr>
        <w:spacing w:before="240" w:after="240" w:line="360" w:lineRule="auto"/>
        <w:ind w:left="567"/>
        <w:jc w:val="both"/>
        <w:rPr>
          <w:rFonts w:ascii="Palatino Linotype" w:eastAsia="Palatino Linotype" w:hAnsi="Palatino Linotype" w:cs="Palatino Linotype"/>
        </w:rPr>
      </w:pPr>
      <w:r w:rsidRPr="007A7615">
        <w:rPr>
          <w:rFonts w:ascii="Palatino Linotype" w:eastAsia="Palatino Linotype" w:hAnsi="Palatino Linotype" w:cs="Palatino Linotype"/>
        </w:rPr>
        <w:t>d) La afectación generada en la situación jurídica de la persona involucrada en el proceso: Violación a sus derechos humanos.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91087" w:rsidRPr="007A7615" w:rsidRDefault="008A0C95">
      <w:pP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rPr>
        <w:t>Argumento que encuentra sustento en la jurisprudencia P</w:t>
      </w:r>
      <w:proofErr w:type="gramStart"/>
      <w:r w:rsidRPr="007A7615">
        <w:rPr>
          <w:rFonts w:ascii="Palatino Linotype" w:eastAsia="Palatino Linotype" w:hAnsi="Palatino Linotype" w:cs="Palatino Linotype"/>
        </w:rPr>
        <w:t>./</w:t>
      </w:r>
      <w:proofErr w:type="gramEnd"/>
      <w:r w:rsidRPr="007A7615">
        <w:rPr>
          <w:rFonts w:ascii="Palatino Linotype" w:eastAsia="Palatino Linotype" w:hAnsi="Palatino Linotype" w:cs="Palatino Linotype"/>
        </w:rPr>
        <w:t xml:space="preserve">J. 32/92 emitida por el Pleno de la Suprema Corte de Justicia de la Nación de rubro </w:t>
      </w:r>
      <w:r w:rsidRPr="007A7615">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7A7615">
        <w:rPr>
          <w:rFonts w:ascii="Palatino Linotype" w:eastAsia="Palatino Linotype" w:hAnsi="Palatino Linotype" w:cs="Palatino Linotype"/>
          <w:i/>
        </w:rPr>
        <w:lastRenderedPageBreak/>
        <w:t>CARACTERÍSTICAS DEL CASO.”</w:t>
      </w:r>
      <w:r w:rsidRPr="007A7615">
        <w:rPr>
          <w:rFonts w:ascii="Palatino Linotype" w:eastAsia="Palatino Linotype" w:hAnsi="Palatino Linotype" w:cs="Palatino Linotype"/>
        </w:rPr>
        <w:t>, visible en la Gaceta del Seminario Judicial de la Federación con el registro digital 205635.</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91087" w:rsidRPr="007A7615" w:rsidRDefault="008A0C95">
      <w:pPr>
        <w:spacing w:before="240" w:after="24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PLAZO RAZONABLE PARA RESOLVER. DIMENSIÓN Y EFECTOS DE ESTE CONCEPTO CUANDO SE ADUCE EXCESIVA CARGA DE TRABAJO</w:t>
      </w: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sz w:val="22"/>
          <w:szCs w:val="22"/>
        </w:rPr>
        <w:t xml:space="preserve"> consultable en el Seminario Judicial de la Federación y su gaceta, con el registro digital 2002351.</w:t>
      </w:r>
    </w:p>
    <w:p w:rsidR="00A91087" w:rsidRPr="007A7615" w:rsidRDefault="008A0C95">
      <w:pPr>
        <w:spacing w:before="240" w:after="24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sz w:val="22"/>
          <w:szCs w:val="22"/>
        </w:rPr>
        <w:t>, visible en el Seminario Judicial de la Federación y su gaceta, con el registro digital 2002350.</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91087" w:rsidRPr="007A7615" w:rsidRDefault="008A0C95">
      <w:pPr>
        <w:widowControl w:val="0"/>
        <w:spacing w:before="240" w:after="240" w:line="360" w:lineRule="auto"/>
        <w:jc w:val="center"/>
        <w:rPr>
          <w:rFonts w:ascii="Palatino Linotype" w:eastAsia="Palatino Linotype" w:hAnsi="Palatino Linotype" w:cs="Palatino Linotype"/>
          <w:b/>
        </w:rPr>
      </w:pPr>
      <w:r w:rsidRPr="007A7615">
        <w:rPr>
          <w:rFonts w:ascii="Palatino Linotype" w:eastAsia="Palatino Linotype" w:hAnsi="Palatino Linotype" w:cs="Palatino Linotype"/>
          <w:b/>
        </w:rPr>
        <w:t>II. C O N S I D E R A N D O 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Primero. Competencia.</w:t>
      </w:r>
      <w:r w:rsidRPr="007A761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7A7615">
        <w:rPr>
          <w:rFonts w:ascii="Palatino Linotype" w:eastAsia="Palatino Linotype" w:hAnsi="Palatino Linotype" w:cs="Palatino Linotype"/>
          <w:b/>
        </w:rPr>
        <w:t xml:space="preserve">Segundo. Oportunidad y </w:t>
      </w:r>
      <w:proofErr w:type="spellStart"/>
      <w:r w:rsidRPr="007A7615">
        <w:rPr>
          <w:rFonts w:ascii="Palatino Linotype" w:eastAsia="Palatino Linotype" w:hAnsi="Palatino Linotype" w:cs="Palatino Linotype"/>
          <w:b/>
        </w:rPr>
        <w:t>Procedibilidad</w:t>
      </w:r>
      <w:proofErr w:type="spellEnd"/>
      <w:r w:rsidRPr="007A7615">
        <w:rPr>
          <w:rFonts w:ascii="Palatino Linotype" w:eastAsia="Palatino Linotype" w:hAnsi="Palatino Linotype" w:cs="Palatino Linotype"/>
          <w:b/>
        </w:rPr>
        <w:t xml:space="preserve"> del Recurso de Revisión</w:t>
      </w:r>
      <w:r w:rsidRPr="007A7615">
        <w:rPr>
          <w:rFonts w:ascii="Palatino Linotype" w:eastAsia="Palatino Linotype" w:hAnsi="Palatino Linotype" w:cs="Palatino Linotype"/>
        </w:rPr>
        <w:t xml:space="preserve">. Previo al estudio del fondo del asunto, se procede a analizar los requisitos de oportunidad y </w:t>
      </w:r>
      <w:proofErr w:type="spellStart"/>
      <w:r w:rsidRPr="007A7615">
        <w:rPr>
          <w:rFonts w:ascii="Palatino Linotype" w:eastAsia="Palatino Linotype" w:hAnsi="Palatino Linotype" w:cs="Palatino Linotype"/>
        </w:rPr>
        <w:t>procedibilidad</w:t>
      </w:r>
      <w:proofErr w:type="spellEnd"/>
      <w:r w:rsidRPr="007A7615">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 xml:space="preserve">remitió la respuesta a la solicitud de información el día </w:t>
      </w:r>
      <w:r w:rsidRPr="007A7615">
        <w:rPr>
          <w:rFonts w:ascii="Palatino Linotype" w:eastAsia="Palatino Linotype" w:hAnsi="Palatino Linotype" w:cs="Palatino Linotype"/>
          <w:b/>
        </w:rPr>
        <w:t xml:space="preserve">veinticinco de abril de dos mil veintitrés, </w:t>
      </w:r>
      <w:r w:rsidRPr="007A7615">
        <w:rPr>
          <w:rFonts w:ascii="Palatino Linotype" w:eastAsia="Palatino Linotype" w:hAnsi="Palatino Linotype" w:cs="Palatino Linotype"/>
        </w:rPr>
        <w:t xml:space="preserve">mientras que el recurso de revisión interpuesto por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se tuvo por presentado el día </w:t>
      </w:r>
      <w:r w:rsidRPr="007A7615">
        <w:rPr>
          <w:rFonts w:ascii="Palatino Linotype" w:eastAsia="Palatino Linotype" w:hAnsi="Palatino Linotype" w:cs="Palatino Linotype"/>
          <w:b/>
        </w:rPr>
        <w:t xml:space="preserve">veintiséis de abril de dos mil veintitrés, </w:t>
      </w:r>
      <w:r w:rsidRPr="007A7615">
        <w:rPr>
          <w:rFonts w:ascii="Palatino Linotype" w:eastAsia="Palatino Linotype" w:hAnsi="Palatino Linotype" w:cs="Palatino Linotype"/>
        </w:rPr>
        <w:t>esto es, al siguiente día hábil posterior en que tuvo conocimiento de la respuesta impugnada.</w:t>
      </w:r>
    </w:p>
    <w:p w:rsidR="00A91087" w:rsidRPr="007A7615" w:rsidRDefault="008A0C95">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7A7615">
        <w:rPr>
          <w:rFonts w:ascii="Palatino Linotype" w:eastAsia="Palatino Linotype" w:hAnsi="Palatino Linotype" w:cs="Palatino Linotype"/>
        </w:rPr>
        <w:t xml:space="preserve">Al mismo tiempo, por cuanto hace a la </w:t>
      </w:r>
      <w:proofErr w:type="spellStart"/>
      <w:r w:rsidRPr="007A7615">
        <w:rPr>
          <w:rFonts w:ascii="Palatino Linotype" w:eastAsia="Palatino Linotype" w:hAnsi="Palatino Linotype" w:cs="Palatino Linotype"/>
        </w:rPr>
        <w:t>procedibilidad</w:t>
      </w:r>
      <w:proofErr w:type="spellEnd"/>
      <w:r w:rsidRPr="007A7615">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Finalmente, se advierte que resulta procedente la interposición del recurso, según lo manifestado por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en sus motivos de inconformidad, de acuerdo al artículo 179, fracción V del ordenamiento legal citado, que a la letra dice: </w:t>
      </w:r>
    </w:p>
    <w:p w:rsidR="00A91087" w:rsidRPr="007A7615" w:rsidRDefault="008A0C95">
      <w:pPr>
        <w:spacing w:before="120" w:after="120"/>
        <w:ind w:left="993"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179.</w:t>
      </w:r>
      <w:r w:rsidRPr="007A761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A91087" w:rsidRPr="007A7615" w:rsidRDefault="008A0C95">
      <w:pPr>
        <w:spacing w:before="120" w:after="120"/>
        <w:ind w:left="1134"/>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spacing w:before="120" w:after="120"/>
        <w:ind w:left="1134"/>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V. </w:t>
      </w:r>
      <w:r w:rsidRPr="007A7615">
        <w:rPr>
          <w:rFonts w:ascii="Palatino Linotype" w:eastAsia="Palatino Linotype" w:hAnsi="Palatino Linotype" w:cs="Palatino Linotype"/>
          <w:i/>
          <w:sz w:val="22"/>
          <w:szCs w:val="22"/>
        </w:rPr>
        <w:t>La entrega de información incompleta</w:t>
      </w: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w:t>
      </w:r>
    </w:p>
    <w:p w:rsidR="00A91087" w:rsidRPr="007A7615" w:rsidRDefault="008A0C95">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7A7615">
        <w:rPr>
          <w:rFonts w:ascii="Palatino Linotype" w:eastAsia="Palatino Linotype" w:hAnsi="Palatino Linotype" w:cs="Palatino Linotype"/>
          <w:b/>
        </w:rPr>
        <w:t xml:space="preserve">Tercero. Materia de la revisión. </w:t>
      </w:r>
      <w:r w:rsidRPr="007A761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A7615">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sidRPr="007A7615">
        <w:rPr>
          <w:rFonts w:ascii="Palatino Linotype" w:eastAsia="Palatino Linotype" w:hAnsi="Palatino Linotype" w:cs="Palatino Linotype"/>
        </w:rPr>
        <w:t xml:space="preserve">de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o en su defecto, en caso de ser procedente, ordenar la entrega de información oportuna.</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b/>
        </w:rPr>
        <w:t xml:space="preserve">Cuarto. Estudio del asunto. </w:t>
      </w:r>
      <w:r w:rsidRPr="007A7615">
        <w:rPr>
          <w:rFonts w:ascii="Palatino Linotype" w:eastAsia="Palatino Linotype" w:hAnsi="Palatino Linotype" w:cs="Palatino Linotype"/>
        </w:rPr>
        <w:t xml:space="preserve">Del análisis de la solicitud de información, motivo del recurso de revisión que ahora se resuelve se advierte que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requirió al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le proporcione, información consistente en lo siguiente:</w:t>
      </w:r>
    </w:p>
    <w:p w:rsidR="00A91087" w:rsidRPr="007A7615" w:rsidRDefault="008A0C95">
      <w:pPr>
        <w:spacing w:before="240" w:after="240" w:line="360" w:lineRule="auto"/>
        <w:ind w:left="284" w:right="51"/>
        <w:jc w:val="both"/>
        <w:rPr>
          <w:rFonts w:ascii="Palatino Linotype" w:eastAsia="Palatino Linotype" w:hAnsi="Palatino Linotype" w:cs="Palatino Linotype"/>
        </w:rPr>
      </w:pPr>
      <w:r w:rsidRPr="007A7615">
        <w:rPr>
          <w:rFonts w:ascii="Palatino Linotype" w:eastAsia="Palatino Linotype" w:hAnsi="Palatino Linotype" w:cs="Palatino Linotype"/>
        </w:rPr>
        <w:t>1. De las patrullas municipales, del uno de enero de dos mil dieciocho al trece de abril de dos mil veintitrés:</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a. Copia del contrato.</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b. Estudios de mercado.</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c. Acta del Cabildo para su compra, o del Subcomité de Adquisiciones, Arrendamiento y Prestación de Servicios.</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d. Revisión de anexos por parte del Órgano Interno de Control.</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e. Los anexos, tarjeta de circulación, tenencias, verificación.</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f. Junta de aclaraciones.</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g. Propuestas económicas.</w:t>
      </w:r>
    </w:p>
    <w:p w:rsidR="00A91087" w:rsidRPr="007A7615" w:rsidRDefault="008A0C95">
      <w:pPr>
        <w:spacing w:before="240" w:after="240" w:line="276" w:lineRule="auto"/>
        <w:ind w:left="567" w:right="49"/>
        <w:jc w:val="both"/>
        <w:rPr>
          <w:rFonts w:ascii="Palatino Linotype" w:eastAsia="Palatino Linotype" w:hAnsi="Palatino Linotype" w:cs="Palatino Linotype"/>
        </w:rPr>
      </w:pPr>
      <w:r w:rsidRPr="007A7615">
        <w:rPr>
          <w:rFonts w:ascii="Palatino Linotype" w:eastAsia="Palatino Linotype" w:hAnsi="Palatino Linotype" w:cs="Palatino Linotype"/>
        </w:rPr>
        <w:t>h. Costo del vehículo, del equipo policial y del radio; marcas y modelos de los mismos.</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respuesta,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a través de la Unidad de Transparencia, hizo del conocimiento de la persona solicitante el pronunciamiento emitido por los </w:t>
      </w:r>
      <w:r w:rsidRPr="007A7615">
        <w:rPr>
          <w:rFonts w:ascii="Palatino Linotype" w:eastAsia="Palatino Linotype" w:hAnsi="Palatino Linotype" w:cs="Palatino Linotype"/>
        </w:rPr>
        <w:lastRenderedPageBreak/>
        <w:t>servidores públicos de la Secretaría del Ayuntamiento, la Dirección de Seguridad Pública, y la Dirección de Administración, quienes se pronunciaron en los siguientes términos:</w:t>
      </w:r>
    </w:p>
    <w:p w:rsidR="00A91087" w:rsidRPr="007A7615" w:rsidRDefault="008A0C95">
      <w:pPr>
        <w:spacing w:before="240" w:after="240" w:line="360" w:lineRule="auto"/>
        <w:ind w:left="284"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u w:val="single"/>
        </w:rPr>
        <w:t>Secretario del Ayuntamiento</w:t>
      </w:r>
      <w:r w:rsidRPr="007A7615">
        <w:rPr>
          <w:rFonts w:ascii="Palatino Linotype" w:eastAsia="Palatino Linotype" w:hAnsi="Palatino Linotype" w:cs="Palatino Linotype"/>
        </w:rPr>
        <w:t>: informó que realizó una búsqueda minuciosa en esta Secretaría y no se encontró Acta de Cabildo donde se haya realizado la compra de alguna patrulla del ejercicio 2018 a la fecha.</w:t>
      </w:r>
    </w:p>
    <w:p w:rsidR="00A91087" w:rsidRPr="007A7615" w:rsidRDefault="008A0C95">
      <w:pPr>
        <w:spacing w:before="240" w:after="240" w:line="360" w:lineRule="auto"/>
        <w:ind w:left="284"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u w:val="single"/>
        </w:rPr>
        <w:t>Director de Seguridad Pública</w:t>
      </w:r>
      <w:r w:rsidRPr="007A7615">
        <w:rPr>
          <w:rFonts w:ascii="Palatino Linotype" w:eastAsia="Palatino Linotype" w:hAnsi="Palatino Linotype" w:cs="Palatino Linotype"/>
        </w:rPr>
        <w:t xml:space="preserve">: manifestó que del 2018 a la fecha, solo se ha adquirido un vehículo siendo un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anexó en copia simple el “CONTRATO DE ADQUISICIÓN DE VEHÍCULO”, mismo que consta de once fojas, e informó que es la única documentación que obra en el archivo de la Secretaría Técnica, con relación a los vehículos </w:t>
      </w:r>
      <w:proofErr w:type="spellStart"/>
      <w:r w:rsidRPr="007A7615">
        <w:rPr>
          <w:rFonts w:ascii="Palatino Linotype" w:eastAsia="Palatino Linotype" w:hAnsi="Palatino Linotype" w:cs="Palatino Linotype"/>
        </w:rPr>
        <w:t>autopatrulla</w:t>
      </w:r>
      <w:proofErr w:type="spellEnd"/>
      <w:r w:rsidRPr="007A7615">
        <w:rPr>
          <w:rFonts w:ascii="Palatino Linotype" w:eastAsia="Palatino Linotype" w:hAnsi="Palatino Linotype" w:cs="Palatino Linotype"/>
        </w:rPr>
        <w:t xml:space="preserve"> de 2018 a la fecha; y, finalmente, refirió que 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no cuenta con equipo de radiocomunicación.</w:t>
      </w:r>
    </w:p>
    <w:p w:rsidR="00A91087" w:rsidRPr="007A7615" w:rsidRDefault="008A0C95">
      <w:pPr>
        <w:spacing w:before="240" w:after="240" w:line="360" w:lineRule="auto"/>
        <w:ind w:left="284"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u w:val="single"/>
        </w:rPr>
        <w:t>Director de Administración</w:t>
      </w:r>
      <w:r w:rsidRPr="007A7615">
        <w:rPr>
          <w:rFonts w:ascii="Palatino Linotype" w:eastAsia="Palatino Linotype" w:hAnsi="Palatino Linotype" w:cs="Palatino Linotype"/>
        </w:rPr>
        <w:t>: informó que no contaba con dicha información, ya que no le compete al área a su cargo, y sugirió pedirla misma al área correspondiente.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No obstante, al no estar conforme con los términos de dicha respuesta, la persona solicitante interpuso el recurso de revisión que nos ocupa, mediante el cual manifestó, como acto impugnado “</w:t>
      </w:r>
      <w:r w:rsidRPr="007A7615">
        <w:rPr>
          <w:rFonts w:ascii="Palatino Linotype" w:eastAsia="Palatino Linotype" w:hAnsi="Palatino Linotype" w:cs="Palatino Linotype"/>
          <w:i/>
        </w:rPr>
        <w:t xml:space="preserve">como se percataran con el </w:t>
      </w:r>
      <w:proofErr w:type="spellStart"/>
      <w:r w:rsidRPr="007A7615">
        <w:rPr>
          <w:rFonts w:ascii="Palatino Linotype" w:eastAsia="Palatino Linotype" w:hAnsi="Palatino Linotype" w:cs="Palatino Linotype"/>
          <w:i/>
        </w:rPr>
        <w:t>doc</w:t>
      </w:r>
      <w:proofErr w:type="spellEnd"/>
      <w:r w:rsidRPr="007A7615">
        <w:rPr>
          <w:rFonts w:ascii="Palatino Linotype" w:eastAsia="Palatino Linotype" w:hAnsi="Palatino Linotype" w:cs="Palatino Linotype"/>
          <w:i/>
        </w:rPr>
        <w:t xml:space="preserve"> adjunto han comprado y rentado patrullas desde 2018 a la fecha y optaron por esconder TODO lo solicitado </w:t>
      </w:r>
      <w:proofErr w:type="spellStart"/>
      <w:r w:rsidRPr="007A7615">
        <w:rPr>
          <w:rFonts w:ascii="Palatino Linotype" w:eastAsia="Palatino Linotype" w:hAnsi="Palatino Linotype" w:cs="Palatino Linotype"/>
          <w:i/>
        </w:rPr>
        <w:t>Gugleen</w:t>
      </w:r>
      <w:proofErr w:type="spellEnd"/>
      <w:r w:rsidRPr="007A7615">
        <w:rPr>
          <w:rFonts w:ascii="Palatino Linotype" w:eastAsia="Palatino Linotype" w:hAnsi="Palatino Linotype" w:cs="Palatino Linotype"/>
          <w:i/>
        </w:rPr>
        <w:t xml:space="preserve"> de 2018 a la fecha y verán cuantas patrullas compraron y </w:t>
      </w:r>
      <w:proofErr w:type="gramStart"/>
      <w:r w:rsidRPr="007A7615">
        <w:rPr>
          <w:rFonts w:ascii="Palatino Linotype" w:eastAsia="Palatino Linotype" w:hAnsi="Palatino Linotype" w:cs="Palatino Linotype"/>
          <w:i/>
        </w:rPr>
        <w:t>rentaron .</w:t>
      </w:r>
      <w:proofErr w:type="gramEnd"/>
      <w:r w:rsidRPr="007A7615">
        <w:rPr>
          <w:rFonts w:ascii="Palatino Linotype" w:eastAsia="Palatino Linotype" w:hAnsi="Palatino Linotype" w:cs="Palatino Linotype"/>
          <w:i/>
        </w:rPr>
        <w:t xml:space="preserve"> </w:t>
      </w:r>
      <w:proofErr w:type="gramStart"/>
      <w:r w:rsidRPr="007A7615">
        <w:rPr>
          <w:rFonts w:ascii="Palatino Linotype" w:eastAsia="Palatino Linotype" w:hAnsi="Palatino Linotype" w:cs="Palatino Linotype"/>
          <w:b/>
          <w:i/>
          <w:u w:val="single"/>
        </w:rPr>
        <w:t>mas</w:t>
      </w:r>
      <w:proofErr w:type="gramEnd"/>
      <w:r w:rsidRPr="007A7615">
        <w:rPr>
          <w:rFonts w:ascii="Palatino Linotype" w:eastAsia="Palatino Linotype" w:hAnsi="Palatino Linotype" w:cs="Palatino Linotype"/>
          <w:b/>
          <w:i/>
          <w:u w:val="single"/>
        </w:rPr>
        <w:t xml:space="preserve"> no entrega todos los </w:t>
      </w:r>
      <w:proofErr w:type="spellStart"/>
      <w:r w:rsidRPr="007A7615">
        <w:rPr>
          <w:rFonts w:ascii="Palatino Linotype" w:eastAsia="Palatino Linotype" w:hAnsi="Palatino Linotype" w:cs="Palatino Linotype"/>
          <w:b/>
          <w:i/>
          <w:u w:val="single"/>
        </w:rPr>
        <w:t>doc</w:t>
      </w:r>
      <w:proofErr w:type="spellEnd"/>
      <w:r w:rsidRPr="007A7615">
        <w:rPr>
          <w:rFonts w:ascii="Palatino Linotype" w:eastAsia="Palatino Linotype" w:hAnsi="Palatino Linotype" w:cs="Palatino Linotype"/>
          <w:b/>
          <w:i/>
          <w:u w:val="single"/>
        </w:rPr>
        <w:t xml:space="preserve"> solicitados</w:t>
      </w:r>
      <w:r w:rsidRPr="007A7615">
        <w:rPr>
          <w:rFonts w:ascii="Palatino Linotype" w:eastAsia="Palatino Linotype" w:hAnsi="Palatino Linotype" w:cs="Palatino Linotype"/>
          <w:b/>
          <w:i/>
        </w:rPr>
        <w:t xml:space="preserve"> </w:t>
      </w:r>
      <w:r w:rsidRPr="007A7615">
        <w:rPr>
          <w:rFonts w:ascii="Palatino Linotype" w:eastAsia="Palatino Linotype" w:hAnsi="Palatino Linotype" w:cs="Palatino Linotype"/>
          <w:i/>
        </w:rPr>
        <w:t>con máxima transparencia</w:t>
      </w:r>
      <w:r w:rsidRPr="007A7615">
        <w:rPr>
          <w:rFonts w:ascii="Palatino Linotype" w:eastAsia="Palatino Linotype" w:hAnsi="Palatino Linotype" w:cs="Palatino Linotype"/>
        </w:rPr>
        <w:t>” (sic), y como motivo de inconformidad “</w:t>
      </w:r>
      <w:r w:rsidRPr="007A7615">
        <w:rPr>
          <w:rFonts w:ascii="Palatino Linotype" w:eastAsia="Palatino Linotype" w:hAnsi="Palatino Linotype" w:cs="Palatino Linotype"/>
          <w:i/>
        </w:rPr>
        <w:t>opacidad por corrupción</w:t>
      </w:r>
      <w:r w:rsidRPr="007A7615">
        <w:rPr>
          <w:rFonts w:ascii="Palatino Linotype" w:eastAsia="Palatino Linotype" w:hAnsi="Palatino Linotype" w:cs="Palatino Linotype"/>
        </w:rPr>
        <w:t>” (sic)</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No pasa desapercibido que la persona solicitante realizó diversos planteamientos subjetivos, como parte de su recurso de revisión, tales como “</w:t>
      </w:r>
      <w:r w:rsidRPr="007A7615">
        <w:rPr>
          <w:rFonts w:ascii="Palatino Linotype" w:eastAsia="Palatino Linotype" w:hAnsi="Palatino Linotype" w:cs="Palatino Linotype"/>
          <w:i/>
        </w:rPr>
        <w:t>optaron por esconder TODO</w:t>
      </w:r>
      <w:r w:rsidRPr="007A7615">
        <w:rPr>
          <w:rFonts w:ascii="Palatino Linotype" w:eastAsia="Palatino Linotype" w:hAnsi="Palatino Linotype" w:cs="Palatino Linotype"/>
        </w:rPr>
        <w:t>”(sic), “</w:t>
      </w:r>
      <w:proofErr w:type="spellStart"/>
      <w:r w:rsidRPr="007A7615">
        <w:rPr>
          <w:rFonts w:ascii="Palatino Linotype" w:eastAsia="Palatino Linotype" w:hAnsi="Palatino Linotype" w:cs="Palatino Linotype"/>
          <w:i/>
        </w:rPr>
        <w:t>Gugleen</w:t>
      </w:r>
      <w:proofErr w:type="spellEnd"/>
      <w:r w:rsidRPr="007A7615">
        <w:rPr>
          <w:rFonts w:ascii="Palatino Linotype" w:eastAsia="Palatino Linotype" w:hAnsi="Palatino Linotype" w:cs="Palatino Linotype"/>
        </w:rPr>
        <w:t>” (sic), “</w:t>
      </w:r>
      <w:r w:rsidRPr="007A7615">
        <w:rPr>
          <w:rFonts w:ascii="Palatino Linotype" w:eastAsia="Palatino Linotype" w:hAnsi="Palatino Linotype" w:cs="Palatino Linotype"/>
          <w:i/>
        </w:rPr>
        <w:t>opacidad por corrupción</w:t>
      </w:r>
      <w:r w:rsidRPr="007A7615">
        <w:rPr>
          <w:rFonts w:ascii="Palatino Linotype" w:eastAsia="Palatino Linotype" w:hAnsi="Palatino Linotype" w:cs="Palatino Linotype"/>
        </w:rPr>
        <w:t>” (sic), etcétera,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 motivo de inconformidad. En este sentido, se trata de manifestaciones sobre las cuales este Instituto no está facultado para pronunciarse.</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Asimismo, es de suma importancia señalar que si bien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en el recurso de revisión hizo referencia a patrullas compradas y rentadas por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 xml:space="preserve">la materia de la solitud, como se desprende del antecedente marcado con el numeral 1, es sobre patrullas compradas, en este tenor, se advierte que se pretendió ampliar su solicitud a través del recurso de revisión, toda vez que no fue requerida documentación relacionada con patrullas rentadas, es decir, la información no fue requerida en un primer momento en dichos términos, en este sentido, dichos pronunciamientos se traducen como una </w:t>
      </w:r>
      <w:r w:rsidRPr="007A7615">
        <w:rPr>
          <w:rFonts w:ascii="Palatino Linotype" w:eastAsia="Palatino Linotype" w:hAnsi="Palatino Linotype" w:cs="Palatino Linotype"/>
          <w:i/>
        </w:rPr>
        <w:t xml:space="preserve">plus </w:t>
      </w:r>
      <w:proofErr w:type="spellStart"/>
      <w:r w:rsidRPr="007A7615">
        <w:rPr>
          <w:rFonts w:ascii="Palatino Linotype" w:eastAsia="Palatino Linotype" w:hAnsi="Palatino Linotype" w:cs="Palatino Linotype"/>
          <w:i/>
        </w:rPr>
        <w:t>petitio</w:t>
      </w:r>
      <w:proofErr w:type="spellEnd"/>
      <w:r w:rsidRPr="007A7615">
        <w:rPr>
          <w:rFonts w:ascii="Palatino Linotype" w:eastAsia="Palatino Linotype" w:hAnsi="Palatino Linotype" w:cs="Palatino Linotype"/>
          <w:b/>
          <w:i/>
        </w:rPr>
        <w:t xml:space="preserve">, </w:t>
      </w:r>
      <w:r w:rsidRPr="007A7615">
        <w:rPr>
          <w:rFonts w:ascii="Palatino Linotype" w:eastAsia="Palatino Linotype" w:hAnsi="Palatino Linotype" w:cs="Palatino Linotype"/>
        </w:rPr>
        <w:t xml:space="preserve">y por tanto inatendibles a través del recurso de revisión.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este orden de ideas, una vez formulada su solicitud inicial,</w:t>
      </w:r>
      <w:r w:rsidRPr="007A7615">
        <w:rPr>
          <w:rFonts w:ascii="Palatino Linotype" w:eastAsia="Palatino Linotype" w:hAnsi="Palatino Linotype" w:cs="Palatino Linotype"/>
          <w:i/>
        </w:rPr>
        <w:t xml:space="preserve"> </w:t>
      </w:r>
      <w:r w:rsidRPr="007A7615">
        <w:rPr>
          <w:rFonts w:ascii="Palatino Linotype" w:eastAsia="Palatino Linotype" w:hAnsi="Palatino Linotype" w:cs="Palatino Linotype"/>
        </w:rPr>
        <w:t xml:space="preserve">las personas solicitantes no pueden modificarla o ampliarla a través de posteriores promociones o en el momento de ingresar su recurso de revisión y menos aún si les fue otorgada </w:t>
      </w:r>
      <w:r w:rsidRPr="007A7615">
        <w:rPr>
          <w:rFonts w:ascii="Palatino Linotype" w:eastAsia="Palatino Linotype" w:hAnsi="Palatino Linotype" w:cs="Palatino Linotype"/>
        </w:rPr>
        <w:lastRenderedPageBreak/>
        <w:t>la oportunidad para su ampliación, por tanto, la materia de las solicitudes de información se circunscribe a que se permita el acceso a los documentos inicialmente solicitados y en su caso a los aclarados o corregidos.</w:t>
      </w:r>
    </w:p>
    <w:p w:rsidR="00A91087" w:rsidRPr="007A7615" w:rsidRDefault="008A0C95">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A91087" w:rsidRPr="007A7615" w:rsidRDefault="008A0C95">
      <w:pPr>
        <w:spacing w:before="240" w:after="240"/>
        <w:ind w:left="851" w:right="900"/>
        <w:jc w:val="both"/>
        <w:rPr>
          <w:rFonts w:ascii="Palatino Linotype" w:eastAsia="Palatino Linotype" w:hAnsi="Palatino Linotype" w:cs="Palatino Linotype"/>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7A7615">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No obstante, de lo anterior, se dejan a salvo los derechos de la persona solicitante, para que, en caso de considerar conveniente a sus intereses, el conocer la información que fue señalada, la solicite a través de una nueva solicitud de información.</w:t>
      </w:r>
    </w:p>
    <w:p w:rsidR="00A91087" w:rsidRPr="007A7615" w:rsidRDefault="008A0C95">
      <w:pPr>
        <w:spacing w:before="240" w:after="240" w:line="360" w:lineRule="auto"/>
        <w:ind w:right="51"/>
        <w:jc w:val="both"/>
        <w:rPr>
          <w:rFonts w:ascii="Palatino Linotype" w:eastAsia="Palatino Linotype" w:hAnsi="Palatino Linotype" w:cs="Palatino Linotype"/>
          <w:b/>
        </w:rPr>
      </w:pPr>
      <w:r w:rsidRPr="007A7615">
        <w:rPr>
          <w:rFonts w:ascii="Palatino Linotype" w:eastAsia="Palatino Linotype" w:hAnsi="Palatino Linotype" w:cs="Palatino Linotype"/>
        </w:rPr>
        <w:t>Respecto del documento adjunto al recurso de revisión, mismo que consiste en la captura de pantalla de los resultados de búsqueda del motor de búsqueda “Google”, relacionada con “</w:t>
      </w:r>
      <w:r w:rsidRPr="007A7615">
        <w:rPr>
          <w:rFonts w:ascii="Palatino Linotype" w:eastAsia="Palatino Linotype" w:hAnsi="Palatino Linotype" w:cs="Palatino Linotype"/>
          <w:i/>
        </w:rPr>
        <w:t xml:space="preserve">entrega patrullas en </w:t>
      </w:r>
      <w:proofErr w:type="spellStart"/>
      <w:r w:rsidRPr="007A7615">
        <w:rPr>
          <w:rFonts w:ascii="Palatino Linotype" w:eastAsia="Palatino Linotype" w:hAnsi="Palatino Linotype" w:cs="Palatino Linotype"/>
          <w:i/>
        </w:rPr>
        <w:t>atizapán</w:t>
      </w:r>
      <w:proofErr w:type="spellEnd"/>
      <w:r w:rsidRPr="007A7615">
        <w:rPr>
          <w:rFonts w:ascii="Palatino Linotype" w:eastAsia="Palatino Linotype" w:hAnsi="Palatino Linotype" w:cs="Palatino Linotype"/>
          <w:i/>
        </w:rPr>
        <w:t xml:space="preserve"> </w:t>
      </w:r>
      <w:proofErr w:type="spellStart"/>
      <w:r w:rsidRPr="007A7615">
        <w:rPr>
          <w:rFonts w:ascii="Palatino Linotype" w:eastAsia="Palatino Linotype" w:hAnsi="Palatino Linotype" w:cs="Palatino Linotype"/>
          <w:i/>
        </w:rPr>
        <w:t>edo</w:t>
      </w:r>
      <w:proofErr w:type="spellEnd"/>
      <w:r w:rsidRPr="007A7615">
        <w:rPr>
          <w:rFonts w:ascii="Palatino Linotype" w:eastAsia="Palatino Linotype" w:hAnsi="Palatino Linotype" w:cs="Palatino Linotype"/>
        </w:rPr>
        <w:t xml:space="preserve">” (sic), como se aprecia en las páginas 4 y 5 de la presente resolución, es de suma importancia mencionar que </w:t>
      </w:r>
      <w:r w:rsidRPr="007A7615">
        <w:rPr>
          <w:rFonts w:ascii="Palatino Linotype" w:eastAsia="Palatino Linotype" w:hAnsi="Palatino Linotype" w:cs="Palatino Linotype"/>
        </w:rPr>
        <w:lastRenderedPageBreak/>
        <w:t xml:space="preserve">dichos resultados, </w:t>
      </w:r>
      <w:r w:rsidRPr="007A7615">
        <w:rPr>
          <w:rFonts w:ascii="Palatino Linotype" w:eastAsia="Palatino Linotype" w:hAnsi="Palatino Linotype" w:cs="Palatino Linotype"/>
          <w:b/>
          <w:u w:val="single"/>
        </w:rPr>
        <w:t>no corresponden con el Sujeto Obligado</w:t>
      </w:r>
      <w:r w:rsidRPr="007A7615">
        <w:rPr>
          <w:rFonts w:ascii="Palatino Linotype" w:eastAsia="Palatino Linotype" w:hAnsi="Palatino Linotype" w:cs="Palatino Linotype"/>
          <w:b/>
        </w:rPr>
        <w:t xml:space="preserve">, es decir, </w:t>
      </w:r>
      <w:r w:rsidRPr="007A7615">
        <w:rPr>
          <w:rFonts w:ascii="Palatino Linotype" w:eastAsia="Palatino Linotype" w:hAnsi="Palatino Linotype" w:cs="Palatino Linotype"/>
          <w:b/>
          <w:u w:val="single"/>
        </w:rPr>
        <w:t>con el Ayuntamiento de Atizapán</w:t>
      </w:r>
      <w:r w:rsidRPr="007A7615">
        <w:rPr>
          <w:rFonts w:ascii="Palatino Linotype" w:eastAsia="Palatino Linotype" w:hAnsi="Palatino Linotype" w:cs="Palatino Linotype"/>
          <w:b/>
        </w:rPr>
        <w:t>, sino con el Ayuntamiento de Zaragoza.</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Lo anterior se afirma así en virtud de que en las mismas capturas de pantalla remitidas se aprecia la referencia a la entrega de patrullas en </w:t>
      </w:r>
      <w:r w:rsidRPr="007A7615">
        <w:rPr>
          <w:rFonts w:ascii="Palatino Linotype" w:eastAsia="Palatino Linotype" w:hAnsi="Palatino Linotype" w:cs="Palatino Linotype"/>
          <w:b/>
        </w:rPr>
        <w:t xml:space="preserve">Atizapán de Zaragoza, </w:t>
      </w:r>
      <w:r w:rsidRPr="007A7615">
        <w:rPr>
          <w:rFonts w:ascii="Palatino Linotype" w:eastAsia="Palatino Linotype" w:hAnsi="Palatino Linotype" w:cs="Palatino Linotype"/>
        </w:rPr>
        <w:t xml:space="preserve">y las manifestaciones hechas por los Presidentes Municipales Ana María Balderas Trejo, en el ejercicio 2018, y Pedro Rodríguez Villegas, en el ejercicio 2022. </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Para mejor referencia, se agregan las siguientes notas periodísticas que se obtuvieron al seguir los mismos criterios de búsqueda empleados por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w:t>
      </w:r>
    </w:p>
    <w:p w:rsidR="00A91087" w:rsidRPr="007A7615" w:rsidRDefault="008A0C95">
      <w:pPr>
        <w:spacing w:before="240" w:after="240" w:line="360" w:lineRule="auto"/>
        <w:ind w:right="51"/>
        <w:jc w:val="center"/>
        <w:rPr>
          <w:rFonts w:ascii="Palatino Linotype" w:eastAsia="Palatino Linotype" w:hAnsi="Palatino Linotype" w:cs="Palatino Linotype"/>
        </w:rPr>
      </w:pPr>
      <w:r w:rsidRPr="007A7615">
        <w:rPr>
          <w:noProof/>
        </w:rPr>
        <w:drawing>
          <wp:inline distT="0" distB="0" distL="0" distR="0">
            <wp:extent cx="4860000" cy="4306807"/>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60000" cy="4306807"/>
                    </a:xfrm>
                    <a:prstGeom prst="rect">
                      <a:avLst/>
                    </a:prstGeom>
                    <a:ln/>
                  </pic:spPr>
                </pic:pic>
              </a:graphicData>
            </a:graphic>
          </wp:inline>
        </w:drawing>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De la imagen anterior se desprende que la Presidente Municipal de </w:t>
      </w:r>
      <w:r w:rsidRPr="007A7615">
        <w:rPr>
          <w:rFonts w:ascii="Palatino Linotype" w:eastAsia="Palatino Linotype" w:hAnsi="Palatino Linotype" w:cs="Palatino Linotype"/>
          <w:b/>
        </w:rPr>
        <w:t>Atizapán de Zaragoza</w:t>
      </w:r>
      <w:r w:rsidRPr="007A7615">
        <w:rPr>
          <w:rFonts w:ascii="Palatino Linotype" w:eastAsia="Palatino Linotype" w:hAnsi="Palatino Linotype" w:cs="Palatino Linotype"/>
        </w:rPr>
        <w:t>, en la administración 2012-2018, Ana María Balderas Trejo, hizo entrega de 24 nuevas unidades equipadas con aditamentos policiacos, como torreta de luces, sirena y radiofrecuencia.</w:t>
      </w:r>
    </w:p>
    <w:p w:rsidR="00A91087" w:rsidRPr="007A7615" w:rsidRDefault="008A0C95">
      <w:pPr>
        <w:spacing w:before="240" w:after="240" w:line="360" w:lineRule="auto"/>
        <w:ind w:right="51"/>
        <w:jc w:val="center"/>
        <w:rPr>
          <w:rFonts w:ascii="Palatino Linotype" w:eastAsia="Palatino Linotype" w:hAnsi="Palatino Linotype" w:cs="Palatino Linotype"/>
        </w:rPr>
      </w:pPr>
      <w:r w:rsidRPr="007A7615">
        <w:rPr>
          <w:noProof/>
        </w:rPr>
        <w:drawing>
          <wp:inline distT="0" distB="0" distL="0" distR="0">
            <wp:extent cx="4680000" cy="6047780"/>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680000" cy="6047780"/>
                    </a:xfrm>
                    <a:prstGeom prst="rect">
                      <a:avLst/>
                    </a:prstGeom>
                    <a:ln/>
                  </pic:spPr>
                </pic:pic>
              </a:graphicData>
            </a:graphic>
          </wp:inline>
        </w:drawing>
      </w:r>
    </w:p>
    <w:p w:rsidR="00A91087" w:rsidRPr="007A7615" w:rsidRDefault="00A91087">
      <w:pPr>
        <w:spacing w:before="240" w:after="240" w:line="360" w:lineRule="auto"/>
        <w:ind w:right="51"/>
        <w:jc w:val="center"/>
        <w:rPr>
          <w:rFonts w:ascii="Palatino Linotype" w:eastAsia="Palatino Linotype" w:hAnsi="Palatino Linotype" w:cs="Palatino Linotype"/>
        </w:rPr>
      </w:pPr>
    </w:p>
    <w:p w:rsidR="00A91087" w:rsidRPr="007A7615" w:rsidRDefault="008A0C95">
      <w:pPr>
        <w:spacing w:before="240" w:after="240" w:line="360" w:lineRule="auto"/>
        <w:ind w:right="51"/>
        <w:jc w:val="center"/>
        <w:rPr>
          <w:rFonts w:ascii="Palatino Linotype" w:eastAsia="Palatino Linotype" w:hAnsi="Palatino Linotype" w:cs="Palatino Linotype"/>
        </w:rPr>
      </w:pPr>
      <w:r w:rsidRPr="007A7615">
        <w:rPr>
          <w:noProof/>
        </w:rPr>
        <w:drawing>
          <wp:inline distT="0" distB="0" distL="0" distR="0">
            <wp:extent cx="4680000" cy="3990977"/>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5307"/>
                    <a:stretch>
                      <a:fillRect/>
                    </a:stretch>
                  </pic:blipFill>
                  <pic:spPr>
                    <a:xfrm>
                      <a:off x="0" y="0"/>
                      <a:ext cx="4680000" cy="3990977"/>
                    </a:xfrm>
                    <a:prstGeom prst="rect">
                      <a:avLst/>
                    </a:prstGeom>
                    <a:ln/>
                  </pic:spPr>
                </pic:pic>
              </a:graphicData>
            </a:graphic>
          </wp:inline>
        </w:drawing>
      </w:r>
    </w:p>
    <w:p w:rsidR="00A91087" w:rsidRPr="007A7615" w:rsidRDefault="008A0C95">
      <w:pPr>
        <w:spacing w:before="240" w:after="240" w:line="360" w:lineRule="auto"/>
        <w:ind w:right="51"/>
        <w:jc w:val="center"/>
        <w:rPr>
          <w:rFonts w:ascii="Palatino Linotype" w:eastAsia="Palatino Linotype" w:hAnsi="Palatino Linotype" w:cs="Palatino Linotype"/>
        </w:rPr>
      </w:pPr>
      <w:r w:rsidRPr="007A7615">
        <w:rPr>
          <w:rFonts w:ascii="Palatino Linotype" w:eastAsia="Palatino Linotype" w:hAnsi="Palatino Linotype" w:cs="Palatino Linotype"/>
          <w:b/>
          <w:noProof/>
        </w:rPr>
        <w:drawing>
          <wp:inline distT="0" distB="0" distL="0" distR="0">
            <wp:extent cx="4680000" cy="2315083"/>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4680000" cy="2315083"/>
                    </a:xfrm>
                    <a:prstGeom prst="rect">
                      <a:avLst/>
                    </a:prstGeom>
                    <a:ln/>
                  </pic:spPr>
                </pic:pic>
              </a:graphicData>
            </a:graphic>
          </wp:inline>
        </w:drawing>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En las imágenes anteriores se aprecia que el Presidente Municipal de </w:t>
      </w:r>
      <w:r w:rsidRPr="007A7615">
        <w:rPr>
          <w:rFonts w:ascii="Palatino Linotype" w:eastAsia="Palatino Linotype" w:hAnsi="Palatino Linotype" w:cs="Palatino Linotype"/>
          <w:b/>
        </w:rPr>
        <w:t>Atizapán de Zaragoza</w:t>
      </w:r>
      <w:r w:rsidRPr="007A7615">
        <w:rPr>
          <w:rFonts w:ascii="Palatino Linotype" w:eastAsia="Palatino Linotype" w:hAnsi="Palatino Linotype" w:cs="Palatino Linotype"/>
        </w:rPr>
        <w:t>, en la administración 2022-2024, Pedro Rodríguez Villegas, hizo entrega de 150 nuevas unidades de policía.</w:t>
      </w:r>
    </w:p>
    <w:p w:rsidR="00A91087" w:rsidRPr="007A7615" w:rsidRDefault="008A0C95">
      <w:pPr>
        <w:spacing w:before="280" w:after="28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el mismo orden de ideas, no obsta mencionar que de conformidad con el artículo 6 de la Ley Orgánica Municipal del Estado de México, entre los 125 municipios reconocidos se encuentra Atizapán, cuya cabecera municipal es Santa Cruz Atizapán, y Atizapán de Zaragoza, cuya cabecera municipal es Ciudad López Mateos, a saber:</w:t>
      </w:r>
    </w:p>
    <w:p w:rsidR="00A91087" w:rsidRPr="007A7615" w:rsidRDefault="008A0C95">
      <w:pPr>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6</w:t>
      </w:r>
      <w:r w:rsidRPr="007A7615">
        <w:rPr>
          <w:rFonts w:ascii="Palatino Linotype" w:eastAsia="Palatino Linotype" w:hAnsi="Palatino Linotype" w:cs="Palatino Linotype"/>
          <w:i/>
          <w:sz w:val="22"/>
          <w:szCs w:val="22"/>
        </w:rPr>
        <w:t>.- Los municipios del Estado son 125, con la denominación y cabeceras municipales que a continuación se especifican:</w:t>
      </w:r>
    </w:p>
    <w:tbl>
      <w:tblPr>
        <w:tblStyle w:val="a"/>
        <w:tblW w:w="7087"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3563"/>
        <w:gridCol w:w="3524"/>
      </w:tblGrid>
      <w:tr w:rsidR="007A7615" w:rsidRPr="007A7615">
        <w:tc>
          <w:tcPr>
            <w:tcW w:w="3563" w:type="dxa"/>
          </w:tcPr>
          <w:p w:rsidR="00A91087" w:rsidRPr="007A7615" w:rsidRDefault="008A0C95">
            <w:pPr>
              <w:jc w:val="center"/>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Municipio</w:t>
            </w:r>
          </w:p>
        </w:tc>
        <w:tc>
          <w:tcPr>
            <w:tcW w:w="3524" w:type="dxa"/>
          </w:tcPr>
          <w:p w:rsidR="00A91087" w:rsidRPr="007A7615" w:rsidRDefault="008A0C95">
            <w:pPr>
              <w:jc w:val="center"/>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Cabecera Municipal</w:t>
            </w:r>
          </w:p>
        </w:tc>
      </w:tr>
      <w:tr w:rsidR="007A7615" w:rsidRPr="007A7615">
        <w:tc>
          <w:tcPr>
            <w:tcW w:w="3563" w:type="dxa"/>
          </w:tcPr>
          <w:p w:rsidR="00A91087" w:rsidRPr="007A7615" w:rsidRDefault="008A0C95">
            <w:pPr>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ATIZAPAN </w:t>
            </w:r>
          </w:p>
          <w:p w:rsidR="00A91087" w:rsidRPr="007A7615" w:rsidRDefault="008A0C95">
            <w:pPr>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ATIZAPAN DE ZARAGOZA</w:t>
            </w:r>
          </w:p>
          <w:p w:rsidR="00A91087" w:rsidRPr="007A7615" w:rsidRDefault="008A0C95">
            <w:pPr>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 </w:t>
            </w:r>
          </w:p>
        </w:tc>
        <w:tc>
          <w:tcPr>
            <w:tcW w:w="3524" w:type="dxa"/>
          </w:tcPr>
          <w:p w:rsidR="00A91087" w:rsidRPr="007A7615" w:rsidRDefault="00A91087">
            <w:pPr>
              <w:jc w:val="both"/>
              <w:rPr>
                <w:rFonts w:ascii="Palatino Linotype" w:eastAsia="Palatino Linotype" w:hAnsi="Palatino Linotype" w:cs="Palatino Linotype"/>
                <w:i/>
                <w:sz w:val="22"/>
                <w:szCs w:val="22"/>
              </w:rPr>
            </w:pPr>
          </w:p>
          <w:p w:rsidR="00A91087" w:rsidRPr="007A7615" w:rsidRDefault="008A0C95">
            <w:pPr>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SANTA CRUZ ATIZAPAN</w:t>
            </w:r>
          </w:p>
          <w:p w:rsidR="00A91087" w:rsidRPr="007A7615" w:rsidRDefault="008A0C95">
            <w:pPr>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CIUDAD LOPEZ MATEOS</w:t>
            </w:r>
          </w:p>
          <w:p w:rsidR="00A91087" w:rsidRPr="007A7615" w:rsidRDefault="00A91087">
            <w:pPr>
              <w:jc w:val="both"/>
              <w:rPr>
                <w:rFonts w:ascii="Palatino Linotype" w:eastAsia="Palatino Linotype" w:hAnsi="Palatino Linotype" w:cs="Palatino Linotype"/>
                <w:i/>
                <w:sz w:val="22"/>
                <w:szCs w:val="22"/>
              </w:rPr>
            </w:pPr>
          </w:p>
        </w:tc>
      </w:tr>
    </w:tbl>
    <w:p w:rsidR="00A91087" w:rsidRPr="007A7615" w:rsidRDefault="008A0C95">
      <w:pPr>
        <w:spacing w:before="280" w:after="28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Adicional a lo anterior, se precisa que el Padrón de Sujetos Obligados en Materia de Transparencia y Acceso a la Información Pública del estado de México y Municipios, aprobado por el Pleno de este Instituto, reconoce tanto al ayuntamiento de Atizapán, como al ayuntamiento de Atizapán de Zaragoza como Sujetos Obligados de competencia municipal:</w:t>
      </w:r>
    </w:p>
    <w:p w:rsidR="00A91087" w:rsidRPr="007A7615" w:rsidRDefault="008A0C95">
      <w:pPr>
        <w:spacing w:before="280" w:after="280" w:line="360" w:lineRule="auto"/>
        <w:jc w:val="center"/>
        <w:rPr>
          <w:rFonts w:ascii="Palatino Linotype" w:eastAsia="Palatino Linotype" w:hAnsi="Palatino Linotype" w:cs="Palatino Linotype"/>
        </w:rPr>
      </w:pPr>
      <w:r w:rsidRPr="007A7615">
        <w:rPr>
          <w:noProof/>
        </w:rPr>
        <w:lastRenderedPageBreak/>
        <w:drawing>
          <wp:inline distT="0" distB="0" distL="0" distR="0">
            <wp:extent cx="5400000" cy="1859206"/>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b="1332"/>
                    <a:stretch>
                      <a:fillRect/>
                    </a:stretch>
                  </pic:blipFill>
                  <pic:spPr>
                    <a:xfrm>
                      <a:off x="0" y="0"/>
                      <a:ext cx="5400000" cy="1859206"/>
                    </a:xfrm>
                    <a:prstGeom prst="rect">
                      <a:avLst/>
                    </a:prstGeom>
                    <a:ln/>
                  </pic:spPr>
                </pic:pic>
              </a:graphicData>
            </a:graphic>
          </wp:inline>
        </w:drawing>
      </w:r>
      <w:r w:rsidRPr="007A7615">
        <w:rPr>
          <w:noProof/>
        </w:rPr>
        <mc:AlternateContent>
          <mc:Choice Requires="wpg">
            <w:drawing>
              <wp:anchor distT="0" distB="0" distL="114300" distR="114300" simplePos="0" relativeHeight="251658240" behindDoc="0" locked="0" layoutInCell="1" hidden="0" allowOverlap="1">
                <wp:simplePos x="0" y="0"/>
                <wp:positionH relativeFrom="column">
                  <wp:posOffset>38101</wp:posOffset>
                </wp:positionH>
                <wp:positionV relativeFrom="paragraph">
                  <wp:posOffset>1219200</wp:posOffset>
                </wp:positionV>
                <wp:extent cx="5543550" cy="276225"/>
                <wp:effectExtent l="0" t="0" r="0" b="0"/>
                <wp:wrapNone/>
                <wp:docPr id="30" name="Rectángulo 30"/>
                <wp:cNvGraphicFramePr/>
                <a:graphic xmlns:a="http://schemas.openxmlformats.org/drawingml/2006/main">
                  <a:graphicData uri="http://schemas.microsoft.com/office/word/2010/wordprocessingShape">
                    <wps:wsp>
                      <wps:cNvSpPr/>
                      <wps:spPr>
                        <a:xfrm>
                          <a:off x="2593275" y="3660938"/>
                          <a:ext cx="5505450" cy="238125"/>
                        </a:xfrm>
                        <a:prstGeom prst="rect">
                          <a:avLst/>
                        </a:prstGeom>
                        <a:noFill/>
                        <a:ln w="38100" cap="flat" cmpd="sng">
                          <a:solidFill>
                            <a:srgbClr val="C00000"/>
                          </a:solidFill>
                          <a:prstDash val="solid"/>
                          <a:round/>
                          <a:headEnd type="none" w="sm" len="sm"/>
                          <a:tailEnd type="none" w="sm" len="sm"/>
                        </a:ln>
                      </wps:spPr>
                      <wps:txbx>
                        <w:txbxContent>
                          <w:p w:rsidR="00A91087" w:rsidRDefault="00A9108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1219200</wp:posOffset>
                </wp:positionV>
                <wp:extent cx="5543550" cy="276225"/>
                <wp:effectExtent b="0" l="0" r="0" t="0"/>
                <wp:wrapNone/>
                <wp:docPr id="30"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5543550" cy="276225"/>
                        </a:xfrm>
                        <a:prstGeom prst="rect"/>
                        <a:ln/>
                      </pic:spPr>
                    </pic:pic>
                  </a:graphicData>
                </a:graphic>
              </wp:anchor>
            </w:drawing>
          </mc:Fallback>
        </mc:AlternateContent>
      </w:r>
    </w:p>
    <w:p w:rsidR="00A91087" w:rsidRPr="007A7615" w:rsidRDefault="008A0C95">
      <w:pPr>
        <w:spacing w:before="280" w:after="28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Consecuentemente, ambos ayuntamientos son responsables de garantizar el Derecho de Humano de acceso a la información manera individual, en el ámbito de sus respectivas competencias. </w:t>
      </w:r>
    </w:p>
    <w:p w:rsidR="00A91087" w:rsidRPr="007A7615" w:rsidRDefault="008A0C95">
      <w:pPr>
        <w:spacing w:before="280" w:after="28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este tenor, toda vez que la solicitud de información que dio origen al recurso de revisión que nos ocupa, se presentó ante el municipio de Atizapán, el mismo debe ser resuelto desde el ámbito competencial que la normativa le confiere a éste respecto de la materia de la solicitud; no obstante, si el interés de la persona solicitante consiste en conocer información generada, administrada o poseída por el municipio de Atizapán de Zaragoza, se dejan a salvo sus derechos a efecto de que pueda ejercer su Derecho Humano de acceso y presente una nueva solicitud ante dicho Sujeto Obligado.</w:t>
      </w:r>
    </w:p>
    <w:p w:rsidR="00A91087" w:rsidRPr="007A7615" w:rsidRDefault="008A0C95">
      <w:pPr>
        <w:spacing w:before="280" w:after="28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Aclarada dicha circunstancia, una vez admitido el recurso de revisión, en términos del artículo 185 fracción II</w:t>
      </w:r>
      <w:r w:rsidRPr="007A7615">
        <w:rPr>
          <w:rFonts w:ascii="Palatino Linotype" w:eastAsia="Palatino Linotype" w:hAnsi="Palatino Linotype" w:cs="Palatino Linotype"/>
          <w:vertAlign w:val="superscript"/>
        </w:rPr>
        <w:footnoteReference w:id="1"/>
      </w:r>
      <w:r w:rsidRPr="007A7615">
        <w:rPr>
          <w:rFonts w:ascii="Palatino Linotype" w:eastAsia="Palatino Linotype" w:hAnsi="Palatino Linotype" w:cs="Palatino Linotype"/>
        </w:rPr>
        <w:t xml:space="preserve"> de la Ley de Transparencia y Acceso a la Información Pública del Estado de México y Municipios, se integró el expediente y se puso a </w:t>
      </w:r>
      <w:r w:rsidRPr="007A7615">
        <w:rPr>
          <w:rFonts w:ascii="Palatino Linotype" w:eastAsia="Palatino Linotype" w:hAnsi="Palatino Linotype" w:cs="Palatino Linotype"/>
        </w:rPr>
        <w:lastRenderedPageBreak/>
        <w:t>disposición de las partes para que, en un plazo máximo de siete días hábiles, manifestaran lo que a su derecho resultara conveniente, siendo ambas partes omisas en ejercer dicha prerrogativa, como se señaló anteriormente.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Acotado lo anterior, es conveniente analizar si la respuesta del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4</w:t>
      </w:r>
      <w:r w:rsidRPr="007A761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A761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A7615">
        <w:rPr>
          <w:rFonts w:ascii="Palatino Linotype" w:eastAsia="Palatino Linotype" w:hAnsi="Palatino Linotype" w:cs="Palatino Linotype"/>
          <w:i/>
          <w:sz w:val="22"/>
          <w:szCs w:val="22"/>
        </w:rPr>
        <w:t>.”(Sic)</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12.-</w:t>
      </w:r>
      <w:r w:rsidRPr="007A761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A91087" w:rsidRPr="007A7615" w:rsidRDefault="008A0C95">
      <w:pPr>
        <w:spacing w:before="240" w:after="240" w:line="360" w:lineRule="auto"/>
        <w:ind w:right="-93"/>
        <w:jc w:val="both"/>
        <w:rPr>
          <w:rFonts w:ascii="Palatino Linotype" w:eastAsia="Palatino Linotype" w:hAnsi="Palatino Linotype" w:cs="Palatino Linotype"/>
        </w:rPr>
      </w:pPr>
      <w:r w:rsidRPr="007A761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A91087" w:rsidRPr="007A7615" w:rsidRDefault="008A0C95">
      <w:pP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7A7615">
        <w:rPr>
          <w:rFonts w:ascii="Palatino Linotype" w:eastAsia="Palatino Linotype" w:hAnsi="Palatino Linotype" w:cs="Palatino Linotype"/>
          <w:b/>
        </w:rPr>
        <w:t xml:space="preserve">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lastRenderedPageBreak/>
        <w:t>“</w:t>
      </w:r>
      <w:r w:rsidRPr="007A7615">
        <w:rPr>
          <w:rFonts w:ascii="Palatino Linotype" w:eastAsia="Palatino Linotype" w:hAnsi="Palatino Linotype" w:cs="Palatino Linotype"/>
          <w:b/>
          <w:i/>
          <w:sz w:val="22"/>
          <w:szCs w:val="22"/>
        </w:rPr>
        <w:t>No existe obligación de elaborar documentos ad hoc para atender las solicitudes de acceso a la información.</w:t>
      </w:r>
      <w:r w:rsidRPr="007A761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7A7615">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 xml:space="preserve">Artículo 3. </w:t>
      </w:r>
      <w:r w:rsidRPr="007A7615">
        <w:rPr>
          <w:rFonts w:ascii="Palatino Linotype" w:eastAsia="Palatino Linotype" w:hAnsi="Palatino Linotype" w:cs="Palatino Linotype"/>
          <w:i/>
          <w:sz w:val="22"/>
          <w:szCs w:val="22"/>
        </w:rPr>
        <w:t>Para los efectos de la presente Ley se entenderá por:</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XI. Documento:</w:t>
      </w:r>
      <w:r w:rsidRPr="007A7615">
        <w:rPr>
          <w:rFonts w:ascii="Palatino Linotype" w:eastAsia="Palatino Linotype" w:hAnsi="Palatino Linotype" w:cs="Palatino Linotype"/>
          <w:i/>
          <w:sz w:val="22"/>
          <w:szCs w:val="22"/>
        </w:rPr>
        <w:t xml:space="preserve"> Los expedientes, reportes, estudios, actas</w:t>
      </w: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sz w:val="22"/>
          <w:szCs w:val="22"/>
        </w:rPr>
        <w:t>“</w:t>
      </w:r>
      <w:r w:rsidRPr="007A761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A761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A91087" w:rsidRPr="007A7615" w:rsidRDefault="008A0C95">
      <w:pPr>
        <w:spacing w:before="120" w:after="120"/>
        <w:ind w:left="1134"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A91087" w:rsidRPr="007A7615" w:rsidRDefault="008A0C95">
      <w:pPr>
        <w:spacing w:before="120" w:after="120"/>
        <w:ind w:left="1134"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En tal sentido, en observancia de lo previsto en los artículos 53</w:t>
      </w:r>
      <w:r w:rsidRPr="007A7615">
        <w:rPr>
          <w:rFonts w:ascii="Palatino Linotype" w:eastAsia="Palatino Linotype" w:hAnsi="Palatino Linotype" w:cs="Palatino Linotype"/>
          <w:vertAlign w:val="superscript"/>
        </w:rPr>
        <w:footnoteReference w:id="2"/>
      </w:r>
      <w:r w:rsidRPr="007A7615">
        <w:rPr>
          <w:rFonts w:ascii="Palatino Linotype" w:eastAsia="Palatino Linotype" w:hAnsi="Palatino Linotype" w:cs="Palatino Linotype"/>
        </w:rPr>
        <w:t xml:space="preserve"> fracciones II y IV y  162</w:t>
      </w:r>
      <w:r w:rsidRPr="007A7615">
        <w:rPr>
          <w:rFonts w:ascii="Palatino Linotype" w:eastAsia="Palatino Linotype" w:hAnsi="Palatino Linotype" w:cs="Palatino Linotype"/>
          <w:vertAlign w:val="superscript"/>
        </w:rPr>
        <w:footnoteReference w:id="3"/>
      </w:r>
      <w:r w:rsidRPr="007A7615">
        <w:rPr>
          <w:rFonts w:ascii="Palatino Linotype" w:eastAsia="Palatino Linotype" w:hAnsi="Palatino Linotype" w:cs="Palatino Linotype"/>
        </w:rPr>
        <w:t xml:space="preserve"> de la Ley de la Materia, la Unidad de Transparencia turnó la solicitud de información a la </w:t>
      </w:r>
      <w:r w:rsidRPr="007A7615">
        <w:rPr>
          <w:rFonts w:ascii="Palatino Linotype" w:eastAsia="Palatino Linotype" w:hAnsi="Palatino Linotype" w:cs="Palatino Linotype"/>
          <w:i/>
        </w:rPr>
        <w:t>Secretaria el Ayuntamiento</w:t>
      </w:r>
      <w:r w:rsidRPr="007A7615">
        <w:rPr>
          <w:rFonts w:ascii="Palatino Linotype" w:eastAsia="Palatino Linotype" w:hAnsi="Palatino Linotype" w:cs="Palatino Linotype"/>
        </w:rPr>
        <w:t xml:space="preserve">, la </w:t>
      </w:r>
      <w:r w:rsidRPr="007A7615">
        <w:rPr>
          <w:rFonts w:ascii="Palatino Linotype" w:eastAsia="Palatino Linotype" w:hAnsi="Palatino Linotype" w:cs="Palatino Linotype"/>
          <w:i/>
        </w:rPr>
        <w:t>Dirección de Seguridad Pública</w:t>
      </w:r>
      <w:r w:rsidRPr="007A7615">
        <w:rPr>
          <w:rFonts w:ascii="Palatino Linotype" w:eastAsia="Palatino Linotype" w:hAnsi="Palatino Linotype" w:cs="Palatino Linotype"/>
        </w:rPr>
        <w:t xml:space="preserve"> y la </w:t>
      </w:r>
      <w:r w:rsidRPr="007A7615">
        <w:rPr>
          <w:rFonts w:ascii="Palatino Linotype" w:eastAsia="Palatino Linotype" w:hAnsi="Palatino Linotype" w:cs="Palatino Linotype"/>
          <w:i/>
        </w:rPr>
        <w:t>Dirección de Administración</w:t>
      </w:r>
      <w:r w:rsidRPr="007A7615">
        <w:rPr>
          <w:rFonts w:ascii="Palatino Linotype" w:eastAsia="Palatino Linotype" w:hAnsi="Palatino Linotype" w:cs="Palatino Linotype"/>
        </w:rPr>
        <w:t>, al considerar que las mismas eran competentes para generar, administrar o poseer la información materia de la solicitud.</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Al respecto, es oportuno mencionar que de conformidad con el artículo 91, fracciones I y IV de la Ley Orgánica Municipal, la Secretaria del Ayuntamiento tiene conferidas, entre otras atribuciones, las referentes al levantamiento de las actas de las sesiones del ayuntamiento, así como llevar y conservar los libros de actas de cabildo, funciones que le permiten conocer sobre la información que se solicita respecto a las </w:t>
      </w:r>
      <w:r w:rsidRPr="007A7615">
        <w:rPr>
          <w:rFonts w:ascii="Palatino Linotype" w:eastAsia="Palatino Linotype" w:hAnsi="Palatino Linotype" w:cs="Palatino Linotype"/>
          <w:b/>
        </w:rPr>
        <w:t>Actas de Cabildo relacionadas con la compra de patrullas</w:t>
      </w:r>
      <w:r w:rsidRPr="007A7615">
        <w:rPr>
          <w:rFonts w:ascii="Palatino Linotype" w:eastAsia="Palatino Linotype" w:hAnsi="Palatino Linotype" w:cs="Palatino Linotype"/>
        </w:rPr>
        <w:t xml:space="preserve">, en caso de haberse generado, no obstante, de señalar que el Servidor Público Habilitado de </w:t>
      </w:r>
      <w:r w:rsidRPr="007A7615">
        <w:rPr>
          <w:rFonts w:ascii="Palatino Linotype" w:eastAsia="Palatino Linotype" w:hAnsi="Palatino Linotype" w:cs="Palatino Linotype"/>
        </w:rPr>
        <w:lastRenderedPageBreak/>
        <w:t xml:space="preserve">la </w:t>
      </w:r>
      <w:r w:rsidRPr="007A7615">
        <w:rPr>
          <w:rFonts w:ascii="Palatino Linotype" w:eastAsia="Palatino Linotype" w:hAnsi="Palatino Linotype" w:cs="Palatino Linotype"/>
          <w:i/>
        </w:rPr>
        <w:t>Secretaria del Ayuntamiento</w:t>
      </w:r>
      <w:r w:rsidRPr="007A7615">
        <w:rPr>
          <w:rFonts w:ascii="Palatino Linotype" w:eastAsia="Palatino Linotype" w:hAnsi="Palatino Linotype" w:cs="Palatino Linotype"/>
        </w:rPr>
        <w:t xml:space="preserve">, refirió de manera expresa, que realizó una búsqueda minuciosa en la Secretaría, y, derivado de la misma, no se encontró Acta de Cabildo donde se haya realizado la compra de alguna patrulla de 2018 a la fecha de respuesta, advirtiendo que lo contestado se constituye en una expresión en sentido negativo, esto es, niega la existencia de información alguna al respecto. </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consiguiente, toda vez que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no generó, administra, ni posee la información requerida por la persona solicitante respecto a las Actas de Cabildo</w:t>
      </w:r>
      <w:r w:rsidRPr="007A7615">
        <w:t xml:space="preserve"> </w:t>
      </w:r>
      <w:r w:rsidRPr="007A7615">
        <w:rPr>
          <w:rFonts w:ascii="Palatino Linotype" w:eastAsia="Palatino Linotype" w:hAnsi="Palatino Linotype" w:cs="Palatino Linotype"/>
        </w:rPr>
        <w:t xml:space="preserve">relacionadas con la compra de patrullas, se constituye un hecho negativo; por lo que es obvio que éste no podía fácticamente obrar en los archivos del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ya que no puede probarse por ser lógica y materialmente imposible.</w:t>
      </w:r>
    </w:p>
    <w:p w:rsidR="00A91087" w:rsidRPr="007A7615" w:rsidRDefault="008A0C95">
      <w:pPr>
        <w:pBdr>
          <w:top w:val="nil"/>
          <w:left w:val="nil"/>
          <w:bottom w:val="nil"/>
          <w:right w:val="nil"/>
          <w:between w:val="nil"/>
        </w:pBdr>
        <w:spacing w:before="240" w:after="240" w:line="360" w:lineRule="auto"/>
        <w:jc w:val="both"/>
        <w:rPr>
          <w:sz w:val="28"/>
          <w:szCs w:val="28"/>
        </w:rPr>
      </w:pPr>
      <w:r w:rsidRPr="007A7615">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sidRPr="007A7615">
        <w:rPr>
          <w:rFonts w:ascii="Palatino Linotype" w:eastAsia="Palatino Linotype" w:hAnsi="Palatino Linotype" w:cs="Palatino Linotype"/>
          <w:vertAlign w:val="superscript"/>
        </w:rPr>
        <w:footnoteReference w:id="4"/>
      </w:r>
      <w:r w:rsidRPr="007A7615">
        <w:rPr>
          <w:rFonts w:ascii="Palatino Linotype" w:eastAsia="Palatino Linotype" w:hAnsi="Palatino Linotype" w:cs="Palatino Linotype"/>
        </w:rPr>
        <w:t xml:space="preserve"> emitida por la Segunda Sala de la Suprema Corte de la Nación, que es del tenor literal siguiente:</w:t>
      </w:r>
    </w:p>
    <w:p w:rsidR="00A91087" w:rsidRPr="007A7615" w:rsidRDefault="008A0C95">
      <w:pPr>
        <w:spacing w:before="240" w:after="240"/>
        <w:ind w:left="851" w:right="90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“HECHOS NEGATIVOS, NO SON SUSCEPTIBLES DE DEMOSTRACIÓN</w:t>
      </w:r>
      <w:r w:rsidRPr="007A7615">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declara en automática la inexistencia de la información solicitada en este punto de la solicitud, de modo que no existe obligación de justificar o allegarse pruebas, y por </w:t>
      </w:r>
      <w:r w:rsidRPr="007A7615">
        <w:rPr>
          <w:rFonts w:ascii="Palatino Linotype" w:eastAsia="Palatino Linotype" w:hAnsi="Palatino Linotype" w:cs="Palatino Linotype"/>
        </w:rPr>
        <w:lastRenderedPageBreak/>
        <w:t>ende no tiene aplicación lo estatuido en el artículo 49, fracción XIII</w:t>
      </w:r>
      <w:r w:rsidRPr="007A7615">
        <w:rPr>
          <w:rFonts w:ascii="Palatino Linotype" w:eastAsia="Palatino Linotype" w:hAnsi="Palatino Linotype" w:cs="Palatino Linotype"/>
          <w:vertAlign w:val="superscript"/>
        </w:rPr>
        <w:footnoteReference w:id="5"/>
      </w:r>
      <w:r w:rsidRPr="007A7615">
        <w:rPr>
          <w:rFonts w:ascii="Palatino Linotype" w:eastAsia="Palatino Linotype" w:hAnsi="Palatino Linotype" w:cs="Palatino Linotype"/>
        </w:rPr>
        <w:t xml:space="preserve"> de la Ley de Transparencia y Acceso a la Información Pública del Estado de México y Municipios.</w:t>
      </w:r>
    </w:p>
    <w:p w:rsidR="00A91087" w:rsidRPr="007A7615" w:rsidRDefault="008A0C95">
      <w:pPr>
        <w:spacing w:before="240" w:after="360" w:line="360" w:lineRule="auto"/>
        <w:ind w:right="18"/>
        <w:jc w:val="both"/>
        <w:rPr>
          <w:rFonts w:ascii="Palatino Linotype" w:eastAsia="Palatino Linotype" w:hAnsi="Palatino Linotype" w:cs="Palatino Linotype"/>
          <w:b/>
          <w:u w:val="single"/>
        </w:rPr>
      </w:pPr>
      <w:r w:rsidRPr="007A7615">
        <w:rPr>
          <w:rFonts w:ascii="Palatino Linotype" w:eastAsia="Palatino Linotype" w:hAnsi="Palatino Linotype" w:cs="Palatino Linotype"/>
        </w:rPr>
        <w:t xml:space="preserve">En este contexto, </w:t>
      </w:r>
      <w:r w:rsidRPr="007A7615">
        <w:rPr>
          <w:rFonts w:ascii="Palatino Linotype" w:eastAsia="Palatino Linotype" w:hAnsi="Palatino Linotype" w:cs="Palatino Linotype"/>
          <w:b/>
        </w:rPr>
        <w:t xml:space="preserve">la solicitud se tiene por atendida respecto de la </w:t>
      </w:r>
      <w:r w:rsidRPr="007A7615">
        <w:rPr>
          <w:rFonts w:ascii="Palatino Linotype" w:eastAsia="Palatino Linotype" w:hAnsi="Palatino Linotype" w:cs="Palatino Linotype"/>
          <w:b/>
          <w:u w:val="single"/>
        </w:rPr>
        <w:t>Secretaría del Ayuntamiento.</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su parte, el Servidor Público Habilitado de la </w:t>
      </w:r>
      <w:r w:rsidRPr="007A7615">
        <w:rPr>
          <w:rFonts w:ascii="Palatino Linotype" w:eastAsia="Palatino Linotype" w:hAnsi="Palatino Linotype" w:cs="Palatino Linotype"/>
          <w:i/>
        </w:rPr>
        <w:t xml:space="preserve">Dirección de Seguridad Pública, </w:t>
      </w:r>
      <w:r w:rsidRPr="007A7615">
        <w:rPr>
          <w:rFonts w:ascii="Palatino Linotype" w:eastAsia="Palatino Linotype" w:hAnsi="Palatino Linotype" w:cs="Palatino Linotype"/>
        </w:rPr>
        <w:t xml:space="preserve">refirió que, del año 2018 a la fecha de respuesta, solo se había adquirido un vehículo, del cual, además de referir la marca, modelo y especificar que no contaba con equipo de radiocomunicación, proporcionó el contrato mediante el cual fue adquirido, y señaló que era el único documento que obraba en el archivo de la </w:t>
      </w:r>
      <w:r w:rsidRPr="007A7615">
        <w:rPr>
          <w:rFonts w:ascii="Palatino Linotype" w:eastAsia="Palatino Linotype" w:hAnsi="Palatino Linotype" w:cs="Palatino Linotype"/>
          <w:b/>
        </w:rPr>
        <w:t>Secretaría Técnica</w:t>
      </w:r>
      <w:r w:rsidRPr="007A7615">
        <w:rPr>
          <w:rFonts w:ascii="Palatino Linotype" w:eastAsia="Palatino Linotype" w:hAnsi="Palatino Linotype" w:cs="Palatino Linotype"/>
        </w:rPr>
        <w:t xml:space="preserve">, en relación con vehículos </w:t>
      </w:r>
      <w:proofErr w:type="spellStart"/>
      <w:r w:rsidRPr="007A7615">
        <w:rPr>
          <w:rFonts w:ascii="Palatino Linotype" w:eastAsia="Palatino Linotype" w:hAnsi="Palatino Linotype" w:cs="Palatino Linotype"/>
        </w:rPr>
        <w:t>autopatrulla</w:t>
      </w:r>
      <w:proofErr w:type="spellEnd"/>
      <w:r w:rsidRPr="007A7615">
        <w:rPr>
          <w:rFonts w:ascii="Palatino Linotype" w:eastAsia="Palatino Linotype" w:hAnsi="Palatino Linotype" w:cs="Palatino Linotype"/>
        </w:rPr>
        <w:t xml:space="preserve"> de 2018 a la fecha.</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En este tenor, de conformidad con el artículo 142 de la Ley Orgánica Municipal del Estado de México, las funciones de seguridad pública del municipio, en el ámbito de competencia, estarán a cargo de un Director de Seguridad Pública Municipal o su equivalente, mientras que el artículo 22 de la Ley de Seguridad Pública del Estado de México, establece que como atribuciones del Director de Seguridad Pública Municipal, las siguientes:</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22</w:t>
      </w:r>
      <w:r w:rsidRPr="007A7615">
        <w:rPr>
          <w:rFonts w:ascii="Palatino Linotype" w:eastAsia="Palatino Linotype" w:hAnsi="Palatino Linotype" w:cs="Palatino Linotype"/>
          <w:i/>
          <w:sz w:val="22"/>
          <w:szCs w:val="22"/>
        </w:rPr>
        <w:t xml:space="preserve">.- Son atribuciones del </w:t>
      </w:r>
      <w:r w:rsidRPr="007A7615">
        <w:rPr>
          <w:rFonts w:ascii="Palatino Linotype" w:eastAsia="Palatino Linotype" w:hAnsi="Palatino Linotype" w:cs="Palatino Linotype"/>
          <w:b/>
          <w:i/>
          <w:sz w:val="22"/>
          <w:szCs w:val="22"/>
        </w:rPr>
        <w:t>Director de Seguridad Pública Municipal</w:t>
      </w:r>
      <w:r w:rsidRPr="007A7615">
        <w:rPr>
          <w:rFonts w:ascii="Palatino Linotype" w:eastAsia="Palatino Linotype" w:hAnsi="Palatino Linotype" w:cs="Palatino Linotype"/>
          <w:i/>
          <w:sz w:val="22"/>
          <w:szCs w:val="22"/>
        </w:rPr>
        <w:t xml:space="preserve">: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I. </w:t>
      </w:r>
      <w:r w:rsidRPr="007A7615">
        <w:rPr>
          <w:rFonts w:ascii="Palatino Linotype" w:eastAsia="Palatino Linotype" w:hAnsi="Palatino Linotype" w:cs="Palatino Linotype"/>
          <w:i/>
          <w:sz w:val="22"/>
          <w:szCs w:val="22"/>
        </w:rPr>
        <w:t>Participar en la elaboración del Programa Municipal de Seguridad Pública y del Programa Municipal de Prevención Social de la Violencia y la Delincuencia con Participación Ciudadana;</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II.</w:t>
      </w:r>
      <w:r w:rsidRPr="007A7615">
        <w:rPr>
          <w:rFonts w:ascii="Palatino Linotype" w:eastAsia="Palatino Linotype" w:hAnsi="Palatino Linotype" w:cs="Palatino Linotype"/>
          <w:i/>
          <w:sz w:val="22"/>
          <w:szCs w:val="22"/>
        </w:rPr>
        <w:t xml:space="preserve"> Organizar, operar, supervisar y controlar a los integrantes de las instituciones policiales a su cargo;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III. </w:t>
      </w:r>
      <w:r w:rsidRPr="007A7615">
        <w:rPr>
          <w:rFonts w:ascii="Palatino Linotype" w:eastAsia="Palatino Linotype" w:hAnsi="Palatino Linotype" w:cs="Palatino Linotype"/>
          <w:i/>
          <w:sz w:val="22"/>
          <w:szCs w:val="22"/>
        </w:rPr>
        <w:t>Aplicar las directrices que conforme a sus atribuciones expresas dicten las autoridades competentes para la prestación del servicio, coordinación, funcionamiento, normatividad técnica y disciplina de los integrantes de las instituciones policiales a su cargo;</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Proponer programas para mejorar y ampliar la cobertura del servicio de seguridad pública;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Contar con las estadísticas delictivas y efectuar la supervisión de las acciones de seguridad pública municipal;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Promover la capacitación técnica y práctica de las o los integrantes de las instituciones policiales a su cargo;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Informar a las autoridades competentes sobre los movimientos de altas y bajas de los integrantes de las instituciones policiales a su cargo, así como de sus vehículos, armamento, municiones y equipo;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xml:space="preserve">. Denunciar oportunamente ante las autoridades competentes el extravío o robo de armamento a su cargo para los efectos legales correspondientes;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IX</w:t>
      </w:r>
      <w:r w:rsidRPr="007A7615">
        <w:rPr>
          <w:rFonts w:ascii="Palatino Linotype" w:eastAsia="Palatino Linotype" w:hAnsi="Palatino Linotype" w:cs="Palatino Linotype"/>
          <w:i/>
          <w:sz w:val="22"/>
          <w:szCs w:val="22"/>
        </w:rPr>
        <w:t xml:space="preserve">. Proporcionar a la Secretaría los informes que le sean solicitados;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w:t>
      </w:r>
      <w:r w:rsidRPr="007A7615">
        <w:rPr>
          <w:rFonts w:ascii="Palatino Linotype" w:eastAsia="Palatino Linotype" w:hAnsi="Palatino Linotype" w:cs="Palatino Linotype"/>
          <w:i/>
          <w:sz w:val="22"/>
          <w:szCs w:val="22"/>
        </w:rPr>
        <w:t xml:space="preserve">. Auxiliar a las autoridades federales y de otras entidades federativas cuando sea requerido para ello; y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XI</w:t>
      </w:r>
      <w:r w:rsidRPr="007A7615">
        <w:rPr>
          <w:rFonts w:ascii="Palatino Linotype" w:eastAsia="Palatino Linotype" w:hAnsi="Palatino Linotype" w:cs="Palatino Linotype"/>
          <w:i/>
          <w:sz w:val="22"/>
          <w:szCs w:val="22"/>
        </w:rPr>
        <w:t xml:space="preserve">. Informar al Presidente o Presidenta Municipal de los resultados y procesos de verificación y evaluaciones de confianza a los que se sometan los integrantes de las instituciones policiales a su cargo, y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XII.</w:t>
      </w:r>
      <w:r w:rsidRPr="007A7615">
        <w:rPr>
          <w:rFonts w:ascii="Palatino Linotype" w:eastAsia="Palatino Linotype" w:hAnsi="Palatino Linotype" w:cs="Palatino Linotype"/>
          <w:i/>
          <w:sz w:val="22"/>
          <w:szCs w:val="22"/>
        </w:rPr>
        <w:t xml:space="preserve"> Las demás que les confieran otras leyes.”</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Por su parte, el artículo 117 del Bando Municipal de Atizapán, la Dirección de Seguridad Pública Municipal, es la dependencia encargada de dar cumplimiento a los fines de seguridad pública, cuenta con un Director que le corresponde el despacho de los asuntos que señala el reglamento respectivo, así mismo se organizará y funcionará de conformidad con su reglamento interior.</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Mientras que el artículo 162 del Bando Municipal, señala que la Secretaría Técnica del Consejo Municipal de Seguridad Pública es la unidad administrativa municipal, que atenderá los aspectos normativos, administrativos y de planeación necesarios para la prestación del servicio de seguridad pública en el ámbito municipal, siendo también la responsable de la vinculación del Ayuntamiento con las instancias federales y estatales en la materia.</w:t>
      </w:r>
    </w:p>
    <w:p w:rsidR="00A91087" w:rsidRPr="007A7615" w:rsidRDefault="008A0C95">
      <w:pPr>
        <w:tabs>
          <w:tab w:val="left" w:pos="7853"/>
        </w:tabs>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Atento a lo anterior, es preciso señalar que de la normativa analizada no se advirtió que la Dirección de Seguridad Pública cuente con atribuciones para ejecutar o  sustanciar procedimientos de adquisición, sin embargo, en el caso concreto, bajo el principio de máxima publicidad, con la finalidad de garantizar el derecho humano de acceso de la persona solicitante dicha Dependencia, realizó una búsqueda en sus archivos de la información solicitada, y como resultado obtuvo el Contrato de Adquisición de Vehículo, celebrado el veinticinco de agosto de dos mil veintiuno, mediante el cual se adquirió 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indicando que el mismo no contaba con equipo de radiocomunicación, asimismo, que era la única documentación que obra en el archivo de la Secretaría Técnica.</w:t>
      </w:r>
    </w:p>
    <w:p w:rsidR="00A91087" w:rsidRPr="007A7615" w:rsidRDefault="008A0C95">
      <w:pPr>
        <w:tabs>
          <w:tab w:val="left" w:pos="7853"/>
        </w:tabs>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En tal sentido no obsta mencionar que las Cláusulas Segunda y Tercera del referido contrato, efectivamente dan cuenta de la adquisición del vehículo referido que se equipó como patrulla, así como del costo del mismo, como se lee en seguida:</w:t>
      </w:r>
    </w:p>
    <w:p w:rsidR="00A91087" w:rsidRPr="007A7615" w:rsidRDefault="008A0C95">
      <w:pPr>
        <w:tabs>
          <w:tab w:val="left" w:pos="7853"/>
        </w:tabs>
        <w:spacing w:before="240" w:after="360" w:line="360" w:lineRule="auto"/>
        <w:ind w:right="18"/>
        <w:jc w:val="center"/>
        <w:rPr>
          <w:rFonts w:ascii="Palatino Linotype" w:eastAsia="Palatino Linotype" w:hAnsi="Palatino Linotype" w:cs="Palatino Linotype"/>
        </w:rPr>
      </w:pPr>
      <w:r w:rsidRPr="007A7615">
        <w:rPr>
          <w:noProof/>
        </w:rPr>
        <w:lastRenderedPageBreak/>
        <w:drawing>
          <wp:inline distT="0" distB="0" distL="0" distR="0">
            <wp:extent cx="5220000" cy="2910635"/>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220000" cy="2910635"/>
                    </a:xfrm>
                    <a:prstGeom prst="rect">
                      <a:avLst/>
                    </a:prstGeom>
                    <a:ln/>
                  </pic:spPr>
                </pic:pic>
              </a:graphicData>
            </a:graphic>
          </wp:inline>
        </w:drawing>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Por lo que, al haber existido un pronunciamiento por parte del Servidor Público Habilitado de la Dirección de Seguridad Pública, respecto de la materia de la solicitud, este Organismo Garante no está facultado para manifestarse sobre la veracidad de lo expresado por parte de este, pues no existe precepto legal alguno en la Ley de la materia que lo faculte para ello.</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A91087" w:rsidRPr="007A7615" w:rsidRDefault="008A0C95">
      <w:pPr>
        <w:spacing w:before="240" w:after="240"/>
        <w:ind w:left="993" w:right="1041"/>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A7615">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w:t>
      </w:r>
      <w:r w:rsidRPr="007A7615">
        <w:rPr>
          <w:rFonts w:ascii="Palatino Linotype" w:eastAsia="Palatino Linotype" w:hAnsi="Palatino Linotype" w:cs="Palatino Linotype"/>
          <w:i/>
          <w:sz w:val="22"/>
          <w:szCs w:val="22"/>
        </w:rPr>
        <w:lastRenderedPageBreak/>
        <w:t>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91087" w:rsidRPr="007A7615" w:rsidRDefault="008A0C95">
      <w:pPr>
        <w:spacing w:before="240" w:after="360" w:line="360" w:lineRule="auto"/>
        <w:ind w:right="18"/>
        <w:jc w:val="both"/>
        <w:rPr>
          <w:rFonts w:ascii="Palatino Linotype" w:eastAsia="Palatino Linotype" w:hAnsi="Palatino Linotype" w:cs="Palatino Linotype"/>
          <w:b/>
        </w:rPr>
      </w:pPr>
      <w:r w:rsidRPr="007A7615">
        <w:rPr>
          <w:rFonts w:ascii="Palatino Linotype" w:eastAsia="Palatino Linotype" w:hAnsi="Palatino Linotype" w:cs="Palatino Linotype"/>
        </w:rPr>
        <w:t xml:space="preserve">En este contexto, </w:t>
      </w:r>
      <w:r w:rsidRPr="007A7615">
        <w:rPr>
          <w:rFonts w:ascii="Palatino Linotype" w:eastAsia="Palatino Linotype" w:hAnsi="Palatino Linotype" w:cs="Palatino Linotype"/>
          <w:b/>
        </w:rPr>
        <w:t xml:space="preserve">la solicitud se tiene por atendida respecto de la </w:t>
      </w:r>
      <w:r w:rsidRPr="007A7615">
        <w:rPr>
          <w:rFonts w:ascii="Palatino Linotype" w:eastAsia="Palatino Linotype" w:hAnsi="Palatino Linotype" w:cs="Palatino Linotype"/>
          <w:b/>
          <w:u w:val="single"/>
        </w:rPr>
        <w:t>Dirección de Seguridad Pública</w:t>
      </w:r>
      <w:r w:rsidRPr="007A7615">
        <w:rPr>
          <w:rFonts w:ascii="Palatino Linotype" w:eastAsia="Palatino Linotype" w:hAnsi="Palatino Linotype" w:cs="Palatino Linotype"/>
          <w:b/>
        </w:rPr>
        <w:t>.</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Finalmente, el Servidor Público Habilitado de la </w:t>
      </w:r>
      <w:r w:rsidRPr="007A7615">
        <w:rPr>
          <w:rFonts w:ascii="Palatino Linotype" w:eastAsia="Palatino Linotype" w:hAnsi="Palatino Linotype" w:cs="Palatino Linotype"/>
          <w:i/>
        </w:rPr>
        <w:t>Dirección de Administración</w:t>
      </w:r>
      <w:r w:rsidRPr="007A7615">
        <w:rPr>
          <w:rFonts w:ascii="Palatino Linotype" w:eastAsia="Palatino Linotype" w:hAnsi="Palatino Linotype" w:cs="Palatino Linotype"/>
        </w:rPr>
        <w:t>, se limitó a referir que no contaba con la información requerida, al no ser competencia de su área, sin embargo, su respuesta no agotó los principios de congruencia y exhaustividad, ya que no se pronunció de manera particular sobre la información que, a su consideración, no es de su competencia, pudiendo ser, por ejemplo, las Actas de Cabildo, que, como ya se señaló, competen a la Secretaría del Ayuntamiento.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tal sentido, resulta aplicable el Criterio 02/17 emitido por el Peno del Instituto Nacional de Transparencia y Acceso a la Información y Protección de Datos Personales, de título y texto siguientes:</w:t>
      </w:r>
    </w:p>
    <w:p w:rsidR="00A91087" w:rsidRPr="007A7615" w:rsidRDefault="008A0C95">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7A761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A7615">
        <w:rPr>
          <w:rFonts w:ascii="Palatino Linotype" w:eastAsia="Palatino Linotype" w:hAnsi="Palatino Linotype" w:cs="Palatino Linotype"/>
          <w:b/>
          <w:i/>
          <w:sz w:val="22"/>
          <w:szCs w:val="22"/>
        </w:rPr>
        <w:t xml:space="preserve">la congruencia implica que exista concordancia entre el requerimiento </w:t>
      </w:r>
      <w:r w:rsidRPr="007A7615">
        <w:rPr>
          <w:rFonts w:ascii="Palatino Linotype" w:eastAsia="Palatino Linotype" w:hAnsi="Palatino Linotype" w:cs="Palatino Linotype"/>
          <w:b/>
          <w:i/>
          <w:sz w:val="22"/>
          <w:szCs w:val="22"/>
        </w:rPr>
        <w:lastRenderedPageBreak/>
        <w:t>formulado por el particular y la respuesta proporcionada por el sujeto obligado</w:t>
      </w:r>
      <w:r w:rsidRPr="007A7615">
        <w:rPr>
          <w:rFonts w:ascii="Palatino Linotype" w:eastAsia="Palatino Linotype" w:hAnsi="Palatino Linotype" w:cs="Palatino Linotype"/>
          <w:i/>
          <w:sz w:val="22"/>
          <w:szCs w:val="22"/>
        </w:rPr>
        <w:t xml:space="preserve">; mientras que </w:t>
      </w:r>
      <w:r w:rsidRPr="007A7615">
        <w:rPr>
          <w:rFonts w:ascii="Palatino Linotype" w:eastAsia="Palatino Linotype" w:hAnsi="Palatino Linotype" w:cs="Palatino Linotype"/>
          <w:b/>
          <w:i/>
          <w:sz w:val="22"/>
          <w:szCs w:val="22"/>
        </w:rPr>
        <w:t>la exhaustividad significa que dicha respuesta se refiera expresamente a cada uno de los puntos solicitados</w:t>
      </w:r>
      <w:r w:rsidRPr="007A761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lo anterior, este Organismo Garante, con la finalidad de garantizar el derecho humano de acceso a la información de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y a fin de reparar el agravio causado ante la omisión en que incurriera el Servidor Público Habilitado de la Dirección de Administración, ya que, como se señaló, su respuesta careció de los principios de congruencia y exhaustividad, al no pronunciarse de manera particular sobre los puntos de la solicitud y no señalar que efectivamente realizó la búsqueda del soporte documental, estima procedente ordenar que efectué la búsqueda exhaustiva y razonable en sus archivo de la información solicitada, y proceda a la entrega de la misma en versión pública conforme al considerando siguiente.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Asimismo, dicha búsqueda se deberá extender a la Tesorería Municipal, toda vez que de las constancias que obran en el expediente electrónico en el que se actúa, no se advirtió que la solicitud de mérito hubiera sido turnada a dicha Área Administrativa, siendo de suma importancia mencionar que de conformidad con los artículos artículo 93 y 95, fracciones I y IV de la Ley Orgánica Municipal del Estado de México, la Tesorería Municipal es el órgano de la administración pública municipal autorizado para la recaudación de los impuestos, derechos municipales y demás contribuciones de los particulares, así mismo es responsable de efectuar las erogaciones que realice con cargo al presupuesto aprobado por el Ayuntamiento, a saber:</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lastRenderedPageBreak/>
        <w:t>“</w:t>
      </w:r>
      <w:r w:rsidRPr="007A7615">
        <w:rPr>
          <w:rFonts w:ascii="Palatino Linotype" w:eastAsia="Palatino Linotype" w:hAnsi="Palatino Linotype" w:cs="Palatino Linotype"/>
          <w:b/>
          <w:i/>
          <w:sz w:val="22"/>
          <w:szCs w:val="22"/>
        </w:rPr>
        <w:t>Artículo 93.-</w:t>
      </w:r>
      <w:r w:rsidRPr="007A7615">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95</w:t>
      </w:r>
      <w:r w:rsidRPr="007A7615">
        <w:rPr>
          <w:rFonts w:ascii="Palatino Linotype" w:eastAsia="Palatino Linotype" w:hAnsi="Palatino Linotype" w:cs="Palatino Linotype"/>
          <w:i/>
          <w:sz w:val="22"/>
          <w:szCs w:val="22"/>
        </w:rPr>
        <w:t xml:space="preserve">.- Son atribuciones del tesorero municipal: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Administrar la hacienda pública municipal, de conformidad con las disposiciones legales aplicables;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Llevar los registros contables, financieros y administrativos de los ingresos, egresos, e inventarios;”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el mismo tenor el Bando municipal, en su artículo 63, dispone que la Tesorería Municipal es el órgano encargado de la recaudación de los ingresos municipales y responsable de realizar las erogaciones que haga el Ayuntamiento, teniendo como funciones, de forma enunciativa y no limitativa, las establecidas en el artículo 95 de la Ley Orgánica Municipal del Estado de México y demás disposiciones legales.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Además, determinación de ordenar la búsqueda exhaustiva y razonable de la información solicitada en la Dirección de Administración y en la Tesorería Municipal, encuentra sustento en el CONTRATO DE ADQUISICIÓN DE VEHÍCULO, remitido por la Dirección de Seguridad Pública, donde se advierte que el Ayuntamiento de Atizapán, estuvo representado para la celebración del mismo, por el Presidente Municipal, el Tesorero Municipal y el Director de Administración, como se lee enseguida:</w:t>
      </w:r>
    </w:p>
    <w:p w:rsidR="00A91087" w:rsidRPr="007A7615" w:rsidRDefault="008A0C95">
      <w:pPr>
        <w:spacing w:before="240" w:after="240" w:line="360" w:lineRule="auto"/>
        <w:jc w:val="center"/>
        <w:rPr>
          <w:rFonts w:ascii="Palatino Linotype" w:eastAsia="Palatino Linotype" w:hAnsi="Palatino Linotype" w:cs="Palatino Linotype"/>
        </w:rPr>
      </w:pPr>
      <w:r w:rsidRPr="007A7615">
        <w:rPr>
          <w:noProof/>
        </w:rPr>
        <w:lastRenderedPageBreak/>
        <w:drawing>
          <wp:inline distT="0" distB="0" distL="0" distR="0">
            <wp:extent cx="4428000" cy="2802698"/>
            <wp:effectExtent l="0" t="0" r="0" b="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428000" cy="2802698"/>
                    </a:xfrm>
                    <a:prstGeom prst="rect">
                      <a:avLst/>
                    </a:prstGeom>
                    <a:ln/>
                  </pic:spPr>
                </pic:pic>
              </a:graphicData>
            </a:graphic>
          </wp:inline>
        </w:drawing>
      </w:r>
    </w:p>
    <w:p w:rsidR="00A91087" w:rsidRPr="007A7615" w:rsidRDefault="008A0C95">
      <w:pPr>
        <w:spacing w:before="240" w:after="240" w:line="360" w:lineRule="auto"/>
        <w:jc w:val="center"/>
        <w:rPr>
          <w:rFonts w:ascii="Palatino Linotype" w:eastAsia="Palatino Linotype" w:hAnsi="Palatino Linotype" w:cs="Palatino Linotype"/>
        </w:rPr>
      </w:pPr>
      <w:r w:rsidRPr="007A7615">
        <w:rPr>
          <w:noProof/>
        </w:rPr>
        <w:drawing>
          <wp:inline distT="0" distB="0" distL="0" distR="0">
            <wp:extent cx="4428000" cy="1438923"/>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28000" cy="1438923"/>
                    </a:xfrm>
                    <a:prstGeom prst="rect">
                      <a:avLst/>
                    </a:prstGeom>
                    <a:ln/>
                  </pic:spPr>
                </pic:pic>
              </a:graphicData>
            </a:graphic>
          </wp:inline>
        </w:drawing>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Asimismo, se deberá turnar la solicitud de información al Órgano Interno de Control por cuanto hace a la revisión de anexos de los contratos por parte de dicho Órgano, al tener a su cargo, las siguientes atribuciones de conformidad con el artículo 112 de la Ley Orgánica Municipal del Estado de México:</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112.</w:t>
      </w:r>
      <w:r w:rsidRPr="007A7615">
        <w:rPr>
          <w:rFonts w:ascii="Palatino Linotype" w:eastAsia="Palatino Linotype" w:hAnsi="Palatino Linotype" w:cs="Palatino Linotype"/>
          <w:i/>
          <w:sz w:val="22"/>
          <w:szCs w:val="22"/>
        </w:rPr>
        <w:t xml:space="preserve"> El órgano interno de control municipal tendrá a su cargo las funciones siguientes: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I. Planear, programar, organizar y coordinar el sistema de control y evaluación municipal;</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II. Fiscalizar el ingreso y ejercicio del gasto público municipal y su congruencia con el presupuesto de egresos;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lastRenderedPageBreak/>
        <w:t xml:space="preserve">III. Aplicar las normas y criterios en materia de control y evaluación;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IV. Asesorar a los órganos de control interno de los organismos auxiliares y fideicomisos de la administración pública municipal;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V. Establecer las bases generales para la realización de auditorías e inspecciones;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VI. Vigilar que los recursos federales y estatales asignados a los ayuntamientos se apliquen en los términos estipulados en las leyes, los reglamentos y los convenios respectivos;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VII. Vigilar el cumplimiento de las obligaciones de proveedores y contratistas de la administración pública municipal;</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VIII. Coordinarse con el Órgano Superior de Fiscalización del Estado de México y la Contraloría del Poder Legislativo y con la Secretaría de la Contraloría del Estado para el cumplimiento de sus funciones;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IX. Designar a los auditores externos y proponer al ayuntamiento, en su caso, a los Comisarios de los Organismos Auxiliares;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 Establecer y operar un sistema de atención de quejas, denuncias y sugerencias;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XI. Realizar auditorías y evaluaciones e informar del resultado de las mismas al ayuntamiento;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XII. Participar en la entrega-recepción de las unidades administrativas de las dependencias, organismos auxiliares y fideicomisos del municipio;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XIII. Dictaminar los estados financieros de la tesorería municipal y verificar que se remitan los informes correspondientes al Órgano Superior de Fiscalización del Estado de México;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XIV. Vigilar que los ingresos municipales se enteren a la tesorería municipal conforme a los procedimientos contables y disposiciones legales aplicables;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XV. Participar en la elaboración y actualización del inventario general de los bienes muebles e inmuebles propiedad del municipio, que expresará las características de identificación y destino de los mismos;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XVI. Verificar que los servidores públicos municipales cumplan con la obligación de presentar oportunamente la manifestación de bienes, en términos de la Ley de Responsabilidades Administrativas del Estado de México y Municipios;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lastRenderedPageBreak/>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XVIII. Supervisar el cumplimiento de los acuerdos tomados por el Consejo Municipal de Seguridad Pública;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XIX. Vigilar el cumplimiento de los programas y acciones para la prevención, atención y en su caso, el pago de las responsabilidades económicas de los Ayuntamientos por los conflictos laborales; y</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XX. Las demás que le señalen las disposiciones relativas.”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Ahora bien, para efectos de la entrega de información es preciso señalar que el Sujeto Obligado tiene el deber de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18</w:t>
      </w:r>
      <w:r w:rsidRPr="007A7615">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24.</w:t>
      </w:r>
      <w:r w:rsidRPr="007A7615">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XXII.</w:t>
      </w:r>
      <w:r w:rsidRPr="007A7615">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36"/>
          <w:szCs w:val="36"/>
        </w:rPr>
      </w:pPr>
      <w:r w:rsidRPr="007A7615">
        <w:rPr>
          <w:rFonts w:ascii="Palatino Linotype" w:eastAsia="Palatino Linotype" w:hAnsi="Palatino Linotype" w:cs="Palatino Linotype"/>
          <w:b/>
          <w:i/>
          <w:sz w:val="22"/>
          <w:szCs w:val="22"/>
        </w:rPr>
        <w:t>Artículo 160</w:t>
      </w:r>
      <w:r w:rsidRPr="007A7615">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w:t>
      </w:r>
      <w:r w:rsidRPr="007A7615">
        <w:rPr>
          <w:rFonts w:ascii="Palatino Linotype" w:eastAsia="Palatino Linotype" w:hAnsi="Palatino Linotype" w:cs="Palatino Linotype"/>
          <w:i/>
          <w:sz w:val="22"/>
          <w:szCs w:val="22"/>
        </w:rPr>
        <w:lastRenderedPageBreak/>
        <w:t>sus facultades, competencias o funciones en el formato que el solicitante manifieste, de entre aquellos formatos existentes, conforme a las características físicas de la información o del lugar donde se encuentre así lo permita.”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Asimismo, conviene realizar las siguientes precisiones:</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primer lugar, es oportuno mencionar que no escapa de la óptica de este Organismo Garante que de conformidad con las Declaraciones 1.3 y 1.4 del CONTRATO DE ADQUISICIÓN DE VEHÍCULO, la compra del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se realizó con recursos del Fondo de Aportaciones para la Seguridad Pública, FASP, del ejercicio 2021, mediante una </w:t>
      </w:r>
      <w:r w:rsidRPr="007A7615">
        <w:rPr>
          <w:rFonts w:ascii="Palatino Linotype" w:eastAsia="Palatino Linotype" w:hAnsi="Palatino Linotype" w:cs="Palatino Linotype"/>
          <w:b/>
        </w:rPr>
        <w:t>compra consolidada</w:t>
      </w:r>
      <w:r w:rsidRPr="007A7615">
        <w:rPr>
          <w:rFonts w:ascii="Palatino Linotype" w:eastAsia="Palatino Linotype" w:hAnsi="Palatino Linotype" w:cs="Palatino Linotype"/>
        </w:rPr>
        <w:t xml:space="preserve"> a través el procedimiento de adquisición bajo la Licitación Pública LPN/118/2021, siendo el ente </w:t>
      </w:r>
      <w:proofErr w:type="spellStart"/>
      <w:r w:rsidRPr="007A7615">
        <w:rPr>
          <w:rFonts w:ascii="Palatino Linotype" w:eastAsia="Palatino Linotype" w:hAnsi="Palatino Linotype" w:cs="Palatino Linotype"/>
        </w:rPr>
        <w:t>consolidador</w:t>
      </w:r>
      <w:proofErr w:type="spellEnd"/>
      <w:r w:rsidRPr="007A7615">
        <w:rPr>
          <w:rFonts w:ascii="Palatino Linotype" w:eastAsia="Palatino Linotype" w:hAnsi="Palatino Linotype" w:cs="Palatino Linotype"/>
        </w:rPr>
        <w:t xml:space="preserve"> el Estado de Jalisco, como se lee en seguida:</w:t>
      </w:r>
    </w:p>
    <w:p w:rsidR="00A91087" w:rsidRPr="007A7615" w:rsidRDefault="008A0C9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7615">
        <w:rPr>
          <w:noProof/>
        </w:rPr>
        <w:drawing>
          <wp:inline distT="0" distB="0" distL="0" distR="0">
            <wp:extent cx="4680000" cy="3071283"/>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680000" cy="3071283"/>
                    </a:xfrm>
                    <a:prstGeom prst="rect">
                      <a:avLst/>
                    </a:prstGeom>
                    <a:ln/>
                  </pic:spPr>
                </pic:pic>
              </a:graphicData>
            </a:graphic>
          </wp:inline>
        </w:drawing>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este tenor, es imprescindible señalar que el Fondo de Aportaciones para la Seguridad Pública, FASP, es un fondo presupuestal previsto en la Ley de </w:t>
      </w:r>
      <w:r w:rsidRPr="007A7615">
        <w:rPr>
          <w:rFonts w:ascii="Palatino Linotype" w:eastAsia="Palatino Linotype" w:hAnsi="Palatino Linotype" w:cs="Palatino Linotype"/>
        </w:rPr>
        <w:lastRenderedPageBreak/>
        <w:t xml:space="preserve">Coordinación Fiscal a través del cual se transfieren recursos a las entidades federativas para dar cumplimiento a estrategias nacionales en materia de seguridad pública. </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El FASP atiende a los cinco Ejes Estratégicos del Sistema Nacional de Seguridad Pública y se orienta a los diez Programas con Prioridad Nacional:</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1. Desarrollo de capacidades en las instituciones locales para el diseño de políticas públicas destinadas a la prevención social de la violencia y la delincuencia con participación ciudadana en temas de seguridad pública.</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2. Desarrollo, profesionalización y certificación policial.</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3. Tecnologías, infraestructura y equipamiento de apoyo a la operación policial.</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4. Implementación y desarrollo del sistema de justicia penal y sistemas complementarios.</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5. Fortalecimiento al sistema penitenciario nacional y de ejecución de medidas para adolescentes.</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6. Desarrollo de las ciencias forenses en la investigación de hechos delictivos.</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7. Sistema nacional de información para la seguridad pública.</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8. Sistema nacional de atención de llamadas de emergencia y denuncias ciudadanas.</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9. Fortalecimiento de capacidades para la prevención y combate a delitos de alto impacto.</w:t>
      </w:r>
    </w:p>
    <w:p w:rsidR="00A91087" w:rsidRPr="007A7615" w:rsidRDefault="008A0C95">
      <w:pPr>
        <w:pBdr>
          <w:top w:val="nil"/>
          <w:left w:val="nil"/>
          <w:bottom w:val="nil"/>
          <w:right w:val="nil"/>
          <w:between w:val="nil"/>
        </w:pBdr>
        <w:spacing w:before="120" w:after="12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10. Especialización de las instancias responsables de la búsqueda de personas.</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rPr>
        <w:lastRenderedPageBreak/>
        <w:t xml:space="preserve">Con base en la Cláusula Segunda del 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(Ciudad de México) (FASP) 2021, publicado en el Diario Oficial de la Federación en fecha diecisiete de marzo de dos mil veintiuno, de conformidad con el Presupuesto de Egresos de la Federación para el Ejercicio Fiscal 2021 y los Criterios de Distribución del Fondo de Aportaciones para la Seguridad Pública de los Estados y del Distrito Federal (Ciudad de México) (FASP), para el ejercicio fiscal 2021 y los resultados de su aplicación, publicados en el Diario Oficial de la Federación el 30 de diciembre de 2020, el Estado de México recibiría la cantidad de $529,447,348.00 (quinientos veintinueve millones cuatrocientos cuarenta y siete mil trescientos cuarenta y ocho pesos 00/100 M.N.) de los recursos del FASP, y, a efecto de complementar los recursos necesarios para la realización del objeto del Convenio, el Estado de México se obligó a aportar de sus recursos presupuestarios el 25% (veinticinco) por ciento del total de los recursos federales otorgados, lo que representó la cantidad de $132,361,837.00 (Ciento treinta y dos millones trescientos sesenta y un mil ochocientos treinta y siete pesos 00/100 M.N.), </w:t>
      </w:r>
      <w:r w:rsidRPr="007A7615">
        <w:rPr>
          <w:rFonts w:ascii="Palatino Linotype" w:eastAsia="Palatino Linotype" w:hAnsi="Palatino Linotype" w:cs="Palatino Linotype"/>
          <w:b/>
        </w:rPr>
        <w:t xml:space="preserve">de manera que el financiamiento conjunto pactado en el Convenio, integrado por las aportaciones federal y estatal sumaron en conjunto la cantidad de $661,809,185.00 (seiscientos sesenta y un millones ochocientos nueve mil ciento ochenta y cinco pesos 00/100 M.N.). </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Las acciones prioritarias, metas y conceptos convenidos de los Programas con Prioridad Nacional y Subprogramas, se establecieron en un Anexo Técnico; </w:t>
      </w:r>
      <w:r w:rsidRPr="007A7615">
        <w:rPr>
          <w:rFonts w:ascii="Palatino Linotype" w:eastAsia="Palatino Linotype" w:hAnsi="Palatino Linotype" w:cs="Palatino Linotype"/>
        </w:rPr>
        <w:lastRenderedPageBreak/>
        <w:t>debiendo el Estado de México destinar recursos del financiamiento conjunto, para realizar acciones específicas en materia de seguimiento y evaluación respecto de las acciones, metas, conceptos y recursos asociados de los Programas con Prioridad Nacional, instrumentados en el marco de este Convenio, en los términos establecidos en el Anexo Técnico y observando los Lineamientos Generales de Evaluación que emite el Secretariado.</w:t>
      </w:r>
    </w:p>
    <w:p w:rsidR="00A91087" w:rsidRPr="007A7615" w:rsidRDefault="008A0C95">
      <w:pPr>
        <w:pBdr>
          <w:top w:val="nil"/>
          <w:left w:val="nil"/>
          <w:bottom w:val="nil"/>
          <w:right w:val="nil"/>
          <w:between w:val="nil"/>
        </w:pBdr>
        <w:spacing w:before="240" w:after="240" w:line="360" w:lineRule="auto"/>
        <w:jc w:val="both"/>
      </w:pPr>
      <w:r w:rsidRPr="007A7615">
        <w:rPr>
          <w:rFonts w:ascii="Palatino Linotype" w:eastAsia="Palatino Linotype" w:hAnsi="Palatino Linotype" w:cs="Palatino Linotype"/>
        </w:rPr>
        <w:t>Asimismo, con el objeto de llevar a cabo la administración de los recursos del FASP con eficiencia, eficacia, economía, transparencia y honradez para satisfacer los objetivos a los que están destinados, el Secretariado debió señalar Estado de México  los bienes y servicios sujetos a adquirirse de manera consolidada, y para tal efecto el Estado de México  </w:t>
      </w:r>
      <w:r w:rsidRPr="007A7615">
        <w:rPr>
          <w:rFonts w:ascii="Palatino Linotype" w:eastAsia="Palatino Linotype" w:hAnsi="Palatino Linotype" w:cs="Palatino Linotype"/>
          <w:b/>
        </w:rPr>
        <w:t xml:space="preserve">estableció, dentro del Anexo Técnico, los conceptos que habrían de formar parte de la consolidación </w:t>
      </w:r>
      <w:r w:rsidRPr="007A7615">
        <w:rPr>
          <w:rFonts w:ascii="Palatino Linotype" w:eastAsia="Palatino Linotype" w:hAnsi="Palatino Linotype" w:cs="Palatino Linotype"/>
        </w:rPr>
        <w:t>conforme al procedimiento que emitió el Secretariado, siempre que se asegure al Estado las mejores condiciones disponibles en cuanto a precio, calidad, financiamiento, oportunidad y demás circunstancias pertinentes, conforme a lo dispuesto en el artículo 134 de la Constitución Política de los Estados Unidos Mexicanos, las leyes locales en lo que no se contrapongan a la legislación federal y demás normativa aplicable.</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De manera que en el Anexo Técnico del Convenio de Coordinación del Fondo de Aportaciones para la Seguridad Pública de los Estados y del Distrito Federal (Ciudad de México) (FASP), para el ejercicio 2021, respecto a la Distribución General de los Recursos del Financiamiento Conjunto, al que se refiere la Cláusula Segunda del mismo Convenio, el Secretariado, como el Estado de México convinieron el financiamiento conjunto, mismo que debía destinarse a los Programas con Prioridad Nacional y Subprogramas vigentes,  donde se localizó, entre otros programas, el </w:t>
      </w:r>
      <w:r w:rsidRPr="007A7615">
        <w:rPr>
          <w:rFonts w:ascii="Palatino Linotype" w:eastAsia="Palatino Linotype" w:hAnsi="Palatino Linotype" w:cs="Palatino Linotype"/>
        </w:rPr>
        <w:lastRenderedPageBreak/>
        <w:t>relativo al Equipamiento e Infraestructura de los elementos policiales, y las instituciones de Seguridad Pública, con los siguientes subprogramas:</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noProof/>
        </w:rPr>
        <w:drawing>
          <wp:inline distT="0" distB="0" distL="0" distR="0">
            <wp:extent cx="5612130" cy="1506855"/>
            <wp:effectExtent l="0" t="0" r="0" b="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1506855"/>
                    </a:xfrm>
                    <a:prstGeom prst="rect">
                      <a:avLst/>
                    </a:prstGeom>
                    <a:ln/>
                  </pic:spPr>
                </pic:pic>
              </a:graphicData>
            </a:graphic>
          </wp:inline>
        </w:drawing>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Así las cosas, el subprograma Equipamiento de las instituciones de Seguridad Pública, incluyen entre otros Programas con Prioridad Nacional y Subprogramas, el relativo a Vehículos y Equipo de Transporte como se ilustra a continuación:</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noProof/>
        </w:rPr>
        <w:lastRenderedPageBreak/>
        <w:drawing>
          <wp:inline distT="0" distB="0" distL="0" distR="0">
            <wp:extent cx="5612130" cy="272415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612130" cy="2724150"/>
                    </a:xfrm>
                    <a:prstGeom prst="rect">
                      <a:avLst/>
                    </a:prstGeom>
                    <a:ln/>
                  </pic:spPr>
                </pic:pic>
              </a:graphicData>
            </a:graphic>
          </wp:inline>
        </w:drawing>
      </w:r>
      <w:r w:rsidRPr="007A7615">
        <w:rPr>
          <w:rFonts w:ascii="Palatino Linotype" w:eastAsia="Palatino Linotype" w:hAnsi="Palatino Linotype" w:cs="Palatino Linotype"/>
        </w:rPr>
        <w:t xml:space="preserve"> </w:t>
      </w:r>
      <w:r w:rsidRPr="007A7615">
        <w:rPr>
          <w:noProof/>
        </w:rPr>
        <w:drawing>
          <wp:inline distT="0" distB="0" distL="0" distR="0">
            <wp:extent cx="5612130" cy="2115185"/>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5612130" cy="2115185"/>
                    </a:xfrm>
                    <a:prstGeom prst="rect">
                      <a:avLst/>
                    </a:prstGeom>
                    <a:ln/>
                  </pic:spPr>
                </pic:pic>
              </a:graphicData>
            </a:graphic>
          </wp:inline>
        </w:drawing>
      </w:r>
      <w:r w:rsidRPr="007A7615">
        <w:rPr>
          <w:noProof/>
        </w:rPr>
        <mc:AlternateContent>
          <mc:Choice Requires="wpg">
            <w:drawing>
              <wp:anchor distT="0" distB="0" distL="114300" distR="114300" simplePos="0" relativeHeight="251659264" behindDoc="0" locked="0" layoutInCell="1" hidden="0" allowOverlap="1">
                <wp:simplePos x="0" y="0"/>
                <wp:positionH relativeFrom="column">
                  <wp:posOffset>-88899</wp:posOffset>
                </wp:positionH>
                <wp:positionV relativeFrom="paragraph">
                  <wp:posOffset>3670300</wp:posOffset>
                </wp:positionV>
                <wp:extent cx="5772150" cy="476250"/>
                <wp:effectExtent l="0" t="0" r="0" b="0"/>
                <wp:wrapNone/>
                <wp:docPr id="31" name="Rectángulo 31"/>
                <wp:cNvGraphicFramePr/>
                <a:graphic xmlns:a="http://schemas.openxmlformats.org/drawingml/2006/main">
                  <a:graphicData uri="http://schemas.microsoft.com/office/word/2010/wordprocessingShape">
                    <wps:wsp>
                      <wps:cNvSpPr/>
                      <wps:spPr>
                        <a:xfrm>
                          <a:off x="2474213" y="3556163"/>
                          <a:ext cx="5743575" cy="447675"/>
                        </a:xfrm>
                        <a:prstGeom prst="rect">
                          <a:avLst/>
                        </a:prstGeom>
                        <a:noFill/>
                        <a:ln w="28575" cap="flat" cmpd="sng">
                          <a:solidFill>
                            <a:srgbClr val="C00000"/>
                          </a:solidFill>
                          <a:prstDash val="solid"/>
                          <a:round/>
                          <a:headEnd type="none" w="sm" len="sm"/>
                          <a:tailEnd type="none" w="sm" len="sm"/>
                        </a:ln>
                      </wps:spPr>
                      <wps:txbx>
                        <w:txbxContent>
                          <w:p w:rsidR="00A91087" w:rsidRDefault="00A9108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3670300</wp:posOffset>
                </wp:positionV>
                <wp:extent cx="5772150" cy="476250"/>
                <wp:effectExtent b="0" l="0" r="0" t="0"/>
                <wp:wrapNone/>
                <wp:docPr id="31"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5772150" cy="476250"/>
                        </a:xfrm>
                        <a:prstGeom prst="rect"/>
                        <a:ln/>
                      </pic:spPr>
                    </pic:pic>
                  </a:graphicData>
                </a:graphic>
              </wp:anchor>
            </w:drawing>
          </mc:Fallback>
        </mc:AlternateConten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Por cuanto hace a las acciones, se estableció lo siguiente:</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noProof/>
        </w:rPr>
        <w:lastRenderedPageBreak/>
        <w:drawing>
          <wp:inline distT="0" distB="0" distL="0" distR="0">
            <wp:extent cx="5612130" cy="2143125"/>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b="68046"/>
                    <a:stretch>
                      <a:fillRect/>
                    </a:stretch>
                  </pic:blipFill>
                  <pic:spPr>
                    <a:xfrm>
                      <a:off x="0" y="0"/>
                      <a:ext cx="5612130" cy="2143125"/>
                    </a:xfrm>
                    <a:prstGeom prst="rect">
                      <a:avLst/>
                    </a:prstGeom>
                    <a:ln/>
                  </pic:spPr>
                </pic:pic>
              </a:graphicData>
            </a:graphic>
          </wp:inline>
        </w:drawing>
      </w:r>
      <w:r w:rsidRPr="007A7615">
        <w:rPr>
          <w:noProof/>
        </w:rPr>
        <w:drawing>
          <wp:inline distT="0" distB="0" distL="0" distR="0">
            <wp:extent cx="5612130" cy="2982595"/>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55530" b="-1"/>
                    <a:stretch>
                      <a:fillRect/>
                    </a:stretch>
                  </pic:blipFill>
                  <pic:spPr>
                    <a:xfrm>
                      <a:off x="0" y="0"/>
                      <a:ext cx="5612130" cy="2982595"/>
                    </a:xfrm>
                    <a:prstGeom prst="rect">
                      <a:avLst/>
                    </a:prstGeom>
                    <a:ln/>
                  </pic:spPr>
                </pic:pic>
              </a:graphicData>
            </a:graphic>
          </wp:inline>
        </w:drawing>
      </w:r>
      <w:r w:rsidRPr="007A7615">
        <w:rPr>
          <w:noProof/>
        </w:rPr>
        <mc:AlternateContent>
          <mc:Choice Requires="wpg">
            <w:drawing>
              <wp:anchor distT="0" distB="0" distL="114300" distR="114300" simplePos="0" relativeHeight="251660288" behindDoc="0" locked="0" layoutInCell="1" hidden="0" allowOverlap="1">
                <wp:simplePos x="0" y="0"/>
                <wp:positionH relativeFrom="column">
                  <wp:posOffset>50801</wp:posOffset>
                </wp:positionH>
                <wp:positionV relativeFrom="paragraph">
                  <wp:posOffset>1485900</wp:posOffset>
                </wp:positionV>
                <wp:extent cx="5574030" cy="2305050"/>
                <wp:effectExtent l="0" t="0" r="0" b="0"/>
                <wp:wrapNone/>
                <wp:docPr id="34" name="Rectángulo 34"/>
                <wp:cNvGraphicFramePr/>
                <a:graphic xmlns:a="http://schemas.openxmlformats.org/drawingml/2006/main">
                  <a:graphicData uri="http://schemas.microsoft.com/office/word/2010/wordprocessingShape">
                    <wps:wsp>
                      <wps:cNvSpPr/>
                      <wps:spPr>
                        <a:xfrm>
                          <a:off x="2573273" y="2641763"/>
                          <a:ext cx="5545455" cy="2276475"/>
                        </a:xfrm>
                        <a:prstGeom prst="rect">
                          <a:avLst/>
                        </a:prstGeom>
                        <a:noFill/>
                        <a:ln w="28575" cap="flat" cmpd="sng">
                          <a:solidFill>
                            <a:srgbClr val="C00000"/>
                          </a:solidFill>
                          <a:prstDash val="solid"/>
                          <a:round/>
                          <a:headEnd type="none" w="sm" len="sm"/>
                          <a:tailEnd type="none" w="sm" len="sm"/>
                        </a:ln>
                      </wps:spPr>
                      <wps:txbx>
                        <w:txbxContent>
                          <w:p w:rsidR="00A91087" w:rsidRDefault="00A9108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1485900</wp:posOffset>
                </wp:positionV>
                <wp:extent cx="5574030" cy="2305050"/>
                <wp:effectExtent b="0" l="0" r="0" t="0"/>
                <wp:wrapNone/>
                <wp:docPr id="34"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5574030" cy="2305050"/>
                        </a:xfrm>
                        <a:prstGeom prst="rect"/>
                        <a:ln/>
                      </pic:spPr>
                    </pic:pic>
                  </a:graphicData>
                </a:graphic>
              </wp:anchor>
            </w:drawing>
          </mc:Fallback>
        </mc:AlternateContent>
      </w:r>
      <w:r w:rsidRPr="007A7615">
        <w:rPr>
          <w:noProof/>
        </w:rPr>
        <mc:AlternateContent>
          <mc:Choice Requires="wpg">
            <w:drawing>
              <wp:anchor distT="0" distB="0" distL="114300" distR="114300" simplePos="0" relativeHeight="251661312" behindDoc="0" locked="0" layoutInCell="1" hidden="0" allowOverlap="1">
                <wp:simplePos x="0" y="0"/>
                <wp:positionH relativeFrom="column">
                  <wp:posOffset>1384300</wp:posOffset>
                </wp:positionH>
                <wp:positionV relativeFrom="paragraph">
                  <wp:posOffset>3429000</wp:posOffset>
                </wp:positionV>
                <wp:extent cx="428625" cy="83819"/>
                <wp:effectExtent l="0" t="0" r="0" b="0"/>
                <wp:wrapNone/>
                <wp:docPr id="32" name="Conector recto de flecha 32"/>
                <wp:cNvGraphicFramePr/>
                <a:graphic xmlns:a="http://schemas.openxmlformats.org/drawingml/2006/main">
                  <a:graphicData uri="http://schemas.microsoft.com/office/word/2010/wordprocessingShape">
                    <wps:wsp>
                      <wps:cNvCnPr/>
                      <wps:spPr>
                        <a:xfrm flipH="1">
                          <a:off x="5150738" y="3757141"/>
                          <a:ext cx="390525" cy="45719"/>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3429000</wp:posOffset>
                </wp:positionV>
                <wp:extent cx="428625" cy="83819"/>
                <wp:effectExtent b="0" l="0" r="0" t="0"/>
                <wp:wrapNone/>
                <wp:docPr id="32"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428625" cy="83819"/>
                        </a:xfrm>
                        <a:prstGeom prst="rect"/>
                        <a:ln/>
                      </pic:spPr>
                    </pic:pic>
                  </a:graphicData>
                </a:graphic>
              </wp:anchor>
            </w:drawing>
          </mc:Fallback>
        </mc:AlternateConten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De lo anterior se colige que entre los bienes susceptibles a consolidación para el ejercicio 2021, fue la adquisición de vehículos, para lo cual el Estado de México debía manifestar su intención de adherirse a uno o varios de los procesos de compras consolidadas que promoviera el Secretariado.</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rPr>
        <w:t xml:space="preserve">Atento a lo anterior, se precisa que las contrataciones consolidadas son una estrategia de contratación mediante la cual los requerimientos de varias unidades </w:t>
      </w:r>
      <w:r w:rsidRPr="007A7615">
        <w:rPr>
          <w:rFonts w:ascii="Palatino Linotype" w:eastAsia="Palatino Linotype" w:hAnsi="Palatino Linotype" w:cs="Palatino Linotype"/>
        </w:rPr>
        <w:lastRenderedPageBreak/>
        <w:t>administrativas de una dependencia o entidad o de varias dependencias o entidades, se agregan o integran</w:t>
      </w:r>
      <w:r w:rsidRPr="007A7615">
        <w:rPr>
          <w:rFonts w:ascii="Palatino Linotype" w:eastAsia="Palatino Linotype" w:hAnsi="Palatino Linotype" w:cs="Palatino Linotype"/>
          <w:b/>
        </w:rPr>
        <w:t xml:space="preserve"> </w:t>
      </w:r>
      <w:r w:rsidRPr="007A7615">
        <w:rPr>
          <w:rFonts w:ascii="Palatino Linotype" w:eastAsia="Palatino Linotype" w:hAnsi="Palatino Linotype" w:cs="Palatino Linotype"/>
        </w:rPr>
        <w:t xml:space="preserve">con la finalidad de que </w:t>
      </w:r>
      <w:r w:rsidRPr="007A7615">
        <w:rPr>
          <w:rFonts w:ascii="Palatino Linotype" w:eastAsia="Palatino Linotype" w:hAnsi="Palatino Linotype" w:cs="Palatino Linotype"/>
          <w:b/>
        </w:rPr>
        <w:t xml:space="preserve">los contratos correspondientes sean adjudicados mediante un procedimiento de contratación único, </w:t>
      </w:r>
      <w:r w:rsidRPr="007A7615">
        <w:rPr>
          <w:rFonts w:ascii="Palatino Linotype" w:eastAsia="Palatino Linotype" w:hAnsi="Palatino Linotype" w:cs="Palatino Linotype"/>
        </w:rPr>
        <w:t>con el fin de obtener mejores condiciones en cuanto a precio.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La figura de la contratación consolidada se encuentra prevista en el artículo 17 de la Ley de Adquisiciones, Arrendamientos y Servicios del Sector Público, y, las reglas generales para realizar una consolidación están dadas por el artículo 13 del  Reglamento de la Ley de Adquisiciones, Arrendamientos, a saber:</w:t>
      </w:r>
    </w:p>
    <w:p w:rsidR="00A91087" w:rsidRPr="007A7615" w:rsidRDefault="008A0C95">
      <w:pPr>
        <w:spacing w:before="240" w:after="24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17</w:t>
      </w:r>
      <w:r w:rsidRPr="007A7615">
        <w:rPr>
          <w:rFonts w:ascii="Palatino Linotype" w:eastAsia="Palatino Linotype" w:hAnsi="Palatino Linotype" w:cs="Palatino Linotype"/>
          <w:i/>
          <w:sz w:val="22"/>
          <w:szCs w:val="22"/>
        </w:rPr>
        <w:t xml:space="preserve">. La Secretaría de la Función Pública, mediante disposiciones de carácter general, oyendo la opinión de la Secretaría de Economía, </w:t>
      </w:r>
      <w:r w:rsidRPr="007A7615">
        <w:rPr>
          <w:rFonts w:ascii="Palatino Linotype" w:eastAsia="Palatino Linotype" w:hAnsi="Palatino Linotype" w:cs="Palatino Linotype"/>
          <w:b/>
          <w:i/>
          <w:sz w:val="22"/>
          <w:szCs w:val="22"/>
        </w:rPr>
        <w:t>determinará, en su caso, los bienes, arrendamientos o servicios de uso generalizado que, en forma consolidada, podrán adquirir, arrendar o contratar las dependencias y entidades con objeto de obtener las mejores condiciones en cuanto a calidad, precio y oportunidad</w:t>
      </w:r>
      <w:r w:rsidRPr="007A7615">
        <w:rPr>
          <w:rFonts w:ascii="Palatino Linotype" w:eastAsia="Palatino Linotype" w:hAnsi="Palatino Linotype" w:cs="Palatino Linotype"/>
          <w:i/>
          <w:sz w:val="22"/>
          <w:szCs w:val="22"/>
        </w:rPr>
        <w:t>, y apoyar en condiciones de competencia a las áreas prioritarias del desarrollo...”</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13</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Para la consolidación de adquisiciones</w:t>
      </w:r>
      <w:r w:rsidRPr="007A7615">
        <w:rPr>
          <w:rFonts w:ascii="Palatino Linotype" w:eastAsia="Palatino Linotype" w:hAnsi="Palatino Linotype" w:cs="Palatino Linotype"/>
          <w:i/>
          <w:sz w:val="22"/>
          <w:szCs w:val="22"/>
        </w:rPr>
        <w:t xml:space="preserve">, arrendamientos o servicios </w:t>
      </w:r>
      <w:r w:rsidRPr="007A7615">
        <w:rPr>
          <w:rFonts w:ascii="Palatino Linotype" w:eastAsia="Palatino Linotype" w:hAnsi="Palatino Linotype" w:cs="Palatino Linotype"/>
          <w:b/>
          <w:i/>
          <w:sz w:val="22"/>
          <w:szCs w:val="22"/>
        </w:rPr>
        <w:t>entre varias dependencias o entidades</w:t>
      </w:r>
      <w:r w:rsidRPr="007A7615">
        <w:rPr>
          <w:rFonts w:ascii="Palatino Linotype" w:eastAsia="Palatino Linotype" w:hAnsi="Palatino Linotype" w:cs="Palatino Linotype"/>
          <w:i/>
          <w:sz w:val="22"/>
          <w:szCs w:val="22"/>
        </w:rPr>
        <w:t xml:space="preserve">, bastará que los representantes de las respectivas áreas contratantes se coordinen y manifiesten formalmente su acuerdo para llevar a cabo la contratación bajo esta modalidad, debiendo dejar constancia por escrito de las decisiones y acuerdos que se adopten para tal fin.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En las contrataciones consolidadas </w:t>
      </w:r>
      <w:r w:rsidRPr="007A7615">
        <w:rPr>
          <w:rFonts w:ascii="Palatino Linotype" w:eastAsia="Palatino Linotype" w:hAnsi="Palatino Linotype" w:cs="Palatino Linotype"/>
          <w:b/>
          <w:i/>
          <w:sz w:val="22"/>
          <w:szCs w:val="22"/>
        </w:rPr>
        <w:t>deberá considerarse lo siguiente</w:t>
      </w: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Se invitará a participar como asesores a un representante de la Secretaría de la Función Pública y a uno de la Secretaría de Economía;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u w:val="single"/>
        </w:rPr>
        <w:t>Las dependencias y entidades participantes</w:t>
      </w:r>
      <w:r w:rsidRPr="007A7615">
        <w:rPr>
          <w:rFonts w:ascii="Palatino Linotype" w:eastAsia="Palatino Linotype" w:hAnsi="Palatino Linotype" w:cs="Palatino Linotype"/>
          <w:b/>
          <w:i/>
          <w:sz w:val="22"/>
          <w:szCs w:val="22"/>
        </w:rPr>
        <w:t xml:space="preserve">, </w:t>
      </w:r>
      <w:r w:rsidRPr="007A7615">
        <w:rPr>
          <w:rFonts w:ascii="Palatino Linotype" w:eastAsia="Palatino Linotype" w:hAnsi="Palatino Linotype" w:cs="Palatino Linotype"/>
          <w:b/>
          <w:i/>
          <w:sz w:val="22"/>
          <w:szCs w:val="22"/>
          <w:u w:val="single"/>
        </w:rPr>
        <w:t>determinarán conjuntamente, con base en la investigación de mercado</w:t>
      </w:r>
      <w:r w:rsidRPr="007A7615">
        <w:rPr>
          <w:rFonts w:ascii="Palatino Linotype" w:eastAsia="Palatino Linotype" w:hAnsi="Palatino Linotype" w:cs="Palatino Linotype"/>
          <w:b/>
          <w:i/>
          <w:sz w:val="22"/>
          <w:szCs w:val="22"/>
        </w:rPr>
        <w:t>, el procedimiento de contratación que resulte procedente realizar</w:t>
      </w:r>
      <w:r w:rsidRPr="007A7615">
        <w:rPr>
          <w:rFonts w:ascii="Palatino Linotype" w:eastAsia="Palatino Linotype" w:hAnsi="Palatino Linotype" w:cs="Palatino Linotype"/>
          <w:i/>
          <w:sz w:val="22"/>
          <w:szCs w:val="22"/>
        </w:rPr>
        <w:t xml:space="preserve">; </w:t>
      </w:r>
    </w:p>
    <w:p w:rsidR="00A91087" w:rsidRPr="007A7615" w:rsidRDefault="008A0C95">
      <w:pPr>
        <w:spacing w:before="120" w:after="120"/>
        <w:ind w:left="1134"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Se deberá designar a una de las dependencias o entidades participantes como responsable de llevar a cabo el procedimiento de contratación</w:t>
      </w:r>
      <w:r w:rsidRPr="007A7615">
        <w:rPr>
          <w:rFonts w:ascii="Palatino Linotype" w:eastAsia="Palatino Linotype" w:hAnsi="Palatino Linotype" w:cs="Palatino Linotype"/>
          <w:i/>
          <w:sz w:val="22"/>
          <w:szCs w:val="22"/>
        </w:rPr>
        <w:t>, la que e</w:t>
      </w:r>
      <w:r w:rsidRPr="007A7615">
        <w:rPr>
          <w:rFonts w:ascii="Palatino Linotype" w:eastAsia="Palatino Linotype" w:hAnsi="Palatino Linotype" w:cs="Palatino Linotype"/>
          <w:b/>
          <w:i/>
          <w:sz w:val="22"/>
          <w:szCs w:val="22"/>
        </w:rPr>
        <w:t xml:space="preserve">laborará la convocatoria a la licitación pública, la invitación a cuando menos tres personas o la solicitud de </w:t>
      </w:r>
      <w:r w:rsidRPr="007A7615">
        <w:rPr>
          <w:rFonts w:ascii="Palatino Linotype" w:eastAsia="Palatino Linotype" w:hAnsi="Palatino Linotype" w:cs="Palatino Linotype"/>
          <w:b/>
          <w:i/>
          <w:sz w:val="22"/>
          <w:szCs w:val="22"/>
        </w:rPr>
        <w:lastRenderedPageBreak/>
        <w:t xml:space="preserve">cotización, en su caso, misma que </w:t>
      </w:r>
      <w:r w:rsidRPr="007A7615">
        <w:rPr>
          <w:rFonts w:ascii="Palatino Linotype" w:eastAsia="Palatino Linotype" w:hAnsi="Palatino Linotype" w:cs="Palatino Linotype"/>
          <w:b/>
          <w:i/>
          <w:sz w:val="22"/>
          <w:szCs w:val="22"/>
          <w:u w:val="single"/>
        </w:rPr>
        <w:t>será sometida a la revisión y aprobación de todos los participantes en la consolidación</w:t>
      </w:r>
      <w:r w:rsidRPr="007A7615">
        <w:rPr>
          <w:rFonts w:ascii="Palatino Linotype" w:eastAsia="Palatino Linotype" w:hAnsi="Palatino Linotype" w:cs="Palatino Linotype"/>
          <w:b/>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Los proyectos de convocatoria deberán ser difundidos en </w:t>
      </w:r>
      <w:proofErr w:type="spellStart"/>
      <w:r w:rsidRPr="007A7615">
        <w:rPr>
          <w:rFonts w:ascii="Palatino Linotype" w:eastAsia="Palatino Linotype" w:hAnsi="Palatino Linotype" w:cs="Palatino Linotype"/>
          <w:i/>
          <w:sz w:val="22"/>
          <w:szCs w:val="22"/>
        </w:rPr>
        <w:t>CompraNet</w:t>
      </w:r>
      <w:proofErr w:type="spellEnd"/>
      <w:r w:rsidRPr="007A7615">
        <w:rPr>
          <w:rFonts w:ascii="Palatino Linotype" w:eastAsia="Palatino Linotype" w:hAnsi="Palatino Linotype" w:cs="Palatino Linotype"/>
          <w:i/>
          <w:sz w:val="22"/>
          <w:szCs w:val="22"/>
        </w:rPr>
        <w:t xml:space="preserve">, en la forma y plazo previstos en el párrafo tercero del artículo 29 de la Ley; </w:t>
      </w:r>
    </w:p>
    <w:p w:rsidR="00A91087" w:rsidRPr="007A7615" w:rsidRDefault="008A0C95">
      <w:pPr>
        <w:spacing w:before="120" w:after="120"/>
        <w:ind w:left="1134" w:right="902"/>
        <w:jc w:val="both"/>
        <w:rPr>
          <w:rFonts w:ascii="Palatino Linotype" w:eastAsia="Palatino Linotype" w:hAnsi="Palatino Linotype" w:cs="Palatino Linotype"/>
          <w:b/>
          <w:i/>
          <w:sz w:val="22"/>
          <w:szCs w:val="22"/>
          <w:u w:val="single"/>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La dependencia o entidad designada para llevar a cabo el procedimiento de contratación, aplicará lo establecido en sus políticas, bases y lineamientos</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 xml:space="preserve">En caso de que las condiciones para la contratación consolidada no estén previstas en las políticas, bases y lineamientos de la dependencia o entidad designada, </w:t>
      </w:r>
      <w:r w:rsidRPr="007A7615">
        <w:rPr>
          <w:rFonts w:ascii="Palatino Linotype" w:eastAsia="Palatino Linotype" w:hAnsi="Palatino Linotype" w:cs="Palatino Linotype"/>
          <w:b/>
          <w:i/>
          <w:sz w:val="22"/>
          <w:szCs w:val="22"/>
          <w:u w:val="single"/>
        </w:rPr>
        <w:t>se estará a lo que acuerden los participantes en la contratación consolidada, sin que resulte necesario solicitar la autorización de su respectivo Comité</w:t>
      </w:r>
      <w:r w:rsidRPr="007A7615">
        <w:rPr>
          <w:rFonts w:ascii="Palatino Linotype" w:eastAsia="Palatino Linotype" w:hAnsi="Palatino Linotype" w:cs="Palatino Linotype"/>
          <w:i/>
          <w:sz w:val="22"/>
          <w:szCs w:val="22"/>
        </w:rPr>
        <w:t xml:space="preserve">, sino </w:t>
      </w:r>
      <w:r w:rsidRPr="007A7615">
        <w:rPr>
          <w:rFonts w:ascii="Palatino Linotype" w:eastAsia="Palatino Linotype" w:hAnsi="Palatino Linotype" w:cs="Palatino Linotype"/>
          <w:b/>
          <w:i/>
          <w:sz w:val="22"/>
          <w:szCs w:val="22"/>
          <w:u w:val="single"/>
        </w:rPr>
        <w:t xml:space="preserve">únicamente informar a éste sobre tales acuerdos;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El Comité de la dependencia o entidad responsable de llevar a cabo el procedimiento de contratación, dictaminará sobre los supuestos de excepción a la licitación pública, y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u w:val="single"/>
        </w:rPr>
        <w:t>Cada dependencia o entidad participante</w:t>
      </w:r>
      <w:r w:rsidRPr="007A7615">
        <w:rPr>
          <w:rFonts w:ascii="Palatino Linotype" w:eastAsia="Palatino Linotype" w:hAnsi="Palatino Linotype" w:cs="Palatino Linotype"/>
          <w:b/>
          <w:i/>
          <w:sz w:val="22"/>
          <w:szCs w:val="22"/>
        </w:rPr>
        <w:t xml:space="preserve"> será responsable, por separado, de celebrar los respectivos contratos; </w:t>
      </w:r>
      <w:r w:rsidRPr="007A7615">
        <w:rPr>
          <w:rFonts w:ascii="Palatino Linotype" w:eastAsia="Palatino Linotype" w:hAnsi="Palatino Linotype" w:cs="Palatino Linotype"/>
          <w:b/>
          <w:i/>
          <w:sz w:val="22"/>
          <w:szCs w:val="22"/>
          <w:u w:val="single"/>
        </w:rPr>
        <w:t>integrar el expediente del procedimiento de contratación;</w:t>
      </w:r>
      <w:r w:rsidRPr="007A7615">
        <w:rPr>
          <w:rFonts w:ascii="Palatino Linotype" w:eastAsia="Palatino Linotype" w:hAnsi="Palatino Linotype" w:cs="Palatino Linotype"/>
          <w:b/>
          <w:i/>
          <w:sz w:val="22"/>
          <w:szCs w:val="22"/>
        </w:rPr>
        <w:t xml:space="preserve"> verificar la ejecución del contrato, y cumplir con los requisitos e informes establecidos para el procedimiento de contratación respectivo</w:t>
      </w:r>
      <w:r w:rsidRPr="007A7615">
        <w:rPr>
          <w:rFonts w:ascii="Palatino Linotype" w:eastAsia="Palatino Linotype" w:hAnsi="Palatino Linotype" w:cs="Palatino Linotype"/>
          <w:i/>
          <w:sz w:val="22"/>
          <w:szCs w:val="22"/>
        </w:rPr>
        <w:t>. Si las particularidades de la contratación y las disposiciones que regulan a las dependencias y entidades lo permiten, podrá celebrarse un sólo contrato suscrito por las dependencias y entidades participantes. Invariablemente, los recursos presupuestarios serán a cargo de cada dependencia o entidad participante, quienes serán responsables del ejercicio de los mismos en términos de las disposiciones jurídicas aplicables.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La Secretaría, la Secretaría de Economía o la Secretaría de la Función Pública, podrán llevar a cabo acciones que promuevan la contratación consolidada de bienes o servicios de las dependencias y entidades, que les permita adquirir o arrendar bienes o contar con la prestación de servicios en las mejores condiciones.”</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este tenor, previo a procedimiento de contratación, de conformidad con la fracción III del artículo 13 del Reglamento de la Ley de Adquisiciones, la dependencia o entidad responsable del procedimiento de contratación debe elaborar el proyecto de convocatoria a la licitación pública, de invitación a cuando </w:t>
      </w:r>
      <w:r w:rsidRPr="007A7615">
        <w:rPr>
          <w:rFonts w:ascii="Palatino Linotype" w:eastAsia="Palatino Linotype" w:hAnsi="Palatino Linotype" w:cs="Palatino Linotype"/>
        </w:rPr>
        <w:lastRenderedPageBreak/>
        <w:t>menos tres personas o de solicitud de cotización, misma que debe ser sometida a la revisión y aprobación de todos los participantes en la consolidación.</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Tratándose de procedimiento de excepción a la licitación pública, el Comité del ente público responsable de llevar a cabo el procedimiento de contratación dictaminará sobre los supuestos de excepción a la licitación pública, conforme lo prevé la fracción VI del artículo 13 del Reglamento de la Ley de Adquisiciones.</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Durante la planeación del procedimiento de contratación deben elaborarse la convocatoria, invitación o solicitud de cotización, así como el correspondiente modelo de contrato, que son los documentos en los que, conforme a la Ley de Adquisiciones, Arrendamientos y Servicios del Sector Público y su Reglamento deben establecerse tanto las bases del procedimiento de contratación (fechas, horarios y lugares en que se realizarán los diversos actos del procedimiento de contratación y la firma del contrato, criterios de evaluación –en el caso de procedimientos competidos-, requisitos que deben cumplir los licitantes, el objeto de la contratación -bien o servicio y precio del mismo-, y las condiciones que se pretenden establecer en el contrato -lugar y tiempo de entrega del bien o servicio y del pago del precio, garantías que deben exhibirse para garantizar el cumplimiento del contrato y los anticipos otorgados, penas convencionales, causales de rescisión, reglas para la terminación anticipada, reglas para la modificación del contrato, resolución de controversias, entre otras-. </w:t>
      </w:r>
    </w:p>
    <w:p w:rsidR="00A91087" w:rsidRPr="007A7615" w:rsidRDefault="008A0C95">
      <w:pPr>
        <w:spacing w:before="240" w:after="240" w:line="360" w:lineRule="auto"/>
        <w:ind w:right="49"/>
        <w:jc w:val="both"/>
      </w:pPr>
      <w:r w:rsidRPr="007A7615">
        <w:rPr>
          <w:rFonts w:ascii="Palatino Linotype" w:eastAsia="Palatino Linotype" w:hAnsi="Palatino Linotype" w:cs="Palatino Linotype"/>
        </w:rPr>
        <w:t xml:space="preserve">Finalmente, de conformidad con el artículo 13, fracción VII del Reglamento de la Ley de Arrendamientos y Servicios del Sector Público, </w:t>
      </w:r>
      <w:r w:rsidRPr="007A7615">
        <w:rPr>
          <w:rFonts w:ascii="Palatino Linotype" w:eastAsia="Palatino Linotype" w:hAnsi="Palatino Linotype" w:cs="Palatino Linotype"/>
          <w:b/>
        </w:rPr>
        <w:t>cada dependencia o entidad participante es responsable</w:t>
      </w: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u w:val="single"/>
        </w:rPr>
        <w:t>por separado</w:t>
      </w: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rPr>
        <w:t xml:space="preserve">de celebrar los respectivos contratos; </w:t>
      </w:r>
      <w:r w:rsidRPr="007A7615">
        <w:rPr>
          <w:rFonts w:ascii="Palatino Linotype" w:eastAsia="Palatino Linotype" w:hAnsi="Palatino Linotype" w:cs="Palatino Linotype"/>
          <w:b/>
          <w:u w:val="single"/>
        </w:rPr>
        <w:lastRenderedPageBreak/>
        <w:t>integrar el expediente del procedimiento de contratación</w:t>
      </w:r>
      <w:r w:rsidRPr="007A7615">
        <w:rPr>
          <w:rFonts w:ascii="Palatino Linotype" w:eastAsia="Palatino Linotype" w:hAnsi="Palatino Linotype" w:cs="Palatino Linotype"/>
          <w:b/>
        </w:rPr>
        <w:t>;</w:t>
      </w:r>
      <w:r w:rsidRPr="007A7615">
        <w:rPr>
          <w:rFonts w:ascii="Palatino Linotype" w:eastAsia="Palatino Linotype" w:hAnsi="Palatino Linotype" w:cs="Palatino Linotype"/>
        </w:rPr>
        <w:t xml:space="preserve"> verificar la ejecución del contrato, y cumplir con los requisitos e informes establecidos para el procedimiento de contratación respectivo, o bien, es posible celebrar un sólo contrato suscrito por las dependencias y entidades participantes, si las particularidades de la contratación y las disposiciones que regulan a las dependencias y entidades lo permiten, pero los recursos presupuestarios deben ser a cargo de cada dependencia o entidad participante, la cual es responsable del ejercicio de los referidos recursos.</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este orden de ideas, se advierte que si bien, de conformidad con el CONTRATO DE ADQUISICIÓN DE VEHÍCULO, el ente que consolidó el procedimiento de licitación pública fue el Estado de Jalisco, dicha circunstancia no exime a las dependencias participantes, como el Ayuntamiento de Atizapán, de integrar el expediente de contratación respectivo, situación que permite concluir que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debe contar con documentos que atiendan la solicitud de información en el ámbito de sus competencias, razón por la cual es dable ordenar entrega de la información.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Siguiendo con el análisis, en el entendido de que la respuesta del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 xml:space="preserve">no agotó la búsqueda exhaustiva y razonable de la información en todas las áreas competentes, es oportuno hacer alusión a lo dispuesto en la Ley de Contratación Pública del Estado de México y Municipios, la cual tiene por objeto regular los actos relativos a la </w:t>
      </w:r>
      <w:r w:rsidRPr="007A7615">
        <w:rPr>
          <w:rFonts w:ascii="Palatino Linotype" w:eastAsia="Palatino Linotype" w:hAnsi="Palatino Linotype" w:cs="Palatino Linotype"/>
          <w:b/>
          <w:u w:val="single"/>
        </w:rPr>
        <w:t xml:space="preserve">planeación, programación, </w:t>
      </w:r>
      <w:proofErr w:type="spellStart"/>
      <w:r w:rsidRPr="007A7615">
        <w:rPr>
          <w:rFonts w:ascii="Palatino Linotype" w:eastAsia="Palatino Linotype" w:hAnsi="Palatino Linotype" w:cs="Palatino Linotype"/>
          <w:b/>
          <w:u w:val="single"/>
        </w:rPr>
        <w:t>presupuestación</w:t>
      </w:r>
      <w:proofErr w:type="spellEnd"/>
      <w:r w:rsidRPr="007A7615">
        <w:rPr>
          <w:rFonts w:ascii="Palatino Linotype" w:eastAsia="Palatino Linotype" w:hAnsi="Palatino Linotype" w:cs="Palatino Linotype"/>
        </w:rPr>
        <w:t xml:space="preserve">, ejecución y control de la </w:t>
      </w:r>
      <w:r w:rsidRPr="007A7615">
        <w:rPr>
          <w:rFonts w:ascii="Palatino Linotype" w:eastAsia="Palatino Linotype" w:hAnsi="Palatino Linotype" w:cs="Palatino Linotype"/>
          <w:b/>
          <w:u w:val="single"/>
        </w:rPr>
        <w:t>adquisición</w:t>
      </w:r>
      <w:r w:rsidRPr="007A7615">
        <w:rPr>
          <w:rFonts w:ascii="Palatino Linotype" w:eastAsia="Palatino Linotype" w:hAnsi="Palatino Linotype" w:cs="Palatino Linotype"/>
        </w:rPr>
        <w:t xml:space="preserve">, enajenación y arrendamiento de bienes, y la </w:t>
      </w:r>
      <w:r w:rsidRPr="007A7615">
        <w:rPr>
          <w:rFonts w:ascii="Palatino Linotype" w:eastAsia="Palatino Linotype" w:hAnsi="Palatino Linotype" w:cs="Palatino Linotype"/>
          <w:b/>
          <w:u w:val="single"/>
        </w:rPr>
        <w:t>contratación de servicios de cualquier naturaleza, que realicen los Ayuntamientos del Estado</w:t>
      </w:r>
      <w:r w:rsidRPr="007A7615">
        <w:rPr>
          <w:rFonts w:ascii="Palatino Linotype" w:eastAsia="Palatino Linotype" w:hAnsi="Palatino Linotype" w:cs="Palatino Linotype"/>
        </w:rPr>
        <w:t xml:space="preserve">; entre ellos el Sujeto Obligado, los cuales se adjudicarán a través de licitación pública, invitación </w:t>
      </w:r>
      <w:r w:rsidRPr="007A7615">
        <w:rPr>
          <w:rFonts w:ascii="Palatino Linotype" w:eastAsia="Palatino Linotype" w:hAnsi="Palatino Linotype" w:cs="Palatino Linotype"/>
        </w:rPr>
        <w:lastRenderedPageBreak/>
        <w:t>restringida o adjudicación directa, mediante convocatoria pública, tal y como lo establecen los artículos 4, 26 y 27 de dicha Ley, los cuales son del tenor siguiente:</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4.-</w:t>
      </w:r>
      <w:r w:rsidRPr="007A7615">
        <w:rPr>
          <w:rFonts w:ascii="Palatino Linotype" w:eastAsia="Palatino Linotype" w:hAnsi="Palatino Linotype" w:cs="Palatino Linotype"/>
          <w:i/>
          <w:sz w:val="22"/>
          <w:szCs w:val="22"/>
        </w:rPr>
        <w:t xml:space="preserve"> Para los efectos de esta Ley, </w:t>
      </w:r>
      <w:r w:rsidRPr="007A7615">
        <w:rPr>
          <w:rFonts w:ascii="Palatino Linotype" w:eastAsia="Palatino Linotype" w:hAnsi="Palatino Linotype" w:cs="Palatino Linotype"/>
          <w:b/>
          <w:i/>
          <w:sz w:val="22"/>
          <w:szCs w:val="22"/>
        </w:rPr>
        <w:t>en las adquisiciones, enajenaciones, arrendamientos y servicios, quedan comprendidos</w:t>
      </w: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La adquisición de bienes muebles.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La adquisición de bienes inmuebles, a través de compraventa.</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La enajenación de bienes muebles e inmuebles.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El arrendamiento de bienes muebles e inmuebles.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La contratación de los servicios de reconstrucción y mantenimiento de bienes muebles.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En general, otros actos que impliquen la contratación de servicios de cualquier naturaleza</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26.-</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Las adquisiciones, arrendamientos y servicios se adjudicarán a través de licitaciones públicas</w:t>
      </w:r>
      <w:r w:rsidRPr="007A7615">
        <w:rPr>
          <w:rFonts w:ascii="Palatino Linotype" w:eastAsia="Palatino Linotype" w:hAnsi="Palatino Linotype" w:cs="Palatino Linotype"/>
          <w:i/>
          <w:sz w:val="22"/>
          <w:szCs w:val="22"/>
        </w:rPr>
        <w:t xml:space="preserve">, mediante convocatoria pública.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27.</w:t>
      </w:r>
      <w:r w:rsidRPr="007A7615">
        <w:rPr>
          <w:rFonts w:ascii="Palatino Linotype" w:eastAsia="Palatino Linotype" w:hAnsi="Palatino Linotype" w:cs="Palatino Linotype"/>
          <w:i/>
          <w:sz w:val="22"/>
          <w:szCs w:val="22"/>
        </w:rPr>
        <w:t xml:space="preserve">- La Secretaría, las entidades, los tribunales administrativos y los ayuntamientos podrán </w:t>
      </w:r>
      <w:r w:rsidRPr="007A7615">
        <w:rPr>
          <w:rFonts w:ascii="Palatino Linotype" w:eastAsia="Palatino Linotype" w:hAnsi="Palatino Linotype" w:cs="Palatino Linotype"/>
          <w:b/>
          <w:i/>
          <w:sz w:val="22"/>
          <w:szCs w:val="22"/>
        </w:rPr>
        <w:t>adjudicar adquisiciones, arrendamientos y servicios, mediante las excepciones al procedimiento de licitación</w:t>
      </w:r>
      <w:r w:rsidRPr="007A7615">
        <w:rPr>
          <w:rFonts w:ascii="Palatino Linotype" w:eastAsia="Palatino Linotype" w:hAnsi="Palatino Linotype" w:cs="Palatino Linotype"/>
          <w:i/>
          <w:sz w:val="22"/>
          <w:szCs w:val="22"/>
        </w:rPr>
        <w:t xml:space="preserve"> que a continuación se señalan:</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Invitación restringida.</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Adjudicación directa.”</w:t>
      </w:r>
    </w:p>
    <w:p w:rsidR="00A91087" w:rsidRPr="007A7615" w:rsidRDefault="008A0C95">
      <w:pPr>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efecto, con base en los preceptos citados se advierte que, por regla general, las adquisiciones, enajenaciones, arrendamientos y servicios, que celebren los entes </w:t>
      </w:r>
      <w:r w:rsidRPr="007A7615">
        <w:rPr>
          <w:rFonts w:ascii="Palatino Linotype" w:eastAsia="Palatino Linotype" w:hAnsi="Palatino Linotype" w:cs="Palatino Linotype"/>
        </w:rPr>
        <w:lastRenderedPageBreak/>
        <w:t>públicos, deben adjudicarse mediante licitación pública, sin embargo, también se contemplan como excepciones a dicho proceso, la invitación restringida y la adjudicación directa.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lo que respecta a la licitación pública, el artículo 29 de la Ley de la Contratación Pública indica que en este procedimiento deberán establecerse los mismos requisitos y condiciones para todos los licitantes. Todo licitante que satisfaga los requisitos de la convocatoria y de las bases de la licitación tendrá derecho a presentar su propuesta.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Por lo que, en las licitaciones se debe seguir el procedimiento marcado en el artículo 35 del precitado ordenamiento, que literalmente establece:</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35</w:t>
      </w:r>
      <w:r w:rsidRPr="007A7615">
        <w:rPr>
          <w:rFonts w:ascii="Palatino Linotype" w:eastAsia="Palatino Linotype" w:hAnsi="Palatino Linotype" w:cs="Palatino Linotype"/>
          <w:i/>
          <w:sz w:val="22"/>
          <w:szCs w:val="22"/>
        </w:rPr>
        <w:t>.- En los procedimientos de licitación pública se observará lo siguiente:</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El acto de presentación y apertura de propuestas se llevará a cabo por el servidor público que designe la convocante, conforme al procedimiento que se establezca en el reglamento de esta Ley.</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El comité de adquisiciones y servicios evaluará y analizará las propuestas técnicas y económicas presentadas por los licitantes en el ámbito de las respectivas competencias de sus integrantes, y emitirá el dictamen de adjudicación.</w:t>
      </w:r>
    </w:p>
    <w:p w:rsidR="00A91087" w:rsidRPr="007A7615" w:rsidRDefault="008A0C95">
      <w:pPr>
        <w:spacing w:before="120" w:after="120"/>
        <w:ind w:left="1134" w:right="902"/>
        <w:jc w:val="both"/>
        <w:rPr>
          <w:rFonts w:ascii="Palatino Linotype" w:eastAsia="Palatino Linotype" w:hAnsi="Palatino Linotype" w:cs="Palatino Linotype"/>
          <w:i/>
          <w:sz w:val="22"/>
          <w:szCs w:val="22"/>
          <w:u w:val="single"/>
        </w:rPr>
      </w:pPr>
      <w:r w:rsidRPr="007A7615">
        <w:rPr>
          <w:rFonts w:ascii="Palatino Linotype" w:eastAsia="Palatino Linotype" w:hAnsi="Palatino Linotype" w:cs="Palatino Linotype"/>
          <w:b/>
          <w:i/>
          <w:sz w:val="22"/>
          <w:szCs w:val="22"/>
          <w:u w:val="single"/>
        </w:rPr>
        <w:t>III.</w:t>
      </w:r>
      <w:r w:rsidRPr="007A7615">
        <w:rPr>
          <w:rFonts w:ascii="Palatino Linotype" w:eastAsia="Palatino Linotype" w:hAnsi="Palatino Linotype" w:cs="Palatino Linotype"/>
          <w:i/>
          <w:sz w:val="22"/>
          <w:szCs w:val="22"/>
          <w:u w:val="single"/>
        </w:rPr>
        <w:t xml:space="preserve"> Las bases de licitación se pondrán a la venta a partir de la fecha de publicación de la convocatoria y hasta el día hábil anterior a la fecha de </w:t>
      </w:r>
      <w:r w:rsidRPr="007A7615">
        <w:rPr>
          <w:rFonts w:ascii="Palatino Linotype" w:eastAsia="Palatino Linotype" w:hAnsi="Palatino Linotype" w:cs="Palatino Linotype"/>
          <w:i/>
          <w:sz w:val="22"/>
          <w:szCs w:val="22"/>
          <w:u w:val="single"/>
        </w:rPr>
        <w:lastRenderedPageBreak/>
        <w:t xml:space="preserve">celebración </w:t>
      </w:r>
      <w:r w:rsidRPr="007A7615">
        <w:rPr>
          <w:rFonts w:ascii="Palatino Linotype" w:eastAsia="Palatino Linotype" w:hAnsi="Palatino Linotype" w:cs="Palatino Linotype"/>
          <w:b/>
          <w:i/>
          <w:sz w:val="22"/>
          <w:szCs w:val="22"/>
          <w:u w:val="single"/>
        </w:rPr>
        <w:t>de la junta de aclaraciones</w:t>
      </w:r>
      <w:r w:rsidRPr="007A7615">
        <w:rPr>
          <w:rFonts w:ascii="Palatino Linotype" w:eastAsia="Palatino Linotype" w:hAnsi="Palatino Linotype" w:cs="Palatino Linotype"/>
          <w:i/>
          <w:sz w:val="22"/>
          <w:szCs w:val="22"/>
          <w:u w:val="single"/>
        </w:rPr>
        <w:t xml:space="preserve"> o, en su defecto, del acto de presentación y apertura de propuestas.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Las convocantes podrán modificar los plazos y términos establecidos en la convocatoria o en las bases de licitación, hasta cinco días hábiles anteriores a la fecha de la celebración del acto de presentación y apertura de propuestas.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Las modificaciones no podrán limitar el número de licitantes, sustituir o variar sustancialmente los bienes o servicios convocados originalmente, ni adicionar otros distintos.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Las modificaciones a la convocatoria o a las bases se harán del conocimiento de los interesados hasta tres días hábiles antes de la fecha señalada para el acto de presentación y apertura de propuestas.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Se emitirá el fallo dentro de los 15 días hábiles siguientes a la publicación de la convocatoria.</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Los licitantes se podrán registrar hasta el día y la hora fijados para el acto de presentación y apertura de propuestas.</w:t>
      </w:r>
      <w:r w:rsidRPr="007A7615">
        <w:rPr>
          <w:rFonts w:ascii="Palatino Linotype" w:eastAsia="Palatino Linotype" w:hAnsi="Palatino Linotype" w:cs="Palatino Linotype"/>
          <w:b/>
          <w:i/>
          <w:sz w:val="22"/>
          <w:szCs w:val="22"/>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A91087" w:rsidRPr="007A7615" w:rsidRDefault="008A0C95">
      <w:pPr>
        <w:spacing w:before="240" w:after="240" w:line="360" w:lineRule="auto"/>
        <w:jc w:val="both"/>
        <w:rPr>
          <w:rFonts w:ascii="Palatino Linotype" w:eastAsia="Palatino Linotype" w:hAnsi="Palatino Linotype" w:cs="Palatino Linotype"/>
          <w:b/>
          <w:i/>
        </w:rPr>
      </w:pPr>
      <w:r w:rsidRPr="007A7615">
        <w:rPr>
          <w:rFonts w:ascii="Palatino Linotype" w:eastAsia="Palatino Linotype" w:hAnsi="Palatino Linotype" w:cs="Palatino Linotype"/>
        </w:rPr>
        <w:t>Además, respecto al dictamen y el fallo de la adjudicación, es de señalar que la Ley en mención indica lo siguiente:</w:t>
      </w:r>
    </w:p>
    <w:p w:rsidR="00A91087" w:rsidRPr="007A7615" w:rsidRDefault="008A0C95">
      <w:pPr>
        <w:spacing w:before="120" w:after="120"/>
        <w:ind w:left="567" w:right="567"/>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37.-</w:t>
      </w:r>
      <w:r w:rsidRPr="007A7615">
        <w:rPr>
          <w:rFonts w:ascii="Palatino Linotype" w:eastAsia="Palatino Linotype" w:hAnsi="Palatino Linotype" w:cs="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w:t>
      </w:r>
      <w:r w:rsidRPr="007A7615">
        <w:rPr>
          <w:rFonts w:ascii="Palatino Linotype" w:eastAsia="Palatino Linotype" w:hAnsi="Palatino Linotype" w:cs="Palatino Linotype"/>
          <w:i/>
          <w:sz w:val="22"/>
          <w:szCs w:val="22"/>
        </w:rPr>
        <w:lastRenderedPageBreak/>
        <w:t>garantizando en todo momento la obtención de las mejores condiciones en cuanto a precio, calidad, financiamiento, oportunidad y demás circunstancias pertinentes.</w:t>
      </w:r>
    </w:p>
    <w:p w:rsidR="00A91087" w:rsidRPr="007A7615" w:rsidRDefault="008A0C95">
      <w:pPr>
        <w:spacing w:before="120" w:after="120"/>
        <w:ind w:left="567" w:right="567"/>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38.-</w:t>
      </w:r>
      <w:r w:rsidRPr="007A7615">
        <w:rPr>
          <w:rFonts w:ascii="Palatino Linotype" w:eastAsia="Palatino Linotype" w:hAnsi="Palatino Linotype" w:cs="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A91087" w:rsidRPr="007A7615" w:rsidRDefault="008A0C95">
      <w:pPr>
        <w:spacing w:before="120" w:after="120"/>
        <w:ind w:left="567" w:right="567"/>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 xml:space="preserve">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Por lo que se refiere a la invitación restringida, el artículo 44 de la Ley de Contratación Pública del Estado de México y Municipios, dispone que las entidades públicas, entre ellas los Ayuntamientos podrán adquirir y contratar servicios mediante esta modalidad cuando se hubiere declarado desierto un procedimiento de licitación o cuando el importe de la operación no exceda de los montos establecidos por el Presupuesto de Egresos del Gobierno del Estado de México del ejercicio correspondiente, como se lee en seguida:</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 “Artículo 44.-</w:t>
      </w:r>
      <w:r w:rsidRPr="007A7615">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Se hubiere declarado desierto un procedimiento de licitación, o</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En la invitación deberá especificarse si en el proceso de asignación aplicará la modalidad de subasta inversa.”</w:t>
      </w:r>
    </w:p>
    <w:p w:rsidR="00A91087" w:rsidRPr="007A7615" w:rsidRDefault="008A0C95">
      <w:pPr>
        <w:spacing w:before="240" w:after="240"/>
        <w:ind w:right="49"/>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rPr>
        <w:lastRenderedPageBreak/>
        <w:t>Asimismo, el artículo 46 de la Ley referida, menciona que:</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sz w:val="22"/>
          <w:szCs w:val="22"/>
        </w:rPr>
        <w:t xml:space="preserve"> “</w:t>
      </w:r>
      <w:r w:rsidRPr="007A7615">
        <w:rPr>
          <w:rFonts w:ascii="Palatino Linotype" w:eastAsia="Palatino Linotype" w:hAnsi="Palatino Linotype" w:cs="Palatino Linotype"/>
          <w:b/>
          <w:i/>
          <w:sz w:val="22"/>
          <w:szCs w:val="22"/>
        </w:rPr>
        <w:t>Artículo 46.-</w:t>
      </w:r>
      <w:r w:rsidRPr="007A7615">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rsidR="00A91087" w:rsidRPr="007A7615" w:rsidRDefault="008A0C95">
      <w:pPr>
        <w:spacing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rsidR="00A91087" w:rsidRPr="007A7615" w:rsidRDefault="008A0C95">
      <w:pPr>
        <w:tabs>
          <w:tab w:val="left" w:pos="7938"/>
        </w:tabs>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48.-</w:t>
      </w:r>
      <w:r w:rsidRPr="007A7615">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Existan circunstancias que puedan provocar pérdidas o costos adicionales importantes al erario.</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Pueda comprometerse información de naturaleza confidencial para el Estado o municipios, por razones de seguridad pública.</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VII</w:t>
      </w:r>
      <w:r w:rsidRPr="007A7615">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xml:space="preserve">.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w:t>
      </w:r>
      <w:proofErr w:type="gramStart"/>
      <w:r w:rsidRPr="007A7615">
        <w:rPr>
          <w:rFonts w:ascii="Palatino Linotype" w:eastAsia="Palatino Linotype" w:hAnsi="Palatino Linotype" w:cs="Palatino Linotype"/>
          <w:i/>
          <w:sz w:val="22"/>
          <w:szCs w:val="22"/>
        </w:rPr>
        <w:t>podrá</w:t>
      </w:r>
      <w:proofErr w:type="gramEnd"/>
      <w:r w:rsidRPr="007A7615">
        <w:rPr>
          <w:rFonts w:ascii="Palatino Linotype" w:eastAsia="Palatino Linotype" w:hAnsi="Palatino Linotype" w:cs="Palatino Linotype"/>
          <w:i/>
          <w:sz w:val="22"/>
          <w:szCs w:val="22"/>
        </w:rPr>
        <w:t xml:space="preserve"> adjudicar el contrato al licitante que haya presentado la propuesta solvente más cercana a la ganadora y así, sucesivamente. En todo caso, la diferencia de precio no deberá de ser superior al diez por ciento, respecto de la propuesta ganadora.</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IX</w:t>
      </w:r>
      <w:r w:rsidRPr="007A7615">
        <w:rPr>
          <w:rFonts w:ascii="Palatino Linotype" w:eastAsia="Palatino Linotype" w:hAnsi="Palatino Linotype" w:cs="Palatino Linotype"/>
          <w:i/>
          <w:sz w:val="22"/>
          <w:szCs w:val="22"/>
        </w:rPr>
        <w:t>. Se hubiere declarado desierto un procedimiento de invitación restringida.</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w:t>
      </w:r>
      <w:r w:rsidRPr="007A7615">
        <w:rPr>
          <w:rFonts w:ascii="Palatino Linotype" w:eastAsia="Palatino Linotype" w:hAnsi="Palatino Linotype" w:cs="Palatino Linotype"/>
          <w:i/>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XI</w:t>
      </w:r>
      <w:r w:rsidRPr="007A7615">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rsidR="00A91087" w:rsidRPr="007A7615" w:rsidRDefault="008A0C95">
      <w:pPr>
        <w:tabs>
          <w:tab w:val="left" w:pos="7938"/>
        </w:tabs>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XII</w:t>
      </w:r>
      <w:r w:rsidRPr="007A7615">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rsidR="00A91087" w:rsidRPr="007A7615" w:rsidRDefault="008A0C95">
      <w:pPr>
        <w:tabs>
          <w:tab w:val="left" w:pos="7938"/>
        </w:tabs>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49.-</w:t>
      </w:r>
      <w:r w:rsidRPr="007A7615">
        <w:rPr>
          <w:rFonts w:ascii="Palatino Linotype" w:eastAsia="Palatino Linotype" w:hAnsi="Palatino Linotype" w:cs="Palatino Linotype"/>
          <w:i/>
          <w:sz w:val="22"/>
          <w:szCs w:val="22"/>
        </w:rPr>
        <w:t xml:space="preserve"> El procedimiento de adjudicación directa se substanciará con arreglo a el reglamento de esta Ley.”</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este sentido, los artículos 67, 68, 73, 74, 75, 76, 77, 78, 79, 80, 81 y 94, del Reglamento de la Ley de Contratación, detallan que el procedimiento de adquisición  se llevará a cabo de la siguiente manera: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“Artículo 67.-</w:t>
      </w:r>
      <w:r w:rsidRPr="007A7615">
        <w:rPr>
          <w:rFonts w:ascii="Palatino Linotype" w:eastAsia="Palatino Linotype" w:hAnsi="Palatino Linotype" w:cs="Palatino Linotype"/>
          <w:i/>
          <w:sz w:val="22"/>
          <w:szCs w:val="22"/>
        </w:rPr>
        <w:t xml:space="preserve"> El procedimiento de licitación pública comprende las siguientes fases: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Publicación de la convocatoria;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Venta de las bases de licitación;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Visita, en su caso, al sitio donde se vayan a suministrar los bienes o a prestar los servicios; </w:t>
      </w:r>
    </w:p>
    <w:p w:rsidR="00A91087" w:rsidRPr="007A7615" w:rsidRDefault="008A0C95">
      <w:pPr>
        <w:spacing w:before="120" w:after="120"/>
        <w:ind w:left="1134" w:right="900"/>
        <w:jc w:val="both"/>
        <w:rPr>
          <w:rFonts w:ascii="Palatino Linotype" w:eastAsia="Palatino Linotype" w:hAnsi="Palatino Linotype" w:cs="Palatino Linotype"/>
          <w:b/>
          <w:i/>
          <w:sz w:val="22"/>
          <w:szCs w:val="22"/>
          <w:u w:val="single"/>
        </w:rPr>
      </w:pPr>
      <w:r w:rsidRPr="007A7615">
        <w:rPr>
          <w:rFonts w:ascii="Palatino Linotype" w:eastAsia="Palatino Linotype" w:hAnsi="Palatino Linotype" w:cs="Palatino Linotype"/>
          <w:b/>
          <w:i/>
          <w:sz w:val="22"/>
          <w:szCs w:val="22"/>
          <w:u w:val="single"/>
        </w:rPr>
        <w:t xml:space="preserve">IV. Junta de aclaraciones, en su caso;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Acto de presentación y apertura de propuestas;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Análisis y evaluación de propuestas;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Dictamen de adjudicación;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xml:space="preserve">. Fallo;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IX.</w:t>
      </w:r>
      <w:r w:rsidRPr="007A7615">
        <w:rPr>
          <w:rFonts w:ascii="Palatino Linotype" w:eastAsia="Palatino Linotype" w:hAnsi="Palatino Linotype" w:cs="Palatino Linotype"/>
          <w:i/>
          <w:sz w:val="22"/>
          <w:szCs w:val="22"/>
        </w:rPr>
        <w:t xml:space="preserve"> Suscripción del contrato; y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w:t>
      </w:r>
      <w:r w:rsidRPr="007A7615">
        <w:rPr>
          <w:rFonts w:ascii="Palatino Linotype" w:eastAsia="Palatino Linotype" w:hAnsi="Palatino Linotype" w:cs="Palatino Linotype"/>
          <w:i/>
          <w:sz w:val="22"/>
          <w:szCs w:val="22"/>
        </w:rPr>
        <w:t xml:space="preserve"> Suministro de los bienes o inicio de la prestación del servicio.</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Artículo 68.- </w:t>
      </w:r>
      <w:r w:rsidRPr="007A7615">
        <w:rPr>
          <w:rFonts w:ascii="Palatino Linotype" w:eastAsia="Palatino Linotype" w:hAnsi="Palatino Linotype" w:cs="Palatino Linotype"/>
          <w:i/>
          <w:sz w:val="22"/>
          <w:szCs w:val="22"/>
        </w:rPr>
        <w:t>En el procedimiento de licitación pública se observará lo siguiente:</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La convocante con base en las necesidades de las unidades administrativas solicitantes de la adquisición de bienes o la contratación de servicios, y atendiendo a las características de los mismos, </w:t>
      </w:r>
      <w:r w:rsidRPr="007A7615">
        <w:rPr>
          <w:rFonts w:ascii="Palatino Linotype" w:eastAsia="Palatino Linotype" w:hAnsi="Palatino Linotype" w:cs="Palatino Linotype"/>
          <w:b/>
          <w:i/>
          <w:sz w:val="22"/>
          <w:szCs w:val="22"/>
        </w:rPr>
        <w:t>programará las fechas en que tendrá verificativo la junta de aclaraciones</w:t>
      </w:r>
      <w:r w:rsidRPr="007A7615">
        <w:rPr>
          <w:rFonts w:ascii="Palatino Linotype" w:eastAsia="Palatino Linotype" w:hAnsi="Palatino Linotype" w:cs="Palatino Linotype"/>
          <w:i/>
          <w:sz w:val="22"/>
          <w:szCs w:val="22"/>
        </w:rPr>
        <w:t>, en su caso, y el acto de presentación y apertura de propuestas, y fallo, dentro del plazo de quince días hábiles siguientes a la publicación de la convocatoria;</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La venta de bases iniciará a partir del día de publicación de la convocatoria y concluirá el día hábil anterior al día de celebración de la junta de aclaraciones.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u w:val="single"/>
        </w:rPr>
        <w:t>Cuando no se celebre junta de aclarac</w:t>
      </w:r>
      <w:r w:rsidRPr="007A7615">
        <w:rPr>
          <w:rFonts w:ascii="Palatino Linotype" w:eastAsia="Palatino Linotype" w:hAnsi="Palatino Linotype" w:cs="Palatino Linotype"/>
          <w:i/>
          <w:sz w:val="22"/>
          <w:szCs w:val="22"/>
        </w:rPr>
        <w:t xml:space="preserve">iones, la venta de bases concluirá el día hábil anterior a la celebración del acto de presentación y apertura de propuestas.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En todo caso, el plazo de venta de bases no será menor a tres días hábiles contados a partir del día de la publicación de la convocatoria;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La convocante podrá modificar la convocatoria o las bases dentro de los cinco días hábiles anteriores a la fecha de la celebración del acto de presentación y apertura de propuestas.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u w:val="single"/>
        </w:rPr>
        <w:lastRenderedPageBreak/>
        <w:t>En caso de que no se celebre junta de aclaraciones</w:t>
      </w:r>
      <w:r w:rsidRPr="007A7615">
        <w:rPr>
          <w:rFonts w:ascii="Palatino Linotype" w:eastAsia="Palatino Linotype" w:hAnsi="Palatino Linotype" w:cs="Palatino Linotype"/>
          <w:i/>
          <w:sz w:val="22"/>
          <w:szCs w:val="22"/>
        </w:rPr>
        <w:t xml:space="preserve"> y se hagan modificaciones a la convocatoria o a las bases, se ajustará el plazo programado para la celebración del acto de presentación y apertura de propuestas;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Tales modificaciones se harán del conocimiento de los interesados tres días hábiles anteriores a la fecha señalada para la celebración del acto de presentación y apertura de propuestas, lo cual podrá ser a través del sistema COMPRAMEX; y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u w:val="single"/>
        </w:rPr>
        <w:t>V. La junta de aclaraciones</w:t>
      </w:r>
      <w:r w:rsidRPr="007A7615">
        <w:rPr>
          <w:rFonts w:ascii="Palatino Linotype" w:eastAsia="Palatino Linotype" w:hAnsi="Palatino Linotype" w:cs="Palatino Linotype"/>
          <w:i/>
          <w:sz w:val="22"/>
          <w:szCs w:val="22"/>
          <w:u w:val="single"/>
        </w:rPr>
        <w:t xml:space="preserve"> deberá realizarse tres días hábiles antes de la celebración del acto de presentación y apertura de propuestas</w:t>
      </w:r>
      <w:r w:rsidRPr="007A7615">
        <w:rPr>
          <w:rFonts w:ascii="Palatino Linotype" w:eastAsia="Palatino Linotype" w:hAnsi="Palatino Linotype" w:cs="Palatino Linotype"/>
          <w:i/>
          <w:sz w:val="22"/>
          <w:szCs w:val="22"/>
        </w:rPr>
        <w:t>. Las modificaciones que se deriven de la junta de aclaraciones formarán parte integral de las bases y se entregará copia simple del acta correspondiente a las personas que acrediten haberlas adquirido.</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73.-</w:t>
      </w:r>
      <w:r w:rsidRPr="007A7615">
        <w:rPr>
          <w:rFonts w:ascii="Palatino Linotype" w:eastAsia="Palatino Linotype" w:hAnsi="Palatino Linotype" w:cs="Palatino Linotype"/>
          <w:i/>
          <w:sz w:val="22"/>
          <w:szCs w:val="22"/>
        </w:rPr>
        <w:t xml:space="preserve"> La junta tiene por objeto aclarar a los interesados, los aspectos y lineamientos establecidos en la convocatoria y bases.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74.-</w:t>
      </w:r>
      <w:r w:rsidRPr="007A7615">
        <w:rPr>
          <w:rFonts w:ascii="Palatino Linotype" w:eastAsia="Palatino Linotype" w:hAnsi="Palatino Linotype" w:cs="Palatino Linotype"/>
          <w:i/>
          <w:sz w:val="22"/>
          <w:szCs w:val="22"/>
        </w:rPr>
        <w:t xml:space="preserve"> La asistencia a la junta de aclaraciones es optativa. Las personas que deseen asistir y acrediten haber adquirido las bases, se deberán registrar dentro de los treinta minutos anteriores a la hora programada para la celebración de la junta de aclaraciones.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75.-</w:t>
      </w:r>
      <w:r w:rsidRPr="007A7615">
        <w:rPr>
          <w:rFonts w:ascii="Palatino Linotype" w:eastAsia="Palatino Linotype" w:hAnsi="Palatino Linotype" w:cs="Palatino Linotype"/>
          <w:i/>
          <w:sz w:val="22"/>
          <w:szCs w:val="22"/>
        </w:rPr>
        <w:t xml:space="preserve"> Las solicitudes de aclaraciones deberán enviarse a través de COMPRAMEX o entregarlas personalmente a la convocante, a más tardar veinticuatro horas antes de la fecha y hora en que se vaya a realizar la junta de aclaraciones; en todo caso deberá acompañarse a dichas solicitudes una versión electrónica. Las solicitudes que se envíen con posterioridad al plazo señalado no serán contestadas por la convocante.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76.-</w:t>
      </w:r>
      <w:r w:rsidRPr="007A7615">
        <w:rPr>
          <w:rFonts w:ascii="Palatino Linotype" w:eastAsia="Palatino Linotype" w:hAnsi="Palatino Linotype" w:cs="Palatino Linotype"/>
          <w:i/>
          <w:sz w:val="22"/>
          <w:szCs w:val="22"/>
        </w:rPr>
        <w:t xml:space="preserve"> Las solicitudes de aclaración deberán plantearse de manera concisa y estar directamente vinculadas con los puntos contenidos en las bases, indicando el numeral o punto específico con el cual se relaciona. Las solicitudes de aclaración que no cumplan con estos requisitos, podrán ser desechadas por la convocante.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77.-</w:t>
      </w:r>
      <w:r w:rsidRPr="007A7615">
        <w:rPr>
          <w:rFonts w:ascii="Palatino Linotype" w:eastAsia="Palatino Linotype" w:hAnsi="Palatino Linotype" w:cs="Palatino Linotype"/>
          <w:i/>
          <w:sz w:val="22"/>
          <w:szCs w:val="22"/>
        </w:rPr>
        <w:t xml:space="preserve"> El servidor público que presida la junta de aclaraciones podrá suspender la sesión, en razón del número de solicitudes de aclaraciones recibidas o del tiempo que</w:t>
      </w:r>
      <w:r w:rsidRPr="007A7615">
        <w:rPr>
          <w:rFonts w:ascii="Palatino Linotype" w:eastAsia="Palatino Linotype" w:hAnsi="Palatino Linotype" w:cs="Palatino Linotype"/>
          <w:sz w:val="22"/>
          <w:szCs w:val="22"/>
        </w:rPr>
        <w:t xml:space="preserve"> </w:t>
      </w:r>
      <w:r w:rsidRPr="007A7615">
        <w:rPr>
          <w:rFonts w:ascii="Palatino Linotype" w:eastAsia="Palatino Linotype" w:hAnsi="Palatino Linotype" w:cs="Palatino Linotype"/>
          <w:i/>
          <w:sz w:val="22"/>
          <w:szCs w:val="22"/>
        </w:rPr>
        <w:t xml:space="preserve">emplearía en darles contestación, informando a los licitantes la hora y, en su caso, fecha o lugar, en que se continuará con la junta de aclaraciones. Cuando por virtud de la suspensión de la junta de aclaraciones, se tenga que modificar la fecha del acto de presentación y apertura de propuestas, tal circunstancia se asentará en el acta correspondiente. En todo caso, será responsabilidad de los interesados obtener una copia del acta de la junta de </w:t>
      </w:r>
      <w:r w:rsidRPr="007A7615">
        <w:rPr>
          <w:rFonts w:ascii="Palatino Linotype" w:eastAsia="Palatino Linotype" w:hAnsi="Palatino Linotype" w:cs="Palatino Linotype"/>
          <w:i/>
          <w:sz w:val="22"/>
          <w:szCs w:val="22"/>
        </w:rPr>
        <w:lastRenderedPageBreak/>
        <w:t xml:space="preserve">aclaraciones que estará a su disposición en el domicilio que haya señalado la convocante, o en COMPRAMEX.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Artículo 78.- </w:t>
      </w:r>
      <w:r w:rsidRPr="007A7615">
        <w:rPr>
          <w:rFonts w:ascii="Palatino Linotype" w:eastAsia="Palatino Linotype" w:hAnsi="Palatino Linotype" w:cs="Palatino Linotype"/>
          <w:i/>
          <w:sz w:val="22"/>
          <w:szCs w:val="22"/>
        </w:rPr>
        <w:t xml:space="preserve">La junta de aclaraciones se sujetará al orden siguiente: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Lectura del registro de asistencia;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Objeto de la junta;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Aclaraciones de orden técnico;</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Aclaraciones de orden administrativo;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En su caso, modificaciones a los plazos y términos de la convocatoria o las bases, que no cambien de manera sustancial las mismas;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Declaración de que se dio respuesta a los cuestionamientos formulados;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Declaración de la terminación de la junta de aclaraciones y cierre del acta; y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xml:space="preserve"> Firma de los servidores públicos y, en su caso, de los interesados que hayan participado en el acto.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79.-</w:t>
      </w:r>
      <w:r w:rsidRPr="007A7615">
        <w:rPr>
          <w:rFonts w:ascii="Palatino Linotype" w:eastAsia="Palatino Linotype" w:hAnsi="Palatino Linotype" w:cs="Palatino Linotype"/>
          <w:i/>
          <w:sz w:val="22"/>
          <w:szCs w:val="22"/>
        </w:rPr>
        <w:t xml:space="preserve"> El acta de la junta de aclaraciones deberá referir como mínimo, lo siguiente: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I. </w:t>
      </w:r>
      <w:r w:rsidRPr="007A7615">
        <w:rPr>
          <w:rFonts w:ascii="Palatino Linotype" w:eastAsia="Palatino Linotype" w:hAnsi="Palatino Linotype" w:cs="Palatino Linotype"/>
          <w:i/>
          <w:sz w:val="22"/>
          <w:szCs w:val="22"/>
        </w:rPr>
        <w:t xml:space="preserve">Nombre de los servidores públicos que intervienen en el acto;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Nombre o clave de los interesados que participen;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Las preguntas y las aclaraciones respectivas;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En su caso, las modificaciones a la convocatoria o bases;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Las demás consideraciones que se estimen necesarias; y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Firma de los servidores públicos y, en su caso, de los interesados que hayan participado en el acto. </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80.-</w:t>
      </w:r>
      <w:r w:rsidRPr="007A7615">
        <w:rPr>
          <w:rFonts w:ascii="Palatino Linotype" w:eastAsia="Palatino Linotype" w:hAnsi="Palatino Linotype" w:cs="Palatino Linotype"/>
          <w:i/>
          <w:sz w:val="22"/>
          <w:szCs w:val="22"/>
        </w:rPr>
        <w:t xml:space="preserve"> El servidor público que designe la convocante, será responsable del desarrollo de la junta de aclaraciones, a la que podrá asistir cualquier persona en calidad de observador sin tener derecho a voz y sólo podrán presentar preguntas o solicitudes de aclaración las personas que hayan adquirido bases. El servidor público responsable del desarrollo del acto, estará facultado para imponer los medios de apremio y medidas disciplinarias que se establecen en el artículo 19 del Código de Procedimientos Administrativos del Estado de México. </w:t>
      </w:r>
    </w:p>
    <w:p w:rsidR="00A91087" w:rsidRPr="007A7615" w:rsidRDefault="00A91087">
      <w:pPr>
        <w:spacing w:before="120" w:after="120"/>
        <w:ind w:left="851" w:right="900"/>
        <w:jc w:val="both"/>
        <w:rPr>
          <w:rFonts w:ascii="Palatino Linotype" w:eastAsia="Palatino Linotype" w:hAnsi="Palatino Linotype" w:cs="Palatino Linotype"/>
          <w:i/>
          <w:sz w:val="22"/>
          <w:szCs w:val="22"/>
        </w:rPr>
      </w:pPr>
    </w:p>
    <w:p w:rsidR="00A91087" w:rsidRPr="007A7615" w:rsidRDefault="00A91087">
      <w:pPr>
        <w:spacing w:before="120" w:after="120"/>
        <w:ind w:left="851" w:right="900"/>
        <w:jc w:val="both"/>
        <w:rPr>
          <w:rFonts w:ascii="Palatino Linotype" w:eastAsia="Palatino Linotype" w:hAnsi="Palatino Linotype" w:cs="Palatino Linotype"/>
          <w:b/>
          <w:i/>
          <w:sz w:val="22"/>
          <w:szCs w:val="22"/>
        </w:rPr>
      </w:pP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Artículo 81.-</w:t>
      </w:r>
      <w:r w:rsidRPr="007A7615">
        <w:rPr>
          <w:rFonts w:ascii="Palatino Linotype" w:eastAsia="Palatino Linotype" w:hAnsi="Palatino Linotype" w:cs="Palatino Linotype"/>
          <w:i/>
          <w:sz w:val="22"/>
          <w:szCs w:val="22"/>
        </w:rPr>
        <w:t xml:space="preserve"> El acta de la junta de aclaraciones será firmada por todos los participantes que acudan de manera presencial y servidores públicos asistentes, a quienes se les entregará copia de la misma.</w:t>
      </w:r>
    </w:p>
    <w:p w:rsidR="00A91087" w:rsidRPr="007A7615" w:rsidRDefault="008A0C95">
      <w:pPr>
        <w:spacing w:before="120" w:after="120"/>
        <w:ind w:left="851" w:right="900"/>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spacing w:before="120" w:after="120"/>
        <w:ind w:left="851" w:right="900"/>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 xml:space="preserve">Artículo 94.- </w:t>
      </w:r>
      <w:r w:rsidRPr="007A7615">
        <w:rPr>
          <w:rFonts w:ascii="Palatino Linotype" w:eastAsia="Palatino Linotype" w:hAnsi="Palatino Linotype" w:cs="Palatino Linotype"/>
          <w:i/>
          <w:sz w:val="22"/>
          <w:szCs w:val="22"/>
        </w:rPr>
        <w:t>En el procedimiento de adjudicación directa se observará lo siguiente:</w:t>
      </w:r>
      <w:r w:rsidRPr="007A7615">
        <w:rPr>
          <w:rFonts w:ascii="Palatino Linotype" w:eastAsia="Palatino Linotype" w:hAnsi="Palatino Linotype" w:cs="Palatino Linotype"/>
          <w:b/>
          <w:i/>
          <w:sz w:val="22"/>
          <w:szCs w:val="22"/>
        </w:rPr>
        <w:t xml:space="preserve">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Las adquisiciones de bienes y la contratación de servicios, se efectuaran previa </w:t>
      </w:r>
      <w:proofErr w:type="spellStart"/>
      <w:r w:rsidRPr="007A7615">
        <w:rPr>
          <w:rFonts w:ascii="Palatino Linotype" w:eastAsia="Palatino Linotype" w:hAnsi="Palatino Linotype" w:cs="Palatino Linotype"/>
          <w:i/>
          <w:sz w:val="22"/>
          <w:szCs w:val="22"/>
        </w:rPr>
        <w:t>dictaminación</w:t>
      </w:r>
      <w:proofErr w:type="spellEnd"/>
      <w:r w:rsidRPr="007A7615">
        <w:rPr>
          <w:rFonts w:ascii="Palatino Linotype" w:eastAsia="Palatino Linotype" w:hAnsi="Palatino Linotype" w:cs="Palatino Linotype"/>
          <w:i/>
          <w:sz w:val="22"/>
          <w:szCs w:val="22"/>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La solicitud de participación contendrá, como mínimo, la descripción y cantidad de los bienes o servicios requeridos, lugar, plazo de entrega o duración del servicio y forma de pago;</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La solicitud de participación deberá señalar el día, hora y lugar en que tendrá verificativo el acto de presentación y apertura de ofertas;</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u w:val="single"/>
        </w:rPr>
        <w:t>V.</w:t>
      </w:r>
      <w:r w:rsidRPr="007A7615">
        <w:rPr>
          <w:rFonts w:ascii="Palatino Linotype" w:eastAsia="Palatino Linotype" w:hAnsi="Palatino Linotype" w:cs="Palatino Linotype"/>
          <w:i/>
          <w:sz w:val="22"/>
          <w:szCs w:val="22"/>
          <w:u w:val="single"/>
        </w:rPr>
        <w:t xml:space="preserve"> Atendiendo a la naturaleza de los bienes o servicios, la convocante podrá optar entre </w:t>
      </w:r>
      <w:r w:rsidRPr="007A7615">
        <w:rPr>
          <w:rFonts w:ascii="Palatino Linotype" w:eastAsia="Palatino Linotype" w:hAnsi="Palatino Linotype" w:cs="Palatino Linotype"/>
          <w:b/>
          <w:i/>
          <w:sz w:val="22"/>
          <w:szCs w:val="22"/>
          <w:u w:val="single"/>
        </w:rPr>
        <w:t>celebrar o no junta de aclaraciones</w:t>
      </w:r>
      <w:r w:rsidRPr="007A7615">
        <w:rPr>
          <w:rFonts w:ascii="Palatino Linotype" w:eastAsia="Palatino Linotype" w:hAnsi="Palatino Linotype" w:cs="Palatino Linotype"/>
          <w:i/>
          <w:sz w:val="22"/>
          <w:szCs w:val="22"/>
          <w:u w:val="single"/>
        </w:rPr>
        <w:t>, en términos de lo dispuesto por este Reglamento</w:t>
      </w: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w:t>
      </w:r>
      <w:r w:rsidRPr="007A7615">
        <w:rPr>
          <w:rFonts w:ascii="Palatino Linotype" w:eastAsia="Palatino Linotype" w:hAnsi="Palatino Linotype" w:cs="Palatino Linotype"/>
          <w:i/>
          <w:sz w:val="22"/>
          <w:szCs w:val="22"/>
        </w:rPr>
        <w:t xml:space="preserve"> El servidor público designado por la convocante será el responsable de llevar a cabo el acto de presentación y apertura de propuestas;</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Se observarán, en lo conducente, las disposiciones relativas a la contraoferta; y</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VIII.</w:t>
      </w:r>
      <w:r w:rsidRPr="007A7615">
        <w:rPr>
          <w:rFonts w:ascii="Palatino Linotype" w:eastAsia="Palatino Linotype" w:hAnsi="Palatino Linotype" w:cs="Palatino Linotype"/>
          <w:i/>
          <w:sz w:val="22"/>
          <w:szCs w:val="22"/>
        </w:rPr>
        <w:t xml:space="preserve"> El comité será responsable de emitir el dictamen de adjudicación que servirá de base para el fallo de adjudicación; correspondiendo a la convocante emitir dicho fallo, quien lo hará del conocimiento de los licitantes.</w:t>
      </w: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 xml:space="preserve"> </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Aunado a lo anterior, a través del cumplimiento a la obligación de transparencia señalada en la fracción XIX del artículo 92 de la Ley de la Materia, los Sujetos </w:t>
      </w:r>
      <w:r w:rsidRPr="007A7615">
        <w:rPr>
          <w:rFonts w:ascii="Palatino Linotype" w:eastAsia="Palatino Linotype" w:hAnsi="Palatino Linotype" w:cs="Palatino Linotype"/>
        </w:rPr>
        <w:lastRenderedPageBreak/>
        <w:t>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rsidR="00A91087" w:rsidRPr="007A7615" w:rsidRDefault="008A0C95">
      <w:pPr>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92</w:t>
      </w:r>
      <w:r w:rsidRPr="007A7615">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1087" w:rsidRPr="007A7615" w:rsidRDefault="008A0C95">
      <w:pPr>
        <w:tabs>
          <w:tab w:val="left" w:pos="426"/>
        </w:tabs>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tabs>
          <w:tab w:val="left" w:pos="426"/>
        </w:tabs>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XXIX.</w:t>
      </w:r>
      <w:r w:rsidRPr="007A7615">
        <w:rPr>
          <w:rFonts w:ascii="Palatino Linotype" w:eastAsia="Palatino Linotype" w:hAnsi="Palatino Linotype" w:cs="Palatino Linotype"/>
          <w:i/>
          <w:sz w:val="22"/>
          <w:szCs w:val="22"/>
        </w:rPr>
        <w:t xml:space="preserve"> La </w:t>
      </w:r>
      <w:r w:rsidRPr="007A7615">
        <w:rPr>
          <w:rFonts w:ascii="Palatino Linotype" w:eastAsia="Palatino Linotype" w:hAnsi="Palatino Linotype" w:cs="Palatino Linotype"/>
          <w:b/>
          <w:i/>
          <w:sz w:val="22"/>
          <w:szCs w:val="22"/>
        </w:rPr>
        <w:t xml:space="preserve">información sobre los procesos y resultados </w:t>
      </w:r>
      <w:r w:rsidRPr="007A7615">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7A7615">
        <w:rPr>
          <w:rFonts w:ascii="Palatino Linotype" w:eastAsia="Palatino Linotype" w:hAnsi="Palatino Linotype" w:cs="Palatino Linotype"/>
          <w:i/>
          <w:sz w:val="22"/>
          <w:szCs w:val="22"/>
          <w:u w:val="single"/>
        </w:rPr>
        <w:t xml:space="preserve">, </w:t>
      </w:r>
      <w:r w:rsidRPr="007A7615">
        <w:rPr>
          <w:rFonts w:ascii="Palatino Linotype" w:eastAsia="Palatino Linotype" w:hAnsi="Palatino Linotype" w:cs="Palatino Linotype"/>
          <w:b/>
          <w:i/>
          <w:sz w:val="22"/>
          <w:szCs w:val="22"/>
        </w:rPr>
        <w:t>incluyendo la versión pública</w:t>
      </w:r>
      <w:r w:rsidRPr="007A7615">
        <w:rPr>
          <w:rFonts w:ascii="Palatino Linotype" w:eastAsia="Palatino Linotype" w:hAnsi="Palatino Linotype" w:cs="Palatino Linotype"/>
          <w:i/>
          <w:sz w:val="22"/>
          <w:szCs w:val="22"/>
        </w:rPr>
        <w:t xml:space="preserve"> del expediente respectivo y </w:t>
      </w:r>
      <w:r w:rsidRPr="007A7615">
        <w:rPr>
          <w:rFonts w:ascii="Palatino Linotype" w:eastAsia="Palatino Linotype" w:hAnsi="Palatino Linotype" w:cs="Palatino Linotype"/>
          <w:b/>
          <w:i/>
          <w:sz w:val="22"/>
          <w:szCs w:val="22"/>
        </w:rPr>
        <w:t>de los contratos celebrados</w:t>
      </w:r>
      <w:r w:rsidRPr="007A7615">
        <w:rPr>
          <w:rFonts w:ascii="Palatino Linotype" w:eastAsia="Palatino Linotype" w:hAnsi="Palatino Linotype" w:cs="Palatino Linotype"/>
          <w:i/>
          <w:sz w:val="22"/>
          <w:szCs w:val="22"/>
        </w:rPr>
        <w:t>, que deberán contener, por los menos, lo siguiente:</w:t>
      </w:r>
    </w:p>
    <w:p w:rsidR="00A91087" w:rsidRPr="007A7615" w:rsidRDefault="008A0C95">
      <w:pPr>
        <w:tabs>
          <w:tab w:val="left" w:pos="426"/>
        </w:tabs>
        <w:spacing w:before="120" w:after="120"/>
        <w:ind w:left="1418"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a) De licitaciones públicas o procedimientos de invitación restringida:</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w:t>
      </w:r>
      <w:r w:rsidRPr="007A7615">
        <w:rPr>
          <w:rFonts w:ascii="Palatino Linotype" w:eastAsia="Palatino Linotype" w:hAnsi="Palatino Linotype" w:cs="Palatino Linotype"/>
          <w:i/>
          <w:sz w:val="22"/>
          <w:szCs w:val="22"/>
        </w:rPr>
        <w:t xml:space="preserve"> La convocatoria o invitación emitida, así como los fundamentos legales aplicados para llevarla a cabo;</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2)</w:t>
      </w:r>
      <w:r w:rsidRPr="007A7615">
        <w:rPr>
          <w:rFonts w:ascii="Palatino Linotype" w:eastAsia="Palatino Linotype" w:hAnsi="Palatino Linotype" w:cs="Palatino Linotype"/>
          <w:i/>
          <w:sz w:val="22"/>
          <w:szCs w:val="22"/>
        </w:rPr>
        <w:t xml:space="preserve"> Los nombres de los participantes o invitados;</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3)</w:t>
      </w:r>
      <w:r w:rsidRPr="007A7615">
        <w:rPr>
          <w:rFonts w:ascii="Palatino Linotype" w:eastAsia="Palatino Linotype" w:hAnsi="Palatino Linotype" w:cs="Palatino Linotype"/>
          <w:i/>
          <w:sz w:val="22"/>
          <w:szCs w:val="22"/>
        </w:rPr>
        <w:t xml:space="preserve"> El nombre del ganador y las razones que lo justifican;</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4)</w:t>
      </w:r>
      <w:r w:rsidRPr="007A7615">
        <w:rPr>
          <w:rFonts w:ascii="Palatino Linotype" w:eastAsia="Palatino Linotype" w:hAnsi="Palatino Linotype" w:cs="Palatino Linotype"/>
          <w:i/>
          <w:sz w:val="22"/>
          <w:szCs w:val="22"/>
        </w:rPr>
        <w:t xml:space="preserve"> El área solicitante y la responsable de su ejecución;</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5)</w:t>
      </w:r>
      <w:r w:rsidRPr="007A7615">
        <w:rPr>
          <w:rFonts w:ascii="Palatino Linotype" w:eastAsia="Palatino Linotype" w:hAnsi="Palatino Linotype" w:cs="Palatino Linotype"/>
          <w:i/>
          <w:sz w:val="22"/>
          <w:szCs w:val="22"/>
        </w:rPr>
        <w:t xml:space="preserve"> Las convocatorias e invitaciones emitidas;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6)</w:t>
      </w:r>
      <w:r w:rsidRPr="007A7615">
        <w:rPr>
          <w:rFonts w:ascii="Palatino Linotype" w:eastAsia="Palatino Linotype" w:hAnsi="Palatino Linotype" w:cs="Palatino Linotype"/>
          <w:i/>
          <w:sz w:val="22"/>
          <w:szCs w:val="22"/>
        </w:rPr>
        <w:t xml:space="preserve"> Los dictámenes y fallo de adjudicación;</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7) </w:t>
      </w:r>
      <w:r w:rsidRPr="007A7615">
        <w:rPr>
          <w:rFonts w:ascii="Palatino Linotype" w:eastAsia="Palatino Linotype" w:hAnsi="Palatino Linotype" w:cs="Palatino Linotype"/>
          <w:i/>
          <w:sz w:val="22"/>
          <w:szCs w:val="22"/>
        </w:rPr>
        <w:t xml:space="preserve">El contrato y, en su caso, sus anexos;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8)</w:t>
      </w:r>
      <w:r w:rsidRPr="007A7615">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9)</w:t>
      </w:r>
      <w:r w:rsidRPr="007A7615">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10)</w:t>
      </w:r>
      <w:r w:rsidRPr="007A7615">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11)</w:t>
      </w:r>
      <w:r w:rsidRPr="007A7615">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12)</w:t>
      </w:r>
      <w:r w:rsidRPr="007A7615">
        <w:rPr>
          <w:rFonts w:ascii="Palatino Linotype" w:eastAsia="Palatino Linotype" w:hAnsi="Palatino Linotype" w:cs="Palatino Linotype"/>
          <w:i/>
          <w:sz w:val="22"/>
          <w:szCs w:val="22"/>
        </w:rPr>
        <w:t xml:space="preserve"> Los informes de avance físico y financiero sobre las obras o servicios contratados;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13)</w:t>
      </w:r>
      <w:r w:rsidRPr="007A7615">
        <w:rPr>
          <w:rFonts w:ascii="Palatino Linotype" w:eastAsia="Palatino Linotype" w:hAnsi="Palatino Linotype" w:cs="Palatino Linotype"/>
          <w:i/>
          <w:sz w:val="22"/>
          <w:szCs w:val="22"/>
        </w:rPr>
        <w:t xml:space="preserve"> El convenio de terminación;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14)</w:t>
      </w:r>
      <w:r w:rsidRPr="007A7615">
        <w:rPr>
          <w:rFonts w:ascii="Palatino Linotype" w:eastAsia="Palatino Linotype" w:hAnsi="Palatino Linotype" w:cs="Palatino Linotype"/>
          <w:i/>
          <w:sz w:val="22"/>
          <w:szCs w:val="22"/>
        </w:rPr>
        <w:t xml:space="preserve"> El finiquito.</w:t>
      </w:r>
    </w:p>
    <w:p w:rsidR="00A91087" w:rsidRPr="007A7615" w:rsidRDefault="008A0C95">
      <w:pPr>
        <w:tabs>
          <w:tab w:val="left" w:pos="426"/>
        </w:tabs>
        <w:spacing w:before="120" w:after="120"/>
        <w:ind w:left="1418"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 xml:space="preserve">b) De las adjudicaciones directas: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w:t>
      </w:r>
      <w:r w:rsidRPr="007A7615">
        <w:rPr>
          <w:rFonts w:ascii="Palatino Linotype" w:eastAsia="Palatino Linotype" w:hAnsi="Palatino Linotype" w:cs="Palatino Linotype"/>
          <w:i/>
          <w:sz w:val="22"/>
          <w:szCs w:val="22"/>
        </w:rPr>
        <w:t xml:space="preserve"> La propuesta enviada por el participante;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2)</w:t>
      </w:r>
      <w:r w:rsidRPr="007A7615">
        <w:rPr>
          <w:rFonts w:ascii="Palatino Linotype" w:eastAsia="Palatino Linotype" w:hAnsi="Palatino Linotype" w:cs="Palatino Linotype"/>
          <w:i/>
          <w:sz w:val="22"/>
          <w:szCs w:val="22"/>
        </w:rPr>
        <w:t xml:space="preserve"> Los motivos y fundamentos legales aplicados para llevarla a cabo;</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3)</w:t>
      </w:r>
      <w:r w:rsidRPr="007A7615">
        <w:rPr>
          <w:rFonts w:ascii="Palatino Linotype" w:eastAsia="Palatino Linotype" w:hAnsi="Palatino Linotype" w:cs="Palatino Linotype"/>
          <w:i/>
          <w:sz w:val="22"/>
          <w:szCs w:val="22"/>
        </w:rPr>
        <w:t xml:space="preserve"> La autorización del ejercicio de la opción;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 xml:space="preserve">4) </w:t>
      </w:r>
      <w:r w:rsidRPr="007A7615">
        <w:rPr>
          <w:rFonts w:ascii="Palatino Linotype" w:eastAsia="Palatino Linotype" w:hAnsi="Palatino Linotype" w:cs="Palatino Linotype"/>
          <w:i/>
          <w:sz w:val="22"/>
          <w:szCs w:val="22"/>
        </w:rPr>
        <w:t>En su caso, las cotizaciones consideradas, especificando los nombres de los proveedores y sus montos;</w:t>
      </w:r>
      <w:r w:rsidRPr="007A7615">
        <w:rPr>
          <w:rFonts w:ascii="Palatino Linotype" w:eastAsia="Palatino Linotype" w:hAnsi="Palatino Linotype" w:cs="Palatino Linotype"/>
          <w:b/>
          <w:i/>
          <w:sz w:val="22"/>
          <w:szCs w:val="22"/>
        </w:rPr>
        <w:t xml:space="preserve">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5)</w:t>
      </w:r>
      <w:r w:rsidRPr="007A7615">
        <w:rPr>
          <w:rFonts w:ascii="Palatino Linotype" w:eastAsia="Palatino Linotype" w:hAnsi="Palatino Linotype" w:cs="Palatino Linotype"/>
          <w:i/>
          <w:sz w:val="22"/>
          <w:szCs w:val="22"/>
        </w:rPr>
        <w:t xml:space="preserve"> El nombre de la persona física o jurídica colectiva adjudicada;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6)</w:t>
      </w:r>
      <w:r w:rsidRPr="007A7615">
        <w:rPr>
          <w:rFonts w:ascii="Palatino Linotype" w:eastAsia="Palatino Linotype" w:hAnsi="Palatino Linotype" w:cs="Palatino Linotype"/>
          <w:i/>
          <w:sz w:val="22"/>
          <w:szCs w:val="22"/>
        </w:rPr>
        <w:t xml:space="preserve"> La unidad administrativa solicitante y la responsable de su ejecución;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7) </w:t>
      </w:r>
      <w:r w:rsidRPr="007A7615">
        <w:rPr>
          <w:rFonts w:ascii="Palatino Linotype" w:eastAsia="Palatino Linotype" w:hAnsi="Palatino Linotype" w:cs="Palatino Linotype"/>
          <w:i/>
          <w:sz w:val="22"/>
          <w:szCs w:val="22"/>
        </w:rPr>
        <w:t xml:space="preserve">El número, fecha, el monto del contrato y el plazo de entrega o de ejecución de los servicios u obra;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8)</w:t>
      </w:r>
      <w:r w:rsidRPr="007A7615">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9)</w:t>
      </w:r>
      <w:r w:rsidRPr="007A7615">
        <w:rPr>
          <w:rFonts w:ascii="Palatino Linotype" w:eastAsia="Palatino Linotype" w:hAnsi="Palatino Linotype" w:cs="Palatino Linotype"/>
          <w:i/>
          <w:sz w:val="22"/>
          <w:szCs w:val="22"/>
        </w:rPr>
        <w:t xml:space="preserve"> Los informes de avance sobre las obras o servicios contratados;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10)</w:t>
      </w:r>
      <w:r w:rsidRPr="007A7615">
        <w:rPr>
          <w:rFonts w:ascii="Palatino Linotype" w:eastAsia="Palatino Linotype" w:hAnsi="Palatino Linotype" w:cs="Palatino Linotype"/>
          <w:i/>
          <w:sz w:val="22"/>
          <w:szCs w:val="22"/>
        </w:rPr>
        <w:t xml:space="preserve"> El convenio de terminación; y </w:t>
      </w:r>
    </w:p>
    <w:p w:rsidR="00A91087" w:rsidRPr="007A7615" w:rsidRDefault="008A0C95">
      <w:pPr>
        <w:tabs>
          <w:tab w:val="left" w:pos="426"/>
        </w:tabs>
        <w:spacing w:before="120" w:after="120"/>
        <w:ind w:left="170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11)</w:t>
      </w:r>
      <w:r w:rsidRPr="007A7615">
        <w:rPr>
          <w:rFonts w:ascii="Palatino Linotype" w:eastAsia="Palatino Linotype" w:hAnsi="Palatino Linotype" w:cs="Palatino Linotype"/>
          <w:i/>
          <w:sz w:val="22"/>
          <w:szCs w:val="22"/>
        </w:rPr>
        <w:t xml:space="preserve"> El finiquito;”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De lo anterior, se advierte que, los Sujetos Obligados deberán poner a disposición del público la información relativa a procesos y resultados sobre procedimientos de adjudicación directa, invitación restringida y licitación de cualquier naturaleza, </w:t>
      </w:r>
      <w:r w:rsidRPr="007A7615">
        <w:rPr>
          <w:rFonts w:ascii="Palatino Linotype" w:eastAsia="Palatino Linotype" w:hAnsi="Palatino Linotype" w:cs="Palatino Linotype"/>
        </w:rPr>
        <w:lastRenderedPageBreak/>
        <w:t>donde se incluya, en versión pública, el expediente respectivo y los contratos celebrados que, para el caso en particular, los expedientes deberán contener:</w:t>
      </w:r>
    </w:p>
    <w:p w:rsidR="00A91087" w:rsidRPr="007A7615" w:rsidRDefault="008A0C95">
      <w:pPr>
        <w:spacing w:before="240" w:after="240" w:line="360" w:lineRule="auto"/>
        <w:ind w:left="426"/>
        <w:jc w:val="both"/>
        <w:rPr>
          <w:rFonts w:ascii="Palatino Linotype" w:eastAsia="Palatino Linotype" w:hAnsi="Palatino Linotype" w:cs="Palatino Linotype"/>
        </w:rPr>
      </w:pPr>
      <w:r w:rsidRPr="007A7615">
        <w:rPr>
          <w:rFonts w:ascii="Palatino Linotype" w:eastAsia="Palatino Linotype" w:hAnsi="Palatino Linotype" w:cs="Palatino Linotype"/>
        </w:rPr>
        <w:t>●</w:t>
      </w:r>
      <w:r w:rsidRPr="007A7615">
        <w:rPr>
          <w:rFonts w:ascii="Palatino Linotype" w:eastAsia="Palatino Linotype" w:hAnsi="Palatino Linotype" w:cs="Palatino Linotype"/>
          <w:sz w:val="16"/>
          <w:szCs w:val="16"/>
        </w:rPr>
        <w:t xml:space="preserve">        </w:t>
      </w:r>
      <w:r w:rsidRPr="007A7615">
        <w:rPr>
          <w:rFonts w:ascii="Palatino Linotype" w:eastAsia="Palatino Linotype" w:hAnsi="Palatino Linotype" w:cs="Palatino Linotype"/>
          <w:b/>
        </w:rPr>
        <w:t xml:space="preserve">Invitación restringida: </w:t>
      </w:r>
      <w:r w:rsidRPr="007A7615">
        <w:rPr>
          <w:rFonts w:ascii="Palatino Linotype" w:eastAsia="Palatino Linotype" w:hAnsi="Palatino Linotype" w:cs="Palatino Linotype"/>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A91087" w:rsidRPr="007A7615" w:rsidRDefault="008A0C95">
      <w:pPr>
        <w:spacing w:before="240" w:after="240" w:line="360" w:lineRule="auto"/>
        <w:ind w:left="426"/>
        <w:jc w:val="both"/>
        <w:rPr>
          <w:rFonts w:ascii="Palatino Linotype" w:eastAsia="Palatino Linotype" w:hAnsi="Palatino Linotype" w:cs="Palatino Linotype"/>
        </w:rPr>
      </w:pPr>
      <w:r w:rsidRPr="007A7615">
        <w:rPr>
          <w:rFonts w:ascii="Palatino Linotype" w:eastAsia="Palatino Linotype" w:hAnsi="Palatino Linotype" w:cs="Palatino Linotype"/>
        </w:rPr>
        <w:t>●</w:t>
      </w:r>
      <w:r w:rsidRPr="007A7615">
        <w:rPr>
          <w:rFonts w:ascii="Palatino Linotype" w:eastAsia="Palatino Linotype" w:hAnsi="Palatino Linotype" w:cs="Palatino Linotype"/>
          <w:sz w:val="16"/>
          <w:szCs w:val="16"/>
        </w:rPr>
        <w:t xml:space="preserve">        </w:t>
      </w:r>
      <w:r w:rsidRPr="007A7615">
        <w:rPr>
          <w:rFonts w:ascii="Palatino Linotype" w:eastAsia="Palatino Linotype" w:hAnsi="Palatino Linotype" w:cs="Palatino Linotype"/>
          <w:b/>
        </w:rPr>
        <w:t xml:space="preserve">Adjudicaciones directas: </w:t>
      </w:r>
      <w:r w:rsidRPr="007A7615">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ende, de acuerdo a los </w:t>
      </w:r>
      <w:r w:rsidRPr="007A7615">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7A7615">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7A7615">
        <w:rPr>
          <w:rFonts w:ascii="Palatino Linotype" w:eastAsia="Palatino Linotype" w:hAnsi="Palatino Linotype" w:cs="Palatino Linotype"/>
          <w:i/>
        </w:rPr>
        <w:t xml:space="preserve">Ley </w:t>
      </w:r>
      <w:r w:rsidRPr="007A7615">
        <w:rPr>
          <w:rFonts w:ascii="Palatino Linotype" w:eastAsia="Palatino Linotype" w:hAnsi="Palatino Linotype" w:cs="Palatino Linotype"/>
          <w:i/>
        </w:rPr>
        <w:lastRenderedPageBreak/>
        <w:t>General de Transparencia y Acceso a la Información Pública</w:t>
      </w:r>
      <w:r w:rsidRPr="007A7615">
        <w:rPr>
          <w:rFonts w:ascii="Palatino Linotype" w:eastAsia="Palatino Linotype" w:hAnsi="Palatino Linotype" w:cs="Palatino Linotype"/>
        </w:rPr>
        <w:t xml:space="preserve">, los sujetos obligados deben publicar información sobre los actos, contratos y convenios celebrados, misma que </w:t>
      </w:r>
      <w:r w:rsidRPr="007A7615">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7A7615">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rsidR="00A91087" w:rsidRPr="007A7615" w:rsidRDefault="008A0C95">
      <w:pP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Por otro lado, respecto de las actas del Comité de Adquisiciones y Servicios, se debe observarse lo establecido en los artículos 22 y 23 de la Ley de Contratación Pública del Estado de México y Municipios, y 2, fracción XI, 43, 44, párrafos primero, segundo y tercero, 45 y 50 del Reglamento de la Ley de Contratación, los cuales se transcriben a continuación:</w:t>
      </w:r>
    </w:p>
    <w:p w:rsidR="00A91087" w:rsidRPr="007A7615" w:rsidRDefault="008A0C95">
      <w:pPr>
        <w:spacing w:before="240" w:after="24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22</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 xml:space="preserve">Los comités son órganos colegiados con facultades de opinión, que tienen por objeto auxiliar a </w:t>
      </w:r>
      <w:r w:rsidRPr="007A7615">
        <w:rPr>
          <w:rFonts w:ascii="Palatino Linotype" w:eastAsia="Palatino Linotype" w:hAnsi="Palatino Linotype" w:cs="Palatino Linotype"/>
          <w:i/>
          <w:sz w:val="22"/>
          <w:szCs w:val="22"/>
        </w:rPr>
        <w:t xml:space="preserve">la Secretaría, entidades, tribunales administrativos y </w:t>
      </w:r>
      <w:r w:rsidRPr="007A7615">
        <w:rPr>
          <w:rFonts w:ascii="Palatino Linotype" w:eastAsia="Palatino Linotype" w:hAnsi="Palatino Linotype" w:cs="Palatino Linotype"/>
          <w:b/>
          <w:i/>
          <w:sz w:val="22"/>
          <w:szCs w:val="22"/>
        </w:rPr>
        <w:t>ayuntamientos, en la substanciación de los procedimientos de adquisiciones y de servicios</w:t>
      </w:r>
      <w:r w:rsidRPr="007A7615">
        <w:rPr>
          <w:rFonts w:ascii="Palatino Linotype" w:eastAsia="Palatino Linotype" w:hAnsi="Palatino Linotype" w:cs="Palatino Linotype"/>
          <w:i/>
          <w:sz w:val="22"/>
          <w:szCs w:val="22"/>
        </w:rPr>
        <w:t xml:space="preserve">, de conformidad con el Reglamento y los manuales de operación. </w:t>
      </w:r>
    </w:p>
    <w:p w:rsidR="00A91087" w:rsidRPr="007A7615" w:rsidRDefault="008A0C95">
      <w:pPr>
        <w:spacing w:before="240" w:after="24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i/>
          <w:sz w:val="22"/>
          <w:szCs w:val="22"/>
        </w:rPr>
        <w:t xml:space="preserve">En la Secretaría, </w:t>
      </w:r>
      <w:r w:rsidRPr="007A7615">
        <w:rPr>
          <w:rFonts w:ascii="Palatino Linotype" w:eastAsia="Palatino Linotype" w:hAnsi="Palatino Linotype" w:cs="Palatino Linotype"/>
          <w:b/>
          <w:i/>
          <w:sz w:val="22"/>
          <w:szCs w:val="22"/>
        </w:rPr>
        <w:t>en cada</w:t>
      </w:r>
      <w:r w:rsidRPr="007A7615">
        <w:rPr>
          <w:rFonts w:ascii="Palatino Linotype" w:eastAsia="Palatino Linotype" w:hAnsi="Palatino Linotype" w:cs="Palatino Linotype"/>
          <w:i/>
          <w:sz w:val="22"/>
          <w:szCs w:val="22"/>
        </w:rPr>
        <w:t xml:space="preserve"> entidad, tribunal administrativo y </w:t>
      </w:r>
      <w:r w:rsidRPr="007A7615">
        <w:rPr>
          <w:rFonts w:ascii="Palatino Linotype" w:eastAsia="Palatino Linotype" w:hAnsi="Palatino Linotype" w:cs="Palatino Linotype"/>
          <w:b/>
          <w:i/>
          <w:sz w:val="22"/>
          <w:szCs w:val="22"/>
        </w:rPr>
        <w:t xml:space="preserve">ayuntamiento se constituirá un comité de adquisiciones y servicios. </w:t>
      </w:r>
    </w:p>
    <w:p w:rsidR="00A91087" w:rsidRPr="007A7615" w:rsidRDefault="008A0C95">
      <w:pPr>
        <w:spacing w:before="240" w:after="24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i/>
          <w:sz w:val="22"/>
          <w:szCs w:val="22"/>
        </w:rPr>
        <w:lastRenderedPageBreak/>
        <w:t>La Secretaría, las entidades, los tribunales administrativos y los ayuntamientos se auxiliarán de un comité de arrendamientos, adquisiciones de inmuebles y enajenaciones.”</w:t>
      </w:r>
    </w:p>
    <w:p w:rsidR="00A91087" w:rsidRPr="007A7615" w:rsidRDefault="008A0C95">
      <w:pPr>
        <w:ind w:left="851" w:right="90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Artículo 23</w:t>
      </w:r>
      <w:r w:rsidRPr="007A7615">
        <w:rPr>
          <w:rFonts w:ascii="Palatino Linotype" w:eastAsia="Palatino Linotype" w:hAnsi="Palatino Linotype" w:cs="Palatino Linotype"/>
          <w:i/>
          <w:sz w:val="22"/>
          <w:szCs w:val="22"/>
        </w:rPr>
        <w:t>.- </w:t>
      </w:r>
      <w:r w:rsidRPr="007A7615">
        <w:rPr>
          <w:rFonts w:ascii="Palatino Linotype" w:eastAsia="Palatino Linotype" w:hAnsi="Palatino Linotype" w:cs="Palatino Linotype"/>
          <w:b/>
          <w:i/>
          <w:sz w:val="22"/>
          <w:szCs w:val="22"/>
          <w:u w:val="single"/>
        </w:rPr>
        <w:t>Los comités de adquisiciones y de servicios tendrán las funciones siguientes</w:t>
      </w:r>
      <w:r w:rsidRPr="007A7615">
        <w:rPr>
          <w:rFonts w:ascii="Palatino Linotype" w:eastAsia="Palatino Linotype" w:hAnsi="Palatino Linotype" w:cs="Palatino Linotype"/>
          <w:i/>
          <w:sz w:val="22"/>
          <w:szCs w:val="22"/>
        </w:rPr>
        <w:t>:</w:t>
      </w:r>
    </w:p>
    <w:p w:rsidR="00A91087" w:rsidRPr="007A7615" w:rsidRDefault="008A0C95">
      <w:pPr>
        <w:ind w:left="1134" w:right="90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Dictaminar sobre la procedencia de los casos de excepción al procedimiento de licitación pública.</w:t>
      </w:r>
    </w:p>
    <w:p w:rsidR="00A91087" w:rsidRPr="007A7615" w:rsidRDefault="008A0C95">
      <w:pPr>
        <w:ind w:left="1134" w:right="90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Participar en los procedimientos de licitación, invitación restringida y adjudicación directa, hasta dejarlos en estado de dictar el fallo correspondiente, incluidos los que tengan que desahogarse bajo la modalidad de subasta inversa.</w:t>
      </w:r>
    </w:p>
    <w:p w:rsidR="00A91087" w:rsidRPr="007A7615" w:rsidRDefault="008A0C95">
      <w:pPr>
        <w:ind w:left="1134" w:right="90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III. </w:t>
      </w:r>
      <w:r w:rsidRPr="007A7615">
        <w:rPr>
          <w:rFonts w:ascii="Palatino Linotype" w:eastAsia="Palatino Linotype" w:hAnsi="Palatino Linotype" w:cs="Palatino Linotype"/>
          <w:b/>
          <w:i/>
          <w:sz w:val="22"/>
          <w:szCs w:val="22"/>
          <w:u w:val="single"/>
        </w:rPr>
        <w:t>Emitir los dictámenes de adjudicación</w:t>
      </w:r>
      <w:r w:rsidRPr="007A7615">
        <w:rPr>
          <w:rFonts w:ascii="Palatino Linotype" w:eastAsia="Palatino Linotype" w:hAnsi="Palatino Linotype" w:cs="Palatino Linotype"/>
          <w:i/>
          <w:sz w:val="22"/>
          <w:szCs w:val="22"/>
        </w:rPr>
        <w:t>.</w:t>
      </w:r>
    </w:p>
    <w:p w:rsidR="00A91087" w:rsidRPr="007A7615" w:rsidRDefault="008A0C95">
      <w:pPr>
        <w:spacing w:before="120" w:after="120" w:line="360" w:lineRule="auto"/>
        <w:ind w:left="1134" w:right="90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Las demás que establezca el reglamento de esta Ley.</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2.-</w:t>
      </w:r>
      <w:r w:rsidRPr="007A7615">
        <w:rPr>
          <w:rFonts w:ascii="Palatino Linotype" w:eastAsia="Palatino Linotype" w:hAnsi="Palatino Linotype" w:cs="Palatino Linotype"/>
          <w:i/>
          <w:sz w:val="22"/>
          <w:szCs w:val="22"/>
        </w:rPr>
        <w:t xml:space="preserve"> Para los efectos de este Reglamento, se entenderá por:</w:t>
      </w:r>
    </w:p>
    <w:p w:rsidR="00A91087" w:rsidRPr="007A7615" w:rsidRDefault="008A0C95">
      <w:pPr>
        <w:spacing w:before="120" w:after="120"/>
        <w:ind w:left="1134"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XI. Comité</w:t>
      </w:r>
      <w:r w:rsidRPr="007A7615">
        <w:rPr>
          <w:rFonts w:ascii="Palatino Linotype" w:eastAsia="Palatino Linotype" w:hAnsi="Palatino Linotype" w:cs="Palatino Linotype"/>
          <w:i/>
          <w:sz w:val="22"/>
          <w:szCs w:val="22"/>
        </w:rPr>
        <w:t>: Órgano colegiado con facultades de opinión, que tiene por objeto auxiliar a la Secretaría, organismos auxiliares, tribunales administrativos o municipios, en la preparación y substanciación de los procedimientos de adquisiciones, servicios, arrendamientos y enajenaciones</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43.-</w:t>
      </w:r>
      <w:r w:rsidRPr="007A7615">
        <w:rPr>
          <w:rFonts w:ascii="Palatino Linotype" w:eastAsia="Palatino Linotype" w:hAnsi="Palatino Linotype" w:cs="Palatino Linotype"/>
          <w:i/>
          <w:sz w:val="22"/>
          <w:szCs w:val="22"/>
        </w:rPr>
        <w:t xml:space="preserve"> La Secretaría, organismos auxiliares, tribunales administrativos y </w:t>
      </w:r>
      <w:r w:rsidRPr="007A7615">
        <w:rPr>
          <w:rFonts w:ascii="Palatino Linotype" w:eastAsia="Palatino Linotype" w:hAnsi="Palatino Linotype" w:cs="Palatino Linotype"/>
          <w:b/>
          <w:i/>
          <w:sz w:val="22"/>
          <w:szCs w:val="22"/>
        </w:rPr>
        <w:t xml:space="preserve">municipios, se auxiliarán de un Comité de Adquisiciones y Servicios, para la substanciación de los procedimientos de adquisición </w:t>
      </w:r>
      <w:r w:rsidRPr="007A7615">
        <w:rPr>
          <w:rFonts w:ascii="Palatino Linotype" w:eastAsia="Palatino Linotype" w:hAnsi="Palatino Linotype" w:cs="Palatino Linotype"/>
          <w:i/>
          <w:sz w:val="22"/>
          <w:szCs w:val="22"/>
        </w:rPr>
        <w:t>regulados en la Ley.</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44</w:t>
      </w:r>
      <w:r w:rsidRPr="007A7615">
        <w:rPr>
          <w:rFonts w:ascii="Palatino Linotype" w:eastAsia="Palatino Linotype" w:hAnsi="Palatino Linotype" w:cs="Palatino Linotype"/>
          <w:i/>
          <w:sz w:val="22"/>
          <w:szCs w:val="22"/>
        </w:rPr>
        <w:t xml:space="preserve">.- El Comité de Adquisiciones y Servicios se integrará por: </w:t>
      </w:r>
    </w:p>
    <w:p w:rsidR="00A91087" w:rsidRPr="007A7615" w:rsidRDefault="008A0C95">
      <w:pPr>
        <w:spacing w:before="120" w:after="120"/>
        <w:ind w:left="1134"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En la Secretaría, por el titular del área encargada de operar el sistema de adquisiciones de las dependencias del Poder Ejecutivo, </w:t>
      </w:r>
      <w:r w:rsidRPr="007A7615">
        <w:rPr>
          <w:rFonts w:ascii="Palatino Linotype" w:eastAsia="Palatino Linotype" w:hAnsi="Palatino Linotype" w:cs="Palatino Linotype"/>
          <w:b/>
          <w:i/>
          <w:sz w:val="22"/>
          <w:szCs w:val="22"/>
        </w:rPr>
        <w:t>y en los</w:t>
      </w:r>
      <w:r w:rsidRPr="007A7615">
        <w:rPr>
          <w:rFonts w:ascii="Palatino Linotype" w:eastAsia="Palatino Linotype" w:hAnsi="Palatino Linotype" w:cs="Palatino Linotype"/>
          <w:i/>
          <w:sz w:val="22"/>
          <w:szCs w:val="22"/>
        </w:rPr>
        <w:t xml:space="preserve"> organismos auxiliares, tribunales administrativos y </w:t>
      </w:r>
      <w:r w:rsidRPr="007A7615">
        <w:rPr>
          <w:rFonts w:ascii="Palatino Linotype" w:eastAsia="Palatino Linotype" w:hAnsi="Palatino Linotype" w:cs="Palatino Linotype"/>
          <w:b/>
          <w:i/>
          <w:sz w:val="22"/>
          <w:szCs w:val="22"/>
        </w:rPr>
        <w:t xml:space="preserve">municipios, por el titular de la unidad administrativa, quien fungirá como presidente;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Un representante del área financiera de la Secretaría, entidad, tribunal administrativo o municipio, con función de vocal;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Un representante de cada dependencia o unidad administrativa interesada en la adquisición de los bienes o contratación del servicio, con función de vocal;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Un representante de la Consejería Jurídica o del área jurídica respectiva o quien lleve a cabo las funciones de esta naturaleza, con función de vocal;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Un representante del Órgano de Control, con función de vocal; y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VI.</w:t>
      </w:r>
      <w:r w:rsidRPr="007A7615">
        <w:rPr>
          <w:rFonts w:ascii="Palatino Linotype" w:eastAsia="Palatino Linotype" w:hAnsi="Palatino Linotype" w:cs="Palatino Linotype"/>
          <w:i/>
          <w:sz w:val="22"/>
          <w:szCs w:val="22"/>
        </w:rPr>
        <w:t xml:space="preserve"> Un secretario ejecutivo, que será designado por el presidente.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45</w:t>
      </w:r>
      <w:r w:rsidRPr="007A7615">
        <w:rPr>
          <w:rFonts w:ascii="Palatino Linotype" w:eastAsia="Palatino Linotype" w:hAnsi="Palatino Linotype" w:cs="Palatino Linotype"/>
          <w:i/>
          <w:sz w:val="22"/>
          <w:szCs w:val="22"/>
        </w:rPr>
        <w:t xml:space="preserve">.- Además de las señaladas en la Ley, el comité tendrá las funciones siguientes: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Expedir su manual de operación;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Analizar y evaluar las propuestas técnicas y económicas presentadas dentro del procedimiento de adquisición;</w:t>
      </w:r>
      <w:r w:rsidRPr="007A7615">
        <w:rPr>
          <w:rFonts w:ascii="Palatino Linotype" w:eastAsia="Palatino Linotype" w:hAnsi="Palatino Linotype" w:cs="Palatino Linotype"/>
          <w:i/>
          <w:sz w:val="22"/>
          <w:szCs w:val="22"/>
        </w:rPr>
        <w:t xml:space="preserve">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Solicitar asesoría técnica cuando así se requiera, a las cámaras de comercio, de industria, de servicios o de las confederaciones que las agrupan, colegios profesionales, instituciones de investigación o entidades similares;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Implementar acciones que considere necesarias para el mejoramiento del procedimiento de adquisición;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 Emitir el dictamen de adjudicación</w:t>
      </w:r>
      <w:r w:rsidRPr="007A7615">
        <w:rPr>
          <w:rFonts w:ascii="Palatino Linotype" w:eastAsia="Palatino Linotype" w:hAnsi="Palatino Linotype" w:cs="Palatino Linotype"/>
          <w:i/>
          <w:sz w:val="22"/>
          <w:szCs w:val="22"/>
        </w:rPr>
        <w:t xml:space="preserve">;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VI. Crear subcomités y grupos de trabajo de orden administrativo y técnico que considere necesarios </w:t>
      </w:r>
      <w:r w:rsidRPr="007A7615">
        <w:rPr>
          <w:rFonts w:ascii="Palatino Linotype" w:eastAsia="Palatino Linotype" w:hAnsi="Palatino Linotype" w:cs="Palatino Linotype"/>
          <w:i/>
          <w:sz w:val="22"/>
          <w:szCs w:val="22"/>
        </w:rPr>
        <w:t xml:space="preserve">para el desarrollo de sus funciones; y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VII.</w:t>
      </w:r>
      <w:r w:rsidRPr="007A7615">
        <w:rPr>
          <w:rFonts w:ascii="Palatino Linotype" w:eastAsia="Palatino Linotype" w:hAnsi="Palatino Linotype" w:cs="Palatino Linotype"/>
          <w:i/>
          <w:sz w:val="22"/>
          <w:szCs w:val="22"/>
        </w:rPr>
        <w:t xml:space="preserve"> Las demás que sean necesarias para el cumplimiento de sus funciones.”</w:t>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Artículo 50</w:t>
      </w:r>
      <w:r w:rsidRPr="007A7615">
        <w:rPr>
          <w:rFonts w:ascii="Palatino Linotype" w:eastAsia="Palatino Linotype" w:hAnsi="Palatino Linotype" w:cs="Palatino Linotype"/>
          <w:i/>
          <w:sz w:val="22"/>
          <w:szCs w:val="22"/>
        </w:rPr>
        <w:t>.- Los Comités de Adquisiciones y Servicios podrán crear grupos de trabajo o subcomités. Los integrantes de los grupos de trabajo o subcomités serán designados por los titulares de los comités y serán responsables de auxiliar a los mismos, entre otras actividades, en la revisión y análisis del cumplimiento de los requisitos, documentos o lineamientos en el aspecto técnico o económico, de acuerdo con lo solicitado en las bases de licitación pública e invitación restringida, así como en las invitaciones de adjudicación directa.”</w:t>
      </w:r>
    </w:p>
    <w:p w:rsidR="00A91087" w:rsidRPr="007A7615" w:rsidRDefault="008A0C95">
      <w:pPr>
        <w:tabs>
          <w:tab w:val="left" w:pos="6103"/>
        </w:tabs>
        <w:spacing w:line="360" w:lineRule="auto"/>
        <w:ind w:right="50"/>
        <w:jc w:val="both"/>
        <w:rPr>
          <w:rFonts w:ascii="Palatino Linotype" w:eastAsia="Palatino Linotype" w:hAnsi="Palatino Linotype" w:cs="Palatino Linotype"/>
        </w:rPr>
      </w:pPr>
      <w:r w:rsidRPr="007A7615">
        <w:rPr>
          <w:rFonts w:ascii="Palatino Linotype" w:eastAsia="Palatino Linotype" w:hAnsi="Palatino Linotype" w:cs="Palatino Linotype"/>
        </w:rPr>
        <w:t>De la interpretación armónica de los preceptos transcritos, se advierte que el</w:t>
      </w:r>
      <w:r w:rsidRPr="007A7615">
        <w:rPr>
          <w:rFonts w:ascii="Palatino Linotype" w:eastAsia="Palatino Linotype" w:hAnsi="Palatino Linotype" w:cs="Palatino Linotype"/>
          <w:b/>
        </w:rPr>
        <w:t xml:space="preserve"> </w:t>
      </w:r>
      <w:r w:rsidRPr="007A7615">
        <w:rPr>
          <w:rFonts w:ascii="Palatino Linotype" w:eastAsia="Palatino Linotype" w:hAnsi="Palatino Linotype" w:cs="Palatino Linotype"/>
        </w:rPr>
        <w:t xml:space="preserve">Sujeto Obligado, cuenta con la competencia para regular los actos relativos a la planeación, </w:t>
      </w:r>
      <w:r w:rsidRPr="007A7615">
        <w:rPr>
          <w:rFonts w:ascii="Palatino Linotype" w:eastAsia="Palatino Linotype" w:hAnsi="Palatino Linotype" w:cs="Palatino Linotype"/>
        </w:rPr>
        <w:lastRenderedPageBreak/>
        <w:t xml:space="preserve">programación, </w:t>
      </w:r>
      <w:proofErr w:type="spellStart"/>
      <w:r w:rsidRPr="007A7615">
        <w:rPr>
          <w:rFonts w:ascii="Palatino Linotype" w:eastAsia="Palatino Linotype" w:hAnsi="Palatino Linotype" w:cs="Palatino Linotype"/>
        </w:rPr>
        <w:t>presupuestación</w:t>
      </w:r>
      <w:proofErr w:type="spellEnd"/>
      <w:r w:rsidRPr="007A7615">
        <w:rPr>
          <w:rFonts w:ascii="Palatino Linotype" w:eastAsia="Palatino Linotype" w:hAnsi="Palatino Linotype" w:cs="Palatino Linotype"/>
        </w:rPr>
        <w:t xml:space="preserve">, ejecución y </w:t>
      </w:r>
      <w:r w:rsidRPr="007A7615">
        <w:rPr>
          <w:rFonts w:ascii="Palatino Linotype" w:eastAsia="Palatino Linotype" w:hAnsi="Palatino Linotype" w:cs="Palatino Linotype"/>
          <w:b/>
          <w:u w:val="single"/>
        </w:rPr>
        <w:t>control de la adquisición y arrendamiento de bienes, así como la contratación de servicios de cualquier naturaleza</w:t>
      </w:r>
      <w:r w:rsidRPr="007A7615">
        <w:rPr>
          <w:rFonts w:ascii="Palatino Linotype" w:eastAsia="Palatino Linotype" w:hAnsi="Palatino Linotype" w:cs="Palatino Linotype"/>
        </w:rPr>
        <w:t>; para tales efectos, se auxilia del Comité Adquisiciones y Servicios, cuyos integrantes, entre otras funciones, analizan y evaluar las propuestas técnicas y económicas presentadas dentro del procedimiento de adquisición y emiten los dictámenes correspondientes a la adjudicación.</w:t>
      </w:r>
    </w:p>
    <w:p w:rsidR="00A91087" w:rsidRPr="007A7615" w:rsidRDefault="008A0C95">
      <w:pPr>
        <w:spacing w:before="240" w:after="240" w:line="360" w:lineRule="auto"/>
        <w:ind w:right="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tal sentido, se reitera que el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cuenta con atribuciones para generar, administrar o poseer la información solicitada, siendo necesario que realice la búsqueda exhaustiva y razonable del soporte documental correspondiente a los procedimientos de adquisición relacionados con la compra de patrullas que hubiera celebrado del uno de enero de dos mil dieciocho al trece de abril de dos mil veintitrés.</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otro lado, ya que la persona solicitante requirió información relacionada con el </w:t>
      </w:r>
      <w:proofErr w:type="spellStart"/>
      <w:r w:rsidRPr="007A7615">
        <w:rPr>
          <w:rFonts w:ascii="Palatino Linotype" w:eastAsia="Palatino Linotype" w:hAnsi="Palatino Linotype" w:cs="Palatino Linotype"/>
        </w:rPr>
        <w:t>el</w:t>
      </w:r>
      <w:proofErr w:type="spellEnd"/>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rPr>
        <w:t xml:space="preserve">costo de los radios, marca y modelo que utilizan las patrullas municipales, </w:t>
      </w:r>
      <w:r w:rsidRPr="007A7615">
        <w:rPr>
          <w:rFonts w:ascii="Palatino Linotype" w:eastAsia="Palatino Linotype" w:hAnsi="Palatino Linotype" w:cs="Palatino Linotype"/>
        </w:rPr>
        <w:t xml:space="preserve">este Organismo Garante no omite mencionar que,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debe clasificar como información </w:t>
      </w:r>
      <w:r w:rsidRPr="007A7615">
        <w:rPr>
          <w:rFonts w:ascii="Palatino Linotype" w:eastAsia="Palatino Linotype" w:hAnsi="Palatino Linotype" w:cs="Palatino Linotype"/>
          <w:b/>
          <w:u w:val="single"/>
        </w:rPr>
        <w:t>reservada</w:t>
      </w:r>
      <w:r w:rsidRPr="007A7615">
        <w:rPr>
          <w:rFonts w:ascii="Palatino Linotype" w:eastAsia="Palatino Linotype" w:hAnsi="Palatino Linotype" w:cs="Palatino Linotype"/>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el </w:t>
      </w:r>
      <w:r w:rsidRPr="007A7615">
        <w:rPr>
          <w:rFonts w:ascii="Palatino Linotype" w:eastAsia="Palatino Linotype" w:hAnsi="Palatino Linotype" w:cs="Palatino Linotype"/>
          <w:b/>
          <w:u w:val="single"/>
        </w:rPr>
        <w:t>equipamiento y características de las patrullas</w:t>
      </w:r>
      <w:r w:rsidRPr="007A7615">
        <w:rPr>
          <w:rFonts w:ascii="Palatino Linotype" w:eastAsia="Palatino Linotype" w:hAnsi="Palatino Linotype" w:cs="Palatino Linotype"/>
        </w:rPr>
        <w:t>.</w:t>
      </w:r>
    </w:p>
    <w:p w:rsidR="00A91087" w:rsidRPr="007A7615" w:rsidRDefault="008A0C95">
      <w:pP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rPr>
        <w:t xml:space="preserve">Conforme a lo anterior, se puede concluir que proporcionar la información en análisis podría comprometer la seguridad pública, al poner en peligro las funciones a cargo del Municipio, tendientes a preservar y resguardar la vida, la salud, la </w:t>
      </w:r>
      <w:r w:rsidRPr="007A7615">
        <w:rPr>
          <w:rFonts w:ascii="Palatino Linotype" w:eastAsia="Palatino Linotype" w:hAnsi="Palatino Linotype" w:cs="Palatino Linotype"/>
        </w:rPr>
        <w:lastRenderedPageBreak/>
        <w:t xml:space="preserve">integridad y el ejercicio de los derechos de las personas, así como para el mantenimiento del orden público, toda vez </w:t>
      </w:r>
      <w:r w:rsidRPr="007A7615">
        <w:rPr>
          <w:rFonts w:ascii="Palatino Linotype" w:eastAsia="Palatino Linotype" w:hAnsi="Palatino Linotype" w:cs="Palatino Linotype"/>
          <w:b/>
        </w:rPr>
        <w:t xml:space="preserve">que podría dar cuenta de las tecnologías, equipos y sistemas con los que cuenta la Dirección de Seguridad Pública </w:t>
      </w:r>
      <w:r w:rsidRPr="007A7615">
        <w:rPr>
          <w:rFonts w:ascii="Palatino Linotype" w:eastAsia="Palatino Linotype" w:hAnsi="Palatino Linotype" w:cs="Palatino Linotype"/>
        </w:rPr>
        <w:t>y por lo tanto, acredita la causal de clasificación prevista en el artículo 140, fracción I de la Ley de Transparencia y Acceso a la Información Pública del Estado de México</w:t>
      </w:r>
      <w:r w:rsidRPr="007A7615">
        <w:rPr>
          <w:rFonts w:ascii="Palatino Linotype" w:eastAsia="Palatino Linotype" w:hAnsi="Palatino Linotype" w:cs="Palatino Linotype"/>
          <w:b/>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de radio comunicación de las patrullas municipales, a través de la versión pública que entregue.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Lo anterior, sin perder de vista que la Constitución Política de los Estados Unidos Mexicanos le otorga a </w:t>
      </w:r>
      <w:r w:rsidRPr="007A7615">
        <w:rPr>
          <w:rFonts w:ascii="Palatino Linotype" w:eastAsia="Palatino Linotype" w:hAnsi="Palatino Linotype" w:cs="Palatino Linotype"/>
          <w:b/>
        </w:rPr>
        <w:t>todos los documentos</w:t>
      </w:r>
      <w:r w:rsidRPr="007A7615">
        <w:rPr>
          <w:rFonts w:ascii="Palatino Linotype" w:eastAsia="Palatino Linotype" w:hAnsi="Palatino Linotype" w:cs="Palatino Linotype"/>
        </w:rPr>
        <w:t xml:space="preserve"> en posesión de las autoridades </w:t>
      </w:r>
      <w:r w:rsidRPr="007A7615">
        <w:rPr>
          <w:rFonts w:ascii="Palatino Linotype" w:eastAsia="Palatino Linotype" w:hAnsi="Palatino Linotype" w:cs="Palatino Linotype"/>
          <w:b/>
        </w:rPr>
        <w:t>la calidad de públicos</w:t>
      </w:r>
      <w:r w:rsidRPr="007A7615">
        <w:rPr>
          <w:rFonts w:ascii="Palatino Linotype" w:eastAsia="Palatino Linotype" w:hAnsi="Palatino Linotype" w:cs="Palatino Linotype"/>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Siendo pertinente aclarar que, la información que se clasifica bajo la premisa de reservada, </w:t>
      </w:r>
      <w:r w:rsidRPr="007A7615">
        <w:rPr>
          <w:rFonts w:ascii="Palatino Linotype" w:eastAsia="Palatino Linotype" w:hAnsi="Palatino Linotype" w:cs="Palatino Linotype"/>
          <w:b/>
        </w:rPr>
        <w:t>no pierde el carácter de pública</w:t>
      </w:r>
      <w:r w:rsidRPr="007A7615">
        <w:rPr>
          <w:rFonts w:ascii="Palatino Linotype" w:eastAsia="Palatino Linotype" w:hAnsi="Palatino Linotype" w:cs="Palatino Linotype"/>
        </w:rPr>
        <w:t xml:space="preserve">, sino que </w:t>
      </w:r>
      <w:r w:rsidRPr="007A7615">
        <w:rPr>
          <w:rFonts w:ascii="Palatino Linotype" w:eastAsia="Palatino Linotype" w:hAnsi="Palatino Linotype" w:cs="Palatino Linotype"/>
          <w:b/>
        </w:rPr>
        <w:t>se reserva temporalmente</w:t>
      </w: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rPr>
        <w:t>del conocimiento público</w:t>
      </w:r>
      <w:r w:rsidRPr="007A7615">
        <w:rPr>
          <w:rFonts w:ascii="Palatino Linotype" w:eastAsia="Palatino Linotype" w:hAnsi="Palatino Linotype" w:cs="Palatino Linotype"/>
        </w:rPr>
        <w:t xml:space="preserve">, es decir, que, </w:t>
      </w:r>
      <w:r w:rsidRPr="007A7615">
        <w:rPr>
          <w:rFonts w:ascii="Palatino Linotype" w:eastAsia="Palatino Linotype" w:hAnsi="Palatino Linotype" w:cs="Palatino Linotype"/>
          <w:b/>
        </w:rPr>
        <w:t>por un tiempo determinado</w:t>
      </w:r>
      <w:r w:rsidRPr="007A7615">
        <w:rPr>
          <w:rFonts w:ascii="Palatino Linotype" w:eastAsia="Palatino Linotype" w:hAnsi="Palatino Linotype" w:cs="Palatino Linotype"/>
        </w:rPr>
        <w:t>, se conservará y custodiará la información de manera especial, y una vez transcurrido el plazo de reserva, el documento podrá divulgarse.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A91087" w:rsidRPr="007A7615" w:rsidRDefault="008A0C95">
      <w:pPr>
        <w:tabs>
          <w:tab w:val="left" w:pos="7938"/>
        </w:tabs>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7A7615">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7A7615">
        <w:rPr>
          <w:rFonts w:ascii="Palatino Linotype" w:eastAsia="Palatino Linotype" w:hAnsi="Palatino Linotype" w:cs="Palatino Linotype"/>
          <w:i/>
          <w:sz w:val="22"/>
          <w:szCs w:val="22"/>
        </w:rPr>
        <w:t>officio</w:t>
      </w:r>
      <w:proofErr w:type="spellEnd"/>
      <w:r w:rsidRPr="007A7615">
        <w:rPr>
          <w:rFonts w:ascii="Palatino Linotype" w:eastAsia="Palatino Linotype" w:hAnsi="Palatino Linotype" w:cs="Palatino Linotype"/>
          <w:i/>
          <w:sz w:val="22"/>
          <w:szCs w:val="22"/>
        </w:rPr>
        <w:t>, con el propósito de obtener una versión que sea pública para la parte interesada.” (</w:t>
      </w:r>
      <w:proofErr w:type="gramStart"/>
      <w:r w:rsidRPr="007A7615">
        <w:rPr>
          <w:rFonts w:ascii="Palatino Linotype" w:eastAsia="Palatino Linotype" w:hAnsi="Palatino Linotype" w:cs="Palatino Linotype"/>
          <w:i/>
          <w:sz w:val="22"/>
          <w:szCs w:val="22"/>
        </w:rPr>
        <w:t>sic</w:t>
      </w:r>
      <w:proofErr w:type="gramEnd"/>
      <w:r w:rsidRPr="007A7615">
        <w:rPr>
          <w:rFonts w:ascii="Palatino Linotype" w:eastAsia="Palatino Linotype" w:hAnsi="Palatino Linotype" w:cs="Palatino Linotype"/>
          <w:i/>
          <w:sz w:val="22"/>
          <w:szCs w:val="22"/>
        </w:rPr>
        <w:t>)</w:t>
      </w:r>
    </w:p>
    <w:p w:rsidR="00A91087" w:rsidRPr="007A7615" w:rsidRDefault="00A91087">
      <w:pPr>
        <w:ind w:left="851" w:right="902"/>
        <w:jc w:val="both"/>
        <w:rPr>
          <w:rFonts w:ascii="Palatino Linotype" w:eastAsia="Palatino Linotype" w:hAnsi="Palatino Linotype" w:cs="Palatino Linotype"/>
          <w:i/>
        </w:rPr>
      </w:pP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Por todo lo anterior, la reserva de la información implica una clasificación, la cual debe entenderse como el proceso mediante el cual el</w:t>
      </w:r>
      <w:r w:rsidRPr="007A7615">
        <w:rPr>
          <w:rFonts w:ascii="Palatino Linotype" w:eastAsia="Palatino Linotype" w:hAnsi="Palatino Linotype" w:cs="Palatino Linotype"/>
          <w:b/>
        </w:rPr>
        <w:t xml:space="preserve"> Sujeto Obligado</w:t>
      </w:r>
      <w:r w:rsidRPr="007A7615">
        <w:rPr>
          <w:rFonts w:ascii="Palatino Linotype" w:eastAsia="Palatino Linotype" w:hAnsi="Palatino Linotype" w:cs="Palatino Linotype"/>
        </w:rPr>
        <w:t xml:space="preserve"> determina que la información en su poder </w:t>
      </w:r>
      <w:proofErr w:type="spellStart"/>
      <w:r w:rsidRPr="007A7615">
        <w:rPr>
          <w:rFonts w:ascii="Palatino Linotype" w:eastAsia="Palatino Linotype" w:hAnsi="Palatino Linotype" w:cs="Palatino Linotype"/>
        </w:rPr>
        <w:t>actualiza</w:t>
      </w:r>
      <w:proofErr w:type="spellEnd"/>
      <w:r w:rsidRPr="007A7615">
        <w:rPr>
          <w:rFonts w:ascii="Palatino Linotype" w:eastAsia="Palatino Linotype" w:hAnsi="Palatino Linotype" w:cs="Palatino Linotype"/>
        </w:rPr>
        <w:t xml:space="preserve"> alguno de los supuestos conforme a las normas aplicables.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a concluir que el caso particular se ajusta al supuesto previsto por la norma legal invocada como fundamento; siendo que, además, el</w:t>
      </w:r>
      <w:r w:rsidRPr="007A7615">
        <w:rPr>
          <w:rFonts w:ascii="Palatino Linotype" w:eastAsia="Palatino Linotype" w:hAnsi="Palatino Linotype" w:cs="Palatino Linotype"/>
          <w:b/>
        </w:rPr>
        <w:t xml:space="preserve"> Sujeto Obligado</w:t>
      </w:r>
      <w:r w:rsidRPr="007A7615">
        <w:rPr>
          <w:rFonts w:ascii="Palatino Linotype" w:eastAsia="Palatino Linotype" w:hAnsi="Palatino Linotype" w:cs="Palatino Linotype"/>
        </w:rPr>
        <w:t xml:space="preserve"> debe, en todo momento, aplicar una prueba de daño.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De este modo, conforme al artículo 132 en correlación con el 49, fracción II de la Ley de Transparencia y Acceso a la Información Pública del Estado de México y </w:t>
      </w:r>
      <w:r w:rsidRPr="007A7615">
        <w:rPr>
          <w:rFonts w:ascii="Palatino Linotype" w:eastAsia="Palatino Linotype" w:hAnsi="Palatino Linotype" w:cs="Palatino Linotype"/>
        </w:rPr>
        <w:lastRenderedPageBreak/>
        <w:t>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A91087" w:rsidRPr="007A7615" w:rsidRDefault="008A0C95">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rPr>
      </w:pPr>
      <w:r w:rsidRPr="007A7615">
        <w:rPr>
          <w:rFonts w:ascii="Palatino Linotype" w:eastAsia="Palatino Linotype" w:hAnsi="Palatino Linotype" w:cs="Palatino Linotype"/>
        </w:rPr>
        <w:t>Se reciba una solicitud de acceso a la información;</w:t>
      </w:r>
    </w:p>
    <w:p w:rsidR="00A91087" w:rsidRPr="007A7615" w:rsidRDefault="008A0C95">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rPr>
      </w:pPr>
      <w:r w:rsidRPr="007A7615">
        <w:rPr>
          <w:rFonts w:ascii="Palatino Linotype" w:eastAsia="Palatino Linotype" w:hAnsi="Palatino Linotype" w:cs="Palatino Linotype"/>
        </w:rPr>
        <w:t>Se determine mediante resolución de autoridad competente; y/o</w:t>
      </w:r>
    </w:p>
    <w:p w:rsidR="00A91087" w:rsidRPr="007A7615" w:rsidRDefault="008A0C95">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rPr>
      </w:pPr>
      <w:r w:rsidRPr="007A7615">
        <w:rPr>
          <w:rFonts w:ascii="Palatino Linotype" w:eastAsia="Palatino Linotype" w:hAnsi="Palatino Linotype" w:cs="Palatino Linotype"/>
        </w:rPr>
        <w:t>Se generen versiones públicas para dar cumplimiento a las obligaciones de transparencia previstas en la Ley.</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A91087" w:rsidRPr="007A7615" w:rsidRDefault="008A0C95">
      <w:pPr>
        <w:numPr>
          <w:ilvl w:val="0"/>
          <w:numId w:val="1"/>
        </w:numPr>
        <w:spacing w:before="240" w:after="240" w:line="360" w:lineRule="auto"/>
        <w:ind w:left="284" w:firstLine="0"/>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La divulgación de la información representa un </w:t>
      </w:r>
      <w:r w:rsidRPr="007A7615">
        <w:rPr>
          <w:rFonts w:ascii="Palatino Linotype" w:eastAsia="Palatino Linotype" w:hAnsi="Palatino Linotype" w:cs="Palatino Linotype"/>
          <w:b/>
        </w:rPr>
        <w:t>riesgo real, demostrable e identificable del perjuicio significativo al interés público o a la seguridad pública</w:t>
      </w:r>
      <w:r w:rsidRPr="007A7615">
        <w:rPr>
          <w:rFonts w:ascii="Palatino Linotype" w:eastAsia="Palatino Linotype" w:hAnsi="Palatino Linotype" w:cs="Palatino Linotype"/>
        </w:rPr>
        <w:t>;</w:t>
      </w:r>
    </w:p>
    <w:p w:rsidR="00A91087" w:rsidRPr="007A7615" w:rsidRDefault="008A0C95">
      <w:pPr>
        <w:numPr>
          <w:ilvl w:val="0"/>
          <w:numId w:val="1"/>
        </w:numPr>
        <w:spacing w:before="240" w:after="240" w:line="360" w:lineRule="auto"/>
        <w:ind w:left="284" w:firstLine="0"/>
        <w:jc w:val="both"/>
        <w:rPr>
          <w:rFonts w:ascii="Palatino Linotype" w:eastAsia="Palatino Linotype" w:hAnsi="Palatino Linotype" w:cs="Palatino Linotype"/>
        </w:rPr>
      </w:pPr>
      <w:r w:rsidRPr="007A7615">
        <w:rPr>
          <w:rFonts w:ascii="Palatino Linotype" w:eastAsia="Palatino Linotype" w:hAnsi="Palatino Linotype" w:cs="Palatino Linotype"/>
        </w:rPr>
        <w:t>El riesgo de perjuicio que supondría la divulgación supera el interés público general de que se difunda; y,</w:t>
      </w:r>
    </w:p>
    <w:p w:rsidR="00A91087" w:rsidRPr="007A7615" w:rsidRDefault="008A0C95">
      <w:pPr>
        <w:numPr>
          <w:ilvl w:val="0"/>
          <w:numId w:val="1"/>
        </w:numPr>
        <w:spacing w:before="240" w:after="240" w:line="360" w:lineRule="auto"/>
        <w:ind w:left="284" w:firstLine="0"/>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La limitación se adecua al principio de proporcionalidad y representa el medio menos restrictivo disponible para evitar el perjuicio. </w:t>
      </w:r>
    </w:p>
    <w:p w:rsidR="00A91087" w:rsidRPr="007A7615" w:rsidRDefault="008A0C95">
      <w:pPr>
        <w:widowControl w:val="0"/>
        <w:tabs>
          <w:tab w:val="left" w:pos="1276"/>
          <w:tab w:val="left" w:pos="1701"/>
          <w:tab w:val="left" w:pos="1843"/>
        </w:tabs>
        <w:spacing w:before="240" w:after="240" w:line="360" w:lineRule="auto"/>
        <w:ind w:right="49"/>
        <w:jc w:val="both"/>
        <w:rPr>
          <w:rFonts w:ascii="Palatino Linotype" w:eastAsia="Palatino Linotype" w:hAnsi="Palatino Linotype" w:cs="Palatino Linotype"/>
        </w:rPr>
      </w:pPr>
      <w:r w:rsidRPr="007A7615">
        <w:rPr>
          <w:rFonts w:ascii="Palatino Linotype" w:eastAsia="Palatino Linotype" w:hAnsi="Palatino Linotype" w:cs="Palatino Linotype"/>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A91087" w:rsidRPr="007A7615" w:rsidRDefault="008A0C95">
      <w:pP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rsidR="00A91087" w:rsidRPr="007A7615" w:rsidRDefault="00A91087">
      <w:pPr>
        <w:spacing w:line="360" w:lineRule="auto"/>
        <w:jc w:val="both"/>
        <w:rPr>
          <w:rFonts w:ascii="Palatino Linotype" w:eastAsia="Palatino Linotype" w:hAnsi="Palatino Linotype" w:cs="Palatino Linotype"/>
          <w:sz w:val="14"/>
          <w:szCs w:val="14"/>
        </w:rPr>
      </w:pPr>
    </w:p>
    <w:p w:rsidR="00A91087" w:rsidRPr="007A7615" w:rsidRDefault="008A0C95">
      <w:pPr>
        <w:ind w:left="851" w:right="567"/>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ind w:left="851" w:right="567"/>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XXIV. Información reservada:</w:t>
      </w:r>
      <w:r w:rsidRPr="007A7615">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w:t>
      </w:r>
      <w:r w:rsidRPr="007A7615">
        <w:rPr>
          <w:rFonts w:ascii="Palatino Linotype" w:eastAsia="Palatino Linotype" w:hAnsi="Palatino Linotype" w:cs="Palatino Linotype"/>
          <w:b/>
        </w:rPr>
        <w:t>la obligación de proteger los datos personales contenidos en la información en su poder</w:t>
      </w:r>
      <w:r w:rsidRPr="007A7615">
        <w:rPr>
          <w:rFonts w:ascii="Palatino Linotype" w:eastAsia="Palatino Linotype" w:hAnsi="Palatino Linotype" w:cs="Palatino Linotype"/>
        </w:rPr>
        <w:t xml:space="preserve">, así como aquella que recaiga en alguna causal de reserva que señale la Ley. De tal manera, que para el presente asunto, es dable señalar que la información respecto al costo de los radios, </w:t>
      </w:r>
      <w:r w:rsidRPr="007A7615">
        <w:rPr>
          <w:rFonts w:ascii="Palatino Linotype" w:eastAsia="Palatino Linotype" w:hAnsi="Palatino Linotype" w:cs="Palatino Linotype"/>
        </w:rPr>
        <w:lastRenderedPageBreak/>
        <w:t>marca y modelo que utilizan las patrullas municipales pueda obrar en los Contratos celebrados para la adquisición de patrullas municipales, o en su caso en los contratos que hayan sido celebrados con esa finalidad, sin embargo no debe escapar de la óptica lo referido en líneas previas, pues deberá reservarse las características técnicas que contengan los aparatos de radio telecomunicación con las que cuentan las patrullas municipales.</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lo referente a la</w:t>
      </w:r>
      <w:r w:rsidRPr="007A7615">
        <w:rPr>
          <w:rFonts w:ascii="Palatino Linotype" w:eastAsia="Palatino Linotype" w:hAnsi="Palatino Linotype" w:cs="Palatino Linotype"/>
          <w:b/>
        </w:rPr>
        <w:t xml:space="preserve"> revisión de los anexos de los contratos por parte del Órgano Interno de Control, </w:t>
      </w:r>
      <w:r w:rsidRPr="007A7615">
        <w:rPr>
          <w:rFonts w:ascii="Palatino Linotype" w:eastAsia="Palatino Linotype" w:hAnsi="Palatino Linotype" w:cs="Palatino Linotype"/>
        </w:rPr>
        <w:t xml:space="preserve">es importante referir, por cuanto hace a los Contratos celebrados para la adquisición y/o renta de bienes muebles, que la Ley de Contratación Pública del Estado de México y Municipios, dispone lo siguiente: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15.-</w:t>
      </w:r>
      <w:r w:rsidRPr="007A7615">
        <w:rPr>
          <w:rFonts w:ascii="Palatino Linotype" w:eastAsia="Palatino Linotype" w:hAnsi="Palatino Linotype" w:cs="Palatino Linotype"/>
          <w:i/>
          <w:sz w:val="22"/>
          <w:szCs w:val="22"/>
        </w:rPr>
        <w:t xml:space="preserve"> En los contratos de adquisiciones, arrendamientos y servicios, cuya ejecución rebase un ejercicio presupuestal, las dependencias, entidades, tribunales administrativos y ayuntamientos deberán determinar tanto el presupuesto total, como el relativo a los ejercicios subsecuentes, en los que además de considerar los costos que en su momento se encuentren vigentes, se deberán tomar en cuenta las previsiones necesarias para los ajustes de costos que aseguren el cumplimiento de las obligaciones contraídas.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18</w:t>
      </w:r>
      <w:r w:rsidRPr="007A7615">
        <w:rPr>
          <w:rFonts w:ascii="Palatino Linotype" w:eastAsia="Palatino Linotype" w:hAnsi="Palatino Linotype" w:cs="Palatino Linotype"/>
          <w:i/>
          <w:sz w:val="22"/>
          <w:szCs w:val="22"/>
        </w:rPr>
        <w:t xml:space="preserve">.- Los procedimientos de adquisiciones, arrendamientos y servicios, que se realicen con cargo a recursos estatales, total o parcialmente, deberán desahogarse preferentemente por conducto del COMPRAMEX, salvo en los casos en que así lo determine el comité de adquisiciones y servicios. Lo mismo aplicará a los ayuntamientos cuando se trate de actos, contratos o convenios que se celebren con cargo a recursos municipales.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65</w:t>
      </w:r>
      <w:r w:rsidRPr="007A7615">
        <w:rPr>
          <w:rFonts w:ascii="Palatino Linotype" w:eastAsia="Palatino Linotype" w:hAnsi="Palatino Linotype" w:cs="Palatino Linotype"/>
          <w:i/>
          <w:sz w:val="22"/>
          <w:szCs w:val="22"/>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68</w:t>
      </w:r>
      <w:r w:rsidRPr="007A7615">
        <w:rPr>
          <w:rFonts w:ascii="Palatino Linotype" w:eastAsia="Palatino Linotype" w:hAnsi="Palatino Linotype" w:cs="Palatino Linotype"/>
          <w:i/>
          <w:sz w:val="22"/>
          <w:szCs w:val="22"/>
        </w:rPr>
        <w:t xml:space="preserve">.- En los contratos se estipularán las diversas consecuencias de la cancelación, de la terminación anticipada o de la rescisión por causas imputables </w:t>
      </w:r>
      <w:r w:rsidRPr="007A7615">
        <w:rPr>
          <w:rFonts w:ascii="Palatino Linotype" w:eastAsia="Palatino Linotype" w:hAnsi="Palatino Linotype" w:cs="Palatino Linotype"/>
          <w:i/>
          <w:sz w:val="22"/>
          <w:szCs w:val="22"/>
        </w:rPr>
        <w:lastRenderedPageBreak/>
        <w:t xml:space="preserve">al proveedor o prestador de servicios. Los contratos contendrán los elementos que establezca el reglamento de esta Ley y se elaborarán conforme con los modelos que establezca la Secretaría o los ayuntamientos, en su caso.” </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De conformidad con lo preceptos legales en cita, podemos advertir que existen acciones que deberán ser llevadas a cabo posteriores a la celebración de Contratos Públicos, acciones que en su caso deberá realizar el ente gubernamental y/o el proveedor para la debida aplicación de la ley en la materia. </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Dicho lo anterior, respecto a las acciones que habrán de llevarse a cabo por ambas partes en la celebración de contratos públicos, tenemos como Órgano de vigilancia el área de la Contraloría Interna Municipal del Ayuntamiento de Atizapán, la cual de conformidad con la Ley Orgánica Municipal, cuenta con la siguiente atribución:</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112.</w:t>
      </w:r>
      <w:r w:rsidRPr="007A7615">
        <w:rPr>
          <w:rFonts w:ascii="Palatino Linotype" w:eastAsia="Palatino Linotype" w:hAnsi="Palatino Linotype" w:cs="Palatino Linotype"/>
          <w:i/>
          <w:sz w:val="22"/>
          <w:szCs w:val="22"/>
        </w:rPr>
        <w:t xml:space="preserve"> El órgano interno de control municipal tendrá a su cargo las funciones siguientes:</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u w:val="single"/>
        </w:rPr>
      </w:pPr>
      <w:r w:rsidRPr="007A7615">
        <w:rPr>
          <w:rFonts w:ascii="Palatino Linotype" w:eastAsia="Palatino Linotype" w:hAnsi="Palatino Linotype" w:cs="Palatino Linotype"/>
          <w:b/>
          <w:i/>
          <w:sz w:val="22"/>
          <w:szCs w:val="22"/>
          <w:u w:val="single"/>
        </w:rPr>
        <w:t xml:space="preserve">VII. Vigilar el cumplimiento de las obligaciones de proveedores y contratistas de la administración pública municipal;” </w:t>
      </w:r>
      <w:r w:rsidRPr="007A7615">
        <w:rPr>
          <w:rFonts w:ascii="Palatino Linotype" w:eastAsia="Palatino Linotype" w:hAnsi="Palatino Linotype" w:cs="Palatino Linotype"/>
          <w:i/>
          <w:sz w:val="22"/>
          <w:szCs w:val="22"/>
        </w:rPr>
        <w:t>(Énfasis añadido)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Siendo procedente ordenar la entrega del soporte documental que </w:t>
      </w:r>
      <w:proofErr w:type="spellStart"/>
      <w:r w:rsidRPr="007A7615">
        <w:rPr>
          <w:rFonts w:ascii="Palatino Linotype" w:eastAsia="Palatino Linotype" w:hAnsi="Palatino Linotype" w:cs="Palatino Linotype"/>
        </w:rPr>
        <w:t>de</w:t>
      </w:r>
      <w:proofErr w:type="spellEnd"/>
      <w:r w:rsidRPr="007A7615">
        <w:rPr>
          <w:rFonts w:ascii="Palatino Linotype" w:eastAsia="Palatino Linotype" w:hAnsi="Palatino Linotype" w:cs="Palatino Linotype"/>
        </w:rPr>
        <w:t xml:space="preserve"> cuenta de las revisiones de los anexos de los contratos relacionados con la adquisición de patrullas municipales por parte del Órgano Interno de Control, del uno de enero de dos mil dieciocho al trece de abril de dos mil veintitrés, previa búsqueda exhaustiva y razonable en el área competente.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cuanto hace a la </w:t>
      </w:r>
      <w:r w:rsidRPr="007A7615">
        <w:rPr>
          <w:rFonts w:ascii="Palatino Linotype" w:eastAsia="Palatino Linotype" w:hAnsi="Palatino Linotype" w:cs="Palatino Linotype"/>
          <w:b/>
        </w:rPr>
        <w:t>tarjeta de circulación</w:t>
      </w:r>
      <w:r w:rsidRPr="007A7615">
        <w:rPr>
          <w:rFonts w:ascii="Palatino Linotype" w:eastAsia="Palatino Linotype" w:hAnsi="Palatino Linotype" w:cs="Palatino Linotype"/>
        </w:rPr>
        <w:t xml:space="preserve"> de las patrullas municipales, se menciona que el tránsito de vehículos, de conformidad con el artículo 8.11 del Código Administrativo del Estado de México, se condiciona al cumplimiento de los siguientes requisitos:</w:t>
      </w:r>
    </w:p>
    <w:p w:rsidR="00A91087" w:rsidRPr="007A7615" w:rsidRDefault="008A0C95">
      <w:pPr>
        <w:spacing w:before="240" w:after="24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b/>
        </w:rPr>
        <w:lastRenderedPageBreak/>
        <w:t>I</w:t>
      </w: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rPr>
        <w:t>Que estén matriculados o registrados en la República Mexicana o el extranjero</w:t>
      </w:r>
      <w:r w:rsidRPr="007A7615">
        <w:rPr>
          <w:rFonts w:ascii="Palatino Linotype" w:eastAsia="Palatino Linotype" w:hAnsi="Palatino Linotype" w:cs="Palatino Linotype"/>
        </w:rPr>
        <w:t xml:space="preserve">; </w:t>
      </w:r>
    </w:p>
    <w:p w:rsidR="00A91087" w:rsidRPr="007A7615" w:rsidRDefault="008A0C95">
      <w:pPr>
        <w:spacing w:before="240" w:after="24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b/>
        </w:rPr>
        <w:t>II</w:t>
      </w:r>
      <w:r w:rsidRPr="007A7615">
        <w:rPr>
          <w:rFonts w:ascii="Palatino Linotype" w:eastAsia="Palatino Linotype" w:hAnsi="Palatino Linotype" w:cs="Palatino Linotype"/>
        </w:rPr>
        <w:t xml:space="preserve">. Que reúnan las especificaciones de seguridad y salubridad exigidas por las leyes y reglamentos; </w:t>
      </w:r>
    </w:p>
    <w:p w:rsidR="00A91087" w:rsidRPr="007A7615" w:rsidRDefault="008A0C95">
      <w:pPr>
        <w:spacing w:before="240" w:after="24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b/>
        </w:rPr>
        <w:t>III</w:t>
      </w:r>
      <w:r w:rsidRPr="007A7615">
        <w:rPr>
          <w:rFonts w:ascii="Palatino Linotype" w:eastAsia="Palatino Linotype" w:hAnsi="Palatino Linotype" w:cs="Palatino Linotype"/>
        </w:rPr>
        <w:t xml:space="preserve">. Que tengan el equipo y accesorios necesarios que señalen las normas correspondientes, de acuerdo con el tipo de vehículo de que se trate y el destino de su operación o fin; </w:t>
      </w:r>
    </w:p>
    <w:p w:rsidR="00A91087" w:rsidRPr="007A7615" w:rsidRDefault="008A0C95">
      <w:pPr>
        <w:spacing w:before="240" w:after="24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b/>
        </w:rPr>
        <w:t>IV</w:t>
      </w:r>
      <w:r w:rsidRPr="007A7615">
        <w:rPr>
          <w:rFonts w:ascii="Palatino Linotype" w:eastAsia="Palatino Linotype" w:hAnsi="Palatino Linotype" w:cs="Palatino Linotype"/>
        </w:rPr>
        <w:t xml:space="preserve">. </w:t>
      </w:r>
      <w:r w:rsidRPr="007A7615">
        <w:rPr>
          <w:rFonts w:ascii="Palatino Linotype" w:eastAsia="Palatino Linotype" w:hAnsi="Palatino Linotype" w:cs="Palatino Linotype"/>
          <w:b/>
        </w:rPr>
        <w:t>Que estén provistos de placas de matriculación o permisos vigentes</w:t>
      </w:r>
      <w:r w:rsidRPr="007A7615">
        <w:rPr>
          <w:rFonts w:ascii="Palatino Linotype" w:eastAsia="Palatino Linotype" w:hAnsi="Palatino Linotype" w:cs="Palatino Linotype"/>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este tenor, la matriculación de vehículos en el Registro Estatal de Vehículos se realiza a través del trámite </w:t>
      </w:r>
      <w:r w:rsidRPr="007A7615">
        <w:rPr>
          <w:rFonts w:ascii="Palatino Linotype" w:eastAsia="Palatino Linotype" w:hAnsi="Palatino Linotype" w:cs="Palatino Linotype"/>
          <w:i/>
        </w:rPr>
        <w:t>Alta de vehículos nuevos</w:t>
      </w:r>
      <w:r w:rsidRPr="007A7615">
        <w:rPr>
          <w:rFonts w:ascii="Palatino Linotype" w:eastAsia="Palatino Linotype" w:hAnsi="Palatino Linotype" w:cs="Palatino Linotype"/>
        </w:rPr>
        <w:t xml:space="preserve">, a cargo de la  Secretaría de Finanzas a través de los Centros de Servicios Fiscales de la Dirección General de Recaudación, mismo que permite a los  propietarios de vehículos nuevos nacionales e importados definitivamente de servicio particular, obtener: </w:t>
      </w:r>
    </w:p>
    <w:p w:rsidR="00A91087" w:rsidRPr="007A7615" w:rsidRDefault="008A0C95">
      <w:pPr>
        <w:spacing w:before="240" w:after="24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1) Placa(s) </w:t>
      </w:r>
    </w:p>
    <w:p w:rsidR="00A91087" w:rsidRPr="007A7615" w:rsidRDefault="008A0C95">
      <w:pPr>
        <w:spacing w:before="240" w:after="240" w:line="360" w:lineRule="auto"/>
        <w:ind w:left="284"/>
        <w:jc w:val="both"/>
        <w:rPr>
          <w:rFonts w:ascii="Palatino Linotype" w:eastAsia="Palatino Linotype" w:hAnsi="Palatino Linotype" w:cs="Palatino Linotype"/>
          <w:b/>
        </w:rPr>
      </w:pPr>
      <w:r w:rsidRPr="007A7615">
        <w:rPr>
          <w:rFonts w:ascii="Palatino Linotype" w:eastAsia="Palatino Linotype" w:hAnsi="Palatino Linotype" w:cs="Palatino Linotype"/>
          <w:b/>
        </w:rPr>
        <w:t xml:space="preserve">2) Tarjeta Circulación </w:t>
      </w:r>
    </w:p>
    <w:p w:rsidR="00A91087" w:rsidRPr="007A7615" w:rsidRDefault="008A0C95">
      <w:pPr>
        <w:spacing w:before="240" w:after="240" w:line="360" w:lineRule="auto"/>
        <w:ind w:left="284"/>
        <w:jc w:val="both"/>
        <w:rPr>
          <w:rFonts w:ascii="Palatino Linotype" w:eastAsia="Palatino Linotype" w:hAnsi="Palatino Linotype" w:cs="Palatino Linotype"/>
        </w:rPr>
      </w:pPr>
      <w:r w:rsidRPr="007A7615">
        <w:rPr>
          <w:rFonts w:ascii="Palatino Linotype" w:eastAsia="Palatino Linotype" w:hAnsi="Palatino Linotype" w:cs="Palatino Linotype"/>
        </w:rPr>
        <w:t>3) En su caso, calcomanía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Los requisitos para Personas físicas, Personas jurídico colectivas o Instituciones públicas, se encuentran establecidos en el Registro Estatal de Trámites y Servicios del Gobierno del Estado de México, a saber:</w:t>
      </w:r>
    </w:p>
    <w:p w:rsidR="00A91087" w:rsidRPr="007A7615" w:rsidRDefault="008A0C95">
      <w:pPr>
        <w:spacing w:before="240" w:after="240" w:line="360" w:lineRule="auto"/>
        <w:jc w:val="center"/>
        <w:rPr>
          <w:rFonts w:ascii="Palatino Linotype" w:eastAsia="Palatino Linotype" w:hAnsi="Palatino Linotype" w:cs="Palatino Linotype"/>
        </w:rPr>
      </w:pPr>
      <w:r w:rsidRPr="007A7615">
        <w:rPr>
          <w:noProof/>
        </w:rPr>
        <w:lastRenderedPageBreak/>
        <w:drawing>
          <wp:inline distT="0" distB="0" distL="0" distR="0">
            <wp:extent cx="5136515" cy="4641011"/>
            <wp:effectExtent l="0" t="0" r="0" b="0"/>
            <wp:docPr id="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b="39866"/>
                    <a:stretch>
                      <a:fillRect/>
                    </a:stretch>
                  </pic:blipFill>
                  <pic:spPr>
                    <a:xfrm>
                      <a:off x="0" y="0"/>
                      <a:ext cx="5136515" cy="4641011"/>
                    </a:xfrm>
                    <a:prstGeom prst="rect">
                      <a:avLst/>
                    </a:prstGeom>
                    <a:ln/>
                  </pic:spPr>
                </pic:pic>
              </a:graphicData>
            </a:graphic>
          </wp:inline>
        </w:drawing>
      </w:r>
    </w:p>
    <w:p w:rsidR="00A91087" w:rsidRPr="007A7615" w:rsidRDefault="008A0C95">
      <w:pPr>
        <w:spacing w:before="240" w:after="240" w:line="360" w:lineRule="auto"/>
        <w:jc w:val="center"/>
        <w:rPr>
          <w:rFonts w:ascii="Palatino Linotype" w:eastAsia="Palatino Linotype" w:hAnsi="Palatino Linotype" w:cs="Palatino Linotype"/>
        </w:rPr>
      </w:pPr>
      <w:r w:rsidRPr="007A7615">
        <w:rPr>
          <w:noProof/>
        </w:rPr>
        <w:lastRenderedPageBreak/>
        <w:drawing>
          <wp:inline distT="0" distB="0" distL="0" distR="0">
            <wp:extent cx="5136515" cy="3114160"/>
            <wp:effectExtent l="0" t="0" r="0" b="0"/>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t="59650"/>
                    <a:stretch>
                      <a:fillRect/>
                    </a:stretch>
                  </pic:blipFill>
                  <pic:spPr>
                    <a:xfrm>
                      <a:off x="0" y="0"/>
                      <a:ext cx="5136515" cy="3114160"/>
                    </a:xfrm>
                    <a:prstGeom prst="rect">
                      <a:avLst/>
                    </a:prstGeom>
                    <a:ln/>
                  </pic:spPr>
                </pic:pic>
              </a:graphicData>
            </a:graphic>
          </wp:inline>
        </w:drawing>
      </w:r>
      <w:r w:rsidRPr="007A7615">
        <w:rPr>
          <w:noProof/>
        </w:rPr>
        <mc:AlternateContent>
          <mc:Choice Requires="wpg">
            <w:drawing>
              <wp:anchor distT="0" distB="0" distL="114300" distR="114300" simplePos="0" relativeHeight="251662336" behindDoc="0" locked="0" layoutInCell="1" hidden="0" allowOverlap="1">
                <wp:simplePos x="0" y="0"/>
                <wp:positionH relativeFrom="column">
                  <wp:posOffset>127000</wp:posOffset>
                </wp:positionH>
                <wp:positionV relativeFrom="paragraph">
                  <wp:posOffset>-25399</wp:posOffset>
                </wp:positionV>
                <wp:extent cx="5324475" cy="876300"/>
                <wp:effectExtent l="0" t="0" r="0" b="0"/>
                <wp:wrapNone/>
                <wp:docPr id="33" name="Rectángulo 33"/>
                <wp:cNvGraphicFramePr/>
                <a:graphic xmlns:a="http://schemas.openxmlformats.org/drawingml/2006/main">
                  <a:graphicData uri="http://schemas.microsoft.com/office/word/2010/wordprocessingShape">
                    <wps:wsp>
                      <wps:cNvSpPr/>
                      <wps:spPr>
                        <a:xfrm>
                          <a:off x="2698050" y="3356138"/>
                          <a:ext cx="5295900" cy="847725"/>
                        </a:xfrm>
                        <a:prstGeom prst="rect">
                          <a:avLst/>
                        </a:prstGeom>
                        <a:noFill/>
                        <a:ln w="28575" cap="flat" cmpd="sng">
                          <a:solidFill>
                            <a:srgbClr val="C00000"/>
                          </a:solidFill>
                          <a:prstDash val="solid"/>
                          <a:round/>
                          <a:headEnd type="none" w="sm" len="sm"/>
                          <a:tailEnd type="none" w="sm" len="sm"/>
                        </a:ln>
                      </wps:spPr>
                      <wps:txbx>
                        <w:txbxContent>
                          <w:p w:rsidR="00A91087" w:rsidRDefault="00A9108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-25399</wp:posOffset>
                </wp:positionV>
                <wp:extent cx="5324475" cy="876300"/>
                <wp:effectExtent b="0" l="0" r="0" t="0"/>
                <wp:wrapNone/>
                <wp:docPr id="33"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5324475" cy="876300"/>
                        </a:xfrm>
                        <a:prstGeom prst="rect"/>
                        <a:ln/>
                      </pic:spPr>
                    </pic:pic>
                  </a:graphicData>
                </a:graphic>
              </wp:anchor>
            </w:drawing>
          </mc:Fallback>
        </mc:AlternateConten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otro lado, se menciona que el Programa de </w:t>
      </w:r>
      <w:r w:rsidRPr="007A7615">
        <w:rPr>
          <w:rFonts w:ascii="Palatino Linotype" w:eastAsia="Palatino Linotype" w:hAnsi="Palatino Linotype" w:cs="Palatino Linotype"/>
          <w:b/>
        </w:rPr>
        <w:t>Verificación</w:t>
      </w:r>
      <w:r w:rsidRPr="007A7615">
        <w:rPr>
          <w:rFonts w:ascii="Palatino Linotype" w:eastAsia="Palatino Linotype" w:hAnsi="Palatino Linotype" w:cs="Palatino Linotype"/>
        </w:rPr>
        <w:t xml:space="preserve"> Vehicular, tiene como objetivo evaluar los niveles de emisiones contaminantes provenientes del escape de los vehículos automotores en circulación que usan gasolina, gas, diésel o cualquier otro combustible alterno que cuenten con placas del Estado de México o que circulen en la entidad, conforme a lo establecido en las Normas Oficiales Mexicanas, Normas Técnicas Estatales Ambientales y la normatividad ambiental aplicable en materia de verificación vehicular. Así como establecer los mecanismos que coadyuven en la prevención, control y disminución de emisiones contaminantes a la atmósfera.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De manera que los usuarios con automóviles matriculados en el Estado de México están obligados a cumplir con lo dispuesto en el Programa de Verificación Vehicular Obligatorio, mismo que se emite cada semestre por la Secretaría de Medio Ambiente, conforme al siguiente calendario: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noProof/>
        </w:rPr>
        <w:lastRenderedPageBreak/>
        <w:drawing>
          <wp:inline distT="0" distB="0" distL="0" distR="0">
            <wp:extent cx="5612130" cy="1470660"/>
            <wp:effectExtent l="0" t="0" r="0" b="0"/>
            <wp:docPr id="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612130" cy="1470660"/>
                    </a:xfrm>
                    <a:prstGeom prst="rect">
                      <a:avLst/>
                    </a:prstGeom>
                    <a:ln/>
                  </pic:spPr>
                </pic:pic>
              </a:graphicData>
            </a:graphic>
          </wp:inline>
        </w:drawing>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Siendo importante mencionar que, para realizar la verificación vehicular, los usuarios deben presentar, entre otros requisitos, tarjeta de circulación vigente, en consecuencia, se estima dable ordenar la entrega de la tarta de circulación vigente así como la última verificación vehicular de las patrullas adquiridas del uno de enero de dos mil dieciocho al trece de abril de dos mil veintitrés, conforme al considerando siguiente.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otra parte, respecto a la </w:t>
      </w:r>
      <w:r w:rsidRPr="007A7615">
        <w:rPr>
          <w:rFonts w:ascii="Palatino Linotype" w:eastAsia="Palatino Linotype" w:hAnsi="Palatino Linotype" w:cs="Palatino Linotype"/>
          <w:b/>
        </w:rPr>
        <w:t>tenencia</w:t>
      </w:r>
      <w:r w:rsidRPr="007A7615">
        <w:rPr>
          <w:rFonts w:ascii="Palatino Linotype" w:eastAsia="Palatino Linotype" w:hAnsi="Palatino Linotype" w:cs="Palatino Linotype"/>
        </w:rPr>
        <w:t xml:space="preserve">, es imprescindible mencionar que la fracción V, del artículo 60-D del Código Financiero del Estado de México, señala que </w:t>
      </w:r>
      <w:r w:rsidRPr="007A7615">
        <w:rPr>
          <w:rFonts w:ascii="Palatino Linotype" w:eastAsia="Palatino Linotype" w:hAnsi="Palatino Linotype" w:cs="Palatino Linotype"/>
          <w:b/>
        </w:rPr>
        <w:t xml:space="preserve">los vehículos utilizados en la prestación de servicios públicos de patrullas, </w:t>
      </w:r>
      <w:r w:rsidRPr="007A7615">
        <w:rPr>
          <w:rFonts w:ascii="Palatino Linotype" w:eastAsia="Palatino Linotype" w:hAnsi="Palatino Linotype" w:cs="Palatino Linotype"/>
          <w:b/>
          <w:u w:val="single"/>
        </w:rPr>
        <w:t>se encuentran exentos de pago de tenencia</w:t>
      </w:r>
      <w:r w:rsidRPr="007A7615">
        <w:rPr>
          <w:rFonts w:ascii="Palatino Linotype" w:eastAsia="Palatino Linotype" w:hAnsi="Palatino Linotype" w:cs="Palatino Linotype"/>
          <w:b/>
        </w:rPr>
        <w:t>,</w:t>
      </w:r>
      <w:r w:rsidRPr="007A7615">
        <w:rPr>
          <w:rFonts w:ascii="Palatino Linotype" w:eastAsia="Palatino Linotype" w:hAnsi="Palatino Linotype" w:cs="Palatino Linotype"/>
        </w:rPr>
        <w:t xml:space="preserve"> como a continuación se lee:</w:t>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i/>
        </w:rPr>
        <w:t xml:space="preserve"> </w:t>
      </w: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60 D.-</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No se causará el impuesto</w:t>
      </w:r>
      <w:r w:rsidRPr="007A7615">
        <w:rPr>
          <w:rFonts w:ascii="Palatino Linotype" w:eastAsia="Palatino Linotype" w:hAnsi="Palatino Linotype" w:cs="Palatino Linotype"/>
          <w:i/>
          <w:sz w:val="22"/>
          <w:szCs w:val="22"/>
        </w:rPr>
        <w:t xml:space="preserve"> a que se refiere esta Sección, </w:t>
      </w:r>
      <w:r w:rsidRPr="007A7615">
        <w:rPr>
          <w:rFonts w:ascii="Palatino Linotype" w:eastAsia="Palatino Linotype" w:hAnsi="Palatino Linotype" w:cs="Palatino Linotype"/>
          <w:b/>
          <w:i/>
          <w:sz w:val="22"/>
          <w:szCs w:val="22"/>
        </w:rPr>
        <w:t>por la tenencia o uso de los siguientes vehículos: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Los vehículos</w:t>
      </w:r>
      <w:r w:rsidRPr="007A7615">
        <w:rPr>
          <w:rFonts w:ascii="Palatino Linotype" w:eastAsia="Palatino Linotype" w:hAnsi="Palatino Linotype" w:cs="Palatino Linotype"/>
          <w:i/>
          <w:sz w:val="22"/>
          <w:szCs w:val="22"/>
        </w:rPr>
        <w:t xml:space="preserve"> de la Federación, del Estado, municipios, sus organismos descentralizados y organismos autónomos, </w:t>
      </w:r>
      <w:r w:rsidRPr="007A7615">
        <w:rPr>
          <w:rFonts w:ascii="Palatino Linotype" w:eastAsia="Palatino Linotype" w:hAnsi="Palatino Linotype" w:cs="Palatino Linotype"/>
          <w:b/>
          <w:i/>
          <w:sz w:val="22"/>
          <w:szCs w:val="22"/>
        </w:rPr>
        <w:t xml:space="preserve">que </w:t>
      </w:r>
      <w:r w:rsidRPr="007A7615">
        <w:rPr>
          <w:rFonts w:ascii="Palatino Linotype" w:eastAsia="Palatino Linotype" w:hAnsi="Palatino Linotype" w:cs="Palatino Linotype"/>
          <w:b/>
          <w:i/>
          <w:sz w:val="22"/>
          <w:szCs w:val="22"/>
          <w:u w:val="single"/>
        </w:rPr>
        <w:t>sean utilizados para la prestación de los servicios públicos</w:t>
      </w:r>
      <w:r w:rsidRPr="007A7615">
        <w:rPr>
          <w:rFonts w:ascii="Palatino Linotype" w:eastAsia="Palatino Linotype" w:hAnsi="Palatino Linotype" w:cs="Palatino Linotype"/>
          <w:b/>
          <w:i/>
          <w:sz w:val="22"/>
          <w:szCs w:val="22"/>
        </w:rPr>
        <w:t xml:space="preserve"> </w:t>
      </w:r>
      <w:r w:rsidRPr="007A7615">
        <w:rPr>
          <w:rFonts w:ascii="Palatino Linotype" w:eastAsia="Palatino Linotype" w:hAnsi="Palatino Linotype" w:cs="Palatino Linotype"/>
          <w:i/>
          <w:sz w:val="22"/>
          <w:szCs w:val="22"/>
        </w:rPr>
        <w:t xml:space="preserve">de rescate, </w:t>
      </w:r>
      <w:r w:rsidRPr="007A7615">
        <w:rPr>
          <w:rFonts w:ascii="Palatino Linotype" w:eastAsia="Palatino Linotype" w:hAnsi="Palatino Linotype" w:cs="Palatino Linotype"/>
          <w:b/>
          <w:i/>
          <w:sz w:val="22"/>
          <w:szCs w:val="22"/>
        </w:rPr>
        <w:t>patrullas</w:t>
      </w:r>
      <w:r w:rsidRPr="007A7615">
        <w:rPr>
          <w:rFonts w:ascii="Palatino Linotype" w:eastAsia="Palatino Linotype" w:hAnsi="Palatino Linotype" w:cs="Palatino Linotype"/>
          <w:i/>
          <w:sz w:val="22"/>
          <w:szCs w:val="22"/>
        </w:rPr>
        <w:t>, transportes de limpia, pipas de agua o servicios funerarios; las ambulancias dependientes de esas entidades o de instituciones de beneficencia autorizadas por las leyes de la materia, y los vehículos destinados a los cuerpos de bomberos;</w:t>
      </w:r>
    </w:p>
    <w:p w:rsidR="00A91087" w:rsidRPr="007A7615" w:rsidRDefault="008A0C95">
      <w:pPr>
        <w:spacing w:before="120" w:after="120"/>
        <w:ind w:left="1134"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w:t>
      </w:r>
      <w:r w:rsidRPr="007A7615">
        <w:rPr>
          <w:rFonts w:ascii="Palatino Linotype" w:eastAsia="Palatino Linotype" w:hAnsi="Palatino Linotype" w:cs="Palatino Linotype"/>
          <w:i/>
          <w:sz w:val="22"/>
          <w:szCs w:val="22"/>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En ese sentido, toda vez que no se advirtió fuente obligacional que constriña al </w:t>
      </w:r>
      <w:r w:rsidRPr="007A7615">
        <w:rPr>
          <w:rFonts w:ascii="Palatino Linotype" w:eastAsia="Palatino Linotype" w:hAnsi="Palatino Linotype" w:cs="Palatino Linotype"/>
          <w:b/>
        </w:rPr>
        <w:t xml:space="preserve">Sujeto Obligado </w:t>
      </w:r>
      <w:r w:rsidRPr="007A7615">
        <w:rPr>
          <w:rFonts w:ascii="Palatino Linotype" w:eastAsia="Palatino Linotype" w:hAnsi="Palatino Linotype" w:cs="Palatino Linotype"/>
        </w:rPr>
        <w:t>a contar con documentos relativos al pago de tenencia de las patrullas municipales de su propiedad, no es procedente la entrega de información alguna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A7615">
        <w:rPr>
          <w:rFonts w:ascii="Palatino Linotype" w:eastAsia="Palatino Linotype" w:hAnsi="Palatino Linotype" w:cs="Palatino Linotype"/>
          <w:i/>
        </w:rPr>
        <w:t xml:space="preserve"> contrario sensu</w:t>
      </w:r>
      <w:r w:rsidRPr="007A7615">
        <w:rPr>
          <w:rFonts w:ascii="Palatino Linotype" w:eastAsia="Palatino Linotype" w:hAnsi="Palatino Linotype" w:cs="Palatino Linotype"/>
        </w:rPr>
        <w:t xml:space="preserve"> significa que no se está obligado a proporcionar lo que no obre en sus archivos.</w:t>
      </w:r>
    </w:p>
    <w:p w:rsidR="00A91087" w:rsidRPr="007A7615" w:rsidRDefault="008A0C95">
      <w:pPr>
        <w:spacing w:before="240" w:after="360" w:line="360" w:lineRule="auto"/>
        <w:ind w:right="18"/>
        <w:jc w:val="both"/>
        <w:rPr>
          <w:rFonts w:ascii="Palatino Linotype" w:eastAsia="Palatino Linotype" w:hAnsi="Palatino Linotype" w:cs="Palatino Linotype"/>
        </w:rPr>
      </w:pPr>
      <w:r w:rsidRPr="007A7615">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rsidR="00A91087" w:rsidRPr="007A7615" w:rsidRDefault="008A0C95">
      <w:pPr>
        <w:spacing w:line="360" w:lineRule="auto"/>
        <w:jc w:val="both"/>
        <w:rPr>
          <w:rFonts w:ascii="Palatino Linotype" w:eastAsia="Palatino Linotype" w:hAnsi="Palatino Linotype" w:cs="Palatino Linotype"/>
        </w:rPr>
      </w:pPr>
      <w:bookmarkStart w:id="8" w:name="_heading=h.17dp8vu" w:colFirst="0" w:colLast="0"/>
      <w:bookmarkEnd w:id="8"/>
      <w:r w:rsidRPr="007A7615">
        <w:rPr>
          <w:rFonts w:ascii="Palatino Linotype" w:eastAsia="Palatino Linotype" w:hAnsi="Palatino Linotype" w:cs="Palatino Linotype"/>
        </w:rPr>
        <w:t xml:space="preserve">En conclusión, a fin de salvaguardar el derecho de acceso a la información pública de la persona solicitante, se estima dable ordenar al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previa búsqueda exhaustiva y razonable en las áreas competentes para generar, administrar o poseer  la información solicitada, haga entrega en versión pública, de lo siguiente:</w:t>
      </w:r>
    </w:p>
    <w:p w:rsidR="00A91087" w:rsidRPr="007A7615" w:rsidRDefault="008A0C9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de conformidad con el contrato remitido en respuesta: estudios de mercado; Acta del Comité o Subcomité de Adquisiciones y Servicios; acta de la junta de aclaraciones; revisión de anexos de los contratos por parte del Órgano Interno de Control; así como la tarjeta </w:t>
      </w:r>
      <w:r w:rsidRPr="007A7615">
        <w:rPr>
          <w:rFonts w:ascii="Palatino Linotype" w:eastAsia="Palatino Linotype" w:hAnsi="Palatino Linotype" w:cs="Palatino Linotype"/>
        </w:rPr>
        <w:lastRenderedPageBreak/>
        <w:t xml:space="preserve">de circulación vigente al trece de abril de dos mil veintitrés y la última verificación vehicular realizada al trece de abril de dos mil veintitrés. </w:t>
      </w:r>
    </w:p>
    <w:p w:rsidR="00A91087" w:rsidRPr="007A7615" w:rsidRDefault="008A0C95">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7A7615">
        <w:rPr>
          <w:rFonts w:ascii="Palatino Linotype" w:eastAsia="Palatino Linotype" w:hAnsi="Palatino Linotype" w:cs="Palatino Linotype"/>
        </w:rPr>
        <w:t>Siendo de suma importancia mencionar que el Director de Seguridad Pública señaló que dicho vehículo no cuenta con equipo de radiocomunicación, ni tampoco se desprende la existencia de dicha información del contrato remitido, por lo que no es procedente la entrega del costo de los radios, marca y modelo que utiliza dicho vehículo.</w:t>
      </w:r>
    </w:p>
    <w:p w:rsidR="00A91087" w:rsidRPr="007A7615" w:rsidRDefault="008A0C9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De las patrullas municipales adquiridas del primero de enero de dos mil dieciocho al trece de abril de dos mil veintitrés: copia del contrato que refiera el costo de los radios, marca y modelo que utilizan, estudios de mercado; Acta del Comité o Subcomité de Adquisiciones y Servicios; Acta de la junta de aclaraciones; revisión de anexos de los contratos por parte del Órgano Interno de Control; tarjeta de circulación vigente al trece de abril de dos mil veintitrés y la última verificación vehicular realizada al trece de abril de dos mil veintitrés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Sin contrariar lo anterior, para el caso de que derivado de la búsqueda que se ordena no se llegara a localizar información relacionada con los estudios de mercado, el acta de la junta de aclaraciones, así como la revisión de anexos del contrato de adquisición del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20212021 por parte del Órgano Interno de Control, así como información relacionada con la compra de patrullas, adicionales a la ya reportada, por no haberse generado, bastará con que así se haga del conocimiento de la persona solicitante para tener por colmado su derecho de acceso a la información, en términos de lo dispuesto por el artículo 19, párrafo </w:t>
      </w:r>
      <w:r w:rsidRPr="007A7615">
        <w:rPr>
          <w:rFonts w:ascii="Palatino Linotype" w:eastAsia="Palatino Linotype" w:hAnsi="Palatino Linotype" w:cs="Palatino Linotype"/>
        </w:rPr>
        <w:lastRenderedPageBreak/>
        <w:t>segundo de la Ley de Transparencia y Acceso a la Información Pública del Estado de México y Municipios, a saber:</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19</w:t>
      </w:r>
      <w:r w:rsidRPr="007A7615">
        <w:rPr>
          <w:rFonts w:ascii="Palatino Linotype" w:eastAsia="Palatino Linotype" w:hAnsi="Palatino Linotype" w:cs="Palatino Linotype"/>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A91087" w:rsidRPr="007A7615" w:rsidRDefault="008A0C95">
      <w:pPr>
        <w:spacing w:before="240" w:after="240" w:line="360" w:lineRule="auto"/>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7A7615">
        <w:rPr>
          <w:rFonts w:ascii="Palatino Linotype" w:eastAsia="Palatino Linotype" w:hAnsi="Palatino Linotype" w:cs="Palatino Linotype"/>
          <w:vertAlign w:val="superscript"/>
        </w:rPr>
        <w:footnoteReference w:id="6"/>
      </w:r>
      <w:r w:rsidRPr="007A7615">
        <w:rPr>
          <w:rFonts w:ascii="Palatino Linotype" w:eastAsia="Palatino Linotype" w:hAnsi="Palatino Linotype" w:cs="Palatino Linotype"/>
        </w:rPr>
        <w:t xml:space="preserve"> de la Ley de Transparencia y Acceso a la Información Pública del Estado de México y Municipios.</w:t>
      </w:r>
    </w:p>
    <w:p w:rsidR="00A91087" w:rsidRPr="007A7615" w:rsidRDefault="008A0C95">
      <w:pP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 xml:space="preserve">Quinto. Versión Pública. </w:t>
      </w:r>
      <w:r w:rsidRPr="007A7615">
        <w:rPr>
          <w:rFonts w:ascii="Palatino Linotype" w:eastAsia="Palatino Linotype" w:hAnsi="Palatino Linotype" w:cs="Palatino Linotype"/>
        </w:rPr>
        <w:t xml:space="preserve">Finalmente para la entrega de los soportes documentales que deberá proporcionar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A91087" w:rsidRPr="007A7615" w:rsidRDefault="008A0C95">
      <w:pPr>
        <w:spacing w:before="240" w:after="240" w:line="360" w:lineRule="auto"/>
        <w:ind w:right="50"/>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Lo anterior, de conformidad a lo que señalan los artículos 3 fracciones IX, XX, XXI y XLV, 91, 132 fracciones II y III, y 143 de la Ley de Transparencia y Acceso a la Información Pública del Estado de México y Municipios que establecen:</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3</w:t>
      </w:r>
      <w:r w:rsidRPr="007A7615">
        <w:rPr>
          <w:rFonts w:ascii="Palatino Linotype" w:eastAsia="Palatino Linotype" w:hAnsi="Palatino Linotype" w:cs="Palatino Linotype"/>
          <w:i/>
          <w:sz w:val="22"/>
          <w:szCs w:val="22"/>
        </w:rPr>
        <w:t>. Para los efectos de la presente Ley se entenderá por:</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IX. Datos personales:</w:t>
      </w:r>
      <w:r w:rsidRPr="007A761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XX. Información clasificada</w:t>
      </w:r>
      <w:r w:rsidRPr="007A7615">
        <w:rPr>
          <w:rFonts w:ascii="Palatino Linotype" w:eastAsia="Palatino Linotype" w:hAnsi="Palatino Linotype" w:cs="Palatino Linotype"/>
          <w:i/>
          <w:sz w:val="22"/>
          <w:szCs w:val="22"/>
        </w:rPr>
        <w:t>: Aquella considerada por la presente Ley como reservada o confidencial;</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XXI. Información confidencial:</w:t>
      </w:r>
      <w:r w:rsidRPr="007A761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XLV. Versión pública:</w:t>
      </w:r>
      <w:r w:rsidRPr="007A761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Artículo 91. </w:t>
      </w:r>
      <w:r w:rsidRPr="007A761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Artículo 132. </w:t>
      </w:r>
      <w:r w:rsidRPr="007A7615">
        <w:rPr>
          <w:rFonts w:ascii="Palatino Linotype" w:eastAsia="Palatino Linotype" w:hAnsi="Palatino Linotype" w:cs="Palatino Linotype"/>
          <w:i/>
          <w:sz w:val="22"/>
          <w:szCs w:val="22"/>
        </w:rPr>
        <w:t>La clasificación de la información se llevará a cabo en el momento en que:</w:t>
      </w:r>
    </w:p>
    <w:p w:rsidR="00A91087" w:rsidRPr="007A7615" w:rsidRDefault="008A0C95">
      <w:pPr>
        <w:tabs>
          <w:tab w:val="left" w:pos="1134"/>
        </w:tabs>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Se reciba una solicitud de acceso a la información;</w:t>
      </w:r>
    </w:p>
    <w:p w:rsidR="00A91087" w:rsidRPr="007A7615" w:rsidRDefault="008A0C95">
      <w:pPr>
        <w:tabs>
          <w:tab w:val="left" w:pos="1134"/>
        </w:tabs>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Se determine mediante resolución de autoridad competente; o</w:t>
      </w:r>
    </w:p>
    <w:p w:rsidR="00A91087" w:rsidRPr="007A7615" w:rsidRDefault="008A0C95">
      <w:pPr>
        <w:tabs>
          <w:tab w:val="left" w:pos="1134"/>
        </w:tabs>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Se generen versiones públicas para dar cumplimiento a las obligaciones de transparencia previstas en esta Ley.</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Artículo 143</w:t>
      </w:r>
      <w:r w:rsidRPr="007A761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7A7615">
        <w:rPr>
          <w:rFonts w:ascii="Palatino Linotype" w:eastAsia="Palatino Linotype" w:hAnsi="Palatino Linotype" w:cs="Palatino Linotype"/>
          <w:i/>
          <w:sz w:val="22"/>
          <w:szCs w:val="22"/>
        </w:rPr>
        <w:t>jurídico</w:t>
      </w:r>
      <w:proofErr w:type="gramEnd"/>
      <w:r w:rsidRPr="007A7615">
        <w:rPr>
          <w:rFonts w:ascii="Palatino Linotype" w:eastAsia="Palatino Linotype" w:hAnsi="Palatino Linotype" w:cs="Palatino Linotype"/>
          <w:i/>
          <w:sz w:val="22"/>
          <w:szCs w:val="22"/>
        </w:rPr>
        <w:t xml:space="preserve"> colectiva identificada o identificable;</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II.</w:t>
      </w:r>
      <w:r w:rsidRPr="007A761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w:t>
      </w:r>
      <w:r w:rsidRPr="007A7615">
        <w:rPr>
          <w:rFonts w:ascii="Palatino Linotype" w:eastAsia="Palatino Linotype" w:hAnsi="Palatino Linotype" w:cs="Palatino Linotype"/>
        </w:rPr>
        <w:lastRenderedPageBreak/>
        <w:t>elector, numero de OCR, CURP, el número de cuenta bancaria, que sean exclusivamente de particulares, entre otros.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La </w:t>
      </w:r>
      <w:r w:rsidRPr="007A7615">
        <w:rPr>
          <w:rFonts w:ascii="Palatino Linotype" w:eastAsia="Palatino Linotype" w:hAnsi="Palatino Linotype" w:cs="Palatino Linotype"/>
          <w:b/>
        </w:rPr>
        <w:t>clave de elector</w:t>
      </w:r>
      <w:r w:rsidRPr="007A7615">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7A7615">
        <w:rPr>
          <w:rFonts w:ascii="Palatino Linotype" w:eastAsia="Palatino Linotype" w:hAnsi="Palatino Linotype" w:cs="Palatino Linotype"/>
        </w:rPr>
        <w:t>homoclave</w:t>
      </w:r>
      <w:proofErr w:type="spellEnd"/>
      <w:r w:rsidRPr="007A7615">
        <w:rPr>
          <w:rFonts w:ascii="Palatino Linotype" w:eastAsia="Palatino Linotype" w:hAnsi="Palatino Linotype" w:cs="Palatino Linotype"/>
        </w:rPr>
        <w:t xml:space="preserve"> que distingue a su titular de cualquier otro homónimo, por lo tanto, se trata de un dato personal que debe ser protegido.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El </w:t>
      </w:r>
      <w:r w:rsidRPr="007A7615">
        <w:rPr>
          <w:rFonts w:ascii="Palatino Linotype" w:eastAsia="Palatino Linotype" w:hAnsi="Palatino Linotype" w:cs="Palatino Linotype"/>
          <w:b/>
        </w:rPr>
        <w:t>número de OCR,</w:t>
      </w:r>
      <w:r w:rsidRPr="007A7615">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7A7615">
        <w:rPr>
          <w:rFonts w:ascii="Palatino Linotype" w:eastAsia="Palatino Linotype" w:hAnsi="Palatino Linotype" w:cs="Palatino Linotype"/>
        </w:rPr>
        <w:t>geoelectoral</w:t>
      </w:r>
      <w:proofErr w:type="spellEnd"/>
      <w:r w:rsidRPr="007A7615">
        <w:rPr>
          <w:rFonts w:ascii="Palatino Linotype" w:eastAsia="Palatino Linotype" w:hAnsi="Palatino Linotype" w:cs="Palatino Linotype"/>
        </w:rPr>
        <w:t xml:space="preserve"> ahí contenida, por lo que es susceptible de resguardarse.</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La </w:t>
      </w:r>
      <w:r w:rsidRPr="007A7615">
        <w:rPr>
          <w:rFonts w:ascii="Palatino Linotype" w:eastAsia="Palatino Linotype" w:hAnsi="Palatino Linotype" w:cs="Palatino Linotype"/>
          <w:b/>
        </w:rPr>
        <w:t>clave única del registro de población,</w:t>
      </w:r>
      <w:r w:rsidRPr="007A7615">
        <w:rPr>
          <w:rFonts w:ascii="Palatino Linotype" w:eastAsia="Palatino Linotype" w:hAnsi="Palatino Linotype" w:cs="Palatino Linotype"/>
          <w:i/>
        </w:rPr>
        <w:t xml:space="preserve"> </w:t>
      </w:r>
      <w:r w:rsidRPr="007A7615">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Igualmente, resulta importante destacar que el </w:t>
      </w:r>
      <w:r w:rsidRPr="007A7615">
        <w:rPr>
          <w:rFonts w:ascii="Palatino Linotype" w:eastAsia="Palatino Linotype" w:hAnsi="Palatino Linotype" w:cs="Palatino Linotype"/>
          <w:i/>
        </w:rPr>
        <w:t>número de cuenta bancaria</w:t>
      </w:r>
      <w:r w:rsidRPr="007A7615">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rsidR="00A91087" w:rsidRPr="007A7615" w:rsidRDefault="008A0C95">
      <w:pPr>
        <w:spacing w:before="120" w:after="120"/>
        <w:ind w:left="851" w:right="902"/>
        <w:jc w:val="both"/>
        <w:rPr>
          <w:rFonts w:ascii="Palatino Linotype" w:eastAsia="Palatino Linotype" w:hAnsi="Palatino Linotype" w:cs="Palatino Linotype"/>
        </w:rPr>
      </w:pPr>
      <w:r w:rsidRPr="007A7615">
        <w:rPr>
          <w:rFonts w:ascii="Palatino Linotype" w:eastAsia="Palatino Linotype" w:hAnsi="Palatino Linotype" w:cs="Palatino Linotype"/>
          <w:b/>
          <w:i/>
        </w:rPr>
        <w:t>“Cuentas bancarias y/o CLABE interbancaria de personas físicas y morales privadas.</w:t>
      </w:r>
      <w:r w:rsidRPr="007A7615">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A91087" w:rsidRPr="007A7615" w:rsidRDefault="008A0C95">
      <w:pPr>
        <w:spacing w:before="120" w:after="120"/>
        <w:ind w:left="851" w:right="902"/>
        <w:jc w:val="both"/>
        <w:rPr>
          <w:rFonts w:ascii="Palatino Linotype" w:eastAsia="Palatino Linotype" w:hAnsi="Palatino Linotype" w:cs="Palatino Linotype"/>
        </w:rPr>
      </w:pPr>
      <w:r w:rsidRPr="007A7615">
        <w:rPr>
          <w:rFonts w:ascii="Palatino Linotype" w:eastAsia="Palatino Linotype" w:hAnsi="Palatino Linotype" w:cs="Palatino Linotype"/>
          <w:b/>
          <w:i/>
        </w:rPr>
        <w:t>Cuentas bancarias y/o CLABE interbancaria de sujetos obligados que reciben y/o transfieren recursos públicos, son información pública</w:t>
      </w:r>
      <w:r w:rsidRPr="007A7615">
        <w:rPr>
          <w:rFonts w:ascii="Palatino Linotype" w:eastAsia="Palatino Linotype" w:hAnsi="Palatino Linotype" w:cs="Palatino Linotype"/>
          <w:i/>
        </w:rPr>
        <w:t xml:space="preserve">. La difusión de las cuentas bancarias y claves interbancarias pertenecientes a un sujeto obligado favorece </w:t>
      </w:r>
      <w:r w:rsidRPr="007A7615">
        <w:rPr>
          <w:rFonts w:ascii="Palatino Linotype" w:eastAsia="Palatino Linotype" w:hAnsi="Palatino Linotype" w:cs="Palatino Linotype"/>
          <w:i/>
          <w:sz w:val="22"/>
          <w:szCs w:val="22"/>
        </w:rPr>
        <w:t>la rendición de cuentas al transparentar la forma en que se administran los recursos públicos, razón por la cual no pueden considerarse como información clasificada.”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cuanto hace al </w:t>
      </w:r>
      <w:r w:rsidRPr="007A7615">
        <w:rPr>
          <w:rFonts w:ascii="Palatino Linotype" w:eastAsia="Palatino Linotype" w:hAnsi="Palatino Linotype" w:cs="Palatino Linotype"/>
          <w:b/>
        </w:rPr>
        <w:t xml:space="preserve">Registro Federal de Contribuyentes (RFC) </w:t>
      </w:r>
      <w:r w:rsidRPr="007A7615">
        <w:rPr>
          <w:rFonts w:ascii="Palatino Linotype" w:eastAsia="Palatino Linotype" w:hAnsi="Palatino Linotype" w:cs="Palatino Linotype"/>
        </w:rPr>
        <w:t>y</w:t>
      </w:r>
      <w:r w:rsidRPr="007A7615">
        <w:rPr>
          <w:rFonts w:ascii="Palatino Linotype" w:eastAsia="Palatino Linotype" w:hAnsi="Palatino Linotype" w:cs="Palatino Linotype"/>
          <w:b/>
        </w:rPr>
        <w:t xml:space="preserve"> el domicilio fiscal </w:t>
      </w:r>
      <w:r w:rsidRPr="007A7615">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w:t>
      </w:r>
      <w:r w:rsidRPr="007A7615">
        <w:rPr>
          <w:rFonts w:ascii="Palatino Linotype" w:eastAsia="Palatino Linotype" w:hAnsi="Palatino Linotype" w:cs="Palatino Linotype"/>
        </w:rPr>
        <w:lastRenderedPageBreak/>
        <w:t>públicos, puesto que se trata de erogaciones que realiza un órgano del Estado con base en los recursos que encuentran su origen en mayor medida en las contribuciones aportados por los gobernados, por lo que debe transparentarse su ejercicio.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7A7615">
        <w:rPr>
          <w:rFonts w:ascii="Palatino Linotype" w:eastAsia="Palatino Linotype" w:hAnsi="Palatino Linotype" w:cs="Palatino Linotype"/>
          <w:b/>
        </w:rPr>
        <w:t>no puede considerarse como información clasificada lo relativo a su nombre, registro federal de contribuyentes y domicilio fiscal</w:t>
      </w:r>
      <w:r w:rsidRPr="007A7615">
        <w:rPr>
          <w:rFonts w:ascii="Palatino Linotype" w:eastAsia="Palatino Linotype" w:hAnsi="Palatino Linotype" w:cs="Palatino Linotype"/>
        </w:rPr>
        <w:t>, atento a que dicha información es la que puede generar certeza en los gobernados en que se está ejerciendo debidamente el presupuesto.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rsidR="00A91087" w:rsidRPr="007A7615" w:rsidRDefault="008A0C95">
      <w:pPr>
        <w:spacing w:before="120" w:after="12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 xml:space="preserve">“Registro Federal de Contribuyentes (RFC) de personas físicas proveedoras o contratistas. </w:t>
      </w:r>
      <w:r w:rsidRPr="007A7615">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Relacionado con lo anterior, el </w:t>
      </w:r>
      <w:r w:rsidRPr="007A7615">
        <w:rPr>
          <w:rFonts w:ascii="Palatino Linotype" w:eastAsia="Palatino Linotype" w:hAnsi="Palatino Linotype" w:cs="Palatino Linotype"/>
          <w:b/>
        </w:rPr>
        <w:t>nombre de las personas físicas</w:t>
      </w:r>
      <w:r w:rsidRPr="007A7615">
        <w:rPr>
          <w:rFonts w:ascii="Palatino Linotype" w:eastAsia="Palatino Linotype" w:hAnsi="Palatino Linotype" w:cs="Palatino Linotype"/>
        </w:rPr>
        <w:t xml:space="preserve"> o los </w:t>
      </w:r>
      <w:r w:rsidRPr="007A7615">
        <w:rPr>
          <w:rFonts w:ascii="Palatino Linotype" w:eastAsia="Palatino Linotype" w:hAnsi="Palatino Linotype" w:cs="Palatino Linotype"/>
          <w:b/>
        </w:rPr>
        <w:t>representantes legales de las personas morales</w:t>
      </w:r>
      <w:r w:rsidRPr="007A7615">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w:t>
      </w:r>
      <w:r w:rsidRPr="007A7615">
        <w:rPr>
          <w:rFonts w:ascii="Palatino Linotype" w:eastAsia="Palatino Linotype" w:hAnsi="Palatino Linotype" w:cs="Palatino Linotype"/>
        </w:rPr>
        <w:lastRenderedPageBreak/>
        <w:t>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rsidR="00A91087" w:rsidRPr="007A7615" w:rsidRDefault="008A0C95">
      <w:pPr>
        <w:spacing w:before="120" w:after="12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Artículo 23.</w:t>
      </w:r>
      <w:r w:rsidRPr="007A7615">
        <w:rPr>
          <w:rFonts w:ascii="Palatino Linotype" w:eastAsia="Palatino Linotype" w:hAnsi="Palatino Linotype" w:cs="Palatino Linotype"/>
          <w:i/>
          <w:sz w:val="22"/>
          <w:szCs w:val="22"/>
        </w:rPr>
        <w:t xml:space="preserve"> (…)</w:t>
      </w:r>
    </w:p>
    <w:p w:rsidR="00A91087" w:rsidRPr="007A7615" w:rsidRDefault="008A0C95">
      <w:pPr>
        <w:spacing w:before="120" w:after="12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rsidR="00A91087" w:rsidRPr="007A7615" w:rsidRDefault="008A0C95">
      <w:pPr>
        <w:spacing w:before="120" w:after="120"/>
        <w:ind w:left="851" w:right="902"/>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b/>
          <w:i/>
          <w:sz w:val="22"/>
          <w:szCs w:val="22"/>
        </w:rPr>
        <w:t>“Datos de identificación del representante o apoderado legal.</w:t>
      </w:r>
      <w:r w:rsidRPr="007A7615">
        <w:rPr>
          <w:rFonts w:ascii="Palatino Linotype" w:eastAsia="Palatino Linotype" w:hAnsi="Palatino Linotype" w:cs="Palatino Linotype"/>
          <w:i/>
          <w:sz w:val="22"/>
          <w:szCs w:val="22"/>
        </w:rPr>
        <w:t xml:space="preserve"> </w:t>
      </w:r>
      <w:r w:rsidRPr="007A7615">
        <w:rPr>
          <w:rFonts w:ascii="Palatino Linotype" w:eastAsia="Palatino Linotype" w:hAnsi="Palatino Linotype" w:cs="Palatino Linotype"/>
          <w:b/>
          <w:i/>
          <w:sz w:val="22"/>
          <w:szCs w:val="22"/>
        </w:rPr>
        <w:t xml:space="preserve">Naturaleza jurídica. </w:t>
      </w:r>
      <w:r w:rsidRPr="007A7615">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7A7615">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7A7615">
        <w:rPr>
          <w:rFonts w:ascii="Palatino Linotype" w:eastAsia="Palatino Linotype" w:hAnsi="Palatino Linotype" w:cs="Palatino Linotype"/>
          <w:i/>
          <w:sz w:val="22"/>
          <w:szCs w:val="22"/>
        </w:rPr>
        <w:t>.”</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Mientras que en el caso del </w:t>
      </w:r>
      <w:r w:rsidRPr="007A7615">
        <w:rPr>
          <w:rFonts w:ascii="Palatino Linotype" w:eastAsia="Palatino Linotype" w:hAnsi="Palatino Linotype" w:cs="Palatino Linotype"/>
          <w:b/>
        </w:rPr>
        <w:t>folio fiscal</w:t>
      </w:r>
      <w:r w:rsidRPr="007A7615">
        <w:rPr>
          <w:rFonts w:ascii="Palatino Linotype" w:eastAsia="Palatino Linotype" w:hAnsi="Palatino Linotype" w:cs="Palatino Linotype"/>
        </w:rPr>
        <w:t xml:space="preserve">, la </w:t>
      </w:r>
      <w:r w:rsidRPr="007A7615">
        <w:rPr>
          <w:rFonts w:ascii="Palatino Linotype" w:eastAsia="Palatino Linotype" w:hAnsi="Palatino Linotype" w:cs="Palatino Linotype"/>
          <w:b/>
        </w:rPr>
        <w:t xml:space="preserve">cadena original, </w:t>
      </w:r>
      <w:r w:rsidRPr="007A7615">
        <w:rPr>
          <w:rFonts w:ascii="Palatino Linotype" w:eastAsia="Palatino Linotype" w:hAnsi="Palatino Linotype" w:cs="Palatino Linotype"/>
        </w:rPr>
        <w:t>los</w:t>
      </w:r>
      <w:r w:rsidRPr="007A7615">
        <w:rPr>
          <w:rFonts w:ascii="Palatino Linotype" w:eastAsia="Palatino Linotype" w:hAnsi="Palatino Linotype" w:cs="Palatino Linotype"/>
          <w:b/>
        </w:rPr>
        <w:t xml:space="preserve"> códigos bidimensionales o códigos QR,</w:t>
      </w:r>
      <w:r w:rsidRPr="007A7615">
        <w:rPr>
          <w:rFonts w:ascii="Palatino Linotype" w:eastAsia="Palatino Linotype" w:hAnsi="Palatino Linotype" w:cs="Palatino Linotype"/>
        </w:rPr>
        <w:t xml:space="preserve"> y, en general, cualquier información de carácter </w:t>
      </w:r>
      <w:r w:rsidRPr="007A7615">
        <w:rPr>
          <w:rFonts w:ascii="Palatino Linotype" w:eastAsia="Palatino Linotype" w:hAnsi="Palatino Linotype" w:cs="Palatino Linotype"/>
        </w:rPr>
        <w:lastRenderedPageBreak/>
        <w:t>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A91087" w:rsidRPr="007A7615" w:rsidRDefault="008A0C95">
      <w:pP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siendo estas las siguientes:</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 “Quincuagésimo. </w:t>
      </w:r>
      <w:r w:rsidRPr="007A761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Quincuagésimo primero. </w:t>
      </w:r>
      <w:r w:rsidRPr="007A7615">
        <w:rPr>
          <w:rFonts w:ascii="Palatino Linotype" w:eastAsia="Palatino Linotype" w:hAnsi="Palatino Linotype" w:cs="Palatino Linotype"/>
          <w:i/>
          <w:sz w:val="22"/>
          <w:szCs w:val="22"/>
        </w:rPr>
        <w:t xml:space="preserve">Toda acta del Comité de Transparencia deberá contener: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I.</w:t>
      </w:r>
      <w:r w:rsidRPr="007A7615">
        <w:rPr>
          <w:rFonts w:ascii="Palatino Linotype" w:eastAsia="Palatino Linotype" w:hAnsi="Palatino Linotype" w:cs="Palatino Linotype"/>
          <w:i/>
          <w:sz w:val="22"/>
          <w:szCs w:val="22"/>
        </w:rPr>
        <w:t xml:space="preserve"> El número de sesión y fecha;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El nombre del área que solicitó la clasificación de información;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La fundamentación legal y motivación correspondiente;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La resolución o resoluciones aprobadas; y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V</w:t>
      </w:r>
      <w:r w:rsidRPr="007A7615">
        <w:rPr>
          <w:rFonts w:ascii="Palatino Linotype" w:eastAsia="Palatino Linotype" w:hAnsi="Palatino Linotype" w:cs="Palatino Linotype"/>
          <w:i/>
          <w:sz w:val="22"/>
          <w:szCs w:val="22"/>
        </w:rPr>
        <w:t xml:space="preserve">. La rúbrica o firma digital de cada integrante del Comité de Transparencia.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Los motivos y razonamientos que sustenten la confirmación o modificación de la prueba de daño;</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Descripción de las partes o secciones reservadas, en caso de clasificación parcial</w:t>
      </w:r>
      <w:r w:rsidRPr="007A7615">
        <w:rPr>
          <w:rFonts w:ascii="Palatino Linotype" w:eastAsia="Palatino Linotype" w:hAnsi="Palatino Linotype" w:cs="Palatino Linotype"/>
          <w:b/>
          <w:i/>
          <w:sz w:val="22"/>
          <w:szCs w:val="22"/>
        </w:rPr>
        <w:t xml:space="preserve">;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El periodo por el que mantendrá su clasificación y fecha de expiración; y </w:t>
      </w:r>
    </w:p>
    <w:p w:rsidR="00A91087" w:rsidRPr="007A7615" w:rsidRDefault="008A0C9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IV.</w:t>
      </w:r>
      <w:r w:rsidRPr="007A7615">
        <w:rPr>
          <w:rFonts w:ascii="Palatino Linotype" w:eastAsia="Palatino Linotype" w:hAnsi="Palatino Linotype" w:cs="Palatino Linotype"/>
          <w:i/>
          <w:sz w:val="22"/>
          <w:szCs w:val="22"/>
        </w:rPr>
        <w:t xml:space="preserve"> El nombre del titular y área encargada de realizar la versión pública del documento, en su caso.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A91087" w:rsidRPr="007A7615" w:rsidRDefault="008A0C9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Quincuagésimo segundo</w:t>
      </w:r>
      <w:r w:rsidRPr="007A761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7A7615">
        <w:rPr>
          <w:rFonts w:ascii="Palatino Linotype" w:eastAsia="Palatino Linotype" w:hAnsi="Palatino Linotype" w:cs="Palatino Linotype"/>
          <w:i/>
          <w:sz w:val="22"/>
          <w:szCs w:val="22"/>
        </w:rPr>
        <w:t>sobreposición</w:t>
      </w:r>
      <w:proofErr w:type="spellEnd"/>
      <w:r w:rsidRPr="007A7615">
        <w:rPr>
          <w:rFonts w:ascii="Palatino Linotype" w:eastAsia="Palatino Linotype" w:hAnsi="Palatino Linotype" w:cs="Palatino Linotype"/>
          <w:i/>
          <w:sz w:val="22"/>
          <w:szCs w:val="22"/>
        </w:rPr>
        <w:t xml:space="preserve"> de contenido distinto al autorizado por el Comité.</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En el caso </w:t>
      </w:r>
      <w:proofErr w:type="spellStart"/>
      <w:r w:rsidRPr="007A7615">
        <w:rPr>
          <w:rFonts w:ascii="Palatino Linotype" w:eastAsia="Palatino Linotype" w:hAnsi="Palatino Linotype" w:cs="Palatino Linotype"/>
          <w:i/>
          <w:sz w:val="22"/>
          <w:szCs w:val="22"/>
        </w:rPr>
        <w:t>especifico</w:t>
      </w:r>
      <w:proofErr w:type="spellEnd"/>
      <w:r w:rsidRPr="007A7615">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A91087" w:rsidRPr="007A7615" w:rsidRDefault="008A0C95">
      <w:pPr>
        <w:spacing w:before="120" w:after="120"/>
        <w:ind w:left="1134"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lastRenderedPageBreak/>
        <w:t>III.</w:t>
      </w:r>
      <w:r w:rsidRPr="007A7615">
        <w:rPr>
          <w:rFonts w:ascii="Palatino Linotype" w:eastAsia="Palatino Linotype" w:hAnsi="Palatino Linotype" w:cs="Palatino Linotype"/>
          <w:i/>
          <w:sz w:val="22"/>
          <w:szCs w:val="22"/>
        </w:rPr>
        <w:t xml:space="preserve"> Señalar las personas o instancias autorizadas a acceder a la información clasificada.</w:t>
      </w:r>
    </w:p>
    <w:p w:rsidR="00A91087" w:rsidRPr="007A7615" w:rsidRDefault="008A0C95">
      <w:pPr>
        <w:spacing w:before="120" w:after="120"/>
        <w:ind w:left="851" w:right="900"/>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A91087" w:rsidRPr="007A7615" w:rsidRDefault="008A0C95">
      <w:pPr>
        <w:spacing w:before="240" w:after="240" w:line="360" w:lineRule="auto"/>
        <w:ind w:right="50"/>
        <w:jc w:val="both"/>
        <w:rPr>
          <w:rFonts w:ascii="Palatino Linotype" w:eastAsia="Palatino Linotype" w:hAnsi="Palatino Linotype" w:cs="Palatino Linotype"/>
          <w:sz w:val="22"/>
          <w:szCs w:val="22"/>
        </w:rPr>
      </w:pPr>
      <w:r w:rsidRPr="007A7615">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7A7615">
        <w:rPr>
          <w:rFonts w:ascii="Palatino Linotype" w:eastAsia="Palatino Linotype" w:hAnsi="Palatino Linotype" w:cs="Palatino Linotype"/>
        </w:rPr>
        <w:t>supraindicados</w:t>
      </w:r>
      <w:proofErr w:type="spellEnd"/>
      <w:r w:rsidRPr="007A7615">
        <w:rPr>
          <w:rFonts w:ascii="Palatino Linotype" w:eastAsia="Palatino Linotype" w:hAnsi="Palatino Linotype" w:cs="Palatino Linotype"/>
        </w:rPr>
        <w:t xml:space="preserve">, que establece los formatos para la clasificación de los documentos, conforme a lo siguiente: </w:t>
      </w:r>
    </w:p>
    <w:p w:rsidR="00A91087" w:rsidRPr="007A7615" w:rsidRDefault="008A0C95">
      <w:pPr>
        <w:ind w:left="851" w:right="900"/>
        <w:jc w:val="center"/>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CAPÍTULO VIII</w:t>
      </w:r>
    </w:p>
    <w:p w:rsidR="00A91087" w:rsidRPr="007A7615" w:rsidRDefault="008A0C95">
      <w:pPr>
        <w:ind w:left="851" w:right="900"/>
        <w:jc w:val="center"/>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 xml:space="preserve">DE LOS ELEMENTOS PARA LA CLASIFICACIÓN </w:t>
      </w:r>
    </w:p>
    <w:p w:rsidR="00A91087" w:rsidRPr="007A7615" w:rsidRDefault="008A0C95">
      <w:pPr>
        <w:ind w:left="851" w:right="900"/>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Quincuagésimo tercero. </w:t>
      </w:r>
      <w:r w:rsidRPr="007A7615">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7A7615">
        <w:rPr>
          <w:rFonts w:ascii="Palatino Linotype" w:eastAsia="Palatino Linotype" w:hAnsi="Palatino Linotype" w:cs="Palatino Linotype"/>
          <w:b/>
          <w:i/>
          <w:sz w:val="22"/>
          <w:szCs w:val="22"/>
        </w:rPr>
        <w:t xml:space="preserve">, </w:t>
      </w:r>
      <w:r w:rsidRPr="007A7615">
        <w:rPr>
          <w:rFonts w:ascii="Palatino Linotype" w:eastAsia="Palatino Linotype" w:hAnsi="Palatino Linotype" w:cs="Palatino Linotype"/>
          <w:i/>
          <w:sz w:val="22"/>
          <w:szCs w:val="22"/>
        </w:rPr>
        <w:t xml:space="preserve">es el siguiente: </w:t>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noProof/>
          <w:sz w:val="22"/>
          <w:szCs w:val="22"/>
        </w:rPr>
        <w:drawing>
          <wp:inline distT="0" distB="0" distL="0" distR="0">
            <wp:extent cx="4295775" cy="295275"/>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b="95731"/>
                    <a:stretch>
                      <a:fillRect/>
                    </a:stretch>
                  </pic:blipFill>
                  <pic:spPr>
                    <a:xfrm>
                      <a:off x="0" y="0"/>
                      <a:ext cx="4295775" cy="295275"/>
                    </a:xfrm>
                    <a:prstGeom prst="rect">
                      <a:avLst/>
                    </a:prstGeom>
                    <a:ln/>
                  </pic:spPr>
                </pic:pic>
              </a:graphicData>
            </a:graphic>
          </wp:inline>
        </w:drawing>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noProof/>
          <w:sz w:val="22"/>
          <w:szCs w:val="22"/>
        </w:rPr>
        <w:lastRenderedPageBreak/>
        <w:drawing>
          <wp:inline distT="0" distB="0" distL="0" distR="0">
            <wp:extent cx="4333875" cy="4772025"/>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t="30908"/>
                    <a:stretch>
                      <a:fillRect/>
                    </a:stretch>
                  </pic:blipFill>
                  <pic:spPr>
                    <a:xfrm>
                      <a:off x="0" y="0"/>
                      <a:ext cx="4333875" cy="4772025"/>
                    </a:xfrm>
                    <a:prstGeom prst="rect">
                      <a:avLst/>
                    </a:prstGeom>
                    <a:ln/>
                  </pic:spPr>
                </pic:pic>
              </a:graphicData>
            </a:graphic>
          </wp:inline>
        </w:drawing>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Los documentos que integren un expediente reservado en su totalidad no deberán marcarse en lo individual.</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Asimismo, deberá observar los Lineamientos Quincuagésimo cuarto, Quincuagésimo quinto, Quincuagésimo séptimo y Quincuagésimo octavo, establecen lo siguiente:</w:t>
      </w:r>
    </w:p>
    <w:p w:rsidR="00A91087" w:rsidRPr="007A7615" w:rsidRDefault="008A0C9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i/>
          <w:sz w:val="22"/>
          <w:szCs w:val="22"/>
        </w:rPr>
        <w:t>“</w:t>
      </w:r>
      <w:r w:rsidRPr="007A7615">
        <w:rPr>
          <w:rFonts w:ascii="Palatino Linotype" w:eastAsia="Palatino Linotype" w:hAnsi="Palatino Linotype" w:cs="Palatino Linotype"/>
          <w:b/>
          <w:i/>
          <w:sz w:val="22"/>
          <w:szCs w:val="22"/>
        </w:rPr>
        <w:t xml:space="preserve">Quincuagésimo cuarto. </w:t>
      </w:r>
      <w:r w:rsidRPr="007A7615">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w:t>
      </w:r>
      <w:r w:rsidRPr="007A7615">
        <w:rPr>
          <w:rFonts w:ascii="Palatino Linotype" w:eastAsia="Palatino Linotype" w:hAnsi="Palatino Linotype" w:cs="Palatino Linotype"/>
          <w:i/>
          <w:sz w:val="22"/>
          <w:szCs w:val="22"/>
        </w:rPr>
        <w:lastRenderedPageBreak/>
        <w:t>clasificación o, en su defecto, identificar en la carátula del expediente del cual formen parte, la fecha y sesión del Comité de Transparencia en la que se confirmó dicha clasificación.</w:t>
      </w:r>
      <w:r w:rsidRPr="007A7615">
        <w:rPr>
          <w:rFonts w:ascii="Palatino Linotype" w:eastAsia="Palatino Linotype" w:hAnsi="Palatino Linotype" w:cs="Palatino Linotype"/>
          <w:b/>
          <w:i/>
          <w:sz w:val="22"/>
          <w:szCs w:val="22"/>
        </w:rPr>
        <w:t xml:space="preserve">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 xml:space="preserve">Quincuagésimo quinto. </w:t>
      </w:r>
      <w:r w:rsidRPr="007A761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7A7615">
        <w:rPr>
          <w:rFonts w:ascii="Palatino Linotype" w:eastAsia="Palatino Linotype" w:hAnsi="Palatino Linotype" w:cs="Palatino Linotype"/>
          <w:i/>
          <w:sz w:val="22"/>
          <w:szCs w:val="22"/>
        </w:rPr>
        <w:t>testado</w:t>
      </w:r>
      <w:proofErr w:type="spellEnd"/>
      <w:r w:rsidRPr="007A761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A91087" w:rsidRPr="007A7615" w:rsidRDefault="008A0C95">
      <w:pPr>
        <w:spacing w:before="120" w:after="120"/>
        <w:ind w:left="851" w:right="902"/>
        <w:jc w:val="both"/>
        <w:rPr>
          <w:rFonts w:ascii="Palatino Linotype" w:eastAsia="Palatino Linotype" w:hAnsi="Palatino Linotype" w:cs="Palatino Linotype"/>
          <w:b/>
          <w:i/>
          <w:sz w:val="22"/>
          <w:szCs w:val="22"/>
        </w:rPr>
      </w:pPr>
      <w:r w:rsidRPr="007A7615">
        <w:rPr>
          <w:rFonts w:ascii="Palatino Linotype" w:eastAsia="Palatino Linotype" w:hAnsi="Palatino Linotype" w:cs="Palatino Linotype"/>
          <w:b/>
          <w:i/>
          <w:sz w:val="22"/>
          <w:szCs w:val="22"/>
        </w:rPr>
        <w:t>…</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Quincuagésimo séptimo</w:t>
      </w:r>
      <w:r w:rsidRPr="007A761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w:t>
      </w:r>
      <w:r w:rsidRPr="007A761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w:t>
      </w:r>
      <w:r w:rsidRPr="007A761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A91087" w:rsidRPr="007A7615" w:rsidRDefault="008A0C95">
      <w:pPr>
        <w:spacing w:before="120" w:after="120"/>
        <w:ind w:left="1134"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III</w:t>
      </w:r>
      <w:r w:rsidRPr="007A761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A91087" w:rsidRPr="007A7615" w:rsidRDefault="008A0C95">
      <w:pPr>
        <w:spacing w:before="120" w:after="120"/>
        <w:ind w:left="851" w:right="902"/>
        <w:jc w:val="both"/>
        <w:rPr>
          <w:rFonts w:ascii="Palatino Linotype" w:eastAsia="Palatino Linotype" w:hAnsi="Palatino Linotype" w:cs="Palatino Linotype"/>
          <w:i/>
          <w:sz w:val="22"/>
          <w:szCs w:val="22"/>
        </w:rPr>
      </w:pPr>
      <w:r w:rsidRPr="007A7615">
        <w:rPr>
          <w:rFonts w:ascii="Palatino Linotype" w:eastAsia="Palatino Linotype" w:hAnsi="Palatino Linotype" w:cs="Palatino Linotype"/>
          <w:b/>
          <w:i/>
          <w:sz w:val="22"/>
          <w:szCs w:val="22"/>
        </w:rPr>
        <w:t>Quincuagésimo octavo</w:t>
      </w:r>
      <w:r w:rsidRPr="007A761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a testar, suprimir o eliminar datos de dicho soporte documental, ya que no hacerlo, se reitera que lo </w:t>
      </w:r>
      <w:r w:rsidRPr="007A7615">
        <w:rPr>
          <w:rFonts w:ascii="Palatino Linotype" w:eastAsia="Palatino Linotype" w:hAnsi="Palatino Linotype" w:cs="Palatino Linotype"/>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91087" w:rsidRPr="007A7615" w:rsidRDefault="008A0C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A91087" w:rsidRPr="007A7615" w:rsidRDefault="008A0C9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A7615">
        <w:rPr>
          <w:rFonts w:ascii="Palatino Linotype" w:eastAsia="Palatino Linotype" w:hAnsi="Palatino Linotype" w:cs="Palatino Linotype"/>
          <w:b/>
        </w:rPr>
        <w:t>III. R E S U E L V E</w:t>
      </w:r>
    </w:p>
    <w:p w:rsidR="00A91087" w:rsidRPr="007A7615" w:rsidRDefault="008A0C95">
      <w:pPr>
        <w:spacing w:before="240" w:after="240" w:line="360" w:lineRule="auto"/>
        <w:jc w:val="both"/>
        <w:rPr>
          <w:rFonts w:ascii="Palatino Linotype" w:eastAsia="Palatino Linotype" w:hAnsi="Palatino Linotype" w:cs="Palatino Linotype"/>
          <w:b/>
        </w:rPr>
      </w:pPr>
      <w:bookmarkStart w:id="9" w:name="_heading=h.26in1rg" w:colFirst="0" w:colLast="0"/>
      <w:bookmarkEnd w:id="9"/>
      <w:r w:rsidRPr="007A7615">
        <w:rPr>
          <w:rFonts w:ascii="Palatino Linotype" w:eastAsia="Palatino Linotype" w:hAnsi="Palatino Linotype" w:cs="Palatino Linotype"/>
          <w:b/>
        </w:rPr>
        <w:t xml:space="preserve">Primero. </w:t>
      </w:r>
      <w:r w:rsidRPr="007A7615">
        <w:rPr>
          <w:rFonts w:ascii="Palatino Linotype" w:eastAsia="Palatino Linotype" w:hAnsi="Palatino Linotype" w:cs="Palatino Linotype"/>
        </w:rPr>
        <w:t xml:space="preserve">Resultan </w:t>
      </w:r>
      <w:r w:rsidRPr="007A7615">
        <w:rPr>
          <w:rFonts w:ascii="Palatino Linotype" w:eastAsia="Palatino Linotype" w:hAnsi="Palatino Linotype" w:cs="Palatino Linotype"/>
          <w:b/>
        </w:rPr>
        <w:t xml:space="preserve">parcialmente fundados </w:t>
      </w:r>
      <w:r w:rsidRPr="007A7615">
        <w:rPr>
          <w:rFonts w:ascii="Palatino Linotype" w:eastAsia="Palatino Linotype" w:hAnsi="Palatino Linotype" w:cs="Palatino Linotype"/>
        </w:rPr>
        <w:t xml:space="preserve">los motivos de inconformidad hechos valer por la parte </w:t>
      </w:r>
      <w:r w:rsidRPr="007A7615">
        <w:rPr>
          <w:rFonts w:ascii="Palatino Linotype" w:eastAsia="Palatino Linotype" w:hAnsi="Palatino Linotype" w:cs="Palatino Linotype"/>
          <w:b/>
        </w:rPr>
        <w:t>Recurrente</w:t>
      </w:r>
      <w:r w:rsidRPr="007A7615">
        <w:rPr>
          <w:rFonts w:ascii="Palatino Linotype" w:eastAsia="Palatino Linotype" w:hAnsi="Palatino Linotype" w:cs="Palatino Linotype"/>
        </w:rPr>
        <w:t xml:space="preserve">, en el recurso de revisión </w:t>
      </w:r>
      <w:r w:rsidRPr="007A7615">
        <w:rPr>
          <w:rFonts w:ascii="Palatino Linotype" w:eastAsia="Palatino Linotype" w:hAnsi="Palatino Linotype" w:cs="Palatino Linotype"/>
          <w:b/>
        </w:rPr>
        <w:t xml:space="preserve">02229/INFOEM/IP/RR/2023, </w:t>
      </w:r>
      <w:r w:rsidRPr="007A7615">
        <w:rPr>
          <w:rFonts w:ascii="Palatino Linotype" w:eastAsia="Palatino Linotype" w:hAnsi="Palatino Linotype" w:cs="Palatino Linotype"/>
        </w:rPr>
        <w:t xml:space="preserve">por lo que, en términos del Considerando </w:t>
      </w:r>
      <w:r w:rsidRPr="007A7615">
        <w:rPr>
          <w:rFonts w:ascii="Palatino Linotype" w:eastAsia="Palatino Linotype" w:hAnsi="Palatino Linotype" w:cs="Palatino Linotype"/>
          <w:b/>
        </w:rPr>
        <w:t>Cuarto</w:t>
      </w:r>
      <w:r w:rsidRPr="007A7615">
        <w:rPr>
          <w:rFonts w:ascii="Palatino Linotype" w:eastAsia="Palatino Linotype" w:hAnsi="Palatino Linotype" w:cs="Palatino Linotype"/>
        </w:rPr>
        <w:t xml:space="preserve"> de la presente resolución, se</w:t>
      </w:r>
      <w:r w:rsidRPr="007A7615">
        <w:rPr>
          <w:rFonts w:ascii="Palatino Linotype" w:eastAsia="Palatino Linotype" w:hAnsi="Palatino Linotype" w:cs="Palatino Linotype"/>
          <w:b/>
        </w:rPr>
        <w:t xml:space="preserve"> Modifica </w:t>
      </w:r>
      <w:r w:rsidRPr="007A7615">
        <w:rPr>
          <w:rFonts w:ascii="Palatino Linotype" w:eastAsia="Palatino Linotype" w:hAnsi="Palatino Linotype" w:cs="Palatino Linotype"/>
        </w:rPr>
        <w:t>la respuesta</w:t>
      </w:r>
      <w:r w:rsidRPr="007A7615">
        <w:rPr>
          <w:rFonts w:ascii="Palatino Linotype" w:eastAsia="Palatino Linotype" w:hAnsi="Palatino Linotype" w:cs="Palatino Linotype"/>
          <w:b/>
        </w:rPr>
        <w:t xml:space="preserve"> </w:t>
      </w:r>
      <w:r w:rsidRPr="007A7615">
        <w:rPr>
          <w:rFonts w:ascii="Palatino Linotype" w:eastAsia="Palatino Linotype" w:hAnsi="Palatino Linotype" w:cs="Palatino Linotype"/>
        </w:rPr>
        <w:t xml:space="preserve">del </w:t>
      </w:r>
      <w:r w:rsidRPr="007A7615">
        <w:rPr>
          <w:rFonts w:ascii="Palatino Linotype" w:eastAsia="Palatino Linotype" w:hAnsi="Palatino Linotype" w:cs="Palatino Linotype"/>
          <w:b/>
        </w:rPr>
        <w:t>Sujeto Obligado.</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Segundo.</w:t>
      </w:r>
      <w:r w:rsidRPr="007A7615">
        <w:rPr>
          <w:rFonts w:ascii="Palatino Linotype" w:eastAsia="Palatino Linotype" w:hAnsi="Palatino Linotype" w:cs="Palatino Linotype"/>
        </w:rPr>
        <w:t xml:space="preserve"> Se </w:t>
      </w:r>
      <w:r w:rsidRPr="007A7615">
        <w:rPr>
          <w:rFonts w:ascii="Palatino Linotype" w:eastAsia="Palatino Linotype" w:hAnsi="Palatino Linotype" w:cs="Palatino Linotype"/>
          <w:b/>
        </w:rPr>
        <w:t>Ordena</w:t>
      </w:r>
      <w:r w:rsidRPr="007A7615">
        <w:rPr>
          <w:rFonts w:ascii="Palatino Linotype" w:eastAsia="Palatino Linotype" w:hAnsi="Palatino Linotype" w:cs="Palatino Linotype"/>
        </w:rPr>
        <w:t xml:space="preserve"> al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en términos de los Considerandos </w:t>
      </w:r>
      <w:r w:rsidRPr="007A7615">
        <w:rPr>
          <w:rFonts w:ascii="Palatino Linotype" w:eastAsia="Palatino Linotype" w:hAnsi="Palatino Linotype" w:cs="Palatino Linotype"/>
          <w:b/>
        </w:rPr>
        <w:t xml:space="preserve">Cuarto </w:t>
      </w:r>
      <w:r w:rsidRPr="007A7615">
        <w:rPr>
          <w:rFonts w:ascii="Palatino Linotype" w:eastAsia="Palatino Linotype" w:hAnsi="Palatino Linotype" w:cs="Palatino Linotype"/>
        </w:rPr>
        <w:t xml:space="preserve">y </w:t>
      </w:r>
      <w:r w:rsidRPr="007A7615">
        <w:rPr>
          <w:rFonts w:ascii="Palatino Linotype" w:eastAsia="Palatino Linotype" w:hAnsi="Palatino Linotype" w:cs="Palatino Linotype"/>
          <w:b/>
        </w:rPr>
        <w:t xml:space="preserve">Quinto </w:t>
      </w:r>
      <w:r w:rsidRPr="007A7615">
        <w:rPr>
          <w:rFonts w:ascii="Palatino Linotype" w:eastAsia="Palatino Linotype" w:hAnsi="Palatino Linotype" w:cs="Palatino Linotype"/>
        </w:rPr>
        <w:t>de esta resolución, haga entrega, vía SAIMEX, previa búsqueda exhaustiva y razonable, en versión pública de lo siguiente:</w:t>
      </w:r>
    </w:p>
    <w:p w:rsidR="00A91087" w:rsidRPr="007A7615" w:rsidRDefault="008A0C95">
      <w:pPr>
        <w:spacing w:line="360" w:lineRule="auto"/>
        <w:ind w:left="426"/>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1. Del Vehículo Volkswagen, </w:t>
      </w:r>
      <w:proofErr w:type="spellStart"/>
      <w:r w:rsidRPr="007A7615">
        <w:rPr>
          <w:rFonts w:ascii="Palatino Linotype" w:eastAsia="Palatino Linotype" w:hAnsi="Palatino Linotype" w:cs="Palatino Linotype"/>
        </w:rPr>
        <w:t>Vento</w:t>
      </w:r>
      <w:proofErr w:type="spellEnd"/>
      <w:r w:rsidRPr="007A7615">
        <w:rPr>
          <w:rFonts w:ascii="Palatino Linotype" w:eastAsia="Palatino Linotype" w:hAnsi="Palatino Linotype" w:cs="Palatino Linotype"/>
        </w:rPr>
        <w:t xml:space="preserve"> 2021, de conformidad con el contrato remitido en respuesta: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a. Estudios de mercado;</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b. Acta del Comité o Subcomité de Adquisiciones y Servicios;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 xml:space="preserve">c. Acta de la junta de aclaraciones;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 Revisión de anexos de los contratos por parte del Órgano Interno de Control;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e. Tarjeta de circulación vigente al trece de abril de dos mil veintitrés;</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f. Última verificación vehicular realizada al trece de abril de dos mil veintitrés.</w:t>
      </w:r>
    </w:p>
    <w:p w:rsidR="00A91087" w:rsidRPr="007A7615" w:rsidRDefault="008A0C95">
      <w:pPr>
        <w:spacing w:line="360" w:lineRule="auto"/>
        <w:ind w:left="426"/>
        <w:jc w:val="both"/>
        <w:rPr>
          <w:rFonts w:ascii="Palatino Linotype" w:eastAsia="Palatino Linotype" w:hAnsi="Palatino Linotype" w:cs="Palatino Linotype"/>
        </w:rPr>
      </w:pPr>
      <w:r w:rsidRPr="007A7615">
        <w:rPr>
          <w:rFonts w:ascii="Palatino Linotype" w:eastAsia="Palatino Linotype" w:hAnsi="Palatino Linotype" w:cs="Palatino Linotype"/>
        </w:rPr>
        <w:t>2. De las patrullas municipales faltantes, adquiridas del primero de enero de dos mil dieciocho al trece de abril de dos mil veintitrés:</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a. Copia del contrato, que incluya en su caso, costo de los radios, marca y modelo que utilizan;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b. Estudios de mercado;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c. Acta del Comité o Subcomité de Adquisiciones y Servicios;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 Acta de la Junta de aclaraciones;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e. Revisión de anexos de los contratos por parte del Órgano Interno de Control; </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f. Tarjeta de circulación vigente al trece de abril de dos mil veintitrés;</w:t>
      </w:r>
    </w:p>
    <w:p w:rsidR="00A91087" w:rsidRPr="007A7615" w:rsidRDefault="008A0C95">
      <w:pPr>
        <w:spacing w:line="360" w:lineRule="auto"/>
        <w:ind w:left="851"/>
        <w:jc w:val="both"/>
        <w:rPr>
          <w:rFonts w:ascii="Palatino Linotype" w:eastAsia="Palatino Linotype" w:hAnsi="Palatino Linotype" w:cs="Palatino Linotype"/>
        </w:rPr>
      </w:pPr>
      <w:r w:rsidRPr="007A7615">
        <w:rPr>
          <w:rFonts w:ascii="Palatino Linotype" w:eastAsia="Palatino Linotype" w:hAnsi="Palatino Linotype" w:cs="Palatino Linotype"/>
        </w:rPr>
        <w:t>h. Última verificación vehicular realizada al trece de abril de dos mil veintitrés.</w:t>
      </w:r>
    </w:p>
    <w:p w:rsidR="00A91087" w:rsidRPr="007A7615" w:rsidRDefault="008A0C95">
      <w:pPr>
        <w:spacing w:before="120" w:after="120"/>
        <w:ind w:left="425"/>
        <w:jc w:val="both"/>
        <w:rPr>
          <w:rFonts w:ascii="Palatino Linotype" w:eastAsia="Palatino Linotype" w:hAnsi="Palatino Linotype" w:cs="Palatino Linotype"/>
          <w:i/>
          <w:sz w:val="20"/>
          <w:szCs w:val="20"/>
        </w:rPr>
      </w:pPr>
      <w:r w:rsidRPr="007A7615">
        <w:rPr>
          <w:rFonts w:ascii="Palatino Linotype" w:eastAsia="Palatino Linotype" w:hAnsi="Palatino Linotype" w:cs="Palatino Linotype"/>
          <w:i/>
          <w:sz w:val="20"/>
          <w:szCs w:val="20"/>
        </w:rPr>
        <w:t xml:space="preserve">Para la entrega en versión pública, se deberá entregar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7A7615">
        <w:rPr>
          <w:rFonts w:ascii="Palatino Linotype" w:eastAsia="Palatino Linotype" w:hAnsi="Palatino Linotype" w:cs="Palatino Linotype"/>
          <w:b/>
          <w:i/>
          <w:sz w:val="20"/>
          <w:szCs w:val="20"/>
        </w:rPr>
        <w:t>Recurrente</w:t>
      </w:r>
      <w:r w:rsidRPr="007A7615">
        <w:rPr>
          <w:rFonts w:ascii="Palatino Linotype" w:eastAsia="Palatino Linotype" w:hAnsi="Palatino Linotype" w:cs="Palatino Linotype"/>
          <w:i/>
          <w:sz w:val="20"/>
          <w:szCs w:val="20"/>
        </w:rPr>
        <w:t>.</w:t>
      </w:r>
    </w:p>
    <w:p w:rsidR="00A91087" w:rsidRPr="007A7615" w:rsidRDefault="008A0C95">
      <w:pPr>
        <w:spacing w:before="120" w:after="120"/>
        <w:ind w:left="425"/>
        <w:jc w:val="both"/>
        <w:rPr>
          <w:rFonts w:ascii="Palatino Linotype" w:eastAsia="Palatino Linotype" w:hAnsi="Palatino Linotype" w:cs="Palatino Linotype"/>
          <w:i/>
          <w:sz w:val="20"/>
          <w:szCs w:val="20"/>
        </w:rPr>
      </w:pPr>
      <w:r w:rsidRPr="007A7615">
        <w:rPr>
          <w:rFonts w:ascii="Palatino Linotype" w:eastAsia="Palatino Linotype" w:hAnsi="Palatino Linotype" w:cs="Palatino Linotype"/>
          <w:i/>
          <w:sz w:val="20"/>
          <w:szCs w:val="20"/>
        </w:rPr>
        <w:t xml:space="preserve">Para el caso de que los documentos referidos en el punto 2, inciso a del presente Resolutivo se adviertan las características técnicas que tienen los equipos de radio comunicación instalados en las patrullas municipales asignados a la Dirección de Seguridad Pública, al ser información reservada, se deberá notificar el Acuerdo de Clasificación de la información que emita el Comité de Transparencia con motivo de la </w:t>
      </w:r>
      <w:r w:rsidRPr="007A7615">
        <w:rPr>
          <w:rFonts w:ascii="Palatino Linotype" w:eastAsia="Palatino Linotype" w:hAnsi="Palatino Linotype" w:cs="Palatino Linotype"/>
          <w:b/>
          <w:i/>
          <w:sz w:val="20"/>
          <w:szCs w:val="20"/>
        </w:rPr>
        <w:t>reserva</w:t>
      </w:r>
      <w:r w:rsidRPr="007A7615">
        <w:rPr>
          <w:rFonts w:ascii="Palatino Linotype" w:eastAsia="Palatino Linotype" w:hAnsi="Palatino Linotype" w:cs="Palatino Linotype"/>
          <w:i/>
          <w:sz w:val="20"/>
          <w:szCs w:val="20"/>
        </w:rPr>
        <w:t xml:space="preserve"> de información, conforme a los artículos 49 fracción VIII, 129, 140 y 141 de la Ley de Transparencia y Acceso a la Información Pública del Estado de México y Municipios.</w:t>
      </w:r>
    </w:p>
    <w:p w:rsidR="00A91087" w:rsidRPr="007A7615" w:rsidRDefault="008A0C95">
      <w:pPr>
        <w:spacing w:before="120" w:after="120"/>
        <w:ind w:left="425" w:right="40"/>
        <w:jc w:val="both"/>
        <w:rPr>
          <w:rFonts w:ascii="Palatino Linotype" w:eastAsia="Palatino Linotype" w:hAnsi="Palatino Linotype" w:cs="Palatino Linotype"/>
          <w:i/>
          <w:sz w:val="20"/>
          <w:szCs w:val="20"/>
        </w:rPr>
      </w:pPr>
      <w:r w:rsidRPr="007A7615">
        <w:rPr>
          <w:rFonts w:ascii="Palatino Linotype" w:eastAsia="Palatino Linotype" w:hAnsi="Palatino Linotype" w:cs="Palatino Linotype"/>
          <w:i/>
          <w:sz w:val="20"/>
          <w:szCs w:val="20"/>
        </w:rPr>
        <w:lastRenderedPageBreak/>
        <w:t xml:space="preserve">Para el caso de que la información ordenada en los puntos 1, incisos a, c y d, y 2, no obre en los archivos del </w:t>
      </w:r>
      <w:r w:rsidRPr="007A7615">
        <w:rPr>
          <w:rFonts w:ascii="Palatino Linotype" w:eastAsia="Palatino Linotype" w:hAnsi="Palatino Linotype" w:cs="Palatino Linotype"/>
          <w:b/>
          <w:i/>
          <w:sz w:val="20"/>
          <w:szCs w:val="20"/>
        </w:rPr>
        <w:t xml:space="preserve">Sujeto Obligado, </w:t>
      </w:r>
      <w:r w:rsidRPr="007A7615">
        <w:rPr>
          <w:rFonts w:ascii="Palatino Linotype" w:eastAsia="Palatino Linotype" w:hAnsi="Palatino Linotype" w:cs="Palatino Linotype"/>
          <w:i/>
          <w:sz w:val="20"/>
          <w:szCs w:val="20"/>
        </w:rPr>
        <w:t xml:space="preserve">por no haberse generado, bastará con que así se haga del conocimiento de la parte </w:t>
      </w:r>
      <w:r w:rsidRPr="007A7615">
        <w:rPr>
          <w:rFonts w:ascii="Palatino Linotype" w:eastAsia="Palatino Linotype" w:hAnsi="Palatino Linotype" w:cs="Palatino Linotype"/>
          <w:b/>
          <w:i/>
          <w:sz w:val="20"/>
          <w:szCs w:val="20"/>
        </w:rPr>
        <w:t>Recurrente</w:t>
      </w:r>
      <w:r w:rsidRPr="007A7615">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b/>
        </w:rPr>
      </w:pPr>
      <w:r w:rsidRPr="007A7615">
        <w:rPr>
          <w:rFonts w:ascii="Palatino Linotype" w:eastAsia="Palatino Linotype" w:hAnsi="Palatino Linotype" w:cs="Palatino Linotype"/>
          <w:b/>
        </w:rPr>
        <w:t xml:space="preserve">Tercero. Notifíquese, </w:t>
      </w:r>
      <w:r w:rsidRPr="007A7615">
        <w:rPr>
          <w:rFonts w:ascii="Palatino Linotype" w:eastAsia="Palatino Linotype" w:hAnsi="Palatino Linotype" w:cs="Palatino Linotype"/>
        </w:rPr>
        <w:t xml:space="preserve">vía </w:t>
      </w:r>
      <w:r w:rsidRPr="007A7615">
        <w:rPr>
          <w:rFonts w:ascii="Palatino Linotype" w:eastAsia="Palatino Linotype" w:hAnsi="Palatino Linotype" w:cs="Palatino Linotype"/>
          <w:b/>
        </w:rPr>
        <w:t>SAIMEX</w:t>
      </w:r>
      <w:r w:rsidRPr="007A7615">
        <w:rPr>
          <w:rFonts w:ascii="Palatino Linotype" w:eastAsia="Palatino Linotype" w:hAnsi="Palatino Linotype" w:cs="Palatino Linotype"/>
        </w:rPr>
        <w:t xml:space="preserve">, al Titular de la Unidad de Transparencia del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A7615">
        <w:rPr>
          <w:rFonts w:ascii="Palatino Linotype" w:eastAsia="Palatino Linotype" w:hAnsi="Palatino Linotype" w:cs="Palatino Linotype"/>
          <w:b/>
        </w:rPr>
        <w:t>Sujeto Obligado</w:t>
      </w:r>
      <w:r w:rsidRPr="007A7615">
        <w:rPr>
          <w:rFonts w:ascii="Palatino Linotype" w:eastAsia="Palatino Linotype" w:hAnsi="Palatino Linotype" w:cs="Palatino Linotype"/>
        </w:rPr>
        <w:t xml:space="preserve"> de manera fundada y motivada, podrá solicitar una ampliación de plazo para el cumplimiento de la presente resolución.</w:t>
      </w:r>
    </w:p>
    <w:p w:rsidR="00A91087" w:rsidRPr="007A7615" w:rsidRDefault="008A0C95">
      <w:pPr>
        <w:spacing w:before="240" w:after="240"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b/>
        </w:rPr>
        <w:t xml:space="preserve">Cuarto.  Notifíquese, </w:t>
      </w:r>
      <w:r w:rsidRPr="007A7615">
        <w:rPr>
          <w:rFonts w:ascii="Palatino Linotype" w:eastAsia="Palatino Linotype" w:hAnsi="Palatino Linotype" w:cs="Palatino Linotype"/>
        </w:rPr>
        <w:t xml:space="preserve">vía </w:t>
      </w:r>
      <w:r w:rsidRPr="007A7615">
        <w:rPr>
          <w:rFonts w:ascii="Palatino Linotype" w:eastAsia="Palatino Linotype" w:hAnsi="Palatino Linotype" w:cs="Palatino Linotype"/>
          <w:b/>
        </w:rPr>
        <w:t>SAIMEX</w:t>
      </w:r>
      <w:r w:rsidRPr="007A7615">
        <w:rPr>
          <w:rFonts w:ascii="Palatino Linotype" w:eastAsia="Palatino Linotype" w:hAnsi="Palatino Linotype" w:cs="Palatino Linotype"/>
        </w:rPr>
        <w:t xml:space="preserve">, a la parte </w:t>
      </w:r>
      <w:r w:rsidRPr="007A7615">
        <w:rPr>
          <w:rFonts w:ascii="Palatino Linotype" w:eastAsia="Palatino Linotype" w:hAnsi="Palatino Linotype" w:cs="Palatino Linotype"/>
          <w:b/>
        </w:rPr>
        <w:t xml:space="preserve">Recurrente </w:t>
      </w:r>
      <w:r w:rsidRPr="007A7615">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A91087" w:rsidRPr="007A7615" w:rsidRDefault="008A0C95">
      <w:pP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w:t>
      </w:r>
      <w:r w:rsidR="00EB6873" w:rsidRPr="007A7615">
        <w:rPr>
          <w:rFonts w:ascii="Palatino Linotype" w:eastAsia="Palatino Linotype" w:hAnsi="Palatino Linotype" w:cs="Palatino Linotype"/>
        </w:rPr>
        <w:t>ISIONADOS JOSÉ MARTÍNEZ VILCHIS; MARÍA DEL ROSARIO MEJÍA AYALA;</w:t>
      </w:r>
      <w:r w:rsidRPr="007A7615">
        <w:rPr>
          <w:rFonts w:ascii="Palatino Linotype" w:eastAsia="Palatino Linotype" w:hAnsi="Palatino Linotype" w:cs="Palatino Linotype"/>
        </w:rPr>
        <w:t xml:space="preserve"> SH</w:t>
      </w:r>
      <w:r w:rsidR="00EB6873" w:rsidRPr="007A7615">
        <w:rPr>
          <w:rFonts w:ascii="Palatino Linotype" w:eastAsia="Palatino Linotype" w:hAnsi="Palatino Linotype" w:cs="Palatino Linotype"/>
        </w:rPr>
        <w:t xml:space="preserve">ARON CRISTINA MORALES MARTÍNEZ; </w:t>
      </w:r>
      <w:r w:rsidRPr="007A7615">
        <w:rPr>
          <w:rFonts w:ascii="Palatino Linotype" w:eastAsia="Palatino Linotype" w:hAnsi="Palatino Linotype" w:cs="Palatino Linotype"/>
        </w:rPr>
        <w:t>LUIS GUSTAVO PARRA NORIEGA</w:t>
      </w:r>
      <w:r w:rsidR="00EB6873" w:rsidRPr="007A7615">
        <w:rPr>
          <w:rFonts w:ascii="Palatino Linotype" w:eastAsia="Palatino Linotype" w:hAnsi="Palatino Linotype" w:cs="Palatino Linotype"/>
        </w:rPr>
        <w:t>, EMITIENDO VOTO PARTICULAR;</w:t>
      </w:r>
      <w:r w:rsidRPr="007A7615">
        <w:rPr>
          <w:rFonts w:ascii="Palatino Linotype" w:eastAsia="Palatino Linotype" w:hAnsi="Palatino Linotype" w:cs="Palatino Linotype"/>
        </w:rPr>
        <w:t xml:space="preserve"> Y GUADALUPE RAMÍREZ PEÑA; EN LA TRIGÉSIMO SEXTA SESIÓN ORDINARIA, CELEBRADA EL TRES DE OCTUBRE DE DOS MIL VEINTITRÉS, ANTE EL SECRETARIO TÉCNICO DEL PLENO ALEXIS TAPIA RAMÍREZ.</w:t>
      </w:r>
    </w:p>
    <w:p w:rsidR="00A91087" w:rsidRPr="007A7615" w:rsidRDefault="00EB6873">
      <w:pPr>
        <w:spacing w:line="360" w:lineRule="auto"/>
        <w:jc w:val="both"/>
        <w:rPr>
          <w:rFonts w:ascii="Palatino Linotype" w:eastAsia="Palatino Linotype" w:hAnsi="Palatino Linotype" w:cs="Palatino Linotype"/>
        </w:rPr>
      </w:pPr>
      <w:r w:rsidRPr="007A7615">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29210</wp:posOffset>
                </wp:positionV>
                <wp:extent cx="5505450" cy="438150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505450" cy="4381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79528" id="Conector recto 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3pt" to="815.8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" strokecolor="black [3200]" strokeweight="2pt">
                <v:shadow on="t" color="black" opacity="24903f" origin=",.5" offset="0,.55556mm"/>
                <w10:wrap anchorx="margin"/>
              </v:line>
            </w:pict>
          </mc:Fallback>
        </mc:AlternateContent>
      </w: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bookmarkStart w:id="10" w:name="_heading=h.3rdcrjn" w:colFirst="0" w:colLast="0"/>
      <w:bookmarkEnd w:id="10"/>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bookmarkStart w:id="11" w:name="_heading=h.1t3h5sf" w:colFirst="0" w:colLast="0"/>
      <w:bookmarkEnd w:id="11"/>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p w:rsidR="00A91087" w:rsidRPr="007A7615" w:rsidRDefault="00A91087">
      <w:pPr>
        <w:spacing w:line="360" w:lineRule="auto"/>
        <w:jc w:val="both"/>
        <w:rPr>
          <w:rFonts w:ascii="Palatino Linotype" w:eastAsia="Palatino Linotype" w:hAnsi="Palatino Linotype" w:cs="Palatino Linotype"/>
        </w:rPr>
      </w:pPr>
    </w:p>
    <w:sectPr w:rsidR="00A91087" w:rsidRPr="007A7615">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A2B" w:rsidRDefault="002E7A2B">
      <w:r>
        <w:separator/>
      </w:r>
    </w:p>
  </w:endnote>
  <w:endnote w:type="continuationSeparator" w:id="0">
    <w:p w:rsidR="002E7A2B" w:rsidRDefault="002E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087" w:rsidRDefault="008A0C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17FE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17FE0">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rsidR="00A91087" w:rsidRDefault="00A9108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087" w:rsidRDefault="008A0C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17FE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17FE0">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rsidR="00A91087" w:rsidRDefault="00A9108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A2B" w:rsidRDefault="002E7A2B">
      <w:r>
        <w:separator/>
      </w:r>
    </w:p>
  </w:footnote>
  <w:footnote w:type="continuationSeparator" w:id="0">
    <w:p w:rsidR="002E7A2B" w:rsidRDefault="002E7A2B">
      <w:r>
        <w:continuationSeparator/>
      </w:r>
    </w:p>
  </w:footnote>
  <w:footnote w:id="1">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5">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 w:id="6">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A91087" w:rsidRDefault="008A0C9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087" w:rsidRDefault="008A0C95">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-1080121</wp:posOffset>
          </wp:positionH>
          <wp:positionV relativeFrom="paragraph">
            <wp:posOffset>-488299</wp:posOffset>
          </wp:positionV>
          <wp:extent cx="7809865" cy="10165715"/>
          <wp:effectExtent l="0" t="0" r="0" b="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A91087">
      <w:tc>
        <w:tcPr>
          <w:tcW w:w="2489" w:type="dxa"/>
          <w:shd w:val="clear" w:color="auto" w:fill="auto"/>
        </w:tcPr>
        <w:p w:rsidR="00A91087" w:rsidRDefault="008A0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A91087" w:rsidRDefault="008A0C9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02229/INFOEM/IP/RR/2023</w:t>
          </w:r>
        </w:p>
      </w:tc>
    </w:tr>
    <w:tr w:rsidR="00A91087">
      <w:trPr>
        <w:trHeight w:val="228"/>
      </w:trPr>
      <w:tc>
        <w:tcPr>
          <w:tcW w:w="2489" w:type="dxa"/>
          <w:shd w:val="clear" w:color="auto" w:fill="auto"/>
          <w:vAlign w:val="center"/>
        </w:tcPr>
        <w:p w:rsidR="00A91087" w:rsidRDefault="008A0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A91087" w:rsidRDefault="008A0C9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A91087">
      <w:tc>
        <w:tcPr>
          <w:tcW w:w="2489" w:type="dxa"/>
          <w:shd w:val="clear" w:color="auto" w:fill="auto"/>
          <w:vAlign w:val="center"/>
        </w:tcPr>
        <w:p w:rsidR="00A91087" w:rsidRDefault="008A0C9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A91087" w:rsidRDefault="008A0C9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91087" w:rsidRDefault="008A0C9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087" w:rsidRDefault="008A0C9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-1079499</wp:posOffset>
          </wp:positionH>
          <wp:positionV relativeFrom="paragraph">
            <wp:posOffset>-328929</wp:posOffset>
          </wp:positionV>
          <wp:extent cx="7809865" cy="10165715"/>
          <wp:effectExtent l="0" t="0" r="0" b="0"/>
          <wp:wrapNone/>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A91087">
      <w:tc>
        <w:tcPr>
          <w:tcW w:w="2551" w:type="dxa"/>
          <w:shd w:val="clear" w:color="auto" w:fill="auto"/>
          <w:vAlign w:val="center"/>
        </w:tcPr>
        <w:p w:rsidR="00A91087" w:rsidRDefault="008A0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A91087" w:rsidRDefault="008A0C9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02229/INFOEM/IP/RR/2023</w:t>
          </w:r>
        </w:p>
      </w:tc>
    </w:tr>
    <w:tr w:rsidR="00A91087">
      <w:trPr>
        <w:trHeight w:val="130"/>
      </w:trPr>
      <w:tc>
        <w:tcPr>
          <w:tcW w:w="2551" w:type="dxa"/>
          <w:shd w:val="clear" w:color="auto" w:fill="auto"/>
          <w:vAlign w:val="center"/>
        </w:tcPr>
        <w:p w:rsidR="00A91087" w:rsidRDefault="008A0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A91087" w:rsidRDefault="00E17FE0" w:rsidP="00E17FE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w:t>
          </w:r>
        </w:p>
      </w:tc>
    </w:tr>
    <w:tr w:rsidR="00A91087">
      <w:trPr>
        <w:trHeight w:val="228"/>
      </w:trPr>
      <w:tc>
        <w:tcPr>
          <w:tcW w:w="2551" w:type="dxa"/>
          <w:shd w:val="clear" w:color="auto" w:fill="auto"/>
          <w:vAlign w:val="center"/>
        </w:tcPr>
        <w:p w:rsidR="00A91087" w:rsidRDefault="008A0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A91087" w:rsidRDefault="008A0C9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A91087">
      <w:tc>
        <w:tcPr>
          <w:tcW w:w="2551" w:type="dxa"/>
          <w:shd w:val="clear" w:color="auto" w:fill="auto"/>
          <w:vAlign w:val="center"/>
        </w:tcPr>
        <w:p w:rsidR="00A91087" w:rsidRDefault="008A0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A91087" w:rsidRDefault="008A0C9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91087" w:rsidRDefault="00A91087">
    <w:pPr>
      <w:pBdr>
        <w:top w:val="nil"/>
        <w:left w:val="nil"/>
        <w:bottom w:val="nil"/>
        <w:right w:val="nil"/>
        <w:between w:val="nil"/>
      </w:pBdr>
      <w:tabs>
        <w:tab w:val="center" w:pos="4252"/>
        <w:tab w:val="right" w:pos="8504"/>
      </w:tabs>
      <w:rPr>
        <w:rFonts w:ascii="Cambria" w:eastAsia="Cambria" w:hAnsi="Cambria" w:cs="Cambria"/>
        <w:color w:val="000000"/>
      </w:rPr>
    </w:pPr>
  </w:p>
  <w:p w:rsidR="00A91087" w:rsidRDefault="00A910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620FC6"/>
    <w:multiLevelType w:val="multilevel"/>
    <w:tmpl w:val="8D9405F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61850CA"/>
    <w:multiLevelType w:val="multilevel"/>
    <w:tmpl w:val="24764C7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25159D7"/>
    <w:multiLevelType w:val="multilevel"/>
    <w:tmpl w:val="C49C2C40"/>
    <w:lvl w:ilvl="0">
      <w:start w:val="3"/>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87"/>
    <w:rsid w:val="000D03BC"/>
    <w:rsid w:val="002E7A2B"/>
    <w:rsid w:val="007A7615"/>
    <w:rsid w:val="008A0C95"/>
    <w:rsid w:val="00A60F3C"/>
    <w:rsid w:val="00A91087"/>
    <w:rsid w:val="00E17FE0"/>
    <w:rsid w:val="00EB6873"/>
    <w:rsid w:val="00F61204"/>
    <w:rsid w:val="00F80A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1060D-A9A9-406A-A93A-41063D4E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63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2"/>
    <w:tblPr>
      <w:tblStyleRowBandSize w:val="1"/>
      <w:tblStyleColBandSize w:val="1"/>
      <w:tblCellMar>
        <w:top w:w="0" w:type="dxa"/>
        <w:left w:w="115" w:type="dxa"/>
        <w:bottom w:w="0" w:type="dxa"/>
        <w:right w:w="115" w:type="dxa"/>
      </w:tblCellMar>
    </w:tblPr>
  </w:style>
  <w:style w:type="table" w:customStyle="1" w:styleId="8">
    <w:name w:val="8"/>
    <w:basedOn w:val="TableNormal2"/>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3"/>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33">
    <w:name w:val="33"/>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2">
    <w:name w:val="32"/>
    <w:basedOn w:val="TableNormal10"/>
    <w:tblPr>
      <w:tblStyleRowBandSize w:val="1"/>
      <w:tblStyleColBandSize w:val="1"/>
      <w:tblCellMar>
        <w:top w:w="0" w:type="dxa"/>
        <w:left w:w="115" w:type="dxa"/>
        <w:bottom w:w="0" w:type="dxa"/>
        <w:right w:w="115" w:type="dxa"/>
      </w:tblCellMar>
    </w:tblPr>
  </w:style>
  <w:style w:type="table" w:customStyle="1" w:styleId="31">
    <w:name w:val="31"/>
    <w:basedOn w:val="TableNormal10"/>
    <w:tblPr>
      <w:tblStyleRowBandSize w:val="1"/>
      <w:tblStyleColBandSize w:val="1"/>
      <w:tblCellMar>
        <w:top w:w="0" w:type="dxa"/>
        <w:left w:w="115" w:type="dxa"/>
        <w:bottom w:w="0" w:type="dxa"/>
        <w:right w:w="115" w:type="dxa"/>
      </w:tblCellMar>
    </w:tblPr>
  </w:style>
  <w:style w:type="table" w:customStyle="1" w:styleId="30">
    <w:name w:val="30"/>
    <w:basedOn w:val="TableNormal1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11"/>
    <w:tblPr>
      <w:tblStyleRowBandSize w:val="1"/>
      <w:tblStyleColBandSize w:val="1"/>
      <w:tblCellMar>
        <w:top w:w="0" w:type="dxa"/>
        <w:left w:w="115" w:type="dxa"/>
        <w:bottom w:w="0" w:type="dxa"/>
        <w:right w:w="115" w:type="dxa"/>
      </w:tblCellMar>
    </w:tblPr>
  </w:style>
  <w:style w:type="table" w:customStyle="1" w:styleId="28">
    <w:name w:val="28"/>
    <w:basedOn w:val="TableNormal11"/>
    <w:tblPr>
      <w:tblStyleRowBandSize w:val="1"/>
      <w:tblStyleColBandSize w:val="1"/>
      <w:tblCellMar>
        <w:top w:w="0" w:type="dxa"/>
        <w:left w:w="115" w:type="dxa"/>
        <w:bottom w:w="0" w:type="dxa"/>
        <w:right w:w="115" w:type="dxa"/>
      </w:tblCellMar>
    </w:tblPr>
  </w:style>
  <w:style w:type="table" w:customStyle="1" w:styleId="27">
    <w:name w:val="27"/>
    <w:basedOn w:val="TableNormal1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6">
    <w:name w:val="26"/>
    <w:basedOn w:val="TableNormal12"/>
    <w:tblPr>
      <w:tblStyleRowBandSize w:val="1"/>
      <w:tblStyleColBandSize w:val="1"/>
      <w:tblCellMar>
        <w:top w:w="0" w:type="dxa"/>
        <w:left w:w="115" w:type="dxa"/>
        <w:bottom w:w="0" w:type="dxa"/>
        <w:right w:w="115" w:type="dxa"/>
      </w:tblCellMar>
    </w:tblPr>
  </w:style>
  <w:style w:type="table" w:customStyle="1" w:styleId="25">
    <w:name w:val="25"/>
    <w:basedOn w:val="TableNormal1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38382C"/>
    <w:rPr>
      <w:color w:val="605E5C"/>
      <w:shd w:val="clear" w:color="auto" w:fill="E1DFDD"/>
    </w:rPr>
  </w:style>
  <w:style w:type="paragraph" w:styleId="Saludo">
    <w:name w:val="Salutation"/>
    <w:basedOn w:val="Normal"/>
    <w:next w:val="Normal"/>
    <w:link w:val="SaludoCar"/>
    <w:uiPriority w:val="99"/>
    <w:unhideWhenUsed/>
    <w:rsid w:val="00A3256F"/>
  </w:style>
  <w:style w:type="character" w:customStyle="1" w:styleId="SaludoCar">
    <w:name w:val="Saludo Car"/>
    <w:basedOn w:val="Fuentedeprrafopredeter"/>
    <w:link w:val="Saludo"/>
    <w:uiPriority w:val="99"/>
    <w:rsid w:val="00A3256F"/>
  </w:style>
  <w:style w:type="paragraph" w:styleId="Listaconvietas2">
    <w:name w:val="List Bullet 2"/>
    <w:basedOn w:val="Normal"/>
    <w:uiPriority w:val="99"/>
    <w:unhideWhenUsed/>
    <w:rsid w:val="00A3256F"/>
    <w:pPr>
      <w:numPr>
        <w:numId w:val="5"/>
      </w:numPr>
      <w:contextualSpacing/>
    </w:p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0.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rhjflPjnHMa/bhY2SVZ41ofOw==">CgMxLjAyCGguZ2pkZ3hzMgloLjNkeTZ2a20yCWguMzBqMHpsbDIJaC4yczhleW8xMghoLnR5amN3dDIJaC4zem55c2g3MgloLjJldDkycDAyCWguMTdkcDh2dTIJaC4yNmluMXJnMgloLjNyZGNyam4yCWguMXQzaDVzZjgAciExWEN3cHJSMTZzaTUxZWVDSEpyRzZ4Y1g2d21EbUlmY3U=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22460</Words>
  <Characters>123530</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2023-10-04T16:54:00Z</cp:lastPrinted>
  <dcterms:created xsi:type="dcterms:W3CDTF">2023-10-25T19:27:00Z</dcterms:created>
  <dcterms:modified xsi:type="dcterms:W3CDTF">2023-10-25T19:27:00Z</dcterms:modified>
</cp:coreProperties>
</file>