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EC" w:rsidRDefault="002431BE">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octubre de dos mil veintitrés. </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02694/INFOEM/IP/RR/2023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particular que no proporcionó su nombre</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w:t>
      </w:r>
      <w:r>
        <w:rPr>
          <w:rFonts w:ascii="Palatino Linotype" w:eastAsia="Palatino Linotype" w:hAnsi="Palatino Linotype" w:cs="Palatino Linotype"/>
          <w:b/>
        </w:rPr>
        <w:t xml:space="preserve"> 00339/ZINACANT/IP/2023,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Ayuntamiento de Zinacantepec,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C147EC" w:rsidRDefault="002431BE">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catorce de marzo de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00339/ZINACANT/IP/2023, </w:t>
      </w:r>
      <w:r>
        <w:rPr>
          <w:rFonts w:ascii="Palatino Linotype" w:eastAsia="Palatino Linotype" w:hAnsi="Palatino Linotype" w:cs="Palatino Linotype"/>
        </w:rPr>
        <w:t xml:space="preserve">mediante la cual requirió la información siguiente: </w:t>
      </w:r>
    </w:p>
    <w:p w:rsidR="00C147EC" w:rsidRDefault="002431BE">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“SOLICITO TODOS LOS ACUSES DE LOS SEGUNDOS RECURSOS DE REVISIÓN INTERPUESTOS EN 2023” (Sic)</w:t>
      </w:r>
    </w:p>
    <w:p w:rsidR="00C147EC" w:rsidRDefault="00C147EC">
      <w:pPr>
        <w:spacing w:before="240"/>
        <w:ind w:left="851" w:right="902"/>
        <w:jc w:val="both"/>
        <w:rPr>
          <w:rFonts w:ascii="Palatino Linotype" w:eastAsia="Palatino Linotype" w:hAnsi="Palatino Linotype" w:cs="Palatino Linotype"/>
          <w:i/>
          <w:sz w:val="22"/>
          <w:szCs w:val="22"/>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C147EC" w:rsidRDefault="00C147EC">
      <w:pPr>
        <w:spacing w:line="360" w:lineRule="auto"/>
        <w:jc w:val="both"/>
        <w:rPr>
          <w:rFonts w:ascii="Palatino Linotype" w:eastAsia="Palatino Linotype" w:hAnsi="Palatino Linotype" w:cs="Palatino Linotype"/>
        </w:rPr>
      </w:pPr>
    </w:p>
    <w:p w:rsidR="00C147EC" w:rsidRDefault="002431BE">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Solicitud de Aclaración, </w:t>
      </w:r>
      <w:r>
        <w:rPr>
          <w:rFonts w:ascii="Palatino Linotype" w:eastAsia="Palatino Linotype" w:hAnsi="Palatino Linotype" w:cs="Palatino Linotype"/>
        </w:rPr>
        <w:t xml:space="preserve">Con fecha veintidós de marzo del dos mil veintitrés el </w:t>
      </w:r>
      <w:r>
        <w:rPr>
          <w:rFonts w:ascii="Palatino Linotype" w:eastAsia="Palatino Linotype" w:hAnsi="Palatino Linotype" w:cs="Palatino Linotype"/>
          <w:b/>
        </w:rPr>
        <w:t>SUJETO OBLIGADO</w:t>
      </w:r>
      <w:r>
        <w:rPr>
          <w:rFonts w:ascii="Palatino Linotype" w:eastAsia="Palatino Linotype" w:hAnsi="Palatino Linotype" w:cs="Palatino Linotype"/>
        </w:rPr>
        <w:t>, requirió al particular que complemente y/o aclare su solicitud, la cual versa como sigue:</w:t>
      </w:r>
    </w:p>
    <w:p w:rsidR="00C147EC" w:rsidRDefault="002431B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C147EC" w:rsidRDefault="00C147EC">
      <w:pPr>
        <w:ind w:left="851" w:right="900"/>
        <w:jc w:val="both"/>
        <w:rPr>
          <w:rFonts w:ascii="Palatino Linotype" w:eastAsia="Palatino Linotype" w:hAnsi="Palatino Linotype" w:cs="Palatino Linotype"/>
          <w:i/>
          <w:sz w:val="22"/>
          <w:szCs w:val="22"/>
        </w:rPr>
      </w:pPr>
    </w:p>
    <w:p w:rsidR="00C147EC" w:rsidRDefault="002431B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C147EC" w:rsidRDefault="00C147EC">
      <w:pPr>
        <w:ind w:left="851" w:right="900"/>
        <w:jc w:val="both"/>
        <w:rPr>
          <w:rFonts w:ascii="Palatino Linotype" w:eastAsia="Palatino Linotype" w:hAnsi="Palatino Linotype" w:cs="Palatino Linotype"/>
          <w:i/>
          <w:sz w:val="22"/>
          <w:szCs w:val="22"/>
        </w:rPr>
      </w:pPr>
    </w:p>
    <w:p w:rsidR="00C147EC" w:rsidRDefault="002431B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147EC" w:rsidRDefault="00C147EC">
      <w:pPr>
        <w:ind w:left="851" w:right="900"/>
        <w:jc w:val="both"/>
        <w:rPr>
          <w:rFonts w:ascii="Palatino Linotype" w:eastAsia="Palatino Linotype" w:hAnsi="Palatino Linotype" w:cs="Palatino Linotype"/>
          <w:i/>
          <w:sz w:val="22"/>
          <w:szCs w:val="22"/>
        </w:rPr>
      </w:pPr>
    </w:p>
    <w:p w:rsidR="00C147EC" w:rsidRDefault="002431B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C147EC" w:rsidRDefault="002431B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ING. JESUS EMMANUEL ENCASTIN RENDON” (Sic)</w:t>
      </w:r>
    </w:p>
    <w:p w:rsidR="00C147EC" w:rsidRDefault="00C147EC">
      <w:pPr>
        <w:ind w:left="851" w:right="900"/>
        <w:jc w:val="both"/>
        <w:rPr>
          <w:rFonts w:ascii="Palatino Linotype" w:eastAsia="Palatino Linotype" w:hAnsi="Palatino Linotype" w:cs="Palatino Linotype"/>
          <w:i/>
          <w:sz w:val="22"/>
          <w:szCs w:val="22"/>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de Solicitud. </w:t>
      </w:r>
      <w:r>
        <w:rPr>
          <w:rFonts w:ascii="Palatino Linotype" w:eastAsia="Palatino Linotype" w:hAnsi="Palatino Linotype" w:cs="Palatino Linotype"/>
        </w:rPr>
        <w:t>De las constancias que obran en el expediente electrónico del SAIMEX, se advierte que el solicitante en fecha veintitrés de marzo del año dos mil veintitrés, desahogó su aclaración en los siguientes términos:</w:t>
      </w:r>
    </w:p>
    <w:p w:rsidR="00C147EC" w:rsidRDefault="00C147EC">
      <w:pPr>
        <w:spacing w:line="360" w:lineRule="auto"/>
        <w:jc w:val="both"/>
        <w:rPr>
          <w:rFonts w:ascii="Palatino Linotype" w:eastAsia="Palatino Linotype" w:hAnsi="Palatino Linotype" w:cs="Palatino Linotype"/>
        </w:rPr>
      </w:pPr>
    </w:p>
    <w:p w:rsidR="00C147EC" w:rsidRDefault="002431B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SOLICITUD ES MUY ESPECIFICA” (Sic)</w:t>
      </w:r>
    </w:p>
    <w:p w:rsidR="00C147EC" w:rsidRDefault="00C147EC">
      <w:pPr>
        <w:spacing w:after="240" w:line="360" w:lineRule="auto"/>
        <w:jc w:val="both"/>
        <w:rPr>
          <w:rFonts w:ascii="Palatino Linotype" w:eastAsia="Palatino Linotype" w:hAnsi="Palatino Linotype" w:cs="Palatino Linotype"/>
          <w:b/>
        </w:rPr>
      </w:pPr>
    </w:p>
    <w:p w:rsidR="00C147EC" w:rsidRDefault="00C147EC">
      <w:pPr>
        <w:spacing w:after="240" w:line="360" w:lineRule="auto"/>
        <w:jc w:val="both"/>
        <w:rPr>
          <w:rFonts w:ascii="Palatino Linotype" w:eastAsia="Palatino Linotype" w:hAnsi="Palatino Linotype" w:cs="Palatino Linotype"/>
          <w:b/>
        </w:rPr>
      </w:pPr>
    </w:p>
    <w:p w:rsidR="00C147EC" w:rsidRDefault="00C147EC">
      <w:pPr>
        <w:spacing w:after="240" w:line="360" w:lineRule="auto"/>
        <w:jc w:val="both"/>
        <w:rPr>
          <w:rFonts w:ascii="Palatino Linotype" w:eastAsia="Palatino Linotype" w:hAnsi="Palatino Linotype" w:cs="Palatino Linotype"/>
          <w:b/>
        </w:rPr>
      </w:pP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Prórroga. </w:t>
      </w:r>
      <w:r>
        <w:rPr>
          <w:rFonts w:ascii="Palatino Linotype" w:eastAsia="Palatino Linotype" w:hAnsi="Palatino Linotype" w:cs="Palatino Linotype"/>
        </w:rPr>
        <w:t>De las constancias que obra en el expediente electrónico del SAIMEX, se desprende que el responsable de la Unidad de Transparencia, el veinte de abril del año dos mil veintitrés notificó una prórroga de siete días más, a los quince días que señala el artículo 163 de la Ley de Transparencia y Acceso a la Información Pública vigente en la entidad; para emitir su respuesta correspondiente, argumentando lo siguiente:</w:t>
      </w:r>
    </w:p>
    <w:p w:rsidR="00C147EC" w:rsidRDefault="002431BE">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147EC" w:rsidRDefault="002431BE">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le hace </w:t>
      </w:r>
      <w:proofErr w:type="spellStart"/>
      <w:r>
        <w:rPr>
          <w:rFonts w:ascii="Palatino Linotype" w:eastAsia="Palatino Linotype" w:hAnsi="Palatino Linotype" w:cs="Palatino Linotype"/>
          <w:i/>
          <w:sz w:val="22"/>
          <w:szCs w:val="22"/>
        </w:rPr>
        <w:t>hincapie</w:t>
      </w:r>
      <w:proofErr w:type="spellEnd"/>
      <w:r>
        <w:rPr>
          <w:rFonts w:ascii="Palatino Linotype" w:eastAsia="Palatino Linotype" w:hAnsi="Palatino Linotype" w:cs="Palatino Linotype"/>
          <w:i/>
          <w:sz w:val="22"/>
          <w:szCs w:val="22"/>
        </w:rPr>
        <w:t xml:space="preserve"> para dar cumplimiento</w:t>
      </w:r>
    </w:p>
    <w:p w:rsidR="00C147EC" w:rsidRDefault="002431BE">
      <w:pPr>
        <w:ind w:left="851" w:right="758"/>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ING. JESUS EMMANUEL ENCASTIN RENDON</w:t>
      </w:r>
      <w:r>
        <w:rPr>
          <w:rFonts w:ascii="Palatino Linotype" w:eastAsia="Palatino Linotype" w:hAnsi="Palatino Linotype" w:cs="Palatino Linotype"/>
          <w:b/>
          <w:i/>
          <w:sz w:val="22"/>
          <w:szCs w:val="22"/>
        </w:rPr>
        <w:t xml:space="preserve"> </w:t>
      </w:r>
    </w:p>
    <w:p w:rsidR="00C147EC" w:rsidRDefault="002431BE">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Responsable de la Unidad de Transparencia</w:t>
      </w:r>
      <w:r>
        <w:rPr>
          <w:rFonts w:ascii="Palatino Linotype" w:eastAsia="Palatino Linotype" w:hAnsi="Palatino Linotype" w:cs="Palatino Linotype"/>
          <w:i/>
          <w:sz w:val="22"/>
          <w:szCs w:val="22"/>
        </w:rPr>
        <w:t>” (Sic)</w:t>
      </w:r>
    </w:p>
    <w:p w:rsidR="00C147EC" w:rsidRDefault="00C147EC">
      <w:pPr>
        <w:spacing w:line="360" w:lineRule="auto"/>
        <w:jc w:val="both"/>
        <w:rPr>
          <w:rFonts w:ascii="Palatino Linotype" w:eastAsia="Palatino Linotype" w:hAnsi="Palatino Linotype" w:cs="Palatino Linotype"/>
          <w:b/>
        </w:rPr>
      </w:pPr>
    </w:p>
    <w:p w:rsidR="00C147EC" w:rsidRDefault="002431BE">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5.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ocho de mayo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C147EC" w:rsidRDefault="002431BE">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adjunta la respuesta a la solicitud interpuesta a través de esta plataforma digital....” (Sic)</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adjuntó a su respuesta los archivos electrónicos siguientes:</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Acuse del recurso de revisión3.pdf</w:t>
        </w:r>
      </w:hyperlink>
      <w:r>
        <w:rPr>
          <w:rFonts w:ascii="Palatino Linotype" w:eastAsia="Palatino Linotype" w:hAnsi="Palatino Linotype" w:cs="Palatino Linotype"/>
        </w:rPr>
        <w:t>”, el cual contiene el acuse de recibo del recurso de revisión 02130/INFOEM/IP/RR/2023.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hyperlink r:id="rId9">
        <w:r>
          <w:rPr>
            <w:rFonts w:ascii="Palatino Linotype" w:eastAsia="Palatino Linotype" w:hAnsi="Palatino Linotype" w:cs="Palatino Linotype"/>
          </w:rPr>
          <w:t>Acuse del recurso de revisión6.pdf</w:t>
        </w:r>
      </w:hyperlink>
      <w:r>
        <w:rPr>
          <w:rFonts w:ascii="Palatino Linotype" w:eastAsia="Palatino Linotype" w:hAnsi="Palatino Linotype" w:cs="Palatino Linotype"/>
        </w:rPr>
        <w:t>”, el cual contiene el acuse de recibo del recurso de revisión 02057/INFOEM/IP/RR/2023.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0">
        <w:r>
          <w:rPr>
            <w:rFonts w:ascii="Palatino Linotype" w:eastAsia="Palatino Linotype" w:hAnsi="Palatino Linotype" w:cs="Palatino Linotype"/>
          </w:rPr>
          <w:t>Acuse del recurso de revisión1.pdf</w:t>
        </w:r>
      </w:hyperlink>
      <w:r>
        <w:rPr>
          <w:rFonts w:ascii="Palatino Linotype" w:eastAsia="Palatino Linotype" w:hAnsi="Palatino Linotype" w:cs="Palatino Linotype"/>
        </w:rPr>
        <w:t>”, el cual contiene el acuse de recibo del recurso de revisión 02114/INFOEM/IP/RR/2023.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1">
        <w:r>
          <w:rPr>
            <w:rFonts w:ascii="Palatino Linotype" w:eastAsia="Palatino Linotype" w:hAnsi="Palatino Linotype" w:cs="Palatino Linotype"/>
          </w:rPr>
          <w:t>Acuse del recurso de revisión4.pdf</w:t>
        </w:r>
      </w:hyperlink>
      <w:r>
        <w:rPr>
          <w:rFonts w:ascii="Palatino Linotype" w:eastAsia="Palatino Linotype" w:hAnsi="Palatino Linotype" w:cs="Palatino Linotype"/>
        </w:rPr>
        <w:t>”, el cual contiene el acuse de recibo del recurso de revisión 02116/INFOEM/IP/RR/2023.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2">
        <w:r>
          <w:rPr>
            <w:rFonts w:ascii="Palatino Linotype" w:eastAsia="Palatino Linotype" w:hAnsi="Palatino Linotype" w:cs="Palatino Linotype"/>
          </w:rPr>
          <w:t>Acuse del recurso de revisión2.pdf</w:t>
        </w:r>
      </w:hyperlink>
      <w:r>
        <w:rPr>
          <w:rFonts w:ascii="Palatino Linotype" w:eastAsia="Palatino Linotype" w:hAnsi="Palatino Linotype" w:cs="Palatino Linotype"/>
        </w:rPr>
        <w:t>”, el cual contiene el acuse de recibo del recurso de revisión 02005/INFOEM/IP/RR/2023.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3">
        <w:r>
          <w:rPr>
            <w:rFonts w:ascii="Palatino Linotype" w:eastAsia="Palatino Linotype" w:hAnsi="Palatino Linotype" w:cs="Palatino Linotype"/>
          </w:rPr>
          <w:t>20230508190311442.pdf</w:t>
        </w:r>
      </w:hyperlink>
      <w:r>
        <w:rPr>
          <w:rFonts w:ascii="Palatino Linotype" w:eastAsia="Palatino Linotype" w:hAnsi="Palatino Linotype" w:cs="Palatino Linotype"/>
        </w:rPr>
        <w:t xml:space="preserve">”, el cual contiene la respuesta del Titular de la Unidad de Transparencia por medio del cual informó respecto de los segundos recursos de revisión interpuesto en el ejercicio fiscal 2023, por tal motivo anexo a la presente, la entrega de la información solicitada. </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4">
        <w:r>
          <w:rPr>
            <w:rFonts w:ascii="Palatino Linotype" w:eastAsia="Palatino Linotype" w:hAnsi="Palatino Linotype" w:cs="Palatino Linotype"/>
          </w:rPr>
          <w:t>Acuse del recurso de revisión7.pdf</w:t>
        </w:r>
      </w:hyperlink>
      <w:r>
        <w:rPr>
          <w:rFonts w:ascii="Palatino Linotype" w:eastAsia="Palatino Linotype" w:hAnsi="Palatino Linotype" w:cs="Palatino Linotype"/>
        </w:rPr>
        <w:t>”, el cual contiene el acuse de recibo del recurso de revisión 02059/INFOEM/IP/RR/2023.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5">
        <w:r>
          <w:rPr>
            <w:rFonts w:ascii="Palatino Linotype" w:eastAsia="Palatino Linotype" w:hAnsi="Palatino Linotype" w:cs="Palatino Linotype"/>
          </w:rPr>
          <w:t>Acuse del recurso de revisión5.pdf</w:t>
        </w:r>
      </w:hyperlink>
      <w:r>
        <w:rPr>
          <w:rFonts w:ascii="Palatino Linotype" w:eastAsia="Palatino Linotype" w:hAnsi="Palatino Linotype" w:cs="Palatino Linotype"/>
        </w:rPr>
        <w:t>”, el cual contiene el acuse de recibo del recurso de revisión 02115/INFOEM/IP/RR/2023.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6">
        <w:r>
          <w:rPr>
            <w:rFonts w:ascii="Palatino Linotype" w:eastAsia="Palatino Linotype" w:hAnsi="Palatino Linotype" w:cs="Palatino Linotype"/>
          </w:rPr>
          <w:t>Segundos Recurso de Revisión 10.pdf</w:t>
        </w:r>
      </w:hyperlink>
      <w:r>
        <w:rPr>
          <w:rFonts w:ascii="Palatino Linotype" w:eastAsia="Palatino Linotype" w:hAnsi="Palatino Linotype" w:cs="Palatino Linotype"/>
        </w:rPr>
        <w:t>”, el cual contiene el acuse de recibo del recurso de revisión 00963/INFOEM/ICR-215/IP/RR/2023.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7">
        <w:r>
          <w:rPr>
            <w:rFonts w:ascii="Palatino Linotype" w:eastAsia="Palatino Linotype" w:hAnsi="Palatino Linotype" w:cs="Palatino Linotype"/>
          </w:rPr>
          <w:t>Segundos Recurso de Revisión 3.pdf</w:t>
        </w:r>
      </w:hyperlink>
      <w:r>
        <w:rPr>
          <w:rFonts w:ascii="Palatino Linotype" w:eastAsia="Palatino Linotype" w:hAnsi="Palatino Linotype" w:cs="Palatino Linotype"/>
        </w:rPr>
        <w:t>”, el cual contiene el acuse de recibo del recurso de revisión 00152/INFOEM/ICR-223/IP/RR/2023.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hyperlink r:id="rId18">
        <w:r>
          <w:rPr>
            <w:rFonts w:ascii="Palatino Linotype" w:eastAsia="Palatino Linotype" w:hAnsi="Palatino Linotype" w:cs="Palatino Linotype"/>
          </w:rPr>
          <w:t>Segundos Recurso de Revisión 4.pdf</w:t>
        </w:r>
      </w:hyperlink>
      <w:r>
        <w:rPr>
          <w:rFonts w:ascii="Palatino Linotype" w:eastAsia="Palatino Linotype" w:hAnsi="Palatino Linotype" w:cs="Palatino Linotype"/>
        </w:rPr>
        <w:t>”, el cual contiene el acuse de recibo del recurso de revisión 01002/INFOEM/ICR-222/IP/RR/2023.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9">
        <w:r>
          <w:rPr>
            <w:rFonts w:ascii="Palatino Linotype" w:eastAsia="Palatino Linotype" w:hAnsi="Palatino Linotype" w:cs="Palatino Linotype"/>
          </w:rPr>
          <w:t>Segundos Recurso de Revisión 6.pdf</w:t>
        </w:r>
      </w:hyperlink>
      <w:r>
        <w:rPr>
          <w:rFonts w:ascii="Palatino Linotype" w:eastAsia="Palatino Linotype" w:hAnsi="Palatino Linotype" w:cs="Palatino Linotype"/>
        </w:rPr>
        <w:t>”, el cual contiene el acuse de recibo del recurso de revisión 00933/INFOEM/ICR-219/IP/RR/2023.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0">
        <w:r>
          <w:rPr>
            <w:rFonts w:ascii="Palatino Linotype" w:eastAsia="Palatino Linotype" w:hAnsi="Palatino Linotype" w:cs="Palatino Linotype"/>
          </w:rPr>
          <w:t>Segundos Recurso de Revisión 1.pdf</w:t>
        </w:r>
      </w:hyperlink>
      <w:r>
        <w:rPr>
          <w:rFonts w:ascii="Palatino Linotype" w:eastAsia="Palatino Linotype" w:hAnsi="Palatino Linotype" w:cs="Palatino Linotype"/>
        </w:rPr>
        <w:t>”, el cual contiene el acuse de recibo del recurso de revisión 01698/INFOEM/ICR-229/IP/RR/2023.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1">
        <w:r>
          <w:rPr>
            <w:rFonts w:ascii="Palatino Linotype" w:eastAsia="Palatino Linotype" w:hAnsi="Palatino Linotype" w:cs="Palatino Linotype"/>
          </w:rPr>
          <w:t>Segundos Recurso de Revisión 7.pdf</w:t>
        </w:r>
      </w:hyperlink>
      <w:r>
        <w:rPr>
          <w:rFonts w:ascii="Palatino Linotype" w:eastAsia="Palatino Linotype" w:hAnsi="Palatino Linotype" w:cs="Palatino Linotype"/>
        </w:rPr>
        <w:t>”, el cual contiene el acuse de recibo del recurso de revisión 00935/INFOEM/ICR-218/IP/RR/2023.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2">
        <w:r>
          <w:rPr>
            <w:rFonts w:ascii="Palatino Linotype" w:eastAsia="Palatino Linotype" w:hAnsi="Palatino Linotype" w:cs="Palatino Linotype"/>
          </w:rPr>
          <w:t>Segundos Recurso de Revisión 8.pdf</w:t>
        </w:r>
      </w:hyperlink>
      <w:r>
        <w:rPr>
          <w:rFonts w:ascii="Palatino Linotype" w:eastAsia="Palatino Linotype" w:hAnsi="Palatino Linotype" w:cs="Palatino Linotype"/>
        </w:rPr>
        <w:t>”, el cual contiene el acuse de recibo del recurso de revisión 15355/INFOEM/ICR-217/IP/RR/2022.</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3">
        <w:r>
          <w:rPr>
            <w:rFonts w:ascii="Palatino Linotype" w:eastAsia="Palatino Linotype" w:hAnsi="Palatino Linotype" w:cs="Palatino Linotype"/>
          </w:rPr>
          <w:t>Segundos Recurso de Revisión 12.pdf</w:t>
        </w:r>
      </w:hyperlink>
      <w:r>
        <w:rPr>
          <w:rFonts w:ascii="Palatino Linotype" w:eastAsia="Palatino Linotype" w:hAnsi="Palatino Linotype" w:cs="Palatino Linotype"/>
        </w:rPr>
        <w:t>”, el cual contiene el acuse de recibo del recurso de revisión 01318/INFOEM/ICR-212/IP/RR/2023.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4">
        <w:r>
          <w:rPr>
            <w:rFonts w:ascii="Palatino Linotype" w:eastAsia="Palatino Linotype" w:hAnsi="Palatino Linotype" w:cs="Palatino Linotype"/>
          </w:rPr>
          <w:t>Segundos Recurso de Revisión.pdf</w:t>
        </w:r>
      </w:hyperlink>
      <w:r>
        <w:rPr>
          <w:rFonts w:ascii="Palatino Linotype" w:eastAsia="Palatino Linotype" w:hAnsi="Palatino Linotype" w:cs="Palatino Linotype"/>
        </w:rPr>
        <w:t>”, el cual contiene el acuse de recibo del recurso de revisión 16217/INFOEM/ICR-221/IP/RR/2022.</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5">
        <w:r>
          <w:rPr>
            <w:rFonts w:ascii="Palatino Linotype" w:eastAsia="Palatino Linotype" w:hAnsi="Palatino Linotype" w:cs="Palatino Linotype"/>
          </w:rPr>
          <w:t>Segundos Recurso de Revisión 2.pdf</w:t>
        </w:r>
      </w:hyperlink>
      <w:r>
        <w:rPr>
          <w:rFonts w:ascii="Palatino Linotype" w:eastAsia="Palatino Linotype" w:hAnsi="Palatino Linotype" w:cs="Palatino Linotype"/>
        </w:rPr>
        <w:t>”, el cual contiene el acuse de recibo del recurso de revisión 00151/INFOEM/ICR-226/IP/RR/2023.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6">
        <w:r>
          <w:rPr>
            <w:rFonts w:ascii="Palatino Linotype" w:eastAsia="Palatino Linotype" w:hAnsi="Palatino Linotype" w:cs="Palatino Linotype"/>
          </w:rPr>
          <w:t>Segundos Recurso de Revisión 9.pdf</w:t>
        </w:r>
      </w:hyperlink>
      <w:r>
        <w:rPr>
          <w:rFonts w:ascii="Palatino Linotype" w:eastAsia="Palatino Linotype" w:hAnsi="Palatino Linotype" w:cs="Palatino Linotype"/>
        </w:rPr>
        <w:t>”, el cual contiene el acuse de recibo del recurso de revisión 00964/INFOEM/ICR-216/IP/RR/2023.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hyperlink r:id="rId27">
        <w:r>
          <w:rPr>
            <w:rFonts w:ascii="Palatino Linotype" w:eastAsia="Palatino Linotype" w:hAnsi="Palatino Linotype" w:cs="Palatino Linotype"/>
          </w:rPr>
          <w:t xml:space="preserve">Segundos Recurso de </w:t>
        </w:r>
        <w:proofErr w:type="spellStart"/>
        <w:r>
          <w:rPr>
            <w:rFonts w:ascii="Palatino Linotype" w:eastAsia="Palatino Linotype" w:hAnsi="Palatino Linotype" w:cs="Palatino Linotype"/>
          </w:rPr>
          <w:t>Revision</w:t>
        </w:r>
        <w:proofErr w:type="spellEnd"/>
        <w:r>
          <w:rPr>
            <w:rFonts w:ascii="Palatino Linotype" w:eastAsia="Palatino Linotype" w:hAnsi="Palatino Linotype" w:cs="Palatino Linotype"/>
          </w:rPr>
          <w:t xml:space="preserve"> 11.pdf</w:t>
        </w:r>
      </w:hyperlink>
      <w:r>
        <w:rPr>
          <w:rFonts w:ascii="Palatino Linotype" w:eastAsia="Palatino Linotype" w:hAnsi="Palatino Linotype" w:cs="Palatino Linotype"/>
        </w:rPr>
        <w:t>”, el cual contiene el acuse de recibo del recurso de revisión 01003/INFOEM/ICR-214/IP/RR/2023.</w:t>
      </w:r>
    </w:p>
    <w:p w:rsidR="00C147EC" w:rsidRDefault="00C147EC">
      <w:pPr>
        <w:spacing w:before="240" w:after="240" w:line="360" w:lineRule="auto"/>
        <w:ind w:right="49"/>
        <w:jc w:val="both"/>
        <w:rPr>
          <w:rFonts w:ascii="Palatino Linotype" w:eastAsia="Palatino Linotype" w:hAnsi="Palatino Linotype" w:cs="Palatino Linotype"/>
        </w:rPr>
      </w:pP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6.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diecisiete de mayo del dos mil veintitrés,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C147EC" w:rsidRDefault="002431BE">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C147EC" w:rsidRDefault="002431B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ENTREGA LA TOTALIDAD DE LA INFORMACIÓN, LA INFORMACIÓN ENTREGADA NO COINCIDE CON LAS CIFRAS PUBLICADAS POR EL INFOEM” (Sic)</w:t>
      </w:r>
    </w:p>
    <w:p w:rsidR="00C147EC" w:rsidRDefault="00C147EC">
      <w:pPr>
        <w:ind w:left="851" w:right="902"/>
        <w:jc w:val="both"/>
        <w:rPr>
          <w:rFonts w:ascii="Palatino Linotype" w:eastAsia="Palatino Linotype" w:hAnsi="Palatino Linotype" w:cs="Palatino Linotype"/>
          <w:i/>
          <w:sz w:val="22"/>
          <w:szCs w:val="22"/>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C147EC" w:rsidRDefault="002431BE">
      <w:pPr>
        <w:ind w:left="851"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“NO ENTREGA LA TOTALIDAD DE LA INFORMACIÓN, LA INFORMACIÓN ENTREGADA NO COINCIDE CON LAS CIFRAS PUBLICADAS POR EL INFOEM” (Sic)</w:t>
      </w:r>
    </w:p>
    <w:p w:rsidR="00C147EC" w:rsidRDefault="00C147EC">
      <w:pPr>
        <w:ind w:left="851" w:right="902"/>
        <w:jc w:val="both"/>
        <w:rPr>
          <w:rFonts w:ascii="Palatino Linotype" w:eastAsia="Palatino Linotype" w:hAnsi="Palatino Linotype" w:cs="Palatino Linotype"/>
          <w:i/>
          <w:sz w:val="22"/>
          <w:szCs w:val="22"/>
        </w:rPr>
      </w:pPr>
    </w:p>
    <w:p w:rsidR="00C147EC" w:rsidRDefault="002431B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7.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C147EC" w:rsidRDefault="00C147EC">
      <w:pPr>
        <w:spacing w:line="360" w:lineRule="auto"/>
        <w:ind w:right="51"/>
        <w:jc w:val="both"/>
        <w:rPr>
          <w:rFonts w:ascii="Palatino Linotype" w:eastAsia="Palatino Linotype" w:hAnsi="Palatino Linotype" w:cs="Palatino Linotype"/>
        </w:rPr>
      </w:pPr>
    </w:p>
    <w:p w:rsidR="00C147EC" w:rsidRDefault="002431B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8.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veintidós de mayo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C147EC" w:rsidRDefault="002431BE">
      <w:pPr>
        <w:spacing w:before="240" w:after="240" w:line="360" w:lineRule="auto"/>
        <w:jc w:val="both"/>
      </w:pPr>
      <w:r>
        <w:rPr>
          <w:rFonts w:ascii="Palatino Linotype" w:eastAsia="Palatino Linotype" w:hAnsi="Palatino Linotype" w:cs="Palatino Linotype"/>
          <w:b/>
        </w:rPr>
        <w:t>9.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la parte</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C147EC" w:rsidRDefault="002431BE">
      <w:pPr>
        <w:spacing w:before="240" w:after="240" w:line="360" w:lineRule="auto"/>
        <w:jc w:val="both"/>
      </w:pPr>
      <w:r>
        <w:rPr>
          <w:noProof/>
          <w:lang w:val="es-MX"/>
        </w:rPr>
        <w:drawing>
          <wp:inline distT="0" distB="0" distL="0" distR="0">
            <wp:extent cx="5764568" cy="1468986"/>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l="14299" t="40697" r="15008" b="27293"/>
                    <a:stretch>
                      <a:fillRect/>
                    </a:stretch>
                  </pic:blipFill>
                  <pic:spPr>
                    <a:xfrm>
                      <a:off x="0" y="0"/>
                      <a:ext cx="5764568" cy="1468986"/>
                    </a:xfrm>
                    <a:prstGeom prst="rect">
                      <a:avLst/>
                    </a:prstGeom>
                    <a:ln/>
                  </pic:spPr>
                </pic:pic>
              </a:graphicData>
            </a:graphic>
          </wp:inline>
        </w:drawing>
      </w:r>
    </w:p>
    <w:p w:rsidR="00C147EC" w:rsidRDefault="002431B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del plazo.</w:t>
      </w:r>
      <w:r>
        <w:rPr>
          <w:rFonts w:ascii="Palatino Linotype" w:eastAsia="Palatino Linotype" w:hAnsi="Palatino Linotype" w:cs="Palatino Linotype"/>
        </w:rPr>
        <w:t xml:space="preserve"> En fecha diecinueve de septiembre del año dos mil veintitrés, con fundamento en el artículo 181, párrafo tercero de la Ley de Transparencia y Acceso a la Información Pública del Estado de México y Municipios, se acordó la ampliación del plazo para su resolución.</w:t>
      </w:r>
    </w:p>
    <w:p w:rsidR="00C147EC" w:rsidRDefault="00C147EC">
      <w:pPr>
        <w:widowControl w:val="0"/>
        <w:spacing w:line="360" w:lineRule="auto"/>
        <w:jc w:val="both"/>
        <w:rPr>
          <w:rFonts w:ascii="Palatino Linotype" w:eastAsia="Palatino Linotype" w:hAnsi="Palatino Linotype" w:cs="Palatino Linotype"/>
        </w:rPr>
      </w:pPr>
    </w:p>
    <w:p w:rsidR="00C147EC" w:rsidRDefault="002431B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w:t>
      </w:r>
      <w:r>
        <w:rPr>
          <w:rFonts w:ascii="Palatino Linotype" w:eastAsia="Palatino Linotype" w:hAnsi="Palatino Linotype" w:cs="Palatino Linotype"/>
        </w:rPr>
        <w:lastRenderedPageBreak/>
        <w:t>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C147EC" w:rsidRDefault="00C147EC">
      <w:pPr>
        <w:spacing w:line="360" w:lineRule="auto"/>
        <w:jc w:val="both"/>
        <w:rPr>
          <w:rFonts w:ascii="Palatino Linotype" w:eastAsia="Palatino Linotype" w:hAnsi="Palatino Linotype" w:cs="Palatino Linotype"/>
        </w:rPr>
      </w:pPr>
    </w:p>
    <w:p w:rsidR="00C147EC" w:rsidRDefault="002431BE">
      <w:pPr>
        <w:numPr>
          <w:ilvl w:val="0"/>
          <w:numId w:val="3"/>
        </w:numPr>
        <w:spacing w:line="360" w:lineRule="auto"/>
        <w:ind w:left="850" w:hanging="357"/>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C147EC" w:rsidRDefault="00C147EC">
      <w:pPr>
        <w:spacing w:line="360" w:lineRule="auto"/>
        <w:ind w:left="850" w:hanging="357"/>
        <w:jc w:val="both"/>
        <w:rPr>
          <w:rFonts w:ascii="Palatino Linotype" w:eastAsia="Palatino Linotype" w:hAnsi="Palatino Linotype" w:cs="Palatino Linotype"/>
        </w:rPr>
      </w:pPr>
    </w:p>
    <w:p w:rsidR="00C147EC" w:rsidRDefault="002431BE">
      <w:pPr>
        <w:numPr>
          <w:ilvl w:val="0"/>
          <w:numId w:val="3"/>
        </w:numPr>
        <w:spacing w:line="360" w:lineRule="auto"/>
        <w:ind w:left="850" w:hanging="357"/>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C147EC" w:rsidRDefault="00C147EC">
      <w:pPr>
        <w:spacing w:line="360" w:lineRule="auto"/>
        <w:ind w:left="850" w:hanging="357"/>
        <w:jc w:val="both"/>
        <w:rPr>
          <w:rFonts w:ascii="Palatino Linotype" w:eastAsia="Palatino Linotype" w:hAnsi="Palatino Linotype" w:cs="Palatino Linotype"/>
        </w:rPr>
      </w:pPr>
    </w:p>
    <w:p w:rsidR="00C147EC" w:rsidRDefault="002431BE">
      <w:pPr>
        <w:numPr>
          <w:ilvl w:val="0"/>
          <w:numId w:val="3"/>
        </w:numPr>
        <w:spacing w:line="360" w:lineRule="auto"/>
        <w:ind w:left="850" w:hanging="357"/>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C147EC" w:rsidRDefault="00C147EC">
      <w:pPr>
        <w:spacing w:line="360" w:lineRule="auto"/>
        <w:ind w:left="850" w:hanging="357"/>
        <w:rPr>
          <w:rFonts w:ascii="Palatino Linotype" w:eastAsia="Palatino Linotype" w:hAnsi="Palatino Linotype" w:cs="Palatino Linotype"/>
        </w:rPr>
      </w:pPr>
    </w:p>
    <w:p w:rsidR="00C147EC" w:rsidRDefault="002431BE">
      <w:pPr>
        <w:spacing w:line="360" w:lineRule="auto"/>
        <w:ind w:left="850" w:hanging="35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147EC" w:rsidRDefault="00C147EC">
      <w:pPr>
        <w:spacing w:line="360" w:lineRule="auto"/>
        <w:jc w:val="both"/>
        <w:rPr>
          <w:rFonts w:ascii="Palatino Linotype" w:eastAsia="Palatino Linotype" w:hAnsi="Palatino Linotype" w:cs="Palatino Linotype"/>
          <w:i/>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lastRenderedPageBreak/>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C147EC" w:rsidRDefault="00C147EC">
      <w:pPr>
        <w:spacing w:line="360" w:lineRule="auto"/>
        <w:jc w:val="both"/>
        <w:rPr>
          <w:rFonts w:ascii="Palatino Linotype" w:eastAsia="Palatino Linotype" w:hAnsi="Palatino Linotype" w:cs="Palatino Linotype"/>
          <w:b/>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w:t>
      </w:r>
      <w:r>
        <w:rPr>
          <w:rFonts w:ascii="Palatino Linotype" w:eastAsia="Palatino Linotype" w:hAnsi="Palatino Linotype" w:cs="Palatino Linotype"/>
          <w:b/>
        </w:rPr>
        <w:t>fecha veintiuno de septiembre de 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147EC" w:rsidRDefault="00C147EC">
      <w:pPr>
        <w:spacing w:before="240" w:after="240" w:line="360" w:lineRule="auto"/>
        <w:jc w:val="both"/>
        <w:rPr>
          <w:rFonts w:ascii="Palatino Linotype" w:eastAsia="Palatino Linotype" w:hAnsi="Palatino Linotype" w:cs="Palatino Linotype"/>
        </w:rPr>
      </w:pPr>
    </w:p>
    <w:p w:rsidR="00C147EC" w:rsidRDefault="002431BE">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 S</w:t>
      </w:r>
    </w:p>
    <w:p w:rsidR="00C147EC" w:rsidRDefault="00C147EC">
      <w:pPr>
        <w:widowControl w:val="0"/>
        <w:spacing w:line="360" w:lineRule="auto"/>
        <w:jc w:val="center"/>
        <w:rPr>
          <w:rFonts w:ascii="Palatino Linotype" w:eastAsia="Palatino Linotype" w:hAnsi="Palatino Linotype" w:cs="Palatino Linotype"/>
          <w:b/>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C147EC" w:rsidRDefault="00C147EC">
      <w:pPr>
        <w:spacing w:line="360" w:lineRule="auto"/>
        <w:jc w:val="both"/>
        <w:rPr>
          <w:rFonts w:ascii="Palatino Linotype" w:eastAsia="Palatino Linotype" w:hAnsi="Palatino Linotype" w:cs="Palatino Linotype"/>
        </w:rPr>
      </w:pP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ocho de mayo del dos mil </w:t>
      </w:r>
      <w:r>
        <w:rPr>
          <w:rFonts w:ascii="Palatino Linotype" w:eastAsia="Palatino Linotype" w:hAnsi="Palatino Linotype" w:cs="Palatino Linotype"/>
        </w:rPr>
        <w:lastRenderedPageBreak/>
        <w:t xml:space="preserve">veintitrés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diecisiete de mayo del mismo año; esto es, al séptimo día hábil siguiente que tuvo conocimiento de la respuesta.</w:t>
      </w:r>
    </w:p>
    <w:p w:rsidR="00C147EC" w:rsidRDefault="002431BE">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Al mismo tiempo, </w:t>
      </w: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es de suma importancia señalar que la parte recurrente no señaló 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147EC" w:rsidRDefault="00C147EC">
      <w:pPr>
        <w:ind w:left="567" w:right="474"/>
        <w:jc w:val="both"/>
        <w:rPr>
          <w:rFonts w:ascii="Palatino Linotype" w:eastAsia="Palatino Linotype" w:hAnsi="Palatino Linotype" w:cs="Palatino Linotype"/>
          <w:i/>
        </w:rPr>
      </w:pPr>
    </w:p>
    <w:p w:rsidR="00C147EC" w:rsidRDefault="002431BE">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C147EC" w:rsidRDefault="002431BE">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rsidR="00C147EC" w:rsidRDefault="002431BE">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C147EC" w:rsidRDefault="002431BE">
      <w:pPr>
        <w:ind w:left="1276" w:right="175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rsidR="00C147EC" w:rsidRDefault="002431BE">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V. La entrega de información incompleta…” (Sic</w:t>
      </w:r>
      <w:r>
        <w:rPr>
          <w:rFonts w:ascii="Palatino Linotype" w:eastAsia="Palatino Linotype" w:hAnsi="Palatino Linotype" w:cs="Palatino Linotype"/>
          <w:i/>
          <w:color w:val="000000"/>
          <w:sz w:val="22"/>
          <w:szCs w:val="22"/>
        </w:rPr>
        <w:t>)</w:t>
      </w:r>
    </w:p>
    <w:p w:rsidR="00C147EC" w:rsidRDefault="002431BE">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C147EC" w:rsidRDefault="002431BE">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147EC" w:rsidRDefault="002431BE">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Pr>
          <w:rFonts w:ascii="Palatino Linotype" w:eastAsia="Palatino Linotype" w:hAnsi="Palatino Linotype" w:cs="Palatino Linotype"/>
          <w:i/>
          <w:sz w:val="22"/>
          <w:szCs w:val="22"/>
        </w:rPr>
        <w:lastRenderedPageBreak/>
        <w:t>de México y Municipios 29 como reservada temporalmente por razones de interés público, en los términos de las causas legítimas y estrictamente necesarias previstas por esta Ley.</w:t>
      </w:r>
    </w:p>
    <w:p w:rsidR="00C147EC" w:rsidRDefault="002431BE">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C147EC" w:rsidRDefault="002431BE">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C147EC" w:rsidRDefault="002431BE">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C147EC" w:rsidRDefault="00C147EC">
      <w:pPr>
        <w:spacing w:line="360" w:lineRule="auto"/>
        <w:ind w:right="-93"/>
        <w:jc w:val="both"/>
        <w:rPr>
          <w:rFonts w:ascii="Palatino Linotype" w:eastAsia="Palatino Linotype" w:hAnsi="Palatino Linotype" w:cs="Palatino Linotype"/>
          <w:color w:val="000000"/>
        </w:rPr>
      </w:pPr>
    </w:p>
    <w:p w:rsidR="00C147EC" w:rsidRDefault="002431BE">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Pr>
          <w:rFonts w:ascii="Palatino Linotype" w:eastAsia="Palatino Linotype" w:hAnsi="Palatino Linotype" w:cs="Palatino Linotype"/>
          <w:color w:val="000000"/>
        </w:rPr>
        <w:lastRenderedPageBreak/>
        <w:t xml:space="preserve">que tengan en su poder en el estado que se encuentran, sin necesidad de concretarse al interés o términos específicos del solicitante. </w:t>
      </w:r>
    </w:p>
    <w:p w:rsidR="00C147EC" w:rsidRDefault="00C147EC">
      <w:pPr>
        <w:spacing w:line="360" w:lineRule="auto"/>
        <w:jc w:val="both"/>
        <w:rPr>
          <w:rFonts w:ascii="Palatino Linotype" w:eastAsia="Palatino Linotype" w:hAnsi="Palatino Linotype" w:cs="Palatino Linotype"/>
          <w:color w:val="000000"/>
        </w:rPr>
      </w:pPr>
    </w:p>
    <w:p w:rsidR="00C147EC" w:rsidRDefault="002431B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p>
    <w:p w:rsidR="00C147EC" w:rsidRDefault="002431BE">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 </w:t>
      </w:r>
    </w:p>
    <w:p w:rsidR="00C147EC" w:rsidRDefault="002431BE">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147EC" w:rsidRDefault="002431BE">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C147EC" w:rsidRDefault="002431BE">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C147EC" w:rsidRDefault="002431BE">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C147EC" w:rsidRDefault="002431BE">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que es deber de los Sujetos Obligados, garantizar el Derecho de Acceso a la </w:t>
      </w:r>
      <w:r>
        <w:rPr>
          <w:rFonts w:ascii="Palatino Linotype" w:eastAsia="Palatino Linotype" w:hAnsi="Palatino Linotype" w:cs="Palatino Linotype"/>
          <w:color w:val="000000"/>
        </w:rPr>
        <w:lastRenderedPageBreak/>
        <w:t xml:space="preserve">Información Pública, circunstancia que aconteció en el presente asunto que se analiza.  </w:t>
      </w:r>
    </w:p>
    <w:p w:rsidR="00C147EC" w:rsidRDefault="00C147EC">
      <w:pPr>
        <w:spacing w:line="360" w:lineRule="auto"/>
        <w:jc w:val="both"/>
        <w:rPr>
          <w:rFonts w:ascii="Palatino Linotype" w:eastAsia="Palatino Linotype" w:hAnsi="Palatino Linotype" w:cs="Palatino Linotype"/>
          <w:color w:val="000000"/>
        </w:rPr>
      </w:pPr>
    </w:p>
    <w:p w:rsidR="00C147EC" w:rsidRDefault="002431B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147EC" w:rsidRDefault="00C147EC">
      <w:pPr>
        <w:spacing w:line="360" w:lineRule="auto"/>
        <w:ind w:right="49"/>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147EC" w:rsidRDefault="00C147EC">
      <w:pPr>
        <w:ind w:left="851" w:right="899"/>
        <w:jc w:val="both"/>
        <w:rPr>
          <w:rFonts w:ascii="Palatino Linotype" w:eastAsia="Palatino Linotype" w:hAnsi="Palatino Linotype" w:cs="Palatino Linotype"/>
          <w:i/>
          <w:sz w:val="22"/>
          <w:szCs w:val="22"/>
        </w:rPr>
      </w:pP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47EC" w:rsidRDefault="002431BE">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Pr>
          <w:rFonts w:ascii="Palatino Linotype" w:eastAsia="Palatino Linotype" w:hAnsi="Palatino Linotype" w:cs="Palatino Linotype"/>
          <w:i/>
          <w:color w:val="000000"/>
          <w:sz w:val="22"/>
          <w:szCs w:val="22"/>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C147EC" w:rsidRDefault="00C147EC">
      <w:pPr>
        <w:ind w:left="851" w:right="899"/>
        <w:jc w:val="both"/>
        <w:rPr>
          <w:rFonts w:ascii="Palatino Linotype" w:eastAsia="Palatino Linotype" w:hAnsi="Palatino Linotype" w:cs="Palatino Linotype"/>
          <w:sz w:val="22"/>
          <w:szCs w:val="22"/>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147EC" w:rsidRDefault="00C147EC">
      <w:pPr>
        <w:ind w:left="851" w:right="899"/>
        <w:jc w:val="both"/>
        <w:rPr>
          <w:rFonts w:ascii="Palatino Linotype" w:eastAsia="Palatino Linotype" w:hAnsi="Palatino Linotype" w:cs="Palatino Linotype"/>
        </w:rPr>
      </w:pPr>
    </w:p>
    <w:p w:rsidR="00C147EC" w:rsidRDefault="002431BE">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C147EC" w:rsidRDefault="002431BE">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C147EC" w:rsidRDefault="002431BE">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Zinacantepec, lo siguiente</w:t>
      </w:r>
    </w:p>
    <w:p w:rsidR="00C147EC" w:rsidRDefault="002431BE">
      <w:pPr>
        <w:numPr>
          <w:ilvl w:val="0"/>
          <w:numId w:val="1"/>
        </w:numPr>
        <w:pBdr>
          <w:top w:val="nil"/>
          <w:left w:val="nil"/>
          <w:bottom w:val="nil"/>
          <w:right w:val="nil"/>
          <w:between w:val="nil"/>
        </w:pBdr>
        <w:ind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TODOS LOS ACUSES DE LOS SEGUNDOS RECURSOS DE REVISIÓN INTERPUESTOS EN 2023.</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su Titular de la Unidad de Transparencia, anexo siete acuses de recursos de revisión y doce acuses de segundos recursos de revisión; todos en contra del Ayuntamiento de Zinacantepec. </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que se analiza en el presente asunto, por medio del cual se inconformó en lo medular por la entrega de la información incompleta.</w:t>
      </w: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fue omiso en rendir su informe justificado.</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determina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De una revisión a la respuesta se advierte que esta fue proporcionada por el Titular de la Unidad de Transparencia, que en términos de lo señalado por el artículo 189 de la Ley de Transparencia y Acceso a la Información Pública del Estado de México y Municipios, que señala:</w:t>
      </w:r>
    </w:p>
    <w:p w:rsidR="00C147EC" w:rsidRDefault="00C147EC">
      <w:pPr>
        <w:spacing w:line="360" w:lineRule="auto"/>
        <w:jc w:val="both"/>
        <w:rPr>
          <w:rFonts w:ascii="Palatino Linotype" w:eastAsia="Palatino Linotype" w:hAnsi="Palatino Linotype" w:cs="Palatino Linotype"/>
        </w:rPr>
      </w:pP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189. </w:t>
      </w:r>
      <w:r>
        <w:rPr>
          <w:rFonts w:ascii="Palatino Linotype" w:eastAsia="Palatino Linotype" w:hAnsi="Palatino Linotype" w:cs="Palatino Linotype"/>
          <w:b/>
          <w:i/>
          <w:sz w:val="22"/>
          <w:szCs w:val="22"/>
        </w:rPr>
        <w:t>El Instituto deberá notificar a las partes y publicar las resoluciones, a más tardar, el tercer día hábil siguiente de su aprobación</w:t>
      </w:r>
      <w:r>
        <w:rPr>
          <w:rFonts w:ascii="Palatino Linotype" w:eastAsia="Palatino Linotype" w:hAnsi="Palatino Linotype" w:cs="Palatino Linotype"/>
          <w:i/>
          <w:sz w:val="22"/>
          <w:szCs w:val="22"/>
        </w:rPr>
        <w:t>. Los sujetos obligados deberán informar al Instituto el cumplimiento de sus resoluciones en un plazo no mayor a tres días hábiles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rsidR="00C147EC" w:rsidRDefault="00C147EC">
      <w:pPr>
        <w:spacing w:line="360" w:lineRule="auto"/>
        <w:jc w:val="both"/>
        <w:rPr>
          <w:rFonts w:ascii="Palatino Linotype" w:eastAsia="Palatino Linotype" w:hAnsi="Palatino Linotype" w:cs="Palatino Linotype"/>
        </w:rPr>
      </w:pP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la Unidad de Transparencia del Ayuntamiento de Zinacantepec es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quien se le notifica las resoluciones emitidas por Instituto de Transparencia, Acceso a la Información Pública y Protección de Datos Personales del Estado de México y Municipios; máxime que es el área encargada de acatar y dar seguimiento para su cumplimiento, de las resoluciones emitidas por el este Organismo Garante en termino de lo señalado por los artículos 24 fracción X y 56 de la Ley de la Materia, que señalan:</w:t>
      </w:r>
    </w:p>
    <w:p w:rsidR="00C147EC" w:rsidRDefault="00C147EC">
      <w:pPr>
        <w:spacing w:line="360" w:lineRule="auto"/>
        <w:jc w:val="both"/>
        <w:rPr>
          <w:rFonts w:ascii="Palatino Linotype" w:eastAsia="Palatino Linotype" w:hAnsi="Palatino Linotype" w:cs="Palatino Linotype"/>
        </w:rPr>
      </w:pP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Cumplir cabalmente con las resoluciones emitidas por el Instituto;</w:t>
      </w:r>
    </w:p>
    <w:p w:rsidR="00C147EC" w:rsidRDefault="00C147EC">
      <w:pPr>
        <w:ind w:left="851" w:right="899"/>
        <w:jc w:val="both"/>
        <w:rPr>
          <w:rFonts w:ascii="Palatino Linotype" w:eastAsia="Palatino Linotype" w:hAnsi="Palatino Linotype" w:cs="Palatino Linotype"/>
          <w:i/>
          <w:sz w:val="22"/>
          <w:szCs w:val="22"/>
        </w:rPr>
      </w:pP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56. Los sujetos obligados, a través de las Unidades de Transparencia acataran las resoluciones, lineamientos y criterios del Instituto y atenderán los requerimientos de informes que éste realice” (Sic)</w:t>
      </w:r>
    </w:p>
    <w:p w:rsidR="00C147EC" w:rsidRDefault="00C147EC">
      <w:pPr>
        <w:spacing w:line="360" w:lineRule="auto"/>
        <w:jc w:val="both"/>
        <w:rPr>
          <w:rFonts w:ascii="Palatino Linotype" w:eastAsia="Palatino Linotype" w:hAnsi="Palatino Linotype" w:cs="Palatino Linotype"/>
        </w:rPr>
      </w:pPr>
    </w:p>
    <w:p w:rsidR="00C147EC" w:rsidRDefault="002431BE">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Precisado lo anterior, en cuanto a los segundos recursos de revisión este Instituto da la posibilidad a las partes Recurrentes para garantizar su derecho de acceso a la información pública, de interponer un segundo recurso de revisión ante la respuesta </w:t>
      </w:r>
      <w:r>
        <w:rPr>
          <w:rFonts w:ascii="Palatino Linotype" w:eastAsia="Palatino Linotype" w:hAnsi="Palatino Linotype" w:cs="Palatino Linotype"/>
        </w:rPr>
        <w:lastRenderedPageBreak/>
        <w:t xml:space="preserve">otorgada por los Sujetos Obligados en cumplimiento de las resoluciones emitidas por este Organismo Garante, únicamente </w:t>
      </w:r>
      <w:r>
        <w:rPr>
          <w:rFonts w:ascii="Palatino Linotype" w:eastAsia="Palatino Linotype" w:hAnsi="Palatino Linotype" w:cs="Palatino Linotype"/>
          <w:color w:val="000000"/>
        </w:rPr>
        <w:t>en la hipótesis prevista en la fracción VII, del artículo 179 de la Ley de la Materia, la cual dispone:</w:t>
      </w:r>
    </w:p>
    <w:p w:rsidR="00C147EC" w:rsidRDefault="002431BE">
      <w:pPr>
        <w:spacing w:before="280" w:after="280"/>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C147EC" w:rsidRDefault="002431BE">
      <w:pPr>
        <w:spacing w:before="280" w:after="280"/>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C147EC" w:rsidRDefault="002431BE">
      <w:pPr>
        <w:spacing w:before="280" w:after="280"/>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 La falta de respuesta a una solicitud de acceso a la información</w:t>
      </w:r>
      <w:r>
        <w:rPr>
          <w:rFonts w:ascii="Palatino Linotype" w:eastAsia="Palatino Linotype" w:hAnsi="Palatino Linotype" w:cs="Palatino Linotype"/>
          <w:i/>
          <w:color w:val="000000"/>
          <w:sz w:val="22"/>
          <w:szCs w:val="22"/>
        </w:rPr>
        <w:t>…”</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el segundo recurso de revisión únicamente procederá contra las respuestas otorgadas por los Sujetos Obligados en cumplimiento a las resoluciones, cuando el primer recurso de revisión se determinó en resolución por este Organismo Garante, fundado el motivo de inconformidad por las siguientes causas:</w:t>
      </w:r>
    </w:p>
    <w:p w:rsidR="00C147EC" w:rsidRDefault="00C147EC">
      <w:pPr>
        <w:spacing w:line="360" w:lineRule="auto"/>
        <w:jc w:val="both"/>
        <w:rPr>
          <w:rFonts w:ascii="Palatino Linotype" w:eastAsia="Palatino Linotype" w:hAnsi="Palatino Linotype" w:cs="Palatino Linotype"/>
        </w:rPr>
      </w:pPr>
    </w:p>
    <w:p w:rsidR="00C147EC" w:rsidRDefault="002431B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La falta de respuesta a una solicitud de acceso a la información…” (Sic) </w:t>
      </w:r>
    </w:p>
    <w:p w:rsidR="00C147EC" w:rsidRDefault="00C147EC">
      <w:pPr>
        <w:ind w:left="851" w:right="899"/>
        <w:jc w:val="both"/>
        <w:rPr>
          <w:rFonts w:ascii="Palatino Linotype" w:eastAsia="Palatino Linotype" w:hAnsi="Palatino Linotype" w:cs="Palatino Linotype"/>
          <w:i/>
          <w:sz w:val="22"/>
          <w:szCs w:val="22"/>
        </w:rPr>
      </w:pPr>
    </w:p>
    <w:p w:rsidR="00C147EC" w:rsidRDefault="00C147EC">
      <w:pPr>
        <w:ind w:left="851" w:right="899"/>
        <w:jc w:val="both"/>
        <w:rPr>
          <w:rFonts w:ascii="Palatino Linotype" w:eastAsia="Palatino Linotype" w:hAnsi="Palatino Linotype" w:cs="Palatino Linotype"/>
          <w:color w:val="FF0000"/>
          <w:sz w:val="22"/>
          <w:szCs w:val="22"/>
        </w:rPr>
      </w:pPr>
    </w:p>
    <w:p w:rsidR="00C147EC" w:rsidRDefault="002431BE">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punto se considera toral dejar establecido  que la falta de respuesta a una solicitud de información se debe entender como el silencio administrativo ante el requerimiento de los solicitantes dentro del término previsto en el artículo 163 de la Ley de Transparencia Local; lo que en la doctrina se le conoce como </w:t>
      </w:r>
      <w:r>
        <w:rPr>
          <w:rFonts w:ascii="Palatino Linotype" w:eastAsia="Palatino Linotype" w:hAnsi="Palatino Linotype" w:cs="Palatino Linotype"/>
          <w:b/>
        </w:rPr>
        <w:t>negativa ficta</w:t>
      </w:r>
      <w:r>
        <w:rPr>
          <w:rFonts w:ascii="Palatino Linotype" w:eastAsia="Palatino Linotype" w:hAnsi="Palatino Linotype" w:cs="Palatino Linotype"/>
        </w:rPr>
        <w:t>, figura jurídica cuya esencia consistir en atribuir un efecto negativo al silencio de la autoridad administrativa frente  a las instancias y solicitudes que hagan los particulares.</w:t>
      </w: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una vez acreditado que el Ayuntamiento de Zinacantepec si tiene conocimiento de los segundos recursos de revisión interpuestos por las partes Recurrentes, se proceden al análisis de la respuesta otorgada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donde hizo entrega de doce acuses de recibo de segundos recursos de revisión, como se advierte a continuación de manera de ejemplo:</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480190" cy="4807073"/>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a:stretch>
                      <a:fillRect/>
                    </a:stretch>
                  </pic:blipFill>
                  <pic:spPr>
                    <a:xfrm>
                      <a:off x="0" y="0"/>
                      <a:ext cx="5480190" cy="4807073"/>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3733800</wp:posOffset>
                </wp:positionH>
                <wp:positionV relativeFrom="paragraph">
                  <wp:posOffset>4394200</wp:posOffset>
                </wp:positionV>
                <wp:extent cx="365125" cy="225425"/>
                <wp:effectExtent l="0" t="0" r="0" b="0"/>
                <wp:wrapNone/>
                <wp:docPr id="37" name="Flecha izquierda 37"/>
                <wp:cNvGraphicFramePr/>
                <a:graphic xmlns:a="http://schemas.openxmlformats.org/drawingml/2006/main">
                  <a:graphicData uri="http://schemas.microsoft.com/office/word/2010/wordprocessingShape">
                    <wps:wsp>
                      <wps:cNvSpPr/>
                      <wps:spPr>
                        <a:xfrm>
                          <a:off x="5168200" y="3672050"/>
                          <a:ext cx="355600" cy="215900"/>
                        </a:xfrm>
                        <a:prstGeom prst="lef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rsidR="00C147EC" w:rsidRDefault="00C147E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3733800</wp:posOffset>
                </wp:positionH>
                <wp:positionV relativeFrom="paragraph">
                  <wp:posOffset>4394200</wp:posOffset>
                </wp:positionV>
                <wp:extent cx="365125" cy="225425"/>
                <wp:effectExtent b="0" l="0" r="0" t="0"/>
                <wp:wrapNone/>
                <wp:docPr id="37" name="image5.png"/>
                <a:graphic>
                  <a:graphicData uri="http://schemas.openxmlformats.org/drawingml/2006/picture">
                    <pic:pic>
                      <pic:nvPicPr>
                        <pic:cNvPr id="0" name="image5.png"/>
                        <pic:cNvPicPr preferRelativeResize="0"/>
                      </pic:nvPicPr>
                      <pic:blipFill>
                        <a:blip r:embed="rId30"/>
                        <a:srcRect/>
                        <a:stretch>
                          <a:fillRect/>
                        </a:stretch>
                      </pic:blipFill>
                      <pic:spPr>
                        <a:xfrm>
                          <a:off x="0" y="0"/>
                          <a:ext cx="365125" cy="225425"/>
                        </a:xfrm>
                        <a:prstGeom prst="rect"/>
                        <a:ln/>
                      </pic:spPr>
                    </pic:pic>
                  </a:graphicData>
                </a:graphic>
              </wp:anchor>
            </w:drawing>
          </mc:Fallback>
        </mc:AlternateConten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que es el formato que genera el Sistema de Acceso a la Información Mexiquense (SAIMEX). </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este Organismo Garante no tiene la certeza de que sea toda la información con la cuenta el </w:t>
      </w:r>
      <w:r>
        <w:rPr>
          <w:rFonts w:ascii="Palatino Linotype" w:eastAsia="Palatino Linotype" w:hAnsi="Palatino Linotype" w:cs="Palatino Linotype"/>
          <w:b/>
        </w:rPr>
        <w:t>SUJETO OBLIGADO</w:t>
      </w:r>
      <w:r>
        <w:rPr>
          <w:rFonts w:ascii="Palatino Linotype" w:eastAsia="Palatino Linotype" w:hAnsi="Palatino Linotype" w:cs="Palatino Linotype"/>
        </w:rPr>
        <w:t>; por ello, a través del correo electrónico oficial se requirió a la Secretaría Técnica del Pleno de este Instituto informara el número de segundos recursos de revisión que tiene al Ayuntamiento de Zinacantepec del periodo comprendido del primero de enero al catorce de marzo del año en curso, a lo cual contesto la referida Secretaría lo siguiente:</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2130" cy="834390"/>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5612130" cy="834390"/>
                    </a:xfrm>
                    <a:prstGeom prst="rect">
                      <a:avLst/>
                    </a:prstGeom>
                    <a:ln/>
                  </pic:spPr>
                </pic:pic>
              </a:graphicData>
            </a:graphic>
          </wp:inline>
        </w:drawing>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que las atribuciones de la Secretaría Técnica del Pleno, son las siguientes en términos de lo señalado por el artículo 19 del Reglamento Interior del Instituto de Transparencia, Acceso a la Información Pública y Protección de Datos Personales del Estado de México y Municipios, que señala:</w:t>
      </w:r>
    </w:p>
    <w:p w:rsidR="00C147EC" w:rsidRDefault="002431BE">
      <w:pPr>
        <w:spacing w:before="8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19. Corresponde a la Secretaría Técnica del Pleno ejercer las atribuciones siguientes: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Actuar a través del titular como Secretario o Secretaria del Pleno;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Notificar, ejecutar, dar seguimiento y supervisar el cumplimiento de los acuerdos del Pleno;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Elaborar el proyecto del orden del día de las sesiones ordinarias y extraordinarias del Pleno, previo acuerdo con la o el Comisionado Presidente;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Previa instrucción de la o el Comisionado Presidente, convocar al Pleno a las sesiones ordinarias o extraordinarias, remitiendo el orden del día de la sesión y en su </w:t>
      </w:r>
      <w:r>
        <w:rPr>
          <w:rFonts w:ascii="Palatino Linotype" w:eastAsia="Palatino Linotype" w:hAnsi="Palatino Linotype" w:cs="Palatino Linotype"/>
          <w:i/>
          <w:sz w:val="22"/>
          <w:szCs w:val="22"/>
        </w:rPr>
        <w:lastRenderedPageBreak/>
        <w:t xml:space="preserve">caso, los documentos necesarios para el estudio y discusión de los asuntos contenidos en el mismo, y conforme a los plazos establecidos en los lineamientos para el funcionamiento del Pleno;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Realizar las acciones conducentes para asistir a la o el Comisionado Presidente en las sesiones ordinarias o extraordinarias, o en caso de su ausencia, a quien presida; VI. Recabar la votación de las y los Comisionados en orden alfabético y registrarla en el acta de sesión correspondiente;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Proponer al Pleno, los recursos de revisión que puedan ser acumulados;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Levantar y firmar las actas, acuerdos y resoluciones del Pleno, con la finalidad de dar fe de los actos ahí contenidos;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Registrar en la lista de turno la asignación de </w:t>
      </w:r>
      <w:proofErr w:type="spellStart"/>
      <w:r>
        <w:rPr>
          <w:rFonts w:ascii="Palatino Linotype" w:eastAsia="Palatino Linotype" w:hAnsi="Palatino Linotype" w:cs="Palatino Linotype"/>
          <w:i/>
          <w:sz w:val="22"/>
          <w:szCs w:val="22"/>
        </w:rPr>
        <w:t>returnos</w:t>
      </w:r>
      <w:proofErr w:type="spellEnd"/>
      <w:r>
        <w:rPr>
          <w:rFonts w:ascii="Palatino Linotype" w:eastAsia="Palatino Linotype" w:hAnsi="Palatino Linotype" w:cs="Palatino Linotype"/>
          <w:i/>
          <w:sz w:val="22"/>
          <w:szCs w:val="22"/>
        </w:rPr>
        <w:t xml:space="preserve"> de los asuntos que determine el Pleno;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Elaborar el registro correspondiente de los recursos de revisión que se encuentren en el supuesto que establece el artículo 197 de la Ley de Transparencia;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Elaborar las actas y versiones estenográficas de las sesiones del Pleno, procurando su debida difusión de conformidad con la Ley de Transparencia; </w:t>
      </w:r>
    </w:p>
    <w:p w:rsidR="00C147EC" w:rsidRDefault="002431BE">
      <w:pPr>
        <w:ind w:left="567" w:right="902"/>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rPr>
        <w:t xml:space="preserve">XII. Llevar a cabo la administración, organización y conservación de los archivos físicos y electrónicos de los recursos de revisión resueltos, acuerdos, actas y </w:t>
      </w:r>
      <w:r>
        <w:rPr>
          <w:rFonts w:ascii="Palatino Linotype" w:eastAsia="Palatino Linotype" w:hAnsi="Palatino Linotype" w:cs="Palatino Linotype"/>
          <w:b/>
          <w:i/>
          <w:sz w:val="22"/>
          <w:szCs w:val="22"/>
          <w:u w:val="single"/>
        </w:rPr>
        <w:t>demás documentación y estadística emitida por el Pleno del Instituto, así como cualquier documentación entregada por las ponencias para dichos efectos</w:t>
      </w:r>
      <w:r>
        <w:rPr>
          <w:rFonts w:ascii="Palatino Linotype" w:eastAsia="Palatino Linotype" w:hAnsi="Palatino Linotype" w:cs="Palatino Linotype"/>
          <w:i/>
          <w:sz w:val="22"/>
          <w:szCs w:val="22"/>
          <w:u w:val="single"/>
        </w:rPr>
        <w:t xml:space="preserve">;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Informar a la Dirección General Jurídica y de Verificación sobre los documentos que deberán publicarse en el Periódico Oficial “Gaceta del Gobierno” del Estado de México;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Expedir copias certificadas de los documentos que obren en sus archivos, los correspondientes al Pleno y los que obran en el expediente electrónico de los recursos de revisión;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 Mantener actualizada la información relativa a las sesiones celebradas en los registros correspondientes; las actas y versiones estenográficas de las sesiones; los acuerdos concluidos; así como el sentido de las resoluciones de los recursos de revisión; admitidos y desechados; </w:t>
      </w:r>
      <w:proofErr w:type="spellStart"/>
      <w:r>
        <w:rPr>
          <w:rFonts w:ascii="Palatino Linotype" w:eastAsia="Palatino Linotype" w:hAnsi="Palatino Linotype" w:cs="Palatino Linotype"/>
          <w:i/>
          <w:sz w:val="22"/>
          <w:szCs w:val="22"/>
        </w:rPr>
        <w:t>returnados</w:t>
      </w:r>
      <w:proofErr w:type="spellEnd"/>
      <w:r>
        <w:rPr>
          <w:rFonts w:ascii="Palatino Linotype" w:eastAsia="Palatino Linotype" w:hAnsi="Palatino Linotype" w:cs="Palatino Linotype"/>
          <w:i/>
          <w:sz w:val="22"/>
          <w:szCs w:val="22"/>
        </w:rPr>
        <w:t xml:space="preserve">, acumulados y separados; el sentido de la votación; votos particulares, disidentes y opiniones particulares;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 Elaborar y presentar a la o el Comisionado Presidente, la propuesta del Calendario Oficial en Materia de Transparencia, Acceso a la Información Pública y Protección de Datos Personales del Estado de México y Municipios, así como de labores del Instituto y el calendario de sesiones ordinarias del Pleno;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 Tener a su cargo la oficialía de partes para recibir, turnar y dar seguimiento a la correspondencia del Instituto; </w:t>
      </w:r>
    </w:p>
    <w:p w:rsidR="00C147EC" w:rsidRDefault="002431BE">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XVIII. Realizar las notificaciones, con inclusión de las de carácter personal, de los actos administrativos y asuntos de competencia del Instituto, con excepción de los actos, acuerdos y resoluciones de los recursos de revisión que deban realizarse a través de los sistemas electrónicos y Plataforma Nacional;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XIX. Elaborar y proponer a la Comisión respectiva los proyectos de criterios de interpretación que deriven de las resoluciones aprobadas por el Pleno;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 Registrar las propuestas de criterios de interpretación remitidas por las Ponencias y proponerlos a la Comisión respectiva;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 Registrar las épocas a las que correspondan los criterios de interpretación, así como sus datos de identificación;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XXII. Identificar e informar sobre la posible contradicción de criterios de interpretación a la Comisión respectiva;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XXIII. Difundir los criterios de interpretación aprobados por el Pleno;</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XXIV. Vigilar el cumplimiento que los Sujetos Obligados deben observar en la atención de las resoluciones de los recursos de revisión y emitir los acuerdos correspondientes</w:t>
      </w:r>
      <w:r>
        <w:rPr>
          <w:rFonts w:ascii="Palatino Linotype" w:eastAsia="Palatino Linotype" w:hAnsi="Palatino Linotype" w:cs="Palatino Linotype"/>
          <w:i/>
          <w:sz w:val="22"/>
          <w:szCs w:val="22"/>
        </w:rPr>
        <w:t xml:space="preserve">;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 Calificar la gravedad de las faltas derivadas del incumplimiento de los sujetos obligados a las resoluciones emitidas por el Pleno en materia de recursos de revisión; y proponer a éste, las medidas de apremio que correspondan, de conformidad con las leyes de la materia y los lineamientos que para tal efecto se emitan.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XXVI. Notificar, gestionar y, en su caso, ejecutar las medidas de apremio impuestas por el Pleno del Instituto en materia de recursos de revisión;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p>
    <w:p w:rsidR="00C147EC" w:rsidRDefault="002431BE">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XXVIII. Las demás que señalen este Reglamento, las disposiciones legales y administrativas aplicables y aquéllas instruidas por el Pleno y la o el Comisionado Presidente…” (Sic)</w:t>
      </w:r>
    </w:p>
    <w:p w:rsidR="00C147EC" w:rsidRDefault="00C147EC">
      <w:pPr>
        <w:spacing w:after="240" w:line="360" w:lineRule="auto"/>
        <w:jc w:val="both"/>
        <w:rPr>
          <w:rFonts w:ascii="Palatino Linotype" w:eastAsia="Palatino Linotype" w:hAnsi="Palatino Linotype" w:cs="Palatino Linotype"/>
        </w:rPr>
      </w:pP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cual se acredita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careció de los principios de congruencia y exhaustividad, como refuerzo de lo anterior, resulta crucial el Criterio 02/17, emitido por el Pleno del Instituto Nacional de Transparencia </w:t>
      </w:r>
      <w:r>
        <w:rPr>
          <w:rFonts w:ascii="Palatino Linotype" w:eastAsia="Palatino Linotype" w:hAnsi="Palatino Linotype" w:cs="Palatino Linotype"/>
        </w:rPr>
        <w:lastRenderedPageBreak/>
        <w:t>y Acceso a la Información y Protección de Datos Personales, de título y texto siguientes:</w:t>
      </w:r>
    </w:p>
    <w:p w:rsidR="00C147EC" w:rsidRDefault="002431BE">
      <w:pPr>
        <w:spacing w:before="8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“Congruencia y exhaustividad. Sus alcances para garantizar el derecho de acceso a la información. </w:t>
      </w:r>
      <w:r>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Pr>
          <w:rFonts w:ascii="Palatino Linotype" w:eastAsia="Palatino Linotype" w:hAnsi="Palatino Linotype" w:cs="Palatino Linotype"/>
          <w:i/>
          <w:sz w:val="22"/>
          <w:szCs w:val="22"/>
        </w:rPr>
        <w:t xml:space="preserve">; mientras que </w:t>
      </w:r>
      <w:r>
        <w:rPr>
          <w:rFonts w:ascii="Palatino Linotype" w:eastAsia="Palatino Linotype" w:hAnsi="Palatino Linotype" w:cs="Palatino Linotype"/>
          <w:b/>
          <w:i/>
          <w:sz w:val="22"/>
          <w:szCs w:val="22"/>
        </w:rPr>
        <w:t>la exhaustividad significa que dicha respuesta se refiera expresamente a cada uno de los puntos solicitados</w:t>
      </w:r>
      <w:r>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la búsqueda exhaustiva y razonable de los acuses de los segundos recursos de revisión del periodo comprendido del primero de enero al catorce de marzo del año dos mil veintitrés; faltantes y en versión pública de ser procedente en términos de lo señalado por el considerando quinto del presentes fallo. </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w:t>
      </w:r>
      <w:r>
        <w:rPr>
          <w:rFonts w:ascii="Palatino Linotype" w:eastAsia="Palatino Linotype" w:hAnsi="Palatino Linotype" w:cs="Palatino Linotype"/>
        </w:rPr>
        <w:lastRenderedPageBreak/>
        <w:t xml:space="preserve">de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rsidR="00C147EC" w:rsidRDefault="00C147EC">
      <w:pPr>
        <w:spacing w:line="360" w:lineRule="auto"/>
        <w:jc w:val="both"/>
        <w:rPr>
          <w:rFonts w:ascii="Palatino Linotype" w:eastAsia="Palatino Linotype" w:hAnsi="Palatino Linotype" w:cs="Palatino Linotype"/>
        </w:rPr>
      </w:pPr>
    </w:p>
    <w:p w:rsidR="00C147EC" w:rsidRDefault="002431BE">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C147EC" w:rsidRDefault="002431BE">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C147EC" w:rsidRDefault="00C147EC">
      <w:pPr>
        <w:ind w:left="993" w:right="1041"/>
        <w:jc w:val="both"/>
        <w:rPr>
          <w:rFonts w:ascii="Palatino Linotype" w:eastAsia="Palatino Linotype" w:hAnsi="Palatino Linotype" w:cs="Palatino Linotype"/>
          <w:i/>
          <w:sz w:val="22"/>
          <w:szCs w:val="22"/>
        </w:rPr>
      </w:pP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147EC" w:rsidRDefault="00C147EC">
      <w:pPr>
        <w:ind w:left="993" w:right="1041"/>
        <w:jc w:val="both"/>
        <w:rPr>
          <w:rFonts w:ascii="Palatino Linotype" w:eastAsia="Palatino Linotype" w:hAnsi="Palatino Linotype" w:cs="Palatino Linotype"/>
          <w:i/>
          <w:sz w:val="22"/>
          <w:szCs w:val="22"/>
        </w:rPr>
      </w:pPr>
    </w:p>
    <w:p w:rsidR="00C147EC" w:rsidRDefault="002431BE">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w:t>
      </w:r>
      <w:r>
        <w:rPr>
          <w:rFonts w:ascii="Palatino Linotype" w:eastAsia="Palatino Linotype" w:hAnsi="Palatino Linotype" w:cs="Palatino Linotype"/>
          <w:i/>
          <w:sz w:val="22"/>
          <w:szCs w:val="22"/>
        </w:rPr>
        <w:lastRenderedPageBreak/>
        <w:t>versión pública en la que se testen las partes o secciones clasificadas, indicando su contenido de manera genérica y fundando y motivando su clasificación.”</w:t>
      </w:r>
    </w:p>
    <w:p w:rsidR="00C147EC" w:rsidRDefault="00C147EC">
      <w:pPr>
        <w:ind w:left="993" w:right="1041"/>
        <w:jc w:val="both"/>
        <w:rPr>
          <w:rFonts w:ascii="Palatino Linotype" w:eastAsia="Palatino Linotype" w:hAnsi="Palatino Linotype" w:cs="Palatino Linotype"/>
          <w:b/>
          <w:i/>
          <w:sz w:val="22"/>
          <w:szCs w:val="22"/>
        </w:rPr>
      </w:pP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C147EC" w:rsidRDefault="002431BE">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C147EC" w:rsidRDefault="00C147EC">
      <w:pPr>
        <w:ind w:left="993" w:right="1041"/>
        <w:jc w:val="both"/>
        <w:rPr>
          <w:rFonts w:ascii="Palatino Linotype" w:eastAsia="Palatino Linotype" w:hAnsi="Palatino Linotype" w:cs="Palatino Linotype"/>
          <w:i/>
          <w:sz w:val="22"/>
          <w:szCs w:val="22"/>
        </w:rPr>
      </w:pPr>
    </w:p>
    <w:p w:rsidR="00C147EC" w:rsidRDefault="002431B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C147EC" w:rsidRDefault="00C147EC">
      <w:pPr>
        <w:spacing w:line="360" w:lineRule="auto"/>
        <w:ind w:right="51"/>
        <w:jc w:val="both"/>
        <w:rPr>
          <w:rFonts w:ascii="Palatino Linotype" w:eastAsia="Palatino Linotype" w:hAnsi="Palatino Linotype" w:cs="Palatino Linotype"/>
        </w:rPr>
      </w:pPr>
    </w:p>
    <w:p w:rsidR="00C147EC" w:rsidRDefault="002431BE">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C147EC" w:rsidRDefault="00C147EC">
      <w:pPr>
        <w:spacing w:line="360" w:lineRule="auto"/>
        <w:ind w:right="51"/>
        <w:jc w:val="both"/>
        <w:rPr>
          <w:rFonts w:ascii="Palatino Linotype" w:eastAsia="Palatino Linotype" w:hAnsi="Palatino Linotype" w:cs="Palatino Linotype"/>
        </w:rPr>
      </w:pPr>
    </w:p>
    <w:p w:rsidR="00C147EC" w:rsidRDefault="002431B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C147EC" w:rsidRDefault="00C147EC">
      <w:pPr>
        <w:spacing w:line="360" w:lineRule="auto"/>
        <w:ind w:right="51"/>
        <w:jc w:val="both"/>
        <w:rPr>
          <w:rFonts w:ascii="Palatino Linotype" w:eastAsia="Palatino Linotype" w:hAnsi="Palatino Linotype" w:cs="Palatino Linotype"/>
        </w:rPr>
      </w:pP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(Sic)</w:t>
      </w:r>
    </w:p>
    <w:p w:rsidR="00C147EC" w:rsidRDefault="00C147EC">
      <w:pPr>
        <w:ind w:left="992" w:right="1043"/>
        <w:jc w:val="both"/>
        <w:rPr>
          <w:rFonts w:ascii="Palatino Linotype" w:eastAsia="Palatino Linotype" w:hAnsi="Palatino Linotype" w:cs="Palatino Linotype"/>
          <w:i/>
          <w:sz w:val="22"/>
          <w:szCs w:val="22"/>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C147EC" w:rsidRDefault="002431BE">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C147EC" w:rsidRDefault="00C147EC">
      <w:pPr>
        <w:spacing w:before="240" w:line="360" w:lineRule="auto"/>
        <w:ind w:right="51"/>
        <w:jc w:val="both"/>
        <w:rPr>
          <w:rFonts w:ascii="Palatino Linotype" w:eastAsia="Palatino Linotype" w:hAnsi="Palatino Linotype" w:cs="Palatino Linotype"/>
          <w:i/>
          <w:sz w:val="22"/>
          <w:szCs w:val="22"/>
        </w:rPr>
      </w:pPr>
    </w:p>
    <w:p w:rsidR="00C147EC" w:rsidRDefault="002431B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C147EC" w:rsidRDefault="00C147EC">
      <w:pPr>
        <w:spacing w:line="360" w:lineRule="auto"/>
        <w:ind w:right="51"/>
        <w:jc w:val="both"/>
        <w:rPr>
          <w:rFonts w:ascii="Palatino Linotype" w:eastAsia="Palatino Linotype" w:hAnsi="Palatino Linotype" w:cs="Palatino Linotype"/>
        </w:rPr>
      </w:pPr>
    </w:p>
    <w:p w:rsidR="00C147EC" w:rsidRDefault="002431B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y en atención a que el particular solicitó los acuses de recibo de los recursos de revisión, es necesario remitirnos a lo que señala el artículo 180 de la Ley de la Materia, que señala:</w:t>
      </w:r>
    </w:p>
    <w:p w:rsidR="00C147EC" w:rsidRDefault="00C147EC">
      <w:pPr>
        <w:spacing w:line="360" w:lineRule="auto"/>
        <w:ind w:right="51"/>
        <w:jc w:val="both"/>
        <w:rPr>
          <w:rFonts w:ascii="Palatino Linotype" w:eastAsia="Palatino Linotype" w:hAnsi="Palatino Linotype" w:cs="Palatino Linotype"/>
        </w:rPr>
      </w:pP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180. El recurso de revisión contendrá: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sujeto obligado ante la cual se presentó la solicitud;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del solicitante que recurre o de su representante y, en su caso, del tercero interesado, así como la dirección o medio que señale para recibir notificaciones;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número de folio de respuesta de la solicitud de acceso;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fecha en que fue notificada la respuesta al solicitante o tuvo conocimiento del acto reclamado, o de presentación de la solicitud, en caso de falta de respuesta;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El acto que se recurre;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Las razones o motivos de inconformidad;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La copia de la respuesta que se impugna y, en su caso, de la notificación correspondiente, en el caso de respuesta de la solicitud; y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Firma del recurrente, en su caso, cuando se presente por escrito, requisito sin el cual se dará trámite al recurso. </w:t>
      </w:r>
    </w:p>
    <w:p w:rsidR="00C147EC" w:rsidRDefault="002431BE">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Adicionalmente, se podrán anexar las pruebas y demás elementos que considere procedentes someter a juicio del Instituto. En ningún caso será necesario que el particular ratifique el recurso de revisión interpuesto. En caso de que el recurso se interponga de manera electrónica no será indispensable que contengan los requisitos establecidos en las fracciones II, IV, VII y VIII.</w:t>
      </w:r>
    </w:p>
    <w:p w:rsidR="00C147EC" w:rsidRDefault="00C147EC">
      <w:pPr>
        <w:spacing w:line="360" w:lineRule="auto"/>
        <w:ind w:right="51"/>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 firma del mismo, es considerado por este Organismo Garante un dato personal que se debe clasificar como confidencial en términos de lo señalado por la fracción I del artículo 143 de la Ley de la Materia.</w:t>
      </w:r>
    </w:p>
    <w:p w:rsidR="00C147EC" w:rsidRDefault="00C147EC">
      <w:pPr>
        <w:spacing w:line="360" w:lineRule="auto"/>
        <w:jc w:val="both"/>
        <w:rPr>
          <w:rFonts w:ascii="Palatino Linotype" w:eastAsia="Palatino Linotype" w:hAnsi="Palatino Linotype" w:cs="Palatino Linotype"/>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w:t>
      </w:r>
      <w:r>
        <w:rPr>
          <w:rFonts w:ascii="Palatino Linotype" w:eastAsia="Palatino Linotype" w:hAnsi="Palatino Linotype" w:cs="Palatino Linotype"/>
        </w:rPr>
        <w:lastRenderedPageBreak/>
        <w:t xml:space="preserve">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C147EC" w:rsidRDefault="00C147EC">
      <w:pPr>
        <w:ind w:left="709" w:right="709"/>
        <w:jc w:val="both"/>
        <w:rPr>
          <w:rFonts w:ascii="Palatino Linotype" w:eastAsia="Palatino Linotype" w:hAnsi="Palatino Linotype" w:cs="Palatino Linotype"/>
          <w:b/>
          <w:i/>
          <w:sz w:val="22"/>
          <w:szCs w:val="22"/>
        </w:rPr>
      </w:pP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Segundo.-</w:t>
      </w:r>
      <w:r>
        <w:rPr>
          <w:rFonts w:ascii="Palatino Linotype" w:eastAsia="Palatino Linotype" w:hAnsi="Palatino Linotype" w:cs="Palatino Linotype"/>
          <w:i/>
          <w:color w:val="000000"/>
          <w:sz w:val="22"/>
          <w:szCs w:val="22"/>
        </w:rPr>
        <w:t xml:space="preserve"> Para efectos de los presentes Lineamientos Generales, se entenderá por:</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XVIII.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Versión pública:</w:t>
      </w:r>
      <w:r>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000000"/>
          <w:sz w:val="22"/>
          <w:szCs w:val="22"/>
          <w:u w:val="single"/>
        </w:rPr>
        <w:t>fundando y motivando la</w:t>
      </w:r>
      <w:r>
        <w:rPr>
          <w:rFonts w:ascii="Palatino Linotype" w:eastAsia="Palatino Linotype" w:hAnsi="Palatino Linotype" w:cs="Palatino Linotype"/>
          <w:i/>
          <w:color w:val="000000"/>
          <w:sz w:val="22"/>
          <w:szCs w:val="22"/>
        </w:rPr>
        <w:t xml:space="preserve"> reserva o </w:t>
      </w:r>
      <w:r>
        <w:rPr>
          <w:rFonts w:ascii="Palatino Linotype" w:eastAsia="Palatino Linotype" w:hAnsi="Palatino Linotype" w:cs="Palatino Linotype"/>
          <w:b/>
          <w:i/>
          <w:color w:val="000000"/>
          <w:sz w:val="22"/>
          <w:szCs w:val="22"/>
          <w:u w:val="single"/>
        </w:rPr>
        <w:t>confidencialidad</w:t>
      </w:r>
      <w:r>
        <w:rPr>
          <w:rFonts w:ascii="Palatino Linotype" w:eastAsia="Palatino Linotype" w:hAnsi="Palatino Linotype" w:cs="Palatino Linotype"/>
          <w:i/>
          <w:color w:val="000000"/>
          <w:sz w:val="22"/>
          <w:szCs w:val="22"/>
        </w:rPr>
        <w:t>, a través de la resolución que para tal efecto emita el Comité de Transparencia.</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Cuarto.</w:t>
      </w:r>
      <w:r>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Quinto.</w:t>
      </w:r>
      <w:r>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Pr>
          <w:rFonts w:ascii="Palatino Linotype" w:eastAsia="Palatino Linotype" w:hAnsi="Palatino Linotype" w:cs="Palatino Linotype"/>
          <w:i/>
          <w:color w:val="000000"/>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Séptimo.</w:t>
      </w:r>
      <w:r>
        <w:rPr>
          <w:rFonts w:ascii="Palatino Linotype" w:eastAsia="Palatino Linotype" w:hAnsi="Palatino Linotype" w:cs="Palatino Linotype"/>
          <w:i/>
          <w:color w:val="000000"/>
          <w:sz w:val="22"/>
          <w:szCs w:val="22"/>
        </w:rPr>
        <w:t xml:space="preserve"> La clasificación de la información se llevará a cabo en el momento en que:</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reciba una solicitud de acceso a la información;</w:t>
      </w:r>
    </w:p>
    <w:p w:rsidR="00C147EC" w:rsidRDefault="002431BE">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Se  determine mediante resolución del Comité de Transparencia, el órgano garante </w:t>
      </w:r>
    </w:p>
    <w:p w:rsidR="00C147EC" w:rsidRDefault="002431BE">
      <w:pPr>
        <w:pBdr>
          <w:top w:val="nil"/>
          <w:left w:val="nil"/>
          <w:bottom w:val="nil"/>
          <w:right w:val="nil"/>
          <w:between w:val="nil"/>
        </w:pBdr>
        <w:ind w:left="709" w:right="709"/>
        <w:jc w:val="both"/>
        <w:rPr>
          <w:color w:val="000000"/>
        </w:rPr>
      </w:pPr>
      <w:proofErr w:type="gramStart"/>
      <w:r>
        <w:rPr>
          <w:rFonts w:ascii="Palatino Linotype" w:eastAsia="Palatino Linotype" w:hAnsi="Palatino Linotype" w:cs="Palatino Linotype"/>
          <w:i/>
          <w:color w:val="000000"/>
          <w:sz w:val="22"/>
          <w:szCs w:val="22"/>
        </w:rPr>
        <w:t>competente</w:t>
      </w:r>
      <w:proofErr w:type="gramEnd"/>
      <w:r>
        <w:rPr>
          <w:rFonts w:ascii="Palatino Linotype" w:eastAsia="Palatino Linotype" w:hAnsi="Palatino Linotype" w:cs="Palatino Linotype"/>
          <w:i/>
          <w:color w:val="000000"/>
          <w:sz w:val="22"/>
          <w:szCs w:val="22"/>
        </w:rPr>
        <w:t>, o en cumplimiento a una sentencia del Poder Judicial; o</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Octavo.</w:t>
      </w:r>
      <w:r>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rsidR="00C147EC" w:rsidRDefault="002431BE">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Noveno.</w:t>
      </w:r>
      <w:r>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Décimo.</w:t>
      </w:r>
      <w:r>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rsidR="00C147EC" w:rsidRDefault="002431BE">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Décimo primero.</w:t>
      </w:r>
      <w:r>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147EC" w:rsidRDefault="00C147EC">
      <w:pPr>
        <w:pBdr>
          <w:top w:val="nil"/>
          <w:left w:val="nil"/>
          <w:bottom w:val="nil"/>
          <w:right w:val="nil"/>
          <w:between w:val="nil"/>
        </w:pBdr>
        <w:ind w:right="709"/>
        <w:jc w:val="both"/>
        <w:rPr>
          <w:color w:val="000000"/>
        </w:rPr>
      </w:pPr>
    </w:p>
    <w:p w:rsidR="00C147EC" w:rsidRDefault="002431BE">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w:t>
      </w:r>
    </w:p>
    <w:p w:rsidR="00C147EC" w:rsidRDefault="002431BE">
      <w:pPr>
        <w:pBdr>
          <w:top w:val="nil"/>
          <w:left w:val="nil"/>
          <w:bottom w:val="nil"/>
          <w:right w:val="nil"/>
          <w:between w:val="nil"/>
        </w:pBdr>
        <w:ind w:left="709" w:right="709"/>
        <w:jc w:val="center"/>
        <w:rPr>
          <w:color w:val="000000"/>
        </w:rPr>
      </w:pPr>
      <w:r>
        <w:rPr>
          <w:rFonts w:ascii="Palatino Linotype" w:eastAsia="Palatino Linotype" w:hAnsi="Palatino Linotype" w:cs="Palatino Linotype"/>
          <w:b/>
          <w:i/>
          <w:color w:val="000000"/>
          <w:sz w:val="22"/>
          <w:szCs w:val="22"/>
        </w:rPr>
        <w:t>CAPÍTULO VIII</w:t>
      </w:r>
    </w:p>
    <w:p w:rsidR="00C147EC" w:rsidRDefault="002431BE">
      <w:pPr>
        <w:pBdr>
          <w:top w:val="nil"/>
          <w:left w:val="nil"/>
          <w:bottom w:val="nil"/>
          <w:right w:val="nil"/>
          <w:between w:val="nil"/>
        </w:pBdr>
        <w:spacing w:after="160"/>
        <w:ind w:left="709" w:right="709"/>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DE LOS ELEMENTOS PARA LA CLASIFICACIÓN</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w:t>
      </w:r>
      <w:r>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primero</w:t>
      </w:r>
      <w:r>
        <w:rPr>
          <w:rFonts w:ascii="Palatino Linotype" w:eastAsia="Palatino Linotype" w:hAnsi="Palatino Linotype" w:cs="Palatino Linotype"/>
          <w:i/>
          <w:color w:val="000000"/>
          <w:sz w:val="22"/>
          <w:szCs w:val="22"/>
        </w:rPr>
        <w:t>. Toda acta del Comité de Transparencia deberá contener:</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El número de sesión y fecha; </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El nombre del área que solicitó la clasificación de información;</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fundamentación legal y motivación correspondiente;</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La resolución o resoluciones aprobadas; y</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La rúbrica o firma digital de cada integrante del Comité de Transparencia. </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motivos y razonamientos que sustenten la confirmación o modificación de la prueba de daño;</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Descripción de las partes o secciones reservadas, en caso de clasificación parcial;</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El periodo por el que mantendrá su clasificación y fecha de expiración; y</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El nombre del titular y área encargada de realizar la versión pública del documento, en su caso.</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Quincuagésimo segundo</w:t>
      </w:r>
      <w:r>
        <w:rPr>
          <w:rFonts w:ascii="Palatino Linotype" w:eastAsia="Palatino Linotype" w:hAnsi="Palatino Linotype" w:cs="Palatino Linotype"/>
          <w:i/>
          <w:color w:val="000000"/>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Pr>
          <w:rFonts w:ascii="Palatino Linotype" w:eastAsia="Palatino Linotype" w:hAnsi="Palatino Linotype" w:cs="Palatino Linotype"/>
          <w:i/>
          <w:color w:val="000000"/>
          <w:sz w:val="22"/>
          <w:szCs w:val="22"/>
        </w:rPr>
        <w:t>sobreposición</w:t>
      </w:r>
      <w:proofErr w:type="spellEnd"/>
      <w:r>
        <w:rPr>
          <w:rFonts w:ascii="Palatino Linotype" w:eastAsia="Palatino Linotype" w:hAnsi="Palatino Linotype" w:cs="Palatino Linotype"/>
          <w:i/>
          <w:color w:val="000000"/>
          <w:sz w:val="22"/>
          <w:szCs w:val="22"/>
        </w:rPr>
        <w:t xml:space="preserve"> de contenido distinto al autorizado por el Comité.</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Señalar las personas o instancias autorizadas a acceder a la información clasificada.</w:t>
      </w:r>
    </w:p>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C147EC" w:rsidRDefault="002431BE">
      <w:pPr>
        <w:pBdr>
          <w:top w:val="nil"/>
          <w:left w:val="nil"/>
          <w:bottom w:val="nil"/>
          <w:right w:val="nil"/>
          <w:between w:val="nil"/>
        </w:pBdr>
        <w:spacing w:after="160"/>
        <w:ind w:left="709" w:right="709"/>
        <w:jc w:val="both"/>
        <w:rPr>
          <w:color w:val="000000"/>
        </w:rPr>
      </w:pPr>
      <w:r>
        <w:rPr>
          <w:rFonts w:ascii="Palatino Linotype" w:eastAsia="Palatino Linotype" w:hAnsi="Palatino Linotype" w:cs="Palatino Linotype"/>
          <w:b/>
          <w:i/>
          <w:color w:val="000000"/>
          <w:sz w:val="22"/>
          <w:szCs w:val="22"/>
        </w:rPr>
        <w:t xml:space="preserve">Quincuagésimo tercero. </w:t>
      </w:r>
      <w:r>
        <w:rPr>
          <w:rFonts w:ascii="Palatino Linotype" w:eastAsia="Palatino Linotype" w:hAnsi="Palatino Linotype" w:cs="Palatino Linotype"/>
          <w:b/>
          <w:i/>
          <w:color w:val="000000"/>
          <w:sz w:val="22"/>
          <w:szCs w:val="22"/>
          <w:u w:val="single"/>
        </w:rPr>
        <w:t>El formato para señalar la clasificación de un documento o expediente que contenga información reservada, es el siguiente</w:t>
      </w:r>
      <w:proofErr w:type="gramStart"/>
      <w:r>
        <w:rPr>
          <w:rFonts w:ascii="Palatino Linotype" w:eastAsia="Palatino Linotype" w:hAnsi="Palatino Linotype" w:cs="Palatino Linotype"/>
          <w:b/>
          <w:i/>
          <w:color w:val="000000"/>
          <w:sz w:val="22"/>
          <w:szCs w:val="22"/>
          <w:u w:val="single"/>
        </w:rPr>
        <w:t>:</w:t>
      </w:r>
      <w:r>
        <w:rPr>
          <w:rFonts w:ascii="Palatino Linotype" w:eastAsia="Palatino Linotype" w:hAnsi="Palatino Linotype" w:cs="Palatino Linotype"/>
          <w:i/>
          <w:color w:val="000000"/>
          <w:sz w:val="22"/>
          <w:szCs w:val="22"/>
        </w:rPr>
        <w:t>:</w:t>
      </w:r>
      <w:proofErr w:type="gramEnd"/>
    </w:p>
    <w:tbl>
      <w:tblPr>
        <w:tblStyle w:val="a7"/>
        <w:tblW w:w="8833" w:type="dxa"/>
        <w:jc w:val="center"/>
        <w:tblInd w:w="0" w:type="dxa"/>
        <w:tblLayout w:type="fixed"/>
        <w:tblLook w:val="0400" w:firstRow="0" w:lastRow="0" w:firstColumn="0" w:lastColumn="0" w:noHBand="0" w:noVBand="1"/>
      </w:tblPr>
      <w:tblGrid>
        <w:gridCol w:w="1660"/>
        <w:gridCol w:w="1980"/>
        <w:gridCol w:w="5193"/>
      </w:tblGrid>
      <w:tr w:rsidR="00C147EC">
        <w:trPr>
          <w:jc w:val="center"/>
        </w:trPr>
        <w:tc>
          <w:tcPr>
            <w:tcW w:w="1660" w:type="dxa"/>
            <w:tcBorders>
              <w:bottom w:val="single" w:sz="4" w:space="0" w:color="000000"/>
              <w:right w:val="single" w:sz="4" w:space="0" w:color="000000"/>
            </w:tcBorders>
            <w:tcMar>
              <w:top w:w="0" w:type="dxa"/>
              <w:left w:w="115" w:type="dxa"/>
              <w:bottom w:w="0" w:type="dxa"/>
              <w:right w:w="115" w:type="dxa"/>
            </w:tcMar>
          </w:tcPr>
          <w:p w:rsidR="00C147EC" w:rsidRDefault="00C147EC">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Dónde:</w:t>
            </w:r>
          </w:p>
        </w:tc>
      </w:tr>
      <w:tr w:rsidR="00C147EC">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C147E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área del cual es titular quien clasifica.</w:t>
            </w:r>
          </w:p>
        </w:tc>
      </w:tr>
      <w:tr w:rsidR="00C147E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C147E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C147E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C147E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C147E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clasifica.</w:t>
            </w:r>
          </w:p>
        </w:tc>
      </w:tr>
      <w:tr w:rsidR="00C147E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que se desclasifica el documento.</w:t>
            </w:r>
          </w:p>
        </w:tc>
      </w:tr>
      <w:tr w:rsidR="00C147E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147EC" w:rsidRDefault="002431BE">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2431BE">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desclasifica.</w:t>
            </w:r>
          </w:p>
        </w:tc>
      </w:tr>
      <w:tr w:rsidR="00C147EC">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147EC" w:rsidRDefault="00C147EC">
            <w:pPr>
              <w:widowControl w:val="0"/>
              <w:pBdr>
                <w:top w:val="nil"/>
                <w:left w:val="nil"/>
                <w:bottom w:val="nil"/>
                <w:right w:val="nil"/>
                <w:between w:val="nil"/>
              </w:pBdr>
              <w:spacing w:line="276" w:lineRule="auto"/>
              <w:rPr>
                <w:color w:val="000000"/>
              </w:rPr>
            </w:pPr>
          </w:p>
        </w:tc>
      </w:tr>
    </w:tbl>
    <w:p w:rsidR="00C147EC" w:rsidRDefault="002431BE">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C147EC" w:rsidRDefault="002431BE">
      <w:pPr>
        <w:pBdr>
          <w:top w:val="nil"/>
          <w:left w:val="nil"/>
          <w:bottom w:val="nil"/>
          <w:right w:val="nil"/>
          <w:between w:val="nil"/>
        </w:pBdr>
        <w:spacing w:after="160"/>
        <w:ind w:left="709" w:right="709"/>
        <w:jc w:val="both"/>
      </w:pPr>
      <w:r>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rsidR="00C147EC" w:rsidRDefault="00C147EC">
      <w:pPr>
        <w:jc w:val="both"/>
      </w:pPr>
    </w:p>
    <w:p w:rsidR="00C147EC" w:rsidRDefault="00C147EC">
      <w:pPr>
        <w:rPr>
          <w:color w:val="000000"/>
        </w:rPr>
      </w:pPr>
    </w:p>
    <w:p w:rsidR="00C147EC" w:rsidRDefault="002431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C147EC" w:rsidRDefault="00C147EC">
      <w:pPr>
        <w:spacing w:line="360" w:lineRule="auto"/>
        <w:jc w:val="both"/>
        <w:rPr>
          <w:rFonts w:ascii="Palatino Linotype" w:eastAsia="Palatino Linotype" w:hAnsi="Palatino Linotype" w:cs="Palatino Linotype"/>
        </w:rPr>
      </w:pPr>
    </w:p>
    <w:p w:rsidR="00C147EC" w:rsidRDefault="002431BE">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C147EC" w:rsidRDefault="002431B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C147EC" w:rsidRDefault="00C147E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rsidR="00C147EC" w:rsidRDefault="002431B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C147EC" w:rsidRDefault="002431BE">
      <w:pPr>
        <w:spacing w:before="240" w:after="240"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02694/INFOEM/IP/RR/2023, </w:t>
      </w:r>
      <w:r>
        <w:rPr>
          <w:rFonts w:ascii="Palatino Linotype" w:eastAsia="Palatino Linotype" w:hAnsi="Palatino Linotype" w:cs="Palatino Linotype"/>
        </w:rPr>
        <w:t xml:space="preserve">por lo que, </w:t>
      </w:r>
      <w:r>
        <w:rPr>
          <w:rFonts w:ascii="Palatino Linotype" w:eastAsia="Palatino Linotype" w:hAnsi="Palatino Linotype" w:cs="Palatino Linotype"/>
        </w:rPr>
        <w:lastRenderedPageBreak/>
        <w:t xml:space="preserve">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C147EC" w:rsidRDefault="002431B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 los Considerandos Cuarto y Quinto de la presente resolución, haga entrega vía SAIMEX y en versión pública de ser procedente, previa búsqueda exhaustiva y razonable, del documento o documentos en donde conste lo siguiente:</w:t>
      </w:r>
    </w:p>
    <w:p w:rsidR="00C147EC" w:rsidRDefault="002431BE">
      <w:pPr>
        <w:numPr>
          <w:ilvl w:val="0"/>
          <w:numId w:val="2"/>
        </w:numPr>
        <w:pBdr>
          <w:top w:val="nil"/>
          <w:left w:val="nil"/>
          <w:bottom w:val="nil"/>
          <w:right w:val="nil"/>
          <w:between w:val="nil"/>
        </w:pBdr>
        <w:spacing w:before="240" w:after="240" w:line="360" w:lineRule="auto"/>
        <w:ind w:right="4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Los acuses de los segundos recursos de revisión interpuestos al Ayuntamiento de Zinacantepec, del periodo comprendido del primero de enero al catorce de marzo del año dos mil veintitrés, faltantes.</w:t>
      </w:r>
    </w:p>
    <w:p w:rsidR="00C147EC" w:rsidRDefault="002431BE">
      <w:pPr>
        <w:pBdr>
          <w:top w:val="nil"/>
          <w:left w:val="nil"/>
          <w:bottom w:val="nil"/>
          <w:right w:val="nil"/>
          <w:between w:val="nil"/>
        </w:pBdr>
        <w:ind w:left="720"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C147EC" w:rsidRDefault="00C147EC">
      <w:pPr>
        <w:pBdr>
          <w:top w:val="nil"/>
          <w:left w:val="nil"/>
          <w:bottom w:val="nil"/>
          <w:right w:val="nil"/>
          <w:between w:val="nil"/>
        </w:pBdr>
        <w:ind w:left="720" w:right="51"/>
        <w:jc w:val="both"/>
        <w:rPr>
          <w:rFonts w:ascii="Palatino Linotype" w:eastAsia="Palatino Linotype" w:hAnsi="Palatino Linotype" w:cs="Palatino Linotype"/>
          <w:i/>
          <w:sz w:val="22"/>
          <w:szCs w:val="22"/>
        </w:rPr>
      </w:pPr>
    </w:p>
    <w:p w:rsidR="00C147EC" w:rsidRDefault="00C147EC">
      <w:pPr>
        <w:pBdr>
          <w:top w:val="nil"/>
          <w:left w:val="nil"/>
          <w:bottom w:val="nil"/>
          <w:right w:val="nil"/>
          <w:between w:val="nil"/>
        </w:pBdr>
        <w:ind w:left="720" w:right="51"/>
        <w:jc w:val="both"/>
        <w:rPr>
          <w:rFonts w:ascii="Palatino Linotype" w:eastAsia="Palatino Linotype" w:hAnsi="Palatino Linotype" w:cs="Palatino Linotype"/>
          <w:i/>
          <w:sz w:val="22"/>
          <w:szCs w:val="22"/>
        </w:rPr>
      </w:pPr>
      <w:bookmarkStart w:id="6" w:name="_heading=h.2et92p0" w:colFirst="0" w:colLast="0"/>
      <w:bookmarkEnd w:id="6"/>
    </w:p>
    <w:p w:rsidR="00C147EC" w:rsidRDefault="002431BE">
      <w:pPr>
        <w:spacing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Pr>
          <w:rFonts w:ascii="Palatino Linotype" w:eastAsia="Palatino Linotype" w:hAnsi="Palatino Linotype" w:cs="Palatino Linotype"/>
          <w:color w:val="000000"/>
        </w:rPr>
        <w:lastRenderedPageBreak/>
        <w:t>Transparencia y Acceso a la Información Pública del Estado de México y Municipios</w:t>
      </w:r>
      <w:r>
        <w:rPr>
          <w:rFonts w:ascii="Palatino Linotype" w:eastAsia="Palatino Linotype" w:hAnsi="Palatino Linotype" w:cs="Palatino Linotype"/>
          <w:highlight w:val="white"/>
        </w:rPr>
        <w:t>.</w:t>
      </w:r>
    </w:p>
    <w:p w:rsidR="00C147EC" w:rsidRDefault="00C147EC">
      <w:pPr>
        <w:spacing w:line="360" w:lineRule="auto"/>
        <w:jc w:val="both"/>
        <w:rPr>
          <w:rFonts w:ascii="Palatino Linotype" w:eastAsia="Palatino Linotype" w:hAnsi="Palatino Linotype" w:cs="Palatino Linotype"/>
          <w:highlight w:val="white"/>
        </w:rPr>
      </w:pPr>
    </w:p>
    <w:p w:rsidR="00C147EC" w:rsidRDefault="002431BE">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C147EC" w:rsidRDefault="002431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DE OCTUBRE DE DOS MIL VEINTITRÉS, ANTE EL SECRETARIO TÉCNICO DEL PLENO ALEXIS TAPIA RAMÍREZ.</w:t>
      </w:r>
    </w:p>
    <w:p w:rsidR="00F24416" w:rsidRDefault="00F24416">
      <w:pPr>
        <w:spacing w:before="240" w:after="240" w:line="360" w:lineRule="auto"/>
        <w:jc w:val="both"/>
        <w:rPr>
          <w:rFonts w:ascii="Palatino Linotype" w:eastAsia="Palatino Linotype" w:hAnsi="Palatino Linotype" w:cs="Palatino Linotype"/>
        </w:rPr>
      </w:pPr>
    </w:p>
    <w:p w:rsidR="00F24416" w:rsidRDefault="00F24416">
      <w:pPr>
        <w:spacing w:before="240" w:after="240" w:line="360" w:lineRule="auto"/>
        <w:jc w:val="both"/>
        <w:rPr>
          <w:rFonts w:ascii="Palatino Linotype" w:eastAsia="Palatino Linotype" w:hAnsi="Palatino Linotype" w:cs="Palatino Linotype"/>
        </w:rPr>
      </w:pPr>
    </w:p>
    <w:p w:rsidR="00F24416" w:rsidRDefault="00F24416">
      <w:pPr>
        <w:spacing w:before="240" w:after="240" w:line="360" w:lineRule="auto"/>
        <w:jc w:val="both"/>
        <w:rPr>
          <w:rFonts w:ascii="Palatino Linotype" w:eastAsia="Palatino Linotype" w:hAnsi="Palatino Linotype" w:cs="Palatino Linotype"/>
        </w:rPr>
      </w:pPr>
    </w:p>
    <w:p w:rsidR="00F24416" w:rsidRDefault="00F24416">
      <w:pPr>
        <w:spacing w:before="240" w:after="240" w:line="360" w:lineRule="auto"/>
        <w:jc w:val="both"/>
        <w:rPr>
          <w:rFonts w:ascii="Palatino Linotype" w:eastAsia="Palatino Linotype" w:hAnsi="Palatino Linotype" w:cs="Palatino Linotype"/>
        </w:rPr>
      </w:pPr>
    </w:p>
    <w:p w:rsidR="00C147EC" w:rsidRDefault="00C147EC">
      <w:pPr>
        <w:spacing w:before="240" w:after="240" w:line="360" w:lineRule="auto"/>
        <w:jc w:val="both"/>
        <w:rPr>
          <w:rFonts w:ascii="Palatino Linotype" w:eastAsia="Palatino Linotype" w:hAnsi="Palatino Linotype" w:cs="Palatino Linotype"/>
        </w:rPr>
      </w:pPr>
    </w:p>
    <w:sectPr w:rsidR="00C147EC">
      <w:headerReference w:type="default" r:id="rId32"/>
      <w:footerReference w:type="default" r:id="rId33"/>
      <w:headerReference w:type="first" r:id="rId34"/>
      <w:footerReference w:type="first" r:id="rId3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C6C" w:rsidRDefault="00CE5C6C">
      <w:r>
        <w:separator/>
      </w:r>
    </w:p>
  </w:endnote>
  <w:endnote w:type="continuationSeparator" w:id="0">
    <w:p w:rsidR="00CE5C6C" w:rsidRDefault="00CE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7EC" w:rsidRDefault="002431B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220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220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C147EC" w:rsidRDefault="00C147E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7EC" w:rsidRDefault="002431B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22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220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C147EC" w:rsidRDefault="00C147E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C6C" w:rsidRDefault="00CE5C6C">
      <w:r>
        <w:separator/>
      </w:r>
    </w:p>
  </w:footnote>
  <w:footnote w:type="continuationSeparator" w:id="0">
    <w:p w:rsidR="00CE5C6C" w:rsidRDefault="00CE5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7EC" w:rsidRDefault="002431B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-1080131</wp:posOffset>
          </wp:positionH>
          <wp:positionV relativeFrom="paragraph">
            <wp:posOffset>-488311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C147EC">
      <w:tc>
        <w:tcPr>
          <w:tcW w:w="2489" w:type="dxa"/>
          <w:shd w:val="clear" w:color="auto" w:fill="auto"/>
        </w:tcPr>
        <w:p w:rsidR="00C147EC" w:rsidRDefault="002431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C147EC" w:rsidRDefault="002431B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02694/INFOEM/IP/RR/2023</w:t>
          </w:r>
        </w:p>
      </w:tc>
    </w:tr>
    <w:tr w:rsidR="00C147EC">
      <w:trPr>
        <w:trHeight w:val="228"/>
      </w:trPr>
      <w:tc>
        <w:tcPr>
          <w:tcW w:w="2489" w:type="dxa"/>
          <w:shd w:val="clear" w:color="auto" w:fill="auto"/>
          <w:vAlign w:val="center"/>
        </w:tcPr>
        <w:p w:rsidR="00C147EC" w:rsidRDefault="002431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C147EC" w:rsidRDefault="002431BE">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147EC">
      <w:tc>
        <w:tcPr>
          <w:tcW w:w="2489" w:type="dxa"/>
          <w:shd w:val="clear" w:color="auto" w:fill="auto"/>
          <w:vAlign w:val="center"/>
        </w:tcPr>
        <w:p w:rsidR="00C147EC" w:rsidRDefault="002431B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C147EC" w:rsidRDefault="002431B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147EC" w:rsidRDefault="002431B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7EC" w:rsidRDefault="00C147EC">
    <w:pPr>
      <w:widowControl w:val="0"/>
      <w:pBdr>
        <w:top w:val="nil"/>
        <w:left w:val="nil"/>
        <w:bottom w:val="nil"/>
        <w:right w:val="nil"/>
        <w:between w:val="nil"/>
      </w:pBdr>
      <w:spacing w:line="276" w:lineRule="auto"/>
      <w:ind w:right="191"/>
      <w:rPr>
        <w:rFonts w:ascii="Palatino Linotype" w:eastAsia="Palatino Linotype" w:hAnsi="Palatino Linotype" w:cs="Palatino Linotype"/>
        <w:color w:val="000000"/>
        <w:sz w:val="16"/>
        <w:szCs w:val="16"/>
      </w:rPr>
    </w:pPr>
  </w:p>
  <w:tbl>
    <w:tblPr>
      <w:tblStyle w:val="a8"/>
      <w:tblW w:w="5670" w:type="dxa"/>
      <w:tblInd w:w="3261" w:type="dxa"/>
      <w:tblLayout w:type="fixed"/>
      <w:tblLook w:val="0400" w:firstRow="0" w:lastRow="0" w:firstColumn="0" w:lastColumn="0" w:noHBand="0" w:noVBand="1"/>
    </w:tblPr>
    <w:tblGrid>
      <w:gridCol w:w="2551"/>
      <w:gridCol w:w="3119"/>
    </w:tblGrid>
    <w:tr w:rsidR="00C147EC">
      <w:tc>
        <w:tcPr>
          <w:tcW w:w="2551" w:type="dxa"/>
          <w:shd w:val="clear" w:color="auto" w:fill="auto"/>
          <w:vAlign w:val="center"/>
        </w:tcPr>
        <w:p w:rsidR="00C147EC" w:rsidRDefault="002431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C147EC" w:rsidRDefault="002431B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02694/INFOEM/IP/RR/2023</w:t>
          </w:r>
        </w:p>
      </w:tc>
    </w:tr>
    <w:tr w:rsidR="00C147EC">
      <w:trPr>
        <w:trHeight w:val="130"/>
      </w:trPr>
      <w:tc>
        <w:tcPr>
          <w:tcW w:w="2551" w:type="dxa"/>
          <w:shd w:val="clear" w:color="auto" w:fill="auto"/>
          <w:vAlign w:val="center"/>
        </w:tcPr>
        <w:p w:rsidR="00C147EC" w:rsidRDefault="002431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C147EC" w:rsidRDefault="00C147EC">
          <w:pPr>
            <w:ind w:left="-45" w:right="-533"/>
            <w:jc w:val="both"/>
            <w:rPr>
              <w:rFonts w:ascii="Palatino Linotype" w:eastAsia="Palatino Linotype" w:hAnsi="Palatino Linotype" w:cs="Palatino Linotype"/>
              <w:b/>
              <w:sz w:val="22"/>
              <w:szCs w:val="22"/>
            </w:rPr>
          </w:pPr>
        </w:p>
      </w:tc>
    </w:tr>
    <w:tr w:rsidR="00C147EC">
      <w:trPr>
        <w:trHeight w:val="228"/>
      </w:trPr>
      <w:tc>
        <w:tcPr>
          <w:tcW w:w="2551" w:type="dxa"/>
          <w:shd w:val="clear" w:color="auto" w:fill="auto"/>
          <w:vAlign w:val="center"/>
        </w:tcPr>
        <w:p w:rsidR="00C147EC" w:rsidRDefault="002431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C147EC" w:rsidRDefault="002431BE">
          <w:pPr>
            <w:ind w:left="-45" w:right="27"/>
            <w:jc w:val="both"/>
          </w:pPr>
          <w:r>
            <w:rPr>
              <w:rFonts w:ascii="Palatino Linotype" w:eastAsia="Palatino Linotype" w:hAnsi="Palatino Linotype" w:cs="Palatino Linotype"/>
              <w:b/>
              <w:sz w:val="22"/>
              <w:szCs w:val="22"/>
            </w:rPr>
            <w:t>Ayuntamiento de Zinacantepec.</w:t>
          </w:r>
        </w:p>
      </w:tc>
    </w:tr>
    <w:tr w:rsidR="00C147EC">
      <w:tc>
        <w:tcPr>
          <w:tcW w:w="2551" w:type="dxa"/>
          <w:shd w:val="clear" w:color="auto" w:fill="auto"/>
          <w:vAlign w:val="center"/>
        </w:tcPr>
        <w:p w:rsidR="00C147EC" w:rsidRDefault="002431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C147EC" w:rsidRDefault="002431B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147EC" w:rsidRDefault="002431BE">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-1089656</wp:posOffset>
          </wp:positionH>
          <wp:positionV relativeFrom="paragraph">
            <wp:posOffset>-1169666</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1CE"/>
    <w:multiLevelType w:val="multilevel"/>
    <w:tmpl w:val="CBCE38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2AC1F61"/>
    <w:multiLevelType w:val="multilevel"/>
    <w:tmpl w:val="22440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A364089"/>
    <w:multiLevelType w:val="multilevel"/>
    <w:tmpl w:val="27FE9B4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EC"/>
    <w:rsid w:val="002431BE"/>
    <w:rsid w:val="00292209"/>
    <w:rsid w:val="003A32A6"/>
    <w:rsid w:val="004E0EA4"/>
    <w:rsid w:val="006B0BBB"/>
    <w:rsid w:val="00833B90"/>
    <w:rsid w:val="00C147EC"/>
    <w:rsid w:val="00CE5C6C"/>
    <w:rsid w:val="00D5223C"/>
    <w:rsid w:val="00F24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D9800-C417-49E1-89ED-4C19F0DC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character" w:customStyle="1" w:styleId="object">
    <w:name w:val="object"/>
    <w:basedOn w:val="Fuentedeprrafopredeter"/>
    <w:rsid w:val="001A55EF"/>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778346.page" TargetMode="External"/><Relationship Id="rId18" Type="http://schemas.openxmlformats.org/officeDocument/2006/relationships/hyperlink" Target="https://saimex.org.mx/saimex/solicitud/downloadAttach/1778356.page" TargetMode="External"/><Relationship Id="rId26" Type="http://schemas.openxmlformats.org/officeDocument/2006/relationships/hyperlink" Target="https://saimex.org.mx/saimex/solicitud/downloadAttach/1778364.page" TargetMode="External"/><Relationship Id="rId21" Type="http://schemas.openxmlformats.org/officeDocument/2006/relationships/hyperlink" Target="https://saimex.org.mx/saimex/solicitud/downloadAttach/1778359.pag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imex.org.mx/saimex/solicitud/downloadAttach/1778345.page" TargetMode="External"/><Relationship Id="rId17" Type="http://schemas.openxmlformats.org/officeDocument/2006/relationships/hyperlink" Target="https://saimex.org.mx/saimex/solicitud/downloadAttach/1778355.page" TargetMode="External"/><Relationship Id="rId25" Type="http://schemas.openxmlformats.org/officeDocument/2006/relationships/hyperlink" Target="https://saimex.org.mx/saimex/solicitud/downloadAttach/1778363.pag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imex.org.mx/saimex/solicitud/downloadAttach/1778354.page" TargetMode="External"/><Relationship Id="rId20" Type="http://schemas.openxmlformats.org/officeDocument/2006/relationships/hyperlink" Target="https://saimex.org.mx/saimex/solicitud/downloadAttach/1778358.page"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78344.page" TargetMode="External"/><Relationship Id="rId24" Type="http://schemas.openxmlformats.org/officeDocument/2006/relationships/hyperlink" Target="https://saimex.org.mx/saimex/solicitud/downloadAttach/1778362.page"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778348.page" TargetMode="External"/><Relationship Id="rId23" Type="http://schemas.openxmlformats.org/officeDocument/2006/relationships/hyperlink" Target="https://saimex.org.mx/saimex/solicitud/downloadAttach/1778361.page"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hyperlink" Target="https://saimex.org.mx/saimex/solicitud/downloadAttach/1778343.page" TargetMode="External"/><Relationship Id="rId19" Type="http://schemas.openxmlformats.org/officeDocument/2006/relationships/hyperlink" Target="https://saimex.org.mx/saimex/solicitud/downloadAttach/1778357.page"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saimex.org.mx/saimex/solicitud/downloadAttach/1778342.page" TargetMode="External"/><Relationship Id="rId14" Type="http://schemas.openxmlformats.org/officeDocument/2006/relationships/hyperlink" Target="https://saimex.org.mx/saimex/solicitud/downloadAttach/1778347.page" TargetMode="External"/><Relationship Id="rId22" Type="http://schemas.openxmlformats.org/officeDocument/2006/relationships/hyperlink" Target="https://saimex.org.mx/saimex/solicitud/downloadAttach/1778360.page" TargetMode="External"/><Relationship Id="rId27" Type="http://schemas.openxmlformats.org/officeDocument/2006/relationships/hyperlink" Target="https://saimex.org.mx/saimex/solicitud/downloadAttach/1778365.page" TargetMode="External"/><Relationship Id="rId30" Type="http://schemas.openxmlformats.org/officeDocument/2006/relationships/image" Target="media/image5.png"/><Relationship Id="rId35" Type="http://schemas.openxmlformats.org/officeDocument/2006/relationships/footer" Target="footer2.xml"/><Relationship Id="rId8" Type="http://schemas.openxmlformats.org/officeDocument/2006/relationships/hyperlink" Target="https://saimex.org.mx/saimex/solicitud/downloadAttach/1778341.pag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MZRVnbWGDiVDg/jk3Gg3nZNKA==">CgMxLjAyCGguZ2pkZ3hzMgloLjMwajB6bGwyCGgudHlqY3d0MgloLjN6bnlzaDcyCWguMWZvYjl0ZTIJaC4yZXQ5MnAwOAByITFwVnNvejJRU1YwYkRQR1ZKQmJ5dEhyd1lsRm1YWnpicw==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10136</Words>
  <Characters>55751</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2023-10-04T17:27:00Z</cp:lastPrinted>
  <dcterms:created xsi:type="dcterms:W3CDTF">2023-10-17T20:32:00Z</dcterms:created>
  <dcterms:modified xsi:type="dcterms:W3CDTF">2023-10-17T20:32:00Z</dcterms:modified>
</cp:coreProperties>
</file>