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2EF7" w:rsidR="00BE54AC" w:rsidP="006935C8" w:rsidRDefault="00BE54AC" w14:paraId="566913F8" w14:textId="5CF31D9A">
      <w:pPr>
        <w:spacing w:after="0" w:line="360" w:lineRule="auto"/>
        <w:contextualSpacing/>
        <w:rPr>
          <w:rFonts w:cs="Tahoma"/>
        </w:rPr>
      </w:pPr>
      <w:r w:rsidRPr="00382EF7">
        <w:rPr>
          <w:rFonts w:cs="Tahoma"/>
        </w:rPr>
        <w:t>Resolución del Pleno del Instituto de Transparencia, Acceso a la Información Pública y Protección de Datos Personales del Estado de México y Municipios, con domicilio en Metepec, Estado de México, de fecha veinti</w:t>
      </w:r>
      <w:r w:rsidRPr="00382EF7" w:rsidR="00FB722B">
        <w:rPr>
          <w:rFonts w:cs="Tahoma"/>
        </w:rPr>
        <w:t>nueve</w:t>
      </w:r>
      <w:r w:rsidRPr="00382EF7">
        <w:rPr>
          <w:rFonts w:cs="Tahoma"/>
        </w:rPr>
        <w:t xml:space="preserve"> de </w:t>
      </w:r>
      <w:r w:rsidRPr="00382EF7" w:rsidR="00A42528">
        <w:rPr>
          <w:rFonts w:cs="Tahoma"/>
        </w:rPr>
        <w:t xml:space="preserve">marzo </w:t>
      </w:r>
      <w:r w:rsidRPr="00382EF7">
        <w:rPr>
          <w:rFonts w:cs="Tahoma"/>
        </w:rPr>
        <w:t>de dos mil veintitrés.</w:t>
      </w:r>
    </w:p>
    <w:p w:rsidRPr="00382EF7" w:rsidR="00BE54AC" w:rsidP="006935C8" w:rsidRDefault="00BE54AC" w14:paraId="18300755" w14:textId="77777777">
      <w:pPr>
        <w:spacing w:after="0" w:line="360" w:lineRule="auto"/>
        <w:contextualSpacing/>
        <w:rPr>
          <w:rFonts w:cs="Tahoma"/>
          <w:bCs/>
        </w:rPr>
      </w:pPr>
    </w:p>
    <w:p w:rsidRPr="00382EF7" w:rsidR="00BE54AC" w:rsidP="7BD6F48A" w:rsidRDefault="00BE54AC" w14:paraId="69763A16" w14:textId="381F6751">
      <w:pPr>
        <w:spacing w:after="0" w:line="360" w:lineRule="auto"/>
        <w:contextualSpacing/>
        <w:rPr>
          <w:rFonts w:cs="Tahoma"/>
        </w:rPr>
      </w:pPr>
      <w:r w:rsidRPr="7BD6F48A" w:rsidR="7BD6F48A">
        <w:rPr>
          <w:rFonts w:cs="Tahoma"/>
          <w:b w:val="1"/>
          <w:bCs w:val="1"/>
        </w:rPr>
        <w:t xml:space="preserve">VISTO </w:t>
      </w:r>
      <w:r w:rsidRPr="7BD6F48A" w:rsidR="7BD6F48A">
        <w:rPr>
          <w:rFonts w:cs="Tahoma"/>
        </w:rPr>
        <w:t xml:space="preserve">el expediente conformado con motivo de los Recursos de Revisión </w:t>
      </w:r>
      <w:r w:rsidR="7BD6F48A">
        <w:rPr/>
        <w:t>14531/INFOEM/IP/RR/2022 y 14589/INFOEM/IP/RR/2022</w:t>
      </w:r>
      <w:r w:rsidRPr="7BD6F48A" w:rsidR="7BD6F48A">
        <w:rPr>
          <w:rFonts w:cs="Tahoma"/>
        </w:rPr>
        <w:t xml:space="preserve">, interpuestos por </w:t>
      </w:r>
      <w:r w:rsidRPr="7BD6F48A" w:rsidR="7BD6F48A">
        <w:rPr>
          <w:rFonts w:cs="Tahoma"/>
          <w:highlight w:val="black"/>
        </w:rPr>
        <w:t>XXXXXXXXXXXXXXXXXXXXXXXXXX</w:t>
      </w:r>
      <w:r w:rsidRPr="7BD6F48A" w:rsidR="7BD6F48A">
        <w:rPr>
          <w:rFonts w:cs="Tahoma"/>
        </w:rPr>
        <w:t>, en lo sucesivo el</w:t>
      </w:r>
      <w:r w:rsidR="7BD6F48A">
        <w:rPr/>
        <w:t xml:space="preserve"> </w:t>
      </w:r>
      <w:r w:rsidRPr="7BD6F48A" w:rsidR="7BD6F48A">
        <w:rPr>
          <w:rFonts w:cs="Tahoma"/>
        </w:rPr>
        <w:t>Recurrente o Particular, en contra de las respuestas del Sujeto Obligado, Ayuntamiento de Melchor Ocampo, a las solicitudes de información con números</w:t>
      </w:r>
      <w:r w:rsidRPr="7BD6F48A" w:rsidR="7BD6F48A">
        <w:rPr>
          <w:rFonts w:ascii="Verdana" w:hAnsi="Verdana"/>
          <w:b w:val="1"/>
          <w:bCs w:val="1"/>
          <w:color w:val="FF0000"/>
        </w:rPr>
        <w:t> </w:t>
      </w:r>
      <w:r w:rsidRPr="7BD6F48A" w:rsidR="7BD6F48A">
        <w:rPr>
          <w:color w:val="auto"/>
        </w:rPr>
        <w:t>00131/MELOCAM/IP/2022 y 00164/MELOCAM/IP/2022</w:t>
      </w:r>
      <w:r w:rsidRPr="7BD6F48A" w:rsidR="7BD6F48A">
        <w:rPr>
          <w:rFonts w:cs="Tahoma"/>
        </w:rPr>
        <w:t>, se emite la presente Resolución, con base en los Antecedentes y Considerandos que se exponen a continuación:</w:t>
      </w:r>
    </w:p>
    <w:p w:rsidRPr="00382EF7" w:rsidR="00A42528" w:rsidP="006935C8" w:rsidRDefault="00A42528" w14:paraId="41DA4454" w14:textId="77777777">
      <w:pPr>
        <w:tabs>
          <w:tab w:val="center" w:pos="4522"/>
          <w:tab w:val="left" w:pos="7245"/>
        </w:tabs>
        <w:spacing w:after="0" w:line="360" w:lineRule="auto"/>
        <w:contextualSpacing/>
        <w:jc w:val="center"/>
        <w:rPr>
          <w:rFonts w:cs="Tahoma"/>
          <w:b/>
        </w:rPr>
      </w:pPr>
    </w:p>
    <w:p w:rsidRPr="00382EF7" w:rsidR="00BE54AC" w:rsidP="006935C8" w:rsidRDefault="00BE54AC" w14:paraId="779F471D" w14:textId="7FDFA56D">
      <w:pPr>
        <w:tabs>
          <w:tab w:val="center" w:pos="4522"/>
          <w:tab w:val="left" w:pos="7245"/>
        </w:tabs>
        <w:spacing w:after="0" w:line="360" w:lineRule="auto"/>
        <w:contextualSpacing/>
        <w:jc w:val="center"/>
        <w:rPr>
          <w:rFonts w:cs="Tahoma"/>
          <w:b/>
        </w:rPr>
      </w:pPr>
      <w:r w:rsidRPr="00382EF7">
        <w:rPr>
          <w:rFonts w:cs="Tahoma"/>
          <w:b/>
        </w:rPr>
        <w:t>A N T E C E D E N T E S:</w:t>
      </w:r>
    </w:p>
    <w:p w:rsidRPr="00382EF7" w:rsidR="00BE54AC" w:rsidP="006935C8" w:rsidRDefault="00BE54AC" w14:paraId="34781DAB" w14:textId="77777777">
      <w:pPr>
        <w:spacing w:after="0" w:line="360" w:lineRule="auto"/>
        <w:contextualSpacing/>
      </w:pPr>
    </w:p>
    <w:p w:rsidRPr="00382EF7" w:rsidR="00BE54AC" w:rsidP="006935C8" w:rsidRDefault="00BE54AC" w14:paraId="7F1705F4" w14:textId="71E4468D">
      <w:pPr>
        <w:pStyle w:val="Prrafodelista"/>
        <w:tabs>
          <w:tab w:val="left" w:pos="567"/>
        </w:tabs>
        <w:spacing w:line="360" w:lineRule="auto"/>
        <w:ind w:left="0"/>
        <w:jc w:val="both"/>
        <w:rPr>
          <w:rFonts w:ascii="Palatino Linotype" w:hAnsi="Palatino Linotype" w:cs="Tahoma"/>
          <w:b/>
          <w:color w:val="000000" w:themeColor="text1"/>
          <w:szCs w:val="22"/>
        </w:rPr>
      </w:pPr>
      <w:r w:rsidRPr="00382EF7">
        <w:rPr>
          <w:rFonts w:ascii="Palatino Linotype" w:hAnsi="Palatino Linotype" w:cs="Tahoma"/>
          <w:b/>
          <w:color w:val="000000" w:themeColor="text1"/>
          <w:szCs w:val="22"/>
        </w:rPr>
        <w:t>I. Presentación de la</w:t>
      </w:r>
      <w:r w:rsidRPr="00382EF7" w:rsidR="002E3E3C">
        <w:rPr>
          <w:rFonts w:ascii="Palatino Linotype" w:hAnsi="Palatino Linotype" w:cs="Tahoma"/>
          <w:b/>
          <w:color w:val="000000" w:themeColor="text1"/>
          <w:szCs w:val="22"/>
        </w:rPr>
        <w:t>s</w:t>
      </w:r>
      <w:r w:rsidRPr="00382EF7">
        <w:rPr>
          <w:rFonts w:ascii="Palatino Linotype" w:hAnsi="Palatino Linotype" w:cs="Tahoma"/>
          <w:b/>
          <w:color w:val="000000" w:themeColor="text1"/>
          <w:szCs w:val="22"/>
        </w:rPr>
        <w:t xml:space="preserve"> solicitud</w:t>
      </w:r>
      <w:r w:rsidRPr="00382EF7" w:rsidR="002E3E3C">
        <w:rPr>
          <w:rFonts w:ascii="Palatino Linotype" w:hAnsi="Palatino Linotype" w:cs="Tahoma"/>
          <w:b/>
          <w:color w:val="000000" w:themeColor="text1"/>
          <w:szCs w:val="22"/>
        </w:rPr>
        <w:t>es</w:t>
      </w:r>
      <w:r w:rsidRPr="00382EF7">
        <w:rPr>
          <w:rFonts w:ascii="Palatino Linotype" w:hAnsi="Palatino Linotype" w:cs="Tahoma"/>
          <w:b/>
          <w:color w:val="000000" w:themeColor="text1"/>
          <w:szCs w:val="22"/>
        </w:rPr>
        <w:t xml:space="preserve"> de información. </w:t>
      </w:r>
    </w:p>
    <w:p w:rsidRPr="00382EF7" w:rsidR="00BE54AC" w:rsidP="006935C8" w:rsidRDefault="00BE54AC" w14:paraId="314C63DE"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382EF7" w:rsidR="00BE54AC" w:rsidP="006935C8" w:rsidRDefault="00BE54AC" w14:paraId="5AA009CC" w14:textId="1B596008">
      <w:pPr>
        <w:tabs>
          <w:tab w:val="left" w:pos="567"/>
        </w:tabs>
        <w:spacing w:after="0" w:line="360" w:lineRule="auto"/>
        <w:ind w:right="-28"/>
        <w:contextualSpacing/>
        <w:rPr>
          <w:rFonts w:cs="Tahoma"/>
        </w:rPr>
      </w:pPr>
      <w:r w:rsidRPr="00382EF7">
        <w:rPr>
          <w:rFonts w:cs="Tahoma"/>
        </w:rPr>
        <w:t xml:space="preserve">Con fecha primero de agosto de dos mil veintidós, la Particular presentó </w:t>
      </w:r>
      <w:r w:rsidRPr="00382EF7" w:rsidR="002E3E3C">
        <w:rPr>
          <w:rFonts w:cs="Tahoma"/>
        </w:rPr>
        <w:t>dos</w:t>
      </w:r>
      <w:r w:rsidRPr="00382EF7">
        <w:rPr>
          <w:rFonts w:cs="Tahoma"/>
        </w:rPr>
        <w:t xml:space="preserve"> solicitud</w:t>
      </w:r>
      <w:r w:rsidRPr="00382EF7" w:rsidR="002E3E3C">
        <w:rPr>
          <w:rFonts w:cs="Tahoma"/>
        </w:rPr>
        <w:t>es</w:t>
      </w:r>
      <w:r w:rsidRPr="00382EF7">
        <w:rPr>
          <w:rFonts w:cs="Tahoma"/>
        </w:rPr>
        <w:t xml:space="preserve"> de acceso a la información pública, a través del Sistema de Acceso a la Información Mexiquense (SAIMEX), ante el Ayuntamiento de Melchor Ocampo</w:t>
      </w:r>
      <w:r w:rsidRPr="00382EF7">
        <w:rPr>
          <w:rFonts w:cs="Tahoma"/>
          <w:b/>
          <w:bCs/>
        </w:rPr>
        <w:t xml:space="preserve">, </w:t>
      </w:r>
      <w:r w:rsidRPr="00382EF7">
        <w:rPr>
          <w:rFonts w:eastAsia="Calibri" w:cs="Times New Roman"/>
          <w:b/>
          <w:bCs/>
        </w:rPr>
        <w:t>ya que si bien, se registr</w:t>
      </w:r>
      <w:r w:rsidRPr="00382EF7" w:rsidR="002E3E3C">
        <w:rPr>
          <w:rFonts w:eastAsia="Calibri" w:cs="Times New Roman"/>
          <w:b/>
          <w:bCs/>
        </w:rPr>
        <w:t>aron</w:t>
      </w:r>
      <w:r w:rsidRPr="00382EF7">
        <w:rPr>
          <w:rFonts w:eastAsia="Calibri" w:cs="Times New Roman"/>
          <w:b/>
          <w:bCs/>
        </w:rPr>
        <w:t xml:space="preserve">, el veinte de julio de dos mil veintidós,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382EF7">
        <w:rPr>
          <w:rFonts w:cs="Tahoma"/>
        </w:rPr>
        <w:t>en los siguientes términos:</w:t>
      </w:r>
    </w:p>
    <w:p w:rsidRPr="00382EF7" w:rsidR="00BE54AC" w:rsidP="006935C8" w:rsidRDefault="00BE54AC" w14:paraId="48A4C242" w14:textId="6D7C1C8F">
      <w:pPr>
        <w:tabs>
          <w:tab w:val="left" w:pos="567"/>
        </w:tabs>
        <w:spacing w:after="0" w:line="360" w:lineRule="auto"/>
        <w:ind w:right="-28"/>
        <w:contextualSpacing/>
        <w:rPr>
          <w:rFonts w:cs="Tahoma"/>
        </w:rPr>
      </w:pPr>
    </w:p>
    <w:p w:rsidRPr="00382EF7" w:rsidR="00A42528" w:rsidP="006935C8" w:rsidRDefault="00A42528" w14:paraId="4D60962E" w14:textId="77777777">
      <w:pPr>
        <w:tabs>
          <w:tab w:val="left" w:pos="567"/>
        </w:tabs>
        <w:spacing w:after="0" w:line="360" w:lineRule="auto"/>
        <w:ind w:right="-28"/>
        <w:contextualSpacing/>
        <w:rPr>
          <w:rFonts w:cs="Tahoma"/>
        </w:rPr>
      </w:pPr>
    </w:p>
    <w:p w:rsidRPr="00382EF7" w:rsidR="00651EFA" w:rsidP="006935C8" w:rsidRDefault="00651EFA" w14:paraId="7780C8C1" w14:textId="38A8B597">
      <w:pPr>
        <w:tabs>
          <w:tab w:val="left" w:pos="4667"/>
        </w:tabs>
        <w:spacing w:after="0" w:line="360" w:lineRule="auto"/>
        <w:ind w:left="567" w:right="567"/>
        <w:contextualSpacing/>
        <w:rPr>
          <w:rFonts w:cs="Tahoma"/>
          <w:b/>
          <w:bCs/>
          <w:i/>
          <w:sz w:val="20"/>
          <w:szCs w:val="20"/>
        </w:rPr>
      </w:pPr>
      <w:r w:rsidRPr="00382EF7">
        <w:rPr>
          <w:rFonts w:cs="Tahoma"/>
          <w:b/>
          <w:bCs/>
        </w:rPr>
        <w:t xml:space="preserve">SOLICITUD DE INFORMACIÓN </w:t>
      </w:r>
      <w:r w:rsidRPr="00382EF7">
        <w:rPr>
          <w:b/>
          <w:bCs/>
          <w:color w:val="auto"/>
        </w:rPr>
        <w:t>00131/MELOCAM/IP/2022</w:t>
      </w:r>
    </w:p>
    <w:p w:rsidRPr="00382EF7" w:rsidR="00BE54AC" w:rsidP="006935C8" w:rsidRDefault="00BE54AC" w14:paraId="73BD2E12" w14:textId="408CE02C">
      <w:pPr>
        <w:tabs>
          <w:tab w:val="left" w:pos="4667"/>
        </w:tabs>
        <w:spacing w:after="0" w:line="360" w:lineRule="auto"/>
        <w:ind w:left="567" w:right="567"/>
        <w:contextualSpacing/>
        <w:rPr>
          <w:rFonts w:cs="Tahoma"/>
          <w:b/>
          <w:bCs/>
          <w:i/>
          <w:sz w:val="20"/>
          <w:szCs w:val="20"/>
        </w:rPr>
      </w:pPr>
      <w:r w:rsidRPr="00382EF7">
        <w:rPr>
          <w:rFonts w:cs="Tahoma"/>
          <w:b/>
          <w:bCs/>
          <w:i/>
          <w:sz w:val="20"/>
          <w:szCs w:val="20"/>
        </w:rPr>
        <w:lastRenderedPageBreak/>
        <w:t>“DESCRIPCIÓN CLARA Y PRECISA DE LA INFORMACIÓN SOLICITADA</w:t>
      </w:r>
    </w:p>
    <w:p w:rsidRPr="00382EF7" w:rsidR="00BE54AC" w:rsidP="006935C8" w:rsidRDefault="009924BC" w14:paraId="3B9D6F69" w14:textId="1A7848DC">
      <w:pPr>
        <w:spacing w:after="0" w:line="360" w:lineRule="auto"/>
        <w:ind w:left="567" w:right="567"/>
        <w:contextualSpacing/>
        <w:rPr>
          <w:rFonts w:eastAsia="Times New Roman" w:cs="Times New Roman"/>
          <w:i/>
          <w:iCs/>
          <w:color w:val="auto"/>
          <w:sz w:val="20"/>
          <w:szCs w:val="20"/>
          <w:lang w:eastAsia="es-MX"/>
        </w:rPr>
      </w:pPr>
      <w:r w:rsidRPr="00382EF7">
        <w:rPr>
          <w:i/>
          <w:iCs/>
          <w:color w:val="000000"/>
          <w:sz w:val="20"/>
          <w:szCs w:val="20"/>
        </w:rPr>
        <w:t>Disco 1, 2 3</w:t>
      </w:r>
      <w:r w:rsidRPr="00382EF7" w:rsidR="00BE54AC">
        <w:rPr>
          <w:i/>
          <w:iCs/>
          <w:color w:val="000000"/>
          <w:sz w:val="20"/>
          <w:szCs w:val="20"/>
        </w:rPr>
        <w:t xml:space="preserve">, 4, 5 y 6 completo de </w:t>
      </w:r>
      <w:proofErr w:type="spellStart"/>
      <w:r w:rsidRPr="00382EF7" w:rsidR="00BE54AC">
        <w:rPr>
          <w:i/>
          <w:iCs/>
          <w:color w:val="000000"/>
          <w:sz w:val="20"/>
          <w:szCs w:val="20"/>
        </w:rPr>
        <w:t>osfem</w:t>
      </w:r>
      <w:proofErr w:type="spellEnd"/>
      <w:r w:rsidRPr="00382EF7" w:rsidR="00BE54AC">
        <w:rPr>
          <w:rFonts w:cs="Tahoma"/>
          <w:bCs/>
          <w:i/>
          <w:iCs/>
          <w:sz w:val="20"/>
          <w:szCs w:val="20"/>
        </w:rPr>
        <w:t xml:space="preserve">.” </w:t>
      </w:r>
      <w:r w:rsidRPr="00382EF7" w:rsidR="00BE54AC">
        <w:rPr>
          <w:rFonts w:eastAsia="Times New Roman" w:cs="Arial"/>
          <w:bCs/>
          <w:i/>
          <w:iCs/>
          <w:sz w:val="20"/>
          <w:szCs w:val="20"/>
          <w:lang w:eastAsia="es-ES"/>
        </w:rPr>
        <w:t>(Sic)</w:t>
      </w:r>
    </w:p>
    <w:p w:rsidRPr="00382EF7" w:rsidR="00A42528" w:rsidP="006935C8" w:rsidRDefault="00A42528" w14:paraId="5A073408" w14:textId="77777777">
      <w:pPr>
        <w:tabs>
          <w:tab w:val="left" w:pos="4667"/>
        </w:tabs>
        <w:spacing w:after="0" w:line="360" w:lineRule="auto"/>
        <w:ind w:right="567"/>
        <w:contextualSpacing/>
        <w:rPr>
          <w:rFonts w:cs="Tahoma"/>
          <w:b/>
          <w:bCs/>
        </w:rPr>
      </w:pPr>
    </w:p>
    <w:p w:rsidRPr="00382EF7" w:rsidR="00651EFA" w:rsidP="006935C8" w:rsidRDefault="00651EFA" w14:paraId="2F8FB0D3" w14:textId="0D6E42D9">
      <w:pPr>
        <w:tabs>
          <w:tab w:val="left" w:pos="4667"/>
        </w:tabs>
        <w:spacing w:after="0" w:line="360" w:lineRule="auto"/>
        <w:ind w:left="567" w:right="567"/>
        <w:contextualSpacing/>
        <w:rPr>
          <w:rFonts w:cs="Tahoma"/>
          <w:b/>
          <w:bCs/>
          <w:i/>
          <w:sz w:val="20"/>
          <w:szCs w:val="20"/>
        </w:rPr>
      </w:pPr>
      <w:r w:rsidRPr="00382EF7">
        <w:rPr>
          <w:rFonts w:cs="Tahoma"/>
          <w:b/>
          <w:bCs/>
        </w:rPr>
        <w:t xml:space="preserve">SOLICITUD DE INFORMACIÓN </w:t>
      </w:r>
      <w:r w:rsidRPr="00382EF7">
        <w:rPr>
          <w:b/>
          <w:bCs/>
          <w:color w:val="auto"/>
        </w:rPr>
        <w:t>00164/MELOCAM/IP/2022</w:t>
      </w:r>
    </w:p>
    <w:p w:rsidRPr="00382EF7" w:rsidR="00651EFA" w:rsidP="006935C8" w:rsidRDefault="00651EFA" w14:paraId="238D3B53" w14:textId="77777777">
      <w:pPr>
        <w:tabs>
          <w:tab w:val="left" w:pos="4667"/>
        </w:tabs>
        <w:spacing w:after="0" w:line="360" w:lineRule="auto"/>
        <w:ind w:left="567" w:right="567"/>
        <w:contextualSpacing/>
        <w:rPr>
          <w:rFonts w:cs="Tahoma"/>
          <w:b/>
          <w:bCs/>
          <w:i/>
          <w:sz w:val="20"/>
          <w:szCs w:val="20"/>
        </w:rPr>
      </w:pPr>
      <w:r w:rsidRPr="00382EF7">
        <w:rPr>
          <w:rFonts w:cs="Tahoma"/>
          <w:b/>
          <w:bCs/>
          <w:i/>
          <w:sz w:val="20"/>
          <w:szCs w:val="20"/>
        </w:rPr>
        <w:t>“DESCRIPCIÓN CLARA Y PRECISA DE LA INFORMACIÓN SOLICITADA</w:t>
      </w:r>
    </w:p>
    <w:p w:rsidRPr="00382EF7" w:rsidR="00651EFA" w:rsidP="006935C8" w:rsidRDefault="00651EFA" w14:paraId="79A42C48" w14:textId="43EFF708">
      <w:pPr>
        <w:tabs>
          <w:tab w:val="left" w:pos="4667"/>
        </w:tabs>
        <w:spacing w:after="0" w:line="360" w:lineRule="auto"/>
        <w:ind w:left="567" w:right="567"/>
        <w:contextualSpacing/>
        <w:rPr>
          <w:rFonts w:cs="Tahoma"/>
          <w:b/>
          <w:bCs/>
          <w:i/>
          <w:iCs/>
          <w:sz w:val="20"/>
          <w:szCs w:val="20"/>
        </w:rPr>
      </w:pPr>
      <w:r w:rsidRPr="00382EF7">
        <w:rPr>
          <w:rFonts w:eastAsia="Times New Roman" w:cs="Times New Roman"/>
          <w:i/>
          <w:iCs/>
          <w:color w:val="auto"/>
          <w:sz w:val="20"/>
          <w:szCs w:val="20"/>
          <w:lang w:eastAsia="es-MX"/>
        </w:rPr>
        <w:t xml:space="preserve">Solicito disco 3 de </w:t>
      </w:r>
      <w:proofErr w:type="spellStart"/>
      <w:r w:rsidRPr="00382EF7">
        <w:rPr>
          <w:rFonts w:eastAsia="Times New Roman" w:cs="Times New Roman"/>
          <w:i/>
          <w:iCs/>
          <w:color w:val="auto"/>
          <w:sz w:val="20"/>
          <w:szCs w:val="20"/>
          <w:lang w:eastAsia="es-MX"/>
        </w:rPr>
        <w:t>osfem</w:t>
      </w:r>
      <w:proofErr w:type="spellEnd"/>
      <w:r w:rsidRPr="00382EF7">
        <w:rPr>
          <w:rFonts w:eastAsia="Times New Roman" w:cs="Times New Roman"/>
          <w:i/>
          <w:iCs/>
          <w:color w:val="auto"/>
          <w:sz w:val="20"/>
          <w:szCs w:val="20"/>
          <w:lang w:eastAsia="es-MX"/>
        </w:rPr>
        <w:t xml:space="preserve"> de los meses de enero a mayo del año 2022 en </w:t>
      </w:r>
      <w:proofErr w:type="spellStart"/>
      <w:r w:rsidRPr="00382EF7">
        <w:rPr>
          <w:rFonts w:eastAsia="Times New Roman" w:cs="Times New Roman"/>
          <w:i/>
          <w:iCs/>
          <w:color w:val="auto"/>
          <w:sz w:val="20"/>
          <w:szCs w:val="20"/>
          <w:lang w:eastAsia="es-MX"/>
        </w:rPr>
        <w:t>version</w:t>
      </w:r>
      <w:proofErr w:type="spellEnd"/>
      <w:r w:rsidRPr="00382EF7">
        <w:rPr>
          <w:rFonts w:eastAsia="Times New Roman" w:cs="Times New Roman"/>
          <w:i/>
          <w:iCs/>
          <w:color w:val="auto"/>
          <w:sz w:val="20"/>
          <w:szCs w:val="20"/>
          <w:lang w:eastAsia="es-MX"/>
        </w:rPr>
        <w:t xml:space="preserve"> </w:t>
      </w:r>
      <w:proofErr w:type="spellStart"/>
      <w:r w:rsidRPr="00382EF7">
        <w:rPr>
          <w:rFonts w:eastAsia="Times New Roman" w:cs="Times New Roman"/>
          <w:i/>
          <w:iCs/>
          <w:color w:val="auto"/>
          <w:sz w:val="20"/>
          <w:szCs w:val="20"/>
          <w:lang w:eastAsia="es-MX"/>
        </w:rPr>
        <w:t>pubica</w:t>
      </w:r>
      <w:proofErr w:type="spellEnd"/>
      <w:r w:rsidRPr="00382EF7">
        <w:rPr>
          <w:rFonts w:eastAsia="Times New Roman" w:cs="Times New Roman"/>
          <w:i/>
          <w:iCs/>
          <w:color w:val="auto"/>
          <w:sz w:val="20"/>
          <w:szCs w:val="20"/>
          <w:lang w:eastAsia="es-MX"/>
        </w:rPr>
        <w:t xml:space="preserve"> (Sic)</w:t>
      </w:r>
    </w:p>
    <w:p w:rsidRPr="00382EF7" w:rsidR="00651EFA" w:rsidP="006935C8" w:rsidRDefault="00651EFA" w14:paraId="03E2D19A" w14:textId="77777777">
      <w:pPr>
        <w:tabs>
          <w:tab w:val="left" w:pos="4667"/>
        </w:tabs>
        <w:spacing w:after="0" w:line="360" w:lineRule="auto"/>
        <w:ind w:left="567" w:right="567"/>
        <w:contextualSpacing/>
        <w:rPr>
          <w:rFonts w:eastAsia="Times New Roman" w:cs="Tahoma"/>
          <w:b/>
          <w:bCs/>
          <w:i/>
          <w:iCs/>
          <w:sz w:val="20"/>
          <w:szCs w:val="20"/>
          <w:lang w:eastAsia="es-ES"/>
        </w:rPr>
      </w:pPr>
    </w:p>
    <w:p w:rsidRPr="00382EF7" w:rsidR="00BE54AC" w:rsidP="006935C8" w:rsidRDefault="00BE54AC" w14:paraId="0CFCE053" w14:textId="70FF0EAC">
      <w:pPr>
        <w:tabs>
          <w:tab w:val="left" w:pos="4667"/>
        </w:tabs>
        <w:spacing w:after="0" w:line="360" w:lineRule="auto"/>
        <w:ind w:left="567" w:right="567"/>
        <w:contextualSpacing/>
        <w:rPr>
          <w:rFonts w:eastAsia="Times New Roman" w:cs="Tahoma"/>
          <w:b/>
          <w:bCs/>
          <w:i/>
          <w:iCs/>
          <w:sz w:val="20"/>
          <w:szCs w:val="20"/>
          <w:lang w:eastAsia="es-ES"/>
        </w:rPr>
      </w:pPr>
      <w:r w:rsidRPr="00382EF7">
        <w:rPr>
          <w:rFonts w:eastAsia="Times New Roman" w:cs="Tahoma"/>
          <w:b/>
          <w:bCs/>
          <w:i/>
          <w:iCs/>
          <w:sz w:val="20"/>
          <w:szCs w:val="20"/>
          <w:lang w:eastAsia="es-ES"/>
        </w:rPr>
        <w:t>“MODALIDAD DE ENTREGA</w:t>
      </w:r>
    </w:p>
    <w:p w:rsidRPr="00382EF7" w:rsidR="00BE54AC" w:rsidP="006935C8" w:rsidRDefault="00BE54AC" w14:paraId="5C36995B" w14:textId="3B3BA604">
      <w:pPr>
        <w:spacing w:after="0" w:line="360" w:lineRule="auto"/>
        <w:ind w:left="567" w:right="567"/>
        <w:contextualSpacing/>
        <w:rPr>
          <w:rFonts w:eastAsia="Times New Roman" w:cs="Arial"/>
          <w:bCs/>
          <w:i/>
          <w:iCs/>
          <w:sz w:val="20"/>
          <w:szCs w:val="20"/>
          <w:lang w:eastAsia="es-ES"/>
        </w:rPr>
      </w:pPr>
      <w:r w:rsidRPr="00382EF7">
        <w:rPr>
          <w:rFonts w:eastAsia="Times New Roman" w:cs="Arial"/>
          <w:bCs/>
          <w:i/>
          <w:iCs/>
          <w:sz w:val="20"/>
          <w:szCs w:val="20"/>
          <w:lang w:eastAsia="es-ES"/>
        </w:rPr>
        <w:t>A través del SAIMEX” (Sic)</w:t>
      </w:r>
    </w:p>
    <w:p w:rsidRPr="00382EF7" w:rsidR="00BE54AC" w:rsidP="006935C8" w:rsidRDefault="00BE54AC" w14:paraId="35A623A8" w14:textId="77777777">
      <w:pPr>
        <w:tabs>
          <w:tab w:val="left" w:pos="567"/>
        </w:tabs>
        <w:spacing w:after="0" w:line="360" w:lineRule="auto"/>
        <w:contextualSpacing/>
        <w:rPr>
          <w:rFonts w:eastAsia="Calibri" w:cs="Tahoma"/>
          <w:b/>
          <w:bCs/>
          <w:i/>
          <w:iCs/>
        </w:rPr>
      </w:pPr>
    </w:p>
    <w:p w:rsidRPr="00382EF7" w:rsidR="00BE54AC" w:rsidP="006935C8" w:rsidRDefault="00BE54AC" w14:paraId="0039708D" w14:textId="49D68525">
      <w:pPr>
        <w:tabs>
          <w:tab w:val="left" w:pos="4667"/>
        </w:tabs>
        <w:spacing w:after="0" w:line="360" w:lineRule="auto"/>
        <w:ind w:right="567"/>
        <w:contextualSpacing/>
        <w:rPr>
          <w:rFonts w:eastAsia="Times New Roman" w:cs="Tahoma"/>
          <w:b/>
          <w:bCs/>
          <w:color w:val="auto"/>
          <w:szCs w:val="20"/>
          <w:lang w:eastAsia="es-ES"/>
        </w:rPr>
      </w:pPr>
      <w:r w:rsidRPr="00382EF7">
        <w:rPr>
          <w:rFonts w:eastAsia="Calibri" w:cs="Tahoma"/>
          <w:b/>
          <w:bCs/>
        </w:rPr>
        <w:t xml:space="preserve">II. </w:t>
      </w:r>
      <w:r w:rsidRPr="00382EF7">
        <w:rPr>
          <w:rFonts w:eastAsia="Times New Roman" w:cs="Tahoma"/>
          <w:b/>
          <w:bCs/>
          <w:color w:val="auto"/>
          <w:szCs w:val="20"/>
          <w:lang w:eastAsia="es-ES"/>
        </w:rPr>
        <w:t>Solicitud de Aclaración.</w:t>
      </w:r>
    </w:p>
    <w:p w:rsidRPr="00382EF7" w:rsidR="00651EFA" w:rsidP="006935C8" w:rsidRDefault="00651EFA" w14:paraId="45BEAA97" w14:textId="77777777">
      <w:pPr>
        <w:tabs>
          <w:tab w:val="left" w:pos="4667"/>
        </w:tabs>
        <w:spacing w:after="0" w:line="360" w:lineRule="auto"/>
        <w:ind w:right="567"/>
        <w:contextualSpacing/>
        <w:rPr>
          <w:rFonts w:eastAsia="Times New Roman" w:cs="Tahoma"/>
          <w:b/>
          <w:bCs/>
          <w:color w:val="auto"/>
          <w:szCs w:val="20"/>
          <w:lang w:eastAsia="es-ES"/>
        </w:rPr>
      </w:pPr>
    </w:p>
    <w:p w:rsidRPr="00382EF7" w:rsidR="00BE54AC" w:rsidP="006935C8" w:rsidRDefault="00BE54AC" w14:paraId="369F8526" w14:textId="02DC8E3B">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382EF7">
        <w:rPr>
          <w:rFonts w:ascii="Palatino Linotype" w:hAnsi="Palatino Linotype" w:cs="Tahoma"/>
          <w:bCs/>
          <w:szCs w:val="20"/>
          <w:lang w:val="es-MX" w:eastAsia="es-ES"/>
        </w:rPr>
        <w:t>Con fecha</w:t>
      </w:r>
      <w:r w:rsidRPr="00382EF7" w:rsidR="006729A7">
        <w:rPr>
          <w:rFonts w:ascii="Palatino Linotype" w:hAnsi="Palatino Linotype" w:cs="Tahoma"/>
          <w:bCs/>
          <w:szCs w:val="20"/>
          <w:lang w:val="es-MX" w:eastAsia="es-ES"/>
        </w:rPr>
        <w:t xml:space="preserve">, </w:t>
      </w:r>
      <w:r w:rsidRPr="00382EF7">
        <w:rPr>
          <w:rFonts w:ascii="Palatino Linotype" w:hAnsi="Palatino Linotype" w:cs="Tahoma"/>
          <w:bCs/>
          <w:szCs w:val="20"/>
          <w:lang w:val="es-MX" w:eastAsia="es-ES"/>
        </w:rPr>
        <w:t xml:space="preserve">cinco de agosto de dos mil veintidós, </w:t>
      </w:r>
      <w:r w:rsidRPr="00382EF7">
        <w:rPr>
          <w:rStyle w:val="normaltextrun"/>
          <w:rFonts w:ascii="Palatino Linotype" w:hAnsi="Palatino Linotype" w:cs="Segoe UI"/>
          <w:sz w:val="22"/>
          <w:szCs w:val="22"/>
          <w:lang w:val="es-MX"/>
        </w:rPr>
        <w:t>la Unidad de Transparencia del Ayuntamiento de Melchor Ocampo, notificó al Particular, mediante el Sistema de Acceso a la Información Mexiquense (SAIMEX), un requerimiento de información adicional a la</w:t>
      </w:r>
      <w:r w:rsidRPr="00382EF7" w:rsidR="00651EFA">
        <w:rPr>
          <w:rStyle w:val="normaltextrun"/>
          <w:rFonts w:ascii="Palatino Linotype" w:hAnsi="Palatino Linotype" w:cs="Segoe UI"/>
          <w:sz w:val="22"/>
          <w:szCs w:val="22"/>
          <w:lang w:val="es-MX"/>
        </w:rPr>
        <w:t>s</w:t>
      </w:r>
      <w:r w:rsidRPr="00382EF7">
        <w:rPr>
          <w:rStyle w:val="normaltextrun"/>
          <w:rFonts w:ascii="Palatino Linotype" w:hAnsi="Palatino Linotype" w:cs="Segoe UI"/>
          <w:sz w:val="22"/>
          <w:szCs w:val="22"/>
          <w:lang w:val="es-MX"/>
        </w:rPr>
        <w:t xml:space="preserve"> solicitud</w:t>
      </w:r>
      <w:r w:rsidRPr="00382EF7" w:rsidR="00651EFA">
        <w:rPr>
          <w:rStyle w:val="normaltextrun"/>
          <w:rFonts w:ascii="Palatino Linotype" w:hAnsi="Palatino Linotype" w:cs="Segoe UI"/>
          <w:sz w:val="22"/>
          <w:szCs w:val="22"/>
          <w:lang w:val="es-MX"/>
        </w:rPr>
        <w:t>es</w:t>
      </w:r>
      <w:r w:rsidRPr="00382EF7" w:rsidR="006729A7">
        <w:rPr>
          <w:rStyle w:val="normaltextrun"/>
          <w:rFonts w:ascii="Palatino Linotype" w:hAnsi="Palatino Linotype" w:cs="Segoe UI"/>
          <w:sz w:val="22"/>
          <w:szCs w:val="22"/>
          <w:lang w:val="es-MX"/>
        </w:rPr>
        <w:t xml:space="preserve"> d</w:t>
      </w:r>
      <w:r w:rsidRPr="00382EF7">
        <w:rPr>
          <w:rStyle w:val="normaltextrun"/>
          <w:rFonts w:ascii="Palatino Linotype" w:hAnsi="Palatino Linotype" w:cs="Segoe UI"/>
          <w:sz w:val="22"/>
          <w:szCs w:val="22"/>
          <w:lang w:val="es-MX"/>
        </w:rPr>
        <w:t>e información previamente referida</w:t>
      </w:r>
      <w:r w:rsidRPr="00382EF7" w:rsidR="00651EFA">
        <w:rPr>
          <w:rStyle w:val="normaltextrun"/>
          <w:rFonts w:ascii="Palatino Linotype" w:hAnsi="Palatino Linotype" w:cs="Segoe UI"/>
          <w:sz w:val="22"/>
          <w:szCs w:val="22"/>
          <w:lang w:val="es-MX"/>
        </w:rPr>
        <w:t>s</w:t>
      </w:r>
      <w:r w:rsidRPr="00382EF7">
        <w:rPr>
          <w:rStyle w:val="normaltextrun"/>
          <w:rFonts w:ascii="Palatino Linotype" w:hAnsi="Palatino Linotype" w:cs="Segoe UI"/>
          <w:sz w:val="22"/>
          <w:szCs w:val="22"/>
          <w:lang w:val="es-MX"/>
        </w:rPr>
        <w:t>,</w:t>
      </w:r>
      <w:r w:rsidRPr="00382EF7" w:rsidR="00651EFA">
        <w:rPr>
          <w:rStyle w:val="normaltextrun"/>
          <w:rFonts w:ascii="Palatino Linotype" w:hAnsi="Palatino Linotype" w:cs="Segoe UI"/>
          <w:sz w:val="22"/>
          <w:szCs w:val="22"/>
          <w:lang w:val="es-MX"/>
        </w:rPr>
        <w:t xml:space="preserve"> ambas</w:t>
      </w:r>
      <w:r w:rsidRPr="00382EF7">
        <w:rPr>
          <w:rStyle w:val="normaltextrun"/>
          <w:rFonts w:ascii="Palatino Linotype" w:hAnsi="Palatino Linotype" w:cs="Segoe UI"/>
          <w:sz w:val="22"/>
          <w:szCs w:val="22"/>
          <w:lang w:val="es-MX"/>
        </w:rPr>
        <w:t xml:space="preserve"> en los siguientes términos:</w:t>
      </w:r>
      <w:r w:rsidRPr="00382EF7">
        <w:rPr>
          <w:rStyle w:val="eop"/>
          <w:rFonts w:ascii="Palatino Linotype" w:hAnsi="Palatino Linotype" w:cs="Segoe UI"/>
          <w:sz w:val="22"/>
          <w:szCs w:val="22"/>
          <w:lang w:val="es-MX"/>
        </w:rPr>
        <w:t> </w:t>
      </w:r>
    </w:p>
    <w:p w:rsidRPr="00382EF7" w:rsidR="00BE54AC" w:rsidP="006935C8" w:rsidRDefault="00BE54AC" w14:paraId="20C3D7ED" w14:textId="77777777">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p>
    <w:p w:rsidRPr="00382EF7" w:rsidR="00BE54AC" w:rsidP="006935C8" w:rsidRDefault="00BE54AC" w14:paraId="143F6E26" w14:textId="77777777">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382EF7">
        <w:rPr>
          <w:rStyle w:val="normaltextrun"/>
          <w:rFonts w:ascii="Palatino Linotype" w:hAnsi="Palatino Linotype" w:cs="Segoe UI"/>
          <w:i/>
          <w:iCs/>
          <w:sz w:val="20"/>
          <w:szCs w:val="20"/>
          <w:lang w:val="es-MX"/>
        </w:rPr>
        <w:t>“…</w:t>
      </w:r>
      <w:r w:rsidRPr="00382EF7">
        <w:rPr>
          <w:rStyle w:val="eop"/>
          <w:rFonts w:ascii="Palatino Linotype" w:hAnsi="Palatino Linotype" w:cs="Segoe UI"/>
          <w:sz w:val="20"/>
          <w:szCs w:val="20"/>
          <w:lang w:val="es-MX"/>
        </w:rPr>
        <w:t> </w:t>
      </w:r>
    </w:p>
    <w:p w:rsidRPr="00382EF7" w:rsidR="00BE54AC" w:rsidP="006935C8" w:rsidRDefault="00BE54AC" w14:paraId="6071737B" w14:textId="77777777">
      <w:pPr>
        <w:pStyle w:val="paragraph"/>
        <w:spacing w:before="0" w:beforeAutospacing="0" w:after="0" w:afterAutospacing="0" w:line="360" w:lineRule="auto"/>
        <w:ind w:left="556" w:right="556"/>
        <w:contextualSpacing/>
        <w:jc w:val="both"/>
        <w:textAlignment w:val="baseline"/>
        <w:rPr>
          <w:rFonts w:ascii="Palatino Linotype" w:hAnsi="Palatino Linotype"/>
          <w:i/>
          <w:iCs/>
          <w:color w:val="000000"/>
          <w:sz w:val="20"/>
          <w:szCs w:val="20"/>
          <w:lang w:val="es-MX"/>
        </w:rPr>
      </w:pPr>
      <w:r w:rsidRPr="00382EF7">
        <w:rPr>
          <w:rFonts w:ascii="Palatino Linotype" w:hAnsi="Palatino Linotype"/>
          <w:i/>
          <w:iCs/>
          <w:color w:val="000000"/>
          <w:sz w:val="20"/>
          <w:szCs w:val="20"/>
          <w:lang w:val="es-MX"/>
        </w:rPr>
        <w:t xml:space="preserve">Con fundamento en el </w:t>
      </w:r>
      <w:proofErr w:type="spellStart"/>
      <w:r w:rsidRPr="00382EF7">
        <w:rPr>
          <w:rFonts w:ascii="Palatino Linotype" w:hAnsi="Palatino Linotype"/>
          <w:i/>
          <w:iCs/>
          <w:color w:val="000000"/>
          <w:sz w:val="20"/>
          <w:szCs w:val="20"/>
          <w:lang w:val="es-MX"/>
        </w:rPr>
        <w:t>articulo</w:t>
      </w:r>
      <w:proofErr w:type="spellEnd"/>
      <w:r w:rsidRPr="00382EF7">
        <w:rPr>
          <w:rFonts w:ascii="Palatino Linotype" w:hAnsi="Palatino Linotype"/>
          <w:i/>
          <w:iCs/>
          <w:color w:val="000000"/>
          <w:sz w:val="20"/>
          <w:szCs w:val="20"/>
          <w:lang w:val="es-MX"/>
        </w:rPr>
        <w:t xml:space="preserve"> 159 de la Ley de Transparencia y Acceso a la Información Pública del Estado de México y Municipios, se le requiere para que dentro del plazo de diez días hábiles realice lo siguiente:</w:t>
      </w:r>
    </w:p>
    <w:p w:rsidRPr="00382EF7" w:rsidR="00BE54AC" w:rsidP="006935C8" w:rsidRDefault="00BE54AC" w14:paraId="7B68210D" w14:textId="77777777">
      <w:pPr>
        <w:pStyle w:val="paragraph"/>
        <w:spacing w:before="0" w:beforeAutospacing="0" w:after="0" w:afterAutospacing="0" w:line="360" w:lineRule="auto"/>
        <w:ind w:left="556" w:right="556"/>
        <w:contextualSpacing/>
        <w:jc w:val="both"/>
        <w:textAlignment w:val="baseline"/>
        <w:rPr>
          <w:rFonts w:ascii="Palatino Linotype" w:hAnsi="Palatino Linotype"/>
          <w:i/>
          <w:iCs/>
          <w:color w:val="000000"/>
          <w:sz w:val="20"/>
          <w:szCs w:val="20"/>
          <w:lang w:val="es-MX"/>
        </w:rPr>
      </w:pPr>
    </w:p>
    <w:p w:rsidRPr="00382EF7" w:rsidR="00BE54AC" w:rsidP="006935C8" w:rsidRDefault="00BE54AC" w14:paraId="64C8FB16" w14:textId="77777777">
      <w:pPr>
        <w:pStyle w:val="paragraph"/>
        <w:spacing w:before="0" w:beforeAutospacing="0" w:after="0" w:afterAutospacing="0" w:line="360" w:lineRule="auto"/>
        <w:ind w:left="556" w:right="556"/>
        <w:contextualSpacing/>
        <w:jc w:val="both"/>
        <w:textAlignment w:val="baseline"/>
        <w:rPr>
          <w:rFonts w:ascii="Palatino Linotype" w:hAnsi="Palatino Linotype"/>
          <w:i/>
          <w:iCs/>
          <w:color w:val="000000"/>
          <w:sz w:val="20"/>
          <w:szCs w:val="20"/>
          <w:lang w:val="es-MX"/>
        </w:rPr>
      </w:pPr>
      <w:r w:rsidRPr="00382EF7">
        <w:rPr>
          <w:rFonts w:ascii="Palatino Linotype" w:hAnsi="Palatino Linotype"/>
          <w:i/>
          <w:iCs/>
          <w:color w:val="000000"/>
          <w:sz w:val="20"/>
          <w:szCs w:val="20"/>
          <w:lang w:val="es-MX"/>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rsidRPr="00382EF7" w:rsidR="00BE54AC" w:rsidP="006935C8" w:rsidRDefault="00BE54AC" w14:paraId="0D557581" w14:textId="77777777">
      <w:pPr>
        <w:pStyle w:val="paragraph"/>
        <w:spacing w:before="0" w:beforeAutospacing="0" w:after="0" w:afterAutospacing="0" w:line="360" w:lineRule="auto"/>
        <w:ind w:left="556" w:right="556"/>
        <w:contextualSpacing/>
        <w:jc w:val="both"/>
        <w:textAlignment w:val="baseline"/>
        <w:rPr>
          <w:rFonts w:ascii="Palatino Linotype" w:hAnsi="Palatino Linotype"/>
          <w:i/>
          <w:iCs/>
          <w:color w:val="000000"/>
          <w:sz w:val="20"/>
          <w:szCs w:val="20"/>
          <w:lang w:val="es-MX"/>
        </w:rPr>
      </w:pPr>
    </w:p>
    <w:p w:rsidRPr="00382EF7" w:rsidR="00BE54AC" w:rsidP="006935C8" w:rsidRDefault="00BE54AC" w14:paraId="114CC172" w14:textId="55EB068D">
      <w:pPr>
        <w:pStyle w:val="paragraph"/>
        <w:spacing w:before="0" w:beforeAutospacing="0" w:after="0" w:afterAutospacing="0" w:line="360" w:lineRule="auto"/>
        <w:ind w:left="556" w:right="556"/>
        <w:contextualSpacing/>
        <w:jc w:val="both"/>
        <w:textAlignment w:val="baseline"/>
        <w:rPr>
          <w:rFonts w:ascii="Palatino Linotype" w:hAnsi="Palatino Linotype"/>
          <w:i/>
          <w:iCs/>
          <w:color w:val="000000"/>
          <w:sz w:val="20"/>
          <w:szCs w:val="20"/>
          <w:lang w:val="es-MX"/>
        </w:rPr>
      </w:pPr>
      <w:r w:rsidRPr="00382EF7">
        <w:rPr>
          <w:rFonts w:ascii="Palatino Linotype" w:hAnsi="Palatino Linotype"/>
          <w:i/>
          <w:iCs/>
          <w:color w:val="000000"/>
          <w:sz w:val="20"/>
          <w:szCs w:val="20"/>
          <w:lang w:val="es-MX"/>
        </w:rPr>
        <w:lastRenderedPageBreak/>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w:t>
      </w:r>
      <w:proofErr w:type="gramStart"/>
      <w:r w:rsidRPr="00382EF7">
        <w:rPr>
          <w:rFonts w:ascii="Palatino Linotype" w:hAnsi="Palatino Linotype"/>
          <w:i/>
          <w:iCs/>
          <w:color w:val="000000"/>
          <w:sz w:val="20"/>
          <w:szCs w:val="20"/>
          <w:lang w:val="es-MX"/>
        </w:rPr>
        <w:t>invocada.</w:t>
      </w:r>
      <w:r w:rsidRPr="00382EF7">
        <w:rPr>
          <w:rStyle w:val="normaltextrun"/>
          <w:rFonts w:ascii="Palatino Linotype" w:hAnsi="Palatino Linotype" w:cs="Segoe UI"/>
          <w:i/>
          <w:iCs/>
          <w:sz w:val="20"/>
          <w:szCs w:val="20"/>
          <w:lang w:val="es-MX"/>
        </w:rPr>
        <w:t>…</w:t>
      </w:r>
      <w:proofErr w:type="gramEnd"/>
      <w:r w:rsidRPr="00382EF7">
        <w:rPr>
          <w:rStyle w:val="normaltextrun"/>
          <w:rFonts w:ascii="Palatino Linotype" w:hAnsi="Palatino Linotype" w:cs="Segoe UI"/>
          <w:i/>
          <w:iCs/>
          <w:sz w:val="20"/>
          <w:szCs w:val="20"/>
          <w:lang w:val="es-MX"/>
        </w:rPr>
        <w:t>” (Sic.)</w:t>
      </w:r>
      <w:r w:rsidRPr="00382EF7">
        <w:rPr>
          <w:rStyle w:val="eop"/>
          <w:rFonts w:ascii="Palatino Linotype" w:hAnsi="Palatino Linotype" w:cs="Segoe UI"/>
          <w:sz w:val="20"/>
          <w:szCs w:val="20"/>
          <w:lang w:val="es-MX"/>
        </w:rPr>
        <w:t> </w:t>
      </w:r>
    </w:p>
    <w:p w:rsidRPr="00382EF7" w:rsidR="00BE54AC" w:rsidP="006935C8" w:rsidRDefault="00BE54AC" w14:paraId="48A5E42B" w14:textId="77777777">
      <w:pPr>
        <w:spacing w:after="0" w:line="360" w:lineRule="auto"/>
        <w:contextualSpacing/>
        <w:rPr>
          <w:rFonts w:cs="Tahoma"/>
          <w:b/>
        </w:rPr>
      </w:pPr>
    </w:p>
    <w:p w:rsidRPr="00382EF7" w:rsidR="00BE54AC" w:rsidP="006935C8" w:rsidRDefault="00BE54AC" w14:paraId="1F2F107A" w14:textId="7E6A29E7">
      <w:pPr>
        <w:pStyle w:val="Prrafodelista"/>
        <w:tabs>
          <w:tab w:val="left" w:pos="567"/>
        </w:tabs>
        <w:spacing w:line="360" w:lineRule="auto"/>
        <w:ind w:left="0"/>
        <w:rPr>
          <w:rFonts w:ascii="Palatino Linotype" w:hAnsi="Palatino Linotype" w:cs="Tahoma"/>
          <w:b/>
        </w:rPr>
      </w:pPr>
      <w:r w:rsidRPr="00382EF7">
        <w:rPr>
          <w:rFonts w:ascii="Palatino Linotype" w:hAnsi="Palatino Linotype" w:cs="Tahoma"/>
          <w:b/>
        </w:rPr>
        <w:t>III. Desahogo de la</w:t>
      </w:r>
      <w:r w:rsidRPr="00382EF7" w:rsidR="00651EFA">
        <w:rPr>
          <w:rFonts w:ascii="Palatino Linotype" w:hAnsi="Palatino Linotype" w:cs="Tahoma"/>
          <w:b/>
        </w:rPr>
        <w:t>s</w:t>
      </w:r>
      <w:r w:rsidRPr="00382EF7">
        <w:rPr>
          <w:rFonts w:ascii="Palatino Linotype" w:hAnsi="Palatino Linotype" w:cs="Tahoma"/>
          <w:b/>
        </w:rPr>
        <w:t xml:space="preserve"> aclaraci</w:t>
      </w:r>
      <w:r w:rsidRPr="00382EF7" w:rsidR="00651EFA">
        <w:rPr>
          <w:rFonts w:ascii="Palatino Linotype" w:hAnsi="Palatino Linotype" w:cs="Tahoma"/>
          <w:b/>
        </w:rPr>
        <w:t>o</w:t>
      </w:r>
      <w:r w:rsidRPr="00382EF7">
        <w:rPr>
          <w:rFonts w:ascii="Palatino Linotype" w:hAnsi="Palatino Linotype" w:cs="Tahoma"/>
          <w:b/>
        </w:rPr>
        <w:t>n</w:t>
      </w:r>
      <w:r w:rsidRPr="00382EF7" w:rsidR="00651EFA">
        <w:rPr>
          <w:rFonts w:ascii="Palatino Linotype" w:hAnsi="Palatino Linotype" w:cs="Tahoma"/>
          <w:b/>
        </w:rPr>
        <w:t>es</w:t>
      </w:r>
      <w:r w:rsidRPr="00382EF7">
        <w:rPr>
          <w:rFonts w:ascii="Palatino Linotype" w:hAnsi="Palatino Linotype" w:cs="Tahoma"/>
          <w:b/>
        </w:rPr>
        <w:t xml:space="preserve"> por parte del Solicitante. </w:t>
      </w:r>
    </w:p>
    <w:p w:rsidRPr="00382EF7" w:rsidR="00BE54AC" w:rsidP="006935C8" w:rsidRDefault="00BE54AC" w14:paraId="6B97DD67" w14:textId="77777777">
      <w:pPr>
        <w:pStyle w:val="Prrafodelista"/>
        <w:tabs>
          <w:tab w:val="left" w:pos="567"/>
        </w:tabs>
        <w:spacing w:line="360" w:lineRule="auto"/>
        <w:ind w:left="0"/>
        <w:rPr>
          <w:rFonts w:ascii="Palatino Linotype" w:hAnsi="Palatino Linotype" w:cs="Tahoma"/>
          <w:b/>
        </w:rPr>
      </w:pPr>
    </w:p>
    <w:p w:rsidRPr="00382EF7" w:rsidR="00BE54AC" w:rsidP="006935C8" w:rsidRDefault="00BE54AC" w14:paraId="1790161C" w14:textId="6F7E60D5">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382EF7">
        <w:rPr>
          <w:rStyle w:val="normaltextrun"/>
          <w:rFonts w:ascii="Palatino Linotype" w:hAnsi="Palatino Linotype" w:cs="Segoe UI"/>
          <w:sz w:val="22"/>
          <w:szCs w:val="22"/>
          <w:lang w:val="es-MX"/>
        </w:rPr>
        <w:t xml:space="preserve">Con fecha ocho de agosto de dos mil veintidós, el Particular </w:t>
      </w:r>
      <w:r w:rsidRPr="00382EF7" w:rsidR="00A42528">
        <w:rPr>
          <w:rStyle w:val="normaltextrun"/>
          <w:rFonts w:ascii="Palatino Linotype" w:hAnsi="Palatino Linotype" w:cs="Segoe UI"/>
          <w:sz w:val="22"/>
          <w:szCs w:val="22"/>
          <w:lang w:val="es-MX"/>
        </w:rPr>
        <w:t>atendió</w:t>
      </w:r>
      <w:r w:rsidRPr="00382EF7">
        <w:rPr>
          <w:rStyle w:val="normaltextrun"/>
          <w:rFonts w:ascii="Palatino Linotype" w:hAnsi="Palatino Linotype" w:cs="Segoe UI"/>
          <w:sz w:val="22"/>
          <w:szCs w:val="22"/>
          <w:lang w:val="es-MX"/>
        </w:rPr>
        <w:t xml:space="preserve"> a</w:t>
      </w:r>
      <w:r w:rsidRPr="00382EF7" w:rsidR="00A42528">
        <w:rPr>
          <w:rStyle w:val="normaltextrun"/>
          <w:rFonts w:ascii="Palatino Linotype" w:hAnsi="Palatino Linotype" w:cs="Segoe UI"/>
          <w:sz w:val="22"/>
          <w:szCs w:val="22"/>
          <w:lang w:val="es-MX"/>
        </w:rPr>
        <w:t xml:space="preserve"> </w:t>
      </w:r>
      <w:r w:rsidRPr="00382EF7">
        <w:rPr>
          <w:rStyle w:val="normaltextrun"/>
          <w:rFonts w:ascii="Palatino Linotype" w:hAnsi="Palatino Linotype" w:cs="Segoe UI"/>
          <w:sz w:val="22"/>
          <w:szCs w:val="22"/>
          <w:lang w:val="es-MX"/>
        </w:rPr>
        <w:t>l</w:t>
      </w:r>
      <w:r w:rsidRPr="00382EF7" w:rsidR="00A42528">
        <w:rPr>
          <w:rStyle w:val="normaltextrun"/>
          <w:rFonts w:ascii="Palatino Linotype" w:hAnsi="Palatino Linotype" w:cs="Segoe UI"/>
          <w:sz w:val="22"/>
          <w:szCs w:val="22"/>
          <w:lang w:val="es-MX"/>
        </w:rPr>
        <w:t>os</w:t>
      </w:r>
      <w:r w:rsidRPr="00382EF7">
        <w:rPr>
          <w:rStyle w:val="normaltextrun"/>
          <w:rFonts w:ascii="Palatino Linotype" w:hAnsi="Palatino Linotype" w:cs="Segoe UI"/>
          <w:sz w:val="22"/>
          <w:szCs w:val="22"/>
          <w:lang w:val="es-MX"/>
        </w:rPr>
        <w:t xml:space="preserve"> requerimiento</w:t>
      </w:r>
      <w:r w:rsidRPr="00382EF7" w:rsidR="00A42528">
        <w:rPr>
          <w:rStyle w:val="normaltextrun"/>
          <w:rFonts w:ascii="Palatino Linotype" w:hAnsi="Palatino Linotype" w:cs="Segoe UI"/>
          <w:sz w:val="22"/>
          <w:szCs w:val="22"/>
          <w:lang w:val="es-MX"/>
        </w:rPr>
        <w:t>s</w:t>
      </w:r>
      <w:r w:rsidRPr="00382EF7">
        <w:rPr>
          <w:rStyle w:val="normaltextrun"/>
          <w:rFonts w:ascii="Palatino Linotype" w:hAnsi="Palatino Linotype" w:cs="Segoe UI"/>
          <w:sz w:val="22"/>
          <w:szCs w:val="22"/>
          <w:lang w:val="es-MX"/>
        </w:rPr>
        <w:t xml:space="preserve"> de aclaración referido, mediante el Sistema de Acceso a la Información Mexiquense (SAIMEX), en los términos siguientes:</w:t>
      </w:r>
      <w:r w:rsidRPr="00382EF7">
        <w:rPr>
          <w:rStyle w:val="eop"/>
          <w:rFonts w:ascii="Palatino Linotype" w:hAnsi="Palatino Linotype" w:cs="Segoe UI"/>
          <w:sz w:val="22"/>
          <w:szCs w:val="22"/>
          <w:lang w:val="es-MX"/>
        </w:rPr>
        <w:t> </w:t>
      </w:r>
    </w:p>
    <w:p w:rsidRPr="00382EF7" w:rsidR="00651EFA" w:rsidP="006935C8" w:rsidRDefault="00651EFA" w14:paraId="2573B9C0" w14:textId="77777777">
      <w:pPr>
        <w:tabs>
          <w:tab w:val="left" w:pos="4667"/>
        </w:tabs>
        <w:spacing w:after="0" w:line="360" w:lineRule="auto"/>
        <w:ind w:right="567"/>
        <w:contextualSpacing/>
        <w:rPr>
          <w:rFonts w:cs="Tahoma"/>
          <w:b/>
          <w:bCs/>
        </w:rPr>
      </w:pPr>
    </w:p>
    <w:p w:rsidRPr="00382EF7" w:rsidR="00651EFA" w:rsidP="006935C8" w:rsidRDefault="00651EFA" w14:paraId="5DDAFAD2" w14:textId="7C0B241D">
      <w:pPr>
        <w:tabs>
          <w:tab w:val="left" w:pos="4667"/>
        </w:tabs>
        <w:spacing w:after="0" w:line="360" w:lineRule="auto"/>
        <w:ind w:left="567" w:right="567"/>
        <w:contextualSpacing/>
        <w:rPr>
          <w:rStyle w:val="normaltextrun"/>
          <w:rFonts w:cs="Tahoma"/>
          <w:b/>
          <w:bCs/>
          <w:i/>
          <w:sz w:val="20"/>
          <w:szCs w:val="20"/>
        </w:rPr>
      </w:pPr>
      <w:r w:rsidRPr="00382EF7">
        <w:rPr>
          <w:rFonts w:cs="Tahoma"/>
          <w:b/>
          <w:bCs/>
        </w:rPr>
        <w:t xml:space="preserve">SOLICITUD DE INFORMACIÓN </w:t>
      </w:r>
      <w:r w:rsidRPr="00382EF7">
        <w:rPr>
          <w:b/>
          <w:bCs/>
          <w:color w:val="auto"/>
        </w:rPr>
        <w:t>00131/MELOCAM/IP/2022</w:t>
      </w:r>
    </w:p>
    <w:p w:rsidRPr="00382EF7" w:rsidR="00BE54AC" w:rsidP="006935C8" w:rsidRDefault="00BE54AC" w14:paraId="0DACE1DA" w14:textId="7A4901E7">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382EF7">
        <w:rPr>
          <w:rStyle w:val="normaltextrun"/>
          <w:rFonts w:ascii="Palatino Linotype" w:hAnsi="Palatino Linotype" w:cs="Segoe UI"/>
          <w:b/>
          <w:bCs/>
          <w:i/>
          <w:iCs/>
          <w:sz w:val="20"/>
          <w:szCs w:val="20"/>
          <w:lang w:val="es-MX"/>
        </w:rPr>
        <w:t>“DATOS A COMPLETAR, CORREGIR, AMPLIAR O ACLARAR</w:t>
      </w:r>
      <w:r w:rsidRPr="00382EF7">
        <w:rPr>
          <w:rStyle w:val="eop"/>
          <w:rFonts w:ascii="Palatino Linotype" w:hAnsi="Palatino Linotype" w:cs="Segoe UI"/>
          <w:sz w:val="20"/>
          <w:szCs w:val="20"/>
          <w:lang w:val="es-MX"/>
        </w:rPr>
        <w:t> </w:t>
      </w:r>
    </w:p>
    <w:p w:rsidRPr="00382EF7" w:rsidR="00BE54AC" w:rsidP="006935C8" w:rsidRDefault="00BE54AC" w14:paraId="4711D8FA" w14:textId="2D5B08AD">
      <w:pPr>
        <w:pStyle w:val="paragraph"/>
        <w:spacing w:before="0" w:beforeAutospacing="0" w:after="0" w:afterAutospacing="0" w:line="360" w:lineRule="auto"/>
        <w:ind w:left="555" w:right="555"/>
        <w:contextualSpacing/>
        <w:jc w:val="both"/>
        <w:textAlignment w:val="baseline"/>
        <w:rPr>
          <w:rFonts w:ascii="Palatino Linotype" w:hAnsi="Palatino Linotype" w:cs="Segoe UI"/>
          <w:i/>
          <w:iCs/>
          <w:sz w:val="20"/>
          <w:szCs w:val="20"/>
          <w:lang w:val="es-MX"/>
        </w:rPr>
      </w:pPr>
      <w:r w:rsidRPr="00382EF7">
        <w:rPr>
          <w:rFonts w:ascii="Palatino Linotype" w:hAnsi="Palatino Linotype"/>
          <w:i/>
          <w:iCs/>
          <w:color w:val="000000"/>
          <w:sz w:val="20"/>
          <w:szCs w:val="20"/>
          <w:lang w:val="es-MX"/>
        </w:rPr>
        <w:t xml:space="preserve">Requiero La información correspondiente al Módulo 1 que se </w:t>
      </w:r>
      <w:proofErr w:type="spellStart"/>
      <w:r w:rsidRPr="00382EF7">
        <w:rPr>
          <w:rFonts w:ascii="Palatino Linotype" w:hAnsi="Palatino Linotype"/>
          <w:i/>
          <w:iCs/>
          <w:color w:val="000000"/>
          <w:sz w:val="20"/>
          <w:szCs w:val="20"/>
          <w:lang w:val="es-MX"/>
        </w:rPr>
        <w:t>guardaen</w:t>
      </w:r>
      <w:proofErr w:type="spellEnd"/>
      <w:r w:rsidRPr="00382EF7">
        <w:rPr>
          <w:rFonts w:ascii="Palatino Linotype" w:hAnsi="Palatino Linotype"/>
          <w:i/>
          <w:iCs/>
          <w:color w:val="000000"/>
          <w:sz w:val="20"/>
          <w:szCs w:val="20"/>
          <w:lang w:val="es-MX"/>
        </w:rPr>
        <w:t xml:space="preserve"> tres apartados (CD), conforme a lo siguiente: El primer CD deberá contener la información de los submódulos Estados Financieros y Formatos Auxiliares, el segundo CD la información correspondiente al submódulo Otros Archivos y el tercer CD la información del submódulo </w:t>
      </w:r>
      <w:proofErr w:type="gramStart"/>
      <w:r w:rsidRPr="00382EF7">
        <w:rPr>
          <w:rFonts w:ascii="Palatino Linotype" w:hAnsi="Palatino Linotype"/>
          <w:i/>
          <w:iCs/>
          <w:color w:val="000000"/>
          <w:sz w:val="20"/>
          <w:szCs w:val="20"/>
          <w:lang w:val="es-MX"/>
        </w:rPr>
        <w:t>Pólizas..</w:t>
      </w:r>
      <w:proofErr w:type="gramEnd"/>
      <w:r w:rsidRPr="00382EF7">
        <w:rPr>
          <w:rFonts w:ascii="Palatino Linotype" w:hAnsi="Palatino Linotype"/>
          <w:i/>
          <w:iCs/>
          <w:color w:val="000000"/>
          <w:sz w:val="20"/>
          <w:szCs w:val="20"/>
          <w:lang w:val="es-MX"/>
        </w:rPr>
        <w:t xml:space="preserve"> La certificación del Módulo I que contiene la información del submódulo Estados Financieros y Formatos Auxiliares La información correspondiente al Módulo 2 y deberá contener la información de los submódulos Información Presupuestal e Información Complementaria. La información correspondiente al Módulo 3 deberá contener la información del submódulo Evaluación Programática La información correspondiente al Módulo 4 que corresponde a dos apartados, el primero deberá contener la información de los submódulos Obra, Información de Bienes Muebles e Inmuebles, Género e Igualdad Sustantiva, Declaratoria de Alerta de Violencia de Género y FIPASAHEM; el segundo deberá contener la información del submódulo Nómina y Comprobantes Fiscales.</w:t>
      </w:r>
      <w:r w:rsidRPr="00382EF7">
        <w:rPr>
          <w:rStyle w:val="normaltextrun"/>
          <w:rFonts w:ascii="Palatino Linotype" w:hAnsi="Palatino Linotype" w:cs="Segoe UI"/>
          <w:i/>
          <w:iCs/>
          <w:sz w:val="20"/>
          <w:szCs w:val="20"/>
          <w:lang w:val="es-MX"/>
        </w:rPr>
        <w:t>” (Sic.)</w:t>
      </w:r>
    </w:p>
    <w:p w:rsidRPr="00382EF7" w:rsidR="00651EFA" w:rsidP="006935C8" w:rsidRDefault="00651EFA" w14:paraId="78C2D902" w14:textId="77777777">
      <w:pPr>
        <w:tabs>
          <w:tab w:val="left" w:pos="4667"/>
        </w:tabs>
        <w:spacing w:after="0" w:line="360" w:lineRule="auto"/>
        <w:ind w:right="567"/>
        <w:contextualSpacing/>
        <w:rPr>
          <w:rFonts w:cs="Tahoma"/>
          <w:b/>
          <w:bCs/>
        </w:rPr>
      </w:pPr>
    </w:p>
    <w:p w:rsidRPr="00382EF7" w:rsidR="00651EFA" w:rsidP="006935C8" w:rsidRDefault="00651EFA" w14:paraId="394DD74A" w14:textId="4BB1892E">
      <w:pPr>
        <w:tabs>
          <w:tab w:val="left" w:pos="4667"/>
        </w:tabs>
        <w:spacing w:after="0" w:line="360" w:lineRule="auto"/>
        <w:ind w:left="567" w:right="567"/>
        <w:contextualSpacing/>
        <w:rPr>
          <w:rStyle w:val="normaltextrun"/>
          <w:rFonts w:cs="Tahoma"/>
          <w:b/>
          <w:bCs/>
          <w:i/>
          <w:sz w:val="20"/>
          <w:szCs w:val="20"/>
        </w:rPr>
      </w:pPr>
      <w:r w:rsidRPr="00382EF7">
        <w:rPr>
          <w:rFonts w:cs="Tahoma"/>
          <w:b/>
          <w:bCs/>
        </w:rPr>
        <w:t xml:space="preserve">SOLICITUD DE INFORMACIÓN </w:t>
      </w:r>
      <w:r w:rsidRPr="00382EF7">
        <w:rPr>
          <w:b/>
          <w:bCs/>
          <w:color w:val="auto"/>
        </w:rPr>
        <w:t>00164/MELOCAM/IP/2022</w:t>
      </w:r>
    </w:p>
    <w:p w:rsidRPr="00382EF7" w:rsidR="00651EFA" w:rsidP="006935C8" w:rsidRDefault="00651EFA" w14:paraId="70B7412A" w14:textId="14772186">
      <w:pPr>
        <w:pStyle w:val="paragraph"/>
        <w:spacing w:before="0" w:beforeAutospacing="0" w:after="0" w:afterAutospacing="0" w:line="360" w:lineRule="auto"/>
        <w:ind w:left="555" w:right="555"/>
        <w:contextualSpacing/>
        <w:jc w:val="both"/>
        <w:textAlignment w:val="baseline"/>
        <w:rPr>
          <w:rStyle w:val="normaltextrun"/>
          <w:rFonts w:ascii="Palatino Linotype" w:hAnsi="Palatino Linotype" w:cs="Segoe UI"/>
          <w:b/>
          <w:bCs/>
          <w:i/>
          <w:iCs/>
          <w:sz w:val="20"/>
          <w:szCs w:val="20"/>
          <w:lang w:val="es-MX"/>
        </w:rPr>
      </w:pPr>
      <w:r w:rsidRPr="00382EF7">
        <w:rPr>
          <w:rStyle w:val="normaltextrun"/>
          <w:rFonts w:ascii="Palatino Linotype" w:hAnsi="Palatino Linotype" w:cs="Segoe UI"/>
          <w:b/>
          <w:bCs/>
          <w:i/>
          <w:iCs/>
          <w:sz w:val="20"/>
          <w:szCs w:val="20"/>
          <w:lang w:val="es-MX"/>
        </w:rPr>
        <w:t> “DATOS A COMPLETAR, CORREGIR, AMPLIAR O ACLARAR</w:t>
      </w:r>
    </w:p>
    <w:p w:rsidRPr="00382EF7" w:rsidR="00651EFA" w:rsidP="006935C8" w:rsidRDefault="00651EFA" w14:paraId="7033D385" w14:textId="1A963E11">
      <w:pPr>
        <w:pStyle w:val="paragraph"/>
        <w:spacing w:before="0" w:beforeAutospacing="0" w:after="0" w:afterAutospacing="0" w:line="360" w:lineRule="auto"/>
        <w:ind w:left="555" w:right="555"/>
        <w:contextualSpacing/>
        <w:jc w:val="both"/>
        <w:textAlignment w:val="baseline"/>
        <w:rPr>
          <w:rStyle w:val="eop"/>
          <w:rFonts w:ascii="Palatino Linotype" w:hAnsi="Palatino Linotype" w:cs="Segoe UI"/>
          <w:i/>
          <w:iCs/>
          <w:sz w:val="20"/>
          <w:szCs w:val="20"/>
          <w:lang w:val="es-MX"/>
        </w:rPr>
      </w:pPr>
      <w:proofErr w:type="spellStart"/>
      <w:r w:rsidRPr="00382EF7">
        <w:rPr>
          <w:rFonts w:ascii="Palatino Linotype" w:hAnsi="Palatino Linotype"/>
          <w:i/>
          <w:iCs/>
          <w:color w:val="000000"/>
          <w:sz w:val="20"/>
          <w:szCs w:val="20"/>
          <w:lang w:val="es-MX"/>
        </w:rPr>
        <w:t>olicito</w:t>
      </w:r>
      <w:proofErr w:type="spellEnd"/>
      <w:r w:rsidRPr="00382EF7">
        <w:rPr>
          <w:rFonts w:ascii="Palatino Linotype" w:hAnsi="Palatino Linotype"/>
          <w:i/>
          <w:iCs/>
          <w:color w:val="000000"/>
          <w:sz w:val="20"/>
          <w:szCs w:val="20"/>
          <w:lang w:val="es-MX"/>
        </w:rPr>
        <w:t xml:space="preserve"> disco 3 de </w:t>
      </w:r>
      <w:proofErr w:type="spellStart"/>
      <w:r w:rsidRPr="00382EF7">
        <w:rPr>
          <w:rFonts w:ascii="Palatino Linotype" w:hAnsi="Palatino Linotype"/>
          <w:i/>
          <w:iCs/>
          <w:color w:val="000000"/>
          <w:sz w:val="20"/>
          <w:szCs w:val="20"/>
          <w:lang w:val="es-MX"/>
        </w:rPr>
        <w:t>osfem</w:t>
      </w:r>
      <w:proofErr w:type="spellEnd"/>
      <w:r w:rsidRPr="00382EF7">
        <w:rPr>
          <w:rFonts w:ascii="Palatino Linotype" w:hAnsi="Palatino Linotype"/>
          <w:i/>
          <w:iCs/>
          <w:color w:val="000000"/>
          <w:sz w:val="20"/>
          <w:szCs w:val="20"/>
          <w:lang w:val="es-MX"/>
        </w:rPr>
        <w:t xml:space="preserve"> de los meses de enero a mayo del año 2022 en </w:t>
      </w:r>
      <w:proofErr w:type="spellStart"/>
      <w:r w:rsidRPr="00382EF7">
        <w:rPr>
          <w:rFonts w:ascii="Palatino Linotype" w:hAnsi="Palatino Linotype"/>
          <w:i/>
          <w:iCs/>
          <w:color w:val="000000"/>
          <w:sz w:val="20"/>
          <w:szCs w:val="20"/>
          <w:lang w:val="es-MX"/>
        </w:rPr>
        <w:t>version</w:t>
      </w:r>
      <w:proofErr w:type="spellEnd"/>
      <w:r w:rsidRPr="00382EF7">
        <w:rPr>
          <w:rFonts w:ascii="Palatino Linotype" w:hAnsi="Palatino Linotype"/>
          <w:i/>
          <w:iCs/>
          <w:color w:val="000000"/>
          <w:sz w:val="20"/>
          <w:szCs w:val="20"/>
          <w:lang w:val="es-MX"/>
        </w:rPr>
        <w:t xml:space="preserve"> </w:t>
      </w:r>
      <w:proofErr w:type="spellStart"/>
      <w:r w:rsidRPr="00382EF7">
        <w:rPr>
          <w:rFonts w:ascii="Palatino Linotype" w:hAnsi="Palatino Linotype"/>
          <w:i/>
          <w:iCs/>
          <w:color w:val="000000"/>
          <w:sz w:val="20"/>
          <w:szCs w:val="20"/>
          <w:lang w:val="es-MX"/>
        </w:rPr>
        <w:t>pubica</w:t>
      </w:r>
      <w:proofErr w:type="spellEnd"/>
      <w:r w:rsidRPr="00382EF7">
        <w:rPr>
          <w:rFonts w:ascii="Palatino Linotype" w:hAnsi="Palatino Linotype"/>
          <w:i/>
          <w:iCs/>
          <w:color w:val="000000"/>
          <w:sz w:val="20"/>
          <w:szCs w:val="20"/>
          <w:lang w:val="es-MX"/>
        </w:rPr>
        <w:t xml:space="preserve"> (Sic)</w:t>
      </w:r>
      <w:r w:rsidRPr="00382EF7">
        <w:rPr>
          <w:rStyle w:val="eop"/>
          <w:rFonts w:ascii="Palatino Linotype" w:hAnsi="Palatino Linotype" w:cs="Segoe UI"/>
          <w:i/>
          <w:iCs/>
          <w:sz w:val="20"/>
          <w:szCs w:val="20"/>
          <w:lang w:val="es-MX"/>
        </w:rPr>
        <w:t> </w:t>
      </w:r>
    </w:p>
    <w:p w:rsidRPr="00382EF7" w:rsidR="00BE54AC" w:rsidP="006935C8" w:rsidRDefault="00BE54AC" w14:paraId="12BDC25E" w14:textId="34D52687">
      <w:pPr>
        <w:tabs>
          <w:tab w:val="left" w:pos="4667"/>
        </w:tabs>
        <w:spacing w:after="0" w:line="360" w:lineRule="auto"/>
        <w:ind w:right="567"/>
        <w:contextualSpacing/>
        <w:rPr>
          <w:rFonts w:eastAsia="Times New Roman" w:cs="Tahoma"/>
          <w:b/>
          <w:bCs/>
          <w:color w:val="auto"/>
          <w:szCs w:val="20"/>
          <w:lang w:eastAsia="es-ES"/>
        </w:rPr>
      </w:pPr>
      <w:r w:rsidRPr="00382EF7">
        <w:rPr>
          <w:rFonts w:eastAsia="Times New Roman" w:cs="Tahoma"/>
          <w:b/>
          <w:color w:val="auto"/>
          <w:szCs w:val="24"/>
          <w:lang w:eastAsia="es-ES"/>
        </w:rPr>
        <w:lastRenderedPageBreak/>
        <w:t xml:space="preserve">IV. </w:t>
      </w:r>
      <w:r w:rsidRPr="00382EF7">
        <w:rPr>
          <w:rFonts w:eastAsia="Times New Roman" w:cs="Tahoma"/>
          <w:b/>
          <w:bCs/>
          <w:color w:val="auto"/>
          <w:szCs w:val="20"/>
          <w:lang w:eastAsia="es-ES"/>
        </w:rPr>
        <w:t xml:space="preserve">Prórroga para atender </w:t>
      </w:r>
      <w:r w:rsidRPr="00382EF7" w:rsidR="00651EFA">
        <w:rPr>
          <w:rFonts w:eastAsia="Times New Roman" w:cs="Tahoma"/>
          <w:b/>
          <w:bCs/>
          <w:color w:val="auto"/>
          <w:szCs w:val="20"/>
          <w:lang w:eastAsia="es-ES"/>
        </w:rPr>
        <w:t xml:space="preserve">las </w:t>
      </w:r>
      <w:r w:rsidRPr="00382EF7">
        <w:rPr>
          <w:rFonts w:eastAsia="Times New Roman" w:cs="Tahoma"/>
          <w:b/>
          <w:bCs/>
          <w:color w:val="auto"/>
          <w:szCs w:val="20"/>
          <w:lang w:eastAsia="es-ES"/>
        </w:rPr>
        <w:t>solicitud</w:t>
      </w:r>
      <w:r w:rsidRPr="00382EF7" w:rsidR="00651EFA">
        <w:rPr>
          <w:rFonts w:eastAsia="Times New Roman" w:cs="Tahoma"/>
          <w:b/>
          <w:bCs/>
          <w:color w:val="auto"/>
          <w:szCs w:val="20"/>
          <w:lang w:eastAsia="es-ES"/>
        </w:rPr>
        <w:t>es</w:t>
      </w:r>
      <w:r w:rsidRPr="00382EF7">
        <w:rPr>
          <w:rFonts w:eastAsia="Times New Roman" w:cs="Tahoma"/>
          <w:b/>
          <w:bCs/>
          <w:color w:val="auto"/>
          <w:szCs w:val="20"/>
          <w:lang w:eastAsia="es-ES"/>
        </w:rPr>
        <w:t xml:space="preserve"> de información. </w:t>
      </w:r>
    </w:p>
    <w:p w:rsidRPr="00382EF7" w:rsidR="00BE54AC" w:rsidP="006935C8" w:rsidRDefault="00BE54AC" w14:paraId="14D657EF" w14:textId="77777777">
      <w:pPr>
        <w:tabs>
          <w:tab w:val="left" w:pos="4667"/>
        </w:tabs>
        <w:spacing w:after="0" w:line="360" w:lineRule="auto"/>
        <w:ind w:right="567"/>
        <w:contextualSpacing/>
        <w:rPr>
          <w:rFonts w:eastAsia="Times New Roman" w:cs="Tahoma"/>
          <w:b/>
          <w:bCs/>
          <w:color w:val="auto"/>
          <w:szCs w:val="20"/>
          <w:lang w:eastAsia="es-ES"/>
        </w:rPr>
      </w:pPr>
    </w:p>
    <w:p w:rsidRPr="00382EF7" w:rsidR="00BE54AC" w:rsidP="006935C8" w:rsidRDefault="00BE54AC" w14:paraId="7DF81FBF" w14:textId="6177EC8D">
      <w:pPr>
        <w:tabs>
          <w:tab w:val="left" w:pos="4667"/>
        </w:tabs>
        <w:spacing w:after="0" w:line="360" w:lineRule="auto"/>
        <w:contextualSpacing/>
        <w:rPr>
          <w:rFonts w:eastAsia="Times New Roman" w:cs="Tahoma"/>
          <w:color w:val="auto"/>
          <w:szCs w:val="20"/>
          <w:lang w:eastAsia="es-ES"/>
        </w:rPr>
      </w:pPr>
      <w:r w:rsidRPr="00382EF7">
        <w:rPr>
          <w:rFonts w:eastAsia="Times New Roman" w:cs="Tahoma"/>
          <w:color w:val="auto"/>
          <w:szCs w:val="20"/>
          <w:lang w:eastAsia="es-ES"/>
        </w:rPr>
        <w:t>Con fecha veintiséis de agosto de dos mil veintidós, el Sujeto Obligado, a través del Sistema de Acceso a la Información Mexiquense (SAIMEX), notificó una prórroga, mediante la cual aprueba la ampliación de término para atender la</w:t>
      </w:r>
      <w:r w:rsidRPr="00382EF7" w:rsidR="00651EFA">
        <w:rPr>
          <w:rFonts w:eastAsia="Times New Roman" w:cs="Tahoma"/>
          <w:color w:val="auto"/>
          <w:szCs w:val="20"/>
          <w:lang w:eastAsia="es-ES"/>
        </w:rPr>
        <w:t>s</w:t>
      </w:r>
      <w:r w:rsidRPr="00382EF7">
        <w:rPr>
          <w:rFonts w:eastAsia="Times New Roman" w:cs="Tahoma"/>
          <w:color w:val="auto"/>
          <w:szCs w:val="20"/>
          <w:lang w:eastAsia="es-ES"/>
        </w:rPr>
        <w:t xml:space="preserve"> solicitud</w:t>
      </w:r>
      <w:r w:rsidRPr="00382EF7" w:rsidR="00651EFA">
        <w:rPr>
          <w:rFonts w:eastAsia="Times New Roman" w:cs="Tahoma"/>
          <w:color w:val="auto"/>
          <w:szCs w:val="20"/>
          <w:lang w:eastAsia="es-ES"/>
        </w:rPr>
        <w:t>es</w:t>
      </w:r>
      <w:r w:rsidRPr="00382EF7">
        <w:rPr>
          <w:rFonts w:eastAsia="Times New Roman" w:cs="Tahoma"/>
          <w:color w:val="auto"/>
          <w:szCs w:val="20"/>
          <w:lang w:eastAsia="es-ES"/>
        </w:rPr>
        <w:t xml:space="preserve"> de información con número</w:t>
      </w:r>
      <w:r w:rsidRPr="00382EF7" w:rsidR="00651EFA">
        <w:rPr>
          <w:rFonts w:eastAsia="Times New Roman" w:cs="Tahoma"/>
          <w:color w:val="auto"/>
          <w:szCs w:val="20"/>
          <w:lang w:eastAsia="es-ES"/>
        </w:rPr>
        <w:t>s</w:t>
      </w:r>
      <w:r w:rsidRPr="00382EF7">
        <w:rPr>
          <w:rFonts w:eastAsia="Times New Roman" w:cs="Tahoma"/>
          <w:color w:val="auto"/>
          <w:szCs w:val="20"/>
          <w:lang w:eastAsia="es-ES"/>
        </w:rPr>
        <w:t xml:space="preserve"> </w:t>
      </w:r>
      <w:r w:rsidRPr="00382EF7">
        <w:t>0131/MELOCAM/IP/2022</w:t>
      </w:r>
      <w:r w:rsidRPr="00382EF7" w:rsidR="00651EFA">
        <w:t xml:space="preserve"> y 0164/MELOCAM/IP/2022</w:t>
      </w:r>
    </w:p>
    <w:p w:rsidRPr="00382EF7" w:rsidR="00BE54AC" w:rsidP="006935C8" w:rsidRDefault="00BE54AC" w14:paraId="32E6DDDF" w14:textId="77777777">
      <w:pPr>
        <w:tabs>
          <w:tab w:val="left" w:pos="4667"/>
        </w:tabs>
        <w:spacing w:after="0" w:line="360" w:lineRule="auto"/>
        <w:ind w:right="567"/>
        <w:contextualSpacing/>
        <w:rPr>
          <w:rFonts w:eastAsia="Times New Roman" w:cs="Tahoma"/>
          <w:b/>
          <w:bCs/>
          <w:color w:val="auto"/>
          <w:szCs w:val="24"/>
          <w:lang w:eastAsia="es-ES"/>
        </w:rPr>
      </w:pPr>
    </w:p>
    <w:p w:rsidRPr="00382EF7" w:rsidR="00BE54AC" w:rsidP="006935C8" w:rsidRDefault="00BE54AC" w14:paraId="5DDA74AC" w14:textId="28978099">
      <w:pPr>
        <w:tabs>
          <w:tab w:val="left" w:pos="4667"/>
        </w:tabs>
        <w:spacing w:after="0" w:line="360" w:lineRule="auto"/>
        <w:ind w:right="567"/>
        <w:contextualSpacing/>
        <w:rPr>
          <w:rFonts w:eastAsia="Times New Roman" w:cs="Tahoma"/>
          <w:b/>
          <w:bCs/>
          <w:color w:val="auto"/>
          <w:szCs w:val="24"/>
          <w:lang w:eastAsia="es-ES"/>
        </w:rPr>
      </w:pPr>
      <w:r w:rsidRPr="00382EF7">
        <w:rPr>
          <w:rFonts w:eastAsia="Times New Roman" w:cs="Tahoma"/>
          <w:b/>
          <w:bCs/>
          <w:color w:val="auto"/>
          <w:szCs w:val="24"/>
          <w:lang w:eastAsia="es-ES"/>
        </w:rPr>
        <w:t xml:space="preserve">V. </w:t>
      </w:r>
      <w:r w:rsidRPr="00382EF7">
        <w:rPr>
          <w:rFonts w:eastAsia="Times New Roman" w:cs="Tahoma"/>
          <w:b/>
          <w:color w:val="auto"/>
          <w:szCs w:val="24"/>
          <w:lang w:eastAsia="es-ES"/>
        </w:rPr>
        <w:t>Respuesta</w:t>
      </w:r>
      <w:r w:rsidRPr="00382EF7" w:rsidR="002C430A">
        <w:rPr>
          <w:rFonts w:eastAsia="Times New Roman" w:cs="Tahoma"/>
          <w:b/>
          <w:color w:val="auto"/>
          <w:szCs w:val="24"/>
          <w:lang w:eastAsia="es-ES"/>
        </w:rPr>
        <w:t>s</w:t>
      </w:r>
      <w:r w:rsidRPr="00382EF7">
        <w:rPr>
          <w:rFonts w:eastAsia="Times New Roman" w:cs="Tahoma"/>
          <w:b/>
          <w:bCs/>
          <w:color w:val="auto"/>
          <w:szCs w:val="24"/>
          <w:lang w:eastAsia="es-ES"/>
        </w:rPr>
        <w:t xml:space="preserve"> del Sujeto Obligado.</w:t>
      </w:r>
    </w:p>
    <w:p w:rsidRPr="00382EF7" w:rsidR="00BE54AC" w:rsidP="006935C8" w:rsidRDefault="00BE54AC" w14:paraId="20BAE153" w14:textId="77777777">
      <w:pPr>
        <w:tabs>
          <w:tab w:val="left" w:pos="4667"/>
        </w:tabs>
        <w:spacing w:after="0" w:line="360" w:lineRule="auto"/>
        <w:ind w:right="567"/>
        <w:contextualSpacing/>
        <w:rPr>
          <w:rFonts w:eastAsia="Times New Roman" w:cs="Tahoma"/>
          <w:b/>
          <w:bCs/>
          <w:color w:val="auto"/>
          <w:szCs w:val="24"/>
          <w:lang w:eastAsia="es-ES"/>
        </w:rPr>
      </w:pPr>
    </w:p>
    <w:p w:rsidRPr="00382EF7" w:rsidR="00BE54AC" w:rsidP="006935C8" w:rsidRDefault="009924BC" w14:paraId="3C62E3C7" w14:textId="6F3B4405">
      <w:pPr>
        <w:autoSpaceDE w:val="0"/>
        <w:autoSpaceDN w:val="0"/>
        <w:adjustRightInd w:val="0"/>
        <w:spacing w:after="0" w:line="360" w:lineRule="auto"/>
        <w:contextualSpacing/>
        <w:rPr>
          <w:rFonts w:eastAsia="Times New Roman" w:cs="Tahoma"/>
          <w:color w:val="auto"/>
          <w:szCs w:val="24"/>
          <w:lang w:eastAsia="es-ES"/>
        </w:rPr>
      </w:pPr>
      <w:r w:rsidRPr="00382EF7">
        <w:rPr>
          <w:rFonts w:eastAsia="Times New Roman" w:cs="Tahoma"/>
          <w:bCs/>
          <w:color w:val="auto"/>
          <w:szCs w:val="24"/>
          <w:lang w:eastAsia="es-ES"/>
        </w:rPr>
        <w:t>Con</w:t>
      </w:r>
      <w:r w:rsidRPr="00382EF7" w:rsidR="00BE54AC">
        <w:rPr>
          <w:rFonts w:eastAsia="Times New Roman" w:cs="Tahoma"/>
          <w:bCs/>
          <w:color w:val="auto"/>
          <w:szCs w:val="24"/>
          <w:lang w:eastAsia="es-ES"/>
        </w:rPr>
        <w:t xml:space="preserve"> siete de septiembre de dos mil veintidós, el</w:t>
      </w:r>
      <w:r w:rsidRPr="00382EF7" w:rsidR="00BE54AC">
        <w:rPr>
          <w:rFonts w:eastAsia="Times New Roman" w:cs="Tahoma"/>
          <w:b/>
          <w:color w:val="auto"/>
          <w:szCs w:val="24"/>
          <w:lang w:eastAsia="es-ES"/>
        </w:rPr>
        <w:t xml:space="preserve"> </w:t>
      </w:r>
      <w:r w:rsidRPr="00382EF7" w:rsidR="00BE54AC">
        <w:rPr>
          <w:rFonts w:eastAsia="Times New Roman" w:cs="Tahoma"/>
          <w:color w:val="auto"/>
          <w:szCs w:val="24"/>
          <w:lang w:eastAsia="es-ES"/>
        </w:rPr>
        <w:t>Sujeto Obligado dio respuesta a la</w:t>
      </w:r>
      <w:r w:rsidRPr="00382EF7" w:rsidR="002C430A">
        <w:rPr>
          <w:rFonts w:eastAsia="Times New Roman" w:cs="Tahoma"/>
          <w:color w:val="auto"/>
          <w:szCs w:val="24"/>
          <w:lang w:eastAsia="es-ES"/>
        </w:rPr>
        <w:t>s</w:t>
      </w:r>
      <w:r w:rsidRPr="00382EF7" w:rsidR="00BE54AC">
        <w:rPr>
          <w:rFonts w:eastAsia="Times New Roman" w:cs="Tahoma"/>
          <w:color w:val="auto"/>
          <w:szCs w:val="24"/>
          <w:lang w:eastAsia="es-ES"/>
        </w:rPr>
        <w:t xml:space="preserve"> solicitud</w:t>
      </w:r>
      <w:r w:rsidRPr="00382EF7" w:rsidR="002C430A">
        <w:rPr>
          <w:rFonts w:eastAsia="Times New Roman" w:cs="Tahoma"/>
          <w:color w:val="auto"/>
          <w:szCs w:val="24"/>
          <w:lang w:eastAsia="es-ES"/>
        </w:rPr>
        <w:t>es</w:t>
      </w:r>
      <w:r w:rsidRPr="00382EF7" w:rsidR="00BE54AC">
        <w:rPr>
          <w:rFonts w:eastAsia="Times New Roman" w:cs="Tahoma"/>
          <w:color w:val="auto"/>
          <w:szCs w:val="24"/>
          <w:lang w:eastAsia="es-ES"/>
        </w:rPr>
        <w:t xml:space="preserve"> de acceso a la información, a través de</w:t>
      </w:r>
      <w:r w:rsidRPr="00382EF7" w:rsidR="002C430A">
        <w:rPr>
          <w:rFonts w:eastAsia="Times New Roman" w:cs="Tahoma"/>
          <w:color w:val="auto"/>
          <w:szCs w:val="24"/>
          <w:lang w:eastAsia="es-ES"/>
        </w:rPr>
        <w:t xml:space="preserve"> </w:t>
      </w:r>
      <w:r w:rsidRPr="00382EF7" w:rsidR="00BE54AC">
        <w:rPr>
          <w:rFonts w:eastAsia="Times New Roman" w:cs="Tahoma"/>
          <w:color w:val="auto"/>
          <w:szCs w:val="24"/>
          <w:lang w:eastAsia="es-ES"/>
        </w:rPr>
        <w:t>l</w:t>
      </w:r>
      <w:r w:rsidRPr="00382EF7" w:rsidR="002C430A">
        <w:rPr>
          <w:rFonts w:eastAsia="Times New Roman" w:cs="Tahoma"/>
          <w:color w:val="auto"/>
          <w:szCs w:val="24"/>
          <w:lang w:eastAsia="es-ES"/>
        </w:rPr>
        <w:t>os</w:t>
      </w:r>
      <w:r w:rsidRPr="00382EF7" w:rsidR="00BE54AC">
        <w:rPr>
          <w:rFonts w:eastAsia="Times New Roman" w:cs="Tahoma"/>
          <w:color w:val="auto"/>
          <w:szCs w:val="24"/>
          <w:lang w:eastAsia="es-ES"/>
        </w:rPr>
        <w:t xml:space="preserve"> oficio</w:t>
      </w:r>
      <w:r w:rsidRPr="00382EF7" w:rsidR="002C430A">
        <w:rPr>
          <w:rFonts w:eastAsia="Times New Roman" w:cs="Tahoma"/>
          <w:color w:val="auto"/>
          <w:szCs w:val="24"/>
          <w:lang w:eastAsia="es-ES"/>
        </w:rPr>
        <w:t>s</w:t>
      </w:r>
      <w:r w:rsidRPr="00382EF7" w:rsidR="00BE54AC">
        <w:rPr>
          <w:rFonts w:eastAsia="Times New Roman" w:cs="Tahoma"/>
          <w:color w:val="auto"/>
          <w:szCs w:val="24"/>
          <w:lang w:eastAsia="es-ES"/>
        </w:rPr>
        <w:t xml:space="preserve"> </w:t>
      </w:r>
      <w:r w:rsidRPr="00382EF7" w:rsidR="002C430A">
        <w:rPr>
          <w:rFonts w:eastAsia="Times New Roman" w:cs="Tahoma"/>
          <w:color w:val="auto"/>
          <w:szCs w:val="24"/>
          <w:lang w:eastAsia="es-ES"/>
        </w:rPr>
        <w:t xml:space="preserve">con </w:t>
      </w:r>
      <w:r w:rsidRPr="00382EF7" w:rsidR="00BE54AC">
        <w:rPr>
          <w:rFonts w:eastAsia="Times New Roman" w:cs="Tahoma"/>
          <w:color w:val="auto"/>
          <w:szCs w:val="24"/>
          <w:lang w:eastAsia="es-ES"/>
        </w:rPr>
        <w:t>n</w:t>
      </w:r>
      <w:r w:rsidRPr="00382EF7" w:rsidR="002C430A">
        <w:rPr>
          <w:rFonts w:eastAsia="Times New Roman" w:cs="Tahoma"/>
          <w:color w:val="auto"/>
          <w:szCs w:val="24"/>
          <w:lang w:eastAsia="es-ES"/>
        </w:rPr>
        <w:t>ú</w:t>
      </w:r>
      <w:r w:rsidRPr="00382EF7" w:rsidR="00BE54AC">
        <w:rPr>
          <w:rFonts w:eastAsia="Times New Roman" w:cs="Tahoma"/>
          <w:color w:val="auto"/>
          <w:szCs w:val="24"/>
          <w:lang w:eastAsia="es-ES"/>
        </w:rPr>
        <w:t>mero</w:t>
      </w:r>
      <w:r w:rsidRPr="00382EF7" w:rsidR="002C430A">
        <w:rPr>
          <w:rFonts w:eastAsia="Times New Roman" w:cs="Tahoma"/>
          <w:color w:val="auto"/>
          <w:szCs w:val="24"/>
          <w:lang w:eastAsia="es-ES"/>
        </w:rPr>
        <w:t>s</w:t>
      </w:r>
      <w:r w:rsidRPr="00382EF7" w:rsidR="00BE54AC">
        <w:rPr>
          <w:rFonts w:eastAsia="Times New Roman" w:cs="Tahoma"/>
          <w:color w:val="auto"/>
          <w:szCs w:val="24"/>
          <w:lang w:eastAsia="es-ES"/>
        </w:rPr>
        <w:t xml:space="preserve"> TM/448/2022</w:t>
      </w:r>
      <w:r w:rsidRPr="00382EF7" w:rsidR="002C430A">
        <w:rPr>
          <w:rFonts w:eastAsia="Times New Roman" w:cs="Tahoma"/>
          <w:color w:val="auto"/>
          <w:szCs w:val="24"/>
          <w:lang w:eastAsia="es-ES"/>
        </w:rPr>
        <w:t xml:space="preserve"> y TM/448/2022 respectivamente</w:t>
      </w:r>
      <w:r w:rsidRPr="00382EF7" w:rsidR="00BE54AC">
        <w:rPr>
          <w:rFonts w:eastAsia="Times New Roman" w:cs="Tahoma"/>
          <w:color w:val="auto"/>
          <w:szCs w:val="24"/>
          <w:lang w:eastAsia="es-ES"/>
        </w:rPr>
        <w:t>, de</w:t>
      </w:r>
      <w:r w:rsidRPr="00382EF7" w:rsidR="00A42528">
        <w:rPr>
          <w:rFonts w:eastAsia="Times New Roman" w:cs="Tahoma"/>
          <w:color w:val="auto"/>
          <w:szCs w:val="24"/>
          <w:lang w:eastAsia="es-ES"/>
        </w:rPr>
        <w:t xml:space="preserve"> fecha</w:t>
      </w:r>
      <w:r w:rsidRPr="00382EF7" w:rsidR="00BE54AC">
        <w:rPr>
          <w:rFonts w:eastAsia="Times New Roman" w:cs="Tahoma"/>
          <w:color w:val="auto"/>
          <w:szCs w:val="24"/>
          <w:lang w:eastAsia="es-ES"/>
        </w:rPr>
        <w:t xml:space="preserve"> dos de septiembre de dos mil veintidós, suscrito</w:t>
      </w:r>
      <w:r w:rsidRPr="00382EF7" w:rsidR="00A42528">
        <w:rPr>
          <w:rFonts w:eastAsia="Times New Roman" w:cs="Tahoma"/>
          <w:color w:val="auto"/>
          <w:szCs w:val="24"/>
          <w:lang w:eastAsia="es-ES"/>
        </w:rPr>
        <w:t>s</w:t>
      </w:r>
      <w:r w:rsidRPr="00382EF7" w:rsidR="00BE54AC">
        <w:rPr>
          <w:rFonts w:eastAsia="Times New Roman" w:cs="Tahoma"/>
          <w:color w:val="auto"/>
          <w:szCs w:val="24"/>
          <w:lang w:eastAsia="es-ES"/>
        </w:rPr>
        <w:t xml:space="preserve"> por el Tesorero Municipal, y dirigido</w:t>
      </w:r>
      <w:r w:rsidRPr="00382EF7" w:rsidR="00A42528">
        <w:rPr>
          <w:rFonts w:eastAsia="Times New Roman" w:cs="Tahoma"/>
          <w:color w:val="auto"/>
          <w:szCs w:val="24"/>
          <w:lang w:eastAsia="es-ES"/>
        </w:rPr>
        <w:t>s</w:t>
      </w:r>
      <w:r w:rsidRPr="00382EF7" w:rsidR="00BE54AC">
        <w:rPr>
          <w:rFonts w:eastAsia="Times New Roman" w:cs="Tahoma"/>
          <w:color w:val="auto"/>
          <w:szCs w:val="24"/>
          <w:lang w:eastAsia="es-ES"/>
        </w:rPr>
        <w:t xml:space="preserve"> al Titular de la Unidad de Transparencia,</w:t>
      </w:r>
      <w:r w:rsidRPr="00382EF7" w:rsidR="002C430A">
        <w:rPr>
          <w:rFonts w:eastAsia="Times New Roman" w:cs="Tahoma"/>
          <w:color w:val="auto"/>
          <w:szCs w:val="24"/>
          <w:lang w:eastAsia="es-ES"/>
        </w:rPr>
        <w:t xml:space="preserve"> en idénticos términos,</w:t>
      </w:r>
      <w:r w:rsidRPr="00382EF7" w:rsidR="00BE54AC">
        <w:rPr>
          <w:rFonts w:eastAsia="Times New Roman" w:cs="Tahoma"/>
          <w:color w:val="auto"/>
          <w:szCs w:val="24"/>
          <w:lang w:eastAsia="es-ES"/>
        </w:rPr>
        <w:t xml:space="preserve"> a través de</w:t>
      </w:r>
      <w:r w:rsidRPr="00382EF7" w:rsidR="002C430A">
        <w:rPr>
          <w:rFonts w:eastAsia="Times New Roman" w:cs="Tahoma"/>
          <w:color w:val="auto"/>
          <w:szCs w:val="24"/>
          <w:lang w:eastAsia="es-ES"/>
        </w:rPr>
        <w:t xml:space="preserve"> </w:t>
      </w:r>
      <w:r w:rsidRPr="00382EF7" w:rsidR="00BE54AC">
        <w:rPr>
          <w:rFonts w:eastAsia="Times New Roman" w:cs="Tahoma"/>
          <w:color w:val="auto"/>
          <w:szCs w:val="24"/>
          <w:lang w:eastAsia="es-ES"/>
        </w:rPr>
        <w:t>l</w:t>
      </w:r>
      <w:r w:rsidRPr="00382EF7" w:rsidR="002C430A">
        <w:rPr>
          <w:rFonts w:eastAsia="Times New Roman" w:cs="Tahoma"/>
          <w:color w:val="auto"/>
          <w:szCs w:val="24"/>
          <w:lang w:eastAsia="es-ES"/>
        </w:rPr>
        <w:t>os</w:t>
      </w:r>
      <w:r w:rsidRPr="00382EF7" w:rsidR="00BE54AC">
        <w:rPr>
          <w:rFonts w:eastAsia="Times New Roman" w:cs="Tahoma"/>
          <w:color w:val="auto"/>
          <w:szCs w:val="24"/>
          <w:lang w:eastAsia="es-ES"/>
        </w:rPr>
        <w:t xml:space="preserve"> cual</w:t>
      </w:r>
      <w:r w:rsidRPr="00382EF7" w:rsidR="002C430A">
        <w:rPr>
          <w:rFonts w:eastAsia="Times New Roman" w:cs="Tahoma"/>
          <w:color w:val="auto"/>
          <w:szCs w:val="24"/>
          <w:lang w:eastAsia="es-ES"/>
        </w:rPr>
        <w:t>es</w:t>
      </w:r>
      <w:r w:rsidRPr="00382EF7" w:rsidR="00BE54AC">
        <w:rPr>
          <w:rFonts w:eastAsia="Times New Roman" w:cs="Tahoma"/>
          <w:color w:val="auto"/>
          <w:szCs w:val="24"/>
          <w:lang w:eastAsia="es-ES"/>
        </w:rPr>
        <w:t xml:space="preserve"> señaló esencialmente lo siguiente: </w:t>
      </w:r>
    </w:p>
    <w:p w:rsidRPr="00382EF7" w:rsidR="00A42528" w:rsidP="006935C8" w:rsidRDefault="00A42528" w14:paraId="67476406" w14:textId="77777777">
      <w:pPr>
        <w:autoSpaceDE w:val="0"/>
        <w:autoSpaceDN w:val="0"/>
        <w:adjustRightInd w:val="0"/>
        <w:spacing w:after="0" w:line="360" w:lineRule="auto"/>
        <w:ind w:left="567" w:right="567"/>
        <w:contextualSpacing/>
        <w:rPr>
          <w:rFonts w:eastAsia="Times New Roman" w:cs="Tahoma"/>
          <w:i/>
          <w:iCs/>
          <w:color w:val="auto"/>
          <w:szCs w:val="20"/>
          <w:lang w:eastAsia="es-ES"/>
        </w:rPr>
      </w:pPr>
    </w:p>
    <w:p w:rsidRPr="00382EF7" w:rsidR="00BE54AC" w:rsidP="006935C8" w:rsidRDefault="00BE54AC" w14:paraId="091A9534" w14:textId="7252A315">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382EF7">
        <w:rPr>
          <w:rFonts w:eastAsia="Times New Roman" w:cs="Tahoma"/>
          <w:i/>
          <w:iCs/>
          <w:color w:val="auto"/>
          <w:sz w:val="20"/>
          <w:szCs w:val="20"/>
          <w:lang w:eastAsia="es-ES"/>
        </w:rPr>
        <w:t>“…</w:t>
      </w:r>
    </w:p>
    <w:p w:rsidRPr="00382EF7" w:rsidR="00BE54AC" w:rsidP="006935C8" w:rsidRDefault="00036F4B" w14:paraId="63F8568A" w14:textId="0A236FF4">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382EF7">
        <w:rPr>
          <w:rFonts w:eastAsia="Times New Roman" w:cs="Tahoma"/>
          <w:i/>
          <w:iCs/>
          <w:color w:val="auto"/>
          <w:sz w:val="20"/>
          <w:szCs w:val="20"/>
          <w:lang w:eastAsia="es-ES"/>
        </w:rPr>
        <w:t xml:space="preserve">Al respecto le comento que de la revisión de la solicitud de información pública de mérito, se desprende el hecho de que el </w:t>
      </w:r>
      <w:r w:rsidRPr="00382EF7" w:rsidR="00A3415C">
        <w:rPr>
          <w:rFonts w:eastAsia="Times New Roman" w:cs="Tahoma"/>
          <w:i/>
          <w:iCs/>
          <w:color w:val="auto"/>
          <w:sz w:val="20"/>
          <w:szCs w:val="20"/>
          <w:lang w:eastAsia="es-ES"/>
        </w:rPr>
        <w:t>“</w:t>
      </w:r>
      <w:r w:rsidRPr="00382EF7">
        <w:rPr>
          <w:rFonts w:eastAsia="Times New Roman" w:cs="Tahoma"/>
          <w:i/>
          <w:iCs/>
          <w:color w:val="auto"/>
          <w:sz w:val="20"/>
          <w:szCs w:val="20"/>
          <w:lang w:eastAsia="es-ES"/>
        </w:rPr>
        <w:t>particular</w:t>
      </w:r>
      <w:r w:rsidRPr="00382EF7" w:rsidR="00A3415C">
        <w:rPr>
          <w:rFonts w:eastAsia="Times New Roman" w:cs="Tahoma"/>
          <w:i/>
          <w:iCs/>
          <w:color w:val="auto"/>
          <w:sz w:val="20"/>
          <w:szCs w:val="20"/>
          <w:lang w:eastAsia="es-ES"/>
        </w:rPr>
        <w:t>”</w:t>
      </w:r>
      <w:r w:rsidRPr="00382EF7">
        <w:rPr>
          <w:rFonts w:eastAsia="Times New Roman" w:cs="Tahoma"/>
          <w:i/>
          <w:iCs/>
          <w:color w:val="auto"/>
          <w:sz w:val="20"/>
          <w:szCs w:val="20"/>
          <w:lang w:eastAsia="es-ES"/>
        </w:rPr>
        <w:t xml:space="preserve"> requiere diversa información, misma que se encuentra plasmada </w:t>
      </w:r>
      <w:r w:rsidRPr="00382EF7" w:rsidR="00A3415C">
        <w:rPr>
          <w:rFonts w:eastAsia="Times New Roman" w:cs="Tahoma"/>
          <w:i/>
          <w:iCs/>
          <w:color w:val="auto"/>
          <w:sz w:val="20"/>
          <w:szCs w:val="20"/>
          <w:lang w:eastAsia="es-ES"/>
        </w:rPr>
        <w:t xml:space="preserve">en múltiples documentos que, por su naturaleza, contienen además datos personales y/o sensibles, cuyo tratamiento es mayormente riguroso, por lo que su acceso es exclusivo de su titular, si bien es cierto, el derecho de acceso a la información es un derecho humano reconocido en la Constitución Política de los Estados Unidos Mexicanos, del cual emana el acceso a la información pública, lo es también que este derecho no confiere un poder absoluto, se encuentra sujeto a limitaciones o excepciones que se sustentan fundamentalmente en el orden y la paz pública, así como el derecho que tiene la sociedad de que sus intereses sean protegidos en su dignidad, máxime si se refiere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w:t>
      </w:r>
      <w:r w:rsidRPr="00382EF7" w:rsidR="00A3415C">
        <w:rPr>
          <w:rFonts w:eastAsia="Times New Roman" w:cs="Tahoma"/>
          <w:i/>
          <w:iCs/>
          <w:color w:val="auto"/>
          <w:sz w:val="20"/>
          <w:szCs w:val="20"/>
          <w:lang w:eastAsia="es-ES"/>
        </w:rPr>
        <w:lastRenderedPageBreak/>
        <w:t>deriven por la publicación de información privada, pudiera ser mayor en perjuicio del titular de los datos contenidos en el (los) documento (s) solicitado (s) que el beneficio de satisfacer un interés particular, pues, indudable</w:t>
      </w:r>
      <w:r w:rsidRPr="00382EF7" w:rsidR="00A96624">
        <w:rPr>
          <w:rFonts w:eastAsia="Times New Roman" w:cs="Tahoma"/>
          <w:i/>
          <w:iCs/>
          <w:color w:val="auto"/>
          <w:sz w:val="20"/>
          <w:szCs w:val="20"/>
          <w:lang w:eastAsia="es-ES"/>
        </w:rPr>
        <w:t xml:space="preserve"> vulneraría su derecho a la intimidad.</w:t>
      </w:r>
    </w:p>
    <w:p w:rsidRPr="00382EF7" w:rsidR="00A96624" w:rsidP="006935C8" w:rsidRDefault="00A96624" w14:paraId="0C8AAC8D" w14:textId="3F0A4695">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rsidRPr="00382EF7" w:rsidR="00BE54AC" w:rsidP="006935C8" w:rsidRDefault="00A96624" w14:paraId="4DA59220" w14:textId="7B7C8E3F">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382EF7">
        <w:rPr>
          <w:rFonts w:eastAsia="Times New Roman" w:cs="Tahoma"/>
          <w:i/>
          <w:iCs/>
          <w:color w:val="auto"/>
          <w:sz w:val="20"/>
          <w:szCs w:val="20"/>
          <w:lang w:eastAsia="es-ES"/>
        </w:rPr>
        <w:t xml:space="preserve">Por lo anterior, es necesario llevar a cabo una minuciosa revisión de cada documento que pudiera contener la información requerida y someterla a un proceso de disociación, lo que implica la exhaustiva búsqueda en los archivos de las unidades administrativas adscritas a esta Tesorería Municipal, para después fotocopiar y/o digitalizar los documentos de que se trate y reintegrarlos de nueva cuenta a su lugar,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límites de lo posible para su cumplimentación, lo es también que en conjunto con las múltiples solicitudes recibidas en la misma fecha, presumiblemente por el mismo “particular” pues comparten entre estas las mismas características en la redacción, además de que fueron </w:t>
      </w:r>
      <w:proofErr w:type="spellStart"/>
      <w:r w:rsidRPr="00382EF7">
        <w:rPr>
          <w:rFonts w:eastAsia="Times New Roman" w:cs="Tahoma"/>
          <w:i/>
          <w:iCs/>
          <w:color w:val="auto"/>
          <w:sz w:val="20"/>
          <w:szCs w:val="20"/>
          <w:lang w:eastAsia="es-ES"/>
        </w:rPr>
        <w:t>recepcionadas</w:t>
      </w:r>
      <w:proofErr w:type="spellEnd"/>
      <w:r w:rsidRPr="00382EF7">
        <w:rPr>
          <w:rFonts w:eastAsia="Times New Roman" w:cs="Tahoma"/>
          <w:i/>
          <w:iCs/>
          <w:color w:val="auto"/>
          <w:sz w:val="20"/>
          <w:szCs w:val="20"/>
          <w:lang w:eastAsia="es-ES"/>
        </w:rPr>
        <w:t xml:space="preserve"> en lapsos de apenas minutos entre el ingreso de una y otra, aunado a las</w:t>
      </w:r>
      <w:r w:rsidRPr="00382EF7" w:rsidR="00D16717">
        <w:rPr>
          <w:rFonts w:eastAsia="Times New Roman" w:cs="Tahoma"/>
          <w:i/>
          <w:iCs/>
          <w:color w:val="auto"/>
          <w:sz w:val="20"/>
          <w:szCs w:val="20"/>
          <w:lang w:eastAsia="es-ES"/>
        </w:rPr>
        <w:t xml:space="preserve">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w:t>
      </w:r>
      <w:r w:rsidRPr="00382EF7" w:rsidR="00D16717">
        <w:rPr>
          <w:rFonts w:eastAsia="Times New Roman" w:cs="Tahoma"/>
          <w:b/>
          <w:bCs/>
          <w:i/>
          <w:iCs/>
          <w:color w:val="auto"/>
          <w:sz w:val="20"/>
          <w:szCs w:val="20"/>
          <w:lang w:eastAsia="es-ES"/>
        </w:rPr>
        <w:t>luego entonces, esta Tesorería Municipal consideró viable el cambio de modalidad de entrega de información, lo anterior, toda vez que es facultad de este Sujeto Obligado el determinar el cambio de modalidad,</w:t>
      </w:r>
      <w:r w:rsidRPr="00382EF7" w:rsidR="00D16717">
        <w:rPr>
          <w:rFonts w:eastAsia="Times New Roman" w:cs="Tahoma"/>
          <w:i/>
          <w:iCs/>
          <w:color w:val="auto"/>
          <w:sz w:val="20"/>
          <w:szCs w:val="20"/>
          <w:lang w:eastAsia="es-ES"/>
        </w:rPr>
        <w:t xml:space="preserve"> siempre que se ajuste a lo dispuesto por el artículo 158 de la Ley de la materia, por lo que solicito a usted tenga a bien informar a quien corresponda tal determinación,</w:t>
      </w:r>
      <w:r w:rsidRPr="00382EF7" w:rsidR="00D16717">
        <w:rPr>
          <w:rFonts w:eastAsia="Times New Roman" w:cs="Tahoma"/>
          <w:b/>
          <w:bCs/>
          <w:i/>
          <w:iCs/>
          <w:color w:val="auto"/>
          <w:sz w:val="20"/>
          <w:szCs w:val="20"/>
          <w:lang w:eastAsia="es-ES"/>
        </w:rPr>
        <w:t xml:space="preserve"> a razón de lo anterior se señalan los días 29 y 30 de septiembre y 6 y 7 de octubre del presente año para la Consulta Directa de la Información, en un horario de 09:00 a 15:00 horas, en las oficinas que ocupa la Tesorería Municipal, cito en C. Adolfo López Mateos No. 72, Barrio Señor de los Milagros, Melchor Ocampo, Estado de México,</w:t>
      </w:r>
      <w:r w:rsidRPr="00382EF7" w:rsidR="003F0B01">
        <w:rPr>
          <w:rFonts w:eastAsia="Times New Roman" w:cs="Tahoma"/>
          <w:b/>
          <w:bCs/>
          <w:i/>
          <w:iCs/>
          <w:color w:val="auto"/>
          <w:sz w:val="20"/>
          <w:szCs w:val="20"/>
          <w:lang w:eastAsia="es-ES"/>
        </w:rPr>
        <w:t xml:space="preserve"> </w:t>
      </w:r>
      <w:r w:rsidRPr="00382EF7" w:rsidR="00D16717">
        <w:rPr>
          <w:rFonts w:eastAsia="Times New Roman" w:cs="Tahoma"/>
          <w:b/>
          <w:bCs/>
          <w:i/>
          <w:iCs/>
          <w:color w:val="auto"/>
          <w:sz w:val="20"/>
          <w:szCs w:val="20"/>
          <w:lang w:eastAsia="es-ES"/>
        </w:rPr>
        <w:t>C.P. 54880, interior del Palacio Municipal</w:t>
      </w:r>
      <w:r w:rsidRPr="00382EF7" w:rsidR="00D16717">
        <w:rPr>
          <w:rFonts w:eastAsia="Times New Roman" w:cs="Tahoma"/>
          <w:i/>
          <w:iCs/>
          <w:color w:val="auto"/>
          <w:sz w:val="20"/>
          <w:szCs w:val="20"/>
          <w:lang w:eastAsia="es-ES"/>
        </w:rPr>
        <w:t xml:space="preserve">, en donde el particular será atendido (a) por la C. Dulce Virginia Arvizu Ortega, Servidor </w:t>
      </w:r>
      <w:proofErr w:type="spellStart"/>
      <w:r w:rsidRPr="00382EF7" w:rsidR="00D16717">
        <w:rPr>
          <w:rFonts w:eastAsia="Times New Roman" w:cs="Tahoma"/>
          <w:i/>
          <w:iCs/>
          <w:color w:val="auto"/>
          <w:sz w:val="20"/>
          <w:szCs w:val="20"/>
          <w:lang w:eastAsia="es-ES"/>
        </w:rPr>
        <w:t>Publico</w:t>
      </w:r>
      <w:proofErr w:type="spellEnd"/>
      <w:r w:rsidRPr="00382EF7" w:rsidR="00D16717">
        <w:rPr>
          <w:rFonts w:eastAsia="Times New Roman" w:cs="Tahoma"/>
          <w:i/>
          <w:iCs/>
          <w:color w:val="auto"/>
          <w:sz w:val="20"/>
          <w:szCs w:val="20"/>
          <w:lang w:eastAsia="es-ES"/>
        </w:rPr>
        <w:t xml:space="preserve"> </w:t>
      </w:r>
      <w:r w:rsidRPr="00382EF7" w:rsidR="003F0B01">
        <w:rPr>
          <w:rFonts w:eastAsia="Times New Roman" w:cs="Tahoma"/>
          <w:i/>
          <w:iCs/>
          <w:color w:val="auto"/>
          <w:sz w:val="20"/>
          <w:szCs w:val="20"/>
          <w:lang w:eastAsia="es-ES"/>
        </w:rPr>
        <w:t xml:space="preserve">Habilitado de esta Dependencia; no omito mencionar que el “particular” deberá </w:t>
      </w:r>
      <w:r w:rsidRPr="00382EF7" w:rsidR="003F0B01">
        <w:rPr>
          <w:rFonts w:eastAsia="Times New Roman" w:cs="Tahoma"/>
          <w:i/>
          <w:iCs/>
          <w:color w:val="auto"/>
          <w:sz w:val="20"/>
          <w:szCs w:val="20"/>
          <w:lang w:eastAsia="es-ES"/>
        </w:rPr>
        <w:lastRenderedPageBreak/>
        <w:t>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w:t>
      </w:r>
    </w:p>
    <w:p w:rsidRPr="00382EF7" w:rsidR="003F0B01" w:rsidP="006935C8" w:rsidRDefault="003F0B01" w14:paraId="78655FF5" w14:textId="746A0E0E">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382EF7">
        <w:rPr>
          <w:rFonts w:eastAsia="Times New Roman" w:cs="Tahoma"/>
          <w:i/>
          <w:iCs/>
          <w:color w:val="auto"/>
          <w:sz w:val="20"/>
          <w:szCs w:val="20"/>
          <w:lang w:eastAsia="es-ES"/>
        </w:rPr>
        <w:t>…”</w:t>
      </w:r>
    </w:p>
    <w:p w:rsidRPr="00382EF7" w:rsidR="003F0B01" w:rsidP="006935C8" w:rsidRDefault="003F0B01" w14:paraId="23AA2301" w14:textId="77777777">
      <w:pPr>
        <w:autoSpaceDE w:val="0"/>
        <w:autoSpaceDN w:val="0"/>
        <w:adjustRightInd w:val="0"/>
        <w:spacing w:after="0" w:line="360" w:lineRule="auto"/>
        <w:contextualSpacing/>
        <w:rPr>
          <w:rFonts w:eastAsia="Times New Roman" w:cs="Tahoma"/>
          <w:i/>
          <w:iCs/>
          <w:color w:val="auto"/>
          <w:sz w:val="20"/>
          <w:szCs w:val="20"/>
          <w:lang w:eastAsia="es-ES"/>
        </w:rPr>
      </w:pPr>
    </w:p>
    <w:p w:rsidRPr="00382EF7" w:rsidR="00BE54AC" w:rsidP="006935C8" w:rsidRDefault="008E6FE9" w14:paraId="63E3ADD0" w14:textId="38EBE962">
      <w:pPr>
        <w:autoSpaceDE w:val="0"/>
        <w:autoSpaceDN w:val="0"/>
        <w:adjustRightInd w:val="0"/>
        <w:spacing w:after="0" w:line="360" w:lineRule="auto"/>
        <w:contextualSpacing/>
        <w:rPr>
          <w:rFonts w:cs="Tahoma"/>
          <w:b/>
        </w:rPr>
      </w:pPr>
      <w:r w:rsidRPr="00382EF7">
        <w:rPr>
          <w:rFonts w:cs="Tahoma"/>
          <w:b/>
        </w:rPr>
        <w:t>V</w:t>
      </w:r>
      <w:r w:rsidRPr="00382EF7" w:rsidR="00BE54AC">
        <w:rPr>
          <w:rFonts w:cs="Tahoma"/>
          <w:b/>
        </w:rPr>
        <w:t>I. Interposición de</w:t>
      </w:r>
      <w:r w:rsidRPr="00382EF7" w:rsidR="002C430A">
        <w:rPr>
          <w:rFonts w:cs="Tahoma"/>
          <w:b/>
        </w:rPr>
        <w:t xml:space="preserve"> </w:t>
      </w:r>
      <w:r w:rsidRPr="00382EF7" w:rsidR="00BE54AC">
        <w:rPr>
          <w:rFonts w:cs="Tahoma"/>
          <w:b/>
        </w:rPr>
        <w:t>l</w:t>
      </w:r>
      <w:r w:rsidRPr="00382EF7" w:rsidR="002C430A">
        <w:rPr>
          <w:rFonts w:cs="Tahoma"/>
          <w:b/>
        </w:rPr>
        <w:t>os</w:t>
      </w:r>
      <w:r w:rsidRPr="00382EF7" w:rsidR="00BE54AC">
        <w:rPr>
          <w:rFonts w:cs="Tahoma"/>
          <w:b/>
        </w:rPr>
        <w:t xml:space="preserve"> Recurso</w:t>
      </w:r>
      <w:r w:rsidRPr="00382EF7" w:rsidR="002C430A">
        <w:rPr>
          <w:rFonts w:cs="Tahoma"/>
          <w:b/>
        </w:rPr>
        <w:t>s</w:t>
      </w:r>
      <w:r w:rsidRPr="00382EF7" w:rsidR="00BE54AC">
        <w:rPr>
          <w:rFonts w:cs="Tahoma"/>
          <w:b/>
        </w:rPr>
        <w:t xml:space="preserve"> de Revisión. </w:t>
      </w:r>
    </w:p>
    <w:p w:rsidRPr="00382EF7" w:rsidR="008E6FE9" w:rsidP="006935C8" w:rsidRDefault="008E6FE9" w14:paraId="02E2067D" w14:textId="77777777">
      <w:pPr>
        <w:autoSpaceDE w:val="0"/>
        <w:autoSpaceDN w:val="0"/>
        <w:adjustRightInd w:val="0"/>
        <w:spacing w:after="0" w:line="360" w:lineRule="auto"/>
        <w:contextualSpacing/>
        <w:rPr>
          <w:rFonts w:cs="Tahoma"/>
          <w:b/>
        </w:rPr>
      </w:pPr>
    </w:p>
    <w:p w:rsidRPr="00382EF7" w:rsidR="00BE54AC" w:rsidP="006935C8" w:rsidRDefault="00BE54AC" w14:paraId="308FFCC0" w14:textId="26C389A3">
      <w:pPr>
        <w:tabs>
          <w:tab w:val="left" w:pos="567"/>
        </w:tabs>
        <w:spacing w:after="0" w:line="360" w:lineRule="auto"/>
        <w:contextualSpacing/>
        <w:rPr>
          <w:rFonts w:eastAsia="Times New Roman" w:cs="Tahoma"/>
          <w:bCs/>
          <w:color w:val="auto"/>
          <w:lang w:eastAsia="es-ES"/>
        </w:rPr>
      </w:pPr>
      <w:r w:rsidRPr="00382EF7">
        <w:rPr>
          <w:rFonts w:eastAsia="Calibri" w:cs="Times New Roman"/>
          <w:bCs/>
        </w:rPr>
        <w:t xml:space="preserve">Con fecha </w:t>
      </w:r>
      <w:r w:rsidRPr="00382EF7" w:rsidR="008E6FE9">
        <w:rPr>
          <w:rFonts w:eastAsia="Calibri" w:cs="Times New Roman"/>
          <w:bCs/>
        </w:rPr>
        <w:t>ocho de septiembre</w:t>
      </w:r>
      <w:r w:rsidRPr="00382EF7">
        <w:rPr>
          <w:rFonts w:eastAsia="Calibri" w:cs="Times New Roman"/>
          <w:bCs/>
        </w:rPr>
        <w:t xml:space="preserve"> de dos mil veintidós, se recibió en este Instituto, a través del Sistema de Acceso a la Información Mexiquense (SAIMEX), </w:t>
      </w:r>
      <w:r w:rsidRPr="00382EF7" w:rsidR="002C430A">
        <w:rPr>
          <w:rFonts w:eastAsia="Calibri" w:cs="Times New Roman"/>
          <w:bCs/>
        </w:rPr>
        <w:t xml:space="preserve">dos </w:t>
      </w:r>
      <w:r w:rsidRPr="00382EF7">
        <w:rPr>
          <w:rFonts w:eastAsia="Calibri" w:cs="Times New Roman"/>
          <w:bCs/>
        </w:rPr>
        <w:t>Recurso</w:t>
      </w:r>
      <w:r w:rsidRPr="00382EF7" w:rsidR="002C430A">
        <w:rPr>
          <w:rFonts w:eastAsia="Calibri" w:cs="Times New Roman"/>
          <w:bCs/>
        </w:rPr>
        <w:t>s</w:t>
      </w:r>
      <w:r w:rsidRPr="00382EF7">
        <w:rPr>
          <w:rFonts w:eastAsia="Calibri" w:cs="Times New Roman"/>
          <w:bCs/>
        </w:rPr>
        <w:t xml:space="preserve"> de Revisión interpuesto</w:t>
      </w:r>
      <w:r w:rsidRPr="00382EF7" w:rsidR="002C430A">
        <w:rPr>
          <w:rFonts w:eastAsia="Calibri" w:cs="Times New Roman"/>
          <w:bCs/>
        </w:rPr>
        <w:t>s</w:t>
      </w:r>
      <w:r w:rsidRPr="00382EF7">
        <w:rPr>
          <w:rFonts w:eastAsia="Calibri" w:cs="Times New Roman"/>
          <w:bCs/>
        </w:rPr>
        <w:t xml:space="preserve"> por la parte Recurrente, en contra de la respuesta por el Sujeto Obligado,</w:t>
      </w:r>
      <w:r w:rsidRPr="00382EF7">
        <w:rPr>
          <w:rFonts w:eastAsia="Times New Roman" w:cs="Tahoma"/>
          <w:b/>
          <w:color w:val="auto"/>
          <w:lang w:eastAsia="es-ES"/>
        </w:rPr>
        <w:t xml:space="preserve"> </w:t>
      </w:r>
      <w:r w:rsidRPr="00382EF7">
        <w:rPr>
          <w:rFonts w:eastAsia="Times New Roman" w:cs="Tahoma"/>
          <w:bCs/>
          <w:color w:val="auto"/>
          <w:lang w:eastAsia="es-ES"/>
        </w:rPr>
        <w:t xml:space="preserve">en </w:t>
      </w:r>
      <w:r w:rsidRPr="00382EF7" w:rsidR="002C430A">
        <w:rPr>
          <w:rFonts w:eastAsia="Times New Roman" w:cs="Tahoma"/>
          <w:bCs/>
          <w:color w:val="auto"/>
          <w:lang w:eastAsia="es-ES"/>
        </w:rPr>
        <w:t xml:space="preserve">idénticos términos conforme a </w:t>
      </w:r>
      <w:r w:rsidRPr="00382EF7">
        <w:rPr>
          <w:rFonts w:eastAsia="Times New Roman" w:cs="Tahoma"/>
          <w:bCs/>
          <w:color w:val="auto"/>
          <w:lang w:eastAsia="es-ES"/>
        </w:rPr>
        <w:t>lo siguiente:</w:t>
      </w:r>
    </w:p>
    <w:p w:rsidRPr="00382EF7" w:rsidR="00BE54AC" w:rsidP="006935C8" w:rsidRDefault="00BE54AC" w14:paraId="1EE012B7" w14:textId="77777777">
      <w:pPr>
        <w:tabs>
          <w:tab w:val="left" w:pos="567"/>
        </w:tabs>
        <w:spacing w:after="0" w:line="360" w:lineRule="auto"/>
        <w:ind w:left="567" w:right="567"/>
        <w:contextualSpacing/>
        <w:rPr>
          <w:rFonts w:eastAsia="Times New Roman" w:cs="Tahoma"/>
          <w:bCs/>
          <w:color w:val="auto"/>
          <w:lang w:eastAsia="es-ES"/>
        </w:rPr>
      </w:pPr>
    </w:p>
    <w:p w:rsidRPr="00382EF7" w:rsidR="00BE54AC" w:rsidP="006935C8" w:rsidRDefault="00BE54AC" w14:paraId="153ABC77" w14:textId="77777777">
      <w:pPr>
        <w:tabs>
          <w:tab w:val="left" w:pos="4667"/>
        </w:tabs>
        <w:spacing w:after="0" w:line="360" w:lineRule="auto"/>
        <w:ind w:left="567" w:right="567"/>
        <w:contextualSpacing/>
        <w:rPr>
          <w:rFonts w:cs="Tahoma"/>
          <w:bCs/>
          <w:i/>
          <w:sz w:val="20"/>
          <w:szCs w:val="20"/>
        </w:rPr>
      </w:pPr>
      <w:r w:rsidRPr="00382EF7">
        <w:rPr>
          <w:rFonts w:cs="Tahoma"/>
          <w:b/>
          <w:bCs/>
          <w:i/>
          <w:sz w:val="20"/>
          <w:szCs w:val="20"/>
        </w:rPr>
        <w:t>“ACTO IMPUGNADO</w:t>
      </w:r>
    </w:p>
    <w:p w:rsidRPr="00382EF7" w:rsidR="00BE54AC" w:rsidP="006935C8" w:rsidRDefault="008E6FE9" w14:paraId="095CEDBC" w14:textId="37B58614">
      <w:pPr>
        <w:spacing w:after="0" w:line="360" w:lineRule="auto"/>
        <w:ind w:left="567" w:right="567"/>
        <w:contextualSpacing/>
        <w:rPr>
          <w:rFonts w:eastAsia="Times New Roman" w:cs="Times New Roman"/>
          <w:i/>
          <w:color w:val="auto"/>
          <w:sz w:val="20"/>
          <w:szCs w:val="20"/>
          <w:lang w:eastAsia="es-MX"/>
        </w:rPr>
      </w:pPr>
      <w:r w:rsidRPr="00382EF7">
        <w:rPr>
          <w:rFonts w:eastAsia="Times New Roman" w:cs="Times New Roman"/>
          <w:i/>
          <w:color w:val="auto"/>
          <w:sz w:val="20"/>
          <w:szCs w:val="20"/>
          <w:lang w:eastAsia="es-MX"/>
        </w:rPr>
        <w:t xml:space="preserve">Mucha estrategia para negar la información, primero solicitan aclaración, misma que se </w:t>
      </w:r>
      <w:proofErr w:type="spellStart"/>
      <w:r w:rsidRPr="00382EF7">
        <w:rPr>
          <w:rFonts w:eastAsia="Times New Roman" w:cs="Times New Roman"/>
          <w:i/>
          <w:color w:val="auto"/>
          <w:sz w:val="20"/>
          <w:szCs w:val="20"/>
          <w:lang w:eastAsia="es-MX"/>
        </w:rPr>
        <w:t>realizo</w:t>
      </w:r>
      <w:proofErr w:type="spellEnd"/>
      <w:r w:rsidRPr="00382EF7">
        <w:rPr>
          <w:rFonts w:eastAsia="Times New Roman" w:cs="Times New Roman"/>
          <w:i/>
          <w:color w:val="auto"/>
          <w:sz w:val="20"/>
          <w:szCs w:val="20"/>
          <w:lang w:eastAsia="es-MX"/>
        </w:rPr>
        <w:t xml:space="preserve">, después se aprueban una prorroga y además sin pasar por comité, solo a decisión del de la unidad, ganando </w:t>
      </w:r>
      <w:proofErr w:type="spellStart"/>
      <w:r w:rsidRPr="00382EF7">
        <w:rPr>
          <w:rFonts w:eastAsia="Times New Roman" w:cs="Times New Roman"/>
          <w:i/>
          <w:color w:val="auto"/>
          <w:sz w:val="20"/>
          <w:szCs w:val="20"/>
          <w:lang w:eastAsia="es-MX"/>
        </w:rPr>
        <w:t>mas</w:t>
      </w:r>
      <w:proofErr w:type="spellEnd"/>
      <w:r w:rsidRPr="00382EF7">
        <w:rPr>
          <w:rFonts w:eastAsia="Times New Roman" w:cs="Times New Roman"/>
          <w:i/>
          <w:color w:val="auto"/>
          <w:sz w:val="20"/>
          <w:szCs w:val="20"/>
          <w:lang w:eastAsia="es-MX"/>
        </w:rPr>
        <w:t xml:space="preserve"> tiempo y al final niegan la información cambiando a modalidad con pretextos absurdo</w:t>
      </w:r>
      <w:r w:rsidRPr="00382EF7" w:rsidR="00BE54AC">
        <w:rPr>
          <w:i/>
          <w:color w:val="000000"/>
          <w:sz w:val="20"/>
          <w:szCs w:val="20"/>
        </w:rPr>
        <w:t>.</w:t>
      </w:r>
      <w:r w:rsidRPr="00382EF7" w:rsidR="00BE54AC">
        <w:rPr>
          <w:i/>
          <w:sz w:val="20"/>
          <w:szCs w:val="20"/>
        </w:rPr>
        <w:t>”</w:t>
      </w:r>
      <w:r w:rsidRPr="00382EF7" w:rsidR="00BE54AC">
        <w:rPr>
          <w:rFonts w:cs="Tahoma"/>
          <w:i/>
          <w:sz w:val="20"/>
          <w:szCs w:val="20"/>
        </w:rPr>
        <w:t xml:space="preserve"> (Sic.)</w:t>
      </w:r>
    </w:p>
    <w:p w:rsidRPr="00382EF7" w:rsidR="008E6FE9" w:rsidP="006935C8" w:rsidRDefault="008E6FE9" w14:paraId="3B4E4817" w14:textId="77777777">
      <w:pPr>
        <w:autoSpaceDE w:val="0"/>
        <w:autoSpaceDN w:val="0"/>
        <w:adjustRightInd w:val="0"/>
        <w:spacing w:after="0" w:line="360" w:lineRule="auto"/>
        <w:ind w:left="567" w:right="567"/>
        <w:contextualSpacing/>
        <w:rPr>
          <w:rFonts w:cs="Tahoma"/>
          <w:b/>
          <w:i/>
          <w:sz w:val="20"/>
          <w:szCs w:val="20"/>
        </w:rPr>
      </w:pPr>
    </w:p>
    <w:p w:rsidRPr="00382EF7" w:rsidR="00BE54AC" w:rsidP="006935C8" w:rsidRDefault="00BE54AC" w14:paraId="54AA5778" w14:textId="341F9971">
      <w:pPr>
        <w:autoSpaceDE w:val="0"/>
        <w:autoSpaceDN w:val="0"/>
        <w:adjustRightInd w:val="0"/>
        <w:spacing w:after="0" w:line="360" w:lineRule="auto"/>
        <w:ind w:left="567" w:right="567"/>
        <w:contextualSpacing/>
        <w:rPr>
          <w:rFonts w:cs="Tahoma"/>
          <w:b/>
          <w:i/>
          <w:sz w:val="20"/>
          <w:szCs w:val="20"/>
        </w:rPr>
      </w:pPr>
      <w:r w:rsidRPr="00382EF7">
        <w:rPr>
          <w:rFonts w:cs="Tahoma"/>
          <w:b/>
          <w:i/>
          <w:sz w:val="20"/>
          <w:szCs w:val="20"/>
        </w:rPr>
        <w:t>“RAZONES O MOTIVOS DE LA INCONFORMIDAD</w:t>
      </w:r>
    </w:p>
    <w:p w:rsidRPr="00382EF7" w:rsidR="00BE54AC" w:rsidP="006935C8" w:rsidRDefault="008E6FE9" w14:paraId="25EA6EDC" w14:textId="6D68A35F">
      <w:pPr>
        <w:spacing w:after="0" w:line="360" w:lineRule="auto"/>
        <w:ind w:left="567" w:right="567"/>
        <w:contextualSpacing/>
        <w:rPr>
          <w:rFonts w:eastAsia="Times New Roman" w:cs="Times New Roman"/>
          <w:i/>
          <w:color w:val="auto"/>
          <w:sz w:val="20"/>
          <w:szCs w:val="20"/>
          <w:lang w:eastAsia="es-MX"/>
        </w:rPr>
      </w:pPr>
      <w:r w:rsidRPr="00382EF7">
        <w:rPr>
          <w:rFonts w:eastAsia="Times New Roman" w:cs="Times New Roman"/>
          <w:i/>
          <w:color w:val="auto"/>
          <w:sz w:val="20"/>
          <w:szCs w:val="20"/>
          <w:lang w:eastAsia="es-MX"/>
        </w:rPr>
        <w:t xml:space="preserve">Mucha estrategia para negar la información, primero solicitan aclaración, misma que se </w:t>
      </w:r>
      <w:proofErr w:type="spellStart"/>
      <w:r w:rsidRPr="00382EF7">
        <w:rPr>
          <w:rFonts w:eastAsia="Times New Roman" w:cs="Times New Roman"/>
          <w:i/>
          <w:color w:val="auto"/>
          <w:sz w:val="20"/>
          <w:szCs w:val="20"/>
          <w:lang w:eastAsia="es-MX"/>
        </w:rPr>
        <w:t>realizo</w:t>
      </w:r>
      <w:proofErr w:type="spellEnd"/>
      <w:r w:rsidRPr="00382EF7">
        <w:rPr>
          <w:rFonts w:eastAsia="Times New Roman" w:cs="Times New Roman"/>
          <w:i/>
          <w:color w:val="auto"/>
          <w:sz w:val="20"/>
          <w:szCs w:val="20"/>
          <w:lang w:eastAsia="es-MX"/>
        </w:rPr>
        <w:t xml:space="preserve">, después se aprueban una prorroga y además sin pasar por comité, solo a decisión del de la unidad, ganando </w:t>
      </w:r>
      <w:proofErr w:type="spellStart"/>
      <w:r w:rsidRPr="00382EF7">
        <w:rPr>
          <w:rFonts w:eastAsia="Times New Roman" w:cs="Times New Roman"/>
          <w:i/>
          <w:color w:val="auto"/>
          <w:sz w:val="20"/>
          <w:szCs w:val="20"/>
          <w:lang w:eastAsia="es-MX"/>
        </w:rPr>
        <w:t>mas</w:t>
      </w:r>
      <w:proofErr w:type="spellEnd"/>
      <w:r w:rsidRPr="00382EF7">
        <w:rPr>
          <w:rFonts w:eastAsia="Times New Roman" w:cs="Times New Roman"/>
          <w:i/>
          <w:color w:val="auto"/>
          <w:sz w:val="20"/>
          <w:szCs w:val="20"/>
          <w:lang w:eastAsia="es-MX"/>
        </w:rPr>
        <w:t xml:space="preserve"> tiempo y al final niegan la información cambiando a modalidad con pretextos absurdo</w:t>
      </w:r>
      <w:r w:rsidRPr="00382EF7" w:rsidR="00BE54AC">
        <w:rPr>
          <w:i/>
          <w:color w:val="000000"/>
          <w:sz w:val="20"/>
          <w:szCs w:val="20"/>
        </w:rPr>
        <w:t>.</w:t>
      </w:r>
      <w:r w:rsidRPr="00382EF7" w:rsidR="00BE54AC">
        <w:rPr>
          <w:rFonts w:cs="Tahoma"/>
          <w:i/>
          <w:sz w:val="20"/>
          <w:szCs w:val="20"/>
        </w:rPr>
        <w:t>” (Sic.)</w:t>
      </w:r>
    </w:p>
    <w:p w:rsidRPr="00382EF7" w:rsidR="00BE54AC" w:rsidP="006935C8" w:rsidRDefault="00BE54AC" w14:paraId="2DABC6B7" w14:textId="4008B1E0">
      <w:pPr>
        <w:spacing w:after="0" w:line="360" w:lineRule="auto"/>
        <w:contextualSpacing/>
        <w:rPr>
          <w:rFonts w:cs="Tahoma"/>
          <w:bCs/>
        </w:rPr>
      </w:pPr>
    </w:p>
    <w:p w:rsidRPr="00382EF7" w:rsidR="00A13FD0" w:rsidP="006935C8" w:rsidRDefault="00A13FD0" w14:paraId="289CBB37" w14:textId="77777777">
      <w:pPr>
        <w:spacing w:after="0" w:line="360" w:lineRule="auto"/>
        <w:contextualSpacing/>
        <w:rPr>
          <w:rFonts w:cs="Tahoma"/>
          <w:bCs/>
        </w:rPr>
      </w:pPr>
    </w:p>
    <w:p w:rsidRPr="00382EF7" w:rsidR="00BE54AC" w:rsidP="006935C8" w:rsidRDefault="00BE54AC" w14:paraId="31F31753" w14:textId="77777777">
      <w:pPr>
        <w:spacing w:after="0" w:line="360" w:lineRule="auto"/>
        <w:contextualSpacing/>
        <w:rPr>
          <w:rFonts w:eastAsia="Batang" w:cs="Tahoma"/>
          <w:b/>
          <w:bCs/>
        </w:rPr>
      </w:pPr>
      <w:r w:rsidRPr="00382EF7">
        <w:rPr>
          <w:rFonts w:cs="Tahoma"/>
          <w:b/>
        </w:rPr>
        <w:lastRenderedPageBreak/>
        <w:t xml:space="preserve">IV. </w:t>
      </w:r>
      <w:r w:rsidRPr="00382EF7">
        <w:rPr>
          <w:rFonts w:eastAsia="Batang" w:cs="Tahoma"/>
          <w:b/>
          <w:bCs/>
        </w:rPr>
        <w:t xml:space="preserve">Trámite del </w:t>
      </w:r>
      <w:r w:rsidRPr="00382EF7">
        <w:rPr>
          <w:rFonts w:cs="Tahoma"/>
          <w:b/>
        </w:rPr>
        <w:t xml:space="preserve">Recurso de Revisión </w:t>
      </w:r>
      <w:r w:rsidRPr="00382EF7">
        <w:rPr>
          <w:rFonts w:eastAsia="Batang" w:cs="Tahoma"/>
          <w:b/>
          <w:bCs/>
        </w:rPr>
        <w:t>ante este Instituto.</w:t>
      </w:r>
    </w:p>
    <w:p w:rsidRPr="00382EF7" w:rsidR="00BE54AC" w:rsidP="006935C8" w:rsidRDefault="00BE54AC" w14:paraId="55D29182" w14:textId="77777777">
      <w:pPr>
        <w:spacing w:after="0" w:line="360" w:lineRule="auto"/>
        <w:contextualSpacing/>
        <w:rPr>
          <w:rFonts w:eastAsia="Batang" w:cs="Tahoma"/>
          <w:b/>
          <w:bCs/>
        </w:rPr>
      </w:pPr>
    </w:p>
    <w:p w:rsidRPr="00382EF7" w:rsidR="00BE54AC" w:rsidP="006935C8" w:rsidRDefault="00BE54AC" w14:paraId="0A251793" w14:textId="2267CF7E">
      <w:pPr>
        <w:spacing w:after="0" w:line="360" w:lineRule="auto"/>
        <w:contextualSpacing/>
        <w:rPr>
          <w:rFonts w:eastAsia="Batang" w:cs="Tahoma"/>
          <w:bCs/>
        </w:rPr>
      </w:pPr>
      <w:r w:rsidRPr="00382EF7">
        <w:rPr>
          <w:rFonts w:eastAsia="Batang" w:cs="Tahoma"/>
          <w:b/>
          <w:bCs/>
        </w:rPr>
        <w:t xml:space="preserve">a) Turno del Medio de Impugnación. </w:t>
      </w:r>
      <w:r w:rsidRPr="00382EF7">
        <w:rPr>
          <w:rFonts w:eastAsia="Batang" w:cs="Tahoma"/>
          <w:bCs/>
        </w:rPr>
        <w:t xml:space="preserve">El </w:t>
      </w:r>
      <w:r w:rsidRPr="00382EF7" w:rsidR="008E6FE9">
        <w:rPr>
          <w:rFonts w:eastAsia="Batang" w:cs="Tahoma"/>
          <w:bCs/>
        </w:rPr>
        <w:t>ocho de septiembre</w:t>
      </w:r>
      <w:r w:rsidRPr="00382EF7">
        <w:rPr>
          <w:rFonts w:eastAsia="Batang" w:cs="Tahoma"/>
          <w:bCs/>
        </w:rPr>
        <w:t xml:space="preserve"> de dos mil veintidós, el </w:t>
      </w:r>
      <w:r w:rsidRPr="00382EF7">
        <w:rPr>
          <w:rFonts w:cs="Tahoma"/>
        </w:rPr>
        <w:t>Sistema de Acceso a la Información Mexiquense (SAIMEX),</w:t>
      </w:r>
      <w:r w:rsidRPr="00382EF7">
        <w:rPr>
          <w:rFonts w:eastAsia="Batang" w:cs="Tahoma"/>
          <w:bCs/>
        </w:rPr>
        <w:t xml:space="preserve"> asignó l</w:t>
      </w:r>
      <w:r w:rsidRPr="00382EF7" w:rsidR="002C430A">
        <w:rPr>
          <w:rFonts w:eastAsia="Batang" w:cs="Tahoma"/>
          <w:bCs/>
        </w:rPr>
        <w:t>os</w:t>
      </w:r>
      <w:r w:rsidRPr="00382EF7">
        <w:rPr>
          <w:rFonts w:eastAsia="Batang" w:cs="Tahoma"/>
          <w:bCs/>
        </w:rPr>
        <w:t xml:space="preserve"> número</w:t>
      </w:r>
      <w:r w:rsidRPr="00382EF7" w:rsidR="002C430A">
        <w:rPr>
          <w:rFonts w:eastAsia="Batang" w:cs="Tahoma"/>
          <w:bCs/>
        </w:rPr>
        <w:t>s</w:t>
      </w:r>
      <w:r w:rsidRPr="00382EF7">
        <w:rPr>
          <w:rFonts w:eastAsia="Batang" w:cs="Tahoma"/>
          <w:bCs/>
        </w:rPr>
        <w:t xml:space="preserve"> de expediente</w:t>
      </w:r>
      <w:r w:rsidRPr="00382EF7" w:rsidR="002C430A">
        <w:rPr>
          <w:rFonts w:eastAsia="Batang" w:cs="Tahoma"/>
          <w:bCs/>
        </w:rPr>
        <w:t>s</w:t>
      </w:r>
      <w:r w:rsidRPr="00382EF7">
        <w:rPr>
          <w:rFonts w:eastAsia="Batang" w:cs="Tahoma"/>
          <w:bCs/>
        </w:rPr>
        <w:t xml:space="preserve"> </w:t>
      </w:r>
      <w:r w:rsidRPr="00382EF7">
        <w:rPr>
          <w:b/>
          <w:bCs/>
        </w:rPr>
        <w:t>1</w:t>
      </w:r>
      <w:r w:rsidRPr="00382EF7" w:rsidR="008E6FE9">
        <w:rPr>
          <w:b/>
          <w:bCs/>
        </w:rPr>
        <w:t>4531</w:t>
      </w:r>
      <w:r w:rsidRPr="00382EF7">
        <w:rPr>
          <w:b/>
          <w:bCs/>
        </w:rPr>
        <w:t>/INFOEM/IP/RR/2022</w:t>
      </w:r>
      <w:r w:rsidRPr="00382EF7" w:rsidR="002C430A">
        <w:rPr>
          <w:b/>
          <w:bCs/>
        </w:rPr>
        <w:t xml:space="preserve"> y 14589/INFOEM/IP/RR/2022</w:t>
      </w:r>
      <w:r w:rsidRPr="00382EF7">
        <w:rPr>
          <w:rFonts w:eastAsia="Batang" w:cs="Tahoma"/>
          <w:bCs/>
        </w:rPr>
        <w:t>, a</w:t>
      </w:r>
      <w:r w:rsidRPr="00382EF7" w:rsidR="002C430A">
        <w:rPr>
          <w:rFonts w:eastAsia="Batang" w:cs="Tahoma"/>
          <w:bCs/>
        </w:rPr>
        <w:t xml:space="preserve"> </w:t>
      </w:r>
      <w:r w:rsidRPr="00382EF7">
        <w:rPr>
          <w:rFonts w:eastAsia="Batang" w:cs="Tahoma"/>
          <w:bCs/>
        </w:rPr>
        <w:t>l</w:t>
      </w:r>
      <w:r w:rsidRPr="00382EF7" w:rsidR="002C430A">
        <w:rPr>
          <w:rFonts w:eastAsia="Batang" w:cs="Tahoma"/>
          <w:bCs/>
        </w:rPr>
        <w:t>os</w:t>
      </w:r>
      <w:r w:rsidRPr="00382EF7">
        <w:rPr>
          <w:rFonts w:eastAsia="Batang" w:cs="Tahoma"/>
          <w:bCs/>
        </w:rPr>
        <w:t xml:space="preserve"> medio</w:t>
      </w:r>
      <w:r w:rsidRPr="00382EF7" w:rsidR="002C430A">
        <w:rPr>
          <w:rFonts w:eastAsia="Batang" w:cs="Tahoma"/>
          <w:bCs/>
        </w:rPr>
        <w:t>s</w:t>
      </w:r>
      <w:r w:rsidRPr="00382EF7">
        <w:rPr>
          <w:rFonts w:eastAsia="Batang" w:cs="Tahoma"/>
          <w:bCs/>
        </w:rPr>
        <w:t xml:space="preserve"> de impugnación que nos ocupa, con base en el sistema aprobado por el Pleno de este Órgano Garante y lo turnó a</w:t>
      </w:r>
      <w:r w:rsidRPr="00382EF7" w:rsidR="002C430A">
        <w:rPr>
          <w:rFonts w:eastAsia="Batang" w:cs="Tahoma"/>
          <w:bCs/>
        </w:rPr>
        <w:t xml:space="preserve"> </w:t>
      </w:r>
      <w:r w:rsidRPr="00382EF7">
        <w:rPr>
          <w:rFonts w:eastAsia="Batang" w:cs="Tahoma"/>
          <w:bCs/>
        </w:rPr>
        <w:t>l</w:t>
      </w:r>
      <w:r w:rsidRPr="00382EF7" w:rsidR="002C430A">
        <w:rPr>
          <w:rFonts w:eastAsia="Batang" w:cs="Tahoma"/>
          <w:bCs/>
        </w:rPr>
        <w:t>os</w:t>
      </w:r>
      <w:r w:rsidRPr="00382EF7">
        <w:rPr>
          <w:rFonts w:eastAsia="Batang" w:cs="Tahoma"/>
          <w:bCs/>
        </w:rPr>
        <w:t xml:space="preserve"> Comisionado</w:t>
      </w:r>
      <w:r w:rsidRPr="00382EF7" w:rsidR="002C430A">
        <w:rPr>
          <w:rFonts w:eastAsia="Batang" w:cs="Tahoma"/>
          <w:bCs/>
        </w:rPr>
        <w:t>s</w:t>
      </w:r>
      <w:r w:rsidRPr="00382EF7">
        <w:rPr>
          <w:rFonts w:eastAsia="Batang" w:cs="Tahoma"/>
          <w:bCs/>
        </w:rPr>
        <w:t xml:space="preserve"> Luis Gustavo Parra Noriega</w:t>
      </w:r>
      <w:r w:rsidRPr="00382EF7" w:rsidR="002C430A">
        <w:rPr>
          <w:rFonts w:eastAsia="Batang" w:cs="Tahoma"/>
          <w:bCs/>
        </w:rPr>
        <w:t xml:space="preserve"> y Guadalupe Ramírez Peña</w:t>
      </w:r>
      <w:r w:rsidRPr="00382EF7">
        <w:rPr>
          <w:rFonts w:eastAsia="Batang" w:cs="Tahoma"/>
          <w:bCs/>
        </w:rPr>
        <w:t>, para los efectos del artículo 185, fracción I de la Ley de Transparencia y Acceso a la Información Pública del Estado de México y Municipios.</w:t>
      </w:r>
    </w:p>
    <w:p w:rsidRPr="00382EF7" w:rsidR="00BE54AC" w:rsidP="006935C8" w:rsidRDefault="00BE54AC" w14:paraId="4C0612BB" w14:textId="77777777">
      <w:pPr>
        <w:spacing w:after="0" w:line="360" w:lineRule="auto"/>
        <w:contextualSpacing/>
        <w:rPr>
          <w:rFonts w:eastAsia="Batang" w:cs="Tahoma"/>
          <w:bCs/>
        </w:rPr>
      </w:pPr>
    </w:p>
    <w:p w:rsidRPr="00382EF7" w:rsidR="00BE54AC" w:rsidP="006935C8" w:rsidRDefault="00BE54AC" w14:paraId="20096FD8" w14:textId="1049ACD2">
      <w:pPr>
        <w:spacing w:after="0" w:line="360" w:lineRule="auto"/>
        <w:contextualSpacing/>
        <w:rPr>
          <w:rFonts w:eastAsia="Times New Roman" w:cs="Tahoma"/>
          <w:b/>
        </w:rPr>
      </w:pPr>
      <w:r w:rsidRPr="00382EF7">
        <w:rPr>
          <w:rFonts w:eastAsia="Batang" w:cs="Tahoma"/>
          <w:b/>
          <w:bCs/>
        </w:rPr>
        <w:t xml:space="preserve">b) Admisión del </w:t>
      </w:r>
      <w:r w:rsidRPr="00382EF7">
        <w:rPr>
          <w:rFonts w:cs="Tahoma"/>
          <w:b/>
        </w:rPr>
        <w:t>Recurso de Revisión</w:t>
      </w:r>
      <w:r w:rsidRPr="00382EF7">
        <w:rPr>
          <w:rFonts w:eastAsia="Batang" w:cs="Tahoma"/>
          <w:b/>
          <w:bCs/>
        </w:rPr>
        <w:t xml:space="preserve">. </w:t>
      </w:r>
      <w:r w:rsidRPr="00382EF7" w:rsidR="008E6FE9">
        <w:rPr>
          <w:rFonts w:eastAsia="Batang" w:cs="Tahoma"/>
          <w:bCs/>
        </w:rPr>
        <w:t>Trece de septiembre</w:t>
      </w:r>
      <w:r w:rsidRPr="00382EF7">
        <w:rPr>
          <w:rFonts w:eastAsia="Batang" w:cs="Tahoma"/>
          <w:bCs/>
        </w:rPr>
        <w:t xml:space="preserve"> de dos mil veintidós, se acordó la admisión de</w:t>
      </w:r>
      <w:r w:rsidRPr="00382EF7" w:rsidR="002C430A">
        <w:rPr>
          <w:rFonts w:eastAsia="Batang" w:cs="Tahoma"/>
          <w:bCs/>
        </w:rPr>
        <w:t xml:space="preserve"> </w:t>
      </w:r>
      <w:r w:rsidRPr="00382EF7">
        <w:rPr>
          <w:rFonts w:eastAsia="Batang" w:cs="Tahoma"/>
          <w:bCs/>
        </w:rPr>
        <w:t>l</w:t>
      </w:r>
      <w:r w:rsidRPr="00382EF7" w:rsidR="002C430A">
        <w:rPr>
          <w:rFonts w:eastAsia="Batang" w:cs="Tahoma"/>
          <w:bCs/>
        </w:rPr>
        <w:t>os</w:t>
      </w:r>
      <w:r w:rsidRPr="00382EF7">
        <w:rPr>
          <w:rFonts w:eastAsia="Batang" w:cs="Tahoma"/>
          <w:bCs/>
        </w:rPr>
        <w:t xml:space="preserve"> Recurso</w:t>
      </w:r>
      <w:r w:rsidRPr="00382EF7" w:rsidR="002C430A">
        <w:rPr>
          <w:rFonts w:eastAsia="Batang" w:cs="Tahoma"/>
          <w:bCs/>
        </w:rPr>
        <w:t>s</w:t>
      </w:r>
      <w:r w:rsidRPr="00382EF7">
        <w:rPr>
          <w:rFonts w:eastAsia="Batang" w:cs="Tahoma"/>
          <w:bCs/>
        </w:rPr>
        <w:t xml:space="preserve"> de Revisión interpuesto</w:t>
      </w:r>
      <w:r w:rsidRPr="00382EF7" w:rsidR="002C430A">
        <w:rPr>
          <w:rFonts w:eastAsia="Batang" w:cs="Tahoma"/>
          <w:bCs/>
        </w:rPr>
        <w:t>s</w:t>
      </w:r>
      <w:r w:rsidRPr="00382EF7">
        <w:rPr>
          <w:rFonts w:eastAsia="Batang" w:cs="Tahoma"/>
          <w:bCs/>
        </w:rPr>
        <w:t xml:space="preserve"> por el Recurrente en contra del Sujeto Obligado, en términos del artículo 185, fracciones I y II de la Ley de Transparencia y Acceso a la Información Pública del Estado de México y Municipios, l</w:t>
      </w:r>
      <w:r w:rsidRPr="00382EF7" w:rsidR="002C430A">
        <w:rPr>
          <w:rFonts w:eastAsia="Batang" w:cs="Tahoma"/>
          <w:bCs/>
        </w:rPr>
        <w:t>os</w:t>
      </w:r>
      <w:r w:rsidRPr="00382EF7">
        <w:rPr>
          <w:rFonts w:eastAsia="Batang" w:cs="Tahoma"/>
          <w:bCs/>
        </w:rPr>
        <w:t xml:space="preserve"> cual</w:t>
      </w:r>
      <w:r w:rsidRPr="00382EF7" w:rsidR="002C430A">
        <w:rPr>
          <w:rFonts w:eastAsia="Batang" w:cs="Tahoma"/>
          <w:bCs/>
        </w:rPr>
        <w:t>es</w:t>
      </w:r>
      <w:r w:rsidRPr="00382EF7">
        <w:rPr>
          <w:rFonts w:eastAsia="Batang" w:cs="Tahoma"/>
          <w:bCs/>
        </w:rPr>
        <w:t xml:space="preserve"> </w:t>
      </w:r>
      <w:r w:rsidRPr="00382EF7" w:rsidR="002C430A">
        <w:rPr>
          <w:rFonts w:eastAsia="Batang" w:cs="Tahoma"/>
          <w:bCs/>
        </w:rPr>
        <w:t xml:space="preserve"> </w:t>
      </w:r>
      <w:r w:rsidRPr="00382EF7">
        <w:rPr>
          <w:rFonts w:eastAsia="Batang" w:cs="Tahoma"/>
          <w:bCs/>
        </w:rPr>
        <w:t>fue</w:t>
      </w:r>
      <w:r w:rsidRPr="00382EF7" w:rsidR="002C430A">
        <w:rPr>
          <w:rFonts w:eastAsia="Batang" w:cs="Tahoma"/>
          <w:bCs/>
        </w:rPr>
        <w:t>ron debidamente</w:t>
      </w:r>
      <w:r w:rsidRPr="00382EF7">
        <w:rPr>
          <w:rFonts w:eastAsia="Batang" w:cs="Tahoma"/>
          <w:bCs/>
        </w:rPr>
        <w:t xml:space="preserve"> notificado</w:t>
      </w:r>
      <w:r w:rsidRPr="00382EF7" w:rsidR="002C430A">
        <w:rPr>
          <w:rFonts w:eastAsia="Batang" w:cs="Tahoma"/>
          <w:bCs/>
        </w:rPr>
        <w:t>s</w:t>
      </w:r>
      <w:r w:rsidRPr="00382EF7">
        <w:rPr>
          <w:rFonts w:eastAsia="Batang" w:cs="Tahoma"/>
          <w:bCs/>
        </w:rPr>
        <w:t xml:space="preserve"> a las partes, a través del Sistema de Acceso a la Información Mexiquense (SAIMEX), en el que se les otorgó un plazo de siete días hábiles posteriores a la misma, para que manifestaran lo que a su derecho conviniera y formularan alegatos. </w:t>
      </w:r>
    </w:p>
    <w:p w:rsidRPr="00382EF7" w:rsidR="00BE54AC" w:rsidP="006935C8" w:rsidRDefault="00BE54AC" w14:paraId="25147821" w14:textId="77777777">
      <w:pPr>
        <w:spacing w:after="0" w:line="360" w:lineRule="auto"/>
        <w:contextualSpacing/>
        <w:rPr>
          <w:rFonts w:cs="Tahoma"/>
          <w:bCs/>
        </w:rPr>
      </w:pPr>
    </w:p>
    <w:p w:rsidRPr="00382EF7" w:rsidR="00BE54AC" w:rsidP="006935C8" w:rsidRDefault="00BE54AC" w14:paraId="1D51487B" w14:textId="77777777">
      <w:pPr>
        <w:spacing w:after="0" w:line="360" w:lineRule="auto"/>
        <w:contextualSpacing/>
        <w:rPr>
          <w:rFonts w:cs="Tahoma"/>
          <w:bCs/>
        </w:rPr>
      </w:pPr>
      <w:r w:rsidRPr="00382EF7">
        <w:rPr>
          <w:rFonts w:cs="Tahoma"/>
          <w:b/>
        </w:rPr>
        <w:t xml:space="preserve">c) </w:t>
      </w:r>
      <w:r w:rsidRPr="00382EF7">
        <w:rPr>
          <w:rFonts w:eastAsia="Batang" w:cs="Tahoma"/>
          <w:b/>
          <w:bCs/>
        </w:rPr>
        <w:t>Informe Justificado o manifestaciones</w:t>
      </w:r>
      <w:r w:rsidRPr="00382EF7">
        <w:rPr>
          <w:b/>
        </w:rPr>
        <w:t xml:space="preserve">. </w:t>
      </w:r>
      <w:bookmarkStart w:name="_Hlk84950917" w:id="0"/>
      <w:r w:rsidRPr="00382EF7">
        <w:rPr>
          <w:bCs/>
        </w:rPr>
        <w:t>Las partes fueron omisas en emitir manifestaciones o alegatos.</w:t>
      </w:r>
      <w:bookmarkEnd w:id="0"/>
    </w:p>
    <w:p w:rsidRPr="00382EF7" w:rsidR="00BE54AC" w:rsidP="006935C8" w:rsidRDefault="00BE54AC" w14:paraId="52565CE4" w14:textId="77777777">
      <w:pPr>
        <w:spacing w:after="0" w:line="360" w:lineRule="auto"/>
        <w:contextualSpacing/>
        <w:rPr>
          <w:rFonts w:eastAsia="Palatino Linotype" w:cs="Palatino Linotype"/>
          <w:b/>
          <w:bCs/>
        </w:rPr>
      </w:pPr>
    </w:p>
    <w:p w:rsidRPr="00382EF7" w:rsidR="002E3E3C" w:rsidP="006935C8" w:rsidRDefault="00BE54AC" w14:paraId="1ADA4AED" w14:textId="4902518D">
      <w:pPr>
        <w:spacing w:after="0" w:line="360" w:lineRule="auto"/>
        <w:contextualSpacing/>
        <w:rPr>
          <w:rFonts w:cs="Tahoma"/>
          <w:b/>
          <w:lang w:val="es-ES_tradnl"/>
        </w:rPr>
      </w:pPr>
      <w:r w:rsidRPr="00382EF7">
        <w:rPr>
          <w:rFonts w:eastAsia="Palatino Linotype" w:cs="Palatino Linotype"/>
          <w:b/>
          <w:bCs/>
        </w:rPr>
        <w:t>d)</w:t>
      </w:r>
      <w:r w:rsidRPr="00382EF7" w:rsidR="002E3E3C">
        <w:rPr>
          <w:rFonts w:eastAsia="Palatino Linotype" w:cs="Palatino Linotype"/>
          <w:b/>
          <w:bCs/>
        </w:rPr>
        <w:t xml:space="preserve"> </w:t>
      </w:r>
      <w:r w:rsidRPr="00382EF7" w:rsidR="002E3E3C">
        <w:rPr>
          <w:rFonts w:eastAsia="Times New Roman" w:cs="Tahoma"/>
          <w:b/>
          <w:color w:val="auto"/>
          <w:lang w:eastAsia="es-ES"/>
        </w:rPr>
        <w:t xml:space="preserve">Acumulación de los asuntos. </w:t>
      </w:r>
      <w:r w:rsidRPr="00382EF7" w:rsidR="002E3E3C">
        <w:rPr>
          <w:rFonts w:eastAsia="Times New Roman" w:cs="Tahoma"/>
          <w:color w:val="auto"/>
          <w:lang w:eastAsia="es-ES"/>
        </w:rPr>
        <w:t>El</w:t>
      </w:r>
      <w:r w:rsidRPr="00382EF7" w:rsidR="002E3E3C">
        <w:rPr>
          <w:rFonts w:eastAsia="Times New Roman" w:cs="Tahoma"/>
          <w:b/>
          <w:color w:val="auto"/>
          <w:lang w:eastAsia="es-ES"/>
        </w:rPr>
        <w:t xml:space="preserve"> </w:t>
      </w:r>
      <w:r w:rsidRPr="00382EF7" w:rsidR="002E3E3C">
        <w:rPr>
          <w:rFonts w:eastAsia="Times New Roman" w:cs="Tahoma"/>
          <w:bCs/>
          <w:color w:val="auto"/>
          <w:lang w:eastAsia="es-ES"/>
        </w:rPr>
        <w:t xml:space="preserve">veintiuno de septiembre de dos mil veintidós, el Pleno del Instituto de Transparencia, Acceso a la Información Pública y Protección de Datos Personales del Estado de México y Municipios, durante la Trigésima Cuarta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w:t>
      </w:r>
      <w:r w:rsidRPr="00382EF7" w:rsidR="002E3E3C">
        <w:rPr>
          <w:rFonts w:eastAsia="Times New Roman" w:cs="Tahoma"/>
          <w:bCs/>
          <w:color w:val="auto"/>
          <w:lang w:eastAsia="es-ES"/>
        </w:rPr>
        <w:lastRenderedPageBreak/>
        <w:t xml:space="preserve">del Estado de México y Municipios, según lo previsto en su artículo 195, </w:t>
      </w:r>
      <w:r w:rsidRPr="00382EF7" w:rsidR="002E3E3C">
        <w:rPr>
          <w:rFonts w:eastAsia="Times New Roman" w:cs="Tahoma"/>
          <w:b/>
          <w:bCs/>
          <w:color w:val="auto"/>
          <w:lang w:eastAsia="es-ES"/>
        </w:rPr>
        <w:t>acordó</w:t>
      </w:r>
      <w:r w:rsidRPr="00382EF7" w:rsidR="002E3E3C">
        <w:rPr>
          <w:rFonts w:eastAsia="Times New Roman" w:cs="Tahoma"/>
          <w:bCs/>
          <w:color w:val="auto"/>
          <w:lang w:eastAsia="es-ES"/>
        </w:rPr>
        <w:t xml:space="preserve"> la acumulación del Recurso de Revisión </w:t>
      </w:r>
      <w:r w:rsidRPr="00382EF7" w:rsidR="002E3E3C">
        <w:rPr>
          <w:bCs/>
        </w:rPr>
        <w:t>14589</w:t>
      </w:r>
      <w:r w:rsidRPr="00382EF7" w:rsidR="002E3E3C">
        <w:t xml:space="preserve">/INFOEM/IP/RR/2022 </w:t>
      </w:r>
      <w:r w:rsidRPr="00382EF7" w:rsidR="002E3E3C">
        <w:rPr>
          <w:rFonts w:eastAsia="Times New Roman" w:cs="Tahoma"/>
          <w:color w:val="auto"/>
          <w:lang w:eastAsia="es-ES"/>
        </w:rPr>
        <w:t>al</w:t>
      </w:r>
      <w:r w:rsidRPr="00382EF7" w:rsidR="002E3E3C">
        <w:rPr>
          <w:rFonts w:eastAsia="Times New Roman" w:cs="Tahoma"/>
          <w:bCs/>
          <w:color w:val="auto"/>
          <w:lang w:eastAsia="es-ES"/>
        </w:rPr>
        <w:t xml:space="preserve"> diverso </w:t>
      </w:r>
      <w:r w:rsidRPr="00382EF7" w:rsidR="002E3E3C">
        <w:rPr>
          <w:bCs/>
        </w:rPr>
        <w:t>14531/INFOEM/IP/RR/2022,</w:t>
      </w:r>
      <w:r w:rsidRPr="00382EF7" w:rsidR="002E3E3C">
        <w:rPr>
          <w:b/>
          <w:bCs/>
        </w:rPr>
        <w:t xml:space="preserve"> </w:t>
      </w:r>
      <w:r w:rsidRPr="00382EF7" w:rsidR="002E3E3C">
        <w:rPr>
          <w:rFonts w:eastAsia="Times New Roman" w:cs="Tahoma"/>
          <w:bCs/>
          <w:color w:val="auto"/>
          <w:lang w:eastAsia="es-ES"/>
        </w:rPr>
        <w:t>por ser este último el más antiguo, sustanciado bajo el índice de esta Ponencia.</w:t>
      </w:r>
    </w:p>
    <w:p w:rsidRPr="00382EF7" w:rsidR="002E3E3C" w:rsidP="006935C8" w:rsidRDefault="002E3E3C" w14:paraId="1C238F4D" w14:textId="43792989">
      <w:pPr>
        <w:spacing w:after="0" w:line="360" w:lineRule="auto"/>
        <w:contextualSpacing/>
        <w:rPr>
          <w:rFonts w:eastAsia="Palatino Linotype" w:cs="Palatino Linotype"/>
          <w:b/>
          <w:bCs/>
        </w:rPr>
      </w:pPr>
    </w:p>
    <w:p w:rsidRPr="00382EF7" w:rsidR="00BE54AC" w:rsidP="006935C8" w:rsidRDefault="002E3E3C" w14:paraId="5636783C" w14:textId="241332B0">
      <w:pPr>
        <w:spacing w:after="0" w:line="360" w:lineRule="auto"/>
        <w:contextualSpacing/>
        <w:rPr>
          <w:rFonts w:eastAsia="Palatino Linotype" w:cs="Palatino Linotype"/>
        </w:rPr>
      </w:pPr>
      <w:r w:rsidRPr="00382EF7">
        <w:rPr>
          <w:rFonts w:eastAsia="Palatino Linotype" w:cs="Palatino Linotype"/>
          <w:b/>
          <w:bCs/>
        </w:rPr>
        <w:t xml:space="preserve">e) </w:t>
      </w:r>
      <w:r w:rsidRPr="00382EF7" w:rsidR="00BE54AC">
        <w:rPr>
          <w:rFonts w:eastAsia="Palatino Linotype" w:cs="Palatino Linotype"/>
          <w:b/>
          <w:bCs/>
        </w:rPr>
        <w:t xml:space="preserve">Ampliación de plazo para resolver. </w:t>
      </w:r>
      <w:r w:rsidRPr="00382EF7" w:rsidR="00BE54AC">
        <w:rPr>
          <w:rFonts w:eastAsia="Palatino Linotype" w:cs="Palatino Linotype"/>
        </w:rPr>
        <w:t xml:space="preserve">El </w:t>
      </w:r>
      <w:r w:rsidRPr="00382EF7" w:rsidR="008E6FE9">
        <w:rPr>
          <w:rFonts w:eastAsia="Palatino Linotype" w:cs="Palatino Linotype"/>
        </w:rPr>
        <w:t>veintiséis de octubre</w:t>
      </w:r>
      <w:r w:rsidRPr="00382EF7" w:rsidR="00BE54AC">
        <w:rPr>
          <w:rFonts w:eastAsia="Palatino Linotype" w:cs="Palatino Linotype"/>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l</w:t>
      </w:r>
      <w:r w:rsidRPr="00382EF7" w:rsidR="002C430A">
        <w:rPr>
          <w:rFonts w:eastAsia="Palatino Linotype" w:cs="Palatino Linotype"/>
        </w:rPr>
        <w:t>os</w:t>
      </w:r>
      <w:r w:rsidRPr="00382EF7" w:rsidR="00BE54AC">
        <w:rPr>
          <w:rFonts w:eastAsia="Palatino Linotype" w:cs="Palatino Linotype"/>
        </w:rPr>
        <w:t xml:space="preserve"> Recurso</w:t>
      </w:r>
      <w:r w:rsidRPr="00382EF7" w:rsidR="002C430A">
        <w:rPr>
          <w:rFonts w:eastAsia="Palatino Linotype" w:cs="Palatino Linotype"/>
        </w:rPr>
        <w:t>s</w:t>
      </w:r>
      <w:r w:rsidRPr="00382EF7" w:rsidR="00BE54AC">
        <w:rPr>
          <w:rFonts w:eastAsia="Palatino Linotype" w:cs="Palatino Linotype"/>
        </w:rPr>
        <w:t xml:space="preserve"> de Revisión que nos ocupa; acto que fue notificado a las partes, mediante el Sistema de Acceso a la Información Mexiquense (SAIMEX).</w:t>
      </w:r>
    </w:p>
    <w:p w:rsidRPr="00382EF7" w:rsidR="002E3E3C" w:rsidP="006935C8" w:rsidRDefault="002E3E3C" w14:paraId="0F0C5B76" w14:textId="681D75C3">
      <w:pPr>
        <w:spacing w:after="0" w:line="360" w:lineRule="auto"/>
        <w:contextualSpacing/>
        <w:rPr>
          <w:rFonts w:eastAsia="Palatino Linotype" w:cs="Palatino Linotype"/>
        </w:rPr>
      </w:pPr>
    </w:p>
    <w:p w:rsidRPr="00382EF7" w:rsidR="002E3E3C" w:rsidP="006935C8" w:rsidRDefault="002E3E3C" w14:paraId="0482EA85" w14:textId="77777777">
      <w:pPr>
        <w:spacing w:after="0" w:line="360" w:lineRule="auto"/>
        <w:contextualSpacing/>
        <w:rPr>
          <w:rFonts w:cs="Tahoma"/>
        </w:rPr>
      </w:pPr>
      <w:r w:rsidRPr="00382EF7">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82EF7" w:rsidR="002E3E3C" w:rsidP="006935C8" w:rsidRDefault="002E3E3C" w14:paraId="2D6BAE49" w14:textId="77777777">
      <w:pPr>
        <w:spacing w:after="0" w:line="360" w:lineRule="auto"/>
        <w:contextualSpacing/>
        <w:rPr>
          <w:rFonts w:cs="Tahoma"/>
        </w:rPr>
      </w:pPr>
    </w:p>
    <w:p w:rsidRPr="00382EF7" w:rsidR="002E3E3C" w:rsidP="006935C8" w:rsidRDefault="002E3E3C" w14:paraId="1709E251" w14:textId="77777777">
      <w:pPr>
        <w:spacing w:after="0" w:line="360" w:lineRule="auto"/>
        <w:contextualSpacing/>
        <w:rPr>
          <w:rFonts w:cs="Tahoma"/>
        </w:rPr>
      </w:pPr>
      <w:r w:rsidRPr="00382EF7">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382EF7" w:rsidR="002E3E3C" w:rsidP="006935C8" w:rsidRDefault="002E3E3C" w14:paraId="713BEEF3" w14:textId="77777777">
      <w:pPr>
        <w:spacing w:after="0" w:line="360" w:lineRule="auto"/>
        <w:contextualSpacing/>
        <w:rPr>
          <w:rFonts w:cs="Tahoma"/>
        </w:rPr>
      </w:pPr>
    </w:p>
    <w:p w:rsidRPr="00382EF7" w:rsidR="002E3E3C" w:rsidP="006935C8" w:rsidRDefault="002E3E3C" w14:paraId="234AE2F4" w14:textId="77777777">
      <w:pPr>
        <w:spacing w:after="0" w:line="360" w:lineRule="auto"/>
        <w:contextualSpacing/>
        <w:rPr>
          <w:rFonts w:cs="Tahoma"/>
        </w:rPr>
      </w:pPr>
      <w:r w:rsidRPr="00382EF7">
        <w:rPr>
          <w:rFonts w:cs="Tahoma"/>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382EF7">
        <w:rPr>
          <w:rFonts w:cs="Tahoma"/>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382EF7" w:rsidR="002E3E3C" w:rsidP="006935C8" w:rsidRDefault="002E3E3C" w14:paraId="0AF17C17" w14:textId="77777777">
      <w:pPr>
        <w:spacing w:after="0" w:line="360" w:lineRule="auto"/>
        <w:contextualSpacing/>
        <w:rPr>
          <w:rFonts w:cs="Tahoma"/>
        </w:rPr>
      </w:pPr>
      <w:r w:rsidRPr="00382EF7">
        <w:rPr>
          <w:rFonts w:cs="Tahoma"/>
        </w:rPr>
        <w:t xml:space="preserve"> </w:t>
      </w:r>
    </w:p>
    <w:p w:rsidRPr="00382EF7" w:rsidR="002E3E3C" w:rsidP="006935C8" w:rsidRDefault="002E3E3C" w14:paraId="6D3242D6" w14:textId="77777777">
      <w:pPr>
        <w:spacing w:after="0" w:line="360" w:lineRule="auto"/>
        <w:contextualSpacing/>
        <w:rPr>
          <w:rFonts w:eastAsia="Calibri" w:cs="Tahoma"/>
          <w:bCs/>
        </w:rPr>
      </w:pPr>
      <w:r w:rsidRPr="00382EF7">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382EF7" w:rsidR="002E3E3C" w:rsidP="006935C8" w:rsidRDefault="002E3E3C" w14:paraId="3C3B0CB2" w14:textId="77777777">
      <w:pPr>
        <w:spacing w:after="0" w:line="360" w:lineRule="auto"/>
        <w:contextualSpacing/>
        <w:rPr>
          <w:rFonts w:eastAsia="Calibri" w:cs="Tahoma"/>
          <w:bCs/>
        </w:rPr>
      </w:pPr>
      <w:r w:rsidRPr="00382EF7">
        <w:rPr>
          <w:rFonts w:eastAsia="Calibri" w:cs="Tahoma"/>
          <w:bCs/>
        </w:rPr>
        <w:t xml:space="preserve"> </w:t>
      </w:r>
    </w:p>
    <w:p w:rsidRPr="00382EF7" w:rsidR="002E3E3C" w:rsidP="006935C8" w:rsidRDefault="002E3E3C" w14:paraId="4062D35E" w14:textId="77777777">
      <w:pPr>
        <w:numPr>
          <w:ilvl w:val="0"/>
          <w:numId w:val="10"/>
        </w:numPr>
        <w:spacing w:after="0" w:line="360" w:lineRule="auto"/>
        <w:contextualSpacing/>
        <w:rPr>
          <w:rFonts w:eastAsia="Palatino Linotype" w:cs="Palatino Linotype"/>
          <w:szCs w:val="24"/>
          <w:lang w:eastAsia="es-ES"/>
        </w:rPr>
      </w:pPr>
      <w:r w:rsidRPr="00382EF7">
        <w:rPr>
          <w:rFonts w:eastAsia="Palatino Linotype" w:cs="Palatino Linotype"/>
          <w:b/>
          <w:bCs/>
          <w:szCs w:val="24"/>
          <w:lang w:eastAsia="es-ES"/>
        </w:rPr>
        <w:t>Complejidad del asunto:</w:t>
      </w:r>
      <w:r w:rsidRPr="00382EF7">
        <w:rPr>
          <w:rFonts w:eastAsia="Palatino Linotype" w:cs="Palatino Linotype"/>
          <w:szCs w:val="24"/>
          <w:lang w:eastAsia="es-ES"/>
        </w:rPr>
        <w:t xml:space="preserve"> La complejidad de la prueba, la pluralidad de sujetos procesales, el tiempo transcurrido, las características y contexto del recurso.</w:t>
      </w:r>
    </w:p>
    <w:p w:rsidRPr="00382EF7" w:rsidR="002E3E3C" w:rsidP="006935C8" w:rsidRDefault="002E3E3C" w14:paraId="2A539AA9" w14:textId="77777777">
      <w:pPr>
        <w:spacing w:after="0" w:line="360" w:lineRule="auto"/>
        <w:ind w:left="720"/>
        <w:contextualSpacing/>
        <w:rPr>
          <w:rFonts w:eastAsia="Palatino Linotype" w:cs="Palatino Linotype"/>
          <w:szCs w:val="24"/>
          <w:lang w:eastAsia="es-ES"/>
        </w:rPr>
      </w:pPr>
    </w:p>
    <w:p w:rsidRPr="00382EF7" w:rsidR="002E3E3C" w:rsidP="006935C8" w:rsidRDefault="002E3E3C" w14:paraId="6461133E" w14:textId="77777777">
      <w:pPr>
        <w:numPr>
          <w:ilvl w:val="0"/>
          <w:numId w:val="10"/>
        </w:numPr>
        <w:spacing w:after="0" w:line="360" w:lineRule="auto"/>
        <w:contextualSpacing/>
        <w:rPr>
          <w:rFonts w:eastAsia="Palatino Linotype" w:cs="Palatino Linotype"/>
          <w:szCs w:val="24"/>
          <w:lang w:eastAsia="es-ES"/>
        </w:rPr>
      </w:pPr>
      <w:r w:rsidRPr="00382EF7">
        <w:rPr>
          <w:rFonts w:eastAsia="Palatino Linotype" w:cs="Palatino Linotype"/>
          <w:b/>
          <w:bCs/>
          <w:szCs w:val="24"/>
          <w:lang w:eastAsia="es-ES"/>
        </w:rPr>
        <w:t>Actividad Procesal del interesado:</w:t>
      </w:r>
      <w:r w:rsidRPr="00382EF7">
        <w:rPr>
          <w:rFonts w:eastAsia="Palatino Linotype" w:cs="Palatino Linotype"/>
          <w:szCs w:val="24"/>
          <w:lang w:eastAsia="es-ES"/>
        </w:rPr>
        <w:t xml:space="preserve"> Acciones u omisiones del interesado.</w:t>
      </w:r>
    </w:p>
    <w:p w:rsidRPr="00382EF7" w:rsidR="002E3E3C" w:rsidP="006935C8" w:rsidRDefault="002E3E3C" w14:paraId="7B2C2728" w14:textId="77777777">
      <w:pPr>
        <w:spacing w:after="0" w:line="360" w:lineRule="auto"/>
        <w:ind w:left="720"/>
        <w:contextualSpacing/>
        <w:rPr>
          <w:rFonts w:eastAsia="Palatino Linotype" w:cs="Palatino Linotype"/>
          <w:szCs w:val="24"/>
          <w:lang w:eastAsia="es-ES"/>
        </w:rPr>
      </w:pPr>
    </w:p>
    <w:p w:rsidRPr="00382EF7" w:rsidR="002E3E3C" w:rsidP="006935C8" w:rsidRDefault="002E3E3C" w14:paraId="67E7307A" w14:textId="77777777">
      <w:pPr>
        <w:numPr>
          <w:ilvl w:val="0"/>
          <w:numId w:val="10"/>
        </w:numPr>
        <w:spacing w:after="0" w:line="360" w:lineRule="auto"/>
        <w:contextualSpacing/>
        <w:rPr>
          <w:rFonts w:eastAsia="Palatino Linotype" w:cs="Palatino Linotype"/>
          <w:szCs w:val="24"/>
          <w:lang w:eastAsia="es-ES"/>
        </w:rPr>
      </w:pPr>
      <w:r w:rsidRPr="00382EF7">
        <w:rPr>
          <w:rFonts w:eastAsia="Palatino Linotype" w:cs="Palatino Linotype"/>
          <w:b/>
          <w:bCs/>
          <w:szCs w:val="24"/>
          <w:lang w:eastAsia="es-ES"/>
        </w:rPr>
        <w:t>Conducta de la Autoridad:</w:t>
      </w:r>
      <w:r w:rsidRPr="00382EF7">
        <w:rPr>
          <w:rFonts w:eastAsia="Palatino Linotype" w:cs="Palatino Linotype"/>
          <w:szCs w:val="24"/>
          <w:lang w:eastAsia="es-ES"/>
        </w:rPr>
        <w:t xml:space="preserve"> Las Acciones u omisiones realizadas en el procedimiento. Así como si la autoridad actuó con la debida diligencia.</w:t>
      </w:r>
    </w:p>
    <w:p w:rsidRPr="00382EF7" w:rsidR="002E3E3C" w:rsidP="006935C8" w:rsidRDefault="002E3E3C" w14:paraId="2B3B9768" w14:textId="77777777">
      <w:pPr>
        <w:spacing w:after="0" w:line="360" w:lineRule="auto"/>
        <w:ind w:left="720"/>
        <w:contextualSpacing/>
        <w:rPr>
          <w:rFonts w:eastAsia="Palatino Linotype" w:cs="Palatino Linotype"/>
          <w:szCs w:val="24"/>
          <w:lang w:eastAsia="es-ES"/>
        </w:rPr>
      </w:pPr>
    </w:p>
    <w:p w:rsidRPr="00382EF7" w:rsidR="002E3E3C" w:rsidP="006935C8" w:rsidRDefault="002E3E3C" w14:paraId="282C3784" w14:textId="77777777">
      <w:pPr>
        <w:numPr>
          <w:ilvl w:val="0"/>
          <w:numId w:val="10"/>
        </w:numPr>
        <w:spacing w:after="0" w:line="360" w:lineRule="auto"/>
        <w:contextualSpacing/>
        <w:rPr>
          <w:rFonts w:eastAsia="Palatino Linotype" w:cs="Palatino Linotype"/>
          <w:szCs w:val="24"/>
          <w:lang w:eastAsia="es-ES"/>
        </w:rPr>
      </w:pPr>
      <w:r w:rsidRPr="00382EF7">
        <w:rPr>
          <w:rFonts w:eastAsia="Palatino Linotype" w:cs="Palatino Linotype"/>
          <w:b/>
          <w:bCs/>
          <w:szCs w:val="24"/>
          <w:lang w:eastAsia="es-ES"/>
        </w:rPr>
        <w:t xml:space="preserve">La afectación generada en la situación jurídica de la persona involucrada en el proceso: </w:t>
      </w:r>
      <w:r w:rsidRPr="00382EF7">
        <w:rPr>
          <w:rFonts w:eastAsia="Palatino Linotype" w:cs="Palatino Linotype"/>
          <w:szCs w:val="24"/>
          <w:lang w:eastAsia="es-ES"/>
        </w:rPr>
        <w:t>Violación a sus derechos humanos.</w:t>
      </w:r>
    </w:p>
    <w:p w:rsidRPr="00382EF7" w:rsidR="002E3E3C" w:rsidP="006935C8" w:rsidRDefault="002E3E3C" w14:paraId="435A8869" w14:textId="77777777">
      <w:pPr>
        <w:spacing w:after="0" w:line="360" w:lineRule="auto"/>
        <w:contextualSpacing/>
        <w:rPr>
          <w:rFonts w:eastAsia="Calibri" w:cs="Tahoma"/>
          <w:bCs/>
        </w:rPr>
      </w:pPr>
    </w:p>
    <w:p w:rsidRPr="00382EF7" w:rsidR="002E3E3C" w:rsidP="006935C8" w:rsidRDefault="002E3E3C" w14:paraId="03300C99" w14:textId="77777777">
      <w:pPr>
        <w:spacing w:after="0" w:line="360" w:lineRule="auto"/>
        <w:contextualSpacing/>
        <w:rPr>
          <w:rFonts w:eastAsia="Calibri" w:cs="Tahoma"/>
          <w:bCs/>
        </w:rPr>
      </w:pPr>
      <w:r w:rsidRPr="00382EF7">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382EF7" w:rsidR="002E3E3C" w:rsidP="006935C8" w:rsidRDefault="002E3E3C" w14:paraId="65600500" w14:textId="77777777">
      <w:pPr>
        <w:spacing w:after="0" w:line="360" w:lineRule="auto"/>
        <w:contextualSpacing/>
        <w:rPr>
          <w:rFonts w:eastAsia="Calibri" w:cs="Tahoma"/>
          <w:bCs/>
        </w:rPr>
      </w:pPr>
      <w:r w:rsidRPr="00382EF7">
        <w:rPr>
          <w:rFonts w:eastAsia="Calibri" w:cs="Tahoma"/>
          <w:bCs/>
        </w:rPr>
        <w:t xml:space="preserve"> </w:t>
      </w:r>
    </w:p>
    <w:p w:rsidRPr="00382EF7" w:rsidR="002E3E3C" w:rsidP="006935C8" w:rsidRDefault="002E3E3C" w14:paraId="2FACAC6B" w14:textId="77777777">
      <w:pPr>
        <w:spacing w:after="0" w:line="360" w:lineRule="auto"/>
        <w:contextualSpacing/>
        <w:rPr>
          <w:rFonts w:eastAsia="Calibri" w:cs="Tahoma"/>
          <w:bCs/>
        </w:rPr>
      </w:pPr>
      <w:r w:rsidRPr="00382EF7">
        <w:rPr>
          <w:rFonts w:eastAsia="Calibri" w:cs="Tahoma"/>
          <w:bCs/>
        </w:rPr>
        <w:lastRenderedPageBreak/>
        <w:t xml:space="preserve">Argumento que encuentra sustento en la jurisprudencia P./J. 32/92 emitida por el Pleno de la Suprema Corte de Justicia de la Nación de rubro </w:t>
      </w:r>
      <w:r w:rsidRPr="00382EF7">
        <w:rPr>
          <w:rFonts w:eastAsia="Calibri" w:cs="Tahoma"/>
          <w:b/>
        </w:rPr>
        <w:t>“TÉRMINOS PROCESALES. PARA DETERMINAR SI UN FUNCIONARIO JUDICIAL ACTUÓ INDEBIDAMENTE POR NO RESPETARLOS SE DEBE ATENDER AL PRESUPUESTO QUE CONSIDERÓ EL LEGISLADOR AL FIJARLOS Y LAS CARACTERÍSTICAS DEL CASO.”</w:t>
      </w:r>
      <w:r w:rsidRPr="00382EF7">
        <w:rPr>
          <w:rFonts w:eastAsia="Calibri" w:cs="Tahoma"/>
          <w:bCs/>
        </w:rPr>
        <w:t>, visible en la Gaceta del Seminario Judicial de la Federación con el registro digital 205635.</w:t>
      </w:r>
    </w:p>
    <w:p w:rsidRPr="00382EF7" w:rsidR="002E3E3C" w:rsidP="006935C8" w:rsidRDefault="002E3E3C" w14:paraId="0E5F4011" w14:textId="77777777">
      <w:pPr>
        <w:spacing w:after="0" w:line="360" w:lineRule="auto"/>
        <w:contextualSpacing/>
        <w:rPr>
          <w:rFonts w:eastAsia="Calibri" w:cs="Tahoma"/>
          <w:bCs/>
        </w:rPr>
      </w:pPr>
      <w:r w:rsidRPr="00382EF7">
        <w:rPr>
          <w:rFonts w:eastAsia="Calibri" w:cs="Tahoma"/>
          <w:bCs/>
        </w:rPr>
        <w:t xml:space="preserve"> </w:t>
      </w:r>
    </w:p>
    <w:p w:rsidRPr="00382EF7" w:rsidR="002E3E3C" w:rsidP="006935C8" w:rsidRDefault="002E3E3C" w14:paraId="772992AE" w14:textId="77777777">
      <w:pPr>
        <w:spacing w:after="0" w:line="360" w:lineRule="auto"/>
        <w:contextualSpacing/>
        <w:rPr>
          <w:rFonts w:eastAsia="Calibri" w:cs="Tahoma"/>
          <w:bCs/>
        </w:rPr>
      </w:pPr>
      <w:r w:rsidRPr="00382EF7">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82EF7" w:rsidR="002E3E3C" w:rsidP="006935C8" w:rsidRDefault="002E3E3C" w14:paraId="10ED1A7F" w14:textId="77777777">
      <w:pPr>
        <w:spacing w:after="0" w:line="360" w:lineRule="auto"/>
        <w:contextualSpacing/>
        <w:rPr>
          <w:rFonts w:eastAsia="Calibri" w:cs="Tahoma"/>
          <w:bCs/>
        </w:rPr>
      </w:pPr>
    </w:p>
    <w:p w:rsidRPr="00382EF7" w:rsidR="002E3E3C" w:rsidP="006935C8" w:rsidRDefault="002E3E3C" w14:paraId="731E2238" w14:textId="77777777">
      <w:pPr>
        <w:spacing w:after="0" w:line="360" w:lineRule="auto"/>
        <w:contextualSpacing/>
        <w:rPr>
          <w:rFonts w:eastAsia="Calibri" w:cs="Tahoma"/>
          <w:bCs/>
        </w:rPr>
      </w:pPr>
      <w:r w:rsidRPr="00382EF7">
        <w:rPr>
          <w:rFonts w:eastAsia="Calibri" w:cs="Tahoma"/>
          <w:bCs/>
        </w:rPr>
        <w:t>Al respecto, también son de considerar los criterios sostenidos por el Cuarto Tribunal Colegiado en Materia Administrativa del Primer Circuito, cuyos rubros y datos de identificación son los siguientes:</w:t>
      </w:r>
    </w:p>
    <w:p w:rsidRPr="00382EF7" w:rsidR="002E3E3C" w:rsidP="006935C8" w:rsidRDefault="002E3E3C" w14:paraId="6613C55D" w14:textId="77777777">
      <w:pPr>
        <w:spacing w:after="0" w:line="360" w:lineRule="auto"/>
        <w:contextualSpacing/>
        <w:rPr>
          <w:rFonts w:eastAsia="Calibri" w:cs="Tahoma"/>
          <w:bCs/>
        </w:rPr>
      </w:pPr>
      <w:r w:rsidRPr="00382EF7">
        <w:rPr>
          <w:rFonts w:eastAsia="Calibri" w:cs="Tahoma"/>
          <w:bCs/>
        </w:rPr>
        <w:t xml:space="preserve"> </w:t>
      </w:r>
    </w:p>
    <w:p w:rsidRPr="00382EF7" w:rsidR="002E3E3C" w:rsidP="006935C8" w:rsidRDefault="002E3E3C" w14:paraId="1F8766EA" w14:textId="77777777">
      <w:pPr>
        <w:spacing w:after="0" w:line="360" w:lineRule="auto"/>
        <w:contextualSpacing/>
        <w:rPr>
          <w:rFonts w:eastAsia="Calibri" w:cs="Tahoma"/>
          <w:bCs/>
        </w:rPr>
      </w:pPr>
      <w:r w:rsidRPr="00382EF7">
        <w:rPr>
          <w:rFonts w:eastAsia="Calibri" w:cs="Tahoma"/>
          <w:b/>
        </w:rPr>
        <w:t>“PLAZO RAZONABLE PARA RESOLVER. DIMENSIÓN Y EFECTOS DE ESTE CONCEPTO CUANDO SE ADUCE EXCESIVA CARGA DE TRABAJO.”</w:t>
      </w:r>
      <w:r w:rsidRPr="00382EF7">
        <w:rPr>
          <w:rFonts w:eastAsia="Calibri" w:cs="Tahoma"/>
          <w:bCs/>
        </w:rPr>
        <w:t xml:space="preserve"> consultable en el Seminario Judicial de la Federación y su gaceta, con el registro digital 2002351.</w:t>
      </w:r>
    </w:p>
    <w:p w:rsidRPr="00382EF7" w:rsidR="002E3E3C" w:rsidP="006935C8" w:rsidRDefault="002E3E3C" w14:paraId="2883E897" w14:textId="77777777">
      <w:pPr>
        <w:spacing w:after="0" w:line="360" w:lineRule="auto"/>
        <w:contextualSpacing/>
        <w:rPr>
          <w:rFonts w:eastAsia="Calibri" w:cs="Tahoma"/>
          <w:bCs/>
        </w:rPr>
      </w:pPr>
      <w:r w:rsidRPr="00382EF7">
        <w:rPr>
          <w:rFonts w:eastAsia="Calibri" w:cs="Tahoma"/>
          <w:bCs/>
        </w:rPr>
        <w:t xml:space="preserve"> </w:t>
      </w:r>
    </w:p>
    <w:p w:rsidRPr="00382EF7" w:rsidR="002E3E3C" w:rsidP="006935C8" w:rsidRDefault="002E3E3C" w14:paraId="677EAA91" w14:textId="77777777">
      <w:pPr>
        <w:spacing w:after="0" w:line="360" w:lineRule="auto"/>
        <w:contextualSpacing/>
        <w:rPr>
          <w:rFonts w:eastAsia="Calibri" w:cs="Tahoma"/>
          <w:bCs/>
        </w:rPr>
      </w:pPr>
      <w:r w:rsidRPr="00382EF7">
        <w:rPr>
          <w:rFonts w:eastAsia="Calibri" w:cs="Tahoma"/>
          <w:b/>
        </w:rPr>
        <w:t xml:space="preserve">“PLAZO RAZONABLE PARA RESOLVER. CONCEPTO Y ELEMENTOS QUE LO INTEGRAN A LA LUZ DEL DERECHO INTERNACIONAL DE LOS DERECHOS </w:t>
      </w:r>
      <w:r w:rsidRPr="00382EF7">
        <w:rPr>
          <w:rFonts w:eastAsia="Calibri" w:cs="Tahoma"/>
          <w:b/>
        </w:rPr>
        <w:lastRenderedPageBreak/>
        <w:t>HUMANOS.”</w:t>
      </w:r>
      <w:r w:rsidRPr="00382EF7">
        <w:rPr>
          <w:rFonts w:eastAsia="Calibri" w:cs="Tahoma"/>
          <w:bCs/>
        </w:rPr>
        <w:t>, visible en el Seminario Judicial de la Federación y su gaceta, con el registro digital 2002350.</w:t>
      </w:r>
    </w:p>
    <w:p w:rsidRPr="00382EF7" w:rsidR="002E3E3C" w:rsidP="006935C8" w:rsidRDefault="002E3E3C" w14:paraId="016261FC" w14:textId="77777777">
      <w:pPr>
        <w:spacing w:after="0" w:line="360" w:lineRule="auto"/>
        <w:contextualSpacing/>
        <w:rPr>
          <w:rFonts w:eastAsia="Calibri" w:cs="Tahoma"/>
          <w:bCs/>
        </w:rPr>
      </w:pPr>
    </w:p>
    <w:p w:rsidRPr="00382EF7" w:rsidR="002E3E3C" w:rsidP="006935C8" w:rsidRDefault="002E3E3C" w14:paraId="3655A3D7" w14:textId="77777777">
      <w:pPr>
        <w:spacing w:after="0" w:line="360" w:lineRule="auto"/>
        <w:contextualSpacing/>
        <w:rPr>
          <w:rFonts w:eastAsia="Calibri" w:cs="Tahoma"/>
          <w:bCs/>
        </w:rPr>
      </w:pPr>
      <w:r w:rsidRPr="00382EF7">
        <w:rPr>
          <w:rFonts w:eastAsia="Calibri" w:cs="Tahoma"/>
          <w:bCs/>
        </w:rPr>
        <w:t>Por ello, este organismo garante comprometido con la tutela de los derechos humanos confiados, señala que este exceso del plazo legal para resolver el presente asunto, resulta de carácter excepcional.</w:t>
      </w:r>
    </w:p>
    <w:p w:rsidRPr="00382EF7" w:rsidR="00BE54AC" w:rsidP="006935C8" w:rsidRDefault="00BE54AC" w14:paraId="02AF74BC" w14:textId="77777777">
      <w:pPr>
        <w:spacing w:after="0" w:line="360" w:lineRule="auto"/>
        <w:contextualSpacing/>
        <w:rPr>
          <w:rFonts w:eastAsia="Palatino Linotype" w:cs="Palatino Linotype"/>
        </w:rPr>
      </w:pPr>
    </w:p>
    <w:p w:rsidRPr="00382EF7" w:rsidR="00BE54AC" w:rsidP="006935C8" w:rsidRDefault="002E3E3C" w14:paraId="201E0918" w14:textId="4FD52736">
      <w:pPr>
        <w:spacing w:after="0" w:line="360" w:lineRule="auto"/>
        <w:contextualSpacing/>
        <w:rPr>
          <w:rFonts w:cs="Tahoma"/>
        </w:rPr>
      </w:pPr>
      <w:r w:rsidRPr="00382EF7">
        <w:rPr>
          <w:rFonts w:cs="Tahoma"/>
          <w:b/>
          <w:bCs/>
        </w:rPr>
        <w:t>f</w:t>
      </w:r>
      <w:r w:rsidRPr="00382EF7" w:rsidR="00BE54AC">
        <w:rPr>
          <w:rFonts w:cs="Tahoma"/>
          <w:b/>
          <w:bCs/>
        </w:rPr>
        <w:t>) Cierre de instrucción.</w:t>
      </w:r>
      <w:r w:rsidRPr="00382EF7" w:rsidR="00BE54AC">
        <w:rPr>
          <w:rFonts w:cs="Tahoma"/>
        </w:rPr>
        <w:t xml:space="preserve">  El </w:t>
      </w:r>
      <w:r w:rsidRPr="00382EF7" w:rsidR="008E6FE9">
        <w:rPr>
          <w:rFonts w:cs="Tahoma"/>
        </w:rPr>
        <w:t>diecisiete de noviembre</w:t>
      </w:r>
      <w:r w:rsidRPr="00382EF7" w:rsidR="00BE54AC">
        <w:rPr>
          <w:rFonts w:cs="Tahoma"/>
        </w:rPr>
        <w:t xml:space="preserve"> de dos mil veinti</w:t>
      </w:r>
      <w:r w:rsidRPr="00382EF7" w:rsidR="008E6FE9">
        <w:rPr>
          <w:rFonts w:cs="Tahoma"/>
        </w:rPr>
        <w:t>dós</w:t>
      </w:r>
      <w:r w:rsidRPr="00382EF7" w:rsidR="00BE54AC">
        <w:rPr>
          <w:rFonts w:cs="Tahoma"/>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rsidRPr="00382EF7" w:rsidR="00E17A5F" w:rsidP="006935C8" w:rsidRDefault="00E17A5F" w14:paraId="3F4E2E5D" w14:textId="35558745">
      <w:pPr>
        <w:spacing w:after="0" w:line="360" w:lineRule="auto"/>
        <w:contextualSpacing/>
        <w:rPr>
          <w:rFonts w:cs="Tahoma"/>
        </w:rPr>
      </w:pPr>
    </w:p>
    <w:p w:rsidRPr="00382EF7" w:rsidR="00E17A5F" w:rsidP="006935C8" w:rsidRDefault="00E17A5F" w14:paraId="7494EBAF" w14:textId="79E9D9B4">
      <w:pPr>
        <w:spacing w:after="0" w:line="360" w:lineRule="auto"/>
        <w:contextualSpacing/>
        <w:rPr>
          <w:rFonts w:cs="Tahoma"/>
          <w:color w:val="0D0D0D" w:themeColor="text1" w:themeTint="F2"/>
          <w:lang w:val="es-ES_tradnl"/>
        </w:rPr>
      </w:pPr>
      <w:r w:rsidRPr="00382EF7">
        <w:rPr>
          <w:rFonts w:cs="Tahoma"/>
          <w:b/>
        </w:rPr>
        <w:t>g) Requerimiento de información adicional.</w:t>
      </w:r>
      <w:r w:rsidRPr="00382EF7">
        <w:rPr>
          <w:rFonts w:cs="Tahoma"/>
        </w:rPr>
        <w:t xml:space="preserve"> El veintitrés de enero de dos mil veintitrés, se emitió un requerimiento de información adicional suscrito por el Comisionado Ponente el cual es dirigido a la Titular de la Unidad de Transparencia del Sujeto Obligado, lo anterior de conformidad con </w:t>
      </w:r>
      <w:r w:rsidRPr="00382EF7">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el mismo día al </w:t>
      </w:r>
      <w:r w:rsidRPr="00382EF7">
        <w:rPr>
          <w:rFonts w:eastAsia="Calibri" w:cs="Tahoma"/>
        </w:rPr>
        <w:t xml:space="preserve">Ayuntamiento de Melchor Ocampo, </w:t>
      </w:r>
      <w:r w:rsidRPr="00382EF7">
        <w:rPr>
          <w:rFonts w:cs="Tahoma"/>
          <w:color w:val="0D0D0D" w:themeColor="text1" w:themeTint="F2"/>
          <w:lang w:val="es-ES_tradnl"/>
        </w:rPr>
        <w:t>a través de correo electrónico y el Sistema de Acceso a la Información Mexiquense (SAIMEX), por medio del cual se le solicitó lo siguiente:</w:t>
      </w:r>
    </w:p>
    <w:p w:rsidRPr="00382EF7" w:rsidR="00E17A5F" w:rsidP="006935C8" w:rsidRDefault="00E17A5F" w14:paraId="1B51BEB6" w14:textId="2A0E0A62">
      <w:pPr>
        <w:spacing w:after="0" w:line="360" w:lineRule="auto"/>
        <w:contextualSpacing/>
        <w:rPr>
          <w:rFonts w:cs="Tahoma"/>
          <w:color w:val="0D0D0D" w:themeColor="text1" w:themeTint="F2"/>
          <w:lang w:val="es-ES_tradnl"/>
        </w:rPr>
      </w:pPr>
    </w:p>
    <w:p w:rsidRPr="00382EF7" w:rsidR="009924BC" w:rsidP="006935C8" w:rsidRDefault="009924BC" w14:paraId="0AF5055A" w14:textId="77777777">
      <w:pPr>
        <w:spacing w:after="0" w:line="360" w:lineRule="auto"/>
        <w:ind w:left="567" w:right="567"/>
        <w:contextualSpacing/>
        <w:rPr>
          <w:i/>
          <w:iCs/>
          <w:sz w:val="20"/>
          <w:szCs w:val="20"/>
        </w:rPr>
      </w:pPr>
      <w:r w:rsidRPr="00382EF7">
        <w:rPr>
          <w:i/>
          <w:iCs/>
          <w:sz w:val="20"/>
          <w:szCs w:val="20"/>
        </w:rPr>
        <w:t>“…</w:t>
      </w:r>
    </w:p>
    <w:p w:rsidRPr="00382EF7" w:rsidR="00E17A5F" w:rsidP="006935C8" w:rsidRDefault="00E17A5F" w14:paraId="3C32E926" w14:textId="74DAFD6C">
      <w:pPr>
        <w:spacing w:after="0" w:line="360" w:lineRule="auto"/>
        <w:ind w:left="567" w:right="567"/>
        <w:contextualSpacing/>
        <w:rPr>
          <w:i/>
          <w:iCs/>
          <w:sz w:val="20"/>
          <w:szCs w:val="20"/>
        </w:rPr>
      </w:pPr>
      <w:r w:rsidRPr="00382EF7">
        <w:rPr>
          <w:i/>
          <w:iCs/>
          <w:sz w:val="20"/>
          <w:szCs w:val="20"/>
        </w:rPr>
        <w:t xml:space="preserve">1. Cuáles son los documentos que dan cuenta de lo solicitado; </w:t>
      </w:r>
    </w:p>
    <w:p w:rsidRPr="00382EF7" w:rsidR="00E17A5F" w:rsidP="006935C8" w:rsidRDefault="00E17A5F" w14:paraId="62E976F5" w14:textId="77777777">
      <w:pPr>
        <w:spacing w:after="0" w:line="360" w:lineRule="auto"/>
        <w:ind w:left="567" w:right="567"/>
        <w:contextualSpacing/>
        <w:rPr>
          <w:i/>
          <w:iCs/>
          <w:sz w:val="20"/>
          <w:szCs w:val="20"/>
        </w:rPr>
      </w:pPr>
      <w:r w:rsidRPr="00382EF7">
        <w:rPr>
          <w:i/>
          <w:iCs/>
          <w:sz w:val="20"/>
          <w:szCs w:val="20"/>
        </w:rPr>
        <w:t xml:space="preserve">2. El formato en que se encuentran, esto es en físico o electrónico; </w:t>
      </w:r>
    </w:p>
    <w:p w:rsidRPr="00382EF7" w:rsidR="00E17A5F" w:rsidP="006935C8" w:rsidRDefault="00E17A5F" w14:paraId="67AC5E1F" w14:textId="77777777">
      <w:pPr>
        <w:spacing w:after="0" w:line="360" w:lineRule="auto"/>
        <w:ind w:left="567" w:right="567"/>
        <w:contextualSpacing/>
        <w:rPr>
          <w:i/>
          <w:iCs/>
          <w:sz w:val="20"/>
          <w:szCs w:val="20"/>
        </w:rPr>
      </w:pPr>
      <w:r w:rsidRPr="00382EF7">
        <w:rPr>
          <w:i/>
          <w:iCs/>
          <w:sz w:val="20"/>
          <w:szCs w:val="20"/>
        </w:rPr>
        <w:t xml:space="preserve">3. Cantidad de hojas o peso aproximado de la información; </w:t>
      </w:r>
    </w:p>
    <w:p w:rsidRPr="00382EF7" w:rsidR="00E17A5F" w:rsidP="006935C8" w:rsidRDefault="00E17A5F" w14:paraId="54E49264" w14:textId="77777777">
      <w:pPr>
        <w:spacing w:after="0" w:line="360" w:lineRule="auto"/>
        <w:ind w:left="567" w:right="567"/>
        <w:contextualSpacing/>
        <w:rPr>
          <w:i/>
          <w:iCs/>
          <w:sz w:val="20"/>
          <w:szCs w:val="20"/>
        </w:rPr>
      </w:pPr>
      <w:r w:rsidRPr="00382EF7">
        <w:rPr>
          <w:i/>
          <w:iCs/>
          <w:sz w:val="20"/>
          <w:szCs w:val="20"/>
        </w:rPr>
        <w:lastRenderedPageBreak/>
        <w:t xml:space="preserve">4. 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 </w:t>
      </w:r>
    </w:p>
    <w:p w:rsidRPr="00382EF7" w:rsidR="00E17A5F" w:rsidP="006935C8" w:rsidRDefault="00E17A5F" w14:paraId="77B12944" w14:textId="5FD0DDEB">
      <w:pPr>
        <w:spacing w:after="0" w:line="360" w:lineRule="auto"/>
        <w:ind w:left="567" w:right="567"/>
        <w:contextualSpacing/>
        <w:rPr>
          <w:rFonts w:eastAsia="Calibri" w:cs="Tahoma"/>
          <w:i/>
          <w:iCs/>
          <w:sz w:val="20"/>
          <w:szCs w:val="20"/>
        </w:rPr>
      </w:pPr>
      <w:r w:rsidRPr="00382EF7">
        <w:rPr>
          <w:i/>
          <w:iCs/>
          <w:sz w:val="20"/>
          <w:szCs w:val="20"/>
        </w:rPr>
        <w:t>5. Si, presentó la incidencia ante la Dirección General Informática de este Instituto.</w:t>
      </w:r>
    </w:p>
    <w:p w:rsidRPr="00382EF7" w:rsidR="00E17A5F" w:rsidP="006935C8" w:rsidRDefault="00E17A5F" w14:paraId="1FDA5147" w14:textId="77777777">
      <w:pPr>
        <w:spacing w:after="0" w:line="360" w:lineRule="auto"/>
        <w:contextualSpacing/>
        <w:rPr>
          <w:bCs/>
        </w:rPr>
      </w:pPr>
    </w:p>
    <w:p w:rsidRPr="00382EF7" w:rsidR="00E17A5F" w:rsidP="006935C8" w:rsidRDefault="00E17A5F" w14:paraId="156CD7E7" w14:textId="0485319B">
      <w:pPr>
        <w:spacing w:after="0" w:line="360" w:lineRule="auto"/>
        <w:contextualSpacing/>
        <w:rPr>
          <w:bCs/>
        </w:rPr>
      </w:pPr>
      <w:r w:rsidRPr="00382EF7">
        <w:rPr>
          <w:b/>
        </w:rPr>
        <w:t xml:space="preserve">g) </w:t>
      </w:r>
      <w:r w:rsidRPr="00382EF7">
        <w:rPr>
          <w:rFonts w:cs="Tahoma"/>
          <w:b/>
          <w:bCs/>
          <w:lang w:val="es-ES"/>
        </w:rPr>
        <w:t xml:space="preserve">Desahogo del </w:t>
      </w:r>
      <w:r w:rsidRPr="00382EF7">
        <w:rPr>
          <w:rFonts w:cs="Tahoma"/>
          <w:b/>
        </w:rPr>
        <w:t>requerimiento de información adicional</w:t>
      </w:r>
      <w:r w:rsidRPr="00382EF7">
        <w:rPr>
          <w:rFonts w:cs="Tahoma"/>
          <w:b/>
          <w:bCs/>
          <w:lang w:val="es-ES"/>
        </w:rPr>
        <w:t xml:space="preserve">. </w:t>
      </w:r>
      <w:r w:rsidRPr="00382EF7">
        <w:rPr>
          <w:rFonts w:cs="Tahoma"/>
          <w:bCs/>
          <w:lang w:val="es-ES"/>
        </w:rPr>
        <w:t>El veintiséis de enero de la presente anualidad, el Sujeto Obligado present</w:t>
      </w:r>
      <w:r w:rsidRPr="00382EF7" w:rsidR="00E26540">
        <w:rPr>
          <w:rFonts w:cs="Tahoma"/>
          <w:bCs/>
          <w:lang w:val="es-ES"/>
        </w:rPr>
        <w:t>ó</w:t>
      </w:r>
      <w:r w:rsidRPr="00382EF7">
        <w:rPr>
          <w:rFonts w:cs="Tahoma"/>
          <w:bCs/>
          <w:lang w:val="es-ES"/>
        </w:rPr>
        <w:t xml:space="preserve"> a través </w:t>
      </w:r>
      <w:r w:rsidRPr="00382EF7">
        <w:rPr>
          <w:rFonts w:cs="Tahoma"/>
          <w:color w:val="0D0D0D" w:themeColor="text1" w:themeTint="F2"/>
          <w:lang w:val="es-ES_tradnl"/>
        </w:rPr>
        <w:t xml:space="preserve">Sistema de Acceso a la Información Mexiquense (SAIMEX), el desahogo al requerimiento de información adicional, </w:t>
      </w:r>
      <w:r w:rsidRPr="00382EF7" w:rsidR="00E26540">
        <w:rPr>
          <w:rFonts w:cs="Tahoma"/>
          <w:color w:val="0D0D0D" w:themeColor="text1" w:themeTint="F2"/>
          <w:lang w:val="es-ES_tradnl"/>
        </w:rPr>
        <w:t xml:space="preserve">por medio </w:t>
      </w:r>
      <w:r w:rsidRPr="00382EF7" w:rsidR="009924BC">
        <w:rPr>
          <w:rFonts w:cs="Tahoma"/>
          <w:color w:val="0D0D0D" w:themeColor="text1" w:themeTint="F2"/>
          <w:lang w:val="es-ES_tradnl"/>
        </w:rPr>
        <w:t>del o</w:t>
      </w:r>
      <w:r w:rsidRPr="00382EF7">
        <w:rPr>
          <w:rFonts w:cs="Tahoma"/>
          <w:color w:val="0D0D0D" w:themeColor="text1" w:themeTint="F2"/>
          <w:lang w:val="es-ES_tradnl"/>
        </w:rPr>
        <w:t xml:space="preserve">ficio número </w:t>
      </w:r>
      <w:r w:rsidRPr="00382EF7" w:rsidR="00E26540">
        <w:rPr>
          <w:bCs/>
        </w:rPr>
        <w:t>MMO/PM/</w:t>
      </w:r>
      <w:proofErr w:type="spellStart"/>
      <w:r w:rsidRPr="00382EF7" w:rsidR="00E26540">
        <w:rPr>
          <w:bCs/>
        </w:rPr>
        <w:t>UTyAIP</w:t>
      </w:r>
      <w:proofErr w:type="spellEnd"/>
      <w:r w:rsidRPr="00382EF7" w:rsidR="00E26540">
        <w:rPr>
          <w:bCs/>
        </w:rPr>
        <w:t>/026/2023</w:t>
      </w:r>
      <w:r w:rsidRPr="00382EF7">
        <w:rPr>
          <w:bCs/>
        </w:rPr>
        <w:t xml:space="preserve">, de </w:t>
      </w:r>
      <w:r w:rsidRPr="00382EF7" w:rsidR="00E26540">
        <w:rPr>
          <w:bCs/>
        </w:rPr>
        <w:t xml:space="preserve">la </w:t>
      </w:r>
      <w:r w:rsidRPr="00382EF7">
        <w:rPr>
          <w:bCs/>
        </w:rPr>
        <w:t>fecha</w:t>
      </w:r>
      <w:r w:rsidRPr="00382EF7" w:rsidR="00E26540">
        <w:rPr>
          <w:bCs/>
        </w:rPr>
        <w:t xml:space="preserve"> de su recepción</w:t>
      </w:r>
      <w:r w:rsidRPr="00382EF7">
        <w:rPr>
          <w:bCs/>
        </w:rPr>
        <w:t xml:space="preserve">, suscrito por el Titular de la Unidad de Transparencia y es dirigido al Comisionado Ponente, </w:t>
      </w:r>
      <w:r w:rsidRPr="00382EF7" w:rsidR="00E26540">
        <w:rPr>
          <w:bCs/>
        </w:rPr>
        <w:t>a través del cual refirió esencialmente lo siguiente</w:t>
      </w:r>
      <w:r w:rsidRPr="00382EF7">
        <w:rPr>
          <w:bCs/>
        </w:rPr>
        <w:t xml:space="preserve"> lo siguiente:</w:t>
      </w:r>
    </w:p>
    <w:p w:rsidRPr="00382EF7" w:rsidR="00E26540" w:rsidP="006935C8" w:rsidRDefault="00E26540" w14:paraId="420F83E6" w14:textId="6843F37B">
      <w:pPr>
        <w:spacing w:after="0" w:line="360" w:lineRule="auto"/>
        <w:contextualSpacing/>
        <w:rPr>
          <w:bCs/>
        </w:rPr>
      </w:pPr>
    </w:p>
    <w:p w:rsidRPr="00382EF7" w:rsidR="00E26540" w:rsidP="006935C8" w:rsidRDefault="00E26540" w14:paraId="11E0A93A" w14:textId="6EBCF02B">
      <w:pPr>
        <w:spacing w:after="0" w:line="360" w:lineRule="auto"/>
        <w:ind w:left="567" w:right="567"/>
        <w:contextualSpacing/>
        <w:rPr>
          <w:bCs/>
          <w:i/>
          <w:iCs/>
          <w:sz w:val="20"/>
          <w:szCs w:val="20"/>
        </w:rPr>
      </w:pPr>
      <w:r w:rsidRPr="00382EF7">
        <w:rPr>
          <w:bCs/>
          <w:i/>
          <w:iCs/>
          <w:sz w:val="20"/>
          <w:szCs w:val="20"/>
        </w:rPr>
        <w:t>“…</w:t>
      </w:r>
    </w:p>
    <w:p w:rsidRPr="00382EF7" w:rsidR="00E26540" w:rsidP="006935C8" w:rsidRDefault="00E26540" w14:paraId="39CDC92B" w14:textId="79AFAD2D">
      <w:pPr>
        <w:spacing w:after="0" w:line="360" w:lineRule="auto"/>
        <w:ind w:left="567" w:right="567"/>
        <w:contextualSpacing/>
        <w:rPr>
          <w:rFonts w:cs="Tahoma"/>
          <w:i/>
          <w:iCs/>
          <w:color w:val="0D0D0D" w:themeColor="text1" w:themeTint="F2"/>
          <w:sz w:val="20"/>
          <w:szCs w:val="20"/>
          <w:lang w:val="es-ES_tradnl"/>
        </w:rPr>
      </w:pPr>
      <w:r w:rsidRPr="00382EF7">
        <w:rPr>
          <w:rFonts w:cs="Tahoma"/>
          <w:i/>
          <w:iCs/>
          <w:color w:val="0D0D0D" w:themeColor="text1" w:themeTint="F2"/>
          <w:sz w:val="20"/>
          <w:szCs w:val="20"/>
          <w:lang w:val="es-ES_tradnl"/>
        </w:rPr>
        <w:t>Por lo anterior, ya a efecto de brindar los elementos que permitan resolver el asunto de la mejor forma, me permito informar a Usted que, derivado de que es la Tesorería Municipal el área que recaba, concentra y resguarda la información Correspondiente a</w:t>
      </w:r>
      <w:r w:rsidRPr="00382EF7" w:rsidR="006E193F">
        <w:rPr>
          <w:rFonts w:cs="Tahoma"/>
          <w:i/>
          <w:iCs/>
          <w:color w:val="0D0D0D" w:themeColor="text1" w:themeTint="F2"/>
          <w:sz w:val="20"/>
          <w:szCs w:val="20"/>
          <w:lang w:val="es-ES_tradnl"/>
        </w:rPr>
        <w:t xml:space="preserve"> </w:t>
      </w:r>
      <w:r w:rsidRPr="00382EF7">
        <w:rPr>
          <w:rFonts w:cs="Tahoma"/>
          <w:i/>
          <w:iCs/>
          <w:color w:val="0D0D0D" w:themeColor="text1" w:themeTint="F2"/>
          <w:sz w:val="20"/>
          <w:szCs w:val="20"/>
          <w:lang w:val="es-ES_tradnl"/>
        </w:rPr>
        <w:t>los Informes Trimestrales</w:t>
      </w:r>
      <w:r w:rsidRPr="00382EF7" w:rsidR="006E193F">
        <w:rPr>
          <w:rFonts w:cs="Tahoma"/>
          <w:i/>
          <w:iCs/>
          <w:color w:val="0D0D0D" w:themeColor="text1" w:themeTint="F2"/>
          <w:sz w:val="20"/>
          <w:szCs w:val="20"/>
          <w:lang w:val="es-ES_tradnl"/>
        </w:rPr>
        <w:t xml:space="preserve"> </w:t>
      </w:r>
      <w:r w:rsidRPr="00382EF7">
        <w:rPr>
          <w:rFonts w:cs="Tahoma"/>
          <w:i/>
          <w:iCs/>
          <w:color w:val="0D0D0D" w:themeColor="text1" w:themeTint="F2"/>
          <w:sz w:val="20"/>
          <w:szCs w:val="20"/>
          <w:lang w:val="es-ES_tradnl"/>
        </w:rPr>
        <w:t>entregados al OSFEM, se requirió a esta se pronunciara respecto</w:t>
      </w:r>
      <w:r w:rsidRPr="00382EF7" w:rsidR="006E193F">
        <w:rPr>
          <w:rFonts w:cs="Tahoma"/>
          <w:i/>
          <w:iCs/>
          <w:color w:val="0D0D0D" w:themeColor="text1" w:themeTint="F2"/>
          <w:sz w:val="20"/>
          <w:szCs w:val="20"/>
          <w:lang w:val="es-ES_tradnl"/>
        </w:rPr>
        <w:t xml:space="preserve"> </w:t>
      </w:r>
      <w:r w:rsidRPr="00382EF7">
        <w:rPr>
          <w:rFonts w:cs="Tahoma"/>
          <w:i/>
          <w:iCs/>
          <w:color w:val="0D0D0D" w:themeColor="text1" w:themeTint="F2"/>
          <w:sz w:val="20"/>
          <w:szCs w:val="20"/>
          <w:lang w:val="es-ES_tradnl"/>
        </w:rPr>
        <w:t>de lo solicitado, lo cual</w:t>
      </w:r>
      <w:r w:rsidRPr="00382EF7" w:rsidR="006E193F">
        <w:rPr>
          <w:rFonts w:cs="Tahoma"/>
          <w:i/>
          <w:iCs/>
          <w:color w:val="0D0D0D" w:themeColor="text1" w:themeTint="F2"/>
          <w:sz w:val="20"/>
          <w:szCs w:val="20"/>
          <w:lang w:val="es-ES_tradnl"/>
        </w:rPr>
        <w:t xml:space="preserve"> </w:t>
      </w:r>
      <w:r w:rsidRPr="00382EF7">
        <w:rPr>
          <w:rFonts w:cs="Tahoma"/>
          <w:i/>
          <w:iCs/>
          <w:color w:val="0D0D0D" w:themeColor="text1" w:themeTint="F2"/>
          <w:sz w:val="20"/>
          <w:szCs w:val="20"/>
          <w:lang w:val="es-ES_tradnl"/>
        </w:rPr>
        <w:t>atendió</w:t>
      </w:r>
      <w:r w:rsidRPr="00382EF7" w:rsidR="006E193F">
        <w:rPr>
          <w:rFonts w:cs="Tahoma"/>
          <w:i/>
          <w:iCs/>
          <w:color w:val="0D0D0D" w:themeColor="text1" w:themeTint="F2"/>
          <w:sz w:val="20"/>
          <w:szCs w:val="20"/>
          <w:lang w:val="es-ES_tradnl"/>
        </w:rPr>
        <w:t xml:space="preserve"> </w:t>
      </w:r>
      <w:r w:rsidRPr="00382EF7">
        <w:rPr>
          <w:rFonts w:cs="Tahoma"/>
          <w:i/>
          <w:iCs/>
          <w:color w:val="0D0D0D" w:themeColor="text1" w:themeTint="F2"/>
          <w:sz w:val="20"/>
          <w:szCs w:val="20"/>
          <w:lang w:val="es-ES_tradnl"/>
        </w:rPr>
        <w:t>a través de su atento TM/0038/2023, el cual</w:t>
      </w:r>
      <w:r w:rsidRPr="00382EF7" w:rsidR="006E193F">
        <w:rPr>
          <w:rFonts w:cs="Tahoma"/>
          <w:i/>
          <w:iCs/>
          <w:color w:val="0D0D0D" w:themeColor="text1" w:themeTint="F2"/>
          <w:sz w:val="20"/>
          <w:szCs w:val="20"/>
          <w:lang w:val="es-ES_tradnl"/>
        </w:rPr>
        <w:t xml:space="preserve"> </w:t>
      </w:r>
      <w:r w:rsidRPr="00382EF7">
        <w:rPr>
          <w:rFonts w:cs="Tahoma"/>
          <w:i/>
          <w:iCs/>
          <w:color w:val="0D0D0D" w:themeColor="text1" w:themeTint="F2"/>
          <w:sz w:val="20"/>
          <w:szCs w:val="20"/>
          <w:lang w:val="es-ES_tradnl"/>
        </w:rPr>
        <w:t>se</w:t>
      </w:r>
      <w:r w:rsidRPr="00382EF7" w:rsidR="006E193F">
        <w:rPr>
          <w:rFonts w:cs="Tahoma"/>
          <w:i/>
          <w:iCs/>
          <w:color w:val="0D0D0D" w:themeColor="text1" w:themeTint="F2"/>
          <w:sz w:val="20"/>
          <w:szCs w:val="20"/>
          <w:lang w:val="es-ES_tradnl"/>
        </w:rPr>
        <w:t xml:space="preserve"> adjunta al presente,</w:t>
      </w:r>
      <w:r w:rsidRPr="00382EF7">
        <w:rPr>
          <w:rFonts w:cs="Tahoma"/>
          <w:i/>
          <w:iCs/>
          <w:color w:val="0D0D0D" w:themeColor="text1" w:themeTint="F2"/>
          <w:sz w:val="20"/>
          <w:szCs w:val="20"/>
          <w:lang w:val="es-ES_tradnl"/>
        </w:rPr>
        <w:t xml:space="preserve"> atendiendo los</w:t>
      </w:r>
      <w:r w:rsidRPr="00382EF7" w:rsidR="006E193F">
        <w:rPr>
          <w:rFonts w:cs="Tahoma"/>
          <w:i/>
          <w:iCs/>
          <w:color w:val="0D0D0D" w:themeColor="text1" w:themeTint="F2"/>
          <w:sz w:val="20"/>
          <w:szCs w:val="20"/>
          <w:lang w:val="es-ES_tradnl"/>
        </w:rPr>
        <w:t xml:space="preserve"> puntos</w:t>
      </w:r>
      <w:r w:rsidRPr="00382EF7">
        <w:rPr>
          <w:rFonts w:cs="Tahoma"/>
          <w:i/>
          <w:iCs/>
          <w:color w:val="0D0D0D" w:themeColor="text1" w:themeTint="F2"/>
          <w:sz w:val="20"/>
          <w:szCs w:val="20"/>
          <w:lang w:val="es-ES_tradnl"/>
        </w:rPr>
        <w:t xml:space="preserve"> 1</w:t>
      </w:r>
      <w:r w:rsidRPr="00382EF7" w:rsidR="006E193F">
        <w:rPr>
          <w:rFonts w:cs="Tahoma"/>
          <w:i/>
          <w:iCs/>
          <w:color w:val="0D0D0D" w:themeColor="text1" w:themeTint="F2"/>
          <w:sz w:val="20"/>
          <w:szCs w:val="20"/>
          <w:lang w:val="es-ES_tradnl"/>
        </w:rPr>
        <w:t>,</w:t>
      </w:r>
      <w:r w:rsidRPr="00382EF7">
        <w:rPr>
          <w:rFonts w:cs="Tahoma"/>
          <w:i/>
          <w:iCs/>
          <w:color w:val="0D0D0D" w:themeColor="text1" w:themeTint="F2"/>
          <w:sz w:val="20"/>
          <w:szCs w:val="20"/>
          <w:lang w:val="es-ES_tradnl"/>
        </w:rPr>
        <w:t xml:space="preserve"> 2 y 3 según se puede observar.</w:t>
      </w:r>
    </w:p>
    <w:p w:rsidRPr="00382EF7" w:rsidR="006E193F" w:rsidP="006935C8" w:rsidRDefault="006E193F" w14:paraId="71AE58F2" w14:textId="7C7A505E">
      <w:pPr>
        <w:spacing w:after="0" w:line="360" w:lineRule="auto"/>
        <w:ind w:left="567" w:right="567"/>
        <w:contextualSpacing/>
        <w:rPr>
          <w:rFonts w:cs="Tahoma"/>
          <w:i/>
          <w:iCs/>
          <w:color w:val="0D0D0D" w:themeColor="text1" w:themeTint="F2"/>
          <w:sz w:val="20"/>
          <w:szCs w:val="20"/>
          <w:lang w:val="es-ES_tradnl"/>
        </w:rPr>
      </w:pPr>
      <w:r w:rsidRPr="00382EF7">
        <w:rPr>
          <w:rFonts w:cs="Tahoma"/>
          <w:i/>
          <w:iCs/>
          <w:color w:val="0D0D0D" w:themeColor="text1" w:themeTint="F2"/>
          <w:sz w:val="20"/>
          <w:szCs w:val="20"/>
          <w:lang w:val="es-ES_tradnl"/>
        </w:rPr>
        <w:t>…”</w:t>
      </w:r>
    </w:p>
    <w:p w:rsidRPr="00382EF7" w:rsidR="00BE54AC" w:rsidP="006935C8" w:rsidRDefault="00BE54AC" w14:paraId="3B4FAB6C" w14:textId="2D1C0C4B">
      <w:pPr>
        <w:spacing w:after="0" w:line="360" w:lineRule="auto"/>
        <w:contextualSpacing/>
        <w:rPr>
          <w:rFonts w:cs="Tahoma"/>
          <w:b/>
          <w:bCs/>
        </w:rPr>
      </w:pPr>
    </w:p>
    <w:p w:rsidRPr="00382EF7" w:rsidR="006E193F" w:rsidP="006935C8" w:rsidRDefault="009924BC" w14:paraId="2810697F" w14:textId="6B6B66E2">
      <w:pPr>
        <w:spacing w:after="0" w:line="360" w:lineRule="auto"/>
        <w:contextualSpacing/>
        <w:rPr>
          <w:rFonts w:cs="Tahoma"/>
        </w:rPr>
      </w:pPr>
      <w:r w:rsidRPr="00382EF7">
        <w:rPr>
          <w:rFonts w:cs="Tahoma"/>
        </w:rPr>
        <w:t>El Sujeto Obligado adjuntó la digitalización del o</w:t>
      </w:r>
      <w:r w:rsidRPr="00382EF7" w:rsidR="006E193F">
        <w:rPr>
          <w:rFonts w:cs="Tahoma"/>
        </w:rPr>
        <w:t>ficio número TM/0038/2023</w:t>
      </w:r>
      <w:r w:rsidRPr="00382EF7" w:rsidR="001D5986">
        <w:rPr>
          <w:rFonts w:cs="Tahoma"/>
        </w:rPr>
        <w:t>,</w:t>
      </w:r>
      <w:r w:rsidRPr="00382EF7" w:rsidR="006E193F">
        <w:rPr>
          <w:rFonts w:cs="Tahoma"/>
        </w:rPr>
        <w:t xml:space="preserve"> </w:t>
      </w:r>
      <w:r w:rsidRPr="00382EF7">
        <w:rPr>
          <w:rFonts w:cs="Tahoma"/>
        </w:rPr>
        <w:t>del</w:t>
      </w:r>
      <w:r w:rsidRPr="00382EF7" w:rsidR="006E193F">
        <w:rPr>
          <w:rFonts w:cs="Tahoma"/>
        </w:rPr>
        <w:t xml:space="preserve"> de enero de dos mil veintitrés</w:t>
      </w:r>
      <w:r w:rsidRPr="00382EF7" w:rsidR="001D5986">
        <w:rPr>
          <w:rFonts w:cs="Tahoma"/>
        </w:rPr>
        <w:t>, suscrito por el Tesorero Municipal</w:t>
      </w:r>
      <w:r w:rsidRPr="00382EF7">
        <w:rPr>
          <w:rFonts w:cs="Tahoma"/>
        </w:rPr>
        <w:t>,</w:t>
      </w:r>
      <w:r w:rsidRPr="00382EF7" w:rsidR="001D5986">
        <w:rPr>
          <w:rFonts w:cs="Tahoma"/>
        </w:rPr>
        <w:t xml:space="preserve"> dirigido al Titular de la Unidad de Transparencia, a través del cual señaló esencialmente lo siguiente:</w:t>
      </w:r>
    </w:p>
    <w:p w:rsidRPr="00382EF7" w:rsidR="001D5986" w:rsidP="006935C8" w:rsidRDefault="001D5986" w14:paraId="65087502" w14:textId="107DB49B">
      <w:pPr>
        <w:spacing w:after="0" w:line="360" w:lineRule="auto"/>
        <w:contextualSpacing/>
        <w:rPr>
          <w:rFonts w:cs="Tahoma"/>
        </w:rPr>
      </w:pPr>
    </w:p>
    <w:p w:rsidRPr="00382EF7" w:rsidR="009924BC" w:rsidP="006935C8" w:rsidRDefault="009924BC" w14:paraId="1256E7D0" w14:textId="77777777">
      <w:pPr>
        <w:spacing w:after="0" w:line="360" w:lineRule="auto"/>
        <w:contextualSpacing/>
        <w:rPr>
          <w:rFonts w:cs="Tahoma"/>
        </w:rPr>
      </w:pPr>
    </w:p>
    <w:p w:rsidRPr="00382EF7" w:rsidR="009924BC" w:rsidP="006935C8" w:rsidRDefault="009924BC" w14:paraId="2B07C5D8" w14:textId="77777777">
      <w:pPr>
        <w:spacing w:after="0" w:line="360" w:lineRule="auto"/>
        <w:contextualSpacing/>
        <w:rPr>
          <w:rFonts w:cs="Tahoma"/>
        </w:rPr>
      </w:pPr>
    </w:p>
    <w:p w:rsidRPr="00382EF7" w:rsidR="001D5986" w:rsidP="006935C8" w:rsidRDefault="001D5986" w14:paraId="418660D8" w14:textId="7F442185">
      <w:pPr>
        <w:spacing w:after="0" w:line="360" w:lineRule="auto"/>
        <w:ind w:left="567" w:right="567"/>
        <w:contextualSpacing/>
        <w:rPr>
          <w:rFonts w:cs="Tahoma"/>
          <w:i/>
          <w:iCs/>
          <w:sz w:val="20"/>
          <w:szCs w:val="20"/>
        </w:rPr>
      </w:pPr>
      <w:r w:rsidRPr="00382EF7">
        <w:rPr>
          <w:rFonts w:cs="Tahoma"/>
          <w:i/>
          <w:iCs/>
          <w:sz w:val="20"/>
          <w:szCs w:val="20"/>
        </w:rPr>
        <w:lastRenderedPageBreak/>
        <w:t>“…</w:t>
      </w:r>
    </w:p>
    <w:p w:rsidRPr="00382EF7" w:rsidR="001D5986" w:rsidP="006935C8" w:rsidRDefault="001D5986" w14:paraId="47BD5450" w14:textId="147AD02C">
      <w:pPr>
        <w:spacing w:after="0" w:line="360" w:lineRule="auto"/>
        <w:ind w:left="567" w:right="567"/>
        <w:contextualSpacing/>
        <w:rPr>
          <w:rFonts w:cs="Tahoma"/>
          <w:i/>
          <w:iCs/>
          <w:sz w:val="20"/>
          <w:szCs w:val="20"/>
        </w:rPr>
      </w:pPr>
      <w:r w:rsidRPr="00382EF7">
        <w:rPr>
          <w:rFonts w:cs="Tahoma"/>
          <w:i/>
          <w:iCs/>
          <w:sz w:val="20"/>
          <w:szCs w:val="20"/>
        </w:rPr>
        <w:t>1.- Se le Informa que los documentos que integra la cuenta es información contable financiera, presupuestaria, información programática, y administrativa.</w:t>
      </w:r>
    </w:p>
    <w:p w:rsidRPr="00382EF7" w:rsidR="001D5986" w:rsidP="006935C8" w:rsidRDefault="001D5986" w14:paraId="4558537C" w14:textId="77777777">
      <w:pPr>
        <w:spacing w:after="0" w:line="360" w:lineRule="auto"/>
        <w:ind w:left="567" w:right="567"/>
        <w:contextualSpacing/>
        <w:rPr>
          <w:rFonts w:cs="Tahoma"/>
          <w:i/>
          <w:iCs/>
          <w:sz w:val="20"/>
          <w:szCs w:val="20"/>
        </w:rPr>
      </w:pPr>
      <w:r w:rsidRPr="00382EF7">
        <w:rPr>
          <w:rFonts w:cs="Tahoma"/>
          <w:i/>
          <w:iCs/>
          <w:sz w:val="20"/>
          <w:szCs w:val="20"/>
        </w:rPr>
        <w:t>2.- Se encuentra en medio electrónico.</w:t>
      </w:r>
    </w:p>
    <w:p w:rsidRPr="00382EF7" w:rsidR="001D5986" w:rsidP="006935C8" w:rsidRDefault="001D5986" w14:paraId="73C6F076" w14:textId="4690F05D">
      <w:pPr>
        <w:spacing w:after="0" w:line="360" w:lineRule="auto"/>
        <w:ind w:left="567" w:right="567"/>
        <w:contextualSpacing/>
        <w:rPr>
          <w:rFonts w:cs="Tahoma"/>
          <w:b/>
          <w:bCs/>
          <w:i/>
          <w:iCs/>
          <w:sz w:val="20"/>
          <w:szCs w:val="20"/>
        </w:rPr>
      </w:pPr>
      <w:r w:rsidRPr="00382EF7">
        <w:rPr>
          <w:rFonts w:cs="Tahoma"/>
          <w:b/>
          <w:bCs/>
          <w:i/>
          <w:iCs/>
          <w:sz w:val="20"/>
          <w:szCs w:val="20"/>
        </w:rPr>
        <w:t>3.- El peso aproximado es de 1.14 GB... para trimestre es de 2.02 GB.</w:t>
      </w:r>
    </w:p>
    <w:p w:rsidRPr="00382EF7" w:rsidR="001D5986" w:rsidP="006935C8" w:rsidRDefault="001D5986" w14:paraId="41620B75" w14:textId="0991B624">
      <w:pPr>
        <w:spacing w:after="0" w:line="360" w:lineRule="auto"/>
        <w:ind w:left="567" w:right="567"/>
        <w:contextualSpacing/>
        <w:rPr>
          <w:rFonts w:cs="Tahoma"/>
          <w:i/>
          <w:iCs/>
          <w:sz w:val="20"/>
          <w:szCs w:val="20"/>
        </w:rPr>
      </w:pPr>
      <w:r w:rsidRPr="00382EF7">
        <w:rPr>
          <w:rFonts w:cs="Tahoma"/>
          <w:i/>
          <w:iCs/>
          <w:sz w:val="20"/>
          <w:szCs w:val="20"/>
        </w:rPr>
        <w:t>…”</w:t>
      </w:r>
    </w:p>
    <w:p w:rsidRPr="00382EF7" w:rsidR="001D5986" w:rsidP="006935C8" w:rsidRDefault="001D5986" w14:paraId="7EE88FD4" w14:textId="77777777">
      <w:pPr>
        <w:spacing w:after="0" w:line="360" w:lineRule="auto"/>
        <w:contextualSpacing/>
        <w:rPr>
          <w:rFonts w:cs="Tahoma"/>
        </w:rPr>
      </w:pPr>
    </w:p>
    <w:p w:rsidRPr="00382EF7" w:rsidR="009924BC" w:rsidP="006935C8" w:rsidRDefault="009924BC" w14:paraId="2F2A66D9" w14:textId="32290C82">
      <w:pPr>
        <w:spacing w:after="0" w:line="360" w:lineRule="auto"/>
        <w:contextualSpacing/>
        <w:rPr>
          <w:rFonts w:cs="Tahoma"/>
        </w:rPr>
      </w:pPr>
      <w:r w:rsidRPr="00382EF7">
        <w:rPr>
          <w:rFonts w:cs="Tahoma"/>
          <w:b/>
        </w:rPr>
        <w:t xml:space="preserve">h) Incidencia ante la Dirección General de Informática: </w:t>
      </w:r>
      <w:r w:rsidRPr="00382EF7">
        <w:rPr>
          <w:rFonts w:cs="Tahoma"/>
        </w:rPr>
        <w:t>El dieciséis de febrero de dos mil veintitrés, se recibió en este Instituto, por medio del correo electrónico oficial de la Ponencia del Comisionado Ponente, la digitalización del oficio INFOEM/DGI/133/2023, del quince de dicho mes y año, suscrito por el Director General de Informática de este Instituto y dirigido al Titular de la Unidad de Transparencia y Acceso a la Información Pública de Melchor Ocampo, cuyo contenido es el siguiente:</w:t>
      </w:r>
    </w:p>
    <w:p w:rsidRPr="00382EF7" w:rsidR="009924BC" w:rsidP="006935C8" w:rsidRDefault="009924BC" w14:paraId="74AB68E4" w14:textId="77777777">
      <w:pPr>
        <w:spacing w:after="0" w:line="360" w:lineRule="auto"/>
        <w:contextualSpacing/>
        <w:rPr>
          <w:rFonts w:cs="Tahoma"/>
        </w:rPr>
      </w:pPr>
    </w:p>
    <w:p w:rsidRPr="00382EF7" w:rsidR="0015296F" w:rsidP="006935C8" w:rsidRDefault="009924BC" w14:paraId="04C40E90" w14:textId="45611E69">
      <w:pPr>
        <w:spacing w:after="0" w:line="360" w:lineRule="auto"/>
        <w:ind w:left="567" w:right="567"/>
        <w:contextualSpacing/>
        <w:rPr>
          <w:rFonts w:cs="Tahoma"/>
          <w:i/>
          <w:iCs/>
          <w:sz w:val="20"/>
          <w:szCs w:val="20"/>
        </w:rPr>
      </w:pPr>
      <w:r w:rsidRPr="00382EF7">
        <w:rPr>
          <w:rFonts w:cs="Tahoma"/>
          <w:i/>
          <w:iCs/>
          <w:sz w:val="20"/>
          <w:szCs w:val="20"/>
        </w:rPr>
        <w:t>“…</w:t>
      </w:r>
      <w:r w:rsidRPr="00382EF7" w:rsidR="0015296F">
        <w:rPr>
          <w:rFonts w:cs="Tahoma"/>
          <w:i/>
          <w:iCs/>
          <w:sz w:val="20"/>
          <w:szCs w:val="20"/>
        </w:rPr>
        <w:t xml:space="preserve">al respecto me permito comunicarle a Usted que dicha incidencia técnica ha quedado registrada en la bitácora de incidencias, toda vez que trata de subir un peso de 2.02GB, lo cual sobrepasa las capacidades técnicas del sistema </w:t>
      </w:r>
      <w:proofErr w:type="spellStart"/>
      <w:r w:rsidRPr="00382EF7" w:rsidR="0015296F">
        <w:rPr>
          <w:rFonts w:cs="Tahoma"/>
          <w:i/>
          <w:iCs/>
          <w:sz w:val="20"/>
          <w:szCs w:val="20"/>
        </w:rPr>
        <w:t>Saimex</w:t>
      </w:r>
      <w:proofErr w:type="spellEnd"/>
      <w:r w:rsidRPr="00382EF7" w:rsidR="0015296F">
        <w:rPr>
          <w:rFonts w:cs="Tahoma"/>
          <w:i/>
          <w:iCs/>
          <w:sz w:val="20"/>
          <w:szCs w:val="20"/>
        </w:rPr>
        <w:t>.</w:t>
      </w:r>
    </w:p>
    <w:p w:rsidRPr="00382EF7" w:rsidR="0015296F" w:rsidP="006935C8" w:rsidRDefault="0015296F" w14:paraId="39D8807B" w14:textId="77777777">
      <w:pPr>
        <w:spacing w:after="0" w:line="360" w:lineRule="auto"/>
        <w:ind w:left="567" w:right="567"/>
        <w:contextualSpacing/>
        <w:rPr>
          <w:rFonts w:cs="Tahoma"/>
          <w:i/>
          <w:iCs/>
          <w:sz w:val="20"/>
          <w:szCs w:val="20"/>
        </w:rPr>
      </w:pPr>
    </w:p>
    <w:p w:rsidRPr="00382EF7" w:rsidR="0015296F" w:rsidP="006935C8" w:rsidRDefault="0015296F" w14:paraId="5591081A" w14:textId="497CED1F">
      <w:pPr>
        <w:spacing w:after="0" w:line="360" w:lineRule="auto"/>
        <w:ind w:left="567" w:right="567"/>
        <w:contextualSpacing/>
        <w:rPr>
          <w:rFonts w:cs="Tahoma"/>
          <w:i/>
          <w:iCs/>
          <w:sz w:val="20"/>
          <w:szCs w:val="20"/>
        </w:rPr>
      </w:pPr>
      <w:r w:rsidRPr="00382EF7">
        <w:rPr>
          <w:rFonts w:cs="Tahoma"/>
          <w:i/>
          <w:iCs/>
          <w:sz w:val="20"/>
          <w:szCs w:val="20"/>
        </w:rPr>
        <w:t>Es importante hacer mención que el cúmulo de fojas referido en el párrafo anterior, así como lo expresado en su solicitud para el cambio de modalidad, considerando los supuestos de su justificación con base en el artículo 164 de la Ley de Transparencia y Acceso a la Información Pública del Estado de México y Municipios, es responsabilidad del Sujeto Obligado.</w:t>
      </w:r>
    </w:p>
    <w:p w:rsidRPr="00382EF7" w:rsidR="0015296F" w:rsidP="006935C8" w:rsidRDefault="0015296F" w14:paraId="58A1A476" w14:textId="77777777">
      <w:pPr>
        <w:spacing w:after="0" w:line="360" w:lineRule="auto"/>
        <w:ind w:left="567" w:right="567"/>
        <w:contextualSpacing/>
        <w:rPr>
          <w:rFonts w:cs="Tahoma"/>
          <w:i/>
          <w:iCs/>
          <w:sz w:val="20"/>
          <w:szCs w:val="20"/>
        </w:rPr>
      </w:pPr>
    </w:p>
    <w:p w:rsidRPr="00382EF7" w:rsidR="0015296F" w:rsidP="006935C8" w:rsidRDefault="0015296F" w14:paraId="05C73591" w14:textId="77777777">
      <w:pPr>
        <w:spacing w:after="0" w:line="360" w:lineRule="auto"/>
        <w:ind w:left="567" w:right="567"/>
        <w:contextualSpacing/>
        <w:rPr>
          <w:rFonts w:cs="Tahoma"/>
          <w:i/>
          <w:iCs/>
          <w:sz w:val="20"/>
          <w:szCs w:val="20"/>
        </w:rPr>
      </w:pPr>
      <w:r w:rsidRPr="00382EF7">
        <w:rPr>
          <w:rFonts w:cs="Tahoma"/>
          <w:i/>
          <w:iCs/>
          <w:sz w:val="20"/>
          <w:szCs w:val="20"/>
        </w:rPr>
        <w:t xml:space="preserve">Por otro lado, para el escaneo de fojas le recomendamos utilizar una resolución alta de 150 </w:t>
      </w:r>
      <w:proofErr w:type="spellStart"/>
      <w:r w:rsidRPr="00382EF7">
        <w:rPr>
          <w:rFonts w:cs="Tahoma"/>
          <w:i/>
          <w:iCs/>
          <w:sz w:val="20"/>
          <w:szCs w:val="20"/>
        </w:rPr>
        <w:t>Dpi's</w:t>
      </w:r>
      <w:proofErr w:type="spellEnd"/>
      <w:r w:rsidRPr="00382EF7">
        <w:rPr>
          <w:rFonts w:cs="Tahoma"/>
          <w:i/>
          <w:iCs/>
          <w:sz w:val="20"/>
          <w:szCs w:val="20"/>
        </w:rPr>
        <w:t>, en escala de grises y formato "PDF"; extraído directamente del escáner.</w:t>
      </w:r>
    </w:p>
    <w:p w:rsidRPr="00382EF7" w:rsidR="009924BC" w:rsidP="006935C8" w:rsidRDefault="009924BC" w14:paraId="7A4D409B" w14:textId="465EC1CF">
      <w:pPr>
        <w:spacing w:after="0" w:line="360" w:lineRule="auto"/>
        <w:ind w:left="567" w:right="567"/>
        <w:contextualSpacing/>
        <w:rPr>
          <w:rFonts w:cs="Tahoma"/>
          <w:i/>
          <w:iCs/>
          <w:sz w:val="20"/>
          <w:szCs w:val="20"/>
        </w:rPr>
      </w:pPr>
      <w:r w:rsidRPr="00382EF7">
        <w:rPr>
          <w:rFonts w:cs="Tahoma"/>
          <w:i/>
          <w:iCs/>
          <w:sz w:val="20"/>
          <w:szCs w:val="20"/>
        </w:rPr>
        <w:t>…”</w:t>
      </w:r>
    </w:p>
    <w:p w:rsidRPr="00382EF7" w:rsidR="009924BC" w:rsidP="006935C8" w:rsidRDefault="009924BC" w14:paraId="08B87272" w14:textId="77777777">
      <w:pPr>
        <w:spacing w:after="0" w:line="360" w:lineRule="auto"/>
        <w:contextualSpacing/>
        <w:rPr>
          <w:rFonts w:cs="Tahoma"/>
        </w:rPr>
      </w:pPr>
    </w:p>
    <w:p w:rsidRPr="00382EF7" w:rsidR="00BE54AC" w:rsidP="006935C8" w:rsidRDefault="00BE54AC" w14:paraId="3B84B529" w14:textId="36052852">
      <w:pPr>
        <w:spacing w:after="0" w:line="360" w:lineRule="auto"/>
        <w:contextualSpacing/>
        <w:rPr>
          <w:rFonts w:cs="Tahoma"/>
        </w:rPr>
      </w:pPr>
      <w:r w:rsidRPr="00382EF7">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382EF7" w:rsidR="001D5986" w:rsidP="006935C8" w:rsidRDefault="001D5986" w14:paraId="234CB5ED" w14:textId="77777777">
      <w:pPr>
        <w:spacing w:after="0" w:line="360" w:lineRule="auto"/>
        <w:contextualSpacing/>
        <w:jc w:val="center"/>
        <w:rPr>
          <w:rFonts w:cs="Tahoma"/>
          <w:b/>
        </w:rPr>
      </w:pPr>
    </w:p>
    <w:p w:rsidRPr="00382EF7" w:rsidR="00BE54AC" w:rsidP="006935C8" w:rsidRDefault="00BE54AC" w14:paraId="036557A9" w14:textId="3AE2A124">
      <w:pPr>
        <w:spacing w:after="0" w:line="360" w:lineRule="auto"/>
        <w:contextualSpacing/>
        <w:jc w:val="center"/>
        <w:rPr>
          <w:rFonts w:cs="Tahoma"/>
          <w:b/>
        </w:rPr>
      </w:pPr>
      <w:r w:rsidRPr="00382EF7">
        <w:rPr>
          <w:rFonts w:cs="Tahoma"/>
          <w:b/>
        </w:rPr>
        <w:t>CONSIDERANDOS:</w:t>
      </w:r>
    </w:p>
    <w:p w:rsidRPr="00382EF7" w:rsidR="008E6FE9" w:rsidP="006935C8" w:rsidRDefault="008E6FE9" w14:paraId="728DCF12" w14:textId="77777777">
      <w:pPr>
        <w:spacing w:after="0" w:line="360" w:lineRule="auto"/>
        <w:contextualSpacing/>
        <w:jc w:val="center"/>
        <w:rPr>
          <w:rFonts w:cs="Tahoma"/>
          <w:b/>
        </w:rPr>
      </w:pPr>
    </w:p>
    <w:p w:rsidRPr="00382EF7" w:rsidR="00BE54AC" w:rsidP="006935C8" w:rsidRDefault="00BE54AC" w14:paraId="61E0ABC2" w14:textId="454DE764">
      <w:pPr>
        <w:spacing w:after="0" w:line="360" w:lineRule="auto"/>
        <w:contextualSpacing/>
        <w:rPr>
          <w:rFonts w:eastAsia="Batang" w:cs="Tahoma"/>
          <w:b/>
          <w:bCs/>
          <w:color w:val="auto"/>
          <w:lang w:eastAsia="es-ES"/>
        </w:rPr>
      </w:pPr>
      <w:r w:rsidRPr="00382EF7">
        <w:rPr>
          <w:rFonts w:eastAsia="Batang" w:cs="Tahoma"/>
          <w:b/>
          <w:bCs/>
          <w:color w:val="auto"/>
          <w:lang w:eastAsia="es-ES"/>
        </w:rPr>
        <w:t xml:space="preserve">PRIMERO. Competencia. </w:t>
      </w:r>
    </w:p>
    <w:p w:rsidRPr="00382EF7" w:rsidR="008E6FE9" w:rsidP="006935C8" w:rsidRDefault="008E6FE9" w14:paraId="58B2B8ED" w14:textId="77777777">
      <w:pPr>
        <w:spacing w:after="0" w:line="360" w:lineRule="auto"/>
        <w:contextualSpacing/>
        <w:rPr>
          <w:rFonts w:eastAsia="Batang" w:cs="Tahoma"/>
          <w:b/>
          <w:bCs/>
          <w:color w:val="auto"/>
          <w:lang w:eastAsia="es-ES"/>
        </w:rPr>
      </w:pPr>
    </w:p>
    <w:p w:rsidRPr="00382EF7" w:rsidR="00BE54AC" w:rsidP="006935C8" w:rsidRDefault="00BE54AC" w14:paraId="032A289E" w14:textId="153C21DB">
      <w:pPr>
        <w:spacing w:after="0" w:line="360" w:lineRule="auto"/>
        <w:contextualSpacing/>
        <w:rPr>
          <w:rFonts w:eastAsia="Times New Roman" w:cs="Tahoma"/>
          <w:bCs/>
          <w:color w:val="auto"/>
          <w:lang w:eastAsia="es-ES"/>
        </w:rPr>
      </w:pPr>
      <w:bookmarkStart w:name="_Hlk63334754" w:id="1"/>
      <w:r w:rsidRPr="00382EF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82EF7">
        <w:rPr>
          <w:rFonts w:eastAsia="Times New Roman" w:cs="Times New Roman"/>
          <w:bCs/>
          <w:color w:val="auto"/>
          <w:lang w:eastAsia="es-ES"/>
        </w:rPr>
        <w:t xml:space="preserve"> 7°, </w:t>
      </w:r>
      <w:r w:rsidRPr="00382EF7" w:rsidR="0015296F">
        <w:rPr>
          <w:rFonts w:eastAsia="Times New Roman" w:cs="Tahoma"/>
          <w:bCs/>
          <w:color w:val="auto"/>
          <w:lang w:eastAsia="es-ES"/>
        </w:rPr>
        <w:t>9°, fracciones I y XXIII</w:t>
      </w:r>
      <w:r w:rsidRPr="00382EF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bookmarkEnd w:id="1"/>
    <w:p w:rsidRPr="00382EF7" w:rsidR="00BE54AC" w:rsidP="006935C8" w:rsidRDefault="00BE54AC" w14:paraId="0364E189" w14:textId="77777777">
      <w:pPr>
        <w:shd w:val="clear" w:color="auto" w:fill="FFFFFF"/>
        <w:spacing w:after="0" w:line="360" w:lineRule="auto"/>
        <w:contextualSpacing/>
        <w:rPr>
          <w:rFonts w:eastAsia="Times New Roman" w:cs="Times New Roman"/>
          <w:b/>
          <w:bCs/>
          <w:color w:val="000000"/>
          <w:lang w:eastAsia="es-ES"/>
        </w:rPr>
      </w:pPr>
    </w:p>
    <w:p w:rsidRPr="00382EF7" w:rsidR="00BE54AC" w:rsidP="006935C8" w:rsidRDefault="00BE54AC" w14:paraId="502CF7B9" w14:textId="77777777">
      <w:pPr>
        <w:shd w:val="clear" w:color="auto" w:fill="FFFFFF"/>
        <w:spacing w:after="0" w:line="360" w:lineRule="auto"/>
        <w:contextualSpacing/>
        <w:rPr>
          <w:rFonts w:eastAsia="Times New Roman" w:cs="Times New Roman"/>
          <w:color w:val="222222"/>
          <w:sz w:val="20"/>
          <w:szCs w:val="20"/>
          <w:lang w:eastAsia="es-ES"/>
        </w:rPr>
      </w:pPr>
      <w:r w:rsidRPr="00382EF7">
        <w:rPr>
          <w:rFonts w:eastAsia="Times New Roman" w:cs="Times New Roman"/>
          <w:b/>
          <w:bCs/>
          <w:color w:val="000000"/>
          <w:lang w:eastAsia="es-ES"/>
        </w:rPr>
        <w:t>SEGUNDO. Causales de procedencia y sobreseimiento.</w:t>
      </w:r>
    </w:p>
    <w:p w:rsidRPr="00382EF7" w:rsidR="00BE54AC" w:rsidP="006935C8" w:rsidRDefault="00BE54AC" w14:paraId="68285275" w14:textId="77777777">
      <w:pPr>
        <w:shd w:val="clear" w:color="auto" w:fill="FFFFFF"/>
        <w:spacing w:after="0" w:line="360" w:lineRule="auto"/>
        <w:contextualSpacing/>
        <w:rPr>
          <w:rFonts w:eastAsia="Times New Roman" w:cs="Times New Roman"/>
          <w:color w:val="222222"/>
          <w:sz w:val="20"/>
          <w:szCs w:val="20"/>
          <w:lang w:eastAsia="es-ES"/>
        </w:rPr>
      </w:pPr>
    </w:p>
    <w:p w:rsidRPr="00382EF7" w:rsidR="00BE54AC" w:rsidP="006935C8" w:rsidRDefault="00BE54AC" w14:paraId="6DF03063" w14:textId="77777777">
      <w:pPr>
        <w:shd w:val="clear" w:color="auto" w:fill="FFFFFF"/>
        <w:spacing w:after="0" w:line="360" w:lineRule="auto"/>
        <w:contextualSpacing/>
        <w:rPr>
          <w:rFonts w:eastAsia="Times New Roman" w:cs="Times New Roman"/>
          <w:color w:val="000000"/>
          <w:lang w:eastAsia="es-ES"/>
        </w:rPr>
      </w:pPr>
      <w:r w:rsidRPr="00382EF7">
        <w:rPr>
          <w:rFonts w:eastAsia="Times New Roman" w:cs="Times New Roman"/>
          <w:color w:val="000000"/>
          <w:lang w:eastAsia="es-ES"/>
        </w:rPr>
        <w:t xml:space="preserve">De las constancias que forman parte de los Recursos de Revisión que se analizan, se advierte que previo al estudio del fondo de la </w:t>
      </w:r>
      <w:r w:rsidRPr="00382EF7">
        <w:rPr>
          <w:rFonts w:eastAsia="Times New Roman" w:cs="Times New Roman"/>
          <w:i/>
          <w:color w:val="000000"/>
          <w:lang w:eastAsia="es-ES"/>
        </w:rPr>
        <w:t>litis</w:t>
      </w:r>
      <w:r w:rsidRPr="00382EF7">
        <w:rPr>
          <w:rFonts w:eastAsia="Times New Roman" w:cs="Times New Roman"/>
          <w:color w:val="000000"/>
          <w:lang w:eastAsia="es-ES"/>
        </w:rPr>
        <w:t>, es necesario estudiar las causales de improcedencia y sobreseimiento que se adviertan, para determinar lo que en Derecho proceda.</w:t>
      </w:r>
    </w:p>
    <w:p w:rsidRPr="00382EF7" w:rsidR="00BE54AC" w:rsidP="006935C8" w:rsidRDefault="00BE54AC" w14:paraId="327D36A8" w14:textId="77777777">
      <w:pPr>
        <w:shd w:val="clear" w:color="auto" w:fill="FFFFFF"/>
        <w:spacing w:after="0" w:line="360" w:lineRule="auto"/>
        <w:contextualSpacing/>
        <w:rPr>
          <w:rFonts w:eastAsia="Times New Roman" w:cs="Times New Roman"/>
          <w:color w:val="222222"/>
          <w:sz w:val="20"/>
          <w:szCs w:val="20"/>
          <w:lang w:eastAsia="es-ES"/>
        </w:rPr>
      </w:pPr>
    </w:p>
    <w:p w:rsidRPr="00382EF7" w:rsidR="00BE54AC" w:rsidP="006935C8" w:rsidRDefault="00BE54AC" w14:paraId="08A6AC11" w14:textId="77777777">
      <w:pPr>
        <w:shd w:val="clear" w:color="auto" w:fill="FFFFFF"/>
        <w:spacing w:after="0" w:line="360" w:lineRule="auto"/>
        <w:contextualSpacing/>
        <w:rPr>
          <w:rFonts w:eastAsia="Times New Roman" w:cs="Times New Roman"/>
          <w:color w:val="222222"/>
          <w:sz w:val="20"/>
          <w:szCs w:val="20"/>
          <w:lang w:eastAsia="es-ES"/>
        </w:rPr>
      </w:pPr>
      <w:r w:rsidRPr="00382EF7">
        <w:rPr>
          <w:rFonts w:eastAsia="Times New Roman" w:cs="Times New Roman"/>
          <w:b/>
          <w:bCs/>
          <w:color w:val="000000"/>
          <w:lang w:eastAsia="es-ES"/>
        </w:rPr>
        <w:t>Causales de improcedencia.</w:t>
      </w:r>
    </w:p>
    <w:p w:rsidRPr="00382EF7" w:rsidR="00BE54AC" w:rsidP="006935C8" w:rsidRDefault="00BE54AC" w14:paraId="602D5877" w14:textId="77777777">
      <w:pPr>
        <w:spacing w:after="0" w:line="360" w:lineRule="auto"/>
        <w:contextualSpacing/>
        <w:rPr>
          <w:rFonts w:eastAsia="Times New Roman" w:cs="Tahoma"/>
          <w:bCs/>
          <w:color w:val="000000"/>
          <w:lang w:eastAsia="es-ES"/>
        </w:rPr>
      </w:pPr>
      <w:r w:rsidRPr="00382EF7">
        <w:rPr>
          <w:rFonts w:eastAsia="Times New Roman" w:cs="Tahoma"/>
          <w:bCs/>
          <w:color w:val="000000"/>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82EF7" w:rsidR="00BE54AC" w:rsidP="006935C8" w:rsidRDefault="00BE54AC" w14:paraId="46A7BF7F" w14:textId="77777777">
      <w:pPr>
        <w:spacing w:after="0" w:line="360" w:lineRule="auto"/>
        <w:contextualSpacing/>
        <w:rPr>
          <w:rFonts w:eastAsia="Times New Roman" w:cs="Tahoma"/>
          <w:bCs/>
          <w:color w:val="000000"/>
          <w:lang w:eastAsia="es-ES"/>
        </w:rPr>
      </w:pPr>
    </w:p>
    <w:p w:rsidRPr="00382EF7" w:rsidR="00BE54AC" w:rsidP="006935C8" w:rsidRDefault="00BE54AC" w14:paraId="2C6A450D" w14:textId="59434609">
      <w:pPr>
        <w:spacing w:after="0" w:line="360" w:lineRule="auto"/>
        <w:contextualSpacing/>
        <w:rPr>
          <w:rFonts w:eastAsia="Times New Roman" w:cs="Tahoma"/>
          <w:bCs/>
          <w:color w:val="000000"/>
          <w:lang w:eastAsia="es-ES"/>
        </w:rPr>
      </w:pPr>
      <w:r w:rsidRPr="00382EF7">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w:t>
      </w:r>
      <w:r w:rsidRPr="00382EF7" w:rsidR="002E3E3C">
        <w:rPr>
          <w:rFonts w:eastAsia="Times New Roman" w:cs="Tahoma"/>
          <w:bCs/>
          <w:color w:val="000000"/>
          <w:lang w:eastAsia="es-ES"/>
        </w:rPr>
        <w:t xml:space="preserve"> </w:t>
      </w:r>
      <w:r w:rsidRPr="00382EF7">
        <w:rPr>
          <w:rFonts w:eastAsia="Times New Roman" w:cs="Tahoma"/>
          <w:bCs/>
          <w:color w:val="000000"/>
          <w:lang w:eastAsia="es-ES"/>
        </w:rPr>
        <w:t>informativo.</w:t>
      </w:r>
    </w:p>
    <w:p w:rsidRPr="00382EF7" w:rsidR="00BE54AC" w:rsidP="006935C8" w:rsidRDefault="00BE54AC" w14:paraId="03E7DC5E" w14:textId="77777777">
      <w:pPr>
        <w:spacing w:after="0" w:line="360" w:lineRule="auto"/>
        <w:contextualSpacing/>
        <w:rPr>
          <w:rFonts w:eastAsia="Times New Roman" w:cs="Tahoma"/>
          <w:bCs/>
          <w:color w:val="000000"/>
          <w:lang w:eastAsia="es-ES"/>
        </w:rPr>
      </w:pPr>
    </w:p>
    <w:p w:rsidRPr="00382EF7" w:rsidR="00BE54AC" w:rsidP="006935C8" w:rsidRDefault="00BE54AC" w14:paraId="70FDB10D" w14:textId="00529EED">
      <w:pPr>
        <w:autoSpaceDE w:val="0"/>
        <w:autoSpaceDN w:val="0"/>
        <w:adjustRightInd w:val="0"/>
        <w:spacing w:after="0" w:line="360" w:lineRule="auto"/>
        <w:contextualSpacing/>
        <w:rPr>
          <w:rFonts w:eastAsia="Calibri" w:cs="Tahoma"/>
          <w:color w:val="000000"/>
          <w:lang w:eastAsia="es-MX"/>
        </w:rPr>
      </w:pPr>
      <w:r w:rsidRPr="00382EF7">
        <w:rPr>
          <w:rFonts w:eastAsia="Calibri" w:cs="Tahoma"/>
          <w:color w:val="000000"/>
          <w:lang w:eastAsia="es-MX"/>
        </w:rPr>
        <w:t>Asimismo, se actualiza la causal de procedencia señalada en el artículo 179, fracción VI</w:t>
      </w:r>
      <w:r w:rsidRPr="00382EF7" w:rsidR="008E6FE9">
        <w:rPr>
          <w:rFonts w:eastAsia="Calibri" w:cs="Tahoma"/>
          <w:color w:val="000000"/>
          <w:lang w:eastAsia="es-MX"/>
        </w:rPr>
        <w:t>II</w:t>
      </w:r>
      <w:r w:rsidRPr="00382EF7">
        <w:rPr>
          <w:rFonts w:eastAsia="Calibri" w:cs="Tahoma"/>
          <w:color w:val="000000"/>
          <w:lang w:eastAsia="es-MX"/>
        </w:rPr>
        <w:t xml:space="preserve">, de la Ley de la materia, toda vez que el Solicitante se inconformó con </w:t>
      </w:r>
      <w:r w:rsidRPr="00382EF7" w:rsidR="008E6FE9">
        <w:rPr>
          <w:rFonts w:eastAsia="Calibri" w:cs="Tahoma"/>
          <w:color w:val="000000"/>
          <w:lang w:eastAsia="es-MX"/>
        </w:rPr>
        <w:t>el cambio de modalidad de entrega de la información</w:t>
      </w:r>
      <w:r w:rsidRPr="00382EF7">
        <w:rPr>
          <w:rFonts w:eastAsia="Calibri" w:cs="Tahoma"/>
          <w:color w:val="000000"/>
          <w:lang w:eastAsia="es-MX"/>
        </w:rPr>
        <w:t>.</w:t>
      </w:r>
    </w:p>
    <w:p w:rsidRPr="00382EF7" w:rsidR="00BE54AC" w:rsidP="006935C8" w:rsidRDefault="00BE54AC" w14:paraId="4F7E34AF" w14:textId="77777777">
      <w:pPr>
        <w:spacing w:after="0" w:line="360" w:lineRule="auto"/>
        <w:contextualSpacing/>
        <w:rPr>
          <w:rFonts w:eastAsia="Times New Roman" w:cs="Tahoma"/>
          <w:b/>
          <w:bCs/>
          <w:color w:val="0D0D0D" w:themeColor="text1" w:themeTint="F2"/>
          <w:lang w:eastAsia="es-ES"/>
        </w:rPr>
      </w:pPr>
    </w:p>
    <w:p w:rsidRPr="00382EF7" w:rsidR="00BE54AC" w:rsidP="006935C8" w:rsidRDefault="00BE54AC" w14:paraId="37B80C3E" w14:textId="77777777">
      <w:pPr>
        <w:spacing w:after="0" w:line="360" w:lineRule="auto"/>
        <w:contextualSpacing/>
        <w:rPr>
          <w:rFonts w:eastAsia="Times New Roman" w:cs="Tahoma"/>
          <w:bCs/>
          <w:color w:val="0D0D0D" w:themeColor="text1" w:themeTint="F2"/>
          <w:lang w:eastAsia="es-ES"/>
        </w:rPr>
      </w:pPr>
      <w:r w:rsidRPr="00382EF7">
        <w:rPr>
          <w:rFonts w:eastAsia="Times New Roman" w:cs="Tahoma"/>
          <w:b/>
          <w:bCs/>
          <w:color w:val="0D0D0D" w:themeColor="text1" w:themeTint="F2"/>
          <w:lang w:eastAsia="es-ES"/>
        </w:rPr>
        <w:t>Causales de sobreseimiento.</w:t>
      </w:r>
    </w:p>
    <w:p w:rsidRPr="00382EF7" w:rsidR="00BE54AC" w:rsidP="006935C8" w:rsidRDefault="00BE54AC" w14:paraId="2ABA8B3B" w14:textId="77777777">
      <w:pPr>
        <w:spacing w:after="0" w:line="360" w:lineRule="auto"/>
        <w:contextualSpacing/>
        <w:rPr>
          <w:rFonts w:eastAsia="Times New Roman" w:cs="Tahoma"/>
          <w:bCs/>
          <w:color w:val="0D0D0D" w:themeColor="text1" w:themeTint="F2"/>
          <w:lang w:eastAsia="es-ES"/>
        </w:rPr>
      </w:pPr>
    </w:p>
    <w:p w:rsidRPr="00382EF7" w:rsidR="00BE54AC" w:rsidP="006935C8" w:rsidRDefault="00BE54AC" w14:paraId="517C0EB4" w14:textId="77777777">
      <w:pPr>
        <w:spacing w:after="0" w:line="360" w:lineRule="auto"/>
        <w:contextualSpacing/>
        <w:rPr>
          <w:rFonts w:eastAsia="Times New Roman" w:cs="Tahoma"/>
          <w:bCs/>
          <w:color w:val="0D0D0D" w:themeColor="text1" w:themeTint="F2"/>
          <w:lang w:eastAsia="es-ES"/>
        </w:rPr>
      </w:pPr>
      <w:r w:rsidRPr="00382EF7">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382EF7" w:rsidR="00BE54AC" w:rsidP="006935C8" w:rsidRDefault="00BE54AC" w14:paraId="1F4CF90B" w14:textId="77777777">
      <w:pPr>
        <w:spacing w:after="0" w:line="360" w:lineRule="auto"/>
        <w:contextualSpacing/>
        <w:rPr>
          <w:rFonts w:eastAsia="Times New Roman" w:cs="Tahoma"/>
          <w:bCs/>
          <w:color w:val="0D0D0D" w:themeColor="text1" w:themeTint="F2"/>
          <w:lang w:eastAsia="es-ES"/>
        </w:rPr>
      </w:pPr>
    </w:p>
    <w:p w:rsidRPr="00382EF7" w:rsidR="00BE54AC" w:rsidP="006935C8" w:rsidRDefault="00BE54AC" w14:paraId="66FAD2D1" w14:textId="77777777">
      <w:pPr>
        <w:spacing w:after="0" w:line="360" w:lineRule="auto"/>
        <w:contextualSpacing/>
        <w:rPr>
          <w:rFonts w:eastAsia="Times New Roman" w:cs="Tahoma"/>
          <w:color w:val="auto"/>
          <w:szCs w:val="24"/>
          <w:lang w:eastAsia="es-ES"/>
        </w:rPr>
      </w:pPr>
      <w:r w:rsidRPr="00382EF7">
        <w:rPr>
          <w:rFonts w:eastAsia="Times New Roman" w:cs="Tahoma"/>
          <w:color w:val="auto"/>
          <w:szCs w:val="24"/>
          <w:lang w:eastAsia="es-E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rsidRPr="00382EF7" w:rsidR="00D4524E" w:rsidP="006935C8" w:rsidRDefault="00D4524E" w14:paraId="21008DD7" w14:textId="77777777">
      <w:pPr>
        <w:spacing w:after="0" w:line="360" w:lineRule="auto"/>
        <w:contextualSpacing/>
        <w:rPr>
          <w:rFonts w:eastAsia="Times New Roman" w:cs="Tahoma"/>
          <w:bCs/>
          <w:color w:val="0D0D0D" w:themeColor="text1" w:themeTint="F2"/>
          <w:lang w:eastAsia="es-ES"/>
        </w:rPr>
      </w:pPr>
    </w:p>
    <w:p w:rsidRPr="00382EF7" w:rsidR="00BE54AC" w:rsidP="006935C8" w:rsidRDefault="00BE54AC" w14:paraId="3F768221" w14:textId="0B10DD25">
      <w:pPr>
        <w:spacing w:after="0" w:line="360" w:lineRule="auto"/>
        <w:contextualSpacing/>
        <w:rPr>
          <w:rFonts w:cs="Tahoma"/>
        </w:rPr>
      </w:pPr>
      <w:r w:rsidRPr="00382EF7">
        <w:rPr>
          <w:rFonts w:eastAsia="Times New Roman" w:cs="Tahoma"/>
          <w:bCs/>
          <w:color w:val="0D0D0D" w:themeColor="text1" w:themeTint="F2"/>
          <w:lang w:eastAsia="es-ES"/>
        </w:rPr>
        <w:t>Por tales motivos, se considera procedente entrar al fondo del presente asunto</w:t>
      </w:r>
      <w:r w:rsidRPr="00382EF7">
        <w:rPr>
          <w:rFonts w:cs="Tahoma"/>
        </w:rPr>
        <w:t xml:space="preserve">. </w:t>
      </w:r>
    </w:p>
    <w:p w:rsidRPr="00382EF7" w:rsidR="00BE54AC" w:rsidP="006935C8" w:rsidRDefault="00BE54AC" w14:paraId="406AFC89" w14:textId="77777777">
      <w:pPr>
        <w:tabs>
          <w:tab w:val="left" w:pos="4962"/>
        </w:tabs>
        <w:spacing w:after="0" w:line="360" w:lineRule="auto"/>
        <w:contextualSpacing/>
        <w:rPr>
          <w:rFonts w:cs="Tahoma"/>
        </w:rPr>
      </w:pPr>
    </w:p>
    <w:p w:rsidRPr="00382EF7" w:rsidR="00BE54AC" w:rsidP="006935C8" w:rsidRDefault="00BE54AC" w14:paraId="6366F7B9" w14:textId="77777777">
      <w:pPr>
        <w:tabs>
          <w:tab w:val="left" w:pos="4962"/>
        </w:tabs>
        <w:spacing w:after="0" w:line="360" w:lineRule="auto"/>
        <w:contextualSpacing/>
        <w:rPr>
          <w:rFonts w:eastAsia="Calibri" w:cs="Tahoma"/>
          <w:b/>
          <w:iCs/>
          <w:lang w:eastAsia="es-ES_tradnl"/>
        </w:rPr>
      </w:pPr>
      <w:r w:rsidRPr="00382EF7">
        <w:rPr>
          <w:rFonts w:eastAsia="Calibri" w:cs="Tahoma"/>
          <w:b/>
          <w:iCs/>
          <w:lang w:eastAsia="es-ES_tradnl"/>
        </w:rPr>
        <w:t xml:space="preserve">TERCERO. Determinación de la Controversia. </w:t>
      </w:r>
    </w:p>
    <w:p w:rsidRPr="00382EF7" w:rsidR="00BE54AC" w:rsidP="006935C8" w:rsidRDefault="00BE54AC" w14:paraId="003A59E4" w14:textId="77777777">
      <w:pPr>
        <w:spacing w:after="0" w:line="360" w:lineRule="auto"/>
        <w:contextualSpacing/>
      </w:pPr>
    </w:p>
    <w:p w:rsidRPr="00382EF7" w:rsidR="00BE54AC" w:rsidP="006935C8" w:rsidRDefault="00BE54AC" w14:paraId="15A40B06" w14:textId="17168087">
      <w:pPr>
        <w:tabs>
          <w:tab w:val="left" w:pos="4962"/>
        </w:tabs>
        <w:spacing w:after="0" w:line="360" w:lineRule="auto"/>
        <w:contextualSpacing/>
        <w:rPr>
          <w:rFonts w:eastAsia="Calibri" w:cs="Tahoma"/>
          <w:iCs/>
          <w:lang w:eastAsia="es-ES_tradnl"/>
        </w:rPr>
      </w:pPr>
      <w:r w:rsidRPr="00382EF7">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que el </w:t>
      </w:r>
      <w:r w:rsidRPr="00382EF7" w:rsidR="00627F82">
        <w:rPr>
          <w:rFonts w:eastAsia="Calibri" w:cs="Tahoma"/>
          <w:iCs/>
          <w:lang w:eastAsia="es-ES_tradnl"/>
        </w:rPr>
        <w:t>Part</w:t>
      </w:r>
      <w:r w:rsidRPr="00382EF7" w:rsidR="00AD7E44">
        <w:rPr>
          <w:rFonts w:eastAsia="Calibri" w:cs="Tahoma"/>
          <w:iCs/>
          <w:lang w:eastAsia="es-ES_tradnl"/>
        </w:rPr>
        <w:t>i</w:t>
      </w:r>
      <w:r w:rsidRPr="00382EF7" w:rsidR="00627F82">
        <w:rPr>
          <w:rFonts w:eastAsia="Calibri" w:cs="Tahoma"/>
          <w:iCs/>
          <w:lang w:eastAsia="es-ES_tradnl"/>
        </w:rPr>
        <w:t>cular</w:t>
      </w:r>
      <w:r w:rsidRPr="00382EF7">
        <w:rPr>
          <w:rFonts w:eastAsia="Calibri" w:cs="Tahoma"/>
          <w:iCs/>
          <w:lang w:eastAsia="es-ES_tradnl"/>
        </w:rPr>
        <w:t xml:space="preserve"> requirió</w:t>
      </w:r>
      <w:r w:rsidRPr="00382EF7" w:rsidR="008E6FE9">
        <w:rPr>
          <w:rFonts w:eastAsia="Calibri" w:cs="Tahoma"/>
          <w:iCs/>
          <w:lang w:eastAsia="es-ES_tradnl"/>
        </w:rPr>
        <w:t xml:space="preserve"> </w:t>
      </w:r>
      <w:r w:rsidRPr="00382EF7" w:rsidR="0015296F">
        <w:rPr>
          <w:rFonts w:eastAsia="Calibri" w:cs="Tahoma"/>
          <w:iCs/>
          <w:lang w:eastAsia="es-ES_tradnl"/>
        </w:rPr>
        <w:t xml:space="preserve">los documentos que integraban los </w:t>
      </w:r>
      <w:r w:rsidRPr="00382EF7" w:rsidR="007A10DA">
        <w:rPr>
          <w:rFonts w:eastAsia="Calibri" w:cs="Tahoma"/>
          <w:iCs/>
          <w:lang w:eastAsia="es-ES_tradnl"/>
        </w:rPr>
        <w:t>módulos 1, 2, 3 y 4</w:t>
      </w:r>
      <w:r w:rsidRPr="00382EF7" w:rsidR="00627F82">
        <w:rPr>
          <w:rFonts w:eastAsia="Calibri" w:cs="Tahoma"/>
          <w:iCs/>
          <w:lang w:eastAsia="es-ES_tradnl"/>
        </w:rPr>
        <w:t xml:space="preserve"> </w:t>
      </w:r>
      <w:r w:rsidRPr="00382EF7" w:rsidR="00AD7E44">
        <w:rPr>
          <w:rFonts w:eastAsia="Calibri" w:cs="Tahoma"/>
          <w:iCs/>
          <w:lang w:eastAsia="es-ES_tradnl"/>
        </w:rPr>
        <w:t xml:space="preserve">de </w:t>
      </w:r>
      <w:r w:rsidRPr="00382EF7" w:rsidR="00627F82">
        <w:rPr>
          <w:rFonts w:eastAsia="Calibri" w:cs="Tahoma"/>
          <w:iCs/>
          <w:lang w:eastAsia="es-ES_tradnl"/>
        </w:rPr>
        <w:t>los informes trimestrales</w:t>
      </w:r>
      <w:r w:rsidRPr="00382EF7" w:rsidR="006F0EC3">
        <w:rPr>
          <w:rFonts w:eastAsia="Calibri" w:cs="Tahoma"/>
          <w:iCs/>
          <w:lang w:eastAsia="es-ES_tradnl"/>
        </w:rPr>
        <w:t xml:space="preserve"> </w:t>
      </w:r>
      <w:r w:rsidRPr="00382EF7" w:rsidR="0015296F">
        <w:rPr>
          <w:rFonts w:eastAsia="Calibri" w:cs="Tahoma"/>
          <w:iCs/>
          <w:lang w:eastAsia="es-ES_tradnl"/>
        </w:rPr>
        <w:t>emitidos por el</w:t>
      </w:r>
      <w:r w:rsidRPr="00382EF7" w:rsidR="00627F82">
        <w:rPr>
          <w:rFonts w:eastAsia="Calibri" w:cs="Tahoma"/>
          <w:iCs/>
          <w:lang w:eastAsia="es-ES_tradnl"/>
        </w:rPr>
        <w:t xml:space="preserve"> Ayuntamiento de Melchor Ocampo</w:t>
      </w:r>
      <w:r w:rsidRPr="00382EF7" w:rsidR="0015296F">
        <w:rPr>
          <w:rFonts w:eastAsia="Calibri" w:cs="Tahoma"/>
          <w:iCs/>
          <w:lang w:eastAsia="es-ES_tradnl"/>
        </w:rPr>
        <w:t xml:space="preserve"> y entregados</w:t>
      </w:r>
      <w:r w:rsidRPr="00382EF7" w:rsidR="007A10DA">
        <w:rPr>
          <w:rFonts w:eastAsia="Calibri" w:cs="Tahoma"/>
          <w:iCs/>
          <w:lang w:eastAsia="es-ES_tradnl"/>
        </w:rPr>
        <w:t xml:space="preserve"> </w:t>
      </w:r>
      <w:r w:rsidRPr="00382EF7" w:rsidR="00AD7E44">
        <w:rPr>
          <w:rFonts w:eastAsia="Calibri" w:cs="Tahoma"/>
          <w:iCs/>
          <w:lang w:eastAsia="es-ES_tradnl"/>
        </w:rPr>
        <w:t xml:space="preserve">al Órgano Superior de Fiscalización del Estado de México. </w:t>
      </w:r>
    </w:p>
    <w:p w:rsidRPr="00382EF7" w:rsidR="00AD7E44" w:rsidP="006935C8" w:rsidRDefault="00AD7E44" w14:paraId="11082717" w14:textId="77777777">
      <w:pPr>
        <w:tabs>
          <w:tab w:val="left" w:pos="4962"/>
        </w:tabs>
        <w:spacing w:after="0" w:line="360" w:lineRule="auto"/>
        <w:contextualSpacing/>
        <w:rPr>
          <w:rFonts w:eastAsia="Calibri" w:cs="Tahoma"/>
          <w:iCs/>
          <w:lang w:eastAsia="es-ES_tradnl"/>
        </w:rPr>
      </w:pPr>
    </w:p>
    <w:p w:rsidRPr="00382EF7" w:rsidR="00BE54AC" w:rsidP="006935C8" w:rsidRDefault="00BE54AC" w14:paraId="69A9E14E" w14:textId="2EFB38D0">
      <w:pPr>
        <w:spacing w:after="0" w:line="360" w:lineRule="auto"/>
        <w:contextualSpacing/>
        <w:rPr>
          <w:rFonts w:cs="Tahoma"/>
          <w:bCs/>
          <w:iCs/>
        </w:rPr>
      </w:pPr>
      <w:r w:rsidRPr="00382EF7">
        <w:rPr>
          <w:rFonts w:cs="Tahoma"/>
          <w:bCs/>
          <w:iCs/>
        </w:rPr>
        <w:t xml:space="preserve">En respuesta, el Sujeto Obligado indicó por medio de la </w:t>
      </w:r>
      <w:r w:rsidRPr="00382EF7" w:rsidR="001403A8">
        <w:rPr>
          <w:rFonts w:cs="Tahoma"/>
          <w:bCs/>
          <w:iCs/>
        </w:rPr>
        <w:t>Tesorería Municipal</w:t>
      </w:r>
      <w:r w:rsidRPr="00382EF7">
        <w:rPr>
          <w:rFonts w:cs="Tahoma"/>
          <w:bCs/>
          <w:iCs/>
        </w:rPr>
        <w:t>,</w:t>
      </w:r>
      <w:r w:rsidRPr="00382EF7" w:rsidR="001403A8">
        <w:rPr>
          <w:rFonts w:cs="Tahoma"/>
          <w:bCs/>
          <w:iCs/>
        </w:rPr>
        <w:t xml:space="preserve"> q</w:t>
      </w:r>
      <w:r w:rsidRPr="00382EF7">
        <w:rPr>
          <w:rFonts w:cs="Tahoma"/>
          <w:bCs/>
          <w:iCs/>
        </w:rPr>
        <w:t xml:space="preserve">ue la </w:t>
      </w:r>
      <w:r w:rsidRPr="00382EF7" w:rsidR="001403A8">
        <w:rPr>
          <w:rFonts w:cs="Tahoma"/>
          <w:bCs/>
          <w:iCs/>
        </w:rPr>
        <w:t>inf</w:t>
      </w:r>
      <w:r w:rsidRPr="00382EF7" w:rsidR="0015296F">
        <w:rPr>
          <w:rFonts w:cs="Tahoma"/>
          <w:bCs/>
          <w:iCs/>
        </w:rPr>
        <w:t>ormación solicitada se encontraba</w:t>
      </w:r>
      <w:r w:rsidRPr="00382EF7" w:rsidR="001403A8">
        <w:rPr>
          <w:rFonts w:cs="Tahoma"/>
          <w:bCs/>
          <w:iCs/>
        </w:rPr>
        <w:t xml:space="preserve"> plasmada en múltiples documentos que, por su naturaleza, </w:t>
      </w:r>
      <w:r w:rsidRPr="00382EF7" w:rsidR="0015296F">
        <w:rPr>
          <w:rFonts w:cs="Tahoma"/>
          <w:bCs/>
          <w:iCs/>
        </w:rPr>
        <w:t>contenía información clasificada, de la cual se debía</w:t>
      </w:r>
      <w:r w:rsidRPr="00382EF7" w:rsidR="001403A8">
        <w:rPr>
          <w:rFonts w:cs="Tahoma"/>
          <w:bCs/>
          <w:iCs/>
        </w:rPr>
        <w:t xml:space="preserve"> integrar una versión pública para su entrega, lo que implicaría un consumo considerable de recursos</w:t>
      </w:r>
      <w:r w:rsidRPr="00382EF7" w:rsidR="00D4524E">
        <w:rPr>
          <w:rFonts w:cs="Tahoma"/>
          <w:bCs/>
          <w:iCs/>
        </w:rPr>
        <w:t xml:space="preserve"> materiales y humanos, por lo que derivado de las múltiples solicitudes recibidas se determinó cambiar la modalidad de entrega de la información </w:t>
      </w:r>
      <w:r w:rsidRPr="00382EF7" w:rsidR="001403A8">
        <w:rPr>
          <w:rFonts w:cs="Tahoma"/>
          <w:bCs/>
          <w:iCs/>
        </w:rPr>
        <w:t xml:space="preserve"> </w:t>
      </w:r>
      <w:r w:rsidRPr="00382EF7" w:rsidR="00D4524E">
        <w:rPr>
          <w:rFonts w:cs="Tahoma"/>
          <w:bCs/>
          <w:iCs/>
        </w:rPr>
        <w:t>a consulta directa</w:t>
      </w:r>
      <w:r w:rsidRPr="00382EF7" w:rsidR="0015296F">
        <w:rPr>
          <w:rFonts w:cs="Tahoma"/>
          <w:bCs/>
          <w:iCs/>
        </w:rPr>
        <w:t>; a</w:t>
      </w:r>
      <w:r w:rsidRPr="00382EF7">
        <w:rPr>
          <w:rFonts w:cs="Tahoma"/>
          <w:bCs/>
          <w:iCs/>
        </w:rPr>
        <w:t>nte dicha circunstancia, la Particular se incon</w:t>
      </w:r>
      <w:r w:rsidRPr="00382EF7" w:rsidR="00D4524E">
        <w:rPr>
          <w:rFonts w:cs="Tahoma"/>
          <w:bCs/>
          <w:iCs/>
        </w:rPr>
        <w:t>formó del cambio de modalidad</w:t>
      </w:r>
      <w:r w:rsidRPr="00382EF7">
        <w:rPr>
          <w:rFonts w:cs="Tahoma"/>
          <w:bCs/>
          <w:iCs/>
        </w:rPr>
        <w:t>, al precisar que</w:t>
      </w:r>
      <w:r w:rsidRPr="00382EF7" w:rsidR="00D4524E">
        <w:rPr>
          <w:rFonts w:cs="Tahoma"/>
          <w:bCs/>
          <w:iCs/>
        </w:rPr>
        <w:t xml:space="preserve"> el Sujeto Obligado ha sido excesivo en tiempo para ofrecer una respuesta a su solicitud de información</w:t>
      </w:r>
      <w:r w:rsidRPr="00382EF7">
        <w:rPr>
          <w:rFonts w:cs="Tahoma"/>
          <w:bCs/>
          <w:iCs/>
        </w:rPr>
        <w:t>, lo cual actualiza la causal de procedencia establecida en el artículo 179, fracción V</w:t>
      </w:r>
      <w:r w:rsidRPr="00382EF7" w:rsidR="00D4524E">
        <w:rPr>
          <w:rFonts w:cs="Tahoma"/>
          <w:bCs/>
          <w:iCs/>
        </w:rPr>
        <w:t>II</w:t>
      </w:r>
      <w:r w:rsidRPr="00382EF7">
        <w:rPr>
          <w:rFonts w:cs="Tahoma"/>
          <w:bCs/>
          <w:iCs/>
        </w:rPr>
        <w:t xml:space="preserve">I, de la Ley de Transparencia y Acceso a </w:t>
      </w:r>
      <w:r w:rsidRPr="00382EF7">
        <w:rPr>
          <w:rFonts w:cs="Tahoma"/>
          <w:bCs/>
          <w:iCs/>
        </w:rPr>
        <w:lastRenderedPageBreak/>
        <w:t>la Información Pública del Estado de México y Municipios. Así las cosas, una vez admitido y notificado el Recursos de Revisión a las partes, las partes fueron omisas en emitir manifestaciones o alegatos.</w:t>
      </w:r>
    </w:p>
    <w:p w:rsidRPr="00382EF7" w:rsidR="00BE54AC" w:rsidP="006935C8" w:rsidRDefault="00BE54AC" w14:paraId="353551F7" w14:textId="77777777">
      <w:pPr>
        <w:spacing w:after="0" w:line="360" w:lineRule="auto"/>
        <w:contextualSpacing/>
        <w:rPr>
          <w:rFonts w:cs="Tahoma"/>
          <w:bCs/>
          <w:iCs/>
        </w:rPr>
      </w:pPr>
    </w:p>
    <w:p w:rsidRPr="00382EF7" w:rsidR="00BE54AC" w:rsidP="006935C8" w:rsidRDefault="00BE54AC" w14:paraId="59964865" w14:textId="185B71C0">
      <w:pPr>
        <w:tabs>
          <w:tab w:val="left" w:pos="4962"/>
        </w:tabs>
        <w:spacing w:after="0" w:line="360" w:lineRule="auto"/>
        <w:contextualSpacing/>
        <w:rPr>
          <w:rFonts w:eastAsia="Calibri" w:cs="Tahoma"/>
          <w:bCs/>
        </w:rPr>
      </w:pPr>
      <w:r w:rsidRPr="00382EF7">
        <w:rPr>
          <w:rFonts w:eastAsia="Calibri" w:cs="Tahoma"/>
          <w:iCs/>
          <w:lang w:eastAsia="es-ES_tradnl"/>
        </w:rPr>
        <w:t>Lo anterior, se desprende de las documentales que obran en los expedientes de referencia, materia de la presente resolución, consistente</w:t>
      </w:r>
      <w:r w:rsidRPr="00382EF7" w:rsidR="004524ED">
        <w:rPr>
          <w:rFonts w:eastAsia="Calibri" w:cs="Tahoma"/>
          <w:iCs/>
          <w:lang w:eastAsia="es-ES_tradnl"/>
        </w:rPr>
        <w:t>s</w:t>
      </w:r>
      <w:r w:rsidRPr="00382EF7">
        <w:rPr>
          <w:rFonts w:eastAsia="Calibri" w:cs="Tahoma"/>
          <w:iCs/>
          <w:lang w:eastAsia="es-ES_tradnl"/>
        </w:rPr>
        <w:t xml:space="preserve"> en: la solicitud de acceso a la información; la respuesta entregada</w:t>
      </w:r>
      <w:r w:rsidRPr="00382EF7" w:rsidR="00AD7E44">
        <w:rPr>
          <w:rFonts w:eastAsia="Calibri" w:cs="Tahoma"/>
          <w:iCs/>
          <w:lang w:eastAsia="es-ES_tradnl"/>
        </w:rPr>
        <w:t xml:space="preserve">, </w:t>
      </w:r>
      <w:r w:rsidRPr="00382EF7">
        <w:rPr>
          <w:rFonts w:eastAsia="Calibri" w:cs="Tahoma"/>
          <w:iCs/>
          <w:lang w:eastAsia="es-ES_tradnl"/>
        </w:rPr>
        <w:t>el escrito recursal</w:t>
      </w:r>
      <w:r w:rsidRPr="00382EF7" w:rsidR="00AD7E44">
        <w:rPr>
          <w:rFonts w:eastAsia="Calibri" w:cs="Tahoma"/>
          <w:iCs/>
          <w:lang w:eastAsia="es-ES_tradnl"/>
        </w:rPr>
        <w:t xml:space="preserve"> y el desahogo de</w:t>
      </w:r>
      <w:r w:rsidRPr="00382EF7" w:rsidR="004524ED">
        <w:rPr>
          <w:rFonts w:eastAsia="Calibri" w:cs="Tahoma"/>
          <w:iCs/>
          <w:lang w:eastAsia="es-ES_tradnl"/>
        </w:rPr>
        <w:t>l Requerimiento de Información Adicional</w:t>
      </w:r>
      <w:r w:rsidRPr="00382EF7">
        <w:rPr>
          <w:rFonts w:eastAsia="Calibri" w:cs="Tahoma"/>
          <w:iCs/>
          <w:lang w:eastAsia="es-ES_tradnl"/>
        </w:rPr>
        <w:t xml:space="preserve">; </w:t>
      </w:r>
      <w:r w:rsidRPr="00382EF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382EF7" w:rsidR="00BE54AC" w:rsidP="006935C8" w:rsidRDefault="00BE54AC" w14:paraId="75643875" w14:textId="77777777">
      <w:pPr>
        <w:tabs>
          <w:tab w:val="left" w:pos="4962"/>
        </w:tabs>
        <w:spacing w:after="0" w:line="360" w:lineRule="auto"/>
        <w:contextualSpacing/>
        <w:rPr>
          <w:rFonts w:eastAsia="Calibri" w:cs="Tahoma"/>
          <w:bCs/>
        </w:rPr>
      </w:pPr>
    </w:p>
    <w:p w:rsidRPr="00382EF7" w:rsidR="00BE54AC" w:rsidP="006935C8" w:rsidRDefault="00BE54AC" w14:paraId="20D6E4AE" w14:textId="77777777">
      <w:pPr>
        <w:spacing w:after="0" w:line="360" w:lineRule="auto"/>
        <w:contextualSpacing/>
        <w:rPr>
          <w:rFonts w:cs="Tahoma"/>
          <w:b/>
        </w:rPr>
      </w:pPr>
      <w:r w:rsidRPr="00382EF7">
        <w:rPr>
          <w:rFonts w:cs="Tahoma"/>
          <w:b/>
        </w:rPr>
        <w:t>CUARTO. Marco normativo aplicable en materia de transparencia y acceso a la información pública.</w:t>
      </w:r>
    </w:p>
    <w:p w:rsidRPr="00382EF7" w:rsidR="00BE54AC" w:rsidP="006935C8" w:rsidRDefault="00BE54AC" w14:paraId="6F0FAA92" w14:textId="77777777">
      <w:pPr>
        <w:spacing w:after="0" w:line="360" w:lineRule="auto"/>
        <w:contextualSpacing/>
        <w:rPr>
          <w:rFonts w:cs="Tahoma"/>
          <w:b/>
        </w:rPr>
      </w:pPr>
    </w:p>
    <w:p w:rsidRPr="00382EF7" w:rsidR="00BE54AC" w:rsidP="006935C8" w:rsidRDefault="00BE54AC" w14:paraId="470F8831" w14:textId="77777777">
      <w:pPr>
        <w:widowControl w:val="0"/>
        <w:spacing w:after="0" w:line="360" w:lineRule="auto"/>
        <w:contextualSpacing/>
        <w:rPr>
          <w:rFonts w:eastAsia="Times New Roman" w:cs="Tahoma"/>
          <w:lang w:eastAsia="es-MX"/>
        </w:rPr>
      </w:pPr>
      <w:r w:rsidRPr="00382EF7">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82EF7" w:rsidR="00BE54AC" w:rsidP="006935C8" w:rsidRDefault="00BE54AC" w14:paraId="39E8A208" w14:textId="77777777">
      <w:pPr>
        <w:widowControl w:val="0"/>
        <w:spacing w:after="0" w:line="360" w:lineRule="auto"/>
        <w:contextualSpacing/>
        <w:rPr>
          <w:rFonts w:eastAsia="Times New Roman" w:cs="Tahoma"/>
          <w:lang w:eastAsia="es-MX"/>
        </w:rPr>
      </w:pPr>
    </w:p>
    <w:p w:rsidRPr="00382EF7" w:rsidR="00BE54AC" w:rsidP="006935C8" w:rsidRDefault="00BE54AC" w14:paraId="2C9CEBC4" w14:textId="77777777">
      <w:pPr>
        <w:widowControl w:val="0"/>
        <w:spacing w:after="0" w:line="360" w:lineRule="auto"/>
        <w:contextualSpacing/>
        <w:rPr>
          <w:rFonts w:eastAsia="Times New Roman" w:cs="Tahoma"/>
          <w:lang w:eastAsia="es-MX"/>
        </w:rPr>
      </w:pPr>
      <w:r w:rsidRPr="00382EF7">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82EF7" w:rsidR="00BE54AC" w:rsidP="006935C8" w:rsidRDefault="00BE54AC" w14:paraId="1B0D9665" w14:textId="77777777">
      <w:pPr>
        <w:widowControl w:val="0"/>
        <w:spacing w:after="0" w:line="360" w:lineRule="auto"/>
        <w:contextualSpacing/>
        <w:rPr>
          <w:rFonts w:eastAsia="Times New Roman" w:cs="Tahoma"/>
          <w:lang w:eastAsia="es-MX"/>
        </w:rPr>
      </w:pPr>
    </w:p>
    <w:p w:rsidRPr="00382EF7" w:rsidR="00BE54AC" w:rsidP="006935C8" w:rsidRDefault="00BE54AC" w14:paraId="734F7283" w14:textId="77777777">
      <w:pPr>
        <w:spacing w:after="0" w:line="360" w:lineRule="auto"/>
        <w:contextualSpacing/>
        <w:rPr>
          <w:rFonts w:eastAsia="Times New Roman" w:cs="Tahoma"/>
          <w:lang w:eastAsia="es-MX"/>
        </w:rPr>
      </w:pPr>
      <w:r w:rsidRPr="00382EF7">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82EF7" w:rsidR="00BE54AC" w:rsidP="006935C8" w:rsidRDefault="00BE54AC" w14:paraId="08BBE76F" w14:textId="77777777">
      <w:pPr>
        <w:widowControl w:val="0"/>
        <w:spacing w:after="0" w:line="360" w:lineRule="auto"/>
        <w:contextualSpacing/>
        <w:rPr>
          <w:rFonts w:eastAsia="Times New Roman" w:cs="Tahoma"/>
          <w:lang w:eastAsia="es-MX"/>
        </w:rPr>
      </w:pPr>
      <w:r w:rsidRPr="00382EF7">
        <w:rPr>
          <w:rFonts w:eastAsia="Times New Roman" w:cs="Tahoma"/>
          <w:lang w:eastAsia="es-MX"/>
        </w:rPr>
        <w:lastRenderedPageBreak/>
        <w:t>Por su parte, la Ley de Transparencia y Acceso a la Información Pública del Estado de México y Municipios (Reglamentaria del artículo 5° de la Constitución Local), establece lo siguiente:</w:t>
      </w:r>
    </w:p>
    <w:p w:rsidRPr="00382EF7" w:rsidR="00BE54AC" w:rsidP="006935C8" w:rsidRDefault="00BE54AC" w14:paraId="2BAA3A6F" w14:textId="77777777">
      <w:pPr>
        <w:widowControl w:val="0"/>
        <w:spacing w:after="0" w:line="360" w:lineRule="auto"/>
        <w:contextualSpacing/>
        <w:rPr>
          <w:rFonts w:eastAsia="Times New Roman" w:cs="Tahoma"/>
          <w:lang w:eastAsia="es-MX"/>
        </w:rPr>
      </w:pPr>
    </w:p>
    <w:p w:rsidRPr="00382EF7" w:rsidR="00BE54AC" w:rsidP="006935C8" w:rsidRDefault="00BE54AC" w14:paraId="3C907523" w14:textId="77777777">
      <w:pPr>
        <w:widowControl w:val="0"/>
        <w:spacing w:after="0" w:line="360" w:lineRule="auto"/>
        <w:contextualSpacing/>
        <w:rPr>
          <w:rFonts w:eastAsia="Times New Roman" w:cs="Tahoma"/>
          <w:lang w:eastAsia="es-MX"/>
        </w:rPr>
      </w:pPr>
      <w:r w:rsidRPr="00382EF7">
        <w:rPr>
          <w:rFonts w:eastAsia="Times New Roman" w:cs="Tahoma"/>
          <w:lang w:eastAsia="es-MX"/>
        </w:rPr>
        <w:t>El artículo 12, que, quienes generen, recopilen, administren, manejen, procesen, archiven o conserven información pública serán responsables de la misma.</w:t>
      </w:r>
    </w:p>
    <w:p w:rsidRPr="00382EF7" w:rsidR="00BE54AC" w:rsidP="006935C8" w:rsidRDefault="00BE54AC" w14:paraId="0CEA9E21" w14:textId="77777777">
      <w:pPr>
        <w:widowControl w:val="0"/>
        <w:spacing w:after="0" w:line="360" w:lineRule="auto"/>
        <w:contextualSpacing/>
        <w:rPr>
          <w:rFonts w:eastAsia="Times New Roman" w:cs="Tahoma"/>
          <w:lang w:eastAsia="es-MX"/>
        </w:rPr>
      </w:pPr>
    </w:p>
    <w:p w:rsidRPr="00382EF7" w:rsidR="00BE54AC" w:rsidP="006935C8" w:rsidRDefault="00BE54AC" w14:paraId="1FC1065F" w14:textId="77777777">
      <w:pPr>
        <w:widowControl w:val="0"/>
        <w:spacing w:after="0" w:line="360" w:lineRule="auto"/>
        <w:contextualSpacing/>
        <w:rPr>
          <w:rFonts w:eastAsia="Times New Roman" w:cs="Tahoma"/>
          <w:lang w:eastAsia="es-MX"/>
        </w:rPr>
      </w:pPr>
      <w:r w:rsidRPr="00382EF7">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382EF7" w:rsidR="00BE54AC" w:rsidP="006935C8" w:rsidRDefault="00BE54AC" w14:paraId="4B1E2EB2" w14:textId="77777777">
      <w:pPr>
        <w:widowControl w:val="0"/>
        <w:spacing w:after="0" w:line="360" w:lineRule="auto"/>
        <w:contextualSpacing/>
        <w:rPr>
          <w:rFonts w:eastAsia="Times New Roman" w:cs="Tahoma"/>
          <w:lang w:eastAsia="es-MX"/>
        </w:rPr>
      </w:pPr>
    </w:p>
    <w:p w:rsidRPr="00382EF7" w:rsidR="00BE54AC" w:rsidP="006935C8" w:rsidRDefault="00BE54AC" w14:paraId="5FF247BE" w14:textId="2D4E29D4">
      <w:pPr>
        <w:spacing w:after="0" w:line="360" w:lineRule="auto"/>
        <w:contextualSpacing/>
        <w:rPr>
          <w:rFonts w:eastAsia="Times New Roman" w:cs="Tahoma"/>
          <w:lang w:eastAsia="es-MX"/>
        </w:rPr>
      </w:pPr>
      <w:r w:rsidRPr="00382EF7">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82EF7" w:rsidR="00D4524E" w:rsidP="006935C8" w:rsidRDefault="00D4524E" w14:paraId="2AA770C0" w14:textId="749D3B35">
      <w:pPr>
        <w:spacing w:after="0" w:line="360" w:lineRule="auto"/>
        <w:contextualSpacing/>
        <w:rPr>
          <w:rFonts w:eastAsia="Times New Roman" w:cs="Tahoma"/>
          <w:lang w:eastAsia="es-MX"/>
        </w:rPr>
      </w:pPr>
    </w:p>
    <w:p w:rsidRPr="00382EF7" w:rsidR="00BE54AC" w:rsidP="006935C8" w:rsidRDefault="00D4524E" w14:paraId="6CB71F22" w14:textId="1BD2B864">
      <w:pPr>
        <w:spacing w:after="0" w:line="360" w:lineRule="auto"/>
        <w:contextualSpacing/>
        <w:rPr>
          <w:rFonts w:eastAsia="Times New Roman" w:cs="Tahoma"/>
          <w:lang w:eastAsia="es-MX"/>
        </w:rPr>
      </w:pPr>
      <w:r w:rsidRPr="00382EF7">
        <w:rPr>
          <w:rFonts w:eastAsia="Times New Roman" w:cs="Tahoma"/>
          <w:lang w:eastAsia="es-MX"/>
        </w:rPr>
        <w:t>El artículo 92 fracci</w:t>
      </w:r>
      <w:r w:rsidRPr="00382EF7" w:rsidR="00A553EB">
        <w:rPr>
          <w:rFonts w:eastAsia="Times New Roman" w:cs="Tahoma"/>
          <w:lang w:eastAsia="es-MX"/>
        </w:rPr>
        <w:t>o</w:t>
      </w:r>
      <w:r w:rsidRPr="00382EF7">
        <w:rPr>
          <w:rFonts w:eastAsia="Times New Roman" w:cs="Tahoma"/>
          <w:lang w:eastAsia="es-MX"/>
        </w:rPr>
        <w:t>n</w:t>
      </w:r>
      <w:r w:rsidRPr="00382EF7" w:rsidR="00A553EB">
        <w:rPr>
          <w:rFonts w:eastAsia="Times New Roman" w:cs="Tahoma"/>
          <w:lang w:eastAsia="es-MX"/>
        </w:rPr>
        <w:t>es</w:t>
      </w:r>
      <w:r w:rsidRPr="00382EF7">
        <w:rPr>
          <w:rFonts w:eastAsia="Times New Roman" w:cs="Tahoma"/>
          <w:lang w:eastAsia="es-MX"/>
        </w:rPr>
        <w:t xml:space="preserve"> XXV</w:t>
      </w:r>
      <w:r w:rsidRPr="00382EF7" w:rsidR="00A553EB">
        <w:rPr>
          <w:rFonts w:eastAsia="Times New Roman" w:cs="Tahoma"/>
          <w:lang w:eastAsia="es-MX"/>
        </w:rPr>
        <w:t xml:space="preserve"> y XXXII</w:t>
      </w:r>
      <w:r w:rsidRPr="00382EF7">
        <w:rPr>
          <w:rFonts w:eastAsia="Times New Roman" w:cs="Tahoma"/>
          <w:lang w:eastAsia="es-MX"/>
        </w:rPr>
        <w:t>. Relativo a la información financiera sobre el presupuesto asignado, así como los informes del ejercicio trimestral de gasto, en términos de la Ley General de Contabilidad Gubernamental.</w:t>
      </w:r>
      <w:r w:rsidRPr="00382EF7" w:rsidR="00A553EB">
        <w:rPr>
          <w:rFonts w:eastAsia="Times New Roman" w:cs="Tahoma"/>
          <w:lang w:eastAsia="es-MX"/>
        </w:rPr>
        <w:t xml:space="preserve"> Así como los informes que por disposición legal generen los Sujetos Obligados.</w:t>
      </w:r>
    </w:p>
    <w:p w:rsidRPr="00382EF7" w:rsidR="00533A31" w:rsidP="006935C8" w:rsidRDefault="00533A31" w14:paraId="7DF89EBA" w14:textId="77777777">
      <w:pPr>
        <w:spacing w:after="0" w:line="360" w:lineRule="auto"/>
        <w:contextualSpacing/>
        <w:rPr>
          <w:rFonts w:eastAsia="Times New Roman" w:cs="Tahoma"/>
          <w:lang w:eastAsia="es-MX"/>
        </w:rPr>
      </w:pPr>
    </w:p>
    <w:p w:rsidRPr="00382EF7" w:rsidR="00BE54AC" w:rsidP="006935C8" w:rsidRDefault="00BE54AC" w14:paraId="483256C2" w14:textId="77777777">
      <w:pPr>
        <w:spacing w:after="0" w:line="360" w:lineRule="auto"/>
        <w:contextualSpacing/>
        <w:rPr>
          <w:rFonts w:eastAsia="Times New Roman" w:cs="Tahoma"/>
          <w:b/>
          <w:lang w:eastAsia="es-ES"/>
        </w:rPr>
      </w:pPr>
      <w:r w:rsidRPr="00382EF7">
        <w:rPr>
          <w:rFonts w:eastAsia="Times New Roman" w:cs="Tahoma"/>
          <w:b/>
          <w:lang w:eastAsia="es-ES"/>
        </w:rPr>
        <w:t>QUINTO. Estudio de Fondo.</w:t>
      </w:r>
    </w:p>
    <w:p w:rsidRPr="00382EF7" w:rsidR="00BE54AC" w:rsidP="006935C8" w:rsidRDefault="00BE54AC" w14:paraId="4E37309C" w14:textId="77777777">
      <w:pPr>
        <w:spacing w:after="0" w:line="360" w:lineRule="auto"/>
        <w:contextualSpacing/>
        <w:rPr>
          <w:rFonts w:eastAsia="Times New Roman" w:cs="Tahoma"/>
          <w:b/>
          <w:lang w:eastAsia="es-ES"/>
        </w:rPr>
      </w:pPr>
    </w:p>
    <w:p w:rsidRPr="00382EF7" w:rsidR="00BE54AC" w:rsidP="006935C8" w:rsidRDefault="00BE54AC" w14:paraId="3650AC3C" w14:textId="468CA809">
      <w:pPr>
        <w:tabs>
          <w:tab w:val="left" w:pos="4962"/>
        </w:tabs>
        <w:spacing w:after="0" w:line="360" w:lineRule="auto"/>
        <w:contextualSpacing/>
        <w:rPr>
          <w:color w:val="000000"/>
        </w:rPr>
      </w:pPr>
      <w:r w:rsidRPr="00382EF7">
        <w:rPr>
          <w:rFonts w:eastAsia="Times New Roman" w:cs="Tahoma"/>
          <w:lang w:eastAsia="es-MX"/>
        </w:rPr>
        <w:t xml:space="preserve">Expuestas las posturas de las partes, se procede al análisis del agravio hecho valer por el ahora Recurrente, concerniente al </w:t>
      </w:r>
      <w:r w:rsidRPr="00382EF7" w:rsidR="00A553EB">
        <w:rPr>
          <w:rFonts w:eastAsia="Times New Roman" w:cs="Tahoma"/>
          <w:lang w:eastAsia="es-MX"/>
        </w:rPr>
        <w:t xml:space="preserve">cambio de modalidad </w:t>
      </w:r>
      <w:r w:rsidRPr="00382EF7">
        <w:rPr>
          <w:rFonts w:eastAsia="Times New Roman" w:cs="Tahoma"/>
          <w:lang w:eastAsia="es-MX"/>
        </w:rPr>
        <w:t>de</w:t>
      </w:r>
      <w:r w:rsidRPr="00382EF7" w:rsidR="00A553EB">
        <w:rPr>
          <w:rFonts w:eastAsia="Times New Roman" w:cs="Tahoma"/>
          <w:lang w:eastAsia="es-MX"/>
        </w:rPr>
        <w:t xml:space="preserve"> entrega de la</w:t>
      </w:r>
      <w:r w:rsidRPr="00382EF7">
        <w:rPr>
          <w:rFonts w:eastAsia="Times New Roman" w:cs="Tahoma"/>
          <w:lang w:eastAsia="es-MX"/>
        </w:rPr>
        <w:t xml:space="preserve"> información</w:t>
      </w:r>
      <w:r w:rsidRPr="00382EF7">
        <w:rPr>
          <w:rFonts w:eastAsia="Times New Roman" w:cs="Times New Roman"/>
          <w:color w:val="auto"/>
          <w:lang w:eastAsia="es-ES"/>
        </w:rPr>
        <w:t xml:space="preserve">, para lo cual, en principio es necesario </w:t>
      </w:r>
      <w:r w:rsidRPr="00382EF7" w:rsidR="00A51569">
        <w:rPr>
          <w:rFonts w:eastAsia="Times New Roman" w:cs="Times New Roman"/>
          <w:color w:val="auto"/>
          <w:lang w:eastAsia="es-ES"/>
        </w:rPr>
        <w:t xml:space="preserve">contextualizar la solicitud de información. </w:t>
      </w:r>
      <w:r w:rsidRPr="00382EF7">
        <w:rPr>
          <w:rFonts w:eastAsia="Times New Roman" w:cs="Times New Roman"/>
          <w:color w:val="auto"/>
          <w:lang w:eastAsia="es-ES"/>
        </w:rPr>
        <w:t xml:space="preserve"> </w:t>
      </w:r>
    </w:p>
    <w:p w:rsidRPr="00382EF7" w:rsidR="00BE54AC" w:rsidP="006935C8" w:rsidRDefault="00BE54AC" w14:paraId="4FEC5249" w14:textId="1D173EEF">
      <w:pPr>
        <w:tabs>
          <w:tab w:val="left" w:pos="4962"/>
        </w:tabs>
        <w:spacing w:after="0" w:line="360" w:lineRule="auto"/>
        <w:contextualSpacing/>
        <w:rPr>
          <w:rFonts w:eastAsia="Times New Roman" w:cs="Tahoma"/>
          <w:color w:val="auto"/>
          <w:lang w:eastAsia="es-ES"/>
        </w:rPr>
      </w:pPr>
    </w:p>
    <w:p w:rsidRPr="00382EF7" w:rsidR="00A51569" w:rsidP="006935C8" w:rsidRDefault="00A51569" w14:paraId="1FD60C40" w14:textId="64ABD396">
      <w:pPr>
        <w:tabs>
          <w:tab w:val="left" w:pos="4962"/>
        </w:tabs>
        <w:spacing w:after="0" w:line="360" w:lineRule="auto"/>
        <w:contextualSpacing/>
        <w:rPr>
          <w:rFonts w:eastAsia="Times New Roman" w:cs="Tahoma"/>
          <w:color w:val="auto"/>
          <w:lang w:eastAsia="es-ES"/>
        </w:rPr>
      </w:pPr>
      <w:r w:rsidRPr="00382EF7">
        <w:rPr>
          <w:rFonts w:eastAsia="Times New Roman" w:cs="Tahoma"/>
          <w:color w:val="auto"/>
          <w:lang w:eastAsia="es-ES"/>
        </w:rPr>
        <w:lastRenderedPageBreak/>
        <w:t xml:space="preserve">En principio resulta </w:t>
      </w:r>
      <w:r w:rsidRPr="00382EF7" w:rsidR="007E750B">
        <w:rPr>
          <w:rFonts w:eastAsia="Times New Roman" w:cs="Tahoma"/>
          <w:color w:val="auto"/>
          <w:lang w:eastAsia="es-ES"/>
        </w:rPr>
        <w:t>oportuno</w:t>
      </w:r>
      <w:r w:rsidRPr="00382EF7">
        <w:rPr>
          <w:rFonts w:eastAsia="Times New Roman" w:cs="Tahoma"/>
          <w:color w:val="auto"/>
          <w:lang w:eastAsia="es-ES"/>
        </w:rPr>
        <w:t xml:space="preserve"> traer a colación </w:t>
      </w:r>
      <w:r w:rsidRPr="00382EF7" w:rsidR="007E750B">
        <w:rPr>
          <w:rFonts w:eastAsia="Times New Roman" w:cs="Tahoma"/>
          <w:color w:val="auto"/>
          <w:lang w:eastAsia="es-ES"/>
        </w:rPr>
        <w:t>el</w:t>
      </w:r>
      <w:r w:rsidRPr="00382EF7" w:rsidR="00522228">
        <w:rPr>
          <w:rFonts w:eastAsia="Times New Roman" w:cs="Tahoma"/>
          <w:color w:val="auto"/>
          <w:lang w:eastAsia="es-ES"/>
        </w:rPr>
        <w:t xml:space="preserve"> </w:t>
      </w:r>
      <w:r w:rsidRPr="00382EF7" w:rsidR="007E750B">
        <w:rPr>
          <w:rFonts w:eastAsia="Times New Roman" w:cs="Tahoma"/>
          <w:color w:val="auto"/>
          <w:lang w:eastAsia="es-ES"/>
        </w:rPr>
        <w:t>artículo 1</w:t>
      </w:r>
      <w:r w:rsidRPr="00382EF7" w:rsidR="00522228">
        <w:rPr>
          <w:rFonts w:eastAsia="Times New Roman" w:cs="Tahoma"/>
          <w:color w:val="auto"/>
          <w:lang w:eastAsia="es-ES"/>
        </w:rPr>
        <w:t>º</w:t>
      </w:r>
      <w:r w:rsidRPr="00382EF7" w:rsidR="007E750B">
        <w:rPr>
          <w:rFonts w:eastAsia="Times New Roman" w:cs="Tahoma"/>
          <w:color w:val="auto"/>
          <w:lang w:eastAsia="es-ES"/>
        </w:rPr>
        <w:t>, de la Ley de Fiscalización Superior del Estado de México, el cual establece</w:t>
      </w:r>
      <w:r w:rsidRPr="00382EF7" w:rsidR="0024024E">
        <w:rPr>
          <w:rFonts w:eastAsia="Times New Roman" w:cs="Tahoma"/>
          <w:color w:val="auto"/>
          <w:lang w:eastAsia="es-ES"/>
        </w:rPr>
        <w:t xml:space="preserve"> que</w:t>
      </w:r>
      <w:r w:rsidRPr="00382EF7" w:rsidR="00522228">
        <w:rPr>
          <w:rFonts w:eastAsia="Times New Roman" w:cs="Tahoma"/>
          <w:color w:val="auto"/>
          <w:lang w:eastAsia="es-ES"/>
        </w:rPr>
        <w:t xml:space="preserve"> el órgano Superior de Fiscalización del Estado de México </w:t>
      </w:r>
      <w:r w:rsidRPr="00382EF7" w:rsidR="0024024E">
        <w:rPr>
          <w:rFonts w:eastAsia="Times New Roman" w:cs="Tahoma"/>
          <w:color w:val="auto"/>
          <w:lang w:eastAsia="es-ES"/>
        </w:rPr>
        <w:t xml:space="preserve">contará con atribuciones </w:t>
      </w:r>
      <w:r w:rsidRPr="00382EF7" w:rsidR="00522228">
        <w:rPr>
          <w:rFonts w:eastAsia="Times New Roman" w:cs="Tahoma"/>
          <w:color w:val="auto"/>
          <w:lang w:eastAsia="es-ES"/>
        </w:rPr>
        <w:t>en materia de revisión y fiscalización de los fondos y fideicomisos públicos, cuentas públicas, deuda pública, y de los actos relativos al ejercicio y aplicación de los recursos públicos de las entidades fiscalizables del estado de México.</w:t>
      </w:r>
    </w:p>
    <w:p w:rsidRPr="00382EF7" w:rsidR="00522228" w:rsidP="006935C8" w:rsidRDefault="00522228" w14:paraId="5DCAAC4F" w14:textId="3D07107A">
      <w:pPr>
        <w:tabs>
          <w:tab w:val="left" w:pos="4962"/>
        </w:tabs>
        <w:spacing w:after="0" w:line="360" w:lineRule="auto"/>
        <w:contextualSpacing/>
        <w:rPr>
          <w:rFonts w:eastAsia="Times New Roman" w:cs="Tahoma"/>
          <w:color w:val="auto"/>
          <w:lang w:eastAsia="es-ES"/>
        </w:rPr>
      </w:pPr>
    </w:p>
    <w:p w:rsidRPr="00382EF7" w:rsidR="00522228" w:rsidP="006935C8" w:rsidRDefault="00522228" w14:paraId="69BC00DE" w14:textId="7485F061">
      <w:pPr>
        <w:spacing w:after="0" w:line="360" w:lineRule="auto"/>
        <w:contextualSpacing/>
        <w:rPr>
          <w:rFonts w:cs="Tahoma"/>
          <w:bCs/>
          <w:iCs/>
          <w:szCs w:val="24"/>
        </w:rPr>
      </w:pPr>
      <w:r w:rsidRPr="00382EF7">
        <w:rPr>
          <w:rFonts w:cs="Tahoma"/>
          <w:bCs/>
          <w:iCs/>
          <w:szCs w:val="24"/>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rsidRPr="00382EF7" w:rsidR="002E3E3C" w:rsidP="006935C8" w:rsidRDefault="002E3E3C" w14:paraId="44303547" w14:textId="77777777">
      <w:pPr>
        <w:spacing w:after="0" w:line="360" w:lineRule="auto"/>
        <w:contextualSpacing/>
        <w:rPr>
          <w:rFonts w:cs="Tahoma"/>
          <w:bCs/>
          <w:iCs/>
          <w:szCs w:val="24"/>
        </w:rPr>
      </w:pPr>
    </w:p>
    <w:p w:rsidRPr="00382EF7" w:rsidR="00E879C1" w:rsidP="006935C8" w:rsidRDefault="00522228" w14:paraId="68E94FCF" w14:textId="1B34616F">
      <w:pPr>
        <w:spacing w:after="0" w:line="360" w:lineRule="auto"/>
        <w:contextualSpacing/>
        <w:rPr>
          <w:rFonts w:cs="Tahoma"/>
          <w:bCs/>
          <w:iCs/>
          <w:szCs w:val="24"/>
        </w:rPr>
      </w:pPr>
      <w:r w:rsidRPr="00382EF7">
        <w:rPr>
          <w:rFonts w:cs="Tahoma"/>
          <w:bCs/>
          <w:iCs/>
          <w:szCs w:val="24"/>
        </w:rPr>
        <w:t xml:space="preserve">Ahora bien, </w:t>
      </w:r>
      <w:r w:rsidRPr="00382EF7" w:rsidR="004D6823">
        <w:rPr>
          <w:rFonts w:cs="Tahoma"/>
          <w:bCs/>
          <w:iCs/>
          <w:szCs w:val="24"/>
        </w:rPr>
        <w:t xml:space="preserve">los Lineamientos para la </w:t>
      </w:r>
      <w:r w:rsidRPr="00382EF7" w:rsidR="007058E2">
        <w:rPr>
          <w:rFonts w:cs="Tahoma"/>
          <w:bCs/>
          <w:iCs/>
          <w:szCs w:val="24"/>
        </w:rPr>
        <w:t>I</w:t>
      </w:r>
      <w:r w:rsidRPr="00382EF7" w:rsidR="004D6823">
        <w:rPr>
          <w:rFonts w:cs="Tahoma"/>
          <w:bCs/>
          <w:iCs/>
          <w:szCs w:val="24"/>
        </w:rPr>
        <w:t xml:space="preserve">ntegración y </w:t>
      </w:r>
      <w:r w:rsidRPr="00382EF7" w:rsidR="007058E2">
        <w:rPr>
          <w:rFonts w:cs="Tahoma"/>
          <w:bCs/>
          <w:iCs/>
          <w:szCs w:val="24"/>
        </w:rPr>
        <w:t>E</w:t>
      </w:r>
      <w:r w:rsidRPr="00382EF7" w:rsidR="004D6823">
        <w:rPr>
          <w:rFonts w:cs="Tahoma"/>
          <w:bCs/>
          <w:iCs/>
          <w:szCs w:val="24"/>
        </w:rPr>
        <w:t xml:space="preserve">ntrega del </w:t>
      </w:r>
      <w:r w:rsidRPr="00382EF7">
        <w:rPr>
          <w:rFonts w:cs="Tahoma"/>
          <w:bCs/>
          <w:iCs/>
          <w:szCs w:val="24"/>
        </w:rPr>
        <w:t>Informe Trimestral</w:t>
      </w:r>
      <w:r w:rsidRPr="00382EF7" w:rsidR="007058E2">
        <w:rPr>
          <w:rFonts w:cs="Tahoma"/>
          <w:bCs/>
          <w:iCs/>
          <w:szCs w:val="24"/>
        </w:rPr>
        <w:t xml:space="preserve"> Municipal dos mil veintidós</w:t>
      </w:r>
      <w:r w:rsidRPr="00382EF7" w:rsidR="0015296F">
        <w:rPr>
          <w:rFonts w:cs="Tahoma"/>
          <w:bCs/>
          <w:iCs/>
          <w:szCs w:val="24"/>
        </w:rPr>
        <w:t>,</w:t>
      </w:r>
      <w:r w:rsidRPr="00382EF7">
        <w:rPr>
          <w:rFonts w:cs="Tahoma"/>
          <w:bCs/>
          <w:iCs/>
          <w:szCs w:val="24"/>
        </w:rPr>
        <w:t xml:space="preserve"> </w:t>
      </w:r>
      <w:r w:rsidRPr="00382EF7" w:rsidR="007058E2">
        <w:rPr>
          <w:rFonts w:cs="Tahoma"/>
          <w:bCs/>
          <w:iCs/>
          <w:szCs w:val="24"/>
        </w:rPr>
        <w:t>establece que el informe se e</w:t>
      </w:r>
      <w:r w:rsidRPr="00382EF7">
        <w:rPr>
          <w:rFonts w:cs="Tahoma"/>
          <w:bCs/>
          <w:iCs/>
          <w:szCs w:val="24"/>
        </w:rPr>
        <w:t>structurará por cuatro módulos</w:t>
      </w:r>
      <w:r w:rsidRPr="00382EF7" w:rsidR="007058E2">
        <w:rPr>
          <w:rFonts w:cs="Tahoma"/>
          <w:bCs/>
          <w:iCs/>
          <w:szCs w:val="24"/>
        </w:rPr>
        <w:t xml:space="preserve"> a saber</w:t>
      </w:r>
      <w:r w:rsidRPr="00382EF7" w:rsidR="00E879C1">
        <w:rPr>
          <w:rFonts w:cs="Tahoma"/>
          <w:bCs/>
          <w:iCs/>
          <w:szCs w:val="24"/>
        </w:rPr>
        <w:t xml:space="preserve"> los siguientes</w:t>
      </w:r>
      <w:r w:rsidRPr="00382EF7" w:rsidR="00D40954">
        <w:rPr>
          <w:rFonts w:cs="Tahoma"/>
          <w:bCs/>
          <w:iCs/>
          <w:szCs w:val="24"/>
        </w:rPr>
        <w:t>:</w:t>
      </w:r>
    </w:p>
    <w:p w:rsidRPr="00382EF7" w:rsidR="002E3E3C" w:rsidP="006935C8" w:rsidRDefault="002E3E3C" w14:paraId="1875DE36" w14:textId="77777777">
      <w:pPr>
        <w:spacing w:after="0" w:line="360" w:lineRule="auto"/>
        <w:contextualSpacing/>
        <w:rPr>
          <w:rFonts w:cs="Tahoma"/>
          <w:bCs/>
          <w:iCs/>
          <w:szCs w:val="24"/>
        </w:rPr>
      </w:pPr>
    </w:p>
    <w:p w:rsidRPr="00382EF7" w:rsidR="00E879C1" w:rsidP="006935C8" w:rsidRDefault="004524ED" w14:paraId="2622FC6D" w14:textId="1673C623">
      <w:pPr>
        <w:pStyle w:val="Prrafodelista"/>
        <w:numPr>
          <w:ilvl w:val="0"/>
          <w:numId w:val="13"/>
        </w:numPr>
        <w:spacing w:line="360" w:lineRule="auto"/>
        <w:rPr>
          <w:rFonts w:ascii="Palatino Linotype" w:hAnsi="Palatino Linotype" w:cs="Tahoma"/>
          <w:b/>
          <w:bCs/>
          <w:iCs/>
        </w:rPr>
      </w:pPr>
      <w:r w:rsidRPr="00382EF7">
        <w:rPr>
          <w:rFonts w:ascii="Palatino Linotype" w:hAnsi="Palatino Linotype" w:cs="Tahoma"/>
          <w:b/>
          <w:iCs/>
        </w:rPr>
        <w:t xml:space="preserve">Módulo </w:t>
      </w:r>
      <w:r w:rsidRPr="00382EF7" w:rsidR="00522228">
        <w:rPr>
          <w:rFonts w:ascii="Palatino Linotype" w:hAnsi="Palatino Linotype" w:cs="Tahoma"/>
          <w:b/>
          <w:iCs/>
        </w:rPr>
        <w:t>1)</w:t>
      </w:r>
      <w:r w:rsidRPr="00382EF7" w:rsidR="00522228">
        <w:rPr>
          <w:rFonts w:ascii="Palatino Linotype" w:hAnsi="Palatino Linotype" w:cs="Tahoma"/>
          <w:b/>
          <w:bCs/>
          <w:iCs/>
        </w:rPr>
        <w:t xml:space="preserve"> </w:t>
      </w:r>
      <w:r w:rsidRPr="00382EF7" w:rsidR="00D40954">
        <w:rPr>
          <w:rFonts w:ascii="Palatino Linotype" w:hAnsi="Palatino Linotype" w:cs="Tahoma"/>
          <w:b/>
          <w:bCs/>
          <w:iCs/>
        </w:rPr>
        <w:t>Información Contable y F</w:t>
      </w:r>
      <w:r w:rsidRPr="00382EF7" w:rsidR="00522228">
        <w:rPr>
          <w:rFonts w:ascii="Palatino Linotype" w:hAnsi="Palatino Linotype" w:cs="Tahoma"/>
          <w:b/>
          <w:bCs/>
          <w:iCs/>
        </w:rPr>
        <w:t>inanciera</w:t>
      </w:r>
      <w:r w:rsidRPr="00382EF7" w:rsidR="00D40954">
        <w:rPr>
          <w:rFonts w:ascii="Palatino Linotype" w:hAnsi="Palatino Linotype" w:cs="Tahoma"/>
          <w:b/>
          <w:bCs/>
          <w:iCs/>
        </w:rPr>
        <w:t>:</w:t>
      </w:r>
      <w:r w:rsidRPr="00382EF7" w:rsidR="00E879C1">
        <w:rPr>
          <w:rFonts w:ascii="Palatino Linotype" w:hAnsi="Palatino Linotype" w:cs="Tahoma"/>
          <w:b/>
          <w:bCs/>
          <w:iCs/>
        </w:rPr>
        <w:t xml:space="preserve"> </w:t>
      </w:r>
    </w:p>
    <w:p w:rsidRPr="00382EF7" w:rsidR="00E879C1" w:rsidP="006935C8" w:rsidRDefault="00E879C1" w14:paraId="0A1F0327" w14:textId="77777777">
      <w:pPr>
        <w:spacing w:after="0" w:line="360" w:lineRule="auto"/>
        <w:contextualSpacing/>
        <w:rPr>
          <w:rFonts w:cs="Tahoma"/>
          <w:bCs/>
          <w:iCs/>
          <w:szCs w:val="24"/>
        </w:rPr>
      </w:pPr>
    </w:p>
    <w:p w:rsidRPr="00382EF7" w:rsidR="00D40954" w:rsidP="006935C8" w:rsidRDefault="00D40954" w14:paraId="1E59338B" w14:textId="7047EF74">
      <w:pPr>
        <w:spacing w:after="0" w:line="360" w:lineRule="auto"/>
        <w:contextualSpacing/>
        <w:jc w:val="center"/>
        <w:rPr>
          <w:rFonts w:cs="Tahoma"/>
          <w:bCs/>
          <w:iCs/>
          <w:szCs w:val="24"/>
        </w:rPr>
      </w:pPr>
      <w:r w:rsidRPr="00382EF7">
        <w:rPr>
          <w:rFonts w:cs="Tahoma"/>
          <w:bCs/>
          <w:iCs/>
          <w:noProof/>
          <w:szCs w:val="24"/>
        </w:rPr>
        <w:drawing>
          <wp:inline distT="0" distB="0" distL="0" distR="0" wp14:anchorId="12BA2BAE" wp14:editId="6356121C">
            <wp:extent cx="3599815" cy="22669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2915"/>
                    <a:stretch/>
                  </pic:blipFill>
                  <pic:spPr bwMode="auto">
                    <a:xfrm>
                      <a:off x="0" y="0"/>
                      <a:ext cx="3600000" cy="2267067"/>
                    </a:xfrm>
                    <a:prstGeom prst="rect">
                      <a:avLst/>
                    </a:prstGeom>
                    <a:ln>
                      <a:noFill/>
                    </a:ln>
                    <a:extLst>
                      <a:ext uri="{53640926-AAD7-44D8-BBD7-CCE9431645EC}">
                        <a14:shadowObscured xmlns:a14="http://schemas.microsoft.com/office/drawing/2010/main"/>
                      </a:ext>
                    </a:extLst>
                  </pic:spPr>
                </pic:pic>
              </a:graphicData>
            </a:graphic>
          </wp:inline>
        </w:drawing>
      </w:r>
    </w:p>
    <w:p w:rsidRPr="00382EF7" w:rsidR="00D40954" w:rsidP="006935C8" w:rsidRDefault="00D40954" w14:paraId="357D7D30" w14:textId="4117CE0E">
      <w:pPr>
        <w:spacing w:after="0" w:line="360" w:lineRule="auto"/>
        <w:contextualSpacing/>
        <w:jc w:val="center"/>
        <w:rPr>
          <w:rFonts w:cs="Tahoma"/>
          <w:bCs/>
          <w:iCs/>
          <w:szCs w:val="24"/>
        </w:rPr>
      </w:pPr>
      <w:r w:rsidRPr="00382EF7">
        <w:rPr>
          <w:rFonts w:cs="Tahoma"/>
          <w:bCs/>
          <w:iCs/>
          <w:noProof/>
          <w:szCs w:val="24"/>
        </w:rPr>
        <w:lastRenderedPageBreak/>
        <w:drawing>
          <wp:inline distT="0" distB="0" distL="0" distR="0" wp14:anchorId="4948D5E3" wp14:editId="026D56A6">
            <wp:extent cx="3599815" cy="2585718"/>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6294"/>
                    <a:stretch/>
                  </pic:blipFill>
                  <pic:spPr bwMode="auto">
                    <a:xfrm>
                      <a:off x="0" y="0"/>
                      <a:ext cx="3600000" cy="2585851"/>
                    </a:xfrm>
                    <a:prstGeom prst="rect">
                      <a:avLst/>
                    </a:prstGeom>
                    <a:ln>
                      <a:noFill/>
                    </a:ln>
                    <a:extLst>
                      <a:ext uri="{53640926-AAD7-44D8-BBD7-CCE9431645EC}">
                        <a14:shadowObscured xmlns:a14="http://schemas.microsoft.com/office/drawing/2010/main"/>
                      </a:ext>
                    </a:extLst>
                  </pic:spPr>
                </pic:pic>
              </a:graphicData>
            </a:graphic>
          </wp:inline>
        </w:drawing>
      </w:r>
    </w:p>
    <w:p w:rsidRPr="00382EF7" w:rsidR="00D40954" w:rsidP="006935C8" w:rsidRDefault="00D40954" w14:paraId="55E2B85D" w14:textId="47C4BA0E">
      <w:pPr>
        <w:spacing w:after="0" w:line="360" w:lineRule="auto"/>
        <w:contextualSpacing/>
        <w:jc w:val="center"/>
        <w:rPr>
          <w:rFonts w:cs="Tahoma"/>
          <w:bCs/>
          <w:iCs/>
          <w:szCs w:val="24"/>
        </w:rPr>
      </w:pPr>
      <w:r w:rsidRPr="00382EF7">
        <w:rPr>
          <w:rFonts w:cs="Tahoma"/>
          <w:bCs/>
          <w:iCs/>
          <w:noProof/>
          <w:szCs w:val="24"/>
        </w:rPr>
        <w:drawing>
          <wp:inline distT="0" distB="0" distL="0" distR="0" wp14:anchorId="61229568" wp14:editId="4F57445D">
            <wp:extent cx="3600000" cy="3704133"/>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000" cy="3704133"/>
                    </a:xfrm>
                    <a:prstGeom prst="rect">
                      <a:avLst/>
                    </a:prstGeom>
                  </pic:spPr>
                </pic:pic>
              </a:graphicData>
            </a:graphic>
          </wp:inline>
        </w:drawing>
      </w:r>
    </w:p>
    <w:p w:rsidRPr="00382EF7" w:rsidR="00D40954" w:rsidP="006935C8" w:rsidRDefault="00D40954" w14:paraId="5F1B28AC" w14:textId="77777777">
      <w:pPr>
        <w:spacing w:after="0" w:line="360" w:lineRule="auto"/>
        <w:contextualSpacing/>
        <w:rPr>
          <w:rFonts w:cs="Tahoma"/>
          <w:bCs/>
          <w:iCs/>
          <w:szCs w:val="24"/>
        </w:rPr>
      </w:pPr>
    </w:p>
    <w:p w:rsidRPr="00382EF7" w:rsidR="00E879C1" w:rsidP="006935C8" w:rsidRDefault="004524ED" w14:paraId="6128CAF8" w14:textId="0D6A14AA">
      <w:pPr>
        <w:pStyle w:val="Prrafodelista"/>
        <w:numPr>
          <w:ilvl w:val="0"/>
          <w:numId w:val="13"/>
        </w:numPr>
        <w:spacing w:line="360" w:lineRule="auto"/>
        <w:rPr>
          <w:rFonts w:ascii="Palatino Linotype" w:hAnsi="Palatino Linotype" w:cs="Tahoma"/>
          <w:b/>
          <w:bCs/>
          <w:iCs/>
        </w:rPr>
      </w:pPr>
      <w:r w:rsidRPr="00382EF7">
        <w:rPr>
          <w:rFonts w:ascii="Palatino Linotype" w:hAnsi="Palatino Linotype" w:cs="Tahoma"/>
          <w:b/>
          <w:iCs/>
        </w:rPr>
        <w:t xml:space="preserve">Módulo </w:t>
      </w:r>
      <w:r w:rsidRPr="00382EF7" w:rsidR="00522228">
        <w:rPr>
          <w:rFonts w:ascii="Palatino Linotype" w:hAnsi="Palatino Linotype" w:cs="Tahoma"/>
          <w:b/>
          <w:iCs/>
        </w:rPr>
        <w:t>2)</w:t>
      </w:r>
      <w:r w:rsidRPr="00382EF7" w:rsidR="00522228">
        <w:rPr>
          <w:rFonts w:ascii="Palatino Linotype" w:hAnsi="Palatino Linotype" w:cs="Tahoma"/>
          <w:b/>
          <w:bCs/>
          <w:iCs/>
        </w:rPr>
        <w:t xml:space="preserve"> </w:t>
      </w:r>
      <w:r w:rsidRPr="00382EF7" w:rsidR="00D40954">
        <w:rPr>
          <w:rFonts w:ascii="Palatino Linotype" w:hAnsi="Palatino Linotype" w:cs="Tahoma"/>
          <w:b/>
          <w:bCs/>
          <w:iCs/>
        </w:rPr>
        <w:t>I</w:t>
      </w:r>
      <w:r w:rsidRPr="00382EF7" w:rsidR="00522228">
        <w:rPr>
          <w:rFonts w:ascii="Palatino Linotype" w:hAnsi="Palatino Linotype" w:cs="Tahoma"/>
          <w:b/>
          <w:bCs/>
          <w:iCs/>
        </w:rPr>
        <w:t xml:space="preserve">nformación </w:t>
      </w:r>
      <w:r w:rsidRPr="00382EF7" w:rsidR="00D40954">
        <w:rPr>
          <w:rFonts w:ascii="Palatino Linotype" w:hAnsi="Palatino Linotype" w:cs="Tahoma"/>
          <w:b/>
          <w:bCs/>
          <w:iCs/>
        </w:rPr>
        <w:t>P</w:t>
      </w:r>
      <w:r w:rsidRPr="00382EF7" w:rsidR="00522228">
        <w:rPr>
          <w:rFonts w:ascii="Palatino Linotype" w:hAnsi="Palatino Linotype" w:cs="Tahoma"/>
          <w:b/>
          <w:bCs/>
          <w:iCs/>
        </w:rPr>
        <w:t>resupuestaria</w:t>
      </w:r>
      <w:r w:rsidRPr="00382EF7" w:rsidR="00D40954">
        <w:rPr>
          <w:rFonts w:ascii="Palatino Linotype" w:hAnsi="Palatino Linotype" w:cs="Tahoma"/>
          <w:b/>
          <w:bCs/>
          <w:iCs/>
        </w:rPr>
        <w:t>:</w:t>
      </w:r>
    </w:p>
    <w:p w:rsidRPr="00382EF7" w:rsidR="00E879C1" w:rsidP="006935C8" w:rsidRDefault="00E879C1" w14:paraId="07B973B0" w14:textId="77777777">
      <w:pPr>
        <w:spacing w:after="0" w:line="360" w:lineRule="auto"/>
        <w:contextualSpacing/>
        <w:rPr>
          <w:rFonts w:cs="Tahoma"/>
          <w:bCs/>
          <w:iCs/>
          <w:szCs w:val="24"/>
        </w:rPr>
      </w:pPr>
    </w:p>
    <w:p w:rsidRPr="00382EF7" w:rsidR="00D40954" w:rsidP="006935C8" w:rsidRDefault="00D40954" w14:paraId="61E68FD4" w14:textId="2D6B4712">
      <w:pPr>
        <w:spacing w:after="0" w:line="360" w:lineRule="auto"/>
        <w:contextualSpacing/>
        <w:jc w:val="center"/>
        <w:rPr>
          <w:rFonts w:cs="Tahoma"/>
          <w:bCs/>
          <w:iCs/>
          <w:szCs w:val="24"/>
        </w:rPr>
      </w:pPr>
      <w:r w:rsidRPr="00382EF7">
        <w:rPr>
          <w:rFonts w:cs="Tahoma"/>
          <w:bCs/>
          <w:iCs/>
          <w:noProof/>
          <w:szCs w:val="24"/>
        </w:rPr>
        <w:lastRenderedPageBreak/>
        <w:drawing>
          <wp:inline distT="0" distB="0" distL="0" distR="0" wp14:anchorId="079245D9" wp14:editId="5590CF8B">
            <wp:extent cx="3600000" cy="4401392"/>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4401392"/>
                    </a:xfrm>
                    <a:prstGeom prst="rect">
                      <a:avLst/>
                    </a:prstGeom>
                  </pic:spPr>
                </pic:pic>
              </a:graphicData>
            </a:graphic>
          </wp:inline>
        </w:drawing>
      </w:r>
    </w:p>
    <w:p w:rsidRPr="00382EF7" w:rsidR="002D250E" w:rsidP="006935C8" w:rsidRDefault="002D250E" w14:paraId="62B99FE1" w14:textId="77777777">
      <w:pPr>
        <w:spacing w:after="0" w:line="360" w:lineRule="auto"/>
        <w:contextualSpacing/>
        <w:jc w:val="center"/>
        <w:rPr>
          <w:rFonts w:cs="Tahoma"/>
          <w:bCs/>
          <w:iCs/>
          <w:szCs w:val="24"/>
        </w:rPr>
      </w:pPr>
    </w:p>
    <w:p w:rsidRPr="00382EF7" w:rsidR="00E879C1" w:rsidP="006935C8" w:rsidRDefault="004524ED" w14:paraId="2048CBCA" w14:textId="1061BE65">
      <w:pPr>
        <w:pStyle w:val="Prrafodelista"/>
        <w:numPr>
          <w:ilvl w:val="0"/>
          <w:numId w:val="13"/>
        </w:numPr>
        <w:spacing w:line="360" w:lineRule="auto"/>
        <w:rPr>
          <w:rFonts w:ascii="Palatino Linotype" w:hAnsi="Palatino Linotype" w:cs="Tahoma"/>
          <w:bCs/>
          <w:iCs/>
        </w:rPr>
      </w:pPr>
      <w:r w:rsidRPr="00382EF7">
        <w:rPr>
          <w:rFonts w:ascii="Palatino Linotype" w:hAnsi="Palatino Linotype" w:cs="Tahoma"/>
          <w:b/>
          <w:iCs/>
        </w:rPr>
        <w:t xml:space="preserve">Módulo </w:t>
      </w:r>
      <w:r w:rsidRPr="00382EF7" w:rsidR="00522228">
        <w:rPr>
          <w:rFonts w:ascii="Palatino Linotype" w:hAnsi="Palatino Linotype" w:cs="Tahoma"/>
          <w:b/>
          <w:iCs/>
        </w:rPr>
        <w:t>3)</w:t>
      </w:r>
      <w:r w:rsidRPr="00382EF7" w:rsidR="00522228">
        <w:rPr>
          <w:rFonts w:ascii="Palatino Linotype" w:hAnsi="Palatino Linotype" w:cs="Tahoma"/>
          <w:bCs/>
          <w:iCs/>
        </w:rPr>
        <w:t xml:space="preserve"> </w:t>
      </w:r>
      <w:r w:rsidRPr="00382EF7" w:rsidR="00D40954">
        <w:rPr>
          <w:rFonts w:ascii="Palatino Linotype" w:hAnsi="Palatino Linotype" w:cs="Tahoma"/>
          <w:b/>
          <w:bCs/>
          <w:iCs/>
        </w:rPr>
        <w:t>Información P</w:t>
      </w:r>
      <w:r w:rsidRPr="00382EF7" w:rsidR="00522228">
        <w:rPr>
          <w:rFonts w:ascii="Palatino Linotype" w:hAnsi="Palatino Linotype" w:cs="Tahoma"/>
          <w:b/>
          <w:bCs/>
          <w:iCs/>
        </w:rPr>
        <w:t>rogramática</w:t>
      </w:r>
      <w:r w:rsidRPr="00382EF7" w:rsidR="00D40954">
        <w:rPr>
          <w:rFonts w:ascii="Palatino Linotype" w:hAnsi="Palatino Linotype" w:cs="Tahoma"/>
          <w:b/>
          <w:bCs/>
          <w:iCs/>
        </w:rPr>
        <w:t>:</w:t>
      </w:r>
    </w:p>
    <w:p w:rsidRPr="00382EF7" w:rsidR="00D40954" w:rsidP="006935C8" w:rsidRDefault="00D40954" w14:paraId="2F76EDB3" w14:textId="00D5DF9D">
      <w:pPr>
        <w:spacing w:after="0" w:line="360" w:lineRule="auto"/>
        <w:contextualSpacing/>
        <w:jc w:val="center"/>
        <w:rPr>
          <w:rFonts w:cs="Tahoma"/>
          <w:bCs/>
          <w:iCs/>
          <w:szCs w:val="24"/>
        </w:rPr>
      </w:pPr>
      <w:r w:rsidRPr="00382EF7">
        <w:rPr>
          <w:rFonts w:cs="Tahoma"/>
          <w:bCs/>
          <w:iCs/>
          <w:noProof/>
          <w:szCs w:val="24"/>
        </w:rPr>
        <w:drawing>
          <wp:inline distT="0" distB="0" distL="0" distR="0" wp14:anchorId="27F032CC" wp14:editId="0974FC2A">
            <wp:extent cx="3600000" cy="227571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2275715"/>
                    </a:xfrm>
                    <a:prstGeom prst="rect">
                      <a:avLst/>
                    </a:prstGeom>
                  </pic:spPr>
                </pic:pic>
              </a:graphicData>
            </a:graphic>
          </wp:inline>
        </w:drawing>
      </w:r>
    </w:p>
    <w:p w:rsidRPr="00382EF7" w:rsidR="00C912FE" w:rsidP="006935C8" w:rsidRDefault="004524ED" w14:paraId="3E1BD885" w14:textId="49F17184">
      <w:pPr>
        <w:pStyle w:val="Prrafodelista"/>
        <w:numPr>
          <w:ilvl w:val="0"/>
          <w:numId w:val="13"/>
        </w:numPr>
        <w:spacing w:line="360" w:lineRule="auto"/>
        <w:rPr>
          <w:rFonts w:cs="Tahoma"/>
          <w:bCs/>
          <w:iCs/>
        </w:rPr>
      </w:pPr>
      <w:r w:rsidRPr="00382EF7">
        <w:rPr>
          <w:rFonts w:ascii="Palatino Linotype" w:hAnsi="Palatino Linotype" w:cs="Tahoma"/>
          <w:b/>
          <w:iCs/>
        </w:rPr>
        <w:lastRenderedPageBreak/>
        <w:t xml:space="preserve">Módulo </w:t>
      </w:r>
      <w:r w:rsidRPr="00382EF7" w:rsidR="00522228">
        <w:rPr>
          <w:rFonts w:ascii="Palatino Linotype" w:hAnsi="Palatino Linotype" w:cs="Tahoma"/>
          <w:b/>
          <w:iCs/>
        </w:rPr>
        <w:t>4)</w:t>
      </w:r>
      <w:r w:rsidRPr="00382EF7" w:rsidR="00D40954">
        <w:rPr>
          <w:rFonts w:ascii="Palatino Linotype" w:hAnsi="Palatino Linotype" w:cs="Tahoma"/>
          <w:bCs/>
          <w:iCs/>
        </w:rPr>
        <w:t xml:space="preserve"> I</w:t>
      </w:r>
      <w:r w:rsidRPr="00382EF7" w:rsidR="00522228">
        <w:rPr>
          <w:rFonts w:ascii="Palatino Linotype" w:hAnsi="Palatino Linotype" w:cs="Tahoma"/>
          <w:bCs/>
          <w:iCs/>
        </w:rPr>
        <w:t xml:space="preserve">nformación </w:t>
      </w:r>
      <w:r w:rsidRPr="00382EF7" w:rsidR="00D40954">
        <w:rPr>
          <w:rFonts w:ascii="Palatino Linotype" w:hAnsi="Palatino Linotype" w:cs="Tahoma"/>
          <w:bCs/>
          <w:iCs/>
        </w:rPr>
        <w:t>A</w:t>
      </w:r>
      <w:r w:rsidRPr="00382EF7" w:rsidR="00522228">
        <w:rPr>
          <w:rFonts w:ascii="Palatino Linotype" w:hAnsi="Palatino Linotype" w:cs="Tahoma"/>
          <w:bCs/>
          <w:iCs/>
        </w:rPr>
        <w:t>dministrativ</w:t>
      </w:r>
      <w:r w:rsidRPr="00382EF7" w:rsidR="0024024E">
        <w:rPr>
          <w:rFonts w:ascii="Palatino Linotype" w:hAnsi="Palatino Linotype" w:cs="Tahoma"/>
          <w:bCs/>
          <w:iCs/>
        </w:rPr>
        <w:t>a</w:t>
      </w:r>
      <w:r w:rsidRPr="00382EF7" w:rsidR="00D40954">
        <w:rPr>
          <w:rFonts w:ascii="Palatino Linotype" w:hAnsi="Palatino Linotype" w:cs="Tahoma"/>
          <w:bCs/>
          <w:iCs/>
        </w:rPr>
        <w:t>:</w:t>
      </w:r>
    </w:p>
    <w:p w:rsidRPr="00382EF7" w:rsidR="00D40954" w:rsidP="006935C8" w:rsidRDefault="00D40954" w14:paraId="6D29850F" w14:textId="77777777">
      <w:pPr>
        <w:pStyle w:val="Prrafodelista"/>
        <w:rPr>
          <w:rFonts w:cs="Tahoma"/>
          <w:bCs/>
          <w:iCs/>
        </w:rPr>
      </w:pPr>
    </w:p>
    <w:p w:rsidRPr="00382EF7" w:rsidR="00D40954" w:rsidP="006935C8" w:rsidRDefault="00D40954" w14:paraId="67FA9DD7" w14:textId="06B617BE">
      <w:pPr>
        <w:pStyle w:val="Prrafodelista"/>
        <w:jc w:val="center"/>
        <w:rPr>
          <w:rFonts w:cs="Tahoma"/>
          <w:bCs/>
          <w:iCs/>
        </w:rPr>
      </w:pPr>
      <w:r w:rsidRPr="00382EF7">
        <w:rPr>
          <w:rFonts w:cs="Tahoma"/>
          <w:bCs/>
          <w:iCs/>
          <w:noProof/>
        </w:rPr>
        <w:drawing>
          <wp:inline distT="0" distB="0" distL="0" distR="0" wp14:anchorId="12B98F72" wp14:editId="7DEC7B2E">
            <wp:extent cx="3600000" cy="5944538"/>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0" cy="5944538"/>
                    </a:xfrm>
                    <a:prstGeom prst="rect">
                      <a:avLst/>
                    </a:prstGeom>
                  </pic:spPr>
                </pic:pic>
              </a:graphicData>
            </a:graphic>
          </wp:inline>
        </w:drawing>
      </w:r>
    </w:p>
    <w:p w:rsidRPr="00382EF7" w:rsidR="00D40954" w:rsidP="006935C8" w:rsidRDefault="00D40954" w14:paraId="3353A2D1" w14:textId="77777777">
      <w:pPr>
        <w:spacing w:after="0" w:line="360" w:lineRule="auto"/>
        <w:contextualSpacing/>
        <w:rPr>
          <w:rFonts w:eastAsia="Calibri" w:cs="Times New Roman"/>
          <w:bCs/>
        </w:rPr>
      </w:pPr>
    </w:p>
    <w:p w:rsidRPr="00382EF7" w:rsidR="00D40954" w:rsidP="006935C8" w:rsidRDefault="00003F47" w14:paraId="2A9A0D7C" w14:textId="2B242AE4">
      <w:pPr>
        <w:spacing w:after="0" w:line="360" w:lineRule="auto"/>
        <w:contextualSpacing/>
        <w:rPr>
          <w:rFonts w:eastAsia="Calibri" w:cs="Times New Roman"/>
          <w:bCs/>
        </w:rPr>
      </w:pPr>
      <w:r w:rsidRPr="00382EF7">
        <w:rPr>
          <w:rFonts w:eastAsia="Calibri" w:cs="Times New Roman"/>
          <w:bCs/>
        </w:rPr>
        <w:t xml:space="preserve">Además, establece que los Módulos se guardarán en Discos Compactos (CD o DVD), conforme a lo siguiente: </w:t>
      </w:r>
    </w:p>
    <w:p w:rsidRPr="00382EF7" w:rsidR="00003F47" w:rsidP="006935C8" w:rsidRDefault="00003F47" w14:paraId="258E2DF1" w14:textId="77777777">
      <w:pPr>
        <w:spacing w:after="0" w:line="360" w:lineRule="auto"/>
        <w:contextualSpacing/>
        <w:rPr>
          <w:rFonts w:eastAsia="Calibri" w:cs="Times New Roman"/>
          <w:bCs/>
        </w:rPr>
      </w:pPr>
    </w:p>
    <w:p w:rsidRPr="00382EF7" w:rsidR="00003F47" w:rsidP="006935C8" w:rsidRDefault="00003F47" w14:paraId="5A854A78" w14:textId="3078F206">
      <w:pPr>
        <w:pStyle w:val="Prrafodelista"/>
        <w:numPr>
          <w:ilvl w:val="0"/>
          <w:numId w:val="13"/>
        </w:numPr>
        <w:spacing w:line="360" w:lineRule="auto"/>
        <w:rPr>
          <w:rFonts w:ascii="Palatino Linotype" w:hAnsi="Palatino Linotype" w:eastAsia="Calibri"/>
          <w:b/>
          <w:bCs/>
        </w:rPr>
      </w:pPr>
      <w:r w:rsidRPr="00382EF7">
        <w:rPr>
          <w:rFonts w:ascii="Palatino Linotype" w:hAnsi="Palatino Linotype" w:eastAsia="Calibri"/>
          <w:b/>
          <w:bCs/>
        </w:rPr>
        <w:lastRenderedPageBreak/>
        <w:t xml:space="preserve">Módulo 1: </w:t>
      </w:r>
      <w:r w:rsidRPr="00382EF7">
        <w:rPr>
          <w:rFonts w:ascii="Palatino Linotype" w:hAnsi="Palatino Linotype" w:eastAsia="Calibri"/>
          <w:bCs/>
        </w:rPr>
        <w:t>Tres discos, conforme a lo siguiente:</w:t>
      </w:r>
    </w:p>
    <w:p w:rsidRPr="00382EF7" w:rsidR="00003F47" w:rsidP="006935C8" w:rsidRDefault="00003F47" w14:paraId="330798FE" w14:textId="143C55FF">
      <w:pPr>
        <w:pStyle w:val="Prrafodelista"/>
        <w:numPr>
          <w:ilvl w:val="0"/>
          <w:numId w:val="14"/>
        </w:numPr>
        <w:spacing w:line="360" w:lineRule="auto"/>
        <w:ind w:left="1134"/>
        <w:rPr>
          <w:rFonts w:ascii="Palatino Linotype" w:hAnsi="Palatino Linotype" w:eastAsia="Calibri"/>
          <w:bCs/>
        </w:rPr>
      </w:pPr>
      <w:r w:rsidRPr="00382EF7">
        <w:rPr>
          <w:rFonts w:ascii="Palatino Linotype" w:hAnsi="Palatino Linotype" w:eastAsia="Calibri"/>
          <w:bCs/>
        </w:rPr>
        <w:t>Submódulos Estados Financieros y Formatos Auxiliares;</w:t>
      </w:r>
    </w:p>
    <w:p w:rsidRPr="00382EF7" w:rsidR="00003F47" w:rsidP="006935C8" w:rsidRDefault="00003F47" w14:paraId="69BBD6F3" w14:textId="6531371C">
      <w:pPr>
        <w:pStyle w:val="Prrafodelista"/>
        <w:numPr>
          <w:ilvl w:val="0"/>
          <w:numId w:val="14"/>
        </w:numPr>
        <w:spacing w:line="360" w:lineRule="auto"/>
        <w:ind w:left="1134"/>
        <w:rPr>
          <w:rFonts w:ascii="Palatino Linotype" w:hAnsi="Palatino Linotype" w:eastAsia="Calibri"/>
          <w:bCs/>
        </w:rPr>
      </w:pPr>
      <w:r w:rsidRPr="00382EF7">
        <w:rPr>
          <w:rFonts w:ascii="Palatino Linotype" w:hAnsi="Palatino Linotype" w:eastAsia="Calibri"/>
          <w:bCs/>
        </w:rPr>
        <w:t>Submódulo Otros Archivos, y</w:t>
      </w:r>
    </w:p>
    <w:p w:rsidRPr="00382EF7" w:rsidR="00003F47" w:rsidP="006935C8" w:rsidRDefault="00003F47" w14:paraId="73F3A5EC" w14:textId="2AECAE44">
      <w:pPr>
        <w:pStyle w:val="Prrafodelista"/>
        <w:numPr>
          <w:ilvl w:val="0"/>
          <w:numId w:val="14"/>
        </w:numPr>
        <w:spacing w:line="360" w:lineRule="auto"/>
        <w:ind w:left="1134"/>
        <w:rPr>
          <w:rFonts w:ascii="Palatino Linotype" w:hAnsi="Palatino Linotype" w:eastAsia="Calibri"/>
          <w:bCs/>
        </w:rPr>
      </w:pPr>
      <w:r w:rsidRPr="00382EF7">
        <w:rPr>
          <w:rFonts w:ascii="Palatino Linotype" w:hAnsi="Palatino Linotype" w:eastAsia="Calibri"/>
          <w:bCs/>
        </w:rPr>
        <w:t>Submódulo Pólizas.</w:t>
      </w:r>
    </w:p>
    <w:p w:rsidRPr="00382EF7" w:rsidR="00003F47" w:rsidP="006935C8" w:rsidRDefault="00003F47" w14:paraId="7C1774E7" w14:textId="77777777">
      <w:pPr>
        <w:pStyle w:val="Prrafodelista"/>
        <w:spacing w:line="360" w:lineRule="auto"/>
        <w:ind w:left="1134"/>
        <w:rPr>
          <w:rFonts w:ascii="Palatino Linotype" w:hAnsi="Palatino Linotype" w:eastAsia="Calibri"/>
          <w:bCs/>
        </w:rPr>
      </w:pPr>
    </w:p>
    <w:p w:rsidRPr="00382EF7" w:rsidR="00003F47" w:rsidP="006935C8" w:rsidRDefault="00003F47" w14:paraId="28D505DE" w14:textId="6EBBFED5">
      <w:pPr>
        <w:pStyle w:val="Prrafodelista"/>
        <w:numPr>
          <w:ilvl w:val="0"/>
          <w:numId w:val="13"/>
        </w:numPr>
        <w:spacing w:line="360" w:lineRule="auto"/>
        <w:jc w:val="both"/>
        <w:rPr>
          <w:rFonts w:ascii="Palatino Linotype" w:hAnsi="Palatino Linotype" w:eastAsia="Calibri"/>
          <w:bCs/>
        </w:rPr>
      </w:pPr>
      <w:r w:rsidRPr="00382EF7">
        <w:rPr>
          <w:rFonts w:ascii="Palatino Linotype" w:hAnsi="Palatino Linotype" w:eastAsia="Calibri"/>
          <w:b/>
          <w:bCs/>
        </w:rPr>
        <w:t xml:space="preserve">Módulo 2: </w:t>
      </w:r>
      <w:r w:rsidRPr="00382EF7">
        <w:rPr>
          <w:rFonts w:ascii="Palatino Linotype" w:hAnsi="Palatino Linotype" w:eastAsia="Calibri"/>
          <w:bCs/>
        </w:rPr>
        <w:t>Un disco compacto, con los submódulos Información Presupuestal e Información Complementaria.</w:t>
      </w:r>
    </w:p>
    <w:p w:rsidRPr="00382EF7" w:rsidR="00003F47" w:rsidP="006935C8" w:rsidRDefault="00003F47" w14:paraId="54E6335B" w14:textId="77777777">
      <w:pPr>
        <w:pStyle w:val="Prrafodelista"/>
        <w:spacing w:line="360" w:lineRule="auto"/>
        <w:rPr>
          <w:rFonts w:ascii="Palatino Linotype" w:hAnsi="Palatino Linotype" w:eastAsia="Calibri"/>
          <w:b/>
          <w:bCs/>
        </w:rPr>
      </w:pPr>
    </w:p>
    <w:p w:rsidRPr="00382EF7" w:rsidR="00003F47" w:rsidP="006935C8" w:rsidRDefault="00003F47" w14:paraId="0F4ED0EC" w14:textId="6EAC866C">
      <w:pPr>
        <w:pStyle w:val="Prrafodelista"/>
        <w:numPr>
          <w:ilvl w:val="0"/>
          <w:numId w:val="13"/>
        </w:numPr>
        <w:spacing w:line="360" w:lineRule="auto"/>
        <w:rPr>
          <w:rFonts w:ascii="Palatino Linotype" w:hAnsi="Palatino Linotype" w:eastAsia="Calibri"/>
          <w:b/>
          <w:bCs/>
        </w:rPr>
      </w:pPr>
      <w:r w:rsidRPr="00382EF7">
        <w:rPr>
          <w:rFonts w:ascii="Palatino Linotype" w:hAnsi="Palatino Linotype" w:eastAsia="Calibri"/>
          <w:b/>
          <w:bCs/>
        </w:rPr>
        <w:t xml:space="preserve">Módulo 3: </w:t>
      </w:r>
      <w:r w:rsidRPr="00382EF7">
        <w:rPr>
          <w:rFonts w:ascii="Palatino Linotype" w:hAnsi="Palatino Linotype" w:eastAsia="Calibri"/>
          <w:bCs/>
        </w:rPr>
        <w:t>Los discos que sean necesarios, con el submódulo Evaluación Programática</w:t>
      </w:r>
    </w:p>
    <w:p w:rsidRPr="00382EF7" w:rsidR="00003F47" w:rsidP="006935C8" w:rsidRDefault="00003F47" w14:paraId="0A900C42" w14:textId="77777777">
      <w:pPr>
        <w:pStyle w:val="Prrafodelista"/>
        <w:rPr>
          <w:rFonts w:ascii="Palatino Linotype" w:hAnsi="Palatino Linotype" w:eastAsia="Calibri"/>
          <w:b/>
          <w:bCs/>
        </w:rPr>
      </w:pPr>
    </w:p>
    <w:p w:rsidRPr="00382EF7" w:rsidR="00003F47" w:rsidP="006935C8" w:rsidRDefault="00003F47" w14:paraId="5DB194D8" w14:textId="24C5B84D">
      <w:pPr>
        <w:pStyle w:val="Prrafodelista"/>
        <w:numPr>
          <w:ilvl w:val="0"/>
          <w:numId w:val="13"/>
        </w:numPr>
        <w:spacing w:line="360" w:lineRule="auto"/>
        <w:rPr>
          <w:rFonts w:ascii="Palatino Linotype" w:hAnsi="Palatino Linotype" w:eastAsia="Calibri"/>
          <w:b/>
          <w:bCs/>
        </w:rPr>
      </w:pPr>
      <w:r w:rsidRPr="00382EF7">
        <w:rPr>
          <w:rFonts w:ascii="Palatino Linotype" w:hAnsi="Palatino Linotype" w:eastAsia="Calibri"/>
          <w:b/>
          <w:bCs/>
        </w:rPr>
        <w:t xml:space="preserve">Módulo 4: </w:t>
      </w:r>
      <w:r w:rsidRPr="00382EF7">
        <w:rPr>
          <w:rFonts w:ascii="Palatino Linotype" w:hAnsi="Palatino Linotype" w:eastAsia="Calibri"/>
          <w:bCs/>
        </w:rPr>
        <w:t>Dos discos, conforme a lo siguiente:</w:t>
      </w:r>
    </w:p>
    <w:p w:rsidRPr="00382EF7" w:rsidR="00003F47" w:rsidP="006935C8" w:rsidRDefault="00003F47" w14:paraId="2CA527BA" w14:textId="77777777">
      <w:pPr>
        <w:pStyle w:val="Prrafodelista"/>
        <w:rPr>
          <w:rFonts w:ascii="Palatino Linotype" w:hAnsi="Palatino Linotype" w:eastAsia="Calibri"/>
          <w:b/>
          <w:bCs/>
        </w:rPr>
      </w:pPr>
    </w:p>
    <w:p w:rsidRPr="00382EF7" w:rsidR="00003F47" w:rsidP="006935C8" w:rsidRDefault="00003F47" w14:paraId="503C1958" w14:textId="282C368A">
      <w:pPr>
        <w:pStyle w:val="Prrafodelista"/>
        <w:numPr>
          <w:ilvl w:val="0"/>
          <w:numId w:val="15"/>
        </w:numPr>
        <w:spacing w:line="360" w:lineRule="auto"/>
        <w:rPr>
          <w:rFonts w:ascii="Palatino Linotype" w:hAnsi="Palatino Linotype" w:eastAsia="Calibri"/>
          <w:b/>
          <w:bCs/>
        </w:rPr>
      </w:pPr>
      <w:r w:rsidRPr="00382EF7">
        <w:rPr>
          <w:rFonts w:ascii="Palatino Linotype" w:hAnsi="Palatino Linotype"/>
        </w:rPr>
        <w:t>Submódulos Obra, Información de Bienes Muebles e Inmuebles, Género e Igualdad Sustantiva, Declaratoria de Alerta de Violencia de Género y FIPASAHEM;</w:t>
      </w:r>
    </w:p>
    <w:p w:rsidRPr="00382EF7" w:rsidR="00003F47" w:rsidP="006935C8" w:rsidRDefault="00003F47" w14:paraId="43350514" w14:textId="246CFF42">
      <w:pPr>
        <w:pStyle w:val="Prrafodelista"/>
        <w:numPr>
          <w:ilvl w:val="0"/>
          <w:numId w:val="15"/>
        </w:numPr>
        <w:spacing w:line="360" w:lineRule="auto"/>
        <w:rPr>
          <w:rFonts w:ascii="Palatino Linotype" w:hAnsi="Palatino Linotype" w:eastAsia="Calibri"/>
          <w:b/>
          <w:bCs/>
        </w:rPr>
      </w:pPr>
      <w:r w:rsidRPr="00382EF7">
        <w:rPr>
          <w:rFonts w:ascii="Palatino Linotype" w:hAnsi="Palatino Linotype"/>
        </w:rPr>
        <w:t>Submódulo Nómina y Comprobantes Fiscales.</w:t>
      </w:r>
    </w:p>
    <w:p w:rsidRPr="00382EF7" w:rsidR="00003F47" w:rsidP="006935C8" w:rsidRDefault="00003F47" w14:paraId="39D8C5E4" w14:textId="77777777">
      <w:pPr>
        <w:pStyle w:val="Prrafodelista"/>
        <w:spacing w:line="360" w:lineRule="auto"/>
        <w:rPr>
          <w:rFonts w:eastAsia="Calibri"/>
          <w:b/>
          <w:bCs/>
        </w:rPr>
      </w:pPr>
    </w:p>
    <w:p w:rsidRPr="00382EF7" w:rsidR="00522228" w:rsidP="006935C8" w:rsidRDefault="002D250E" w14:paraId="37D4CA9B" w14:textId="0F1D63B1">
      <w:pPr>
        <w:tabs>
          <w:tab w:val="left" w:pos="4962"/>
        </w:tabs>
        <w:spacing w:after="0" w:line="360" w:lineRule="auto"/>
        <w:contextualSpacing/>
        <w:rPr>
          <w:rFonts w:eastAsia="Calibri" w:cs="Times New Roman"/>
          <w:bCs/>
        </w:rPr>
      </w:pPr>
      <w:r w:rsidRPr="00382EF7">
        <w:rPr>
          <w:rFonts w:eastAsia="Calibri" w:cs="Times New Roman"/>
          <w:bCs/>
        </w:rPr>
        <w:t xml:space="preserve">Ahora bien, de la revisión de las solicitudes de información, en atención a la temporalidad requerida y fecha de presentación de las solicitudes de información, es logra vislumbrar que la pretensión del ahora Recurrente, es obtener los documentos que conforman los cuatro Módulos del Primer y Segundo Informe Trimestral del Ejercicio, dos mil veintidós, entregado por el Ayuntamiento de Melchor Ocampo al Órgano Superior de Fiscalización del Estado de México. </w:t>
      </w:r>
    </w:p>
    <w:p w:rsidRPr="00382EF7" w:rsidR="00003F47" w:rsidP="006935C8" w:rsidRDefault="00003F47" w14:paraId="0489488B" w14:textId="77777777">
      <w:pPr>
        <w:tabs>
          <w:tab w:val="left" w:pos="4962"/>
        </w:tabs>
        <w:spacing w:after="0" w:line="360" w:lineRule="auto"/>
        <w:contextualSpacing/>
        <w:rPr>
          <w:rFonts w:eastAsia="Times New Roman" w:cs="Tahoma"/>
          <w:color w:val="auto"/>
          <w:lang w:eastAsia="es-ES"/>
        </w:rPr>
      </w:pPr>
    </w:p>
    <w:p w:rsidRPr="00382EF7" w:rsidR="00BE54AC" w:rsidP="006935C8" w:rsidRDefault="00BE54AC" w14:paraId="381DA837" w14:textId="7A92AFA3">
      <w:pPr>
        <w:spacing w:after="0" w:line="360" w:lineRule="auto"/>
        <w:contextualSpacing/>
        <w:rPr>
          <w:rFonts w:eastAsia="Calibri" w:cs="Tahoma"/>
          <w:bCs/>
          <w:iCs/>
          <w:color w:val="000000"/>
          <w:szCs w:val="24"/>
          <w:lang w:eastAsia="es-MX"/>
        </w:rPr>
      </w:pPr>
      <w:r w:rsidRPr="00382EF7">
        <w:rPr>
          <w:rFonts w:eastAsia="Batang" w:cs="Tahoma"/>
          <w:bCs/>
          <w:color w:val="auto"/>
          <w:lang w:eastAsia="es-ES"/>
        </w:rPr>
        <w:t xml:space="preserve">En ese contexto, de las constancias que obran en el expediente, se logra advertir que el Ayuntamiento turno la solicitud de información, a la </w:t>
      </w:r>
      <w:r w:rsidRPr="00382EF7" w:rsidR="00AE40D9">
        <w:t>Tesorería Municipal</w:t>
      </w:r>
      <w:r w:rsidRPr="00382EF7">
        <w:rPr>
          <w:rFonts w:eastAsia="Batang" w:cs="Tahoma"/>
          <w:bCs/>
          <w:color w:val="auto"/>
          <w:lang w:eastAsia="es-ES"/>
        </w:rPr>
        <w:t xml:space="preserve">; por lo que, resulta </w:t>
      </w:r>
      <w:r w:rsidRPr="00382EF7">
        <w:rPr>
          <w:rFonts w:eastAsia="Calibri" w:cs="Tahoma"/>
          <w:bCs/>
          <w:color w:val="000000"/>
          <w:szCs w:val="24"/>
          <w:lang w:eastAsia="es-MX"/>
        </w:rPr>
        <w:t xml:space="preserve">necesario hacer referencia </w:t>
      </w:r>
      <w:r w:rsidRPr="00382EF7">
        <w:rPr>
          <w:rFonts w:eastAsia="Calibri" w:cs="Tahoma"/>
          <w:color w:val="000000"/>
          <w:szCs w:val="24"/>
          <w:lang w:eastAsia="es-MX"/>
        </w:rPr>
        <w:t xml:space="preserve">al </w:t>
      </w:r>
      <w:r w:rsidRPr="00382EF7">
        <w:rPr>
          <w:rFonts w:eastAsia="Calibri" w:cs="Tahoma"/>
          <w:b/>
          <w:color w:val="000000"/>
          <w:szCs w:val="24"/>
          <w:lang w:eastAsia="es-MX"/>
        </w:rPr>
        <w:t xml:space="preserve">procedimiento de búsqueda que deben de seguir los Sujetos </w:t>
      </w:r>
      <w:r w:rsidRPr="00382EF7">
        <w:rPr>
          <w:rFonts w:eastAsia="Calibri" w:cs="Tahoma"/>
          <w:b/>
          <w:color w:val="000000"/>
          <w:szCs w:val="24"/>
          <w:lang w:eastAsia="es-MX"/>
        </w:rPr>
        <w:lastRenderedPageBreak/>
        <w:t>Obligados para localizar la información</w:t>
      </w:r>
      <w:r w:rsidRPr="00382EF7">
        <w:rPr>
          <w:rFonts w:eastAsia="Calibri" w:cs="Tahoma"/>
          <w:color w:val="000000"/>
          <w:szCs w:val="24"/>
          <w:lang w:eastAsia="es-MX"/>
        </w:rPr>
        <w:t>, el cual se encuentra previsto en los artículos</w:t>
      </w:r>
      <w:r w:rsidRPr="00382EF7">
        <w:rPr>
          <w:rFonts w:eastAsia="Calibri" w:cs="Tahoma"/>
          <w:bCs/>
          <w:color w:val="000000"/>
          <w:szCs w:val="24"/>
          <w:lang w:eastAsia="es-MX"/>
        </w:rPr>
        <w:t xml:space="preserve"> 160 y 162 de la Ley de Transparencia y Acceso a la Información Pública del Estado de México y Municipios, mismo que es el siguiente:</w:t>
      </w:r>
    </w:p>
    <w:p w:rsidRPr="00382EF7" w:rsidR="00BE54AC" w:rsidP="006935C8" w:rsidRDefault="00BE54AC" w14:paraId="64CB1CD2" w14:textId="77777777">
      <w:pPr>
        <w:autoSpaceDE w:val="0"/>
        <w:autoSpaceDN w:val="0"/>
        <w:adjustRightInd w:val="0"/>
        <w:spacing w:after="0" w:line="360" w:lineRule="auto"/>
        <w:contextualSpacing/>
        <w:rPr>
          <w:rFonts w:eastAsia="Calibri" w:cs="Tahoma"/>
          <w:bCs/>
          <w:color w:val="000000"/>
          <w:szCs w:val="24"/>
          <w:lang w:eastAsia="es-MX"/>
        </w:rPr>
      </w:pPr>
    </w:p>
    <w:p w:rsidRPr="00382EF7" w:rsidR="00BE54AC" w:rsidP="006935C8" w:rsidRDefault="00BE54AC" w14:paraId="5F1D9222" w14:textId="77777777">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382EF7">
        <w:rPr>
          <w:rFonts w:eastAsia="Calibri" w:cs="Tahoma"/>
          <w:bCs/>
          <w:color w:val="000000"/>
          <w:szCs w:val="24"/>
          <w:lang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382EF7" w:rsidR="00BE54AC" w:rsidP="006935C8" w:rsidRDefault="00BE54AC" w14:paraId="0C7C0722" w14:textId="77777777">
      <w:pPr>
        <w:autoSpaceDE w:val="0"/>
        <w:autoSpaceDN w:val="0"/>
        <w:adjustRightInd w:val="0"/>
        <w:spacing w:after="0" w:line="360" w:lineRule="auto"/>
        <w:contextualSpacing/>
        <w:rPr>
          <w:rFonts w:eastAsia="Calibri" w:cs="Tahoma"/>
          <w:bCs/>
          <w:color w:val="000000"/>
          <w:szCs w:val="24"/>
          <w:lang w:eastAsia="es-MX"/>
        </w:rPr>
      </w:pPr>
    </w:p>
    <w:p w:rsidRPr="00382EF7" w:rsidR="00BE54AC" w:rsidP="006935C8" w:rsidRDefault="00BE54AC" w14:paraId="0D2A6298" w14:textId="77777777">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382EF7">
        <w:rPr>
          <w:rFonts w:eastAsia="Calibri" w:cs="Tahoma"/>
          <w:bCs/>
          <w:color w:val="000000"/>
          <w:szCs w:val="24"/>
          <w:lang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382EF7" w:rsidR="00BE54AC" w:rsidP="006935C8" w:rsidRDefault="00BE54AC" w14:paraId="2E152062" w14:textId="77777777">
      <w:pPr>
        <w:autoSpaceDE w:val="0"/>
        <w:autoSpaceDN w:val="0"/>
        <w:adjustRightInd w:val="0"/>
        <w:spacing w:after="0" w:line="360" w:lineRule="auto"/>
        <w:contextualSpacing/>
        <w:rPr>
          <w:rFonts w:eastAsia="Calibri" w:cs="Tahoma"/>
          <w:color w:val="000000"/>
          <w:szCs w:val="24"/>
          <w:lang w:eastAsia="es-MX"/>
        </w:rPr>
      </w:pPr>
    </w:p>
    <w:p w:rsidRPr="00382EF7" w:rsidR="00BE54AC" w:rsidP="006935C8" w:rsidRDefault="00BE54AC" w14:paraId="7B882E28" w14:textId="0F27CABD">
      <w:pPr>
        <w:spacing w:after="0" w:line="360" w:lineRule="auto"/>
        <w:contextualSpacing/>
        <w:rPr>
          <w:rFonts w:eastAsia="Calibri" w:cs="Tahoma"/>
          <w:color w:val="000000"/>
          <w:szCs w:val="24"/>
          <w:lang w:eastAsia="es-MX"/>
        </w:rPr>
      </w:pPr>
      <w:r w:rsidRPr="00382EF7">
        <w:rPr>
          <w:rFonts w:eastAsia="Calibri" w:cs="Tahoma"/>
          <w:color w:val="000000"/>
          <w:szCs w:val="24"/>
          <w:lang w:eastAsia="es-MX"/>
        </w:rPr>
        <w:t xml:space="preserve">Así, a efecto de determinar si el Sujeto Obligado siguió el procedimiento antes descrito, es necesario traer a colación </w:t>
      </w:r>
      <w:r w:rsidRPr="00382EF7" w:rsidR="004C3837">
        <w:rPr>
          <w:rFonts w:eastAsia="Calibri" w:cs="Tahoma"/>
          <w:color w:val="000000"/>
          <w:szCs w:val="24"/>
          <w:lang w:eastAsia="es-MX"/>
        </w:rPr>
        <w:t>el</w:t>
      </w:r>
      <w:r w:rsidRPr="00382EF7">
        <w:rPr>
          <w:rFonts w:eastAsia="Calibri" w:cs="Tahoma"/>
          <w:color w:val="000000"/>
          <w:szCs w:val="24"/>
          <w:lang w:eastAsia="es-MX"/>
        </w:rPr>
        <w:t xml:space="preserve"> artículo </w:t>
      </w:r>
      <w:r w:rsidRPr="00382EF7" w:rsidR="004C3837">
        <w:rPr>
          <w:rFonts w:eastAsia="Calibri" w:cs="Tahoma"/>
          <w:color w:val="000000"/>
          <w:szCs w:val="24"/>
          <w:lang w:eastAsia="es-MX"/>
        </w:rPr>
        <w:t xml:space="preserve">6.4 del Bando Municipal </w:t>
      </w:r>
      <w:r w:rsidRPr="00382EF7">
        <w:rPr>
          <w:rFonts w:eastAsia="Calibri" w:cs="Tahoma"/>
          <w:color w:val="000000"/>
          <w:szCs w:val="24"/>
          <w:lang w:eastAsia="es-MX"/>
        </w:rPr>
        <w:t>dos mil veintidós, de Me</w:t>
      </w:r>
      <w:r w:rsidRPr="00382EF7" w:rsidR="004C3837">
        <w:rPr>
          <w:rFonts w:eastAsia="Calibri" w:cs="Tahoma"/>
          <w:color w:val="000000"/>
          <w:szCs w:val="24"/>
          <w:lang w:eastAsia="es-MX"/>
        </w:rPr>
        <w:t>lchor  Ocampo</w:t>
      </w:r>
      <w:r w:rsidRPr="00382EF7">
        <w:rPr>
          <w:rFonts w:eastAsia="Calibri" w:cs="Tahoma"/>
          <w:color w:val="000000"/>
          <w:szCs w:val="24"/>
          <w:lang w:eastAsia="es-MX"/>
        </w:rPr>
        <w:t>,</w:t>
      </w:r>
      <w:r w:rsidRPr="00382EF7" w:rsidR="004C3837">
        <w:rPr>
          <w:rFonts w:eastAsia="Calibri" w:cs="Tahoma"/>
          <w:color w:val="000000"/>
          <w:szCs w:val="24"/>
          <w:lang w:eastAsia="es-MX"/>
        </w:rPr>
        <w:t xml:space="preserve"> en relación con el artículo 95 de la Ley Orgánica Municipal del Estado de México dos mil veintidós,</w:t>
      </w:r>
      <w:r w:rsidRPr="00382EF7">
        <w:rPr>
          <w:rFonts w:eastAsia="Calibri" w:cs="Tahoma"/>
          <w:color w:val="000000"/>
          <w:szCs w:val="24"/>
          <w:lang w:eastAsia="es-MX"/>
        </w:rPr>
        <w:t xml:space="preserve"> los cuales establecen que, la </w:t>
      </w:r>
      <w:r w:rsidRPr="00382EF7" w:rsidR="004C3837">
        <w:rPr>
          <w:rFonts w:eastAsia="Calibri" w:cs="Tahoma"/>
          <w:color w:val="000000"/>
          <w:szCs w:val="24"/>
          <w:lang w:eastAsia="es-MX"/>
        </w:rPr>
        <w:t xml:space="preserve">Tesorería Municipal </w:t>
      </w:r>
      <w:r w:rsidRPr="00382EF7">
        <w:rPr>
          <w:rFonts w:eastAsia="Calibri" w:cs="Tahoma"/>
          <w:color w:val="000000"/>
          <w:szCs w:val="24"/>
          <w:lang w:eastAsia="es-MX"/>
        </w:rPr>
        <w:t xml:space="preserve">es la encargada de </w:t>
      </w:r>
      <w:r w:rsidRPr="00382EF7" w:rsidR="004C3837">
        <w:rPr>
          <w:rFonts w:eastAsia="Calibri" w:cs="Tahoma"/>
          <w:color w:val="000000"/>
          <w:szCs w:val="24"/>
          <w:lang w:eastAsia="es-MX"/>
        </w:rPr>
        <w:t xml:space="preserve">integrar los informes ante el Órgano Superior de Fiscalización del Estado de México, así como dar atención a las </w:t>
      </w:r>
      <w:r w:rsidRPr="00382EF7" w:rsidR="00E92816">
        <w:rPr>
          <w:rFonts w:eastAsia="Calibri" w:cs="Tahoma"/>
          <w:color w:val="000000"/>
          <w:szCs w:val="24"/>
          <w:lang w:eastAsia="es-MX"/>
        </w:rPr>
        <w:t>observaciones</w:t>
      </w:r>
      <w:r w:rsidRPr="00382EF7" w:rsidR="004C3837">
        <w:rPr>
          <w:rFonts w:eastAsia="Calibri" w:cs="Tahoma"/>
          <w:color w:val="000000"/>
          <w:szCs w:val="24"/>
          <w:lang w:eastAsia="es-MX"/>
        </w:rPr>
        <w:t xml:space="preserve"> </w:t>
      </w:r>
      <w:r w:rsidRPr="00382EF7" w:rsidR="00E92816">
        <w:rPr>
          <w:rFonts w:eastAsia="Calibri" w:cs="Tahoma"/>
          <w:color w:val="000000"/>
          <w:szCs w:val="24"/>
          <w:lang w:eastAsia="es-MX"/>
        </w:rPr>
        <w:t>y alcances que formule dicha dependencia.</w:t>
      </w:r>
    </w:p>
    <w:p w:rsidRPr="00382EF7" w:rsidR="00BE54AC" w:rsidP="006935C8" w:rsidRDefault="00BE54AC" w14:paraId="325FBD94" w14:textId="77777777">
      <w:pPr>
        <w:spacing w:after="0" w:line="360" w:lineRule="auto"/>
        <w:contextualSpacing/>
        <w:rPr>
          <w:rFonts w:eastAsia="Calibri" w:cs="Tahoma"/>
          <w:color w:val="000000"/>
          <w:szCs w:val="24"/>
          <w:lang w:eastAsia="es-MX"/>
        </w:rPr>
      </w:pPr>
    </w:p>
    <w:p w:rsidRPr="00382EF7" w:rsidR="00BE54AC" w:rsidP="006935C8" w:rsidRDefault="00BE54AC" w14:paraId="1DF892C9" w14:textId="5D070727">
      <w:pPr>
        <w:autoSpaceDE w:val="0"/>
        <w:autoSpaceDN w:val="0"/>
        <w:adjustRightInd w:val="0"/>
        <w:spacing w:after="0" w:line="360" w:lineRule="auto"/>
        <w:contextualSpacing/>
        <w:rPr>
          <w:rFonts w:eastAsia="Calibri" w:cs="Tahoma"/>
          <w:color w:val="000000"/>
          <w:szCs w:val="24"/>
          <w:lang w:eastAsia="es-MX"/>
        </w:rPr>
      </w:pPr>
      <w:r w:rsidRPr="00382EF7">
        <w:rPr>
          <w:rFonts w:eastAsia="Calibri" w:cs="Tahoma"/>
          <w:color w:val="000000"/>
          <w:szCs w:val="24"/>
          <w:lang w:eastAsia="es-MX"/>
        </w:rPr>
        <w:t xml:space="preserve">Conforme a lo anterior, se colige que el Ente Recurrido, gestionó la solicitud de información, al área con atribuciones para conocer de lo peticionado, a saber, la </w:t>
      </w:r>
      <w:r w:rsidRPr="00382EF7" w:rsidR="00E92816">
        <w:rPr>
          <w:rFonts w:eastAsia="Calibri" w:cs="Tahoma"/>
          <w:color w:val="000000"/>
          <w:szCs w:val="24"/>
          <w:lang w:eastAsia="es-MX"/>
        </w:rPr>
        <w:t>Tesorería Municipal</w:t>
      </w:r>
      <w:r w:rsidRPr="00382EF7">
        <w:rPr>
          <w:rFonts w:eastAsia="Calibri" w:cs="Tahoma"/>
          <w:color w:val="000000"/>
          <w:szCs w:val="24"/>
          <w:lang w:eastAsia="es-MX"/>
        </w:rPr>
        <w:t xml:space="preserve"> que es la encarga de ver todas las cuestiones relacionadas con la</w:t>
      </w:r>
      <w:r w:rsidRPr="00382EF7" w:rsidR="00E92816">
        <w:rPr>
          <w:rFonts w:eastAsia="Calibri" w:cs="Tahoma"/>
          <w:color w:val="000000"/>
          <w:szCs w:val="24"/>
          <w:lang w:eastAsia="es-MX"/>
        </w:rPr>
        <w:t xml:space="preserve"> integración de los informes y requerimientos al Órgano Superior de Fiscalización del Estado de México</w:t>
      </w:r>
      <w:r w:rsidRPr="00382EF7">
        <w:rPr>
          <w:rFonts w:eastAsia="Calibri" w:cs="Tahoma"/>
          <w:color w:val="000000"/>
          <w:szCs w:val="24"/>
          <w:lang w:eastAsia="es-MX"/>
        </w:rPr>
        <w:t xml:space="preserve">, por lo que, se </w:t>
      </w:r>
      <w:r w:rsidRPr="00382EF7">
        <w:rPr>
          <w:rFonts w:eastAsia="Calibri" w:cs="Tahoma"/>
          <w:color w:val="000000"/>
          <w:szCs w:val="24"/>
          <w:lang w:eastAsia="es-MX"/>
        </w:rPr>
        <w:lastRenderedPageBreak/>
        <w:t>advierte que cumplió con el procedimiento de búsqueda establecido en el artículo 162 de la Ley de Transparencia y Acceso a la Información Pública del Estado de México y Municipios.</w:t>
      </w:r>
    </w:p>
    <w:p w:rsidRPr="00382EF7" w:rsidR="00BE54AC" w:rsidP="006935C8" w:rsidRDefault="00BE54AC" w14:paraId="6423EF73" w14:textId="77777777">
      <w:pPr>
        <w:spacing w:after="0" w:line="360" w:lineRule="auto"/>
        <w:contextualSpacing/>
        <w:rPr>
          <w:rFonts w:eastAsia="Times New Roman" w:cs="Arial"/>
          <w:b/>
          <w:bCs/>
          <w:color w:val="auto"/>
          <w:lang w:eastAsia="es-ES"/>
        </w:rPr>
      </w:pPr>
    </w:p>
    <w:p w:rsidRPr="00382EF7" w:rsidR="00D8042E" w:rsidP="006935C8" w:rsidRDefault="002D250E" w14:paraId="15AFBA89" w14:textId="77777777">
      <w:pPr>
        <w:autoSpaceDE w:val="0"/>
        <w:autoSpaceDN w:val="0"/>
        <w:adjustRightInd w:val="0"/>
        <w:spacing w:after="0" w:line="360" w:lineRule="auto"/>
        <w:rPr>
          <w:rFonts w:eastAsia="Times New Roman" w:cs="Tahoma"/>
          <w:color w:val="auto"/>
          <w:lang w:eastAsia="es-ES"/>
        </w:rPr>
      </w:pPr>
      <w:r w:rsidRPr="00382EF7">
        <w:rPr>
          <w:rFonts w:eastAsia="Times New Roman" w:cs="Arial"/>
          <w:bCs/>
          <w:color w:val="auto"/>
          <w:lang w:eastAsia="es-ES"/>
        </w:rPr>
        <w:t xml:space="preserve">Ahora bien, la Tesorería Municipal, precisó tanto en respuesta, como en el desahogo del requerimiento de información, precisó que la información que daba cuenta de lo solicitado, eran los documentos que conformaban los módulos de información contable, financiera, presupuestaría, programática y administrativa, por lo que, se logra vislumbrar que puso a disposición </w:t>
      </w:r>
      <w:r w:rsidRPr="00382EF7" w:rsidR="00D8042E">
        <w:rPr>
          <w:rFonts w:eastAsia="Times New Roman" w:cs="Arial"/>
          <w:bCs/>
          <w:color w:val="auto"/>
          <w:lang w:eastAsia="es-ES"/>
        </w:rPr>
        <w:t xml:space="preserve">la información que da cuenta  de lo solicitado; </w:t>
      </w:r>
      <w:r w:rsidRPr="00382EF7" w:rsidR="00D8042E">
        <w:rPr>
          <w:rFonts w:eastAsia="Calibri" w:cs="Tahoma"/>
          <w:bCs/>
        </w:rPr>
        <w:t>;</w:t>
      </w:r>
      <w:r w:rsidRPr="00382EF7" w:rsidR="00D8042E">
        <w:rPr>
          <w:rFonts w:eastAsia="Times New Roman" w:cs="Tahoma"/>
          <w:bCs/>
          <w:color w:val="0D0D0D" w:themeColor="text1" w:themeTint="F2"/>
          <w:szCs w:val="24"/>
          <w:lang w:val="es-ES_tradnl" w:eastAsia="es-ES"/>
        </w:rPr>
        <w:t xml:space="preserve"> </w:t>
      </w:r>
      <w:r w:rsidRPr="00382EF7" w:rsidR="00D8042E">
        <w:rPr>
          <w:rFonts w:eastAsia="Calibri" w:cs="Tahoma"/>
          <w:bCs/>
          <w:color w:val="000000"/>
          <w:szCs w:val="24"/>
          <w:lang w:eastAsia="es-MX"/>
        </w:rPr>
        <w:t>dicha determinación</w:t>
      </w:r>
      <w:r w:rsidRPr="00382EF7" w:rsidR="00D8042E">
        <w:t xml:space="preserve">, </w:t>
      </w:r>
      <w:r w:rsidRPr="00382EF7" w:rsidR="00D8042E">
        <w:rPr>
          <w:rFonts w:eastAsia="Times New Roman" w:cs="Tahoma"/>
          <w:color w:val="auto"/>
          <w:lang w:eastAsia="es-ES"/>
        </w:rPr>
        <w:t>toma sustento en el artículo 12 de la Ley de la Materia,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382EF7" w:rsidR="00D8042E" w:rsidP="006935C8" w:rsidRDefault="00D8042E" w14:paraId="1193CCE0" w14:textId="77777777">
      <w:pPr>
        <w:autoSpaceDE w:val="0"/>
        <w:autoSpaceDN w:val="0"/>
        <w:adjustRightInd w:val="0"/>
        <w:spacing w:after="0" w:line="360" w:lineRule="auto"/>
        <w:rPr>
          <w:rFonts w:eastAsia="Times New Roman" w:cs="Tahoma"/>
          <w:color w:val="auto"/>
          <w:lang w:eastAsia="es-ES"/>
        </w:rPr>
      </w:pPr>
    </w:p>
    <w:p w:rsidRPr="00382EF7" w:rsidR="00D8042E" w:rsidP="006935C8" w:rsidRDefault="00D8042E" w14:paraId="6E275C34" w14:textId="77777777">
      <w:pPr>
        <w:tabs>
          <w:tab w:val="left" w:pos="4962"/>
        </w:tabs>
        <w:spacing w:after="0" w:line="360" w:lineRule="auto"/>
        <w:rPr>
          <w:rFonts w:eastAsia="Times New Roman" w:cs="Tahoma"/>
          <w:color w:val="auto"/>
          <w:lang w:eastAsia="es-ES"/>
        </w:rPr>
      </w:pPr>
      <w:r w:rsidRPr="00382EF7">
        <w:rPr>
          <w:rFonts w:eastAsia="Times New Roman" w:cs="Tahoma"/>
          <w:color w:val="auto"/>
          <w:lang w:eastAsia="es-ES"/>
        </w:rPr>
        <w:t xml:space="preserve">De esta manera, </w:t>
      </w:r>
      <w:r w:rsidRPr="00382EF7">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382EF7">
        <w:rPr>
          <w:rFonts w:eastAsia="Times New Roman" w:cs="Tahoma"/>
          <w:i/>
          <w:color w:val="auto"/>
          <w:lang w:eastAsia="es-ES"/>
        </w:rPr>
        <w:t>ad hoc</w:t>
      </w:r>
      <w:r w:rsidRPr="00382EF7">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382EF7" w:rsidR="00D8042E" w:rsidP="006935C8" w:rsidRDefault="00D8042E" w14:paraId="770924E2" w14:textId="77777777">
      <w:pPr>
        <w:tabs>
          <w:tab w:val="left" w:pos="4962"/>
        </w:tabs>
        <w:spacing w:after="0" w:line="360" w:lineRule="auto"/>
        <w:rPr>
          <w:rFonts w:eastAsia="Times New Roman" w:cs="Tahoma"/>
          <w:color w:val="auto"/>
          <w:lang w:eastAsia="es-ES"/>
        </w:rPr>
      </w:pPr>
    </w:p>
    <w:p w:rsidRPr="00382EF7" w:rsidR="002D250E" w:rsidP="006935C8" w:rsidRDefault="00D8042E" w14:paraId="5672CB83" w14:textId="569EECAA">
      <w:pPr>
        <w:spacing w:after="0" w:line="360" w:lineRule="auto"/>
        <w:contextualSpacing/>
        <w:rPr>
          <w:rFonts w:eastAsia="Times New Roman" w:cs="Arial"/>
          <w:bCs/>
          <w:color w:val="auto"/>
          <w:lang w:eastAsia="es-ES"/>
        </w:rPr>
      </w:pPr>
      <w:r w:rsidRPr="00382EF7">
        <w:rPr>
          <w:rFonts w:cs="Tahoma"/>
          <w:lang w:val="es-ES"/>
        </w:rPr>
        <w:t>De tales circunstancias, se concluye que los sujetos obligados únicamente se encuentran constreñidos a proporcionar la información que dé cuenta de lo peticionado, como obre en sus archivos, sin tener que elaborarlos a las necesidades del Recurrente; lo cual aconteció pues puso a disposición los documentos requeridos.</w:t>
      </w:r>
      <w:r w:rsidRPr="00382EF7" w:rsidR="002D250E">
        <w:rPr>
          <w:rFonts w:eastAsia="Times New Roman" w:cs="Arial"/>
          <w:bCs/>
          <w:color w:val="auto"/>
          <w:lang w:eastAsia="es-ES"/>
        </w:rPr>
        <w:t xml:space="preserve"> </w:t>
      </w:r>
    </w:p>
    <w:p w:rsidRPr="00382EF7" w:rsidR="002D250E" w:rsidP="006935C8" w:rsidRDefault="002D250E" w14:paraId="0CF6320A" w14:textId="77777777">
      <w:pPr>
        <w:spacing w:after="0" w:line="360" w:lineRule="auto"/>
        <w:contextualSpacing/>
        <w:rPr>
          <w:rFonts w:eastAsia="Times New Roman" w:cs="Arial"/>
          <w:b/>
          <w:bCs/>
          <w:color w:val="auto"/>
          <w:lang w:eastAsia="es-ES"/>
        </w:rPr>
      </w:pPr>
    </w:p>
    <w:p w:rsidRPr="00382EF7" w:rsidR="00EE3339" w:rsidP="006935C8" w:rsidRDefault="00D8042E" w14:paraId="1461FF2F" w14:textId="066763CD">
      <w:pPr>
        <w:spacing w:after="0" w:line="360" w:lineRule="auto"/>
        <w:contextualSpacing/>
        <w:rPr>
          <w:rFonts w:eastAsia="Calibri" w:cs="Tahoma"/>
          <w:bCs/>
        </w:rPr>
      </w:pPr>
      <w:r w:rsidRPr="00382EF7">
        <w:rPr>
          <w:rFonts w:eastAsia="Times New Roman" w:cs="Arial"/>
          <w:bCs/>
          <w:color w:val="auto"/>
          <w:lang w:eastAsia="es-ES"/>
        </w:rPr>
        <w:t>Ahora bien, la Tesorería Municipal, precisó que ponía en consulta directa la información referida; sobre el tema,</w:t>
      </w:r>
      <w:r w:rsidRPr="00382EF7" w:rsidR="00EE3339">
        <w:rPr>
          <w:rFonts w:cs="Tahoma"/>
        </w:rPr>
        <w:t xml:space="preserve"> es necesario recordar que el Recurrente señaló como modalidad de entrega, a través del Sistema de Acceso a la Información Mexiquense (SAIMEX); al respecto, </w:t>
      </w:r>
      <w:r w:rsidRPr="00382EF7" w:rsidR="00EE3339">
        <w:rPr>
          <w:rFonts w:eastAsia="Calibri" w:cs="Tahoma"/>
          <w:bCs/>
          <w:lang w:val="es-ES"/>
        </w:rPr>
        <w:t xml:space="preserve">el </w:t>
      </w:r>
      <w:r w:rsidRPr="00382EF7" w:rsidR="00EE3339">
        <w:rPr>
          <w:rFonts w:eastAsia="Calibri" w:cs="Tahoma"/>
          <w:bCs/>
          <w:lang w:val="es-ES"/>
        </w:rPr>
        <w:lastRenderedPageBreak/>
        <w:t xml:space="preserve">artículo 155, fracción V, de la Ley de Transparencia y Acceso a la Información Pública del Estado de México y Municipios, precisa que </w:t>
      </w:r>
      <w:r w:rsidRPr="00382EF7" w:rsidR="00EE3339">
        <w:rPr>
          <w:rFonts w:eastAsia="Calibri" w:cs="Tahoma"/>
          <w:bCs/>
        </w:rPr>
        <w:t xml:space="preserve">para presentar una solicitud, el Particular podrá señalar </w:t>
      </w:r>
      <w:r w:rsidRPr="00382EF7" w:rsidR="00EE3339">
        <w:rPr>
          <w:rFonts w:eastAsia="Calibri" w:cs="Tahoma"/>
          <w:b/>
          <w:bCs/>
        </w:rPr>
        <w:t>la modalidad en la que prefiere se otorgue el acceso a la información</w:t>
      </w:r>
      <w:r w:rsidRPr="00382EF7" w:rsidR="00EE3339">
        <w:rPr>
          <w:rFonts w:eastAsia="Calibri" w:cs="Tahoma"/>
          <w:bCs/>
        </w:rPr>
        <w:t>, la cual podrá ser verbal, siempre y cuando sea para fines de orientación, mediante consulta directa, mediante la expedición de copias simples o certificadas o la reproducción en cualquier otro medio, incluidos los electrónicos.</w:t>
      </w:r>
    </w:p>
    <w:p w:rsidRPr="00382EF7" w:rsidR="00E92816" w:rsidP="006935C8" w:rsidRDefault="00E92816" w14:paraId="34BC9214" w14:textId="77777777">
      <w:pPr>
        <w:spacing w:after="0" w:line="360" w:lineRule="auto"/>
        <w:contextualSpacing/>
        <w:rPr>
          <w:rFonts w:eastAsia="Calibri" w:cs="Tahoma"/>
          <w:bCs/>
        </w:rPr>
      </w:pPr>
    </w:p>
    <w:p w:rsidRPr="00382EF7" w:rsidR="00E92816" w:rsidP="006935C8" w:rsidRDefault="00E92816" w14:paraId="413CCA74" w14:textId="77777777">
      <w:pPr>
        <w:spacing w:after="0" w:line="360" w:lineRule="auto"/>
        <w:contextualSpacing/>
        <w:rPr>
          <w:rFonts w:eastAsia="Calibri" w:cs="Tahoma"/>
          <w:b/>
          <w:bCs/>
        </w:rPr>
      </w:pPr>
      <w:r w:rsidRPr="00382EF7">
        <w:rPr>
          <w:rFonts w:eastAsia="Calibri" w:cs="Tahoma"/>
          <w:bCs/>
        </w:rPr>
        <w:t xml:space="preserve">El artículo 158, dispone que, de manera excepcional, cuando de manera fundada y motivada lo determine el Sujeto Obligado, </w:t>
      </w:r>
      <w:r w:rsidRPr="00382EF7">
        <w:rPr>
          <w:rFonts w:eastAsia="Calibri" w:cs="Tahoma"/>
          <w:b/>
          <w:bC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382EF7" w:rsidR="00E92816" w:rsidP="006935C8" w:rsidRDefault="00E92816" w14:paraId="542F9F07" w14:textId="77777777">
      <w:pPr>
        <w:spacing w:after="0" w:line="360" w:lineRule="auto"/>
        <w:contextualSpacing/>
        <w:rPr>
          <w:rFonts w:eastAsia="Calibri" w:cs="Tahoma"/>
          <w:b/>
          <w:bCs/>
        </w:rPr>
      </w:pPr>
    </w:p>
    <w:p w:rsidRPr="00382EF7" w:rsidR="00E92816" w:rsidP="006935C8" w:rsidRDefault="00E92816" w14:paraId="41F4B60C" w14:textId="77777777">
      <w:pPr>
        <w:spacing w:after="0" w:line="360" w:lineRule="auto"/>
        <w:contextualSpacing/>
        <w:rPr>
          <w:rFonts w:eastAsia="Calibri" w:cs="Tahoma"/>
          <w:bCs/>
        </w:rPr>
      </w:pPr>
      <w:r w:rsidRPr="00382EF7">
        <w:rPr>
          <w:rFonts w:eastAsia="Calibri" w:cs="Tahoma"/>
          <w:bCs/>
        </w:rPr>
        <w:t xml:space="preserve">En ese orden de ideas, el artículo 164 de dicho ordenamiento jurídico, prevé que el acceso se dará en la modalidad de entrega y, en su caso, de envío elegidos por al solicitante. </w:t>
      </w:r>
      <w:r w:rsidRPr="00382EF7">
        <w:rPr>
          <w:rFonts w:eastAsia="Calibri" w:cs="Tahoma"/>
          <w:b/>
          <w:bCs/>
        </w:rPr>
        <w:t>Cuando la información no pueda entregarse o enviarse en la modalidad elegida, el sujeto obligado deberá ofrecer otra u otras modalidades de entrega.</w:t>
      </w:r>
      <w:r w:rsidRPr="00382EF7">
        <w:rPr>
          <w:rFonts w:eastAsia="Calibri" w:cs="Tahoma"/>
          <w:bCs/>
        </w:rPr>
        <w:t xml:space="preserve"> En cualquier caso, </w:t>
      </w:r>
      <w:r w:rsidRPr="00382EF7">
        <w:rPr>
          <w:rFonts w:eastAsia="Calibri" w:cs="Tahoma"/>
          <w:b/>
          <w:bCs/>
        </w:rPr>
        <w:t>se deberá fundar y motivar</w:t>
      </w:r>
      <w:r w:rsidRPr="00382EF7">
        <w:rPr>
          <w:rFonts w:eastAsia="Calibri" w:cs="Tahoma"/>
          <w:bCs/>
        </w:rPr>
        <w:t xml:space="preserve"> la necesidad de ofrecer otras modalidades.</w:t>
      </w:r>
    </w:p>
    <w:p w:rsidRPr="00382EF7" w:rsidR="00E92816" w:rsidP="006935C8" w:rsidRDefault="00E92816" w14:paraId="63F8B06A" w14:textId="77777777">
      <w:pPr>
        <w:spacing w:after="0" w:line="360" w:lineRule="auto"/>
        <w:contextualSpacing/>
        <w:rPr>
          <w:rFonts w:eastAsia="Calibri" w:cs="Tahoma"/>
          <w:bCs/>
        </w:rPr>
      </w:pPr>
    </w:p>
    <w:p w:rsidRPr="00382EF7" w:rsidR="0032547B" w:rsidP="006935C8" w:rsidRDefault="0032547B" w14:paraId="2F360726" w14:textId="77777777">
      <w:pPr>
        <w:spacing w:after="0" w:line="360" w:lineRule="auto"/>
        <w:rPr>
          <w:rFonts w:cs="Tahoma"/>
          <w:b/>
          <w:bCs/>
          <w:iCs/>
        </w:rPr>
      </w:pPr>
      <w:r w:rsidRPr="00382EF7">
        <w:rPr>
          <w:rFonts w:cs="Tahoma"/>
          <w:bCs/>
          <w:iCs/>
        </w:rPr>
        <w:t xml:space="preserve">En tales consideraciones, la entrega de la información deberá hacerse, </w:t>
      </w:r>
      <w:r w:rsidRPr="00382EF7">
        <w:rPr>
          <w:rFonts w:cs="Tahoma"/>
          <w:b/>
          <w:bCs/>
          <w:iCs/>
        </w:rPr>
        <w:t>en la medida de lo posible, en la forma solicitada por el interesado, salvo que exista un impedimento justificado para atenderla</w:t>
      </w:r>
      <w:r w:rsidRPr="00382EF7">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382EF7">
        <w:rPr>
          <w:rFonts w:cs="Tahoma"/>
          <w:b/>
          <w:bCs/>
          <w:iCs/>
        </w:rPr>
        <w:t xml:space="preserve">sólo procede, en caso de que se acredite la imposibilidad de atenderla. </w:t>
      </w:r>
    </w:p>
    <w:p w:rsidRPr="00382EF7" w:rsidR="00E92816" w:rsidP="006935C8" w:rsidRDefault="00E92816" w14:paraId="25700CC9" w14:textId="77777777">
      <w:pPr>
        <w:spacing w:after="0" w:line="360" w:lineRule="auto"/>
        <w:contextualSpacing/>
        <w:rPr>
          <w:rFonts w:eastAsia="Calibri" w:cs="Tahoma"/>
          <w:bCs/>
        </w:rPr>
      </w:pPr>
    </w:p>
    <w:p w:rsidRPr="00382EF7" w:rsidR="00D61D96" w:rsidP="006935C8" w:rsidRDefault="00D61D96" w14:paraId="3970E0FD" w14:textId="77777777">
      <w:pPr>
        <w:spacing w:after="0" w:line="360" w:lineRule="auto"/>
        <w:rPr>
          <w:rFonts w:eastAsia="Calibri" w:cs="Tahoma"/>
          <w:bCs/>
          <w:color w:val="auto"/>
          <w:lang w:val="es-ES"/>
        </w:rPr>
      </w:pPr>
      <w:r w:rsidRPr="00382EF7">
        <w:rPr>
          <w:rFonts w:eastAsia="Calibri" w:cs="Tahoma"/>
          <w:bCs/>
          <w:color w:val="auto"/>
          <w:lang w:val="es-ES"/>
        </w:rPr>
        <w:lastRenderedPageBreak/>
        <w:t xml:space="preserve">Así, cuando se justifique el impedimento, </w:t>
      </w:r>
      <w:r w:rsidRPr="00382EF7">
        <w:rPr>
          <w:rFonts w:eastAsia="Calibri" w:cs="Tahoma"/>
          <w:b/>
          <w:bCs/>
          <w:color w:val="auto"/>
          <w:lang w:val="es-ES"/>
        </w:rPr>
        <w:t>los Sujetos Obligados deberán ofrecer al particular otras modalidades de entrega que permita la información</w:t>
      </w:r>
      <w:r w:rsidRPr="00382EF7">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rsidRPr="00382EF7" w:rsidR="00E92816" w:rsidP="006935C8" w:rsidRDefault="00E92816" w14:paraId="675EE7EB" w14:textId="77777777">
      <w:pPr>
        <w:spacing w:after="0" w:line="360" w:lineRule="auto"/>
        <w:contextualSpacing/>
        <w:rPr>
          <w:rFonts w:eastAsia="Calibri" w:cs="Tahoma"/>
          <w:bCs/>
          <w:sz w:val="24"/>
          <w:szCs w:val="24"/>
        </w:rPr>
      </w:pPr>
    </w:p>
    <w:p w:rsidRPr="00382EF7" w:rsidR="00E92816" w:rsidP="006935C8" w:rsidRDefault="00E92816" w14:paraId="3EF40CEB" w14:textId="77777777">
      <w:pPr>
        <w:spacing w:after="0" w:line="360" w:lineRule="auto"/>
        <w:ind w:left="567" w:right="567"/>
        <w:contextualSpacing/>
        <w:rPr>
          <w:rFonts w:eastAsia="Calibri" w:cs="Tahoma"/>
          <w:bCs/>
          <w:i/>
          <w:sz w:val="20"/>
          <w:szCs w:val="20"/>
        </w:rPr>
      </w:pPr>
      <w:r w:rsidRPr="00382EF7">
        <w:rPr>
          <w:rFonts w:eastAsia="Calibri" w:cs="Tahoma"/>
          <w:b/>
          <w:bCs/>
          <w:i/>
          <w:sz w:val="20"/>
          <w:szCs w:val="20"/>
        </w:rPr>
        <w:t>“Modalidad de entrega. Procedencia de proporcionar la información solicitada en una diversa a la elegida por el solicitante.</w:t>
      </w:r>
      <w:r w:rsidRPr="00382EF7">
        <w:rPr>
          <w:rFonts w:eastAsia="Calibri" w:cs="Tahoma"/>
          <w:bCs/>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382EF7" w:rsidR="00E92816" w:rsidP="006935C8" w:rsidRDefault="00E92816" w14:paraId="33A07873" w14:textId="77777777">
      <w:pPr>
        <w:spacing w:after="0" w:line="360" w:lineRule="auto"/>
        <w:contextualSpacing/>
        <w:rPr>
          <w:rFonts w:eastAsia="Calibri" w:cs="Tahoma"/>
          <w:bCs/>
        </w:rPr>
      </w:pPr>
    </w:p>
    <w:p w:rsidRPr="00382EF7" w:rsidR="00E92816" w:rsidP="006935C8" w:rsidRDefault="00E92816" w14:paraId="2E39AEE4" w14:textId="77777777">
      <w:pPr>
        <w:spacing w:after="0" w:line="360" w:lineRule="auto"/>
        <w:contextualSpacing/>
        <w:rPr>
          <w:rFonts w:eastAsia="Calibri" w:cs="Tahoma"/>
          <w:b/>
        </w:rPr>
      </w:pPr>
      <w:r w:rsidRPr="00382EF7">
        <w:rPr>
          <w:rFonts w:eastAsia="Calibri" w:cs="Tahoma"/>
          <w:bC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382EF7">
        <w:rPr>
          <w:rFonts w:eastAsia="Calibri" w:cs="Tahoma"/>
          <w:b/>
        </w:rPr>
        <w:t>información en todas las modalidades que lo permitan, procurando reducir los costos de entrega.</w:t>
      </w:r>
    </w:p>
    <w:p w:rsidRPr="00382EF7" w:rsidR="00E92816" w:rsidP="006935C8" w:rsidRDefault="00E92816" w14:paraId="75F735DE" w14:textId="77777777">
      <w:pPr>
        <w:spacing w:after="0" w:line="360" w:lineRule="auto"/>
        <w:contextualSpacing/>
        <w:rPr>
          <w:rFonts w:eastAsia="Times New Roman" w:cs="Tahoma"/>
          <w:lang w:eastAsia="es-ES"/>
        </w:rPr>
      </w:pPr>
    </w:p>
    <w:p w:rsidRPr="00382EF7" w:rsidR="00E92816" w:rsidP="006935C8" w:rsidRDefault="00E92816" w14:paraId="27DA8C12" w14:textId="77777777">
      <w:pPr>
        <w:widowControl w:val="0"/>
        <w:spacing w:after="0" w:line="360" w:lineRule="auto"/>
        <w:contextualSpacing/>
        <w:rPr>
          <w:rFonts w:eastAsia="Calibri" w:cs="Tahoma"/>
          <w:bCs/>
        </w:rPr>
      </w:pPr>
      <w:r w:rsidRPr="00382EF7">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382EF7" w:rsidR="00E92816" w:rsidP="006935C8" w:rsidRDefault="00E92816" w14:paraId="063C6349" w14:textId="77777777">
      <w:pPr>
        <w:spacing w:after="0" w:line="360" w:lineRule="auto"/>
        <w:contextualSpacing/>
        <w:rPr>
          <w:rFonts w:eastAsia="Calibri" w:cs="Tahoma"/>
          <w:bCs/>
        </w:rPr>
      </w:pPr>
    </w:p>
    <w:p w:rsidRPr="00382EF7" w:rsidR="00E92816" w:rsidP="006935C8" w:rsidRDefault="00E92816" w14:paraId="55B9ABB4" w14:textId="77777777">
      <w:pPr>
        <w:numPr>
          <w:ilvl w:val="0"/>
          <w:numId w:val="5"/>
        </w:numPr>
        <w:spacing w:after="0" w:line="360" w:lineRule="auto"/>
        <w:contextualSpacing/>
        <w:rPr>
          <w:rFonts w:eastAsia="Calibri" w:cs="Tahoma"/>
          <w:bCs/>
          <w:lang w:eastAsia="es-MX"/>
        </w:rPr>
      </w:pPr>
      <w:r w:rsidRPr="00382EF7">
        <w:rPr>
          <w:rFonts w:eastAsia="Calibri" w:cs="Tahoma"/>
          <w:bCs/>
        </w:rPr>
        <w:lastRenderedPageBreak/>
        <w:t>Las razones por las cuales la información implicaba un análisis, estudio o procesamiento de datos;</w:t>
      </w:r>
    </w:p>
    <w:p w:rsidRPr="00382EF7" w:rsidR="00E92816" w:rsidP="006935C8" w:rsidRDefault="00E92816" w14:paraId="5A94BFB5" w14:textId="77777777">
      <w:pPr>
        <w:numPr>
          <w:ilvl w:val="0"/>
          <w:numId w:val="5"/>
        </w:numPr>
        <w:spacing w:after="0" w:line="360" w:lineRule="auto"/>
        <w:contextualSpacing/>
        <w:rPr>
          <w:rFonts w:eastAsia="Calibri" w:cs="Tahoma"/>
          <w:bCs/>
        </w:rPr>
      </w:pPr>
      <w:r w:rsidRPr="00382EF7">
        <w:rPr>
          <w:rFonts w:cs="Tahoma"/>
          <w:iCs/>
        </w:rPr>
        <w:t>Por qué motivo el tiempo, que se le otorga al Sujeto Obligado para dar respuesta, en la modalidad elegida a la solicitud de información, no le es suficiente</w:t>
      </w:r>
      <w:r w:rsidRPr="00382EF7">
        <w:rPr>
          <w:rFonts w:eastAsia="Calibri" w:cs="Tahoma"/>
          <w:bCs/>
        </w:rPr>
        <w:t>, y</w:t>
      </w:r>
    </w:p>
    <w:p w:rsidRPr="00382EF7" w:rsidR="00E92816" w:rsidP="006935C8" w:rsidRDefault="00E92816" w14:paraId="57B40D2B" w14:textId="77777777">
      <w:pPr>
        <w:numPr>
          <w:ilvl w:val="0"/>
          <w:numId w:val="5"/>
        </w:numPr>
        <w:spacing w:after="0" w:line="360" w:lineRule="auto"/>
        <w:contextualSpacing/>
        <w:rPr>
          <w:rFonts w:eastAsia="Calibri" w:cs="Tahoma"/>
          <w:bCs/>
        </w:rPr>
      </w:pPr>
      <w:r w:rsidRPr="00382EF7">
        <w:rPr>
          <w:rFonts w:eastAsia="Calibri" w:cs="Tahoma"/>
          <w:bCs/>
        </w:rPr>
        <w:t>La cantidad de recursos humanos y materiales con los que cuenta el Sujeto Obligado son insuficientes.</w:t>
      </w:r>
    </w:p>
    <w:p w:rsidRPr="00382EF7" w:rsidR="00E92816" w:rsidP="006935C8" w:rsidRDefault="00E92816" w14:paraId="3169FF37" w14:textId="77777777">
      <w:pPr>
        <w:spacing w:after="0" w:line="360" w:lineRule="auto"/>
        <w:ind w:right="-28"/>
        <w:contextualSpacing/>
        <w:rPr>
          <w:rFonts w:eastAsia="Calibri" w:cs="Tahoma"/>
          <w:bCs/>
          <w:color w:val="000000"/>
        </w:rPr>
      </w:pPr>
    </w:p>
    <w:p w:rsidRPr="00382EF7" w:rsidR="00D8042E" w:rsidP="006935C8" w:rsidRDefault="00E92816" w14:paraId="2966B812" w14:textId="72C057E0">
      <w:pPr>
        <w:spacing w:after="0" w:line="360" w:lineRule="auto"/>
        <w:ind w:right="-28"/>
        <w:contextualSpacing/>
        <w:rPr>
          <w:rFonts w:eastAsia="Calibri" w:cs="Tahoma"/>
          <w:bCs/>
          <w:color w:val="000000"/>
          <w:lang w:val="es-ES"/>
        </w:rPr>
      </w:pPr>
      <w:r w:rsidRPr="00382EF7">
        <w:rPr>
          <w:rFonts w:eastAsia="Calibri" w:cs="Tahoma"/>
          <w:bCs/>
          <w:color w:val="000000"/>
        </w:rPr>
        <w:t>Ahora bien, el Ente Recurrido precisó en respuesta</w:t>
      </w:r>
      <w:r w:rsidRPr="00382EF7" w:rsidR="0032547B">
        <w:rPr>
          <w:rFonts w:eastAsia="Calibri" w:cs="Tahoma"/>
          <w:bCs/>
          <w:color w:val="000000"/>
        </w:rPr>
        <w:t xml:space="preserve"> </w:t>
      </w:r>
      <w:r w:rsidRPr="00382EF7">
        <w:rPr>
          <w:rFonts w:eastAsia="Calibri" w:cs="Tahoma"/>
          <w:bCs/>
          <w:color w:val="000000"/>
        </w:rPr>
        <w:t>que ponía a disposición del ahora Recurrente la documentación peticionada en consulta directa</w:t>
      </w:r>
      <w:r w:rsidRPr="00382EF7" w:rsidR="00D8042E">
        <w:rPr>
          <w:rFonts w:eastAsia="Calibri" w:cs="Tahoma"/>
          <w:bCs/>
          <w:color w:val="000000"/>
        </w:rPr>
        <w:t xml:space="preserve">, toda vez, que debía generar las versiones públicas respectivas, al contener información clasificada; sin embargo, este Instituto considera que omitió fundar y motivar el cambio de modalidad, pues no precisó las siguientes circunstancias: </w:t>
      </w:r>
    </w:p>
    <w:p w:rsidRPr="00382EF7" w:rsidR="00D8042E" w:rsidP="006935C8" w:rsidRDefault="00D8042E" w14:paraId="64B049DA" w14:textId="77777777">
      <w:pPr>
        <w:spacing w:after="0" w:line="360" w:lineRule="auto"/>
        <w:rPr>
          <w:rFonts w:eastAsia="Calibri" w:cs="Tahoma"/>
          <w:bCs/>
          <w:color w:val="000000"/>
          <w:lang w:val="es-ES"/>
        </w:rPr>
      </w:pPr>
    </w:p>
    <w:p w:rsidRPr="00382EF7" w:rsidR="00D8042E" w:rsidP="006935C8" w:rsidRDefault="00D8042E" w14:paraId="5A0E1CB1" w14:textId="77777777">
      <w:pPr>
        <w:numPr>
          <w:ilvl w:val="0"/>
          <w:numId w:val="6"/>
        </w:numPr>
        <w:spacing w:after="0" w:line="360" w:lineRule="auto"/>
        <w:contextualSpacing/>
        <w:jc w:val="left"/>
        <w:rPr>
          <w:rFonts w:eastAsia="Calibri" w:cs="Tahoma"/>
          <w:bCs/>
          <w:color w:val="000000"/>
          <w:lang w:val="es-ES"/>
        </w:rPr>
      </w:pPr>
      <w:r w:rsidRPr="00382EF7">
        <w:rPr>
          <w:rFonts w:eastAsia="Calibri" w:cs="Tahoma"/>
          <w:bCs/>
          <w:color w:val="000000"/>
          <w:lang w:val="es-ES"/>
        </w:rPr>
        <w:t>El número de hojas o peso aproximado de la información;</w:t>
      </w:r>
    </w:p>
    <w:p w:rsidRPr="00382EF7" w:rsidR="00D8042E" w:rsidP="006935C8" w:rsidRDefault="00D8042E" w14:paraId="6A6F8CBD" w14:textId="77777777">
      <w:pPr>
        <w:numPr>
          <w:ilvl w:val="0"/>
          <w:numId w:val="6"/>
        </w:numPr>
        <w:spacing w:after="0" w:line="360" w:lineRule="auto"/>
        <w:contextualSpacing/>
        <w:jc w:val="left"/>
        <w:rPr>
          <w:rFonts w:eastAsia="Calibri" w:cs="Tahoma"/>
          <w:bCs/>
          <w:color w:val="000000"/>
          <w:lang w:val="es-ES"/>
        </w:rPr>
      </w:pPr>
      <w:r w:rsidRPr="00382EF7">
        <w:rPr>
          <w:rFonts w:eastAsia="Calibri" w:cs="Tahoma"/>
          <w:bCs/>
          <w:color w:val="000000"/>
          <w:lang w:val="es-ES"/>
        </w:rPr>
        <w:t>La ubicación de los documentos que daban cuenta de la información solicitada;</w:t>
      </w:r>
    </w:p>
    <w:p w:rsidRPr="00382EF7" w:rsidR="00D8042E" w:rsidP="006935C8" w:rsidRDefault="00D8042E" w14:paraId="547711B7" w14:textId="77777777">
      <w:pPr>
        <w:numPr>
          <w:ilvl w:val="0"/>
          <w:numId w:val="6"/>
        </w:numPr>
        <w:spacing w:after="0" w:line="360" w:lineRule="auto"/>
        <w:contextualSpacing/>
        <w:jc w:val="left"/>
        <w:rPr>
          <w:rFonts w:eastAsia="Calibri" w:cs="Tahoma"/>
          <w:bCs/>
          <w:color w:val="000000"/>
          <w:lang w:val="es-ES"/>
        </w:rPr>
      </w:pPr>
      <w:r w:rsidRPr="00382EF7">
        <w:rPr>
          <w:rFonts w:eastAsia="Calibri" w:cs="Tahoma"/>
          <w:bCs/>
          <w:color w:val="000000"/>
          <w:lang w:val="es-ES"/>
        </w:rPr>
        <w:t>La forma en que se encontraba la información (físico o digital), y</w:t>
      </w:r>
    </w:p>
    <w:p w:rsidRPr="00382EF7" w:rsidR="00D8042E" w:rsidP="006935C8" w:rsidRDefault="00D8042E" w14:paraId="76EF7843" w14:textId="77777777">
      <w:pPr>
        <w:numPr>
          <w:ilvl w:val="0"/>
          <w:numId w:val="6"/>
        </w:numPr>
        <w:spacing w:after="0" w:line="360" w:lineRule="auto"/>
        <w:contextualSpacing/>
        <w:jc w:val="left"/>
        <w:rPr>
          <w:rFonts w:eastAsia="Calibri" w:cs="Tahoma"/>
          <w:bCs/>
          <w:color w:val="000000"/>
          <w:lang w:val="es-ES"/>
        </w:rPr>
      </w:pPr>
      <w:r w:rsidRPr="00382EF7">
        <w:rPr>
          <w:rFonts w:eastAsia="Calibri" w:cs="Tahoma"/>
          <w:bCs/>
          <w:color w:val="000000"/>
          <w:lang w:val="es-ES"/>
        </w:rPr>
        <w:t>Las capacidades técnicas y humanas con las que contaba el Sujeto Obligado.</w:t>
      </w:r>
    </w:p>
    <w:p w:rsidRPr="00382EF7" w:rsidR="00D8042E" w:rsidP="006935C8" w:rsidRDefault="00D8042E" w14:paraId="5BE599ED" w14:textId="77777777">
      <w:pPr>
        <w:spacing w:after="0" w:line="360" w:lineRule="auto"/>
        <w:rPr>
          <w:rFonts w:eastAsia="Times New Roman" w:cs="Times New Roman"/>
          <w:bCs/>
          <w:iCs/>
          <w:color w:val="auto"/>
          <w:szCs w:val="20"/>
          <w:lang w:val="es-ES" w:eastAsia="es-ES"/>
        </w:rPr>
      </w:pPr>
    </w:p>
    <w:p w:rsidRPr="00382EF7" w:rsidR="00D8042E" w:rsidP="006935C8" w:rsidRDefault="00D8042E" w14:paraId="124EEF0B" w14:textId="77777777">
      <w:pPr>
        <w:spacing w:after="0" w:line="360" w:lineRule="auto"/>
        <w:rPr>
          <w:rFonts w:eastAsia="Times New Roman" w:cs="Times New Roman"/>
          <w:bCs/>
          <w:iCs/>
          <w:color w:val="auto"/>
          <w:szCs w:val="20"/>
          <w:lang w:val="es-ES" w:eastAsia="es-ES"/>
        </w:rPr>
      </w:pPr>
      <w:r w:rsidRPr="00382EF7">
        <w:rPr>
          <w:rFonts w:eastAsia="Times New Roman" w:cs="Times New Roman"/>
          <w:bCs/>
          <w:iCs/>
          <w:color w:val="auto"/>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rsidRPr="00382EF7" w:rsidR="00D8042E" w:rsidP="006935C8" w:rsidRDefault="00D8042E" w14:paraId="57F82156" w14:textId="77777777">
      <w:pPr>
        <w:spacing w:after="0" w:line="360" w:lineRule="auto"/>
        <w:rPr>
          <w:rFonts w:eastAsia="Times New Roman" w:cs="Times New Roman"/>
          <w:bCs/>
          <w:iCs/>
          <w:color w:val="auto"/>
          <w:szCs w:val="20"/>
          <w:lang w:val="es-ES" w:eastAsia="es-ES"/>
        </w:rPr>
      </w:pPr>
    </w:p>
    <w:p w:rsidRPr="00382EF7" w:rsidR="00D8042E" w:rsidP="006935C8" w:rsidRDefault="00D8042E" w14:paraId="79353995" w14:textId="77777777">
      <w:pPr>
        <w:spacing w:after="0" w:line="360" w:lineRule="auto"/>
        <w:ind w:right="-28"/>
        <w:contextualSpacing/>
        <w:rPr>
          <w:rFonts w:eastAsia="Times New Roman" w:cs="Tahoma"/>
          <w:iCs/>
          <w:color w:val="auto"/>
          <w:lang w:eastAsia="es-ES"/>
        </w:rPr>
      </w:pPr>
      <w:r w:rsidRPr="00382EF7">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w:t>
      </w:r>
      <w:r w:rsidRPr="00382EF7">
        <w:rPr>
          <w:rFonts w:eastAsia="Times New Roman" w:cs="Tahoma"/>
          <w:iCs/>
          <w:color w:val="auto"/>
          <w:lang w:eastAsia="es-ES"/>
        </w:rPr>
        <w:lastRenderedPageBreak/>
        <w:t xml:space="preserve">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Pr="00382EF7" w:rsidR="00D8042E" w:rsidP="006935C8" w:rsidRDefault="00D8042E" w14:paraId="09EEF900" w14:textId="77777777">
      <w:pPr>
        <w:spacing w:after="0" w:line="360" w:lineRule="auto"/>
        <w:ind w:right="-28"/>
        <w:contextualSpacing/>
        <w:rPr>
          <w:rFonts w:eastAsia="Times New Roman" w:cs="Tahoma"/>
          <w:iCs/>
          <w:color w:val="auto"/>
          <w:lang w:eastAsia="es-ES"/>
        </w:rPr>
      </w:pPr>
    </w:p>
    <w:p w:rsidRPr="00382EF7" w:rsidR="00D8042E" w:rsidP="006935C8" w:rsidRDefault="00D8042E" w14:paraId="2FD32FD2" w14:textId="77777777">
      <w:pPr>
        <w:spacing w:after="0" w:line="360" w:lineRule="auto"/>
        <w:ind w:right="-28"/>
        <w:contextualSpacing/>
        <w:rPr>
          <w:rFonts w:eastAsia="Times New Roman" w:cs="Tahoma"/>
          <w:iCs/>
          <w:color w:val="auto"/>
          <w:lang w:eastAsia="es-ES"/>
        </w:rPr>
      </w:pPr>
      <w:r w:rsidRPr="00382EF7">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rsidRPr="00382EF7" w:rsidR="00D8042E" w:rsidP="006935C8" w:rsidRDefault="00D8042E" w14:paraId="53DE5551" w14:textId="77777777">
      <w:pPr>
        <w:spacing w:after="0" w:line="360" w:lineRule="auto"/>
        <w:ind w:right="-28"/>
        <w:contextualSpacing/>
        <w:rPr>
          <w:rFonts w:eastAsia="Times New Roman" w:cs="Tahoma"/>
          <w:iCs/>
          <w:color w:val="auto"/>
          <w:lang w:eastAsia="es-ES"/>
        </w:rPr>
      </w:pPr>
    </w:p>
    <w:p w:rsidRPr="00382EF7" w:rsidR="00D8042E" w:rsidP="006935C8" w:rsidRDefault="00D8042E" w14:paraId="137BEFF3" w14:textId="77777777">
      <w:pPr>
        <w:spacing w:after="0" w:line="360" w:lineRule="auto"/>
        <w:ind w:right="-28"/>
        <w:contextualSpacing/>
        <w:rPr>
          <w:rFonts w:eastAsia="Times New Roman" w:cs="Tahoma"/>
          <w:b/>
          <w:bCs/>
          <w:iCs/>
          <w:color w:val="auto"/>
          <w:lang w:eastAsia="es-ES"/>
        </w:rPr>
      </w:pPr>
      <w:r w:rsidRPr="00382EF7">
        <w:rPr>
          <w:rFonts w:eastAsia="Calibri" w:cs="Tahoma"/>
          <w:bCs/>
          <w:color w:val="000000"/>
          <w:lang w:val="es-ES"/>
        </w:rPr>
        <w:t>Conforme a lo anterior, el Sistema Municipal para el Desarrollo Integral de la Familia de Metepec</w:t>
      </w:r>
      <w:r w:rsidRPr="00382EF7">
        <w:rPr>
          <w:rFonts w:eastAsia="Times New Roman" w:cs="Tahoma"/>
          <w:iCs/>
          <w:color w:val="auto"/>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382EF7">
        <w:rPr>
          <w:rFonts w:eastAsia="Times New Roman" w:cs="Tahoma"/>
          <w:b/>
          <w:bCs/>
          <w:iCs/>
          <w:color w:val="auto"/>
          <w:lang w:eastAsia="es-ES"/>
        </w:rPr>
        <w:t>FUNDADO.</w:t>
      </w:r>
    </w:p>
    <w:p w:rsidRPr="00382EF7" w:rsidR="00D8042E" w:rsidP="006935C8" w:rsidRDefault="00D8042E" w14:paraId="195015FE" w14:textId="77777777">
      <w:pPr>
        <w:spacing w:after="0" w:line="360" w:lineRule="auto"/>
        <w:contextualSpacing/>
        <w:rPr>
          <w:rFonts w:eastAsia="Calibri" w:cs="Tahoma"/>
          <w:bCs/>
          <w:color w:val="000000"/>
          <w:lang w:val="es-ES"/>
        </w:rPr>
      </w:pPr>
    </w:p>
    <w:p w:rsidRPr="00382EF7" w:rsidR="00D8042E" w:rsidP="006935C8" w:rsidRDefault="00D8042E" w14:paraId="30687DED" w14:textId="22C6FA9A">
      <w:pPr>
        <w:spacing w:after="0" w:line="360" w:lineRule="auto"/>
        <w:contextualSpacing/>
        <w:rPr>
          <w:rFonts w:eastAsia="Calibri" w:cs="Tahoma"/>
          <w:bCs/>
          <w:color w:val="000000"/>
          <w:lang w:val="es-ES"/>
        </w:rPr>
      </w:pPr>
      <w:r w:rsidRPr="00382EF7">
        <w:rPr>
          <w:rFonts w:eastAsia="Calibri" w:cs="Tahoma"/>
          <w:bCs/>
          <w:color w:val="000000"/>
          <w:lang w:val="es-ES"/>
        </w:rPr>
        <w:t>No obstante, mediante el desahogo del requerimiento de información adicional, la Tesorería Municipal, precisó que la información pesaba aproximadamente lo siguiente:</w:t>
      </w:r>
    </w:p>
    <w:p w:rsidRPr="00382EF7" w:rsidR="00D8042E" w:rsidP="006935C8" w:rsidRDefault="00D8042E" w14:paraId="4688A303" w14:textId="77777777">
      <w:pPr>
        <w:spacing w:after="0" w:line="360" w:lineRule="auto"/>
        <w:contextualSpacing/>
        <w:rPr>
          <w:rFonts w:eastAsia="Calibri" w:cs="Tahoma"/>
          <w:bCs/>
          <w:color w:val="000000"/>
          <w:lang w:val="es-ES"/>
        </w:rPr>
      </w:pPr>
    </w:p>
    <w:p w:rsidRPr="00382EF7" w:rsidR="00D8042E" w:rsidP="006935C8" w:rsidRDefault="00D8042E" w14:paraId="02E2855B" w14:textId="742CD5C0">
      <w:pPr>
        <w:pStyle w:val="Prrafodelista"/>
        <w:numPr>
          <w:ilvl w:val="0"/>
          <w:numId w:val="16"/>
        </w:numPr>
        <w:spacing w:line="360" w:lineRule="auto"/>
        <w:rPr>
          <w:rFonts w:ascii="Palatino Linotype" w:hAnsi="Palatino Linotype" w:eastAsia="Calibri" w:cs="Tahoma"/>
          <w:bCs/>
          <w:color w:val="000000"/>
          <w:lang w:val="es-ES"/>
        </w:rPr>
      </w:pPr>
      <w:r w:rsidRPr="00382EF7">
        <w:rPr>
          <w:rFonts w:ascii="Palatino Linotype" w:hAnsi="Palatino Linotype" w:eastAsia="Calibri" w:cs="Tahoma"/>
          <w:b/>
          <w:bCs/>
          <w:color w:val="000000"/>
          <w:lang w:val="es-ES"/>
        </w:rPr>
        <w:t xml:space="preserve">Primer trimestre: </w:t>
      </w:r>
      <w:r w:rsidRPr="00382EF7">
        <w:rPr>
          <w:rFonts w:ascii="Palatino Linotype" w:hAnsi="Palatino Linotype" w:eastAsia="Calibri" w:cs="Tahoma"/>
          <w:bCs/>
          <w:color w:val="000000"/>
          <w:lang w:val="es-ES"/>
        </w:rPr>
        <w:t>1.14 gigabytes</w:t>
      </w:r>
      <w:r w:rsidRPr="00382EF7" w:rsidR="000638E0">
        <w:rPr>
          <w:rFonts w:ascii="Palatino Linotype" w:hAnsi="Palatino Linotype" w:eastAsia="Calibri" w:cs="Tahoma"/>
          <w:bCs/>
          <w:color w:val="000000"/>
          <w:lang w:val="es-ES"/>
        </w:rPr>
        <w:t>, y</w:t>
      </w:r>
    </w:p>
    <w:p w:rsidRPr="00382EF7" w:rsidR="000638E0" w:rsidP="006935C8" w:rsidRDefault="000638E0" w14:paraId="19C6A175" w14:textId="62B97FCA">
      <w:pPr>
        <w:pStyle w:val="Prrafodelista"/>
        <w:numPr>
          <w:ilvl w:val="0"/>
          <w:numId w:val="16"/>
        </w:numPr>
        <w:spacing w:line="360" w:lineRule="auto"/>
        <w:rPr>
          <w:rFonts w:ascii="Palatino Linotype" w:hAnsi="Palatino Linotype" w:eastAsia="Calibri" w:cs="Tahoma"/>
          <w:bCs/>
          <w:color w:val="000000"/>
          <w:lang w:val="es-ES"/>
        </w:rPr>
      </w:pPr>
      <w:r w:rsidRPr="00382EF7">
        <w:rPr>
          <w:rFonts w:ascii="Palatino Linotype" w:hAnsi="Palatino Linotype" w:eastAsia="Calibri" w:cs="Tahoma"/>
          <w:b/>
          <w:bCs/>
          <w:color w:val="000000"/>
          <w:lang w:val="es-ES"/>
        </w:rPr>
        <w:t>Segundo trimestre:</w:t>
      </w:r>
      <w:r w:rsidRPr="00382EF7">
        <w:rPr>
          <w:rFonts w:ascii="Palatino Linotype" w:hAnsi="Palatino Linotype" w:eastAsia="Calibri" w:cs="Tahoma"/>
          <w:bCs/>
          <w:color w:val="000000"/>
          <w:lang w:val="es-ES"/>
        </w:rPr>
        <w:t xml:space="preserve"> 2.02 gigabytes.</w:t>
      </w:r>
    </w:p>
    <w:p w:rsidRPr="00382EF7" w:rsidR="00D8042E" w:rsidP="006935C8" w:rsidRDefault="00D8042E" w14:paraId="33B3BFF8" w14:textId="77777777">
      <w:pPr>
        <w:spacing w:after="0" w:line="360" w:lineRule="auto"/>
        <w:contextualSpacing/>
        <w:rPr>
          <w:rFonts w:eastAsia="Calibri" w:cs="Tahoma"/>
          <w:bCs/>
          <w:color w:val="000000"/>
          <w:lang w:val="es-ES"/>
        </w:rPr>
      </w:pPr>
    </w:p>
    <w:p w:rsidRPr="00382EF7" w:rsidR="008265D2" w:rsidP="006935C8" w:rsidRDefault="008265D2" w14:paraId="4A83D214" w14:textId="1D10F936">
      <w:pPr>
        <w:spacing w:after="0" w:line="360" w:lineRule="auto"/>
        <w:rPr>
          <w:rFonts w:eastAsia="Calibri" w:cs="Tahoma"/>
          <w:b/>
          <w:bCs/>
          <w:lang w:val="es-ES"/>
        </w:rPr>
      </w:pPr>
      <w:r w:rsidRPr="00382EF7">
        <w:rPr>
          <w:rFonts w:cs="Tahoma"/>
          <w:bCs/>
          <w:iCs/>
        </w:rPr>
        <w:t xml:space="preserve">Sobre dicha </w:t>
      </w:r>
      <w:r w:rsidRPr="00382EF7" w:rsidR="000638E0">
        <w:rPr>
          <w:rFonts w:cs="Tahoma"/>
          <w:bCs/>
          <w:iCs/>
        </w:rPr>
        <w:t>circunstancia</w:t>
      </w:r>
      <w:r w:rsidRPr="00382EF7">
        <w:rPr>
          <w:rFonts w:cs="Tahoma"/>
          <w:bCs/>
          <w:iCs/>
        </w:rPr>
        <w:t xml:space="preserve">, resulta necesario analizar si se sobrepasan las capacidades del </w:t>
      </w:r>
      <w:r w:rsidRPr="00382EF7">
        <w:rPr>
          <w:rFonts w:eastAsia="Calibri" w:cs="Tahoma"/>
          <w:bCs/>
          <w:lang w:val="x-none"/>
        </w:rPr>
        <w:t xml:space="preserve">del </w:t>
      </w:r>
      <w:r w:rsidRPr="00382EF7">
        <w:rPr>
          <w:rFonts w:eastAsia="Calibri" w:cs="Tahoma"/>
          <w:b/>
          <w:bCs/>
          <w:lang w:val="es-ES"/>
        </w:rPr>
        <w:t>Sistema de Acceso a la Información Mexiquense (SAIMEX)</w:t>
      </w:r>
      <w:r w:rsidRPr="00382EF7">
        <w:rPr>
          <w:rFonts w:eastAsia="Calibri" w:cs="Tahoma"/>
          <w:bCs/>
          <w:lang w:val="x-none"/>
        </w:rPr>
        <w:t xml:space="preserve">; sobre dicha situación, </w:t>
      </w:r>
      <w:r w:rsidRPr="00382EF7">
        <w:rPr>
          <w:rFonts w:eastAsia="Calibri" w:cs="Tahoma"/>
          <w:bCs/>
          <w:lang w:val="es-ES"/>
        </w:rPr>
        <w:t xml:space="preserve">cabe traer a colación la Resolución del Recurso de Revisión con número </w:t>
      </w:r>
      <w:r w:rsidRPr="00382EF7">
        <w:rPr>
          <w:lang w:val="es-ES"/>
        </w:rPr>
        <w:t>01006/INFOEM/IP/RR/2021</w:t>
      </w:r>
      <w:r w:rsidRPr="00382EF7">
        <w:rPr>
          <w:rFonts w:eastAsia="Calibri" w:cs="Tahoma"/>
          <w:bCs/>
          <w:lang w:val="es-ES"/>
        </w:rPr>
        <w:t xml:space="preserve">, en la cual la </w:t>
      </w:r>
      <w:r w:rsidRPr="00382EF7">
        <w:rPr>
          <w:rFonts w:cs="Tahoma"/>
          <w:lang w:val="es-ES"/>
        </w:rPr>
        <w:t>Dirección General de Informática</w:t>
      </w:r>
      <w:r w:rsidRPr="00382EF7">
        <w:rPr>
          <w:rFonts w:eastAsia="Calibri" w:cs="Tahoma"/>
          <w:bCs/>
          <w:lang w:val="es-ES"/>
        </w:rPr>
        <w:t xml:space="preserve"> de este Instituto, informó que la capacidad máxima para adjuntar un archivo en dicho </w:t>
      </w:r>
      <w:proofErr w:type="gramStart"/>
      <w:r w:rsidRPr="00382EF7">
        <w:rPr>
          <w:rFonts w:eastAsia="Calibri" w:cs="Tahoma"/>
          <w:bCs/>
          <w:lang w:val="es-ES"/>
        </w:rPr>
        <w:t>sistema,</w:t>
      </w:r>
      <w:proofErr w:type="gramEnd"/>
      <w:r w:rsidRPr="00382EF7">
        <w:rPr>
          <w:rFonts w:eastAsia="Calibri" w:cs="Tahoma"/>
          <w:b/>
          <w:bCs/>
          <w:lang w:val="es-ES"/>
        </w:rPr>
        <w:t xml:space="preserve"> es de aproximadamente de quinientos megabytes, o un equivalente ocho mil fojas.</w:t>
      </w:r>
    </w:p>
    <w:p w:rsidRPr="00382EF7" w:rsidR="00C674B2" w:rsidP="006935C8" w:rsidRDefault="00C674B2" w14:paraId="28045E63" w14:textId="77777777">
      <w:pPr>
        <w:spacing w:after="0" w:line="360" w:lineRule="auto"/>
        <w:rPr>
          <w:rFonts w:eastAsia="Calibri" w:cs="Tahoma"/>
          <w:bCs/>
          <w:szCs w:val="24"/>
          <w:lang w:val="es-ES"/>
        </w:rPr>
      </w:pPr>
      <w:r w:rsidRPr="00382EF7">
        <w:rPr>
          <w:rFonts w:cs="Tahoma"/>
          <w:shd w:val="clear" w:color="auto" w:fill="FFFFFF"/>
          <w:lang w:val="es-ES"/>
        </w:rPr>
        <w:lastRenderedPageBreak/>
        <w:t xml:space="preserve">Lo </w:t>
      </w:r>
      <w:r w:rsidRPr="00382EF7">
        <w:rPr>
          <w:rFonts w:eastAsia="Calibri" w:cs="Tahoma"/>
          <w:bCs/>
          <w:szCs w:val="24"/>
          <w:lang w:val="es-E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Pr="00382EF7" w:rsidR="00C674B2" w:rsidP="006935C8" w:rsidRDefault="00C674B2" w14:paraId="4AA5D115" w14:textId="77777777">
      <w:pPr>
        <w:spacing w:after="0" w:line="360" w:lineRule="auto"/>
        <w:rPr>
          <w:rFonts w:cs="Tahoma"/>
          <w:bCs/>
          <w:iCs/>
        </w:rPr>
      </w:pPr>
    </w:p>
    <w:p w:rsidRPr="00382EF7" w:rsidR="000638E0" w:rsidP="006935C8" w:rsidRDefault="00C674B2" w14:paraId="30B2E811" w14:textId="75DD8AE5">
      <w:pPr>
        <w:spacing w:after="0" w:line="360" w:lineRule="auto"/>
        <w:rPr>
          <w:rFonts w:eastAsia="Times New Roman" w:cs="Tahoma"/>
          <w:bCs/>
          <w:color w:val="auto"/>
          <w:lang w:val="es-ES" w:eastAsia="es-ES"/>
        </w:rPr>
      </w:pPr>
      <w:r w:rsidRPr="00382EF7">
        <w:rPr>
          <w:rFonts w:cs="Tahoma"/>
          <w:bCs/>
          <w:iCs/>
        </w:rPr>
        <w:t>Conforme a lo anterior, se logra vislumbrar que</w:t>
      </w:r>
      <w:r w:rsidRPr="00382EF7" w:rsidR="000638E0">
        <w:rPr>
          <w:rFonts w:cs="Tahoma"/>
          <w:bCs/>
          <w:iCs/>
        </w:rPr>
        <w:t xml:space="preserve"> la información solicitada</w:t>
      </w:r>
      <w:r w:rsidRPr="00382EF7">
        <w:rPr>
          <w:rFonts w:cs="Tahoma"/>
          <w:bCs/>
          <w:iCs/>
        </w:rPr>
        <w:t>, sobrepasa</w:t>
      </w:r>
      <w:r w:rsidRPr="00382EF7" w:rsidR="000638E0">
        <w:rPr>
          <w:rFonts w:cs="Tahoma"/>
          <w:bCs/>
          <w:iCs/>
        </w:rPr>
        <w:t>ba</w:t>
      </w:r>
      <w:r w:rsidRPr="00382EF7">
        <w:rPr>
          <w:rFonts w:cs="Tahoma"/>
          <w:bCs/>
          <w:iCs/>
        </w:rPr>
        <w:t xml:space="preserve"> las capacidades técnicas del Sistema de Acceso a la Información Mexiquense</w:t>
      </w:r>
      <w:r w:rsidRPr="00382EF7">
        <w:t xml:space="preserve"> </w:t>
      </w:r>
      <w:r w:rsidRPr="00382EF7">
        <w:rPr>
          <w:rFonts w:cs="Tahoma"/>
          <w:bCs/>
          <w:iCs/>
        </w:rPr>
        <w:t>(SAIMEX)</w:t>
      </w:r>
      <w:r w:rsidRPr="00382EF7" w:rsidR="000638E0">
        <w:rPr>
          <w:rFonts w:cs="Tahoma"/>
          <w:bCs/>
          <w:iCs/>
        </w:rPr>
        <w:t>, al pesar la documentación, más de tres gigabytes;</w:t>
      </w:r>
      <w:r w:rsidRPr="00382EF7" w:rsidR="000638E0">
        <w:rPr>
          <w:rFonts w:eastAsia="Times New Roman" w:cs="Tahoma"/>
          <w:bCs/>
          <w:iCs/>
          <w:color w:val="auto"/>
          <w:lang w:eastAsia="es-ES"/>
        </w:rPr>
        <w:t xml:space="preserve"> lo anterior, se robustece con</w:t>
      </w:r>
      <w:r w:rsidRPr="00382EF7" w:rsidR="000638E0">
        <w:rPr>
          <w:rFonts w:eastAsia="Times New Roman" w:cs="Tahoma"/>
          <w:iCs/>
          <w:color w:val="auto"/>
          <w:lang w:eastAsia="es-ES"/>
        </w:rPr>
        <w:t xml:space="preserve"> la incidencia presentada ante este Instituto, misma que autorizó la Dirección General de Tecnología, mediante el oficio </w:t>
      </w:r>
      <w:r w:rsidRPr="00382EF7" w:rsidR="000638E0">
        <w:rPr>
          <w:rFonts w:eastAsia="Times New Roman" w:cs="Tahoma"/>
          <w:bCs/>
          <w:color w:val="auto"/>
          <w:lang w:val="es-ES" w:eastAsia="es-ES"/>
        </w:rPr>
        <w:t xml:space="preserve">número </w:t>
      </w:r>
      <w:r w:rsidRPr="00382EF7" w:rsidR="00D61D96">
        <w:rPr>
          <w:rFonts w:cs="Tahoma"/>
        </w:rPr>
        <w:t>INFOEM/DGI/133/2023</w:t>
      </w:r>
      <w:r w:rsidRPr="00382EF7" w:rsidR="000638E0">
        <w:rPr>
          <w:rFonts w:eastAsia="Times New Roman" w:cs="Tahoma"/>
          <w:bCs/>
          <w:color w:val="auto"/>
          <w:lang w:val="es-ES" w:eastAsia="es-ES"/>
        </w:rPr>
        <w:t>, por el cual informa que la información puesta a disposición por el Sujeto Obligado, sobrepasaba las capacidades técnicas del Sistema de Acceso a la Inf</w:t>
      </w:r>
      <w:r w:rsidRPr="00382EF7" w:rsidR="00D61D96">
        <w:rPr>
          <w:rFonts w:eastAsia="Times New Roman" w:cs="Tahoma"/>
          <w:bCs/>
          <w:color w:val="auto"/>
          <w:lang w:val="es-ES" w:eastAsia="es-ES"/>
        </w:rPr>
        <w:t>ormación Mexiquense (SAIMEX).</w:t>
      </w:r>
    </w:p>
    <w:p w:rsidRPr="00382EF7" w:rsidR="000638E0" w:rsidP="006935C8" w:rsidRDefault="000638E0" w14:paraId="5A7DAA7E" w14:textId="77777777">
      <w:pPr>
        <w:spacing w:after="0" w:line="360" w:lineRule="auto"/>
        <w:rPr>
          <w:rFonts w:eastAsia="Times New Roman" w:cs="Times New Roman"/>
          <w:color w:val="auto"/>
          <w:szCs w:val="20"/>
          <w:lang w:eastAsia="es-ES"/>
        </w:rPr>
      </w:pPr>
    </w:p>
    <w:p w:rsidRPr="00382EF7" w:rsidR="00D61D96" w:rsidP="006935C8" w:rsidRDefault="00D61D96" w14:paraId="6C0579DA" w14:textId="77777777">
      <w:pPr>
        <w:tabs>
          <w:tab w:val="left" w:pos="4962"/>
        </w:tabs>
        <w:spacing w:after="0" w:line="360" w:lineRule="auto"/>
        <w:rPr>
          <w:rFonts w:eastAsia="Calibri" w:cs="Tahoma"/>
          <w:color w:val="000000"/>
          <w:lang w:val="es-ES" w:eastAsia="es-ES"/>
        </w:rPr>
      </w:pPr>
      <w:r w:rsidRPr="00382EF7">
        <w:rPr>
          <w:rFonts w:eastAsia="Times New Roman" w:cs="Times New Roman"/>
          <w:color w:val="auto"/>
          <w:szCs w:val="20"/>
          <w:lang w:eastAsia="es-ES"/>
        </w:rPr>
        <w:t xml:space="preserve">Conforme a lo anterior, se logra vislumbrar que el Sujeto Obligado </w:t>
      </w:r>
      <w:r w:rsidRPr="00382EF7">
        <w:rPr>
          <w:rFonts w:eastAsia="Times New Roman" w:cs="Arial"/>
          <w:color w:val="auto"/>
          <w:lang w:eastAsia="es-ES"/>
        </w:rPr>
        <w:t xml:space="preserve">señaló el impedimento para proporcionar la información, en la modalidad elegida por la parte Recurrente, a saber, el </w:t>
      </w:r>
      <w:r w:rsidRPr="00382EF7">
        <w:rPr>
          <w:rFonts w:eastAsia="Times New Roman" w:cs="Arial"/>
          <w:b/>
          <w:bCs/>
          <w:color w:val="auto"/>
          <w:lang w:val="es-ES" w:eastAsia="es-ES"/>
        </w:rPr>
        <w:t>Sistema de Acceso a la Información Mexiquense (SAIMEX);</w:t>
      </w:r>
      <w:r w:rsidRPr="00382EF7">
        <w:rPr>
          <w:rFonts w:eastAsia="Times New Roman" w:cs="Arial"/>
          <w:color w:val="auto"/>
          <w:lang w:val="es-ES" w:eastAsia="es-ES"/>
        </w:rPr>
        <w:t xml:space="preserve"> por lo que, resulta procedente el cambio de modalidad.</w:t>
      </w:r>
    </w:p>
    <w:p w:rsidRPr="00382EF7" w:rsidR="000638E0" w:rsidP="006935C8" w:rsidRDefault="000638E0" w14:paraId="0815C0A8" w14:textId="77777777">
      <w:pPr>
        <w:spacing w:after="0" w:line="360" w:lineRule="auto"/>
        <w:rPr>
          <w:rFonts w:cs="Tahoma"/>
          <w:bCs/>
          <w:iCs/>
        </w:rPr>
      </w:pPr>
    </w:p>
    <w:p w:rsidRPr="00382EF7" w:rsidR="000638E0" w:rsidP="006935C8" w:rsidRDefault="000638E0" w14:paraId="55FFB47D" w14:textId="4CBBA39F">
      <w:pPr>
        <w:spacing w:after="0" w:line="360" w:lineRule="auto"/>
        <w:rPr>
          <w:rFonts w:cs="Tahoma"/>
          <w:iCs/>
        </w:rPr>
      </w:pPr>
      <w:r w:rsidRPr="00382EF7">
        <w:rPr>
          <w:rFonts w:cs="Tahoma"/>
          <w:iCs/>
        </w:rPr>
        <w:t xml:space="preserve">Ahora bien, es necesario recordar que el Instituto Nacional de Transparencia, Acceso a la Información y Protección de Datos Personales, le precisó a este Instituto que no se puede ceñir el cambio de modalidad, directamente a una forma, sino que para acreditarlo los sujetos obligados, deben de buscar la posibilidad de proporcionarla en las otras formas que establecen en la Ley, ya sean electrónicas o físicas; lo cual, en el presente caso, el Ayuntamiento, no </w:t>
      </w:r>
      <w:r w:rsidRPr="00382EF7">
        <w:rPr>
          <w:rFonts w:cs="Tahoma"/>
          <w:iCs/>
        </w:rPr>
        <w:lastRenderedPageBreak/>
        <w:t>acreditó, pues únicamente puso a disposición la información en consulta directa, sin dar otras posibilidades gratuitas o con costo.</w:t>
      </w:r>
    </w:p>
    <w:p w:rsidRPr="00382EF7" w:rsidR="00E92816" w:rsidP="006935C8" w:rsidRDefault="00E92816" w14:paraId="5D0FF75D" w14:textId="77777777">
      <w:pPr>
        <w:spacing w:after="0" w:line="360" w:lineRule="auto"/>
        <w:ind w:right="-28"/>
        <w:contextualSpacing/>
        <w:rPr>
          <w:rFonts w:cs="Tahoma"/>
          <w:iCs/>
          <w:lang w:eastAsia="es-ES"/>
        </w:rPr>
      </w:pPr>
    </w:p>
    <w:p w:rsidRPr="00382EF7" w:rsidR="00D61D96" w:rsidP="006935C8" w:rsidRDefault="00D61D96" w14:paraId="18C75ABC" w14:textId="77777777">
      <w:pPr>
        <w:spacing w:after="0" w:line="360" w:lineRule="auto"/>
        <w:rPr>
          <w:rFonts w:eastAsia="Calibri" w:cs="Tahoma"/>
          <w:iCs/>
          <w:color w:val="auto"/>
          <w:lang w:val="es-ES" w:eastAsia="es-ES"/>
        </w:rPr>
      </w:pPr>
      <w:r w:rsidRPr="00382EF7">
        <w:rPr>
          <w:rFonts w:eastAsia="Calibri" w:cs="Tahoma"/>
          <w:color w:val="auto"/>
          <w:lang w:val="es-ES"/>
        </w:rPr>
        <w:t xml:space="preserve">Ahora bien, resulta necesario analizar de manera oficiosa, si la información puede ser adjuntada por correo electrónico; </w:t>
      </w:r>
      <w:r w:rsidRPr="00382EF7">
        <w:rPr>
          <w:rFonts w:eastAsia="Calibri" w:cs="Tahoma"/>
          <w:iCs/>
          <w:color w:val="auto"/>
          <w:lang w:val="es-ES" w:eastAsia="es-ES"/>
        </w:rPr>
        <w:t>al respecto, dicho medio es un sistema que permite el intercambio de mensajes entre distintas computadoras interconectadas a través de una red.</w:t>
      </w:r>
    </w:p>
    <w:p w:rsidRPr="00382EF7" w:rsidR="00D61D96" w:rsidP="006935C8" w:rsidRDefault="00D61D96" w14:paraId="32F0A3C2" w14:textId="77777777">
      <w:pPr>
        <w:spacing w:after="0" w:line="360" w:lineRule="auto"/>
        <w:rPr>
          <w:rFonts w:eastAsia="Calibri" w:cs="Tahoma"/>
          <w:iCs/>
          <w:color w:val="auto"/>
          <w:lang w:val="es-ES" w:eastAsia="es-ES"/>
        </w:rPr>
      </w:pPr>
    </w:p>
    <w:p w:rsidRPr="00382EF7" w:rsidR="00D61D96" w:rsidP="006935C8" w:rsidRDefault="00D61D96" w14:paraId="54C70B90" w14:textId="1E7B455A">
      <w:pPr>
        <w:spacing w:after="0" w:line="360" w:lineRule="auto"/>
        <w:rPr>
          <w:rFonts w:eastAsia="Calibri" w:cs="Tahoma"/>
          <w:color w:val="auto"/>
          <w:lang w:val="es-ES"/>
        </w:rPr>
      </w:pPr>
      <w:r w:rsidRPr="00382EF7">
        <w:rPr>
          <w:rFonts w:eastAsia="Calibri" w:cs="Tahoma"/>
          <w:color w:val="auto"/>
          <w:lang w:val="es-ES" w:eastAsia="es-ES"/>
        </w:rPr>
        <w:t xml:space="preserve">En ese contexto, </w:t>
      </w:r>
      <w:r w:rsidRPr="00382EF7">
        <w:rPr>
          <w:rFonts w:eastAsia="Calibri" w:cs="Tahoma"/>
          <w:iCs/>
          <w:color w:val="auto"/>
          <w:lang w:val="es-ES" w:eastAsia="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w:t>
      </w:r>
      <w:hyperlink w:history="1" w:anchor=":~:text=Tama%C3%B1o%20m%C3%A1ximo%20de%20los%20archivos,Drive%20en%20vez%20de%20adjuntarlo" r:id="rId13">
        <w:r w:rsidRPr="00382EF7">
          <w:rPr>
            <w:rFonts w:eastAsia="Calibri" w:cs="Tahoma"/>
            <w:iCs/>
            <w:color w:val="0563C1" w:themeColor="hyperlink"/>
            <w:u w:val="single"/>
            <w:lang w:val="es-ES" w:eastAsia="es-ES"/>
          </w:rPr>
          <w:t>https://support.google.com/mail/answer/6584?co=GENIE.Platform%3DDesktop&amp;hl=es#:~:text=Tama%C3%B1o%20m%C3%A1ximo%20de%20los%20archivos,Drive%20en%20vez%20de%20adjuntarlo</w:t>
        </w:r>
      </w:hyperlink>
      <w:r w:rsidRPr="00382EF7">
        <w:rPr>
          <w:rFonts w:eastAsia="Calibri" w:cs="Tahoma"/>
          <w:iCs/>
          <w:color w:val="auto"/>
          <w:lang w:val="es-ES" w:eastAsia="es-ES"/>
        </w:rPr>
        <w:t>), tal como se muestra continuación:</w:t>
      </w:r>
    </w:p>
    <w:p w:rsidRPr="00382EF7" w:rsidR="00D61D96" w:rsidP="006935C8" w:rsidRDefault="00D61D96" w14:paraId="73137517" w14:textId="77777777">
      <w:pPr>
        <w:spacing w:after="0" w:line="360" w:lineRule="auto"/>
        <w:rPr>
          <w:rFonts w:eastAsia="Calibri" w:cs="Tahoma"/>
          <w:iCs/>
          <w:color w:val="auto"/>
          <w:lang w:val="es-ES" w:eastAsia="es-ES"/>
        </w:rPr>
      </w:pPr>
    </w:p>
    <w:p w:rsidRPr="00382EF7" w:rsidR="00D61D96" w:rsidP="006935C8" w:rsidRDefault="00D61D96" w14:paraId="4C7FF521" w14:textId="77777777">
      <w:pPr>
        <w:spacing w:after="0" w:line="360" w:lineRule="auto"/>
        <w:ind w:left="567" w:right="567"/>
        <w:rPr>
          <w:rFonts w:eastAsia="Calibri" w:cs="Tahoma"/>
          <w:bCs/>
          <w:i/>
          <w:color w:val="auto"/>
          <w:sz w:val="20"/>
          <w:szCs w:val="20"/>
          <w:lang w:val="es-ES"/>
        </w:rPr>
      </w:pPr>
      <w:r w:rsidRPr="00382EF7">
        <w:rPr>
          <w:rFonts w:eastAsia="Calibri" w:cs="Tahoma"/>
          <w:bCs/>
          <w:i/>
          <w:color w:val="auto"/>
          <w:sz w:val="20"/>
          <w:szCs w:val="20"/>
          <w:lang w:val="es-ES"/>
        </w:rPr>
        <w:t>“</w:t>
      </w:r>
      <w:r w:rsidRPr="00382EF7">
        <w:rPr>
          <w:rFonts w:eastAsia="Calibri" w:cs="Tahoma"/>
          <w:b/>
          <w:bCs/>
          <w:i/>
          <w:color w:val="auto"/>
          <w:sz w:val="20"/>
          <w:szCs w:val="20"/>
          <w:lang w:val="es-ES"/>
        </w:rPr>
        <w:t>Tamaño máximo de los archivos adjuntos</w:t>
      </w:r>
    </w:p>
    <w:p w:rsidRPr="00382EF7" w:rsidR="00D61D96" w:rsidP="006935C8" w:rsidRDefault="00D61D96" w14:paraId="63EBE3E7" w14:textId="77777777">
      <w:pPr>
        <w:spacing w:after="0" w:line="360" w:lineRule="auto"/>
        <w:ind w:left="567" w:right="567"/>
        <w:rPr>
          <w:rFonts w:eastAsia="Calibri" w:cs="Tahoma"/>
          <w:bCs/>
          <w:i/>
          <w:color w:val="auto"/>
          <w:sz w:val="20"/>
          <w:szCs w:val="20"/>
          <w:lang w:val="es-ES"/>
        </w:rPr>
      </w:pPr>
      <w:r w:rsidRPr="00382EF7">
        <w:rPr>
          <w:rFonts w:eastAsia="Calibri" w:cs="Tahoma"/>
          <w:bCs/>
          <w:i/>
          <w:color w:val="auto"/>
          <w:sz w:val="20"/>
          <w:szCs w:val="20"/>
          <w:lang w:val="es-ES"/>
        </w:rPr>
        <w:t>Puedes enviar uno o varios archivos adjuntos en un mismo mensaje, pero en total no pueden superar los 25 MB. Si el archivo tiene más de 25 MB, Gmail añadirá automáticamente un enlace a Google Drive en vez de adjuntarlo.”</w:t>
      </w:r>
    </w:p>
    <w:p w:rsidRPr="00382EF7" w:rsidR="00D61D96" w:rsidP="006935C8" w:rsidRDefault="00D61D96" w14:paraId="6B930ADA" w14:textId="77777777">
      <w:pPr>
        <w:spacing w:after="0" w:line="360" w:lineRule="auto"/>
        <w:rPr>
          <w:rFonts w:eastAsia="Calibri" w:cs="Tahoma"/>
          <w:color w:val="auto"/>
        </w:rPr>
      </w:pPr>
    </w:p>
    <w:p w:rsidRPr="00382EF7" w:rsidR="00D61D96" w:rsidP="006935C8" w:rsidRDefault="00D61D96" w14:paraId="031449A8" w14:textId="057E9FD5">
      <w:pPr>
        <w:spacing w:after="0" w:line="360" w:lineRule="auto"/>
        <w:rPr>
          <w:rFonts w:eastAsia="Calibri" w:cs="Tahoma"/>
          <w:color w:val="auto"/>
        </w:rPr>
      </w:pPr>
      <w:r w:rsidRPr="00382EF7">
        <w:rPr>
          <w:rFonts w:eastAsia="Calibri" w:cs="Tahoma"/>
          <w:color w:val="auto"/>
        </w:rPr>
        <w:t>Como se logra observar, un correo electrónico comúnmente permite únicamente la carga de archivos adjuntos cuyo peso total se traduzca en veinticinco megabytes; por lo que, para proporcionar toda la información solicitada, necesitaría remitir más de ciento veinte correos, lo cual generaría una carga desproporcional al Sujeto Obligado, que implicaría que tuviera que dejar de realizar sus funciones sustantivas y esenciales para cumplir con sus funciones; por lo que, este Instituto considera improcedente ordenar dicha modalidad.</w:t>
      </w:r>
    </w:p>
    <w:p w:rsidRPr="00382EF7" w:rsidR="000638E0" w:rsidP="006935C8" w:rsidRDefault="000638E0" w14:paraId="6D4FE579" w14:textId="77777777">
      <w:pPr>
        <w:spacing w:after="0" w:line="360" w:lineRule="auto"/>
        <w:ind w:right="-28"/>
        <w:contextualSpacing/>
        <w:rPr>
          <w:rFonts w:cs="Tahoma"/>
          <w:iCs/>
          <w:lang w:eastAsia="es-ES"/>
        </w:rPr>
      </w:pPr>
    </w:p>
    <w:p w:rsidRPr="00382EF7" w:rsidR="00D61D96" w:rsidP="006935C8" w:rsidRDefault="00D61D96" w14:paraId="77C7A205" w14:textId="77777777">
      <w:pPr>
        <w:spacing w:after="0" w:line="360" w:lineRule="auto"/>
        <w:rPr>
          <w:rFonts w:eastAsia="Calibri" w:cs="Tahoma"/>
          <w:color w:val="auto"/>
        </w:rPr>
      </w:pPr>
      <w:r w:rsidRPr="00382EF7">
        <w:rPr>
          <w:rFonts w:eastAsia="Calibri" w:cs="Tahoma"/>
          <w:color w:val="auto"/>
        </w:rPr>
        <w:lastRenderedPageBreak/>
        <w:t xml:space="preserve">Así, resulta procedente ordenar al Sujeto Obligado a poner a disposición la información señalada en respuesta, en otras modalidades, tales como, en un vínculo electrónico, disco compacto, dispositivo de almacenamiento, copias simples o certificadas, con posibilidad de entrega en la Unidad de Transparencia o a domicilio por correo certificado, previo pago de los derechos correspondientes. </w:t>
      </w:r>
    </w:p>
    <w:p w:rsidRPr="00382EF7" w:rsidR="00D61D96" w:rsidP="006935C8" w:rsidRDefault="00D61D96" w14:paraId="409F97D9" w14:textId="77777777">
      <w:pPr>
        <w:spacing w:after="0" w:line="360" w:lineRule="auto"/>
        <w:rPr>
          <w:rFonts w:eastAsia="Calibri" w:cs="Tahoma"/>
          <w:color w:val="auto"/>
        </w:rPr>
      </w:pPr>
    </w:p>
    <w:p w:rsidRPr="00382EF7" w:rsidR="00D61D96" w:rsidP="006935C8" w:rsidRDefault="00D61D96" w14:paraId="45912763" w14:textId="77777777">
      <w:pPr>
        <w:spacing w:after="0" w:line="360" w:lineRule="auto"/>
        <w:rPr>
          <w:rFonts w:eastAsia="Calibri" w:cs="Tahoma"/>
          <w:color w:val="auto"/>
        </w:rPr>
      </w:pPr>
      <w:r w:rsidRPr="00382EF7">
        <w:rPr>
          <w:rFonts w:eastAsia="Calibri" w:cs="Tahoma"/>
          <w:color w:val="auto"/>
        </w:rPr>
        <w:t>Ahora bien, para el caso que no pueda subir la información en una liga electrónica de acceso en Internet, por no contar con presupuesto, ni con el equipo electrónico adecuado para tal circunstancia, podrá omitir dicha modalidad, para la entrega de la información.</w:t>
      </w:r>
    </w:p>
    <w:p w:rsidRPr="00382EF7" w:rsidR="00CC6D06" w:rsidP="006935C8" w:rsidRDefault="00CC6D06" w14:paraId="56626726" w14:textId="1EA0F2EC">
      <w:pPr>
        <w:spacing w:after="0" w:line="360" w:lineRule="auto"/>
        <w:contextualSpacing/>
        <w:rPr>
          <w:rFonts w:cs="Tahoma"/>
          <w:iCs/>
          <w:lang w:eastAsia="es-ES"/>
        </w:rPr>
      </w:pPr>
    </w:p>
    <w:p w:rsidRPr="00382EF7" w:rsidR="00E02D46" w:rsidP="006935C8" w:rsidRDefault="00E02D46" w14:paraId="57F3EE2D" w14:textId="77777777">
      <w:pPr>
        <w:tabs>
          <w:tab w:val="left" w:pos="4962"/>
        </w:tabs>
        <w:spacing w:after="0" w:line="360" w:lineRule="auto"/>
        <w:contextualSpacing/>
        <w:rPr>
          <w:rFonts w:eastAsia="Calibri" w:cs="Times New Roman"/>
          <w:bCs/>
        </w:rPr>
      </w:pPr>
      <w:r w:rsidRPr="00382EF7">
        <w:rPr>
          <w:rFonts w:eastAsia="Calibri" w:cs="Tahoma"/>
        </w:rPr>
        <w:t xml:space="preserve">Conforme a lo anterior, se considera que el Sujeto Obligado deberá poner a disposición del ahora Recurrente, </w:t>
      </w:r>
      <w:r w:rsidRPr="00382EF7">
        <w:rPr>
          <w:rFonts w:cs="Tahoma"/>
        </w:rPr>
        <w:t xml:space="preserve">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w:t>
      </w:r>
      <w:r w:rsidRPr="00382EF7">
        <w:rPr>
          <w:rFonts w:eastAsia="Calibri" w:cs="Times New Roman"/>
          <w:bCs/>
        </w:rPr>
        <w:t xml:space="preserve">los documentos que conforman los cuatro Módulos del Primer y Segundo Informe Trimestral del Ejercicio, dos mil veintidós, entregado por el Ayuntamiento de Melchor Ocampo al Órgano Superior de Fiscalización del Estado de México. </w:t>
      </w:r>
    </w:p>
    <w:p w:rsidRPr="00382EF7" w:rsidR="00F257AC" w:rsidP="006935C8" w:rsidRDefault="00F257AC" w14:paraId="6B28F0A5" w14:textId="77777777">
      <w:pPr>
        <w:tabs>
          <w:tab w:val="left" w:pos="4962"/>
        </w:tabs>
        <w:spacing w:after="0" w:line="360" w:lineRule="auto"/>
        <w:contextualSpacing/>
        <w:rPr>
          <w:rFonts w:eastAsia="Calibri" w:cs="Times New Roman"/>
          <w:bCs/>
        </w:rPr>
      </w:pPr>
    </w:p>
    <w:p w:rsidRPr="00382EF7" w:rsidR="00F257AC" w:rsidP="006935C8" w:rsidRDefault="00F257AC" w14:paraId="2D81210B" w14:textId="6DC416D2">
      <w:pPr>
        <w:spacing w:after="0" w:line="360" w:lineRule="auto"/>
        <w:contextualSpacing/>
        <w:rPr>
          <w:rFonts w:cs="Tahoma"/>
          <w:lang w:eastAsia="es-ES"/>
        </w:rPr>
      </w:pPr>
      <w:r w:rsidRPr="00382EF7">
        <w:rPr>
          <w:rFonts w:cs="Tahoma"/>
          <w:lang w:eastAsia="es-ES"/>
        </w:rPr>
        <w:t>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rsidRPr="00382EF7" w:rsidR="00F257AC" w:rsidP="006935C8" w:rsidRDefault="00F257AC" w14:paraId="4DDD7BA3" w14:textId="77777777">
      <w:pPr>
        <w:spacing w:after="0" w:line="360" w:lineRule="auto"/>
        <w:contextualSpacing/>
        <w:rPr>
          <w:rFonts w:cs="Tahoma"/>
          <w:lang w:eastAsia="es-ES"/>
        </w:rPr>
      </w:pPr>
    </w:p>
    <w:p w:rsidRPr="00382EF7" w:rsidR="00CC6D06" w:rsidP="006935C8" w:rsidRDefault="00F257AC" w14:paraId="1F93F837" w14:textId="22D301D9">
      <w:pPr>
        <w:spacing w:after="0" w:line="360" w:lineRule="auto"/>
        <w:contextualSpacing/>
        <w:rPr>
          <w:rFonts w:cs="Tahoma"/>
          <w:lang w:eastAsia="es-ES"/>
        </w:rPr>
      </w:pPr>
      <w:r w:rsidRPr="00382EF7">
        <w:rPr>
          <w:rFonts w:cs="Tahoma"/>
          <w:lang w:eastAsia="es-ES"/>
        </w:rPr>
        <w:t xml:space="preserve">Si dentro del transcurso del término señalado en el párrafo anterior, </w:t>
      </w:r>
      <w:r w:rsidRPr="00382EF7">
        <w:rPr>
          <w:rFonts w:cs="Tahoma"/>
          <w:b/>
          <w:lang w:eastAsia="es-ES"/>
        </w:rPr>
        <w:t>el Parti</w:t>
      </w:r>
      <w:r w:rsidRPr="00382EF7" w:rsidR="006935C8">
        <w:rPr>
          <w:rFonts w:cs="Tahoma"/>
          <w:b/>
          <w:lang w:eastAsia="es-ES"/>
        </w:rPr>
        <w:t xml:space="preserve">cular </w:t>
      </w:r>
      <w:r w:rsidRPr="00382EF7">
        <w:rPr>
          <w:rFonts w:cs="Tahoma"/>
          <w:b/>
          <w:lang w:eastAsia="es-ES"/>
        </w:rPr>
        <w:t>acude por la información,</w:t>
      </w:r>
      <w:r w:rsidRPr="00382EF7">
        <w:rPr>
          <w:rFonts w:cs="Tahoma"/>
          <w:lang w:eastAsia="es-ES"/>
        </w:rPr>
        <w:t xml:space="preserve"> el Sujeto Obligado levantará un acta de hechos misma que debe ser remitida a </w:t>
      </w:r>
      <w:r w:rsidRPr="00382EF7">
        <w:rPr>
          <w:rFonts w:cs="Tahoma"/>
          <w:lang w:eastAsia="es-ES"/>
        </w:rPr>
        <w:lastRenderedPageBreak/>
        <w:t>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rsidRPr="00382EF7" w:rsidR="00F257AC" w:rsidP="006935C8" w:rsidRDefault="00F257AC" w14:paraId="3AE3B85A" w14:textId="77777777">
      <w:pPr>
        <w:spacing w:after="0" w:line="360" w:lineRule="auto"/>
        <w:contextualSpacing/>
        <w:rPr>
          <w:rFonts w:cs="Tahoma"/>
          <w:lang w:eastAsia="es-ES"/>
        </w:rPr>
      </w:pPr>
    </w:p>
    <w:p w:rsidRPr="00382EF7" w:rsidR="00E02D46" w:rsidP="006935C8" w:rsidRDefault="00E02D46" w14:paraId="0CFB722F" w14:textId="17B46D43">
      <w:pPr>
        <w:spacing w:after="0" w:line="360" w:lineRule="auto"/>
        <w:ind w:right="-93"/>
        <w:rPr>
          <w:rFonts w:cs="Tahoma"/>
          <w:bCs/>
          <w:lang w:val="es-ES_tradnl"/>
        </w:rPr>
      </w:pPr>
      <w:r w:rsidRPr="00382EF7">
        <w:rPr>
          <w:rFonts w:cs="Tahoma"/>
          <w:bCs/>
          <w:lang w:val="es-ES_tradnl"/>
        </w:rPr>
        <w:t xml:space="preserve">Ahora bien, no pasa desapercibido, que conforme a los artículos 48, fracción XIII, 86 del Bando Municipal Melchor Ocampo, dos mil veintidós, el Sujeto Obligado cuenta con una </w:t>
      </w:r>
      <w:r w:rsidRPr="00382EF7">
        <w:t>Dirección de Seguridad Ciudadana y Movilidad</w:t>
      </w:r>
      <w:r w:rsidRPr="00382EF7">
        <w:rPr>
          <w:rFonts w:cs="Tahoma"/>
          <w:bCs/>
          <w:lang w:val="es-ES_tradnl"/>
        </w:rPr>
        <w:t>, encargada de salvaguardar y garantizar el orden público y la paz social, así como de  la prevención, combate y persecución de delitos; por lo que, este Instituto considera que en dicha área existen servidores públicos que realizan funciones operativas en materia de seguridad pública.</w:t>
      </w:r>
    </w:p>
    <w:p w:rsidRPr="00382EF7" w:rsidR="00E02D46" w:rsidP="006935C8" w:rsidRDefault="00E02D46" w14:paraId="2558367D" w14:textId="77777777">
      <w:pPr>
        <w:spacing w:after="0" w:line="360" w:lineRule="auto"/>
        <w:ind w:right="-93"/>
        <w:rPr>
          <w:rFonts w:cs="Tahoma"/>
          <w:bCs/>
          <w:lang w:val="es-ES_tradnl"/>
        </w:rPr>
      </w:pPr>
    </w:p>
    <w:p w:rsidRPr="00382EF7" w:rsidR="00E02D46" w:rsidP="006935C8" w:rsidRDefault="00E02D46" w14:paraId="442F22D7" w14:textId="77777777">
      <w:pPr>
        <w:spacing w:after="0" w:line="360" w:lineRule="auto"/>
        <w:rPr>
          <w:rFonts w:eastAsia="Calibri" w:cs="Times New Roman"/>
          <w:color w:val="auto"/>
          <w:szCs w:val="20"/>
          <w:lang w:eastAsia="es-ES"/>
        </w:rPr>
      </w:pPr>
      <w:r w:rsidRPr="00382EF7">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382EF7" w:rsidR="00E02D46" w:rsidP="006935C8" w:rsidRDefault="00E02D46" w14:paraId="5F586C3E" w14:textId="77777777">
      <w:pPr>
        <w:spacing w:after="0" w:line="360" w:lineRule="auto"/>
        <w:rPr>
          <w:rFonts w:eastAsia="Times New Roman" w:cs="Tahoma"/>
          <w:color w:val="auto"/>
          <w:lang w:eastAsia="es-ES"/>
        </w:rPr>
      </w:pPr>
    </w:p>
    <w:p w:rsidRPr="00382EF7" w:rsidR="00E02D46" w:rsidP="006935C8" w:rsidRDefault="00E02D46" w14:paraId="5E3D7411" w14:textId="77777777">
      <w:pPr>
        <w:tabs>
          <w:tab w:val="left" w:pos="4962"/>
        </w:tabs>
        <w:spacing w:after="0" w:line="360" w:lineRule="auto"/>
        <w:ind w:left="567" w:right="567"/>
        <w:rPr>
          <w:rFonts w:eastAsia="Calibri" w:cs="Tahoma"/>
          <w:i/>
          <w:iCs/>
          <w:color w:val="auto"/>
          <w:sz w:val="20"/>
          <w:szCs w:val="20"/>
          <w:lang w:val="es-ES" w:eastAsia="es-ES_tradnl"/>
        </w:rPr>
      </w:pPr>
      <w:r w:rsidRPr="00382EF7">
        <w:rPr>
          <w:rFonts w:eastAsia="Calibri" w:cs="Tahoma"/>
          <w:i/>
          <w:iCs/>
          <w:color w:val="auto"/>
          <w:sz w:val="20"/>
          <w:szCs w:val="20"/>
          <w:lang w:val="es-ES" w:eastAsia="es-ES_tradnl"/>
        </w:rPr>
        <w:t>“</w:t>
      </w:r>
      <w:r w:rsidRPr="00382EF7">
        <w:rPr>
          <w:rFonts w:eastAsia="Calibri" w:cs="Tahoma"/>
          <w:b/>
          <w:i/>
          <w:iCs/>
          <w:color w:val="auto"/>
          <w:sz w:val="20"/>
          <w:szCs w:val="20"/>
          <w:lang w:val="es-ES" w:eastAsia="es-ES_tradnl"/>
        </w:rPr>
        <w:t>Artículo 140.</w:t>
      </w:r>
      <w:r w:rsidRPr="00382EF7">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382EF7" w:rsidR="00E02D46" w:rsidP="006935C8" w:rsidRDefault="00E02D46" w14:paraId="769A9F71" w14:textId="77777777">
      <w:pPr>
        <w:tabs>
          <w:tab w:val="left" w:pos="4962"/>
        </w:tabs>
        <w:spacing w:after="0" w:line="360" w:lineRule="auto"/>
        <w:ind w:left="567" w:right="567"/>
        <w:rPr>
          <w:rFonts w:eastAsia="Calibri" w:cs="Tahoma"/>
          <w:i/>
          <w:iCs/>
          <w:color w:val="auto"/>
          <w:sz w:val="20"/>
          <w:szCs w:val="20"/>
          <w:lang w:val="es-ES" w:eastAsia="es-ES_tradnl"/>
        </w:rPr>
      </w:pPr>
      <w:r w:rsidRPr="00382EF7">
        <w:rPr>
          <w:rFonts w:eastAsia="Calibri" w:cs="Tahoma"/>
          <w:i/>
          <w:iCs/>
          <w:color w:val="auto"/>
          <w:sz w:val="20"/>
          <w:szCs w:val="20"/>
          <w:lang w:val="es-ES" w:eastAsia="es-ES_tradnl"/>
        </w:rPr>
        <w:t>…</w:t>
      </w:r>
    </w:p>
    <w:p w:rsidRPr="00382EF7" w:rsidR="00E02D46" w:rsidP="006935C8" w:rsidRDefault="00E02D46" w14:paraId="4CB62ABE" w14:textId="58953A6C">
      <w:pPr>
        <w:tabs>
          <w:tab w:val="left" w:pos="4962"/>
        </w:tabs>
        <w:spacing w:after="0" w:line="360" w:lineRule="auto"/>
        <w:ind w:left="567" w:right="567"/>
        <w:rPr>
          <w:rFonts w:eastAsia="Calibri" w:cs="Tahoma"/>
          <w:i/>
          <w:iCs/>
          <w:color w:val="auto"/>
          <w:sz w:val="20"/>
          <w:szCs w:val="20"/>
          <w:lang w:val="es-ES" w:eastAsia="es-ES_tradnl"/>
        </w:rPr>
      </w:pPr>
      <w:r w:rsidRPr="00382EF7">
        <w:rPr>
          <w:rFonts w:eastAsia="Calibri" w:cs="Tahoma"/>
          <w:i/>
          <w:iCs/>
          <w:color w:val="auto"/>
          <w:sz w:val="20"/>
          <w:szCs w:val="20"/>
          <w:lang w:eastAsia="es-ES_tradnl"/>
        </w:rPr>
        <w:t xml:space="preserve">IV. Ponga en riesgo la vida, la seguridad o la salud de una persona </w:t>
      </w:r>
      <w:proofErr w:type="gramStart"/>
      <w:r w:rsidRPr="00382EF7">
        <w:rPr>
          <w:rFonts w:eastAsia="Calibri" w:cs="Tahoma"/>
          <w:i/>
          <w:iCs/>
          <w:color w:val="auto"/>
          <w:sz w:val="20"/>
          <w:szCs w:val="20"/>
          <w:lang w:eastAsia="es-ES_tradnl"/>
        </w:rPr>
        <w:t>física;</w:t>
      </w:r>
      <w:r w:rsidRPr="00382EF7">
        <w:rPr>
          <w:rFonts w:eastAsia="Calibri" w:cs="Tahoma"/>
          <w:i/>
          <w:iCs/>
          <w:color w:val="auto"/>
          <w:sz w:val="20"/>
          <w:szCs w:val="20"/>
          <w:lang w:val="es-ES" w:eastAsia="es-ES_tradnl"/>
        </w:rPr>
        <w:t>…</w:t>
      </w:r>
      <w:proofErr w:type="gramEnd"/>
      <w:r w:rsidRPr="00382EF7">
        <w:rPr>
          <w:rFonts w:eastAsia="Calibri" w:cs="Tahoma"/>
          <w:i/>
          <w:iCs/>
          <w:color w:val="auto"/>
          <w:sz w:val="20"/>
          <w:szCs w:val="20"/>
          <w:lang w:val="es-ES" w:eastAsia="es-ES_tradnl"/>
        </w:rPr>
        <w:t xml:space="preserve">” </w:t>
      </w:r>
    </w:p>
    <w:p w:rsidRPr="00382EF7" w:rsidR="006935C8" w:rsidP="006935C8" w:rsidRDefault="006935C8" w14:paraId="42BFF134" w14:textId="77777777">
      <w:pPr>
        <w:spacing w:after="0" w:line="360" w:lineRule="auto"/>
        <w:rPr>
          <w:rFonts w:eastAsia="Calibri" w:cs="Tahoma"/>
          <w:bCs/>
          <w:color w:val="auto"/>
        </w:rPr>
      </w:pPr>
    </w:p>
    <w:p w:rsidRPr="00382EF7" w:rsidR="00E02D46" w:rsidP="006935C8" w:rsidRDefault="00E02D46" w14:paraId="2C37337F" w14:textId="77777777">
      <w:pPr>
        <w:spacing w:after="0" w:line="360" w:lineRule="auto"/>
        <w:rPr>
          <w:rFonts w:eastAsia="Calibri" w:cs="Tahoma"/>
          <w:bCs/>
          <w:color w:val="auto"/>
        </w:rPr>
      </w:pPr>
      <w:r w:rsidRPr="00382EF7">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382EF7">
        <w:rPr>
          <w:rFonts w:eastAsia="Calibri" w:cs="Tahoma"/>
          <w:bCs/>
          <w:color w:val="auto"/>
          <w:lang w:val="es-ES"/>
        </w:rPr>
        <w:t>Lineamientos Generales,</w:t>
      </w:r>
      <w:r w:rsidRPr="00382EF7">
        <w:rPr>
          <w:rFonts w:eastAsia="Calibri" w:cs="Tahoma"/>
          <w:bCs/>
          <w:color w:val="auto"/>
        </w:rPr>
        <w:t xml:space="preserve"> establecen lo siguiente:</w:t>
      </w:r>
    </w:p>
    <w:p w:rsidRPr="00382EF7" w:rsidR="00E02D46" w:rsidP="006935C8" w:rsidRDefault="00E02D46" w14:paraId="5CBF69F3" w14:textId="77777777">
      <w:pPr>
        <w:spacing w:after="0" w:line="360" w:lineRule="auto"/>
        <w:rPr>
          <w:rFonts w:eastAsia="Calibri" w:cs="Tahoma"/>
          <w:bCs/>
          <w:color w:val="auto"/>
        </w:rPr>
      </w:pPr>
    </w:p>
    <w:p w:rsidRPr="00382EF7" w:rsidR="00E02D46" w:rsidP="006935C8" w:rsidRDefault="00E02D46" w14:paraId="36506ED0" w14:textId="77777777">
      <w:pPr>
        <w:spacing w:after="0" w:line="360" w:lineRule="auto"/>
        <w:ind w:left="567" w:right="567"/>
        <w:rPr>
          <w:rFonts w:eastAsia="Calibri" w:cs="Tahoma"/>
          <w:bCs/>
          <w:i/>
          <w:color w:val="auto"/>
          <w:sz w:val="20"/>
          <w:szCs w:val="20"/>
        </w:rPr>
      </w:pPr>
      <w:r w:rsidRPr="00382EF7">
        <w:rPr>
          <w:rFonts w:eastAsia="Calibri" w:cs="Tahoma"/>
          <w:b/>
          <w:bCs/>
          <w:i/>
          <w:color w:val="auto"/>
          <w:sz w:val="20"/>
          <w:szCs w:val="20"/>
        </w:rPr>
        <w:t xml:space="preserve">“Vigésimo tercero. </w:t>
      </w:r>
      <w:r w:rsidRPr="00382EF7">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rsidRPr="00382EF7" w:rsidR="00E02D46" w:rsidP="006935C8" w:rsidRDefault="00E02D46" w14:paraId="46B7EBBE" w14:textId="77777777">
      <w:pPr>
        <w:spacing w:after="0" w:line="360" w:lineRule="auto"/>
        <w:ind w:left="567" w:right="567"/>
        <w:rPr>
          <w:rFonts w:eastAsia="Calibri" w:cs="Tahoma"/>
          <w:bCs/>
          <w:i/>
          <w:color w:val="auto"/>
          <w:sz w:val="20"/>
          <w:szCs w:val="20"/>
        </w:rPr>
      </w:pPr>
    </w:p>
    <w:p w:rsidRPr="00382EF7" w:rsidR="00E02D46" w:rsidP="006935C8" w:rsidRDefault="00E02D46" w14:paraId="18DBAB1F" w14:textId="77777777">
      <w:pPr>
        <w:spacing w:after="0" w:line="360" w:lineRule="auto"/>
        <w:rPr>
          <w:rFonts w:eastAsia="Calibri" w:cs="Tahoma"/>
          <w:bCs/>
          <w:color w:val="auto"/>
        </w:rPr>
      </w:pPr>
      <w:r w:rsidRPr="00382EF7">
        <w:rPr>
          <w:rFonts w:eastAsia="Calibri" w:cs="Tahoma"/>
          <w:bCs/>
          <w:color w:val="auto"/>
        </w:rPr>
        <w:t xml:space="preserve">Del Lineamiento referido, se desprende que para clasificar la información como reservada, será necesario </w:t>
      </w:r>
      <w:r w:rsidRPr="00382EF7">
        <w:rPr>
          <w:rFonts w:eastAsia="Calibri" w:cs="Tahoma"/>
          <w:b/>
          <w:bCs/>
          <w:color w:val="auto"/>
        </w:rPr>
        <w:t>acreditar un vínculo, entre la persona física y la información que pueda poner en riesgo su vida, seguridad o salud</w:t>
      </w:r>
      <w:r w:rsidRPr="00382EF7">
        <w:rPr>
          <w:rFonts w:eastAsia="Calibri" w:cs="Tahoma"/>
          <w:bCs/>
          <w:color w:val="auto"/>
        </w:rPr>
        <w:t>.</w:t>
      </w:r>
    </w:p>
    <w:p w:rsidRPr="00382EF7" w:rsidR="00E02D46" w:rsidP="006935C8" w:rsidRDefault="00E02D46" w14:paraId="3E408899" w14:textId="77777777">
      <w:pPr>
        <w:spacing w:after="0" w:line="360" w:lineRule="auto"/>
        <w:rPr>
          <w:rFonts w:eastAsia="Calibri" w:cs="Tahoma"/>
          <w:bCs/>
          <w:color w:val="auto"/>
        </w:rPr>
      </w:pPr>
    </w:p>
    <w:p w:rsidRPr="00382EF7" w:rsidR="00E02D46" w:rsidP="006935C8" w:rsidRDefault="00E02D46" w14:paraId="4CC5223C" w14:textId="77777777">
      <w:pPr>
        <w:spacing w:after="0" w:line="360" w:lineRule="auto"/>
        <w:rPr>
          <w:rFonts w:eastAsia="Calibri" w:cs="Tahoma"/>
          <w:bCs/>
          <w:color w:val="auto"/>
        </w:rPr>
      </w:pPr>
      <w:r w:rsidRPr="00382EF7">
        <w:rPr>
          <w:rFonts w:eastAsia="Calibri" w:cs="Tahoma"/>
          <w:bCs/>
          <w:color w:val="auto"/>
        </w:rPr>
        <w:t>Además, el artículo 81, fracción III, de la Ley de Seguridad del Estado de México, establece lo siguiente:</w:t>
      </w:r>
    </w:p>
    <w:p w:rsidRPr="00382EF7" w:rsidR="00E02D46" w:rsidP="006935C8" w:rsidRDefault="00E02D46" w14:paraId="41BF2AAB" w14:textId="77777777">
      <w:pPr>
        <w:spacing w:after="0" w:line="360" w:lineRule="auto"/>
        <w:rPr>
          <w:rFonts w:eastAsia="Calibri" w:cs="Tahoma"/>
          <w:bCs/>
          <w:color w:val="auto"/>
        </w:rPr>
      </w:pPr>
    </w:p>
    <w:p w:rsidRPr="00382EF7" w:rsidR="00E02D46" w:rsidP="006935C8" w:rsidRDefault="00E02D46" w14:paraId="5DD4B7EA" w14:textId="77777777">
      <w:pPr>
        <w:spacing w:after="0" w:line="360" w:lineRule="auto"/>
        <w:ind w:left="567" w:right="567"/>
        <w:rPr>
          <w:rFonts w:eastAsia="Calibri" w:cs="Tahoma"/>
          <w:bCs/>
          <w:i/>
          <w:color w:val="auto"/>
          <w:sz w:val="20"/>
          <w:szCs w:val="20"/>
        </w:rPr>
      </w:pPr>
      <w:r w:rsidRPr="00382EF7">
        <w:rPr>
          <w:rFonts w:eastAsia="Calibri" w:cs="Tahoma"/>
          <w:b/>
          <w:bCs/>
          <w:i/>
          <w:color w:val="auto"/>
          <w:sz w:val="20"/>
          <w:szCs w:val="20"/>
        </w:rPr>
        <w:t>“Artículo 81.-</w:t>
      </w:r>
      <w:r w:rsidRPr="00382EF7">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382EF7" w:rsidR="00E02D46" w:rsidP="006935C8" w:rsidRDefault="00E02D46" w14:paraId="44A06506" w14:textId="77777777">
      <w:pPr>
        <w:spacing w:after="0" w:line="360" w:lineRule="auto"/>
        <w:ind w:left="567" w:right="567"/>
        <w:rPr>
          <w:rFonts w:eastAsia="Calibri" w:cs="Tahoma"/>
          <w:bCs/>
          <w:i/>
          <w:color w:val="auto"/>
          <w:sz w:val="20"/>
          <w:szCs w:val="20"/>
        </w:rPr>
      </w:pPr>
      <w:r w:rsidRPr="00382EF7">
        <w:rPr>
          <w:rFonts w:eastAsia="Calibri" w:cs="Tahoma"/>
          <w:bCs/>
          <w:i/>
          <w:color w:val="auto"/>
          <w:sz w:val="20"/>
          <w:szCs w:val="20"/>
        </w:rPr>
        <w:t>…</w:t>
      </w:r>
    </w:p>
    <w:p w:rsidRPr="00382EF7" w:rsidR="00E02D46" w:rsidP="006935C8" w:rsidRDefault="00E02D46" w14:paraId="585068ED" w14:textId="77777777">
      <w:pPr>
        <w:spacing w:after="0" w:line="360" w:lineRule="auto"/>
        <w:ind w:left="567" w:right="567"/>
        <w:rPr>
          <w:rFonts w:eastAsia="Calibri" w:cs="Tahoma"/>
          <w:bCs/>
          <w:i/>
          <w:color w:val="auto"/>
          <w:sz w:val="20"/>
          <w:szCs w:val="20"/>
        </w:rPr>
      </w:pPr>
      <w:r w:rsidRPr="00382EF7">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rsidRPr="00382EF7" w:rsidR="00E02D46" w:rsidP="006935C8" w:rsidRDefault="00E02D46" w14:paraId="1FD62C75" w14:textId="77777777">
      <w:pPr>
        <w:spacing w:after="0" w:line="360" w:lineRule="auto"/>
        <w:ind w:left="567" w:right="567"/>
        <w:rPr>
          <w:rFonts w:eastAsia="Calibri" w:cs="Tahoma"/>
          <w:bCs/>
          <w:i/>
          <w:color w:val="auto"/>
          <w:sz w:val="20"/>
          <w:szCs w:val="20"/>
        </w:rPr>
      </w:pPr>
      <w:r w:rsidRPr="00382EF7">
        <w:rPr>
          <w:rFonts w:eastAsia="Calibri" w:cs="Tahoma"/>
          <w:bCs/>
          <w:i/>
          <w:color w:val="auto"/>
          <w:sz w:val="20"/>
          <w:szCs w:val="20"/>
        </w:rPr>
        <w:t>…”</w:t>
      </w:r>
    </w:p>
    <w:p w:rsidRPr="00382EF7" w:rsidR="00E02D46" w:rsidP="006935C8" w:rsidRDefault="00E02D46" w14:paraId="76744E9B" w14:textId="77777777">
      <w:pPr>
        <w:spacing w:after="0" w:line="360" w:lineRule="auto"/>
        <w:rPr>
          <w:rFonts w:eastAsia="Calibri" w:cs="Tahoma"/>
          <w:bCs/>
          <w:color w:val="auto"/>
          <w:sz w:val="20"/>
          <w:szCs w:val="20"/>
        </w:rPr>
      </w:pPr>
    </w:p>
    <w:p w:rsidRPr="00382EF7" w:rsidR="00E02D46" w:rsidP="006935C8" w:rsidRDefault="00E02D46" w14:paraId="66F882CC" w14:textId="77777777">
      <w:pPr>
        <w:spacing w:after="0" w:line="360" w:lineRule="auto"/>
        <w:rPr>
          <w:rFonts w:eastAsia="Times New Roman" w:cs="Tahoma"/>
          <w:color w:val="auto"/>
          <w:lang w:eastAsia="es-ES"/>
        </w:rPr>
      </w:pPr>
      <w:r w:rsidRPr="00382EF7">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382EF7" w:rsidR="00E02D46" w:rsidP="006935C8" w:rsidRDefault="00E02D46" w14:paraId="66BEBAED" w14:textId="77777777">
      <w:pPr>
        <w:spacing w:after="0" w:line="360" w:lineRule="auto"/>
        <w:rPr>
          <w:rFonts w:eastAsia="Calibri" w:cs="Tahoma"/>
          <w:bCs/>
          <w:color w:val="auto"/>
        </w:rPr>
      </w:pPr>
    </w:p>
    <w:p w:rsidRPr="00382EF7" w:rsidR="00E02D46" w:rsidP="006935C8" w:rsidRDefault="00E02D46" w14:paraId="3E1608BD" w14:textId="77777777">
      <w:pPr>
        <w:spacing w:after="0" w:line="360" w:lineRule="auto"/>
        <w:rPr>
          <w:rFonts w:eastAsia="Calibri" w:cs="Tahoma"/>
          <w:bCs/>
          <w:color w:val="auto"/>
        </w:rPr>
      </w:pPr>
      <w:r w:rsidRPr="00382EF7">
        <w:rPr>
          <w:rFonts w:eastAsia="Calibri" w:cs="Tahoma"/>
          <w:bCs/>
          <w:color w:val="auto"/>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w:t>
      </w:r>
      <w:r w:rsidRPr="00382EF7">
        <w:rPr>
          <w:rFonts w:eastAsia="Calibri" w:cs="Tahoma"/>
          <w:bCs/>
          <w:color w:val="auto"/>
        </w:rPr>
        <w:lastRenderedPageBreak/>
        <w:t>Pública del Estado de México, y 92, fracción VII, de la Ley de Transparencia y Acceso a la Información Pública del Estado de México y Municipios.</w:t>
      </w:r>
    </w:p>
    <w:p w:rsidRPr="00382EF7" w:rsidR="00E02D46" w:rsidP="006935C8" w:rsidRDefault="00E02D46" w14:paraId="6E5A110D" w14:textId="77777777">
      <w:pPr>
        <w:spacing w:after="0" w:line="360" w:lineRule="auto"/>
        <w:rPr>
          <w:rFonts w:eastAsia="Calibri" w:cs="Tahoma"/>
          <w:bCs/>
          <w:color w:val="auto"/>
        </w:rPr>
      </w:pPr>
    </w:p>
    <w:p w:rsidRPr="00382EF7" w:rsidR="00E02D46" w:rsidP="006935C8" w:rsidRDefault="00E02D46" w14:paraId="104D0A20" w14:textId="77777777">
      <w:pPr>
        <w:spacing w:after="0" w:line="360" w:lineRule="auto"/>
        <w:rPr>
          <w:rFonts w:eastAsia="Times New Roman" w:cs="Tahoma"/>
          <w:color w:val="auto"/>
          <w:lang w:eastAsia="es-ES"/>
        </w:rPr>
      </w:pPr>
      <w:r w:rsidRPr="00382EF7">
        <w:rPr>
          <w:rFonts w:eastAsia="Calibri" w:cs="Tahoma"/>
          <w:bCs/>
          <w:color w:val="auto"/>
        </w:rPr>
        <w:t xml:space="preserve">No obstante, resulta necesario traer a colación por analogía, el Criterio 06/09, emitido por </w:t>
      </w:r>
      <w:r w:rsidRPr="00382EF7">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rsidRPr="00382EF7" w:rsidR="00E02D46" w:rsidP="006935C8" w:rsidRDefault="00E02D46" w14:paraId="768A1E66" w14:textId="77777777">
      <w:pPr>
        <w:spacing w:after="0" w:line="360" w:lineRule="auto"/>
        <w:rPr>
          <w:rFonts w:eastAsia="Times New Roman" w:cs="Tahoma"/>
          <w:i/>
          <w:color w:val="auto"/>
          <w:lang w:eastAsia="es-ES"/>
        </w:rPr>
      </w:pPr>
    </w:p>
    <w:p w:rsidRPr="00382EF7" w:rsidR="00E02D46" w:rsidP="006935C8" w:rsidRDefault="00E02D46" w14:paraId="2BBD38C6" w14:textId="77777777">
      <w:pPr>
        <w:tabs>
          <w:tab w:val="left" w:pos="4962"/>
        </w:tabs>
        <w:spacing w:after="0" w:line="360" w:lineRule="auto"/>
        <w:ind w:left="567" w:right="567"/>
        <w:rPr>
          <w:rFonts w:eastAsia="Times New Roman" w:cs="Tahoma"/>
          <w:i/>
          <w:color w:val="auto"/>
          <w:sz w:val="20"/>
          <w:lang w:eastAsia="es-ES"/>
        </w:rPr>
      </w:pPr>
      <w:r w:rsidRPr="00382EF7">
        <w:rPr>
          <w:rFonts w:eastAsia="Times New Roman" w:cs="Tahoma"/>
          <w:b/>
          <w:i/>
          <w:color w:val="auto"/>
          <w:sz w:val="20"/>
          <w:lang w:eastAsia="es-ES"/>
        </w:rPr>
        <w:t>“Nombres de servidores públicos dedicados a actividades en materia de seguridad, por excepción pueden considerarse información reservada.</w:t>
      </w:r>
      <w:r w:rsidRPr="00382EF7">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382EF7" w:rsidR="00E02D46" w:rsidP="006935C8" w:rsidRDefault="00E02D46" w14:paraId="1537D860" w14:textId="77777777">
      <w:pPr>
        <w:spacing w:after="0" w:line="360" w:lineRule="auto"/>
        <w:rPr>
          <w:rFonts w:eastAsia="Calibri" w:cs="Tahoma"/>
          <w:bCs/>
          <w:color w:val="auto"/>
        </w:rPr>
      </w:pPr>
    </w:p>
    <w:p w:rsidRPr="00382EF7" w:rsidR="00E02D46" w:rsidP="006935C8" w:rsidRDefault="00E02D46" w14:paraId="1A74A98D" w14:textId="77777777">
      <w:pPr>
        <w:spacing w:after="0" w:line="360" w:lineRule="auto"/>
        <w:rPr>
          <w:rFonts w:eastAsia="Calibri" w:cs="Tahoma"/>
          <w:bCs/>
          <w:color w:val="auto"/>
        </w:rPr>
      </w:pPr>
      <w:r w:rsidRPr="00382EF7">
        <w:rPr>
          <w:rFonts w:eastAsia="Calibri" w:cs="Tahoma"/>
          <w:bCs/>
          <w:color w:val="auto"/>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382EF7" w:rsidR="00E02D46" w:rsidP="006935C8" w:rsidRDefault="00E02D46" w14:paraId="2E93D16D" w14:textId="77777777">
      <w:pPr>
        <w:spacing w:after="0" w:line="360" w:lineRule="auto"/>
        <w:rPr>
          <w:rFonts w:eastAsia="Calibri" w:cs="Tahoma"/>
          <w:bCs/>
          <w:color w:val="auto"/>
        </w:rPr>
      </w:pPr>
    </w:p>
    <w:p w:rsidRPr="00382EF7" w:rsidR="00E02D46" w:rsidP="006935C8" w:rsidRDefault="00E02D46" w14:paraId="0899556D" w14:textId="77777777">
      <w:pPr>
        <w:spacing w:after="0" w:line="360" w:lineRule="auto"/>
        <w:rPr>
          <w:rFonts w:eastAsia="Calibri" w:cs="Tahoma"/>
          <w:bCs/>
          <w:color w:val="auto"/>
        </w:rPr>
      </w:pPr>
      <w:r w:rsidRPr="00382EF7">
        <w:rPr>
          <w:rFonts w:eastAsia="Calibri" w:cs="Tahoma"/>
          <w:bCs/>
          <w:color w:val="auto"/>
        </w:rPr>
        <w:t xml:space="preserve">En ese orden de ideas, si bien por regla general los nombres de los trabajadores gubernamentales son información pública de oficio, existe una excepción relativa a </w:t>
      </w:r>
      <w:r w:rsidRPr="00382EF7">
        <w:rPr>
          <w:rFonts w:eastAsia="Calibri" w:cs="Tahoma"/>
          <w:b/>
          <w:bCs/>
          <w:color w:val="auto"/>
        </w:rPr>
        <w:t>aquellos que realicen actividades operativas en materia de seguridad,</w:t>
      </w:r>
      <w:r w:rsidRPr="00382EF7">
        <w:rPr>
          <w:rFonts w:eastAsia="Calibri" w:cs="Tahoma"/>
          <w:bCs/>
          <w:color w:val="auto"/>
        </w:rPr>
        <w:t xml:space="preserve"> como es el caso de los elementos operativos y la policía municipal.</w:t>
      </w:r>
    </w:p>
    <w:p w:rsidRPr="00382EF7" w:rsidR="00E02D46" w:rsidP="006935C8" w:rsidRDefault="00E02D46" w14:paraId="7D6EE9D8" w14:textId="77777777">
      <w:pPr>
        <w:spacing w:after="0" w:line="360" w:lineRule="auto"/>
        <w:rPr>
          <w:rFonts w:eastAsia="Calibri" w:cs="Tahoma"/>
          <w:bCs/>
          <w:color w:val="auto"/>
        </w:rPr>
      </w:pPr>
    </w:p>
    <w:p w:rsidRPr="00382EF7" w:rsidR="00E02D46" w:rsidP="006935C8" w:rsidRDefault="00E02D46" w14:paraId="230E0CF7" w14:textId="77777777">
      <w:pPr>
        <w:spacing w:after="0" w:line="360" w:lineRule="auto"/>
        <w:rPr>
          <w:rFonts w:eastAsia="Calibri" w:cs="Tahoma"/>
          <w:bCs/>
          <w:color w:val="auto"/>
        </w:rPr>
      </w:pPr>
      <w:r w:rsidRPr="00382EF7">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382EF7" w:rsidR="00E02D46" w:rsidP="006935C8" w:rsidRDefault="00E02D46" w14:paraId="6D141F31" w14:textId="77777777">
      <w:pPr>
        <w:spacing w:after="0" w:line="360" w:lineRule="auto"/>
        <w:rPr>
          <w:rFonts w:eastAsia="Calibri" w:cs="Tahoma"/>
          <w:bCs/>
          <w:color w:val="auto"/>
        </w:rPr>
      </w:pPr>
    </w:p>
    <w:p w:rsidRPr="00382EF7" w:rsidR="00E02D46" w:rsidP="006935C8" w:rsidRDefault="00E02D46" w14:paraId="37FD953C" w14:textId="77777777">
      <w:pPr>
        <w:spacing w:after="0" w:line="360" w:lineRule="auto"/>
        <w:rPr>
          <w:rFonts w:eastAsia="Calibri" w:cs="Tahoma"/>
          <w:bCs/>
          <w:color w:val="auto"/>
        </w:rPr>
      </w:pPr>
      <w:r w:rsidRPr="00382EF7">
        <w:rPr>
          <w:rFonts w:eastAsia="Calibri" w:cs="Tahoma"/>
          <w:bCs/>
          <w:color w:val="auto"/>
        </w:rPr>
        <w:t>En ese contexto, el artículo 6, fracciones XI y XII de dicho ordenamiento jurídico, establece los siguientes conceptos:</w:t>
      </w:r>
    </w:p>
    <w:p w:rsidRPr="00382EF7" w:rsidR="00E02D46" w:rsidP="006935C8" w:rsidRDefault="00E02D46" w14:paraId="1652F125" w14:textId="77777777">
      <w:pPr>
        <w:spacing w:after="0" w:line="360" w:lineRule="auto"/>
        <w:rPr>
          <w:rFonts w:eastAsia="Calibri" w:cs="Tahoma"/>
          <w:bCs/>
          <w:color w:val="auto"/>
        </w:rPr>
      </w:pPr>
    </w:p>
    <w:p w:rsidRPr="00382EF7" w:rsidR="00E02D46" w:rsidP="006935C8" w:rsidRDefault="00E02D46" w14:paraId="06F9E3D3" w14:textId="77777777">
      <w:pPr>
        <w:numPr>
          <w:ilvl w:val="0"/>
          <w:numId w:val="17"/>
        </w:numPr>
        <w:spacing w:after="0" w:line="360" w:lineRule="auto"/>
        <w:contextualSpacing/>
        <w:jc w:val="left"/>
        <w:rPr>
          <w:rFonts w:eastAsia="Calibri" w:cs="Tahoma"/>
          <w:b/>
          <w:bCs/>
          <w:color w:val="auto"/>
        </w:rPr>
      </w:pPr>
      <w:r w:rsidRPr="00382EF7">
        <w:rPr>
          <w:rFonts w:eastAsia="Calibri" w:cs="Tahoma"/>
          <w:b/>
          <w:bCs/>
          <w:color w:val="auto"/>
        </w:rPr>
        <w:t xml:space="preserve">Instituciones Policiales: </w:t>
      </w:r>
      <w:r w:rsidRPr="00382EF7">
        <w:rPr>
          <w:rFonts w:eastAsia="Calibri" w:cs="Tahoma"/>
          <w:bCs/>
          <w:color w:val="auto"/>
        </w:rPr>
        <w:t xml:space="preserve">Son los cuerpos de policía, de vigilancia y custodia de los establecimientos penitenciarios, detención preventiva, centros de arraigo y en general, </w:t>
      </w:r>
      <w:r w:rsidRPr="00382EF7">
        <w:rPr>
          <w:rFonts w:eastAsia="Calibri" w:cs="Tahoma"/>
          <w:b/>
          <w:bCs/>
          <w:color w:val="auto"/>
        </w:rPr>
        <w:t>todas las dependencias encargadas de la seguridad pública a nivel</w:t>
      </w:r>
      <w:r w:rsidRPr="00382EF7">
        <w:rPr>
          <w:rFonts w:eastAsia="Calibri" w:cs="Tahoma"/>
          <w:bCs/>
          <w:color w:val="auto"/>
        </w:rPr>
        <w:t xml:space="preserve"> estatal y </w:t>
      </w:r>
      <w:r w:rsidRPr="00382EF7">
        <w:rPr>
          <w:rFonts w:eastAsia="Calibri" w:cs="Tahoma"/>
          <w:b/>
          <w:bCs/>
          <w:color w:val="auto"/>
        </w:rPr>
        <w:t>municipal.</w:t>
      </w:r>
    </w:p>
    <w:p w:rsidRPr="00382EF7" w:rsidR="00E02D46" w:rsidP="006935C8" w:rsidRDefault="00E02D46" w14:paraId="3BA5BECA" w14:textId="77777777">
      <w:pPr>
        <w:spacing w:after="0" w:line="360" w:lineRule="auto"/>
        <w:ind w:left="720"/>
        <w:contextualSpacing/>
        <w:rPr>
          <w:rFonts w:eastAsia="Calibri" w:cs="Tahoma"/>
          <w:bCs/>
          <w:color w:val="auto"/>
        </w:rPr>
      </w:pPr>
    </w:p>
    <w:p w:rsidRPr="00382EF7" w:rsidR="00E02D46" w:rsidP="006935C8" w:rsidRDefault="00E02D46" w14:paraId="60951A81" w14:textId="77777777">
      <w:pPr>
        <w:numPr>
          <w:ilvl w:val="0"/>
          <w:numId w:val="17"/>
        </w:numPr>
        <w:spacing w:after="0" w:line="360" w:lineRule="auto"/>
        <w:contextualSpacing/>
        <w:jc w:val="left"/>
        <w:rPr>
          <w:rFonts w:eastAsia="Calibri" w:cs="Tahoma"/>
          <w:b/>
          <w:bCs/>
          <w:color w:val="auto"/>
        </w:rPr>
      </w:pPr>
      <w:r w:rsidRPr="00382EF7">
        <w:rPr>
          <w:rFonts w:eastAsia="Calibri" w:cs="Tahoma"/>
          <w:b/>
          <w:bCs/>
          <w:color w:val="auto"/>
        </w:rPr>
        <w:lastRenderedPageBreak/>
        <w:t xml:space="preserve">Instituciones de Seguridad Pública: </w:t>
      </w:r>
      <w:r w:rsidRPr="00382EF7">
        <w:rPr>
          <w:rFonts w:eastAsia="Calibri" w:cs="Tahoma"/>
          <w:bCs/>
          <w:color w:val="auto"/>
        </w:rPr>
        <w:t xml:space="preserve">Instituciones Policiales, Procuración de Justicia, Sistema Penitenciario y </w:t>
      </w:r>
      <w:r w:rsidRPr="00382EF7">
        <w:rPr>
          <w:rFonts w:eastAsia="Calibri" w:cs="Tahoma"/>
          <w:b/>
          <w:bCs/>
          <w:color w:val="auto"/>
        </w:rPr>
        <w:t xml:space="preserve">dependencias encargadas de la seguridad pública a nivel </w:t>
      </w:r>
      <w:r w:rsidRPr="00382EF7">
        <w:rPr>
          <w:rFonts w:eastAsia="Calibri" w:cs="Tahoma"/>
          <w:bCs/>
          <w:color w:val="auto"/>
        </w:rPr>
        <w:t xml:space="preserve">estatal y </w:t>
      </w:r>
      <w:r w:rsidRPr="00382EF7">
        <w:rPr>
          <w:rFonts w:eastAsia="Calibri" w:cs="Tahoma"/>
          <w:b/>
          <w:bCs/>
          <w:color w:val="auto"/>
        </w:rPr>
        <w:t>municipal.</w:t>
      </w:r>
    </w:p>
    <w:p w:rsidRPr="00382EF7" w:rsidR="00E02D46" w:rsidP="006935C8" w:rsidRDefault="00E02D46" w14:paraId="5326BFDF" w14:textId="77777777">
      <w:pPr>
        <w:spacing w:after="0" w:line="360" w:lineRule="auto"/>
        <w:contextualSpacing/>
        <w:rPr>
          <w:rFonts w:eastAsia="Calibri" w:cs="Tahoma"/>
          <w:b/>
          <w:bCs/>
          <w:color w:val="auto"/>
        </w:rPr>
      </w:pPr>
    </w:p>
    <w:p w:rsidRPr="00382EF7" w:rsidR="00E02D46" w:rsidP="006935C8" w:rsidRDefault="00E02D46" w14:paraId="109BB544" w14:textId="09D321EF">
      <w:pPr>
        <w:spacing w:after="0" w:line="360" w:lineRule="auto"/>
        <w:rPr>
          <w:rFonts w:eastAsia="Calibri" w:cs="Tahoma"/>
          <w:bCs/>
          <w:color w:val="auto"/>
        </w:rPr>
      </w:pPr>
      <w:r w:rsidRPr="00382EF7">
        <w:rPr>
          <w:rFonts w:eastAsia="Calibri" w:cs="Tahoma"/>
          <w:iCs/>
          <w:color w:val="auto"/>
          <w:szCs w:val="20"/>
          <w:lang w:val="es-ES" w:eastAsia="es-ES_tradnl"/>
        </w:rPr>
        <w:t>Conforme a lo anterior</w:t>
      </w:r>
      <w:r w:rsidRPr="00382EF7">
        <w:rPr>
          <w:rFonts w:eastAsia="Calibri" w:cs="Tahoma"/>
          <w:bCs/>
          <w:color w:val="auto"/>
        </w:rPr>
        <w:t xml:space="preserve">, se puede deducir que la </w:t>
      </w:r>
      <w:r w:rsidRPr="00382EF7">
        <w:t>Dirección de Seguridad Ciudadana y Movilidad</w:t>
      </w:r>
      <w:r w:rsidRPr="00382EF7">
        <w:rPr>
          <w:rFonts w:eastAsia="Calibri" w:cs="Tahoma"/>
          <w:bCs/>
          <w:color w:val="auto"/>
        </w:rPr>
        <w:t xml:space="preserve">, es una institución de seguridad pública, pues tiene como atribución principal, la prevención de delitos </w:t>
      </w:r>
      <w:r w:rsidRPr="00382EF7">
        <w:rPr>
          <w:rFonts w:eastAsia="Calibri" w:cs="Times New Roman"/>
          <w:color w:val="auto"/>
          <w:szCs w:val="20"/>
          <w:lang w:eastAsia="es-ES"/>
        </w:rPr>
        <w:t>y proteger a las personas, sus propiedades, posesiones y derechos</w:t>
      </w:r>
    </w:p>
    <w:p w:rsidRPr="00382EF7" w:rsidR="00E02D46" w:rsidP="006935C8" w:rsidRDefault="00E02D46" w14:paraId="4085B0B8" w14:textId="71997975">
      <w:pPr>
        <w:tabs>
          <w:tab w:val="left" w:pos="4962"/>
        </w:tabs>
        <w:spacing w:after="0" w:line="360" w:lineRule="auto"/>
        <w:ind w:right="-28"/>
        <w:rPr>
          <w:rFonts w:eastAsia="Calibri" w:cs="Tahoma"/>
          <w:bCs/>
          <w:color w:val="auto"/>
        </w:rPr>
      </w:pPr>
      <w:r w:rsidRPr="00382EF7">
        <w:rPr>
          <w:rFonts w:eastAsia="Calibri" w:cs="Tahoma"/>
          <w:bCs/>
          <w:color w:val="auto"/>
          <w:lang w:val="es-ES"/>
        </w:rPr>
        <w:t xml:space="preserve">Además, </w:t>
      </w:r>
      <w:r w:rsidRPr="00382EF7">
        <w:rPr>
          <w:rFonts w:eastAsia="Calibri" w:cs="Tahoma"/>
          <w:bCs/>
          <w:color w:val="auto"/>
        </w:rPr>
        <w:t xml:space="preserve">el Instructivo de llenado del Formato “Personal de Seguridad Pública”, del Secretariado Ejecutivo del Sistema Nacional de Seguridad Pública (consultado el veintidós de marzo de dos mil veintitrés, a las dieciséis horas, en la liga electrónica </w:t>
      </w:r>
      <w:hyperlink w:history="1" r:id="rId14">
        <w:r w:rsidRPr="00382EF7">
          <w:rPr>
            <w:rFonts w:eastAsia="Calibri" w:cs="Tahoma"/>
            <w:bCs/>
            <w:color w:val="0563C1"/>
            <w:u w:val="single"/>
          </w:rPr>
          <w:t>http://secretariadoejecutivo.gob.mx/work/models/SecretariadoEjecutivo/Resource/328/1/images/instructivo_final_edo_fuerza(1).pdf</w:t>
        </w:r>
      </w:hyperlink>
      <w:r w:rsidRPr="00382EF7">
        <w:rPr>
          <w:rFonts w:eastAsia="Calibri" w:cs="Tahoma"/>
          <w:bCs/>
          <w:color w:val="auto"/>
        </w:rPr>
        <w:t xml:space="preserve">), establece que los elementos operativos de seguridad pública, son aquellos que desempeñan funciones de campo (policiacas, especializadas o equivalentes y que no </w:t>
      </w:r>
      <w:r w:rsidRPr="00382EF7">
        <w:rPr>
          <w:rFonts w:eastAsia="Calibri" w:cs="Tahoma"/>
          <w:b/>
          <w:bCs/>
          <w:color w:val="auto"/>
        </w:rPr>
        <w:t>desempeña funciones de mando</w:t>
      </w:r>
      <w:r w:rsidRPr="00382EF7">
        <w:rPr>
          <w:rFonts w:eastAsia="Calibri" w:cs="Tahoma"/>
          <w:bCs/>
          <w:color w:val="auto"/>
        </w:rPr>
        <w:t xml:space="preserve">), entre los cuales, se encuentra </w:t>
      </w:r>
      <w:r w:rsidRPr="00382EF7">
        <w:rPr>
          <w:rFonts w:eastAsia="Calibri" w:cs="Tahoma"/>
          <w:b/>
          <w:bCs/>
          <w:color w:val="auto"/>
        </w:rPr>
        <w:t>la Policía Municipal</w:t>
      </w:r>
      <w:r w:rsidRPr="00382EF7">
        <w:rPr>
          <w:rFonts w:eastAsia="Calibri" w:cs="Tahoma"/>
          <w:bCs/>
          <w:color w:val="auto"/>
        </w:rPr>
        <w:t>.</w:t>
      </w:r>
    </w:p>
    <w:p w:rsidRPr="00382EF7" w:rsidR="00E02D46" w:rsidP="006935C8" w:rsidRDefault="00E02D46" w14:paraId="63D95377" w14:textId="77777777">
      <w:pPr>
        <w:tabs>
          <w:tab w:val="left" w:pos="4962"/>
        </w:tabs>
        <w:spacing w:after="0" w:line="360" w:lineRule="auto"/>
        <w:ind w:right="-28"/>
        <w:rPr>
          <w:rFonts w:eastAsia="Calibri" w:cs="Tahoma"/>
          <w:bCs/>
          <w:color w:val="auto"/>
        </w:rPr>
      </w:pPr>
    </w:p>
    <w:p w:rsidRPr="00382EF7" w:rsidR="00E02D46" w:rsidP="006935C8" w:rsidRDefault="00E02D46" w14:paraId="2363E728" w14:textId="77777777">
      <w:pPr>
        <w:tabs>
          <w:tab w:val="left" w:pos="4962"/>
        </w:tabs>
        <w:spacing w:after="0" w:line="360" w:lineRule="auto"/>
        <w:ind w:right="-28"/>
        <w:rPr>
          <w:rFonts w:eastAsia="Calibri" w:cs="Tahoma"/>
          <w:bCs/>
          <w:color w:val="auto"/>
        </w:rPr>
      </w:pPr>
      <w:r w:rsidRPr="00382EF7">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382EF7" w:rsidR="00E02D46" w:rsidP="006935C8" w:rsidRDefault="00E02D46" w14:paraId="4AA7A4B9" w14:textId="77777777">
      <w:pPr>
        <w:spacing w:after="0" w:line="360" w:lineRule="auto"/>
        <w:rPr>
          <w:rFonts w:eastAsia="Calibri" w:cs="Tahoma"/>
          <w:bCs/>
          <w:color w:val="auto"/>
        </w:rPr>
      </w:pPr>
    </w:p>
    <w:p w:rsidRPr="00382EF7" w:rsidR="00E02D46" w:rsidP="006935C8" w:rsidRDefault="00E02D46" w14:paraId="1C673A15" w14:textId="0C7986B6">
      <w:pPr>
        <w:spacing w:after="0" w:line="360" w:lineRule="auto"/>
        <w:rPr>
          <w:rFonts w:eastAsia="Calibri" w:cs="Tahoma"/>
          <w:bCs/>
          <w:color w:val="auto"/>
        </w:rPr>
      </w:pPr>
      <w:r w:rsidRPr="00382EF7">
        <w:rPr>
          <w:rFonts w:eastAsia="Calibri" w:cs="Tahoma"/>
          <w:bCs/>
          <w:color w:val="auto"/>
        </w:rPr>
        <w:t xml:space="preserve">De tales circunstancias, se puede observar que la </w:t>
      </w:r>
      <w:r w:rsidRPr="00382EF7">
        <w:t>Dirección de Seguridad Ciudadana y Movilidad</w:t>
      </w:r>
      <w:r w:rsidRPr="00382EF7">
        <w:rPr>
          <w:rFonts w:eastAsia="Calibri" w:cs="Tahoma"/>
          <w:bCs/>
          <w:color w:val="auto"/>
        </w:rPr>
        <w:t>, tiene dos clases de servidores públicos, por una parte, los operativos (policía municipal) y por otra, los administrativos, de apoyo y personal de mando, los cuales no realizan funciones operativas.</w:t>
      </w:r>
    </w:p>
    <w:p w:rsidRPr="00382EF7" w:rsidR="00E02D46" w:rsidP="006935C8" w:rsidRDefault="00E02D46" w14:paraId="3F2BE82F" w14:textId="77777777">
      <w:pPr>
        <w:spacing w:after="0" w:line="360" w:lineRule="auto"/>
        <w:rPr>
          <w:rFonts w:eastAsia="Calibri" w:cs="Tahoma"/>
          <w:bCs/>
          <w:color w:val="auto"/>
        </w:rPr>
      </w:pPr>
    </w:p>
    <w:p w:rsidRPr="00382EF7" w:rsidR="00E02D46" w:rsidP="006935C8" w:rsidRDefault="00E02D46" w14:paraId="12772187" w14:textId="77777777">
      <w:pPr>
        <w:spacing w:after="0" w:line="360" w:lineRule="auto"/>
        <w:rPr>
          <w:rFonts w:eastAsia="Calibri" w:cs="Tahoma"/>
          <w:bCs/>
          <w:color w:val="auto"/>
        </w:rPr>
      </w:pPr>
      <w:r w:rsidRPr="00382EF7">
        <w:rPr>
          <w:rFonts w:eastAsia="Calibri" w:cs="Tahoma"/>
          <w:bCs/>
          <w:color w:val="auto"/>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382EF7" w:rsidR="00E02D46" w:rsidP="006935C8" w:rsidRDefault="00E02D46" w14:paraId="7F4DF255" w14:textId="77777777">
      <w:pPr>
        <w:spacing w:after="0" w:line="360" w:lineRule="auto"/>
        <w:rPr>
          <w:rFonts w:eastAsia="Calibri" w:cs="Tahoma"/>
          <w:bCs/>
          <w:color w:val="auto"/>
        </w:rPr>
      </w:pPr>
    </w:p>
    <w:p w:rsidRPr="00382EF7" w:rsidR="00E02D46" w:rsidP="006935C8" w:rsidRDefault="00E02D46" w14:paraId="6C56B338" w14:textId="27656745">
      <w:pPr>
        <w:spacing w:after="0" w:line="360" w:lineRule="auto"/>
        <w:rPr>
          <w:rFonts w:eastAsia="Calibri" w:cs="Tahoma"/>
          <w:bCs/>
          <w:color w:val="auto"/>
        </w:rPr>
      </w:pPr>
      <w:r w:rsidRPr="00382EF7">
        <w:rPr>
          <w:rFonts w:eastAsia="Calibri" w:cs="Tahoma"/>
          <w:bCs/>
          <w:color w:val="auto"/>
        </w:rPr>
        <w:t xml:space="preserve">Lo anterior, se robustece con las Cifras de Incidencia Delictiva Municipal 2015-2021, publicado por el Secretariado Ejecutivo del Sistema Nacional de Seguridad Pública, en la página </w:t>
      </w:r>
      <w:hyperlink w:history="1" r:id="rId15">
        <w:r w:rsidRPr="00382EF7">
          <w:rPr>
            <w:rFonts w:eastAsia="Times New Roman" w:cs="Times New Roman"/>
            <w:color w:val="0563C1"/>
            <w:u w:val="single"/>
            <w:lang w:eastAsia="es-ES"/>
          </w:rPr>
          <w:t>https://www.gob.mx/sesnsp/acciones-y-programas/incidencia-delictiva-del-fuero-comun-nueva-metodologia?state=published</w:t>
        </w:r>
      </w:hyperlink>
      <w:r w:rsidRPr="00382EF7">
        <w:rPr>
          <w:rFonts w:eastAsia="Calibri" w:cs="Tahoma"/>
          <w:bCs/>
          <w:color w:val="auto"/>
        </w:rPr>
        <w:t xml:space="preserve"> (consultado el veintidós de marzo de dos mil veintitrés, a las dieciocho horas con tres minutos) de cual se desprenden algunos delitos que se han cometido en el Municipio de Metepec, tales como </w:t>
      </w:r>
      <w:r w:rsidRPr="00382EF7">
        <w:rPr>
          <w:rFonts w:eastAsia="Calibri" w:cs="Tahoma"/>
          <w:b/>
          <w:color w:val="auto"/>
        </w:rPr>
        <w:t>homicidio,</w:t>
      </w:r>
      <w:r w:rsidRPr="00382EF7">
        <w:rPr>
          <w:rFonts w:eastAsia="Calibri" w:cs="Tahoma"/>
          <w:bCs/>
          <w:color w:val="auto"/>
        </w:rPr>
        <w:t xml:space="preserve"> </w:t>
      </w:r>
      <w:r w:rsidRPr="00382EF7">
        <w:rPr>
          <w:rFonts w:eastAsia="Calibri" w:cs="Tahoma"/>
          <w:b/>
          <w:color w:val="auto"/>
        </w:rPr>
        <w:t>lesiones,</w:t>
      </w:r>
      <w:r w:rsidRPr="00382EF7" w:rsidR="00F257AC">
        <w:rPr>
          <w:rFonts w:eastAsia="Calibri" w:cs="Tahoma"/>
          <w:b/>
          <w:color w:val="auto"/>
        </w:rPr>
        <w:t xml:space="preserve"> abuso sexual, violación,</w:t>
      </w:r>
      <w:r w:rsidRPr="00382EF7">
        <w:rPr>
          <w:rFonts w:eastAsia="Calibri" w:cs="Tahoma"/>
          <w:bCs/>
          <w:color w:val="auto"/>
        </w:rPr>
        <w:t xml:space="preserve"> </w:t>
      </w:r>
      <w:r w:rsidRPr="00382EF7">
        <w:rPr>
          <w:rFonts w:eastAsia="Calibri" w:cs="Tahoma"/>
          <w:b/>
          <w:bCs/>
          <w:color w:val="auto"/>
        </w:rPr>
        <w:t xml:space="preserve">robo, </w:t>
      </w:r>
      <w:r w:rsidRPr="00382EF7" w:rsidR="00F257AC">
        <w:rPr>
          <w:rFonts w:eastAsia="Calibri" w:cs="Tahoma"/>
          <w:b/>
          <w:bCs/>
          <w:color w:val="auto"/>
        </w:rPr>
        <w:t>fraude</w:t>
      </w:r>
      <w:r w:rsidRPr="00382EF7">
        <w:rPr>
          <w:rFonts w:eastAsia="Calibri" w:cs="Tahoma"/>
          <w:b/>
          <w:bCs/>
          <w:color w:val="auto"/>
        </w:rPr>
        <w:t>, extorsión, daño a propiedad, violencia familia</w:t>
      </w:r>
      <w:r w:rsidRPr="00382EF7" w:rsidR="00F257AC">
        <w:rPr>
          <w:rFonts w:eastAsia="Calibri" w:cs="Tahoma"/>
          <w:b/>
          <w:bCs/>
          <w:color w:val="auto"/>
        </w:rPr>
        <w:t xml:space="preserve">r </w:t>
      </w:r>
      <w:r w:rsidRPr="00382EF7">
        <w:rPr>
          <w:rFonts w:eastAsia="Calibri" w:cs="Tahoma"/>
          <w:b/>
          <w:bCs/>
          <w:color w:val="auto"/>
        </w:rPr>
        <w:t>y narcomenudeo,</w:t>
      </w:r>
      <w:r w:rsidRPr="00382EF7">
        <w:rPr>
          <w:rFonts w:eastAsia="Calibri" w:cs="Tahoma"/>
          <w:bCs/>
          <w:color w:val="auto"/>
        </w:rPr>
        <w:t xml:space="preserve"> hechos que pueden llegar a ser atendidos directamente por este personal operativo en apoyo de los afectados o incluso de las autoridades encargadas de la procuración de justicia. </w:t>
      </w:r>
    </w:p>
    <w:p w:rsidRPr="00382EF7" w:rsidR="00E02D46" w:rsidP="006935C8" w:rsidRDefault="00E02D46" w14:paraId="55264D6D" w14:textId="77777777">
      <w:pPr>
        <w:spacing w:after="0" w:line="360" w:lineRule="auto"/>
        <w:rPr>
          <w:rFonts w:eastAsia="Calibri" w:cs="Tahoma"/>
          <w:bCs/>
          <w:color w:val="auto"/>
        </w:rPr>
      </w:pPr>
    </w:p>
    <w:p w:rsidRPr="00382EF7" w:rsidR="00E02D46" w:rsidP="006935C8" w:rsidRDefault="00E02D46" w14:paraId="39751F99" w14:textId="77777777">
      <w:pPr>
        <w:spacing w:after="0" w:line="360" w:lineRule="auto"/>
        <w:rPr>
          <w:rFonts w:eastAsia="Calibri" w:cs="Tahoma"/>
          <w:bCs/>
          <w:color w:val="auto"/>
        </w:rPr>
      </w:pPr>
      <w:r w:rsidRPr="00382EF7">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382EF7" w:rsidR="00F257AC" w:rsidP="006935C8" w:rsidRDefault="00F257AC" w14:paraId="3AE0EBC9" w14:textId="60BD917A">
      <w:pPr>
        <w:spacing w:after="0" w:line="360" w:lineRule="auto"/>
        <w:rPr>
          <w:rFonts w:eastAsia="Calibri" w:cs="Tahoma"/>
          <w:b/>
          <w:iCs/>
          <w:color w:val="auto"/>
          <w:lang w:val="es-ES" w:eastAsia="es-ES_tradnl"/>
        </w:rPr>
      </w:pPr>
      <w:r w:rsidRPr="00382EF7">
        <w:rPr>
          <w:rFonts w:eastAsia="Calibri" w:cs="Tahoma"/>
          <w:bCs/>
          <w:color w:val="auto"/>
        </w:rPr>
        <w:lastRenderedPageBreak/>
        <w:t xml:space="preserve">Por tales consideraciones, </w:t>
      </w:r>
      <w:r w:rsidRPr="00382EF7">
        <w:rPr>
          <w:rFonts w:eastAsia="Calibri" w:cs="Tahoma"/>
          <w:b/>
          <w:bCs/>
          <w:color w:val="auto"/>
        </w:rPr>
        <w:t xml:space="preserve">resulta procedente la reserva del nombre de los elementos operativos de la Dirección de Seguridad Ciudadana y Movilidad, en términos del artículo 140, fracción IV, de </w:t>
      </w:r>
      <w:r w:rsidRPr="00382EF7">
        <w:rPr>
          <w:rFonts w:eastAsia="Calibri" w:cs="Tahoma"/>
          <w:b/>
          <w:iCs/>
          <w:color w:val="auto"/>
          <w:lang w:val="es-ES" w:eastAsia="es-ES_tradnl"/>
        </w:rPr>
        <w:t>de la Ley de Transparencia y Acceso a la Información Pública del Estado de México y Municipios.</w:t>
      </w:r>
    </w:p>
    <w:p w:rsidRPr="00382EF7" w:rsidR="00F257AC" w:rsidP="006935C8" w:rsidRDefault="00F257AC" w14:paraId="030CA284" w14:textId="77777777">
      <w:pPr>
        <w:spacing w:after="0" w:line="360" w:lineRule="auto"/>
        <w:rPr>
          <w:rFonts w:eastAsia="Calibri" w:cs="Tahoma"/>
          <w:bCs/>
          <w:color w:val="auto"/>
        </w:rPr>
      </w:pPr>
    </w:p>
    <w:p w:rsidRPr="00382EF7" w:rsidR="00F257AC" w:rsidP="006935C8" w:rsidRDefault="00F257AC" w14:paraId="77CC4912" w14:textId="6DCF0C61">
      <w:pPr>
        <w:spacing w:after="0" w:line="360" w:lineRule="auto"/>
        <w:contextualSpacing/>
        <w:rPr>
          <w:rFonts w:eastAsia="Calibri" w:cs="Tahoma"/>
          <w:bCs/>
          <w:color w:val="auto"/>
        </w:rPr>
      </w:pPr>
      <w:r w:rsidRPr="00382EF7">
        <w:rPr>
          <w:rFonts w:eastAsia="Calibri" w:cs="Tahoma"/>
          <w:bCs/>
          <w:color w:val="auto"/>
        </w:rPr>
        <w:t xml:space="preserve">Lo anterior, toma relevancia pues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382EF7">
        <w:rPr>
          <w:rFonts w:cs="Tahoma"/>
          <w:bCs/>
          <w:lang w:val="es-ES_tradnl"/>
        </w:rPr>
        <w:t>Dirección de Seguridad Pública y Tránsito</w:t>
      </w:r>
      <w:r w:rsidRPr="00382EF7">
        <w:rPr>
          <w:rFonts w:eastAsia="Calibri" w:cs="Tahoma"/>
          <w:bCs/>
          <w:color w:val="auto"/>
        </w:rPr>
        <w:t>.</w:t>
      </w:r>
    </w:p>
    <w:p w:rsidRPr="00382EF7" w:rsidR="00F257AC" w:rsidP="006935C8" w:rsidRDefault="00F257AC" w14:paraId="731C30FF" w14:textId="77777777">
      <w:pPr>
        <w:spacing w:after="0" w:line="360" w:lineRule="auto"/>
        <w:ind w:left="720"/>
        <w:contextualSpacing/>
        <w:rPr>
          <w:rFonts w:eastAsia="Calibri" w:cs="Tahoma"/>
          <w:bCs/>
          <w:color w:val="auto"/>
        </w:rPr>
      </w:pPr>
    </w:p>
    <w:p w:rsidRPr="00382EF7" w:rsidR="00F257AC" w:rsidP="006935C8" w:rsidRDefault="00F257AC" w14:paraId="1B909169" w14:textId="45C24EEF">
      <w:pPr>
        <w:spacing w:after="0" w:line="360" w:lineRule="auto"/>
        <w:contextualSpacing/>
        <w:rPr>
          <w:rFonts w:eastAsia="Calibri" w:cs="Tahoma"/>
          <w:b/>
          <w:bCs/>
          <w:color w:val="auto"/>
        </w:rPr>
      </w:pPr>
      <w:r w:rsidRPr="00382EF7">
        <w:rPr>
          <w:rFonts w:eastAsia="Calibri" w:cs="Tahoma"/>
          <w:bCs/>
          <w:color w:val="auto"/>
        </w:rPr>
        <w:t xml:space="preserve">Además, que la divulgación de la información supera el interés público general,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382EF7">
        <w:rPr>
          <w:rFonts w:eastAsia="Calibri" w:cs="Tahoma"/>
          <w:b/>
          <w:bCs/>
          <w:color w:val="auto"/>
        </w:rPr>
        <w:t>vulnerando así, el interés general.</w:t>
      </w:r>
    </w:p>
    <w:p w:rsidRPr="00382EF7" w:rsidR="00F257AC" w:rsidP="006935C8" w:rsidRDefault="00F257AC" w14:paraId="14273CD8" w14:textId="77777777">
      <w:pPr>
        <w:spacing w:after="0" w:line="360" w:lineRule="auto"/>
        <w:ind w:left="720"/>
        <w:contextualSpacing/>
        <w:rPr>
          <w:rFonts w:eastAsia="Calibri" w:cs="Tahoma"/>
          <w:bCs/>
          <w:color w:val="auto"/>
        </w:rPr>
      </w:pPr>
    </w:p>
    <w:p w:rsidRPr="00382EF7" w:rsidR="00F257AC" w:rsidP="006935C8" w:rsidRDefault="00F257AC" w14:paraId="4055D9D3" w14:textId="1B5738ED">
      <w:pPr>
        <w:spacing w:after="0" w:line="360" w:lineRule="auto"/>
        <w:contextualSpacing/>
        <w:rPr>
          <w:rFonts w:eastAsia="Calibri" w:cs="Tahoma"/>
          <w:bCs/>
          <w:color w:val="auto"/>
        </w:rPr>
      </w:pPr>
      <w:r w:rsidRPr="00382EF7">
        <w:rPr>
          <w:rFonts w:eastAsia="Calibri" w:cs="Tahoma"/>
          <w:bCs/>
          <w:color w:val="auto"/>
        </w:rPr>
        <w:t>Asimismo, la reserva se traduce en el medio menos restrictivo al derecho de acceso a la información, en virtud de que la misma prevalece al proteger alguno de los derechos más importantes, como lo son la vida, la salud y la seguridad de los servidores públicos, sus familiares e inclusive de su entorno social, ya que la policía municipal ayuda a mantener el orden público y la paz social, así como la prevención de la comisión de cualquier delito, inhibiendo la manifestación de conductas antisociales.</w:t>
      </w:r>
    </w:p>
    <w:p w:rsidRPr="00382EF7" w:rsidR="00F257AC" w:rsidP="006935C8" w:rsidRDefault="00F257AC" w14:paraId="16C35A3A" w14:textId="77777777">
      <w:pPr>
        <w:spacing w:after="0" w:line="360" w:lineRule="auto"/>
        <w:rPr>
          <w:rFonts w:eastAsia="Calibri" w:cs="Tahoma"/>
          <w:bCs/>
          <w:color w:val="auto"/>
        </w:rPr>
      </w:pPr>
    </w:p>
    <w:p w:rsidRPr="00382EF7" w:rsidR="00E02D46" w:rsidP="006935C8" w:rsidRDefault="00F257AC" w14:paraId="78C72DB6" w14:textId="6A69DB71">
      <w:pPr>
        <w:spacing w:after="0" w:line="360" w:lineRule="auto"/>
        <w:rPr>
          <w:rFonts w:eastAsia="Calibri" w:cs="Tahoma"/>
          <w:iCs/>
          <w:color w:val="auto"/>
          <w:lang w:val="es-ES" w:eastAsia="es-ES_tradnl"/>
        </w:rPr>
      </w:pPr>
      <w:r w:rsidRPr="00382EF7">
        <w:rPr>
          <w:rFonts w:eastAsia="Calibri" w:cs="Tahoma"/>
          <w:bCs/>
          <w:color w:val="auto"/>
        </w:rPr>
        <w:lastRenderedPageBreak/>
        <w:t>Conforme a lo anterior, el Sujeto Obligado deberá fundar y motivar la reserva del nombre de los elementos operativos; s</w:t>
      </w:r>
      <w:proofErr w:type="spellStart"/>
      <w:r w:rsidRPr="00382EF7" w:rsidR="00E02D46">
        <w:rPr>
          <w:rFonts w:eastAsia="Calibri" w:cs="Tahoma"/>
          <w:iCs/>
          <w:color w:val="auto"/>
          <w:lang w:val="es-ES" w:eastAsia="es-ES_tradnl"/>
        </w:rPr>
        <w:t>obre</w:t>
      </w:r>
      <w:proofErr w:type="spellEnd"/>
      <w:r w:rsidRPr="00382EF7" w:rsidR="00E02D46">
        <w:rPr>
          <w:rFonts w:eastAsia="Calibri" w:cs="Tahoma"/>
          <w:iCs/>
          <w:color w:val="auto"/>
          <w:lang w:val="es-ES" w:eastAsia="es-ES_tradnl"/>
        </w:rPr>
        <w:t xml:space="preserv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382EF7" w:rsidR="00E02D46" w:rsidP="006935C8" w:rsidRDefault="00E02D46" w14:paraId="0C318DDD" w14:textId="77777777">
      <w:pPr>
        <w:tabs>
          <w:tab w:val="left" w:pos="4962"/>
        </w:tabs>
        <w:spacing w:after="0" w:line="360" w:lineRule="auto"/>
        <w:rPr>
          <w:rFonts w:eastAsia="Calibri" w:cs="Tahoma"/>
          <w:iCs/>
          <w:color w:val="auto"/>
          <w:lang w:val="es-ES" w:eastAsia="es-ES_tradnl"/>
        </w:rPr>
      </w:pPr>
    </w:p>
    <w:p w:rsidRPr="00382EF7" w:rsidR="00E02D46" w:rsidP="006935C8" w:rsidRDefault="00E02D46" w14:paraId="641C1CBE" w14:textId="77777777">
      <w:pPr>
        <w:numPr>
          <w:ilvl w:val="0"/>
          <w:numId w:val="18"/>
        </w:numPr>
        <w:tabs>
          <w:tab w:val="left" w:pos="4962"/>
        </w:tabs>
        <w:spacing w:after="0" w:line="360" w:lineRule="auto"/>
        <w:jc w:val="left"/>
        <w:rPr>
          <w:rFonts w:eastAsia="Calibri" w:cs="Tahoma"/>
          <w:iCs/>
          <w:color w:val="auto"/>
          <w:lang w:val="es-ES_tradnl" w:eastAsia="es-ES_tradnl"/>
        </w:rPr>
      </w:pPr>
      <w:r w:rsidRPr="00382EF7">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rsidRPr="00382EF7" w:rsidR="00E02D46" w:rsidP="006935C8" w:rsidRDefault="00E02D46" w14:paraId="5C4B3CBD" w14:textId="77777777">
      <w:pPr>
        <w:numPr>
          <w:ilvl w:val="0"/>
          <w:numId w:val="18"/>
        </w:numPr>
        <w:tabs>
          <w:tab w:val="left" w:pos="4962"/>
        </w:tabs>
        <w:spacing w:after="0" w:line="360" w:lineRule="auto"/>
        <w:jc w:val="left"/>
        <w:rPr>
          <w:rFonts w:eastAsia="Calibri" w:cs="Tahoma"/>
          <w:iCs/>
          <w:color w:val="auto"/>
          <w:lang w:val="es-ES_tradnl" w:eastAsia="es-ES_tradnl"/>
        </w:rPr>
      </w:pPr>
      <w:r w:rsidRPr="00382EF7">
        <w:rPr>
          <w:rFonts w:eastAsia="Calibri" w:cs="Tahoma"/>
          <w:iCs/>
          <w:color w:val="auto"/>
          <w:lang w:val="es-ES_tradnl" w:eastAsia="es-ES_tradnl"/>
        </w:rPr>
        <w:t>El riesgo de perjuicio supera el interés público general de que se difunda.</w:t>
      </w:r>
    </w:p>
    <w:p w:rsidRPr="00382EF7" w:rsidR="00E02D46" w:rsidP="006935C8" w:rsidRDefault="00E02D46" w14:paraId="5C377574" w14:textId="77777777">
      <w:pPr>
        <w:numPr>
          <w:ilvl w:val="0"/>
          <w:numId w:val="18"/>
        </w:numPr>
        <w:tabs>
          <w:tab w:val="left" w:pos="4962"/>
        </w:tabs>
        <w:spacing w:after="0" w:line="360" w:lineRule="auto"/>
        <w:jc w:val="left"/>
        <w:rPr>
          <w:rFonts w:eastAsia="Calibri" w:cs="Tahoma"/>
          <w:iCs/>
          <w:color w:val="auto"/>
          <w:lang w:val="es-ES_tradnl" w:eastAsia="es-ES_tradnl"/>
        </w:rPr>
      </w:pPr>
      <w:r w:rsidRPr="00382EF7">
        <w:rPr>
          <w:rFonts w:eastAsia="Calibri" w:cs="Tahoma"/>
          <w:iCs/>
          <w:color w:val="auto"/>
          <w:lang w:val="es-ES_tradnl" w:eastAsia="es-ES_tradnl"/>
        </w:rPr>
        <w:t>Que la limitación se adecua al principio de proporcionalidad y representa el medio menos restrictivo disponible para evitar el perjuicio.</w:t>
      </w:r>
    </w:p>
    <w:p w:rsidRPr="00382EF7" w:rsidR="006935C8" w:rsidP="006935C8" w:rsidRDefault="006935C8" w14:paraId="04A8E1C1" w14:textId="77777777">
      <w:pPr>
        <w:spacing w:after="0" w:line="360" w:lineRule="auto"/>
        <w:rPr>
          <w:rFonts w:eastAsia="Calibri" w:cs="Tahoma"/>
          <w:iCs/>
          <w:color w:val="auto"/>
          <w:lang w:eastAsia="es-ES_tradnl"/>
        </w:rPr>
      </w:pPr>
    </w:p>
    <w:p w:rsidRPr="00382EF7" w:rsidR="00E02D46" w:rsidP="006935C8" w:rsidRDefault="00F257AC" w14:paraId="5E9A6AE6" w14:textId="51DCAAC5">
      <w:pPr>
        <w:autoSpaceDE w:val="0"/>
        <w:autoSpaceDN w:val="0"/>
        <w:spacing w:after="0" w:line="360" w:lineRule="auto"/>
        <w:rPr>
          <w:rFonts w:eastAsia="Times New Roman" w:cs="Tahoma"/>
          <w:color w:val="auto"/>
          <w:lang w:eastAsia="es-ES"/>
        </w:rPr>
      </w:pPr>
      <w:r w:rsidRPr="00382EF7">
        <w:rPr>
          <w:rFonts w:eastAsia="Calibri" w:cs="Tahoma"/>
          <w:iCs/>
          <w:color w:val="auto"/>
          <w:lang w:val="es-ES" w:eastAsia="es-ES_tradnl"/>
        </w:rPr>
        <w:t>Además</w:t>
      </w:r>
      <w:r w:rsidRPr="00382EF7" w:rsidR="00E02D46">
        <w:rPr>
          <w:rFonts w:eastAsia="Calibri" w:cs="Tahoma"/>
          <w:iCs/>
          <w:color w:val="auto"/>
          <w:lang w:val="es-ES" w:eastAsia="es-ES_tradnl"/>
        </w:rPr>
        <w:t>,</w:t>
      </w:r>
      <w:r w:rsidRPr="00382EF7" w:rsidR="00E02D46">
        <w:rPr>
          <w:rFonts w:eastAsia="Calibri" w:cs="Tahoma"/>
          <w:b/>
          <w:iCs/>
          <w:color w:val="auto"/>
          <w:lang w:val="es-ES" w:eastAsia="es-ES_tradnl"/>
        </w:rPr>
        <w:t xml:space="preserve"> </w:t>
      </w:r>
      <w:r w:rsidRPr="00382EF7" w:rsidR="00E02D46">
        <w:rPr>
          <w:rFonts w:eastAsia="Calibri" w:cs="Tahoma"/>
          <w:bCs/>
          <w:color w:val="auto"/>
        </w:rPr>
        <w:t xml:space="preserve">respecto al plazo de reserva, el artículo 125 de la Ley de la materia, establece </w:t>
      </w:r>
      <w:r w:rsidRPr="00382EF7" w:rsidR="00E02D46">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382EF7" w:rsidR="00E02D46">
        <w:rPr>
          <w:rFonts w:eastAsia="Times New Roman" w:cs="Tahoma"/>
          <w:color w:val="auto"/>
          <w:lang w:eastAsia="es-ES"/>
        </w:rPr>
        <w:t>versiones públicas, deberá clasificar el nombre de los elementos operativos en materia de seguridad, y proporcionar, su respectivo acuerdo de Clasificación.</w:t>
      </w:r>
    </w:p>
    <w:p w:rsidRPr="00382EF7" w:rsidR="00E02D46" w:rsidP="006935C8" w:rsidRDefault="00E02D46" w14:paraId="6503E8F9" w14:textId="77777777">
      <w:pPr>
        <w:autoSpaceDE w:val="0"/>
        <w:autoSpaceDN w:val="0"/>
        <w:spacing w:after="0" w:line="360" w:lineRule="auto"/>
        <w:rPr>
          <w:rFonts w:eastAsia="Times New Roman" w:cs="Tahoma"/>
          <w:bCs/>
          <w:color w:val="auto"/>
          <w:lang w:eastAsia="es-ES"/>
        </w:rPr>
      </w:pPr>
    </w:p>
    <w:p w:rsidRPr="00382EF7" w:rsidR="00E02D46" w:rsidP="006935C8" w:rsidRDefault="00E02D46" w14:paraId="620D761E" w14:textId="180CB4C8">
      <w:pPr>
        <w:spacing w:after="0" w:line="360" w:lineRule="auto"/>
        <w:rPr>
          <w:rFonts w:eastAsia="Times New Roman" w:cs="Tahoma"/>
          <w:bCs/>
          <w:iCs/>
          <w:color w:val="auto"/>
          <w:lang w:val="es-ES" w:eastAsia="es-ES"/>
        </w:rPr>
      </w:pPr>
      <w:r w:rsidRPr="00382EF7">
        <w:rPr>
          <w:rFonts w:eastAsia="Times New Roman" w:cs="Tahoma"/>
          <w:bCs/>
          <w:iCs/>
          <w:color w:val="auto"/>
          <w:lang w:val="es-ES_tradnl" w:eastAsia="es-ES"/>
        </w:rPr>
        <w:t xml:space="preserve">No pasa desapercibido para este Instituto que </w:t>
      </w:r>
      <w:r w:rsidRPr="00382EF7" w:rsidR="00F257AC">
        <w:rPr>
          <w:rFonts w:eastAsia="Times New Roman" w:cs="Tahoma"/>
          <w:bCs/>
          <w:iCs/>
          <w:color w:val="auto"/>
          <w:lang w:val="es-ES_tradnl" w:eastAsia="es-ES"/>
        </w:rPr>
        <w:t>los documentos</w:t>
      </w:r>
      <w:r w:rsidRPr="00382EF7">
        <w:rPr>
          <w:rFonts w:eastAsia="Times New Roman" w:cs="Tahoma"/>
          <w:bCs/>
          <w:iCs/>
          <w:color w:val="auto"/>
          <w:lang w:val="es-ES_tradnl" w:eastAsia="es-ES"/>
        </w:rPr>
        <w:t>, pudieran contener datos o información clasificada; a</w:t>
      </w:r>
      <w:r w:rsidRPr="00382EF7">
        <w:rPr>
          <w:rFonts w:eastAsia="Times New Roman" w:cs="Tahoma"/>
          <w:bCs/>
          <w:iCs/>
          <w:color w:val="auto"/>
          <w:lang w:val="es-ES" w:eastAsia="es-ES"/>
        </w:rPr>
        <w:t xml:space="preserve">l respecto, conforme al artículo 3°, fracción XLV, relacionado con el </w:t>
      </w:r>
      <w:r w:rsidRPr="00382EF7">
        <w:rPr>
          <w:rFonts w:eastAsia="Times New Roman" w:cs="Tahoma"/>
          <w:bCs/>
          <w:iCs/>
          <w:color w:val="auto"/>
          <w:lang w:val="es-ES" w:eastAsia="es-ES"/>
        </w:rPr>
        <w:lastRenderedPageBreak/>
        <w:t>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382EF7" w:rsidR="00E02D46" w:rsidP="006935C8" w:rsidRDefault="00E02D46" w14:paraId="397938B0" w14:textId="77777777">
      <w:pPr>
        <w:spacing w:after="0" w:line="360" w:lineRule="auto"/>
        <w:rPr>
          <w:rFonts w:eastAsia="Times New Roman" w:cs="Tahoma"/>
          <w:bCs/>
          <w:iCs/>
          <w:color w:val="auto"/>
          <w:lang w:val="es-ES" w:eastAsia="es-ES"/>
        </w:rPr>
      </w:pPr>
    </w:p>
    <w:p w:rsidRPr="00382EF7" w:rsidR="00E02D46" w:rsidP="006935C8" w:rsidRDefault="00E02D46" w14:paraId="7A807EF7" w14:textId="77777777">
      <w:pPr>
        <w:spacing w:after="0" w:line="360" w:lineRule="auto"/>
        <w:rPr>
          <w:rFonts w:eastAsia="Times New Roman" w:cs="Tahoma"/>
          <w:bCs/>
          <w:iCs/>
          <w:color w:val="auto"/>
          <w:lang w:val="es-ES" w:eastAsia="es-ES"/>
        </w:rPr>
      </w:pPr>
      <w:r w:rsidRPr="00382EF7">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382EF7" w:rsidR="00E02D46" w:rsidP="006935C8" w:rsidRDefault="00E02D46" w14:paraId="16A5FD9D" w14:textId="77777777">
      <w:pPr>
        <w:spacing w:after="0" w:line="360" w:lineRule="auto"/>
        <w:contextualSpacing/>
        <w:rPr>
          <w:rFonts w:cs="Tahoma"/>
          <w:lang w:eastAsia="es-ES"/>
        </w:rPr>
      </w:pPr>
    </w:p>
    <w:p w:rsidRPr="00382EF7" w:rsidR="00CC6D06" w:rsidP="006935C8" w:rsidRDefault="00CC6D06" w14:paraId="394F2DD1" w14:textId="77777777">
      <w:pPr>
        <w:spacing w:after="0" w:line="360" w:lineRule="auto"/>
        <w:contextualSpacing/>
        <w:rPr>
          <w:rFonts w:eastAsia="Calibri" w:cs="Tahoma"/>
          <w:b/>
          <w:color w:val="000000"/>
        </w:rPr>
      </w:pPr>
      <w:r w:rsidRPr="00382EF7">
        <w:rPr>
          <w:rFonts w:eastAsia="Calibri" w:cs="Tahoma"/>
          <w:b/>
          <w:color w:val="000000"/>
        </w:rPr>
        <w:t xml:space="preserve">SEXTO. Decisión. </w:t>
      </w:r>
    </w:p>
    <w:p w:rsidRPr="00382EF7" w:rsidR="00CC6D06" w:rsidP="006935C8" w:rsidRDefault="00CC6D06" w14:paraId="2D9D83B8" w14:textId="77777777">
      <w:pPr>
        <w:spacing w:after="0" w:line="360" w:lineRule="auto"/>
        <w:contextualSpacing/>
        <w:rPr>
          <w:rFonts w:eastAsia="Times New Roman" w:cs="Tahoma"/>
          <w:color w:val="auto"/>
          <w:lang w:eastAsia="es-ES"/>
        </w:rPr>
      </w:pPr>
    </w:p>
    <w:p w:rsidRPr="00382EF7" w:rsidR="00F257AC" w:rsidP="006935C8" w:rsidRDefault="00CC6D06" w14:paraId="04835193" w14:textId="63B50FBD">
      <w:pPr>
        <w:tabs>
          <w:tab w:val="left" w:pos="4962"/>
        </w:tabs>
        <w:spacing w:after="0" w:line="360" w:lineRule="auto"/>
        <w:contextualSpacing/>
        <w:rPr>
          <w:rFonts w:eastAsia="Times New Roman" w:cs="Tahoma"/>
          <w:bCs/>
          <w:iCs/>
          <w:color w:val="auto"/>
          <w:lang w:val="es-ES" w:eastAsia="es-ES"/>
        </w:rPr>
      </w:pPr>
      <w:r w:rsidRPr="00382EF7">
        <w:rPr>
          <w:rFonts w:cs="Tahoma"/>
          <w:bCs/>
          <w:iCs/>
        </w:rPr>
        <w:t xml:space="preserve">Con fundamento en el artículo 186, fracción III, de la Ley de Transparencia y Acceso a la Información Pública del Estado de México y Municipios, este Instituto considera procedente </w:t>
      </w:r>
      <w:r w:rsidRPr="00382EF7" w:rsidR="00F257AC">
        <w:rPr>
          <w:rFonts w:cs="Tahoma"/>
          <w:b/>
          <w:bCs/>
          <w:iCs/>
        </w:rPr>
        <w:t xml:space="preserve">REVOCAR </w:t>
      </w:r>
      <w:r w:rsidRPr="00382EF7">
        <w:rPr>
          <w:rFonts w:cs="Tahoma"/>
          <w:bCs/>
          <w:iCs/>
        </w:rPr>
        <w:t>la respuesta otorgada por el Ayuntamiento de Melchor Ocampo, a la</w:t>
      </w:r>
      <w:r w:rsidRPr="00382EF7" w:rsidR="00ED6AAC">
        <w:rPr>
          <w:rFonts w:cs="Tahoma"/>
          <w:bCs/>
          <w:iCs/>
        </w:rPr>
        <w:t>s</w:t>
      </w:r>
      <w:r w:rsidRPr="00382EF7">
        <w:rPr>
          <w:rFonts w:cs="Tahoma"/>
          <w:bCs/>
          <w:iCs/>
        </w:rPr>
        <w:t xml:space="preserve"> solicitud</w:t>
      </w:r>
      <w:r w:rsidRPr="00382EF7" w:rsidR="00ED6AAC">
        <w:rPr>
          <w:rFonts w:cs="Tahoma"/>
          <w:bCs/>
          <w:iCs/>
        </w:rPr>
        <w:t>es</w:t>
      </w:r>
      <w:r w:rsidRPr="00382EF7">
        <w:rPr>
          <w:rFonts w:cs="Tahoma"/>
          <w:bCs/>
          <w:iCs/>
        </w:rPr>
        <w:t xml:space="preserve"> de acceso a la información pública con número</w:t>
      </w:r>
      <w:r w:rsidRPr="00382EF7" w:rsidR="00ED6AAC">
        <w:rPr>
          <w:rFonts w:cs="Tahoma"/>
          <w:bCs/>
          <w:iCs/>
        </w:rPr>
        <w:t>s</w:t>
      </w:r>
      <w:r w:rsidRPr="00382EF7">
        <w:rPr>
          <w:rFonts w:cs="Tahoma"/>
          <w:bCs/>
          <w:iCs/>
        </w:rPr>
        <w:t xml:space="preserve"> </w:t>
      </w:r>
      <w:r w:rsidRPr="00382EF7">
        <w:rPr>
          <w:color w:val="auto"/>
        </w:rPr>
        <w:t>00131/MELOCAM/IP/2022</w:t>
      </w:r>
      <w:r w:rsidRPr="00382EF7" w:rsidR="00ED6AAC">
        <w:rPr>
          <w:color w:val="auto"/>
        </w:rPr>
        <w:t xml:space="preserve"> y 00164/MELOCAM/IP/2022</w:t>
      </w:r>
      <w:r w:rsidRPr="00382EF7">
        <w:rPr>
          <w:rFonts w:cs="Tahoma"/>
          <w:iCs/>
        </w:rPr>
        <w:t>,</w:t>
      </w:r>
      <w:r w:rsidRPr="00382EF7">
        <w:rPr>
          <w:rFonts w:cs="Tahoma"/>
          <w:b/>
          <w:iCs/>
        </w:rPr>
        <w:t xml:space="preserve"> </w:t>
      </w:r>
      <w:r w:rsidRPr="00382EF7">
        <w:rPr>
          <w:rFonts w:cs="Tahoma"/>
          <w:iCs/>
        </w:rPr>
        <w:t xml:space="preserve">a </w:t>
      </w:r>
      <w:r w:rsidRPr="00382EF7" w:rsidR="00F257AC">
        <w:rPr>
          <w:rFonts w:eastAsia="Times New Roman" w:cs="Tahoma"/>
          <w:color w:val="auto"/>
          <w:lang w:eastAsia="es-ES"/>
        </w:rPr>
        <w:t xml:space="preserve">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w:t>
      </w:r>
      <w:r w:rsidRPr="00382EF7" w:rsidR="00F257AC">
        <w:rPr>
          <w:rFonts w:eastAsia="Times New Roman" w:cs="Tahoma"/>
          <w:color w:val="auto"/>
          <w:lang w:val="es-ES" w:eastAsia="es-ES"/>
        </w:rPr>
        <w:t xml:space="preserve">en su caso, en versión pública, </w:t>
      </w:r>
      <w:r w:rsidRPr="00382EF7" w:rsidR="00F257AC">
        <w:rPr>
          <w:rFonts w:eastAsia="Calibri" w:cs="Times New Roman"/>
          <w:bCs/>
        </w:rPr>
        <w:t xml:space="preserve">los documentos que conforman los cuatro Módulos del Primer y Segundo Informe Trimestral del Ejercicio, dos mil veintidós, entregado por el Ayuntamiento de Melchor Ocampo al Órgano Superior de Fiscalización del Estado de México. </w:t>
      </w:r>
      <w:r w:rsidRPr="00382EF7" w:rsidR="00F257AC">
        <w:rPr>
          <w:rFonts w:eastAsia="Times New Roman" w:cs="Tahoma"/>
          <w:bCs/>
          <w:iCs/>
          <w:color w:val="auto"/>
          <w:lang w:val="es-ES" w:eastAsia="es-ES"/>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w:t>
      </w:r>
      <w:r w:rsidRPr="00382EF7" w:rsidR="00F257AC">
        <w:rPr>
          <w:rFonts w:eastAsia="Times New Roman" w:cs="Tahoma"/>
          <w:bCs/>
          <w:iCs/>
          <w:color w:val="auto"/>
          <w:lang w:val="es-ES" w:eastAsia="es-ES"/>
        </w:rPr>
        <w:lastRenderedPageBreak/>
        <w:t>la manera de obtener la información como domicilio de la Unidad de Transparencia, días y horarios de atención, así como el nombre del servidor público que le atenderá.</w:t>
      </w:r>
      <w:r w:rsidRPr="00382EF7" w:rsidR="006935C8">
        <w:rPr>
          <w:rFonts w:eastAsia="Times New Roman" w:cs="Tahoma"/>
          <w:bCs/>
          <w:iCs/>
          <w:color w:val="auto"/>
          <w:lang w:val="es-ES" w:eastAsia="es-ES"/>
        </w:rPr>
        <w:t xml:space="preserve"> </w:t>
      </w:r>
      <w:r w:rsidRPr="00382EF7" w:rsidR="00F257AC">
        <w:rPr>
          <w:rFonts w:eastAsia="Times New Roman" w:cs="Tahoma"/>
          <w:bCs/>
          <w:iCs/>
          <w:color w:val="auto"/>
          <w:lang w:val="es-ES" w:eastAsia="es-ES"/>
        </w:rPr>
        <w:t>Además, deberá proporcionar el Acuerdo de Clasificación donde el Comité de Transparencia, confirme la eliminación de los datos o información clasificada, en la versión pública</w:t>
      </w:r>
      <w:r w:rsidRPr="00382EF7" w:rsidR="006935C8">
        <w:rPr>
          <w:rFonts w:eastAsia="Times New Roman" w:cs="Tahoma"/>
          <w:bCs/>
          <w:iCs/>
          <w:color w:val="auto"/>
          <w:lang w:val="es-ES" w:eastAsia="es-ES"/>
        </w:rPr>
        <w:t>.</w:t>
      </w:r>
    </w:p>
    <w:p w:rsidRPr="00382EF7" w:rsidR="006E3A4C" w:rsidP="006935C8" w:rsidRDefault="006E3A4C" w14:paraId="47101657" w14:textId="77777777">
      <w:pPr>
        <w:spacing w:after="0" w:line="360" w:lineRule="auto"/>
        <w:contextualSpacing/>
        <w:rPr>
          <w:rFonts w:eastAsia="Calibri" w:cs="Tahoma"/>
          <w:b/>
          <w:bCs/>
          <w:color w:val="000000"/>
        </w:rPr>
      </w:pPr>
    </w:p>
    <w:p w:rsidRPr="00382EF7" w:rsidR="00CC6D06" w:rsidP="006935C8" w:rsidRDefault="00CC6D06" w14:paraId="39599097" w14:textId="77777777">
      <w:pPr>
        <w:spacing w:after="0" w:line="360" w:lineRule="auto"/>
        <w:contextualSpacing/>
        <w:rPr>
          <w:rFonts w:eastAsia="Calibri" w:cs="Tahoma"/>
          <w:b/>
          <w:bCs/>
          <w:color w:val="000000"/>
        </w:rPr>
      </w:pPr>
      <w:r w:rsidRPr="00382EF7">
        <w:rPr>
          <w:rFonts w:eastAsia="Calibri" w:cs="Tahoma"/>
          <w:b/>
          <w:bCs/>
          <w:color w:val="000000"/>
        </w:rPr>
        <w:t>Términos de la Resolución para conocimiento del Particular.</w:t>
      </w:r>
    </w:p>
    <w:p w:rsidRPr="00382EF7" w:rsidR="00CC6D06" w:rsidP="006935C8" w:rsidRDefault="00CC6D06" w14:paraId="3C0CC78C" w14:textId="77777777">
      <w:pPr>
        <w:spacing w:after="0" w:line="360" w:lineRule="auto"/>
        <w:contextualSpacing/>
        <w:rPr>
          <w:rFonts w:eastAsia="Calibri" w:cs="Tahoma"/>
          <w:b/>
          <w:bCs/>
          <w:color w:val="000000"/>
        </w:rPr>
      </w:pPr>
    </w:p>
    <w:p w:rsidRPr="00382EF7" w:rsidR="00CC6D06" w:rsidP="006935C8" w:rsidRDefault="006935C8" w14:paraId="5EF9188F" w14:textId="16E89C0B">
      <w:pPr>
        <w:spacing w:after="0" w:line="360" w:lineRule="auto"/>
        <w:rPr>
          <w:rFonts w:eastAsia="Calibri" w:cs="Tahoma"/>
          <w:bCs/>
          <w:iCs/>
        </w:rPr>
      </w:pPr>
      <w:r w:rsidRPr="00382EF7">
        <w:rPr>
          <w:rFonts w:eastAsia="Times New Roman" w:cs="Times New Roman"/>
          <w:bCs/>
          <w:color w:val="auto"/>
          <w:lang w:eastAsia="es-ES"/>
        </w:rPr>
        <w:t xml:space="preserve">Se le hace del conocimiento al Particular, que, en el presente caso, se le da la razón pues si bien, el Ayuntamiento no fundamentó de manera correcta la imposibilidad para cambiar la modalidad de entrega, lo cierto es durante la sustanciación del Medio de Impugnación, mediante el desahogó del requerimiento de información adicional, acreditó la imposibilidad de entregar la información por el Sistema de Acceso a la Información Mexiquense, por lo que, deberá ponerla a su disposición en todas las modalidades posibles. </w:t>
      </w:r>
      <w:r w:rsidRPr="00382EF7" w:rsidR="00CC6D06">
        <w:rPr>
          <w:rFonts w:eastAsia="Calibri" w:cs="Tahoma"/>
          <w:bCs/>
          <w:iCs/>
        </w:rPr>
        <w:t xml:space="preserve">Finalmente, la labor del </w:t>
      </w:r>
      <w:proofErr w:type="gramStart"/>
      <w:r w:rsidRPr="00382EF7" w:rsidR="00CC6D06">
        <w:rPr>
          <w:rFonts w:eastAsia="Calibri" w:cs="Tahoma"/>
          <w:bCs/>
          <w:iCs/>
        </w:rPr>
        <w:t>Instituto,</w:t>
      </w:r>
      <w:proofErr w:type="gramEnd"/>
      <w:r w:rsidRPr="00382EF7" w:rsidR="00CC6D06">
        <w:rPr>
          <w:rFonts w:eastAsia="Calibri" w:cs="Tahoma"/>
          <w:bCs/>
          <w:iCs/>
        </w:rPr>
        <w:t xml:space="preserve"> es apoyar a la población a acceder a la información pública y garantizar la protección de los datos personales.</w:t>
      </w:r>
    </w:p>
    <w:p w:rsidRPr="00382EF7" w:rsidR="00CC6D06" w:rsidP="006935C8" w:rsidRDefault="00CC6D06" w14:paraId="15301286" w14:textId="77777777">
      <w:pPr>
        <w:autoSpaceDE w:val="0"/>
        <w:autoSpaceDN w:val="0"/>
        <w:adjustRightInd w:val="0"/>
        <w:spacing w:after="0" w:line="360" w:lineRule="auto"/>
        <w:contextualSpacing/>
        <w:rPr>
          <w:rFonts w:eastAsia="Calibri" w:cs="Tahoma"/>
          <w:bCs/>
          <w:iCs/>
          <w:color w:val="auto"/>
        </w:rPr>
      </w:pPr>
    </w:p>
    <w:p w:rsidRPr="00382EF7" w:rsidR="00CC6D06" w:rsidP="006935C8" w:rsidRDefault="00CC6D06" w14:paraId="704359B8" w14:textId="77777777">
      <w:pPr>
        <w:autoSpaceDE w:val="0"/>
        <w:autoSpaceDN w:val="0"/>
        <w:adjustRightInd w:val="0"/>
        <w:spacing w:after="0" w:line="360" w:lineRule="auto"/>
        <w:contextualSpacing/>
        <w:rPr>
          <w:rFonts w:eastAsia="Calibri" w:cs="Tahoma"/>
          <w:bCs/>
          <w:iCs/>
        </w:rPr>
      </w:pPr>
      <w:r w:rsidRPr="00382EF7">
        <w:rPr>
          <w:rFonts w:eastAsia="Calibri" w:cs="Tahoma"/>
          <w:bCs/>
          <w:iCs/>
        </w:rPr>
        <w:t>Por lo expuesto y fundado, este Pleno:</w:t>
      </w:r>
    </w:p>
    <w:p w:rsidRPr="00382EF7" w:rsidR="00CC6D06" w:rsidP="006935C8" w:rsidRDefault="00CC6D06" w14:paraId="62D5ED24" w14:textId="77777777">
      <w:pPr>
        <w:spacing w:after="0" w:line="360" w:lineRule="auto"/>
        <w:ind w:right="-28"/>
        <w:contextualSpacing/>
        <w:jc w:val="center"/>
        <w:rPr>
          <w:rFonts w:eastAsia="Calibri" w:cs="Tahoma"/>
          <w:b/>
          <w:bCs/>
        </w:rPr>
      </w:pPr>
    </w:p>
    <w:p w:rsidRPr="00382EF7" w:rsidR="00CC6D06" w:rsidP="006935C8" w:rsidRDefault="00CC6D06" w14:paraId="43F75D50" w14:textId="77777777">
      <w:pPr>
        <w:spacing w:after="0" w:line="360" w:lineRule="auto"/>
        <w:ind w:right="-28"/>
        <w:contextualSpacing/>
        <w:jc w:val="center"/>
        <w:rPr>
          <w:rFonts w:eastAsia="Calibri" w:cs="Tahoma"/>
          <w:b/>
          <w:bCs/>
        </w:rPr>
      </w:pPr>
      <w:r w:rsidRPr="00382EF7">
        <w:rPr>
          <w:rFonts w:eastAsia="Calibri" w:cs="Tahoma"/>
          <w:b/>
          <w:bCs/>
        </w:rPr>
        <w:t>R E S U E L V E:</w:t>
      </w:r>
    </w:p>
    <w:p w:rsidRPr="00382EF7" w:rsidR="00CC6D06" w:rsidP="006935C8" w:rsidRDefault="00CC6D06" w14:paraId="03C39ABC" w14:textId="77777777">
      <w:pPr>
        <w:spacing w:after="0" w:line="360" w:lineRule="auto"/>
        <w:ind w:right="-28"/>
        <w:contextualSpacing/>
        <w:jc w:val="center"/>
        <w:rPr>
          <w:rFonts w:eastAsia="Calibri" w:cs="Tahoma"/>
          <w:b/>
          <w:bCs/>
          <w:lang w:eastAsia="es-MX"/>
        </w:rPr>
      </w:pPr>
    </w:p>
    <w:p w:rsidRPr="00382EF7" w:rsidR="00CC6D06" w:rsidP="006935C8" w:rsidRDefault="00CC6D06" w14:paraId="0213DB84" w14:textId="142730B0">
      <w:pPr>
        <w:spacing w:after="0" w:line="360" w:lineRule="auto"/>
        <w:contextualSpacing/>
        <w:rPr>
          <w:rFonts w:cs="Times New Roman"/>
          <w:b/>
          <w:bCs/>
          <w:lang w:eastAsia="es-ES"/>
        </w:rPr>
      </w:pPr>
      <w:r w:rsidRPr="00382EF7">
        <w:rPr>
          <w:rFonts w:cs="Tahoma"/>
          <w:b/>
          <w:bCs/>
          <w:lang w:eastAsia="es-ES"/>
        </w:rPr>
        <w:t xml:space="preserve">PRIMERO. </w:t>
      </w:r>
      <w:r w:rsidRPr="00382EF7">
        <w:rPr>
          <w:rFonts w:cs="Tahoma"/>
          <w:bCs/>
          <w:lang w:eastAsia="es-ES"/>
        </w:rPr>
        <w:t xml:space="preserve">Se </w:t>
      </w:r>
      <w:r w:rsidRPr="00382EF7" w:rsidR="006935C8">
        <w:rPr>
          <w:rFonts w:cs="Tahoma"/>
          <w:b/>
          <w:bCs/>
          <w:lang w:eastAsia="es-ES"/>
        </w:rPr>
        <w:t>REVOCAN</w:t>
      </w:r>
      <w:r w:rsidRPr="00382EF7">
        <w:rPr>
          <w:rFonts w:cs="Tahoma"/>
          <w:b/>
          <w:bCs/>
          <w:lang w:eastAsia="es-ES"/>
        </w:rPr>
        <w:t xml:space="preserve"> </w:t>
      </w:r>
      <w:r w:rsidRPr="00382EF7">
        <w:rPr>
          <w:rFonts w:cs="Tahoma"/>
          <w:bCs/>
          <w:lang w:eastAsia="es-ES"/>
        </w:rPr>
        <w:t>la</w:t>
      </w:r>
      <w:r w:rsidRPr="00382EF7" w:rsidR="00ED6AAC">
        <w:rPr>
          <w:rFonts w:cs="Tahoma"/>
          <w:bCs/>
          <w:lang w:eastAsia="es-ES"/>
        </w:rPr>
        <w:t>s</w:t>
      </w:r>
      <w:r w:rsidRPr="00382EF7">
        <w:rPr>
          <w:rFonts w:cs="Tahoma"/>
          <w:bCs/>
          <w:lang w:eastAsia="es-ES"/>
        </w:rPr>
        <w:t xml:space="preserve"> respuesta</w:t>
      </w:r>
      <w:r w:rsidRPr="00382EF7" w:rsidR="00ED6AAC">
        <w:rPr>
          <w:rFonts w:cs="Tahoma"/>
          <w:bCs/>
          <w:lang w:eastAsia="es-ES"/>
        </w:rPr>
        <w:t>s</w:t>
      </w:r>
      <w:r w:rsidRPr="00382EF7">
        <w:rPr>
          <w:rFonts w:cs="Tahoma"/>
          <w:bCs/>
          <w:lang w:eastAsia="es-ES"/>
        </w:rPr>
        <w:t xml:space="preserve"> entregada</w:t>
      </w:r>
      <w:r w:rsidRPr="00382EF7" w:rsidR="00ED6AAC">
        <w:rPr>
          <w:rFonts w:cs="Tahoma"/>
          <w:bCs/>
          <w:lang w:eastAsia="es-ES"/>
        </w:rPr>
        <w:t>s</w:t>
      </w:r>
      <w:r w:rsidRPr="00382EF7">
        <w:rPr>
          <w:rFonts w:cs="Tahoma"/>
          <w:bCs/>
          <w:lang w:eastAsia="es-ES"/>
        </w:rPr>
        <w:t xml:space="preserve"> por el</w:t>
      </w:r>
      <w:r w:rsidRPr="00382EF7">
        <w:rPr>
          <w:rFonts w:cs="Tahoma"/>
          <w:lang w:eastAsia="es-ES"/>
        </w:rPr>
        <w:t xml:space="preserve"> Ayuntamiento de </w:t>
      </w:r>
      <w:r w:rsidRPr="00382EF7" w:rsidR="00AA25BD">
        <w:rPr>
          <w:rFonts w:cs="Tahoma"/>
          <w:lang w:eastAsia="es-ES"/>
        </w:rPr>
        <w:t>Melchor Ocampo</w:t>
      </w:r>
      <w:r w:rsidRPr="00382EF7">
        <w:rPr>
          <w:rFonts w:cs="Tahoma"/>
          <w:lang w:eastAsia="es-ES"/>
        </w:rPr>
        <w:t>,</w:t>
      </w:r>
      <w:r w:rsidRPr="00382EF7">
        <w:rPr>
          <w:rFonts w:cs="Tahoma"/>
          <w:b/>
          <w:bCs/>
          <w:lang w:eastAsia="es-ES"/>
        </w:rPr>
        <w:t xml:space="preserve"> </w:t>
      </w:r>
      <w:r w:rsidRPr="00382EF7">
        <w:rPr>
          <w:rFonts w:cs="Tahoma"/>
          <w:bCs/>
          <w:lang w:eastAsia="es-ES"/>
        </w:rPr>
        <w:t>a la</w:t>
      </w:r>
      <w:r w:rsidRPr="00382EF7" w:rsidR="00ED6AAC">
        <w:rPr>
          <w:rFonts w:cs="Tahoma"/>
          <w:bCs/>
          <w:lang w:eastAsia="es-ES"/>
        </w:rPr>
        <w:t>s</w:t>
      </w:r>
      <w:r w:rsidRPr="00382EF7" w:rsidR="00AA25BD">
        <w:rPr>
          <w:rFonts w:cs="Tahoma"/>
          <w:bCs/>
          <w:lang w:eastAsia="es-ES"/>
        </w:rPr>
        <w:t xml:space="preserve"> </w:t>
      </w:r>
      <w:r w:rsidRPr="00382EF7">
        <w:rPr>
          <w:rFonts w:cs="Tahoma"/>
          <w:bCs/>
          <w:lang w:eastAsia="es-ES"/>
        </w:rPr>
        <w:t>solicitud</w:t>
      </w:r>
      <w:r w:rsidRPr="00382EF7" w:rsidR="00ED6AAC">
        <w:rPr>
          <w:rFonts w:cs="Tahoma"/>
          <w:bCs/>
          <w:lang w:eastAsia="es-ES"/>
        </w:rPr>
        <w:t>es</w:t>
      </w:r>
      <w:r w:rsidRPr="00382EF7">
        <w:rPr>
          <w:rFonts w:cs="Tahoma"/>
          <w:bCs/>
          <w:lang w:eastAsia="es-ES"/>
        </w:rPr>
        <w:t xml:space="preserve"> de información</w:t>
      </w:r>
      <w:r w:rsidRPr="00382EF7">
        <w:rPr>
          <w:b/>
          <w:bCs/>
          <w:lang w:eastAsia="es-ES"/>
        </w:rPr>
        <w:t xml:space="preserve"> </w:t>
      </w:r>
      <w:r w:rsidRPr="00382EF7" w:rsidR="00AA25BD">
        <w:rPr>
          <w:color w:val="auto"/>
        </w:rPr>
        <w:t>0131/MELOCAM/IP/2022</w:t>
      </w:r>
      <w:r w:rsidRPr="00382EF7" w:rsidR="00ED6AAC">
        <w:rPr>
          <w:color w:val="auto"/>
        </w:rPr>
        <w:t xml:space="preserve"> y 00164/MELOCAM/IP/2022</w:t>
      </w:r>
      <w:r w:rsidRPr="00382EF7">
        <w:rPr>
          <w:lang w:eastAsia="es-ES"/>
        </w:rPr>
        <w:t>,</w:t>
      </w:r>
      <w:r w:rsidRPr="00382EF7">
        <w:rPr>
          <w:b/>
          <w:bCs/>
          <w:lang w:eastAsia="es-ES"/>
        </w:rPr>
        <w:t xml:space="preserve"> </w:t>
      </w:r>
      <w:r w:rsidRPr="00382EF7">
        <w:rPr>
          <w:bCs/>
          <w:lang w:eastAsia="es-ES"/>
        </w:rPr>
        <w:t xml:space="preserve">por resultar </w:t>
      </w:r>
      <w:r w:rsidRPr="00382EF7">
        <w:rPr>
          <w:b/>
          <w:bCs/>
          <w:lang w:eastAsia="es-ES"/>
        </w:rPr>
        <w:t>FUNDADAS</w:t>
      </w:r>
      <w:r w:rsidRPr="00382EF7">
        <w:rPr>
          <w:rFonts w:cs="Tahoma"/>
          <w:bCs/>
          <w:lang w:eastAsia="es-ES"/>
        </w:rPr>
        <w:t xml:space="preserve"> </w:t>
      </w:r>
      <w:r w:rsidRPr="00382EF7">
        <w:rPr>
          <w:rFonts w:eastAsia="Calibri" w:cs="Tahoma"/>
          <w:bCs/>
        </w:rPr>
        <w:t xml:space="preserve">las razones o motivos de inconformidad hechos valer por el Recurrente, en términos de los considerandos </w:t>
      </w:r>
      <w:r w:rsidRPr="00382EF7">
        <w:rPr>
          <w:rFonts w:eastAsia="Calibri" w:cs="Tahoma"/>
        </w:rPr>
        <w:t>QUINTO</w:t>
      </w:r>
      <w:r w:rsidRPr="00382EF7">
        <w:rPr>
          <w:rFonts w:eastAsia="Calibri" w:cs="Tahoma"/>
          <w:bCs/>
        </w:rPr>
        <w:t xml:space="preserve"> y </w:t>
      </w:r>
      <w:r w:rsidRPr="00382EF7">
        <w:rPr>
          <w:rFonts w:eastAsia="Calibri" w:cs="Tahoma"/>
        </w:rPr>
        <w:t>SEXTO</w:t>
      </w:r>
      <w:r w:rsidRPr="00382EF7">
        <w:rPr>
          <w:rFonts w:eastAsia="Calibri" w:cs="Tahoma"/>
          <w:b/>
        </w:rPr>
        <w:t xml:space="preserve"> </w:t>
      </w:r>
      <w:r w:rsidRPr="00382EF7">
        <w:rPr>
          <w:rFonts w:eastAsia="Calibri" w:cs="Tahoma"/>
          <w:bCs/>
        </w:rPr>
        <w:t>de la presente Resolución.</w:t>
      </w:r>
    </w:p>
    <w:p w:rsidRPr="00382EF7" w:rsidR="00CC6D06" w:rsidP="006935C8" w:rsidRDefault="00CC6D06" w14:paraId="4ED919CA" w14:textId="77777777">
      <w:pPr>
        <w:spacing w:after="0" w:line="360" w:lineRule="auto"/>
        <w:contextualSpacing/>
        <w:rPr>
          <w:rFonts w:cs="Times New Roman"/>
          <w:b/>
          <w:bCs/>
          <w:lang w:eastAsia="es-ES"/>
        </w:rPr>
      </w:pPr>
    </w:p>
    <w:p w:rsidRPr="00382EF7" w:rsidR="006935C8" w:rsidP="006935C8" w:rsidRDefault="006935C8" w14:paraId="3429A02D" w14:textId="77777777">
      <w:pPr>
        <w:spacing w:after="0" w:line="360" w:lineRule="auto"/>
        <w:contextualSpacing/>
        <w:rPr>
          <w:rFonts w:cs="Times New Roman"/>
          <w:b/>
          <w:bCs/>
          <w:lang w:eastAsia="es-ES"/>
        </w:rPr>
      </w:pPr>
    </w:p>
    <w:p w:rsidRPr="00382EF7" w:rsidR="006935C8" w:rsidP="006935C8" w:rsidRDefault="006935C8" w14:paraId="3BF2A202" w14:textId="77777777">
      <w:pPr>
        <w:spacing w:after="0" w:line="360" w:lineRule="auto"/>
        <w:contextualSpacing/>
        <w:rPr>
          <w:rFonts w:cs="Times New Roman"/>
          <w:b/>
          <w:bCs/>
          <w:lang w:eastAsia="es-ES"/>
        </w:rPr>
      </w:pPr>
    </w:p>
    <w:p w:rsidRPr="00382EF7" w:rsidR="006935C8" w:rsidP="006935C8" w:rsidRDefault="006935C8" w14:paraId="594F08E8" w14:textId="6BCB93FE">
      <w:pPr>
        <w:autoSpaceDE w:val="0"/>
        <w:autoSpaceDN w:val="0"/>
        <w:adjustRightInd w:val="0"/>
        <w:spacing w:after="0" w:line="360" w:lineRule="auto"/>
        <w:rPr>
          <w:rFonts w:cs="Tahoma"/>
          <w:lang w:val="es-ES"/>
        </w:rPr>
      </w:pPr>
      <w:r w:rsidRPr="00382EF7">
        <w:rPr>
          <w:rFonts w:cs="Tahoma"/>
          <w:b/>
          <w:bCs/>
        </w:rPr>
        <w:t xml:space="preserve">SEGUNDO. </w:t>
      </w:r>
      <w:r w:rsidRPr="00382EF7">
        <w:rPr>
          <w:rFonts w:cs="Tahoma"/>
        </w:rPr>
        <w:t xml:space="preserve">Se </w:t>
      </w:r>
      <w:r w:rsidRPr="00382EF7">
        <w:rPr>
          <w:rFonts w:cs="Tahoma"/>
          <w:b/>
        </w:rPr>
        <w:t>ORDENA</w:t>
      </w:r>
      <w:r w:rsidRPr="00382EF7">
        <w:rPr>
          <w:rFonts w:cs="Tahoma"/>
          <w:bCs/>
        </w:rPr>
        <w:t xml:space="preserve"> al Ente Recurrido</w:t>
      </w:r>
      <w:r w:rsidRPr="00382EF7">
        <w:rPr>
          <w:rFonts w:eastAsia="Calibri" w:cs="Tahoma"/>
          <w:b/>
          <w:bCs/>
        </w:rPr>
        <w:t>,</w:t>
      </w:r>
      <w:r w:rsidRPr="00382EF7">
        <w:rPr>
          <w:rFonts w:cs="Tahoma"/>
          <w:b/>
        </w:rPr>
        <w:t xml:space="preserve"> </w:t>
      </w:r>
      <w:r w:rsidRPr="00382EF7">
        <w:rPr>
          <w:rFonts w:cs="Tahoma"/>
        </w:rPr>
        <w:t xml:space="preserve">a efecto de que, ponga </w:t>
      </w:r>
      <w:r w:rsidRPr="00382EF7">
        <w:rPr>
          <w:rFonts w:eastAsia="Calibri"/>
          <w:color w:val="000000"/>
        </w:rPr>
        <w:t xml:space="preserve">a disposición, en todas las modalidades que permita la documentación, tales como, disco compacto, dispositivo de almacenamiento, consulta directa, copias simples o certificadas, </w:t>
      </w:r>
      <w:r w:rsidRPr="00382EF7" w:rsidR="0079692B">
        <w:rPr>
          <w:rFonts w:eastAsia="Calibri"/>
          <w:color w:val="000000"/>
        </w:rPr>
        <w:t xml:space="preserve">entre otras, </w:t>
      </w:r>
      <w:r w:rsidRPr="00382EF7">
        <w:rPr>
          <w:rFonts w:eastAsia="Calibri"/>
          <w:color w:val="000000"/>
        </w:rPr>
        <w:t xml:space="preserve">con posibilidad de entrega en la Unidad de Transparencia o a domicilio por correo certificado, previo pago de los derechos correspondientes, </w:t>
      </w:r>
      <w:r w:rsidRPr="00382EF7">
        <w:rPr>
          <w:rFonts w:cs="Tahoma"/>
          <w:lang w:val="es-ES"/>
        </w:rPr>
        <w:t>en su caso, en versión pública, lo siguiente:</w:t>
      </w:r>
    </w:p>
    <w:p w:rsidRPr="00382EF7" w:rsidR="006935C8" w:rsidP="006935C8" w:rsidRDefault="006935C8" w14:paraId="6AD6852D" w14:textId="77777777">
      <w:pPr>
        <w:autoSpaceDE w:val="0"/>
        <w:autoSpaceDN w:val="0"/>
        <w:adjustRightInd w:val="0"/>
        <w:spacing w:after="0" w:line="360" w:lineRule="auto"/>
        <w:rPr>
          <w:rFonts w:cs="Tahoma"/>
          <w:lang w:val="es-ES"/>
        </w:rPr>
      </w:pPr>
    </w:p>
    <w:p w:rsidRPr="00382EF7" w:rsidR="006935C8" w:rsidP="006935C8" w:rsidRDefault="006935C8" w14:paraId="7F85B857" w14:textId="7281C2CC">
      <w:pPr>
        <w:pStyle w:val="Prrafodelista"/>
        <w:numPr>
          <w:ilvl w:val="0"/>
          <w:numId w:val="20"/>
        </w:numPr>
        <w:tabs>
          <w:tab w:val="left" w:pos="4962"/>
        </w:tabs>
        <w:spacing w:line="360" w:lineRule="auto"/>
        <w:jc w:val="both"/>
        <w:rPr>
          <w:rFonts w:ascii="Palatino Linotype" w:hAnsi="Palatino Linotype" w:eastAsia="Calibri"/>
          <w:bCs/>
        </w:rPr>
      </w:pPr>
      <w:r w:rsidRPr="00382EF7">
        <w:rPr>
          <w:rFonts w:ascii="Palatino Linotype" w:hAnsi="Palatino Linotype" w:eastAsia="Calibri"/>
          <w:bCs/>
        </w:rPr>
        <w:t xml:space="preserve">Los documentos que conforman los cuatro Módulos del Primer y Segundo Informe Trimestral del Ejercicio, dos mil veintidós, entregado por el Ayuntamiento de Melchor Ocampo al Órgano Superior de Fiscalización del Estado de México. </w:t>
      </w:r>
    </w:p>
    <w:p w:rsidRPr="00382EF7" w:rsidR="00AA25BD" w:rsidP="006935C8" w:rsidRDefault="00AA25BD" w14:paraId="13596756" w14:textId="77777777">
      <w:pPr>
        <w:pStyle w:val="Prrafodelista"/>
        <w:spacing w:line="360" w:lineRule="auto"/>
        <w:rPr>
          <w:rFonts w:cs="Tahoma"/>
          <w:bCs/>
          <w:iCs/>
        </w:rPr>
      </w:pPr>
    </w:p>
    <w:p w:rsidRPr="00382EF7" w:rsidR="006935C8" w:rsidP="006935C8" w:rsidRDefault="006935C8" w14:paraId="6E90DD73" w14:textId="77777777">
      <w:pPr>
        <w:autoSpaceDE w:val="0"/>
        <w:autoSpaceDN w:val="0"/>
        <w:adjustRightInd w:val="0"/>
        <w:spacing w:after="0" w:line="360" w:lineRule="auto"/>
        <w:rPr>
          <w:rFonts w:eastAsia="Calibri" w:cs="Times New Roman"/>
          <w:color w:val="000000"/>
        </w:rPr>
      </w:pPr>
      <w:r w:rsidRPr="00382EF7">
        <w:rPr>
          <w:rFonts w:eastAsia="Calibri" w:cs="Tahoma"/>
          <w:bCs/>
          <w:iCs/>
          <w:color w:val="000000"/>
          <w:lang w:val="es-ES"/>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w:t>
      </w:r>
      <w:r w:rsidRPr="00382EF7">
        <w:rPr>
          <w:rFonts w:eastAsia="Calibri" w:cs="Times New Roman"/>
          <w:color w:val="000000"/>
        </w:rPr>
        <w:t>Además, deberá señalarle que podrá acceder de manera gratuita a la información si proporciona el medio electrónico y recoge la información en la Unidad de Transparencia.</w:t>
      </w:r>
    </w:p>
    <w:p w:rsidRPr="00382EF7" w:rsidR="006935C8" w:rsidP="006935C8" w:rsidRDefault="006935C8" w14:paraId="52DA0240" w14:textId="77777777">
      <w:pPr>
        <w:spacing w:after="0" w:line="360" w:lineRule="auto"/>
        <w:contextualSpacing/>
        <w:rPr>
          <w:rFonts w:cs="Tahoma"/>
          <w:bCs/>
          <w:iCs/>
          <w:lang w:eastAsia="es-ES"/>
        </w:rPr>
      </w:pPr>
    </w:p>
    <w:p w:rsidRPr="00382EF7" w:rsidR="00CC6D06" w:rsidP="006935C8" w:rsidRDefault="00CC6D06" w14:paraId="15C68751" w14:textId="77777777">
      <w:pPr>
        <w:spacing w:after="0" w:line="360" w:lineRule="auto"/>
        <w:contextualSpacing/>
        <w:rPr>
          <w:rFonts w:cs="Tahoma"/>
          <w:bCs/>
          <w:iCs/>
          <w:lang w:eastAsia="es-ES"/>
        </w:rPr>
      </w:pPr>
      <w:r w:rsidRPr="00382EF7">
        <w:rPr>
          <w:rFonts w:cs="Tahoma"/>
          <w:bCs/>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382EF7" w:rsidR="00CC6D06" w:rsidP="006935C8" w:rsidRDefault="00CC6D06" w14:paraId="7C41DA7B" w14:textId="77777777">
      <w:pPr>
        <w:spacing w:after="0" w:line="360" w:lineRule="auto"/>
        <w:contextualSpacing/>
        <w:rPr>
          <w:rFonts w:cs="Tahoma"/>
          <w:lang w:eastAsia="es-ES"/>
        </w:rPr>
      </w:pPr>
    </w:p>
    <w:p w:rsidRPr="00382EF7" w:rsidR="00CC6D06" w:rsidP="006935C8" w:rsidRDefault="00CC6D06" w14:paraId="05679966" w14:textId="77777777">
      <w:pPr>
        <w:spacing w:after="0" w:line="360" w:lineRule="auto"/>
        <w:contextualSpacing/>
        <w:rPr>
          <w:rFonts w:cs="Tahoma"/>
          <w:lang w:eastAsia="es-ES"/>
        </w:rPr>
      </w:pPr>
      <w:r w:rsidRPr="00382EF7">
        <w:rPr>
          <w:rFonts w:eastAsia="Calibri" w:cs="Tahoma"/>
          <w:b/>
          <w:bCs/>
        </w:rPr>
        <w:t xml:space="preserve">TERCERO. </w:t>
      </w:r>
      <w:r w:rsidRPr="00382EF7">
        <w:rPr>
          <w:rFonts w:cs="Tahoma"/>
          <w:b/>
          <w:lang w:eastAsia="es-ES"/>
        </w:rPr>
        <w:t xml:space="preserve">NOTIFÍQUESE </w:t>
      </w:r>
      <w:r w:rsidRPr="00382EF7">
        <w:rPr>
          <w:rFonts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382EF7">
        <w:rPr>
          <w:rFonts w:cs="Tahoma"/>
          <w:lang w:eastAsia="es-ES"/>
        </w:rPr>
        <w:lastRenderedPageBreak/>
        <w:t>Municipios; dé cumplimiento a lo ordenado dentro del plazo de diez días hábiles, e informe a este Instituto en un plazo de tres días hábiles siguientes sobre el cumplimiento dado a la presente.</w:t>
      </w:r>
    </w:p>
    <w:p w:rsidRPr="00382EF7" w:rsidR="00CC6D06" w:rsidP="006935C8" w:rsidRDefault="00CC6D06" w14:paraId="72748324" w14:textId="77777777">
      <w:pPr>
        <w:spacing w:after="0" w:line="360" w:lineRule="auto"/>
        <w:contextualSpacing/>
        <w:rPr>
          <w:rFonts w:cs="Tahoma"/>
          <w:lang w:eastAsia="es-ES"/>
        </w:rPr>
      </w:pPr>
    </w:p>
    <w:p w:rsidRPr="00382EF7" w:rsidR="00CC6D06" w:rsidP="006935C8" w:rsidRDefault="00CC6D06" w14:paraId="7AD7F8E8" w14:textId="77777777">
      <w:pPr>
        <w:spacing w:after="0" w:line="360" w:lineRule="auto"/>
        <w:contextualSpacing/>
        <w:rPr>
          <w:rFonts w:cs="Tahoma"/>
          <w:iCs/>
          <w:lang w:eastAsia="es-ES"/>
        </w:rPr>
      </w:pPr>
      <w:r w:rsidRPr="00382EF7">
        <w:rPr>
          <w:rFonts w:cs="Tahoma"/>
          <w:iCs/>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82EF7" w:rsidR="00CC6D06" w:rsidP="006935C8" w:rsidRDefault="00CC6D06" w14:paraId="4A74CDCC" w14:textId="77777777">
      <w:pPr>
        <w:spacing w:after="0" w:line="360" w:lineRule="auto"/>
        <w:contextualSpacing/>
        <w:rPr>
          <w:rFonts w:eastAsia="Calibri" w:cs="Tahoma"/>
          <w:b/>
        </w:rPr>
      </w:pPr>
    </w:p>
    <w:p w:rsidRPr="00382EF7" w:rsidR="00CC6D06" w:rsidP="006935C8" w:rsidRDefault="00CC6D06" w14:paraId="7E07EC23" w14:textId="77777777">
      <w:pPr>
        <w:spacing w:after="0" w:line="360" w:lineRule="auto"/>
        <w:contextualSpacing/>
        <w:rPr>
          <w:rFonts w:eastAsia="Times New Roman" w:cs="Tahoma"/>
          <w:lang w:eastAsia="es-ES"/>
        </w:rPr>
      </w:pPr>
      <w:r w:rsidRPr="00382EF7">
        <w:rPr>
          <w:rFonts w:eastAsia="Calibri" w:cs="Tahoma"/>
          <w:b/>
        </w:rPr>
        <w:t>CUARTO</w:t>
      </w:r>
      <w:r w:rsidRPr="00382EF7">
        <w:rPr>
          <w:rFonts w:eastAsia="Calibri" w:cs="Tahoma"/>
          <w:b/>
          <w:bCs/>
        </w:rPr>
        <w:t xml:space="preserve">. </w:t>
      </w:r>
      <w:r w:rsidRPr="00382EF7">
        <w:rPr>
          <w:rFonts w:cs="Tahoma"/>
          <w:b/>
          <w:lang w:eastAsia="es-ES"/>
        </w:rPr>
        <w:t>NOTIFÍQUESE</w:t>
      </w:r>
      <w:r w:rsidRPr="00382EF7">
        <w:rPr>
          <w:rFonts w:cs="Tahoma"/>
          <w:lang w:eastAsia="es-ES"/>
        </w:rPr>
        <w:t xml:space="preserve"> al Recurrente la presente Resolución a través del </w:t>
      </w:r>
      <w:r w:rsidRPr="00382EF7">
        <w:rPr>
          <w:rFonts w:eastAsia="Calibri" w:cs="Tahoma"/>
          <w:bCs/>
        </w:rPr>
        <w:t>Sistema de Acceso a la Información Mexiquense (SAIMEX)</w:t>
      </w:r>
      <w:r w:rsidRPr="00382EF7">
        <w:rPr>
          <w:rFonts w:cs="Tahoma"/>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82EF7" w:rsidR="00CC6D06" w:rsidP="006935C8" w:rsidRDefault="00CC6D06" w14:paraId="10FB038A" w14:textId="77777777">
      <w:pPr>
        <w:spacing w:after="0" w:line="360" w:lineRule="auto"/>
        <w:contextualSpacing/>
        <w:rPr>
          <w:rFonts w:eastAsia="Times New Roman" w:cs="Tahoma"/>
          <w:lang w:eastAsia="es-ES"/>
        </w:rPr>
      </w:pPr>
    </w:p>
    <w:p w:rsidRPr="006729A7" w:rsidR="00CC6D06" w:rsidP="006935C8" w:rsidRDefault="00831D02" w14:paraId="08C36C53" w14:textId="504C762B">
      <w:pPr>
        <w:spacing w:after="0" w:line="360" w:lineRule="auto"/>
        <w:contextualSpacing/>
        <w:rPr>
          <w:rFonts w:cs="Arial"/>
        </w:rPr>
      </w:pPr>
      <w:r w:rsidRPr="00382EF7">
        <w:t xml:space="preserve">ASÍ LO RESUELVE, POR </w:t>
      </w:r>
      <w:r w:rsidRPr="00382EF7">
        <w:rPr>
          <w:b/>
          <w:bCs/>
        </w:rPr>
        <w:t>MAYORÍA</w:t>
      </w:r>
      <w:r w:rsidRPr="00382EF7">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CON VOTO PARTICULAR Y GUADALUPE RAMÍREZ PEÑA; EN LA DÉCIMA SEGUNDA SESIÓN ORDINARIA CELEBRADA EL VEINTINUEVE DE MARZO DE DOS MIL VEINTIDÓS, ANTE EL SECRETARIO TÉCNICO DEL PLENO, ALEXIS TAPIA RAMÍREZ.</w:t>
      </w:r>
    </w:p>
    <w:p w:rsidR="00AB2D2F" w:rsidRDefault="00AB2D2F" w14:paraId="124638DE" w14:textId="426285C1">
      <w:pPr>
        <w:jc w:val="left"/>
      </w:pPr>
      <w:r>
        <w:br w:type="page"/>
      </w:r>
    </w:p>
    <w:p w:rsidRPr="006729A7" w:rsidR="003475CC" w:rsidP="006935C8" w:rsidRDefault="003475CC" w14:paraId="58B219CC" w14:textId="77777777">
      <w:pPr>
        <w:spacing w:after="0" w:line="360" w:lineRule="auto"/>
        <w:contextualSpacing/>
      </w:pPr>
    </w:p>
    <w:sectPr w:rsidRPr="006729A7" w:rsidR="003475CC" w:rsidSect="002D250E">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830" w:rsidP="00BE54AC" w:rsidRDefault="004D3830" w14:paraId="0A634829" w14:textId="77777777">
      <w:pPr>
        <w:spacing w:after="0" w:line="240" w:lineRule="auto"/>
      </w:pPr>
      <w:r>
        <w:separator/>
      </w:r>
    </w:p>
  </w:endnote>
  <w:endnote w:type="continuationSeparator" w:id="0">
    <w:p w:rsidR="004D3830" w:rsidP="00BE54AC" w:rsidRDefault="004D3830" w14:paraId="66B22A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50E" w:rsidRDefault="002D250E" w14:paraId="75E3F7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2D250E" w:rsidRDefault="002D250E" w14:paraId="459DF34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2D250E" w:rsidRDefault="002D250E" w14:paraId="2ECF846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35C8">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35C8">
              <w:rPr>
                <w:b/>
                <w:bCs/>
                <w:noProof/>
              </w:rPr>
              <w:t>45</w:t>
            </w:r>
            <w:r>
              <w:rPr>
                <w:b/>
                <w:bCs/>
                <w:sz w:val="24"/>
                <w:szCs w:val="24"/>
              </w:rPr>
              <w:fldChar w:fldCharType="end"/>
            </w:r>
          </w:p>
        </w:sdtContent>
      </w:sdt>
    </w:sdtContent>
  </w:sdt>
  <w:p w:rsidR="002D250E" w:rsidRDefault="002D250E" w14:paraId="6A162E5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50E" w:rsidRDefault="002D250E" w14:paraId="24DB932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35C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35C8">
      <w:rPr>
        <w:b/>
        <w:bCs/>
        <w:noProof/>
      </w:rPr>
      <w:t>46</w:t>
    </w:r>
    <w:r>
      <w:rPr>
        <w:b/>
        <w:bCs/>
        <w:sz w:val="24"/>
        <w:szCs w:val="24"/>
      </w:rPr>
      <w:fldChar w:fldCharType="end"/>
    </w:r>
  </w:p>
  <w:p w:rsidR="002D250E" w:rsidP="002D250E" w:rsidRDefault="002D250E" w14:paraId="16A8A971"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830" w:rsidP="00BE54AC" w:rsidRDefault="004D3830" w14:paraId="479B10FA" w14:textId="77777777">
      <w:pPr>
        <w:spacing w:after="0" w:line="240" w:lineRule="auto"/>
      </w:pPr>
      <w:r>
        <w:separator/>
      </w:r>
    </w:p>
  </w:footnote>
  <w:footnote w:type="continuationSeparator" w:id="0">
    <w:p w:rsidR="004D3830" w:rsidP="00BE54AC" w:rsidRDefault="004D3830" w14:paraId="19B42F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2D250E" w:rsidTr="002D250E" w14:paraId="18BE87C4" w14:textId="77777777">
      <w:trPr>
        <w:trHeight w:val="1435"/>
      </w:trPr>
      <w:tc>
        <w:tcPr>
          <w:tcW w:w="3261" w:type="dxa"/>
        </w:tcPr>
        <w:p w:rsidRPr="008C644E" w:rsidR="002D250E" w:rsidP="002D250E" w:rsidRDefault="002D250E" w14:paraId="571F4CDD"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2D250E" w:rsidTr="002D250E" w14:paraId="7A68D756" w14:textId="77777777">
            <w:trPr>
              <w:trHeight w:val="144"/>
            </w:trPr>
            <w:tc>
              <w:tcPr>
                <w:tcW w:w="2559" w:type="dxa"/>
                <w:hideMark/>
              </w:tcPr>
              <w:p w:rsidRPr="008C644E" w:rsidR="002D250E" w:rsidP="002D250E" w:rsidRDefault="002D250E" w14:paraId="66D49CAA" w14:textId="77777777">
                <w:pPr>
                  <w:pStyle w:val="Encabezado"/>
                  <w:rPr>
                    <w:b/>
                  </w:rPr>
                </w:pPr>
                <w:r w:rsidRPr="008C644E">
                  <w:rPr>
                    <w:b/>
                  </w:rPr>
                  <w:t>Recurso de Revisión:</w:t>
                </w:r>
              </w:p>
            </w:tc>
            <w:tc>
              <w:tcPr>
                <w:tcW w:w="3259" w:type="dxa"/>
                <w:hideMark/>
              </w:tcPr>
              <w:p w:rsidRPr="008C644E" w:rsidR="002D250E" w:rsidP="002D250E" w:rsidRDefault="002D250E" w14:paraId="058B128F" w14:textId="77777777">
                <w:pPr>
                  <w:pStyle w:val="Encabezado"/>
                </w:pPr>
                <w:r>
                  <w:t>01206/INFOEM/IP/RR/2022</w:t>
                </w:r>
              </w:p>
            </w:tc>
            <w:tc>
              <w:tcPr>
                <w:tcW w:w="3402" w:type="dxa"/>
              </w:tcPr>
              <w:p w:rsidRPr="008C644E" w:rsidR="002D250E" w:rsidP="002D250E" w:rsidRDefault="002D250E" w14:paraId="4353A189" w14:textId="77777777">
                <w:pPr>
                  <w:pStyle w:val="Encabezado"/>
                  <w:rPr>
                    <w:bCs/>
                  </w:rPr>
                </w:pPr>
              </w:p>
            </w:tc>
          </w:tr>
          <w:tr w:rsidRPr="008C644E" w:rsidR="002D250E" w:rsidTr="002D250E" w14:paraId="6E579F27" w14:textId="77777777">
            <w:trPr>
              <w:trHeight w:val="283"/>
            </w:trPr>
            <w:tc>
              <w:tcPr>
                <w:tcW w:w="2559" w:type="dxa"/>
                <w:hideMark/>
              </w:tcPr>
              <w:p w:rsidRPr="008C644E" w:rsidR="002D250E" w:rsidP="002D250E" w:rsidRDefault="002D250E" w14:paraId="231A04E4" w14:textId="77777777">
                <w:pPr>
                  <w:pStyle w:val="Encabezado"/>
                  <w:rPr>
                    <w:b/>
                  </w:rPr>
                </w:pPr>
                <w:r w:rsidRPr="008C644E">
                  <w:rPr>
                    <w:b/>
                  </w:rPr>
                  <w:t>Sujeto Obligado:</w:t>
                </w:r>
              </w:p>
            </w:tc>
            <w:tc>
              <w:tcPr>
                <w:tcW w:w="3259" w:type="dxa"/>
                <w:hideMark/>
              </w:tcPr>
              <w:p w:rsidRPr="008C644E" w:rsidR="002D250E" w:rsidP="002D250E" w:rsidRDefault="002D250E" w14:paraId="383A620A" w14:textId="77777777">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rsidRPr="008C644E" w:rsidR="002D250E" w:rsidP="002D250E" w:rsidRDefault="002D250E" w14:paraId="32CFF0DA" w14:textId="77777777">
                <w:pPr>
                  <w:pStyle w:val="Encabezado"/>
                </w:pPr>
              </w:p>
            </w:tc>
          </w:tr>
          <w:tr w:rsidRPr="008C644E" w:rsidR="002D250E" w:rsidTr="002D250E" w14:paraId="4A7CE614" w14:textId="77777777">
            <w:trPr>
              <w:trHeight w:val="283"/>
            </w:trPr>
            <w:tc>
              <w:tcPr>
                <w:tcW w:w="2559" w:type="dxa"/>
                <w:hideMark/>
              </w:tcPr>
              <w:p w:rsidRPr="008C644E" w:rsidR="002D250E" w:rsidP="002D250E" w:rsidRDefault="002D250E" w14:paraId="328191B5" w14:textId="77777777">
                <w:pPr>
                  <w:pStyle w:val="Encabezado"/>
                  <w:rPr>
                    <w:b/>
                  </w:rPr>
                </w:pPr>
                <w:r w:rsidRPr="008C644E">
                  <w:rPr>
                    <w:b/>
                  </w:rPr>
                  <w:t xml:space="preserve">Comisionado Ponente: </w:t>
                </w:r>
              </w:p>
            </w:tc>
            <w:tc>
              <w:tcPr>
                <w:tcW w:w="3259" w:type="dxa"/>
                <w:hideMark/>
              </w:tcPr>
              <w:p w:rsidRPr="008C644E" w:rsidR="002D250E" w:rsidP="002D250E" w:rsidRDefault="002D250E" w14:paraId="2FBF8E05" w14:textId="77777777">
                <w:pPr>
                  <w:pStyle w:val="Encabezado"/>
                  <w:rPr>
                    <w:b/>
                  </w:rPr>
                </w:pPr>
                <w:r w:rsidRPr="008C644E">
                  <w:t>Luis Gustavo Parra Noriega</w:t>
                </w:r>
              </w:p>
            </w:tc>
            <w:tc>
              <w:tcPr>
                <w:tcW w:w="3402" w:type="dxa"/>
              </w:tcPr>
              <w:p w:rsidRPr="008C644E" w:rsidR="002D250E" w:rsidP="002D250E" w:rsidRDefault="002D250E" w14:paraId="62B8114F" w14:textId="77777777">
                <w:pPr>
                  <w:pStyle w:val="Encabezado"/>
                </w:pPr>
              </w:p>
            </w:tc>
          </w:tr>
        </w:tbl>
        <w:p w:rsidRPr="008C644E" w:rsidR="002D250E" w:rsidP="002D250E" w:rsidRDefault="002D250E" w14:paraId="34937A10" w14:textId="77777777">
          <w:pPr>
            <w:pStyle w:val="Encabezado"/>
            <w:rPr>
              <w:b/>
            </w:rPr>
          </w:pPr>
        </w:p>
      </w:tc>
    </w:tr>
  </w:tbl>
  <w:p w:rsidR="002D250E" w:rsidRDefault="00382EF7" w14:paraId="606B1669" w14:textId="77777777">
    <w:pPr>
      <w:pStyle w:val="Encabezado"/>
    </w:pPr>
    <w:r>
      <w:rPr>
        <w:noProof/>
      </w:rPr>
      <w:pict w14:anchorId="78D2F8C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1" w:type="dxa"/>
      <w:tblLayout w:type="fixed"/>
      <w:tblLook w:val="04A0" w:firstRow="1" w:lastRow="0" w:firstColumn="1" w:lastColumn="0" w:noHBand="0" w:noVBand="1"/>
    </w:tblPr>
    <w:tblGrid>
      <w:gridCol w:w="3686"/>
      <w:gridCol w:w="7155"/>
    </w:tblGrid>
    <w:tr w:rsidR="002D250E" w:rsidTr="002D250E" w14:paraId="1939944E" w14:textId="77777777">
      <w:trPr>
        <w:trHeight w:val="1435"/>
      </w:trPr>
      <w:tc>
        <w:tcPr>
          <w:tcW w:w="3686" w:type="dxa"/>
        </w:tcPr>
        <w:p w:rsidR="002D250E" w:rsidP="002D250E" w:rsidRDefault="002D250E" w14:paraId="60FC3118" w14:textId="77777777">
          <w:pPr>
            <w:tabs>
              <w:tab w:val="right" w:pos="4273"/>
            </w:tabs>
            <w:spacing w:line="256" w:lineRule="auto"/>
            <w:rPr>
              <w:rFonts w:ascii="Garamond" w:hAnsi="Garamond" w:eastAsia="Calibri"/>
              <w:color w:val="auto"/>
            </w:rPr>
          </w:pPr>
        </w:p>
      </w:tc>
      <w:tc>
        <w:tcPr>
          <w:tcW w:w="7155" w:type="dxa"/>
          <w:hideMark/>
        </w:tcPr>
        <w:p w:rsidR="002D250E" w:rsidRDefault="002D250E" w14:paraId="45F45C55" w14:textId="77777777"/>
        <w:tbl>
          <w:tblPr>
            <w:tblStyle w:val="Tablaconcuadrcula"/>
            <w:tblW w:w="9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01"/>
            <w:gridCol w:w="3932"/>
            <w:gridCol w:w="3130"/>
          </w:tblGrid>
          <w:tr w:rsidR="002D250E" w:rsidTr="00BE54AC" w14:paraId="14F1C924" w14:textId="77777777">
            <w:trPr>
              <w:trHeight w:val="144"/>
            </w:trPr>
            <w:tc>
              <w:tcPr>
                <w:tcW w:w="2301" w:type="dxa"/>
                <w:hideMark/>
              </w:tcPr>
              <w:p w:rsidR="002D250E" w:rsidP="002D250E" w:rsidRDefault="002D250E" w14:paraId="4A86F0F6" w14:textId="77777777">
                <w:pPr>
                  <w:tabs>
                    <w:tab w:val="right" w:pos="8838"/>
                  </w:tabs>
                  <w:ind w:left="-74" w:right="-105"/>
                  <w:rPr>
                    <w:rFonts w:eastAsia="Calibri" w:cs="Tahoma"/>
                    <w:b/>
                  </w:rPr>
                </w:pPr>
                <w:bookmarkStart w:name="_Hlk12526980" w:id="2"/>
                <w:r>
                  <w:rPr>
                    <w:rFonts w:eastAsia="Calibri" w:cs="Tahoma"/>
                    <w:b/>
                  </w:rPr>
                  <w:t>Recurso de Revisión:</w:t>
                </w:r>
              </w:p>
            </w:tc>
            <w:tc>
              <w:tcPr>
                <w:tcW w:w="3932" w:type="dxa"/>
                <w:hideMark/>
              </w:tcPr>
              <w:p w:rsidR="002D250E" w:rsidP="002D250E" w:rsidRDefault="002D250E" w14:paraId="35D6DD2B" w14:textId="7619CF86">
                <w:pPr>
                  <w:tabs>
                    <w:tab w:val="right" w:pos="8838"/>
                  </w:tabs>
                  <w:ind w:left="-74" w:right="-105"/>
                  <w:rPr>
                    <w:rFonts w:eastAsia="Calibri" w:cs="Tahoma"/>
                    <w:bCs/>
                  </w:rPr>
                </w:pPr>
                <w:r w:rsidRPr="007438A1">
                  <w:t>1</w:t>
                </w:r>
                <w:r>
                  <w:t>4531</w:t>
                </w:r>
                <w:r w:rsidRPr="007438A1">
                  <w:t>/INFOEM/IP/RR/2022</w:t>
                </w:r>
              </w:p>
            </w:tc>
            <w:tc>
              <w:tcPr>
                <w:tcW w:w="3130" w:type="dxa"/>
              </w:tcPr>
              <w:p w:rsidR="002D250E" w:rsidP="002D250E" w:rsidRDefault="002D250E" w14:paraId="0EEF7F42" w14:textId="77777777">
                <w:pPr>
                  <w:tabs>
                    <w:tab w:val="right" w:pos="8838"/>
                  </w:tabs>
                  <w:ind w:left="-74" w:right="-105"/>
                  <w:rPr>
                    <w:rFonts w:eastAsia="Calibri" w:cs="Tahoma"/>
                    <w:bCs/>
                  </w:rPr>
                </w:pPr>
              </w:p>
            </w:tc>
            <w:bookmarkEnd w:id="2"/>
          </w:tr>
          <w:tr w:rsidR="002D250E" w:rsidTr="00BE54AC" w14:paraId="775717B9" w14:textId="77777777">
            <w:trPr>
              <w:trHeight w:val="283"/>
            </w:trPr>
            <w:tc>
              <w:tcPr>
                <w:tcW w:w="2301" w:type="dxa"/>
                <w:hideMark/>
              </w:tcPr>
              <w:p w:rsidR="002D250E" w:rsidP="002D250E" w:rsidRDefault="002D250E" w14:paraId="1ABE2C78" w14:textId="77777777">
                <w:pPr>
                  <w:tabs>
                    <w:tab w:val="right" w:pos="8838"/>
                  </w:tabs>
                  <w:ind w:left="-74" w:right="-105"/>
                  <w:rPr>
                    <w:rFonts w:eastAsia="Calibri" w:cs="Tahoma"/>
                    <w:b/>
                  </w:rPr>
                </w:pPr>
                <w:r>
                  <w:rPr>
                    <w:rFonts w:eastAsia="Calibri" w:cs="Tahoma"/>
                    <w:b/>
                  </w:rPr>
                  <w:t>Sujeto Obligado:</w:t>
                </w:r>
              </w:p>
            </w:tc>
            <w:tc>
              <w:tcPr>
                <w:tcW w:w="3932" w:type="dxa"/>
                <w:hideMark/>
              </w:tcPr>
              <w:p w:rsidRPr="008C644E" w:rsidR="002D250E" w:rsidP="002D250E" w:rsidRDefault="002D250E" w14:paraId="0CBCA886" w14:textId="37BA666F">
                <w:pPr>
                  <w:tabs>
                    <w:tab w:val="left" w:pos="2834"/>
                    <w:tab w:val="right" w:pos="8838"/>
                  </w:tabs>
                  <w:ind w:left="-74" w:right="-105"/>
                  <w:rPr>
                    <w:rFonts w:eastAsia="Calibri" w:cs="Tahoma"/>
                  </w:rPr>
                </w:pPr>
                <w:r>
                  <w:rPr>
                    <w:rFonts w:eastAsia="Calibri" w:cs="Tahoma"/>
                    <w:lang w:val="es-MX"/>
                  </w:rPr>
                  <w:t>Ayuntamiento de Melchor Ocampo</w:t>
                </w:r>
              </w:p>
            </w:tc>
            <w:tc>
              <w:tcPr>
                <w:tcW w:w="3130" w:type="dxa"/>
              </w:tcPr>
              <w:p w:rsidR="002D250E" w:rsidP="002D250E" w:rsidRDefault="002D250E" w14:paraId="3C99E79C" w14:textId="77777777">
                <w:pPr>
                  <w:tabs>
                    <w:tab w:val="left" w:pos="2834"/>
                    <w:tab w:val="right" w:pos="8838"/>
                  </w:tabs>
                  <w:ind w:left="-74" w:right="-105"/>
                  <w:rPr>
                    <w:rFonts w:eastAsia="Calibri" w:cs="Tahoma"/>
                  </w:rPr>
                </w:pPr>
              </w:p>
            </w:tc>
          </w:tr>
          <w:tr w:rsidR="002D250E" w:rsidTr="00BE54AC" w14:paraId="7163AB88" w14:textId="77777777">
            <w:trPr>
              <w:trHeight w:val="283"/>
            </w:trPr>
            <w:tc>
              <w:tcPr>
                <w:tcW w:w="2301" w:type="dxa"/>
                <w:hideMark/>
              </w:tcPr>
              <w:p w:rsidR="002D250E" w:rsidP="002D250E" w:rsidRDefault="002D250E" w14:paraId="6335FC0E" w14:textId="77777777">
                <w:pPr>
                  <w:tabs>
                    <w:tab w:val="right" w:pos="8838"/>
                  </w:tabs>
                  <w:ind w:left="-74" w:right="-105"/>
                  <w:rPr>
                    <w:rFonts w:eastAsia="Calibri" w:cs="Tahoma"/>
                    <w:b/>
                  </w:rPr>
                </w:pPr>
                <w:r>
                  <w:rPr>
                    <w:rFonts w:eastAsia="Calibri" w:cs="Tahoma"/>
                    <w:b/>
                  </w:rPr>
                  <w:t xml:space="preserve">Comisionado Ponente: </w:t>
                </w:r>
              </w:p>
            </w:tc>
            <w:tc>
              <w:tcPr>
                <w:tcW w:w="3932" w:type="dxa"/>
                <w:hideMark/>
              </w:tcPr>
              <w:p w:rsidR="002D250E" w:rsidP="002D250E" w:rsidRDefault="002D250E" w14:paraId="29139C00" w14:textId="77777777">
                <w:pPr>
                  <w:tabs>
                    <w:tab w:val="right" w:pos="8838"/>
                  </w:tabs>
                  <w:ind w:left="-74" w:right="-105"/>
                  <w:rPr>
                    <w:rFonts w:eastAsia="Calibri" w:cs="Tahoma"/>
                    <w:b/>
                  </w:rPr>
                </w:pPr>
                <w:r>
                  <w:rPr>
                    <w:rFonts w:eastAsia="Calibri" w:cs="Tahoma"/>
                  </w:rPr>
                  <w:t>Luis Gustavo Parra Noriega</w:t>
                </w:r>
              </w:p>
            </w:tc>
            <w:tc>
              <w:tcPr>
                <w:tcW w:w="3130" w:type="dxa"/>
              </w:tcPr>
              <w:p w:rsidR="002D250E" w:rsidP="002D250E" w:rsidRDefault="002D250E" w14:paraId="70546997" w14:textId="77777777">
                <w:pPr>
                  <w:tabs>
                    <w:tab w:val="right" w:pos="8838"/>
                  </w:tabs>
                  <w:ind w:left="-74" w:right="-105"/>
                  <w:rPr>
                    <w:rFonts w:eastAsia="Calibri" w:cs="Tahoma"/>
                  </w:rPr>
                </w:pPr>
              </w:p>
            </w:tc>
          </w:tr>
        </w:tbl>
        <w:p w:rsidR="002D250E" w:rsidP="002D250E" w:rsidRDefault="002D250E" w14:paraId="17B86CFB" w14:textId="77777777">
          <w:pPr>
            <w:tabs>
              <w:tab w:val="right" w:pos="8838"/>
            </w:tabs>
            <w:spacing w:line="256" w:lineRule="auto"/>
            <w:ind w:left="-28"/>
            <w:rPr>
              <w:rFonts w:ascii="Arial" w:hAnsi="Arial" w:eastAsia="Calibri" w:cs="Arial"/>
              <w:b/>
            </w:rPr>
          </w:pPr>
        </w:p>
      </w:tc>
    </w:tr>
  </w:tbl>
  <w:p w:rsidR="002D250E" w:rsidRDefault="00382EF7" w14:paraId="50FB33E0" w14:textId="77777777">
    <w:pPr>
      <w:pStyle w:val="Encabezado"/>
    </w:pPr>
    <w:r>
      <w:rPr>
        <w:noProof/>
      </w:rPr>
      <w:pict w14:anchorId="509F9FD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2D250E" w:rsidTr="7BD6F48A" w14:paraId="6843F155" w14:textId="77777777">
      <w:trPr>
        <w:trHeight w:val="1435"/>
      </w:trPr>
      <w:tc>
        <w:tcPr>
          <w:tcW w:w="2127" w:type="dxa"/>
          <w:tcMar/>
        </w:tcPr>
        <w:p w:rsidRPr="008C644E" w:rsidR="002D250E" w:rsidP="002D250E" w:rsidRDefault="002D250E" w14:paraId="25F3AB0F" w14:textId="77777777">
          <w:pPr>
            <w:pStyle w:val="Encabezado"/>
          </w:pPr>
        </w:p>
      </w:tc>
      <w:tc>
        <w:tcPr>
          <w:tcW w:w="7512" w:type="dxa"/>
          <w:tcMar/>
          <w:hideMark/>
        </w:tcPr>
        <w:tbl>
          <w:tblPr>
            <w:tblStyle w:val="Tablaconcuadrcula"/>
            <w:tblW w:w="13324" w:type="dxa"/>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968"/>
            <w:gridCol w:w="3402"/>
            <w:gridCol w:w="3402"/>
          </w:tblGrid>
          <w:tr w:rsidRPr="008C644E" w:rsidR="002D250E" w:rsidTr="7BD6F48A" w14:paraId="35F8BF1E" w14:textId="77777777">
            <w:trPr>
              <w:trHeight w:val="144"/>
            </w:trPr>
            <w:tc>
              <w:tcPr>
                <w:tcW w:w="2552" w:type="dxa"/>
                <w:tcMar/>
                <w:hideMark/>
              </w:tcPr>
              <w:p w:rsidRPr="008C644E" w:rsidR="002D250E" w:rsidP="002D250E" w:rsidRDefault="002D250E" w14:paraId="0FF620C4" w14:textId="77777777">
                <w:pPr>
                  <w:pStyle w:val="Encabezado"/>
                  <w:rPr>
                    <w:b/>
                  </w:rPr>
                </w:pPr>
                <w:r w:rsidRPr="008C644E">
                  <w:rPr>
                    <w:b/>
                  </w:rPr>
                  <w:t>Recurso de Revisión:</w:t>
                </w:r>
              </w:p>
            </w:tc>
            <w:tc>
              <w:tcPr>
                <w:tcW w:w="3968" w:type="dxa"/>
                <w:tcMar/>
                <w:hideMark/>
              </w:tcPr>
              <w:p w:rsidRPr="00AC018A" w:rsidR="002D250E" w:rsidP="002D250E" w:rsidRDefault="002D250E" w14:paraId="7053A929" w14:textId="086D86BB">
                <w:pPr>
                  <w:pStyle w:val="Encabezado"/>
                </w:pPr>
                <w:r w:rsidRPr="007438A1">
                  <w:rPr>
                    <w:color w:val="000000"/>
                  </w:rPr>
                  <w:t>1</w:t>
                </w:r>
                <w:r>
                  <w:rPr>
                    <w:color w:val="000000"/>
                  </w:rPr>
                  <w:t>4531</w:t>
                </w:r>
                <w:r w:rsidRPr="007438A1">
                  <w:rPr>
                    <w:color w:val="000000"/>
                  </w:rPr>
                  <w:t>/INFOEM/IP/RR/2022</w:t>
                </w:r>
              </w:p>
            </w:tc>
            <w:tc>
              <w:tcPr>
                <w:tcW w:w="3402" w:type="dxa"/>
                <w:tcMar/>
              </w:tcPr>
              <w:p w:rsidRPr="008C644E" w:rsidR="002D250E" w:rsidP="002D250E" w:rsidRDefault="002D250E" w14:paraId="548D7F4E" w14:textId="77777777">
                <w:pPr>
                  <w:pStyle w:val="Encabezado"/>
                  <w:rPr>
                    <w:bCs/>
                  </w:rPr>
                </w:pPr>
              </w:p>
            </w:tc>
            <w:tc>
              <w:tcPr>
                <w:tcW w:w="3402" w:type="dxa"/>
                <w:tcMar/>
              </w:tcPr>
              <w:p w:rsidRPr="008C644E" w:rsidR="002D250E" w:rsidP="002D250E" w:rsidRDefault="002D250E" w14:paraId="5359C573" w14:textId="77777777">
                <w:pPr>
                  <w:pStyle w:val="Encabezado"/>
                  <w:rPr>
                    <w:bCs/>
                  </w:rPr>
                </w:pPr>
              </w:p>
            </w:tc>
          </w:tr>
          <w:tr w:rsidRPr="008C644E" w:rsidR="002D250E" w:rsidTr="7BD6F48A" w14:paraId="46EDB3AF" w14:textId="77777777">
            <w:trPr>
              <w:trHeight w:val="144"/>
            </w:trPr>
            <w:tc>
              <w:tcPr>
                <w:tcW w:w="2552" w:type="dxa"/>
                <w:tcMar/>
                <w:hideMark/>
              </w:tcPr>
              <w:p w:rsidRPr="008C644E" w:rsidR="002D250E" w:rsidP="002D250E" w:rsidRDefault="002D250E" w14:paraId="22C8C2C8" w14:textId="77777777">
                <w:pPr>
                  <w:pStyle w:val="Encabezado"/>
                  <w:rPr>
                    <w:b/>
                  </w:rPr>
                </w:pPr>
                <w:r w:rsidRPr="008C644E">
                  <w:rPr>
                    <w:b/>
                  </w:rPr>
                  <w:t>Recurrente:</w:t>
                </w:r>
              </w:p>
            </w:tc>
            <w:tc>
              <w:tcPr>
                <w:tcW w:w="3968" w:type="dxa"/>
                <w:tcMar/>
              </w:tcPr>
              <w:p w:rsidRPr="008C644E" w:rsidR="002D250E" w:rsidP="7BD6F48A" w:rsidRDefault="002D250E" w14:paraId="0AE5472E" w14:textId="21647950">
                <w:pPr>
                  <w:pStyle w:val="Encabezado"/>
                  <w:rPr>
                    <w:highlight w:val="black"/>
                  </w:rPr>
                </w:pPr>
                <w:r w:rsidRPr="7BD6F48A" w:rsidR="7BD6F48A">
                  <w:rPr>
                    <w:highlight w:val="black"/>
                  </w:rPr>
                  <w:t>XXXXXXXXXXXXXXXXXXXX</w:t>
                </w:r>
              </w:p>
            </w:tc>
            <w:tc>
              <w:tcPr>
                <w:tcW w:w="3402" w:type="dxa"/>
                <w:tcMar/>
              </w:tcPr>
              <w:p w:rsidRPr="008C644E" w:rsidR="002D250E" w:rsidP="002D250E" w:rsidRDefault="002D250E" w14:paraId="18E85EFE" w14:textId="77777777">
                <w:pPr>
                  <w:pStyle w:val="Encabezado"/>
                </w:pPr>
              </w:p>
            </w:tc>
            <w:tc>
              <w:tcPr>
                <w:tcW w:w="3402" w:type="dxa"/>
                <w:tcMar/>
              </w:tcPr>
              <w:p w:rsidRPr="008C644E" w:rsidR="002D250E" w:rsidP="002D250E" w:rsidRDefault="002D250E" w14:paraId="2591015B" w14:textId="77777777">
                <w:pPr>
                  <w:pStyle w:val="Encabezado"/>
                </w:pPr>
              </w:p>
            </w:tc>
          </w:tr>
          <w:tr w:rsidRPr="008C644E" w:rsidR="002D250E" w:rsidTr="7BD6F48A" w14:paraId="782E581C" w14:textId="77777777">
            <w:trPr>
              <w:trHeight w:val="283"/>
            </w:trPr>
            <w:tc>
              <w:tcPr>
                <w:tcW w:w="2552" w:type="dxa"/>
                <w:tcMar/>
                <w:hideMark/>
              </w:tcPr>
              <w:p w:rsidRPr="008C644E" w:rsidR="002D250E" w:rsidP="002D250E" w:rsidRDefault="002D250E" w14:paraId="2813202F" w14:textId="77777777">
                <w:pPr>
                  <w:pStyle w:val="Encabezado"/>
                  <w:rPr>
                    <w:b/>
                  </w:rPr>
                </w:pPr>
                <w:r w:rsidRPr="008C644E">
                  <w:rPr>
                    <w:b/>
                  </w:rPr>
                  <w:t>Sujeto Obligado:</w:t>
                </w:r>
              </w:p>
            </w:tc>
            <w:tc>
              <w:tcPr>
                <w:tcW w:w="3968" w:type="dxa"/>
                <w:tcMar/>
                <w:hideMark/>
              </w:tcPr>
              <w:p w:rsidRPr="008C644E" w:rsidR="002D250E" w:rsidP="002D250E" w:rsidRDefault="002D250E" w14:paraId="00C67C3A" w14:textId="56E0FB31">
                <w:pPr>
                  <w:pStyle w:val="Encabezado"/>
                </w:pPr>
                <w:r>
                  <w:rPr>
                    <w:lang w:val="es-MX"/>
                  </w:rPr>
                  <w:t>Ayuntamiento de Melchor Ocampo</w:t>
                </w:r>
              </w:p>
            </w:tc>
            <w:tc>
              <w:tcPr>
                <w:tcW w:w="3402" w:type="dxa"/>
                <w:tcMar/>
              </w:tcPr>
              <w:p w:rsidRPr="008C644E" w:rsidR="002D250E" w:rsidP="002D250E" w:rsidRDefault="002D250E" w14:paraId="599865AE" w14:textId="77777777">
                <w:pPr>
                  <w:pStyle w:val="Encabezado"/>
                </w:pPr>
              </w:p>
            </w:tc>
            <w:tc>
              <w:tcPr>
                <w:tcW w:w="3402" w:type="dxa"/>
                <w:tcMar/>
              </w:tcPr>
              <w:p w:rsidRPr="008C644E" w:rsidR="002D250E" w:rsidP="002D250E" w:rsidRDefault="002D250E" w14:paraId="4681AF49" w14:textId="77777777">
                <w:pPr>
                  <w:pStyle w:val="Encabezado"/>
                </w:pPr>
              </w:p>
            </w:tc>
          </w:tr>
          <w:tr w:rsidRPr="008C644E" w:rsidR="002D250E" w:rsidTr="7BD6F48A" w14:paraId="3169A7BA" w14:textId="77777777">
            <w:trPr>
              <w:trHeight w:val="283"/>
            </w:trPr>
            <w:tc>
              <w:tcPr>
                <w:tcW w:w="2552" w:type="dxa"/>
                <w:tcMar/>
                <w:hideMark/>
              </w:tcPr>
              <w:p w:rsidRPr="008C644E" w:rsidR="002D250E" w:rsidP="002D250E" w:rsidRDefault="002D250E" w14:paraId="24F72D26" w14:textId="77777777">
                <w:pPr>
                  <w:pStyle w:val="Encabezado"/>
                  <w:rPr>
                    <w:b/>
                  </w:rPr>
                </w:pPr>
                <w:r w:rsidRPr="008C644E">
                  <w:rPr>
                    <w:b/>
                  </w:rPr>
                  <w:t xml:space="preserve">Comisionado Ponente: </w:t>
                </w:r>
              </w:p>
            </w:tc>
            <w:tc>
              <w:tcPr>
                <w:tcW w:w="3968" w:type="dxa"/>
                <w:tcMar/>
                <w:hideMark/>
              </w:tcPr>
              <w:p w:rsidRPr="008C644E" w:rsidR="002D250E" w:rsidP="002D250E" w:rsidRDefault="002D250E" w14:paraId="398BD1C3" w14:textId="77777777">
                <w:pPr>
                  <w:pStyle w:val="Encabezado"/>
                  <w:rPr>
                    <w:b/>
                  </w:rPr>
                </w:pPr>
                <w:r w:rsidRPr="008C644E">
                  <w:t>Luis Gustavo Parra Noriega</w:t>
                </w:r>
              </w:p>
            </w:tc>
            <w:tc>
              <w:tcPr>
                <w:tcW w:w="3402" w:type="dxa"/>
                <w:tcMar/>
              </w:tcPr>
              <w:p w:rsidRPr="008C644E" w:rsidR="002D250E" w:rsidP="002D250E" w:rsidRDefault="002D250E" w14:paraId="43FB0034" w14:textId="77777777">
                <w:pPr>
                  <w:pStyle w:val="Encabezado"/>
                </w:pPr>
              </w:p>
            </w:tc>
            <w:tc>
              <w:tcPr>
                <w:tcW w:w="3402" w:type="dxa"/>
                <w:tcMar/>
              </w:tcPr>
              <w:p w:rsidRPr="008C644E" w:rsidR="002D250E" w:rsidP="002D250E" w:rsidRDefault="002D250E" w14:paraId="0F43A6FB" w14:textId="77777777">
                <w:pPr>
                  <w:pStyle w:val="Encabezado"/>
                </w:pPr>
              </w:p>
            </w:tc>
          </w:tr>
        </w:tbl>
        <w:p w:rsidRPr="008C644E" w:rsidR="002D250E" w:rsidP="002D250E" w:rsidRDefault="002D250E" w14:paraId="3D545B6B" w14:textId="77777777">
          <w:pPr>
            <w:pStyle w:val="Encabezado"/>
            <w:rPr>
              <w:b/>
            </w:rPr>
          </w:pPr>
        </w:p>
      </w:tc>
    </w:tr>
  </w:tbl>
  <w:p w:rsidR="002D250E" w:rsidRDefault="00382EF7" w14:paraId="118E4570" w14:textId="77777777">
    <w:pPr>
      <w:pStyle w:val="Encabezado"/>
    </w:pPr>
    <w:r>
      <w:rPr>
        <w:noProof/>
      </w:rPr>
      <w:pict w14:anchorId="16C322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5pt;width:663.5pt;height:12in;z-index:-251655168;mso-position-horizontal-relative:margin;mso-position-vertical-relative:margin" o:spid="_x0000_s1027"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9D4"/>
    <w:multiLevelType w:val="hybridMultilevel"/>
    <w:tmpl w:val="C0143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1914E5D"/>
    <w:multiLevelType w:val="hybridMultilevel"/>
    <w:tmpl w:val="F7B8F5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29675C6"/>
    <w:multiLevelType w:val="hybridMultilevel"/>
    <w:tmpl w:val="208E6D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43D53B6"/>
    <w:multiLevelType w:val="hybridMultilevel"/>
    <w:tmpl w:val="5F9EC08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C5E23B5"/>
    <w:multiLevelType w:val="hybridMultilevel"/>
    <w:tmpl w:val="1D20CE88"/>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5"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6" w15:restartNumberingAfterBreak="0">
    <w:nsid w:val="1D1B4F13"/>
    <w:multiLevelType w:val="hybridMultilevel"/>
    <w:tmpl w:val="A9E8DB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26420BD"/>
    <w:multiLevelType w:val="hybridMultilevel"/>
    <w:tmpl w:val="8D0C77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8893BC0"/>
    <w:multiLevelType w:val="hybridMultilevel"/>
    <w:tmpl w:val="90F451EC"/>
    <w:lvl w:ilvl="0" w:tplc="59B25A3C">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BFF0AF0"/>
    <w:multiLevelType w:val="hybridMultilevel"/>
    <w:tmpl w:val="85F0DF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72218E0"/>
    <w:multiLevelType w:val="hybridMultilevel"/>
    <w:tmpl w:val="FEFCC8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FD1763"/>
    <w:multiLevelType w:val="hybridMultilevel"/>
    <w:tmpl w:val="D2662C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71A64A7"/>
    <w:multiLevelType w:val="hybridMultilevel"/>
    <w:tmpl w:val="5E7293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06187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644840">
    <w:abstractNumId w:val="4"/>
  </w:num>
  <w:num w:numId="3" w16cid:durableId="1010259742">
    <w:abstractNumId w:val="0"/>
  </w:num>
  <w:num w:numId="4" w16cid:durableId="1448357371">
    <w:abstractNumId w:val="9"/>
  </w:num>
  <w:num w:numId="5" w16cid:durableId="1566599091">
    <w:abstractNumId w:val="17"/>
  </w:num>
  <w:num w:numId="6" w16cid:durableId="338772790">
    <w:abstractNumId w:val="5"/>
  </w:num>
  <w:num w:numId="7" w16cid:durableId="1420715773">
    <w:abstractNumId w:val="6"/>
  </w:num>
  <w:num w:numId="8" w16cid:durableId="704447911">
    <w:abstractNumId w:val="14"/>
  </w:num>
  <w:num w:numId="9" w16cid:durableId="1943806099">
    <w:abstractNumId w:val="13"/>
  </w:num>
  <w:num w:numId="10" w16cid:durableId="1840927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2628042">
    <w:abstractNumId w:val="1"/>
  </w:num>
  <w:num w:numId="12" w16cid:durableId="506139942">
    <w:abstractNumId w:val="2"/>
  </w:num>
  <w:num w:numId="13" w16cid:durableId="742608551">
    <w:abstractNumId w:val="7"/>
  </w:num>
  <w:num w:numId="14" w16cid:durableId="1193616613">
    <w:abstractNumId w:val="3"/>
  </w:num>
  <w:num w:numId="15" w16cid:durableId="567302740">
    <w:abstractNumId w:val="8"/>
  </w:num>
  <w:num w:numId="16" w16cid:durableId="1129786529">
    <w:abstractNumId w:val="11"/>
  </w:num>
  <w:num w:numId="17" w16cid:durableId="335620521">
    <w:abstractNumId w:val="18"/>
  </w:num>
  <w:num w:numId="18" w16cid:durableId="1791053220">
    <w:abstractNumId w:val="12"/>
  </w:num>
  <w:num w:numId="19" w16cid:durableId="996809972">
    <w:abstractNumId w:val="10"/>
  </w:num>
  <w:num w:numId="20" w16cid:durableId="1715108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AC"/>
    <w:rsid w:val="00003F47"/>
    <w:rsid w:val="00036F4B"/>
    <w:rsid w:val="000638E0"/>
    <w:rsid w:val="00066554"/>
    <w:rsid w:val="00132730"/>
    <w:rsid w:val="001403A8"/>
    <w:rsid w:val="0015296F"/>
    <w:rsid w:val="001D5986"/>
    <w:rsid w:val="0024024E"/>
    <w:rsid w:val="00247402"/>
    <w:rsid w:val="002C430A"/>
    <w:rsid w:val="002D250E"/>
    <w:rsid w:val="002E3E3C"/>
    <w:rsid w:val="0032547B"/>
    <w:rsid w:val="003475CC"/>
    <w:rsid w:val="00362745"/>
    <w:rsid w:val="00382EF7"/>
    <w:rsid w:val="003F0B01"/>
    <w:rsid w:val="004524ED"/>
    <w:rsid w:val="004B5B74"/>
    <w:rsid w:val="004C3837"/>
    <w:rsid w:val="004D3830"/>
    <w:rsid w:val="004D6823"/>
    <w:rsid w:val="00522228"/>
    <w:rsid w:val="00533A31"/>
    <w:rsid w:val="00562C0C"/>
    <w:rsid w:val="005C0648"/>
    <w:rsid w:val="00627F82"/>
    <w:rsid w:val="00651EFA"/>
    <w:rsid w:val="0066009B"/>
    <w:rsid w:val="006729A7"/>
    <w:rsid w:val="006935C8"/>
    <w:rsid w:val="006E193F"/>
    <w:rsid w:val="006E3A4C"/>
    <w:rsid w:val="006F0EC3"/>
    <w:rsid w:val="007058E2"/>
    <w:rsid w:val="0079692B"/>
    <w:rsid w:val="007A10DA"/>
    <w:rsid w:val="007E09C6"/>
    <w:rsid w:val="007E750B"/>
    <w:rsid w:val="008265D2"/>
    <w:rsid w:val="00831D02"/>
    <w:rsid w:val="0087131B"/>
    <w:rsid w:val="008A449F"/>
    <w:rsid w:val="008E6FE9"/>
    <w:rsid w:val="009924BC"/>
    <w:rsid w:val="00994A4F"/>
    <w:rsid w:val="00A13FD0"/>
    <w:rsid w:val="00A162C5"/>
    <w:rsid w:val="00A3415C"/>
    <w:rsid w:val="00A42528"/>
    <w:rsid w:val="00A51569"/>
    <w:rsid w:val="00A553EB"/>
    <w:rsid w:val="00A96624"/>
    <w:rsid w:val="00AA25BD"/>
    <w:rsid w:val="00AB2D2F"/>
    <w:rsid w:val="00AD7E44"/>
    <w:rsid w:val="00AE40D9"/>
    <w:rsid w:val="00B55D1F"/>
    <w:rsid w:val="00B63197"/>
    <w:rsid w:val="00BE54AC"/>
    <w:rsid w:val="00C674B2"/>
    <w:rsid w:val="00C912FE"/>
    <w:rsid w:val="00CC6D06"/>
    <w:rsid w:val="00D16717"/>
    <w:rsid w:val="00D40954"/>
    <w:rsid w:val="00D4524E"/>
    <w:rsid w:val="00D61D96"/>
    <w:rsid w:val="00D77AB7"/>
    <w:rsid w:val="00D8042E"/>
    <w:rsid w:val="00E02D46"/>
    <w:rsid w:val="00E15953"/>
    <w:rsid w:val="00E17A5F"/>
    <w:rsid w:val="00E26540"/>
    <w:rsid w:val="00E879C1"/>
    <w:rsid w:val="00E92816"/>
    <w:rsid w:val="00ED6AAC"/>
    <w:rsid w:val="00EE3339"/>
    <w:rsid w:val="00F257AC"/>
    <w:rsid w:val="00FB0304"/>
    <w:rsid w:val="00FB722B"/>
    <w:rsid w:val="7BD6F4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248F"/>
  <w15:chartTrackingRefBased/>
  <w15:docId w15:val="{7187A085-181B-42BA-8ACC-BBB644D0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54AC"/>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E54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E54AC"/>
    <w:rPr>
      <w:rFonts w:ascii="Palatino Linotype" w:hAnsi="Palatino Linotype"/>
      <w:color w:val="000000" w:themeColor="text1"/>
    </w:rPr>
  </w:style>
  <w:style w:type="paragraph" w:styleId="Piedepgina">
    <w:name w:val="footer"/>
    <w:basedOn w:val="Normal"/>
    <w:link w:val="PiedepginaCar"/>
    <w:uiPriority w:val="99"/>
    <w:unhideWhenUsed/>
    <w:rsid w:val="00BE54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E54AC"/>
    <w:rPr>
      <w:rFonts w:ascii="Palatino Linotype" w:hAnsi="Palatino Linotype"/>
      <w:color w:val="000000" w:themeColor="text1"/>
    </w:rPr>
  </w:style>
  <w:style w:type="table" w:styleId="Tablaconcuadrcula">
    <w:name w:val="Table Grid"/>
    <w:basedOn w:val="Tablanormal"/>
    <w:uiPriority w:val="59"/>
    <w:rsid w:val="00BE54AC"/>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E54AC"/>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54AC"/>
    <w:pPr>
      <w:spacing w:after="0" w:line="240" w:lineRule="auto"/>
      <w:ind w:left="720"/>
      <w:contextualSpacing/>
      <w:jc w:val="left"/>
    </w:pPr>
    <w:rPr>
      <w:rFonts w:ascii="Century Gothic" w:hAnsi="Century Gothic" w:eastAsia="Times New Roman" w:cs="Times New Roman"/>
      <w:color w:val="auto"/>
      <w:szCs w:val="24"/>
      <w:lang w:eastAsia="es-ES"/>
    </w:rPr>
  </w:style>
  <w:style w:type="paragraph" w:styleId="paragraph" w:customStyle="1">
    <w:name w:val="paragraph"/>
    <w:basedOn w:val="Normal"/>
    <w:rsid w:val="00BE54AC"/>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normaltextrun" w:customStyle="1">
    <w:name w:val="normaltextrun"/>
    <w:basedOn w:val="Fuentedeprrafopredeter"/>
    <w:rsid w:val="00BE54AC"/>
  </w:style>
  <w:style w:type="character" w:styleId="eop" w:customStyle="1">
    <w:name w:val="eop"/>
    <w:basedOn w:val="Fuentedeprrafopredeter"/>
    <w:rsid w:val="00BE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4487">
      <w:bodyDiv w:val="1"/>
      <w:marLeft w:val="0"/>
      <w:marRight w:val="0"/>
      <w:marTop w:val="0"/>
      <w:marBottom w:val="0"/>
      <w:divBdr>
        <w:top w:val="none" w:sz="0" w:space="0" w:color="auto"/>
        <w:left w:val="none" w:sz="0" w:space="0" w:color="auto"/>
        <w:bottom w:val="none" w:sz="0" w:space="0" w:color="auto"/>
        <w:right w:val="none" w:sz="0" w:space="0" w:color="auto"/>
      </w:divBdr>
    </w:div>
    <w:div w:id="929893133">
      <w:bodyDiv w:val="1"/>
      <w:marLeft w:val="0"/>
      <w:marRight w:val="0"/>
      <w:marTop w:val="0"/>
      <w:marBottom w:val="0"/>
      <w:divBdr>
        <w:top w:val="none" w:sz="0" w:space="0" w:color="auto"/>
        <w:left w:val="none" w:sz="0" w:space="0" w:color="auto"/>
        <w:bottom w:val="none" w:sz="0" w:space="0" w:color="auto"/>
        <w:right w:val="none" w:sz="0" w:space="0" w:color="auto"/>
      </w:divBdr>
    </w:div>
    <w:div w:id="1421872615">
      <w:bodyDiv w:val="1"/>
      <w:marLeft w:val="0"/>
      <w:marRight w:val="0"/>
      <w:marTop w:val="0"/>
      <w:marBottom w:val="0"/>
      <w:divBdr>
        <w:top w:val="none" w:sz="0" w:space="0" w:color="auto"/>
        <w:left w:val="none" w:sz="0" w:space="0" w:color="auto"/>
        <w:bottom w:val="none" w:sz="0" w:space="0" w:color="auto"/>
        <w:right w:val="none" w:sz="0" w:space="0" w:color="auto"/>
      </w:divBdr>
    </w:div>
    <w:div w:id="2038771147">
      <w:bodyDiv w:val="1"/>
      <w:marLeft w:val="0"/>
      <w:marRight w:val="0"/>
      <w:marTop w:val="0"/>
      <w:marBottom w:val="0"/>
      <w:divBdr>
        <w:top w:val="none" w:sz="0" w:space="0" w:color="auto"/>
        <w:left w:val="none" w:sz="0" w:space="0" w:color="auto"/>
        <w:bottom w:val="none" w:sz="0" w:space="0" w:color="auto"/>
        <w:right w:val="none" w:sz="0" w:space="0" w:color="auto"/>
      </w:divBdr>
    </w:div>
    <w:div w:id="2039430843">
      <w:bodyDiv w:val="1"/>
      <w:marLeft w:val="0"/>
      <w:marRight w:val="0"/>
      <w:marTop w:val="0"/>
      <w:marBottom w:val="0"/>
      <w:divBdr>
        <w:top w:val="none" w:sz="0" w:space="0" w:color="auto"/>
        <w:left w:val="none" w:sz="0" w:space="0" w:color="auto"/>
        <w:bottom w:val="none" w:sz="0" w:space="0" w:color="auto"/>
        <w:right w:val="none" w:sz="0" w:space="0" w:color="auto"/>
      </w:divBdr>
    </w:div>
    <w:div w:id="206786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upport.google.com/mail/answer/6584?co=GENIE.Platform%3DDesktop&amp;hl=es"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yperlink" Target="https://www.gob.mx/sesnsp/acciones-y-programas/incidencia-delictiva-del-fuero-comun-nueva-metodologia?state=published" TargetMode="External"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ecretariadoejecutivo.gob.mx/work/models/SecretariadoEjecutivo/Resource/328/1/images/instructivo_final_edo_fuerza(1).pdf" TargetMode="External" Id="rId14" /><Relationship Type="http://schemas.openxmlformats.org/officeDocument/2006/relationships/fontTable" Target="fontTable.xml" Id="rId22" /><Relationship Type="http://schemas.openxmlformats.org/officeDocument/2006/relationships/glossaryDocument" Target="glossary/document.xml" Id="R10b721d5ed7a49a8"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daa9c0-39ea-441a-8e17-889dcd4514b5}"/>
      </w:docPartPr>
      <w:docPartBody>
        <w:p w14:paraId="7BD6F48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1E7A2-7965-4099-9A1C-CC83C1D016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12</revision>
  <dcterms:created xsi:type="dcterms:W3CDTF">2023-03-23T01:04:00.0000000Z</dcterms:created>
  <dcterms:modified xsi:type="dcterms:W3CDTF">2023-04-16T04:38:56.2397186Z</dcterms:modified>
</coreProperties>
</file>