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cinco de julio de dos mil veintitrés. </w:t>
      </w:r>
    </w:p>
    <w:p w:rsidR="00000000" w:rsidDel="00000000" w:rsidP="00000000" w:rsidRDefault="00000000" w:rsidRPr="00000000" w14:paraId="0000000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VISTOS</w:t>
      </w:r>
      <w:r w:rsidDel="00000000" w:rsidR="00000000" w:rsidRPr="00000000">
        <w:rPr>
          <w:rFonts w:ascii="Palatino Linotype" w:cs="Palatino Linotype" w:eastAsia="Palatino Linotype" w:hAnsi="Palatino Linotype"/>
          <w:rtl w:val="0"/>
        </w:rPr>
        <w:t xml:space="preserve"> los expedientes formados con motivo de los recursos de revisión </w:t>
      </w:r>
      <w:r w:rsidDel="00000000" w:rsidR="00000000" w:rsidRPr="00000000">
        <w:rPr>
          <w:rFonts w:ascii="Palatino Linotype" w:cs="Palatino Linotype" w:eastAsia="Palatino Linotype" w:hAnsi="Palatino Linotype"/>
          <w:b w:val="1"/>
          <w:rtl w:val="0"/>
        </w:rPr>
        <w:t xml:space="preserve">17514/INFOEM/IP/RR/2022, 17515/INFOEM/IP/RR/2022 y 17516/INFOEM/IP/RR/2022 </w:t>
      </w:r>
      <w:r w:rsidDel="00000000" w:rsidR="00000000" w:rsidRPr="00000000">
        <w:rPr>
          <w:rFonts w:ascii="Palatino Linotype" w:cs="Palatino Linotype" w:eastAsia="Palatino Linotype" w:hAnsi="Palatino Linotype"/>
          <w:rtl w:val="0"/>
        </w:rPr>
        <w:t xml:space="preserve">interpuestos por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quien dijo ser </w:t>
      </w:r>
      <w:r w:rsidDel="00000000" w:rsidR="00000000" w:rsidRPr="00000000">
        <w:rPr>
          <w:rFonts w:ascii="Palatino Linotype" w:cs="Palatino Linotype" w:eastAsia="Palatino Linotype" w:hAnsi="Palatino Linotype"/>
          <w:b w:val="1"/>
          <w:rtl w:val="0"/>
        </w:rPr>
        <w:t xml:space="preserve">XXXX XXXXXXXXX XXXXXX XXXXXXXX, </w:t>
      </w:r>
      <w:r w:rsidDel="00000000" w:rsidR="00000000" w:rsidRPr="00000000">
        <w:rPr>
          <w:rFonts w:ascii="Palatino Linotype" w:cs="Palatino Linotype" w:eastAsia="Palatino Linotype" w:hAnsi="Palatino Linotype"/>
          <w:rtl w:val="0"/>
        </w:rPr>
        <w:t xml:space="preserve">a quien en lo sucesivo se le denominará como</w:t>
      </w:r>
      <w:r w:rsidDel="00000000" w:rsidR="00000000" w:rsidRPr="00000000">
        <w:rPr>
          <w:rFonts w:ascii="Palatino Linotype" w:cs="Palatino Linotype" w:eastAsia="Palatino Linotype" w:hAnsi="Palatino Linotype"/>
          <w:b w:val="1"/>
          <w:rtl w:val="0"/>
        </w:rPr>
        <w:t xml:space="preserve"> LA PARTE RECURRENTE,</w:t>
      </w:r>
      <w:r w:rsidDel="00000000" w:rsidR="00000000" w:rsidRPr="00000000">
        <w:rPr>
          <w:rFonts w:ascii="Palatino Linotype" w:cs="Palatino Linotype" w:eastAsia="Palatino Linotype" w:hAnsi="Palatino Linotype"/>
          <w:rtl w:val="0"/>
        </w:rPr>
        <w:t xml:space="preserve"> en contra de las respuestas a las solicitudes de acceso a la información de folios </w:t>
      </w:r>
      <w:r w:rsidDel="00000000" w:rsidR="00000000" w:rsidRPr="00000000">
        <w:rPr>
          <w:rFonts w:ascii="Palatino Linotype" w:cs="Palatino Linotype" w:eastAsia="Palatino Linotype" w:hAnsi="Palatino Linotype"/>
          <w:b w:val="1"/>
          <w:rtl w:val="0"/>
        </w:rPr>
        <w:t xml:space="preserve">00289/TEMOAYA/IP/2022, 00290/TEMOAYA/IP/2022</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00291/TEMOAYA/IP/2022</w:t>
      </w:r>
      <w:r w:rsidDel="00000000" w:rsidR="00000000" w:rsidRPr="00000000">
        <w:rPr>
          <w:rFonts w:ascii="Palatino Linotype" w:cs="Palatino Linotype" w:eastAsia="Palatino Linotype" w:hAnsi="Palatino Linotype"/>
          <w:rtl w:val="0"/>
        </w:rPr>
        <w:t xml:space="preserve"> por parte del</w:t>
      </w:r>
      <w:r w:rsidDel="00000000" w:rsidR="00000000" w:rsidRPr="00000000">
        <w:rPr>
          <w:rFonts w:ascii="Palatino Linotype" w:cs="Palatino Linotype" w:eastAsia="Palatino Linotype" w:hAnsi="Palatino Linotype"/>
          <w:b w:val="1"/>
          <w:rtl w:val="0"/>
        </w:rPr>
        <w:t xml:space="preserve"> Ayuntamiento de Temoaya, </w:t>
      </w:r>
      <w:r w:rsidDel="00000000" w:rsidR="00000000" w:rsidRPr="00000000">
        <w:rPr>
          <w:rFonts w:ascii="Palatino Linotype" w:cs="Palatino Linotype" w:eastAsia="Palatino Linotype" w:hAnsi="Palatino Linotype"/>
          <w:rtl w:val="0"/>
        </w:rPr>
        <w:t xml:space="preserve">que en lo subsecuente se le referirá como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pacing w:line="360" w:lineRule="auto"/>
        <w:ind w:left="1080"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080" w:firstLine="0"/>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Solicitudes de acceso a la información.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veintitrés de noviembre dos mil veintidós,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o SAIMEX</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ante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las siguientes solicitudes de acceso a la información pública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las cuales requirió la información siguiente:</w:t>
      </w:r>
    </w:p>
    <w:p w:rsidR="00000000" w:rsidDel="00000000" w:rsidP="00000000" w:rsidRDefault="00000000" w:rsidRPr="00000000" w14:paraId="00000008">
      <w:pPr>
        <w:spacing w:line="360" w:lineRule="auto"/>
        <w:jc w:val="both"/>
        <w:rPr>
          <w:rFonts w:ascii="Palatino Linotype" w:cs="Palatino Linotype" w:eastAsia="Palatino Linotype" w:hAnsi="Palatino Linotype"/>
        </w:rPr>
      </w:pPr>
      <w:r w:rsidDel="00000000" w:rsidR="00000000" w:rsidRPr="00000000">
        <w:rPr>
          <w:rtl w:val="0"/>
        </w:rPr>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5998"/>
        <w:tblGridChange w:id="0">
          <w:tblGrid>
            <w:gridCol w:w="2830"/>
            <w:gridCol w:w="5998"/>
          </w:tblGrid>
        </w:tblGridChange>
      </w:tblGrid>
      <w:tr>
        <w:trPr>
          <w:cantSplit w:val="0"/>
          <w:tblHeader w:val="0"/>
        </w:trPr>
        <w:tc>
          <w:tcPr>
            <w:gridSpan w:val="2"/>
            <w:shd w:fill="d9d9d9" w:val="clear"/>
          </w:tcPr>
          <w:p w:rsidR="00000000" w:rsidDel="00000000" w:rsidP="00000000" w:rsidRDefault="00000000" w:rsidRPr="00000000" w14:paraId="00000009">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VEINTITRÉS DE NOVIEMBRE DE DOS MIL VEINTIDÓS</w:t>
            </w:r>
          </w:p>
        </w:tc>
      </w:tr>
      <w:tr>
        <w:trPr>
          <w:cantSplit w:val="0"/>
          <w:tblHeader w:val="0"/>
        </w:trPr>
        <w:tc>
          <w:tcPr/>
          <w:p w:rsidR="00000000" w:rsidDel="00000000" w:rsidP="00000000" w:rsidRDefault="00000000" w:rsidRPr="00000000" w14:paraId="0000000B">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tc>
        <w:tc>
          <w:tcPr/>
          <w:p w:rsidR="00000000" w:rsidDel="00000000" w:rsidP="00000000" w:rsidRDefault="00000000" w:rsidRPr="00000000" w14:paraId="0000000C">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REQUERMIENTO</w:t>
            </w:r>
          </w:p>
        </w:tc>
      </w:tr>
      <w:tr>
        <w:trPr>
          <w:cantSplit w:val="0"/>
          <w:tblHeader w:val="0"/>
        </w:trPr>
        <w:tc>
          <w:tcPr>
            <w:vAlign w:val="center"/>
          </w:tcPr>
          <w:p w:rsidR="00000000" w:rsidDel="00000000" w:rsidP="00000000" w:rsidRDefault="00000000" w:rsidRPr="00000000" w14:paraId="0000000D">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00289/TEMOAYA/IP/2022</w:t>
            </w:r>
            <w:r w:rsidDel="00000000" w:rsidR="00000000" w:rsidRPr="00000000">
              <w:rPr>
                <w:rtl w:val="0"/>
              </w:rPr>
            </w:r>
          </w:p>
        </w:tc>
        <w:tc>
          <w:tcPr>
            <w:vAlign w:val="center"/>
          </w:tcPr>
          <w:p w:rsidR="00000000" w:rsidDel="00000000" w:rsidP="00000000" w:rsidRDefault="00000000" w:rsidRPr="00000000" w14:paraId="0000000E">
            <w:pPr>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“Actualmente ¿Cuál es el horario y el lugar de atención de los grupos de la servidora pública Guillermina Victoriano Ramírez?” (Sic)</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0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00290/TEMOAYA/IP/2022</w:t>
            </w:r>
            <w:r w:rsidDel="00000000" w:rsidR="00000000" w:rsidRPr="00000000">
              <w:rPr>
                <w:rtl w:val="0"/>
              </w:rPr>
            </w:r>
          </w:p>
        </w:tc>
        <w:tc>
          <w:tcPr>
            <w:vAlign w:val="center"/>
          </w:tcPr>
          <w:p w:rsidR="00000000" w:rsidDel="00000000" w:rsidP="00000000" w:rsidRDefault="00000000" w:rsidRPr="00000000" w14:paraId="00000010">
            <w:pPr>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“Actualmente ¿Cuál es el horario y el lugar de atención de los grupos de la servidora pública Dulce Dalila Arana Piña?” (Sic)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1">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00291/TEMOAYA/IP/2022</w:t>
            </w:r>
          </w:p>
        </w:tc>
        <w:tc>
          <w:tcPr>
            <w:vAlign w:val="center"/>
          </w:tcPr>
          <w:p w:rsidR="00000000" w:rsidDel="00000000" w:rsidP="00000000" w:rsidRDefault="00000000" w:rsidRPr="00000000" w14:paraId="00000012">
            <w:pPr>
              <w:jc w:val="center"/>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“Actualmente ¿Cuál es el horario y el lugar de atención de los grupos de la servidora pública Liliana Florentino Gabriel?” (Sic)</w:t>
            </w:r>
          </w:p>
        </w:tc>
      </w:tr>
    </w:tbl>
    <w:p w:rsidR="00000000" w:rsidDel="00000000" w:rsidP="00000000" w:rsidRDefault="00000000" w:rsidRPr="00000000" w14:paraId="00000013">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del SAIMEX.</w:t>
      </w:r>
    </w:p>
    <w:p w:rsidR="00000000" w:rsidDel="00000000" w:rsidP="00000000" w:rsidRDefault="00000000" w:rsidRPr="00000000" w14:paraId="00000015">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catorce de diciembre de dos mil veintidós,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remitió a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las tres respuestas a las solicitudes de acceso a la Información, mediante oficios signados por la Dirección de la Mujer del Ayuntamiento de Temoaya al tenor siguiente: </w:t>
      </w:r>
    </w:p>
    <w:p w:rsidR="00000000" w:rsidDel="00000000" w:rsidP="00000000" w:rsidRDefault="00000000" w:rsidRPr="00000000" w14:paraId="00000017">
      <w:pPr>
        <w:spacing w:line="360" w:lineRule="auto"/>
        <w:jc w:val="both"/>
        <w:rPr>
          <w:rFonts w:ascii="Palatino Linotype" w:cs="Palatino Linotype" w:eastAsia="Palatino Linotype" w:hAnsi="Palatino Linotype"/>
        </w:rPr>
      </w:pPr>
      <w:r w:rsidDel="00000000" w:rsidR="00000000" w:rsidRPr="00000000">
        <w:rPr>
          <w:rtl w:val="0"/>
        </w:rPr>
      </w:r>
    </w:p>
    <w:tbl>
      <w:tblPr>
        <w:tblStyle w:val="Table2"/>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5998"/>
        <w:tblGridChange w:id="0">
          <w:tblGrid>
            <w:gridCol w:w="2830"/>
            <w:gridCol w:w="5998"/>
          </w:tblGrid>
        </w:tblGridChange>
      </w:tblGrid>
      <w:tr>
        <w:trPr>
          <w:cantSplit w:val="0"/>
          <w:tblHeader w:val="0"/>
        </w:trPr>
        <w:tc>
          <w:tcPr>
            <w:gridSpan w:val="2"/>
            <w:shd w:fill="d9d9d9" w:val="clear"/>
          </w:tcPr>
          <w:p w:rsidR="00000000" w:rsidDel="00000000" w:rsidP="00000000" w:rsidRDefault="00000000" w:rsidRPr="00000000" w14:paraId="00000018">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CATORCE DE DICIEMBRE DE DOS MIL VEINTIDÓS</w:t>
            </w:r>
          </w:p>
        </w:tc>
      </w:tr>
      <w:tr>
        <w:trPr>
          <w:cantSplit w:val="0"/>
          <w:tblHeader w:val="0"/>
        </w:trPr>
        <w:tc>
          <w:tcPr/>
          <w:p w:rsidR="00000000" w:rsidDel="00000000" w:rsidP="00000000" w:rsidRDefault="00000000" w:rsidRPr="00000000" w14:paraId="0000001A">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tc>
        <w:tc>
          <w:tcPr/>
          <w:p w:rsidR="00000000" w:rsidDel="00000000" w:rsidP="00000000" w:rsidRDefault="00000000" w:rsidRPr="00000000" w14:paraId="0000001B">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r>
      <w:tr>
        <w:trPr>
          <w:cantSplit w:val="0"/>
          <w:tblHeader w:val="0"/>
        </w:trPr>
        <w:tc>
          <w:tcPr>
            <w:vAlign w:val="center"/>
          </w:tcPr>
          <w:p w:rsidR="00000000" w:rsidDel="00000000" w:rsidP="00000000" w:rsidRDefault="00000000" w:rsidRPr="00000000" w14:paraId="0000001C">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00289/TEMOAYA/IP/2022</w:t>
            </w:r>
            <w:r w:rsidDel="00000000" w:rsidR="00000000" w:rsidRPr="00000000">
              <w:rPr>
                <w:rtl w:val="0"/>
              </w:rPr>
            </w:r>
          </w:p>
        </w:tc>
        <w:tc>
          <w:tcPr>
            <w:vAlign w:val="center"/>
          </w:tcPr>
          <w:p w:rsidR="00000000" w:rsidDel="00000000" w:rsidP="00000000" w:rsidRDefault="00000000" w:rsidRPr="00000000" w14:paraId="0000001D">
            <w:pPr>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OFICIO </w:t>
            </w:r>
            <w:r w:rsidDel="00000000" w:rsidR="00000000" w:rsidRPr="00000000">
              <w:rPr>
                <w:rFonts w:ascii="Palatino Linotype" w:cs="Palatino Linotype" w:eastAsia="Palatino Linotype" w:hAnsi="Palatino Linotype"/>
                <w:i w:val="1"/>
                <w:sz w:val="22"/>
                <w:szCs w:val="22"/>
                <w:rtl w:val="0"/>
              </w:rPr>
              <w:t xml:space="preserve">DM/505/2022</w:t>
            </w:r>
          </w:p>
          <w:p w:rsidR="00000000" w:rsidDel="00000000" w:rsidP="00000000" w:rsidRDefault="00000000" w:rsidRPr="00000000" w14:paraId="0000001E">
            <w:pPr>
              <w:jc w:val="both"/>
              <w:rPr>
                <w:rFonts w:ascii="Palatino Linotype" w:cs="Palatino Linotype" w:eastAsia="Palatino Linotype" w:hAnsi="Palatino Linotype"/>
                <w:sz w:val="22"/>
                <w:szCs w:val="22"/>
              </w:rPr>
            </w:pPr>
            <w:r w:rsidDel="00000000" w:rsidR="00000000" w:rsidRPr="00000000">
              <w:rPr/>
              <w:drawing>
                <wp:inline distB="0" distT="0" distL="0" distR="0">
                  <wp:extent cx="3681001" cy="684844"/>
                  <wp:effectExtent b="0" l="0" r="0" t="0"/>
                  <wp:docPr id="38" name="image6.png"/>
                  <a:graphic>
                    <a:graphicData uri="http://schemas.openxmlformats.org/drawingml/2006/picture">
                      <pic:pic>
                        <pic:nvPicPr>
                          <pic:cNvPr id="0" name="image6.png"/>
                          <pic:cNvPicPr preferRelativeResize="0"/>
                        </pic:nvPicPr>
                        <pic:blipFill>
                          <a:blip r:embed="rId7"/>
                          <a:srcRect b="22505" l="5270" r="12343" t="50241"/>
                          <a:stretch>
                            <a:fillRect/>
                          </a:stretch>
                        </pic:blipFill>
                        <pic:spPr>
                          <a:xfrm>
                            <a:off x="0" y="0"/>
                            <a:ext cx="3681001" cy="684844"/>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F">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00290/TEMOAYA/IP/2022</w:t>
            </w:r>
            <w:r w:rsidDel="00000000" w:rsidR="00000000" w:rsidRPr="00000000">
              <w:rPr>
                <w:rtl w:val="0"/>
              </w:rPr>
            </w:r>
          </w:p>
        </w:tc>
        <w:tc>
          <w:tcPr>
            <w:vAlign w:val="center"/>
          </w:tcPr>
          <w:p w:rsidR="00000000" w:rsidDel="00000000" w:rsidP="00000000" w:rsidRDefault="00000000" w:rsidRPr="00000000" w14:paraId="00000020">
            <w:pPr>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OFICIO </w:t>
            </w:r>
            <w:r w:rsidDel="00000000" w:rsidR="00000000" w:rsidRPr="00000000">
              <w:rPr>
                <w:rFonts w:ascii="Palatino Linotype" w:cs="Palatino Linotype" w:eastAsia="Palatino Linotype" w:hAnsi="Palatino Linotype"/>
                <w:i w:val="1"/>
                <w:sz w:val="22"/>
                <w:szCs w:val="22"/>
                <w:rtl w:val="0"/>
              </w:rPr>
              <w:t xml:space="preserve">DM/488/2022</w:t>
            </w:r>
          </w:p>
          <w:p w:rsidR="00000000" w:rsidDel="00000000" w:rsidP="00000000" w:rsidRDefault="00000000" w:rsidRPr="00000000" w14:paraId="00000021">
            <w:pPr>
              <w:jc w:val="both"/>
              <w:rPr>
                <w:rFonts w:ascii="Palatino Linotype" w:cs="Palatino Linotype" w:eastAsia="Palatino Linotype" w:hAnsi="Palatino Linotype"/>
                <w:sz w:val="22"/>
                <w:szCs w:val="22"/>
              </w:rPr>
            </w:pPr>
            <w:r w:rsidDel="00000000" w:rsidR="00000000" w:rsidRPr="00000000">
              <w:rPr/>
              <w:drawing>
                <wp:inline distB="0" distT="0" distL="0" distR="0">
                  <wp:extent cx="3707168" cy="553133"/>
                  <wp:effectExtent b="0" l="0" r="0" t="0"/>
                  <wp:docPr id="40" name="image8.png"/>
                  <a:graphic>
                    <a:graphicData uri="http://schemas.openxmlformats.org/drawingml/2006/picture">
                      <pic:pic>
                        <pic:nvPicPr>
                          <pic:cNvPr id="0" name="image8.png"/>
                          <pic:cNvPicPr preferRelativeResize="0"/>
                        </pic:nvPicPr>
                        <pic:blipFill>
                          <a:blip r:embed="rId8"/>
                          <a:srcRect b="34853" l="22750" r="1804" t="45131"/>
                          <a:stretch>
                            <a:fillRect/>
                          </a:stretch>
                        </pic:blipFill>
                        <pic:spPr>
                          <a:xfrm>
                            <a:off x="0" y="0"/>
                            <a:ext cx="3707168" cy="553133"/>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2">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00291/TEMOAYA/IP/2022</w:t>
            </w:r>
          </w:p>
        </w:tc>
        <w:tc>
          <w:tcPr>
            <w:vAlign w:val="center"/>
          </w:tcPr>
          <w:p w:rsidR="00000000" w:rsidDel="00000000" w:rsidP="00000000" w:rsidRDefault="00000000" w:rsidRPr="00000000" w14:paraId="00000023">
            <w:pPr>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color w:val="000000"/>
                <w:sz w:val="22"/>
                <w:szCs w:val="22"/>
                <w:rtl w:val="0"/>
              </w:rPr>
              <w:t xml:space="preserve">OFICIO </w:t>
            </w:r>
            <w:r w:rsidDel="00000000" w:rsidR="00000000" w:rsidRPr="00000000">
              <w:rPr>
                <w:rFonts w:ascii="Palatino Linotype" w:cs="Palatino Linotype" w:eastAsia="Palatino Linotype" w:hAnsi="Palatino Linotype"/>
                <w:i w:val="1"/>
                <w:sz w:val="22"/>
                <w:szCs w:val="22"/>
                <w:rtl w:val="0"/>
              </w:rPr>
              <w:t xml:space="preserve">DM/528/2022</w:t>
            </w:r>
          </w:p>
          <w:p w:rsidR="00000000" w:rsidDel="00000000" w:rsidP="00000000" w:rsidRDefault="00000000" w:rsidRPr="00000000" w14:paraId="00000024">
            <w:pPr>
              <w:jc w:val="both"/>
              <w:rPr>
                <w:rFonts w:ascii="Palatino Linotype" w:cs="Palatino Linotype" w:eastAsia="Palatino Linotype" w:hAnsi="Palatino Linotype"/>
                <w:color w:val="000000"/>
                <w:sz w:val="22"/>
                <w:szCs w:val="22"/>
              </w:rPr>
            </w:pPr>
            <w:r w:rsidDel="00000000" w:rsidR="00000000" w:rsidRPr="00000000">
              <w:rPr/>
              <w:drawing>
                <wp:inline distB="0" distT="0" distL="0" distR="0">
                  <wp:extent cx="3788280" cy="496227"/>
                  <wp:effectExtent b="0" l="0" r="0" t="0"/>
                  <wp:docPr id="39" name="image3.png"/>
                  <a:graphic>
                    <a:graphicData uri="http://schemas.openxmlformats.org/drawingml/2006/picture">
                      <pic:pic>
                        <pic:nvPicPr>
                          <pic:cNvPr id="0" name="image3.png"/>
                          <pic:cNvPicPr preferRelativeResize="0"/>
                        </pic:nvPicPr>
                        <pic:blipFill>
                          <a:blip r:embed="rId9"/>
                          <a:srcRect b="38679" l="21792" r="3219" t="43855"/>
                          <a:stretch>
                            <a:fillRect/>
                          </a:stretch>
                        </pic:blipFill>
                        <pic:spPr>
                          <a:xfrm>
                            <a:off x="0" y="0"/>
                            <a:ext cx="3788280" cy="49622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2"/>
          <w:szCs w:val="22"/>
          <w:rtl w:val="0"/>
        </w:rPr>
        <w:t xml:space="preserve">3.</w:t>
      </w:r>
      <w:r w:rsidDel="00000000" w:rsidR="00000000" w:rsidRPr="00000000">
        <w:rPr>
          <w:rFonts w:ascii="Palatino Linotype" w:cs="Palatino Linotype" w:eastAsia="Palatino Linotype" w:hAnsi="Palatino Linotype"/>
          <w:b w:val="1"/>
          <w:rtl w:val="0"/>
        </w:rPr>
        <w:t xml:space="preserve"> Interposición de los recursos de revisión. </w:t>
      </w:r>
      <w:r w:rsidDel="00000000" w:rsidR="00000000" w:rsidRPr="00000000">
        <w:rPr>
          <w:rFonts w:ascii="Palatino Linotype" w:cs="Palatino Linotype" w:eastAsia="Palatino Linotype" w:hAnsi="Palatino Linotype"/>
          <w:rtl w:val="0"/>
        </w:rPr>
        <w:t xml:space="preserve">Inconforme con las respuestas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día</w:t>
      </w:r>
      <w:r w:rsidDel="00000000" w:rsidR="00000000" w:rsidRPr="00000000">
        <w:rPr>
          <w:rFonts w:ascii="Palatino Linotype" w:cs="Palatino Linotype" w:eastAsia="Palatino Linotype" w:hAnsi="Palatino Linotype"/>
          <w:b w:val="1"/>
          <w:rtl w:val="0"/>
        </w:rPr>
        <w:t xml:space="preserve"> diecinueve de diciembre dos mil veintidós,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color w:val="632423"/>
          <w:rtl w:val="0"/>
        </w:rPr>
        <w:t xml:space="preserve"> </w:t>
      </w:r>
      <w:r w:rsidDel="00000000" w:rsidR="00000000" w:rsidRPr="00000000">
        <w:rPr>
          <w:rFonts w:ascii="Palatino Linotype" w:cs="Palatino Linotype" w:eastAsia="Palatino Linotype" w:hAnsi="Palatino Linotype"/>
          <w:color w:val="000000"/>
          <w:rtl w:val="0"/>
        </w:rPr>
        <w:t xml:space="preserve">interpuso</w:t>
      </w:r>
      <w:r w:rsidDel="00000000" w:rsidR="00000000" w:rsidRPr="00000000">
        <w:rPr>
          <w:rFonts w:ascii="Palatino Linotype" w:cs="Palatino Linotype" w:eastAsia="Palatino Linotype" w:hAnsi="Palatino Linotype"/>
          <w:color w:val="632423"/>
          <w:rtl w:val="0"/>
        </w:rPr>
        <w:t xml:space="preserve"> </w:t>
      </w:r>
      <w:r w:rsidDel="00000000" w:rsidR="00000000" w:rsidRPr="00000000">
        <w:rPr>
          <w:rFonts w:ascii="Palatino Linotype" w:cs="Palatino Linotype" w:eastAsia="Palatino Linotype" w:hAnsi="Palatino Linotype"/>
          <w:rtl w:val="0"/>
        </w:rPr>
        <w:t xml:space="preserve">los recursos de revisión a través de SAIMEX,</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donde se manifestó de manera idéntica en cada uno de ellos, como se muestra:</w:t>
      </w:r>
    </w:p>
    <w:p w:rsidR="00000000" w:rsidDel="00000000" w:rsidP="00000000" w:rsidRDefault="00000000" w:rsidRPr="00000000" w14:paraId="00000027">
      <w:pPr>
        <w:spacing w:line="360" w:lineRule="auto"/>
        <w:jc w:val="both"/>
        <w:rPr>
          <w:rFonts w:ascii="Palatino Linotype" w:cs="Palatino Linotype" w:eastAsia="Palatino Linotype" w:hAnsi="Palatino Linotype"/>
        </w:rPr>
      </w:pPr>
      <w:r w:rsidDel="00000000" w:rsidR="00000000" w:rsidRPr="00000000">
        <w:rPr>
          <w:rtl w:val="0"/>
        </w:rPr>
      </w:r>
    </w:p>
    <w:tbl>
      <w:tblPr>
        <w:tblStyle w:val="Table3"/>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2552"/>
        <w:gridCol w:w="3446"/>
        <w:tblGridChange w:id="0">
          <w:tblGrid>
            <w:gridCol w:w="2830"/>
            <w:gridCol w:w="2552"/>
            <w:gridCol w:w="3446"/>
          </w:tblGrid>
        </w:tblGridChange>
      </w:tblGrid>
      <w:tr>
        <w:trPr>
          <w:cantSplit w:val="0"/>
          <w:tblHeader w:val="0"/>
        </w:trPr>
        <w:tc>
          <w:tcPr>
            <w:gridSpan w:val="3"/>
            <w:shd w:fill="bfbfbf" w:val="clear"/>
            <w:vAlign w:val="center"/>
          </w:tcPr>
          <w:p w:rsidR="00000000" w:rsidDel="00000000" w:rsidP="00000000" w:rsidRDefault="00000000" w:rsidRPr="00000000" w14:paraId="00000028">
            <w:pPr>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DIECINUEVE DE DICIEMBRE DE DOS MIL VEINTIDÓS</w:t>
            </w:r>
          </w:p>
        </w:tc>
      </w:tr>
      <w:tr>
        <w:trPr>
          <w:cantSplit w:val="0"/>
          <w:tblHeader w:val="0"/>
        </w:trPr>
        <w:tc>
          <w:tcPr>
            <w:shd w:fill="d9d9d9" w:val="clear"/>
            <w:vAlign w:val="center"/>
          </w:tcPr>
          <w:p w:rsidR="00000000" w:rsidDel="00000000" w:rsidP="00000000" w:rsidRDefault="00000000" w:rsidRPr="00000000" w14:paraId="0000002B">
            <w:pPr>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RECURSOS DE REVISIÓN</w:t>
            </w:r>
          </w:p>
        </w:tc>
        <w:tc>
          <w:tcPr>
            <w:shd w:fill="d9d9d9" w:val="clear"/>
            <w:vAlign w:val="center"/>
          </w:tcPr>
          <w:p w:rsidR="00000000" w:rsidDel="00000000" w:rsidP="00000000" w:rsidRDefault="00000000" w:rsidRPr="00000000" w14:paraId="0000002C">
            <w:pPr>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ACTOS IMPUGNADOS</w:t>
            </w:r>
          </w:p>
        </w:tc>
        <w:tc>
          <w:tcPr>
            <w:shd w:fill="d9d9d9" w:val="clear"/>
            <w:vAlign w:val="center"/>
          </w:tcPr>
          <w:p w:rsidR="00000000" w:rsidDel="00000000" w:rsidP="00000000" w:rsidRDefault="00000000" w:rsidRPr="00000000" w14:paraId="0000002D">
            <w:pPr>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RAZONES O MOTIVOS DE INCONFORMIDAD</w:t>
            </w:r>
          </w:p>
        </w:tc>
      </w:tr>
      <w:tr>
        <w:trPr>
          <w:cantSplit w:val="0"/>
          <w:tblHeader w:val="0"/>
        </w:trPr>
        <w:tc>
          <w:tcPr>
            <w:vAlign w:val="center"/>
          </w:tcPr>
          <w:p w:rsidR="00000000" w:rsidDel="00000000" w:rsidP="00000000" w:rsidRDefault="00000000" w:rsidRPr="00000000" w14:paraId="0000002E">
            <w:pPr>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17514/INFOEM/IP/RR/2022,</w:t>
            </w:r>
          </w:p>
          <w:p w:rsidR="00000000" w:rsidDel="00000000" w:rsidP="00000000" w:rsidRDefault="00000000" w:rsidRPr="00000000" w14:paraId="0000002F">
            <w:pPr>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17515/INFOEM/IP/RR/2022 y</w:t>
            </w:r>
          </w:p>
          <w:p w:rsidR="00000000" w:rsidDel="00000000" w:rsidP="00000000" w:rsidRDefault="00000000" w:rsidRPr="00000000" w14:paraId="00000030">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17516/INFOEM/IP/RR/2022</w:t>
            </w:r>
            <w:r w:rsidDel="00000000" w:rsidR="00000000" w:rsidRPr="00000000">
              <w:rPr>
                <w:rtl w:val="0"/>
              </w:rPr>
            </w:r>
          </w:p>
        </w:tc>
        <w:tc>
          <w:tcPr>
            <w:vAlign w:val="center"/>
          </w:tcPr>
          <w:p w:rsidR="00000000" w:rsidDel="00000000" w:rsidP="00000000" w:rsidRDefault="00000000" w:rsidRPr="00000000" w14:paraId="00000031">
            <w:pPr>
              <w:spacing w:line="276" w:lineRule="auto"/>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es imprecisa” (Sic)</w:t>
            </w:r>
          </w:p>
        </w:tc>
        <w:tc>
          <w:tcPr>
            <w:vAlign w:val="center"/>
          </w:tcPr>
          <w:p w:rsidR="00000000" w:rsidDel="00000000" w:rsidP="00000000" w:rsidRDefault="00000000" w:rsidRPr="00000000" w14:paraId="00000032">
            <w:pPr>
              <w:spacing w:line="276" w:lineRule="auto"/>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“Deseo conocer los horarios, días de atención y la comunidad con el domicilio exacto para poder acudir a los talleres. Ejemplo: El día lunes acude a San Pedro 2da sección a un costado de la iglesia, en un horario de 11:00 a 14:00 horas.” (Sic)</w:t>
            </w:r>
            <w:r w:rsidDel="00000000" w:rsidR="00000000" w:rsidRPr="00000000">
              <w:rPr>
                <w:rtl w:val="0"/>
              </w:rPr>
            </w:r>
          </w:p>
        </w:tc>
      </w:tr>
    </w:tbl>
    <w:p w:rsidR="00000000" w:rsidDel="00000000" w:rsidP="00000000" w:rsidRDefault="00000000" w:rsidRPr="00000000" w14:paraId="00000033">
      <w:pPr>
        <w:spacing w:line="360" w:lineRule="auto"/>
        <w:ind w:right="51"/>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4">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de nuestro Estado, el recurso de revisión de número </w:t>
      </w:r>
      <w:r w:rsidDel="00000000" w:rsidR="00000000" w:rsidRPr="00000000">
        <w:rPr>
          <w:rFonts w:ascii="Palatino Linotype" w:cs="Palatino Linotype" w:eastAsia="Palatino Linotype" w:hAnsi="Palatino Linotype"/>
          <w:b w:val="1"/>
          <w:rtl w:val="0"/>
        </w:rPr>
        <w:t xml:space="preserve">17514/INFOEM/IP/RR/2022</w:t>
      </w:r>
      <w:r w:rsidDel="00000000" w:rsidR="00000000" w:rsidRPr="00000000">
        <w:rPr>
          <w:rFonts w:ascii="Palatino Linotype" w:cs="Palatino Linotype" w:eastAsia="Palatino Linotype" w:hAnsi="Palatino Linotype"/>
          <w:rtl w:val="0"/>
        </w:rPr>
        <w:t xml:space="preserve"> fue turnado a la </w:t>
      </w:r>
      <w:r w:rsidDel="00000000" w:rsidR="00000000" w:rsidRPr="00000000">
        <w:rPr>
          <w:rFonts w:ascii="Palatino Linotype" w:cs="Palatino Linotype" w:eastAsia="Palatino Linotype" w:hAnsi="Palatino Linotype"/>
          <w:b w:val="1"/>
          <w:rtl w:val="0"/>
        </w:rPr>
        <w:t xml:space="preserve">Comisionada Guadalupe Ramírez Peña; </w:t>
      </w:r>
      <w:r w:rsidDel="00000000" w:rsidR="00000000" w:rsidRPr="00000000">
        <w:rPr>
          <w:rFonts w:ascii="Palatino Linotype" w:cs="Palatino Linotype" w:eastAsia="Palatino Linotype" w:hAnsi="Palatino Linotype"/>
          <w:rtl w:val="0"/>
        </w:rPr>
        <w:t xml:space="preserve">el recurso de revisión </w:t>
      </w:r>
      <w:r w:rsidDel="00000000" w:rsidR="00000000" w:rsidRPr="00000000">
        <w:rPr>
          <w:rFonts w:ascii="Palatino Linotype" w:cs="Palatino Linotype" w:eastAsia="Palatino Linotype" w:hAnsi="Palatino Linotype"/>
          <w:b w:val="1"/>
          <w:rtl w:val="0"/>
        </w:rPr>
        <w:t xml:space="preserve">17515/INFOEM/IP/RR/2022</w:t>
      </w:r>
      <w:r w:rsidDel="00000000" w:rsidR="00000000" w:rsidRPr="00000000">
        <w:rPr>
          <w:rFonts w:ascii="Palatino Linotype" w:cs="Palatino Linotype" w:eastAsia="Palatino Linotype" w:hAnsi="Palatino Linotype"/>
          <w:rtl w:val="0"/>
        </w:rPr>
        <w:t xml:space="preserve"> fue turnado al </w:t>
      </w:r>
      <w:r w:rsidDel="00000000" w:rsidR="00000000" w:rsidRPr="00000000">
        <w:rPr>
          <w:rFonts w:ascii="Palatino Linotype" w:cs="Palatino Linotype" w:eastAsia="Palatino Linotype" w:hAnsi="Palatino Linotype"/>
          <w:b w:val="1"/>
          <w:rtl w:val="0"/>
        </w:rPr>
        <w:t xml:space="preserve">Comisionado Presidente José Martínez Vilchis; </w:t>
      </w:r>
      <w:r w:rsidDel="00000000" w:rsidR="00000000" w:rsidRPr="00000000">
        <w:rPr>
          <w:rFonts w:ascii="Palatino Linotype" w:cs="Palatino Linotype" w:eastAsia="Palatino Linotype" w:hAnsi="Palatino Linotype"/>
          <w:rtl w:val="0"/>
        </w:rPr>
        <w:t xml:space="preserve">mientras que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el recurso </w:t>
      </w:r>
      <w:r w:rsidDel="00000000" w:rsidR="00000000" w:rsidRPr="00000000">
        <w:rPr>
          <w:rFonts w:ascii="Palatino Linotype" w:cs="Palatino Linotype" w:eastAsia="Palatino Linotype" w:hAnsi="Palatino Linotype"/>
          <w:b w:val="1"/>
          <w:rtl w:val="0"/>
        </w:rPr>
        <w:t xml:space="preserve">17516/INFOEM/IP/RR/2022 </w:t>
      </w:r>
      <w:r w:rsidDel="00000000" w:rsidR="00000000" w:rsidRPr="00000000">
        <w:rPr>
          <w:rFonts w:ascii="Palatino Linotype" w:cs="Palatino Linotype" w:eastAsia="Palatino Linotype" w:hAnsi="Palatino Linotype"/>
          <w:rtl w:val="0"/>
        </w:rPr>
        <w:t xml:space="preserve">fue remitido al </w:t>
      </w:r>
      <w:r w:rsidDel="00000000" w:rsidR="00000000" w:rsidRPr="00000000">
        <w:rPr>
          <w:rFonts w:ascii="Palatino Linotype" w:cs="Palatino Linotype" w:eastAsia="Palatino Linotype" w:hAnsi="Palatino Linotype"/>
          <w:b w:val="1"/>
          <w:rtl w:val="0"/>
        </w:rPr>
        <w:t xml:space="preserve">Comisionado Luis Gustavo Parra Noriega;</w:t>
      </w:r>
      <w:r w:rsidDel="00000000" w:rsidR="00000000" w:rsidRPr="00000000">
        <w:rPr>
          <w:rFonts w:ascii="Palatino Linotype" w:cs="Palatino Linotype" w:eastAsia="Palatino Linotype" w:hAnsi="Palatino Linotype"/>
          <w:rtl w:val="0"/>
        </w:rPr>
        <w:t xml:space="preserve"> para presentar al Pleno los proyectos de resolución correspondientes a efecto de que analizaran sobre su admisión o su desechamiento.</w:t>
      </w:r>
    </w:p>
    <w:p w:rsidR="00000000" w:rsidDel="00000000" w:rsidP="00000000" w:rsidRDefault="00000000" w:rsidRPr="00000000" w14:paraId="00000035">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 los recursos de revisión.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nueve y diez de enero de dos mil veintitrés, e</w:t>
      </w:r>
      <w:r w:rsidDel="00000000" w:rsidR="00000000" w:rsidRPr="00000000">
        <w:rPr>
          <w:rFonts w:ascii="Palatino Linotype" w:cs="Palatino Linotype" w:eastAsia="Palatino Linotype" w:hAnsi="Palatino Linotype"/>
          <w:rtl w:val="0"/>
        </w:rPr>
        <w:t xml:space="preserve">ste Instituto de Transparencia, con fundamento en el artículo 185 fracción II, admitió a trámite los recursos de revisión que ahora se resuelven, dando un plazo máximo de siete días hábiles para que las partes manifestaran lo que a su derecho resultara conveniente, ofrecieran pruebas, formularan alegatos y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3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color w:val="000000"/>
        </w:rPr>
      </w:pPr>
      <w:bookmarkStart w:colFirst="0" w:colLast="0" w:name="_heading=h.2s8eyo1" w:id="0"/>
      <w:bookmarkEnd w:id="0"/>
      <w:r w:rsidDel="00000000" w:rsidR="00000000" w:rsidRPr="00000000">
        <w:rPr>
          <w:rFonts w:ascii="Palatino Linotype" w:cs="Palatino Linotype" w:eastAsia="Palatino Linotype" w:hAnsi="Palatino Linotype"/>
          <w:b w:val="1"/>
          <w:rtl w:val="0"/>
        </w:rPr>
        <w:t xml:space="preserve">6. Acumulación. </w:t>
      </w:r>
      <w:r w:rsidDel="00000000" w:rsidR="00000000" w:rsidRPr="00000000">
        <w:rPr>
          <w:rFonts w:ascii="Palatino Linotype" w:cs="Palatino Linotype" w:eastAsia="Palatino Linotype" w:hAnsi="Palatino Linotype"/>
          <w:color w:val="000000"/>
          <w:rtl w:val="0"/>
        </w:rPr>
        <w:t xml:space="preserve">El Pleno del Infoem, en la </w:t>
      </w:r>
      <w:r w:rsidDel="00000000" w:rsidR="00000000" w:rsidRPr="00000000">
        <w:rPr>
          <w:rFonts w:ascii="Palatino Linotype" w:cs="Palatino Linotype" w:eastAsia="Palatino Linotype" w:hAnsi="Palatino Linotype"/>
          <w:b w:val="1"/>
          <w:color w:val="000000"/>
          <w:rtl w:val="0"/>
        </w:rPr>
        <w:t xml:space="preserve">Segunda Sesión Ordinaria</w:t>
      </w:r>
      <w:r w:rsidDel="00000000" w:rsidR="00000000" w:rsidRPr="00000000">
        <w:rPr>
          <w:rFonts w:ascii="Palatino Linotype" w:cs="Palatino Linotype" w:eastAsia="Palatino Linotype" w:hAnsi="Palatino Linotype"/>
          <w:color w:val="000000"/>
          <w:rtl w:val="0"/>
        </w:rPr>
        <w:t xml:space="preserve"> celebrada el </w:t>
      </w:r>
      <w:r w:rsidDel="00000000" w:rsidR="00000000" w:rsidRPr="00000000">
        <w:rPr>
          <w:rFonts w:ascii="Palatino Linotype" w:cs="Palatino Linotype" w:eastAsia="Palatino Linotype" w:hAnsi="Palatino Linotype"/>
          <w:b w:val="1"/>
          <w:color w:val="000000"/>
          <w:rtl w:val="0"/>
        </w:rPr>
        <w:t xml:space="preserve">dieciocho de enero de dos mil veintitrés</w:t>
      </w:r>
      <w:r w:rsidDel="00000000" w:rsidR="00000000" w:rsidRPr="00000000">
        <w:rPr>
          <w:rFonts w:ascii="Palatino Linotype" w:cs="Palatino Linotype" w:eastAsia="Palatino Linotype" w:hAnsi="Palatino Linotype"/>
          <w:color w:val="000000"/>
          <w:rtl w:val="0"/>
        </w:rPr>
        <w:t xml:space="preserve">, al advertir la conexidad de la causa y con la finalidad de evitar que se dicten resoluciones contrarias, de conformidad con los artículos 195 de la Ley de Transparencia y Acceso a la Información Pública del Estado de México y Municipios y el artículo 18 del Código de Procedimientos Administrativos del Estado de México, acordó la acumulación de los recursos antes señalados, resultando como Ponente la </w:t>
      </w:r>
      <w:r w:rsidDel="00000000" w:rsidR="00000000" w:rsidRPr="00000000">
        <w:rPr>
          <w:rFonts w:ascii="Palatino Linotype" w:cs="Palatino Linotype" w:eastAsia="Palatino Linotype" w:hAnsi="Palatino Linotype"/>
          <w:b w:val="1"/>
          <w:color w:val="000000"/>
          <w:rtl w:val="0"/>
        </w:rPr>
        <w:t xml:space="preserve">Comisionada</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Guadalupe Ramírez Peña</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39">
      <w:pPr>
        <w:spacing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A">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Manifestaciones</w:t>
      </w:r>
      <w:r w:rsidDel="00000000" w:rsidR="00000000" w:rsidRPr="00000000">
        <w:rPr>
          <w:rFonts w:ascii="Palatino Linotype" w:cs="Palatino Linotype" w:eastAsia="Palatino Linotype" w:hAnsi="Palatino Linotype"/>
          <w:rtl w:val="0"/>
        </w:rPr>
        <w:t xml:space="preserve">. De las constancias que integran los expedientes electrónicos en que se actúa, se advierte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omitieron en todos los recursos hacer manifestaciones o alegar lo que a su derecho conviniera, tal y como se hace constar en el ejemplo que se adjunta:</w:t>
      </w:r>
    </w:p>
    <w:p w:rsidR="00000000" w:rsidDel="00000000" w:rsidP="00000000" w:rsidRDefault="00000000" w:rsidRPr="00000000" w14:paraId="0000003B">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spacing w:line="360" w:lineRule="auto"/>
        <w:ind w:right="49"/>
        <w:jc w:val="center"/>
        <w:rPr>
          <w:rFonts w:ascii="Palatino Linotype" w:cs="Palatino Linotype" w:eastAsia="Palatino Linotype" w:hAnsi="Palatino Linotype"/>
        </w:rPr>
      </w:pPr>
      <w:r w:rsidDel="00000000" w:rsidR="00000000" w:rsidRPr="00000000">
        <w:rPr/>
        <w:drawing>
          <wp:inline distB="0" distT="0" distL="0" distR="0">
            <wp:extent cx="4883435" cy="1129393"/>
            <wp:effectExtent b="0" l="0" r="0" t="0"/>
            <wp:docPr id="42" name="image5.png"/>
            <a:graphic>
              <a:graphicData uri="http://schemas.openxmlformats.org/drawingml/2006/picture">
                <pic:pic>
                  <pic:nvPicPr>
                    <pic:cNvPr id="0" name="image5.png"/>
                    <pic:cNvPicPr preferRelativeResize="0"/>
                  </pic:nvPicPr>
                  <pic:blipFill>
                    <a:blip r:embed="rId10"/>
                    <a:srcRect b="34749" l="5809" r="7173" t="29472"/>
                    <a:stretch>
                      <a:fillRect/>
                    </a:stretch>
                  </pic:blipFill>
                  <pic:spPr>
                    <a:xfrm>
                      <a:off x="0" y="0"/>
                      <a:ext cx="4883435" cy="112939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360" w:lineRule="auto"/>
        <w:jc w:val="both"/>
        <w:rPr/>
      </w:pPr>
      <w:r w:rsidDel="00000000" w:rsidR="00000000" w:rsidRPr="00000000">
        <w:rPr>
          <w:rtl w:val="0"/>
        </w:rPr>
      </w:r>
    </w:p>
    <w:p w:rsidR="00000000" w:rsidDel="00000000" w:rsidP="00000000" w:rsidRDefault="00000000" w:rsidRPr="00000000" w14:paraId="0000003E">
      <w:pPr>
        <w:widowControl w:val="0"/>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rtl w:val="0"/>
        </w:rPr>
        <w:t xml:space="preserve">8. Ampliación del plazo para emitir resolución.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veintiocho de marzo de dos mil veintitrés,</w:t>
      </w:r>
      <w:r w:rsidDel="00000000" w:rsidR="00000000" w:rsidRPr="00000000">
        <w:rPr>
          <w:rFonts w:ascii="Palatino Linotype" w:cs="Palatino Linotype" w:eastAsia="Palatino Linotype" w:hAnsi="Palatino Linotype"/>
          <w:rtl w:val="0"/>
        </w:rPr>
        <w:t xml:space="preserve"> fue cuando este </w:t>
      </w:r>
      <w:r w:rsidDel="00000000" w:rsidR="00000000" w:rsidRPr="00000000">
        <w:rPr>
          <w:rFonts w:ascii="Palatino Linotype" w:cs="Palatino Linotype" w:eastAsia="Palatino Linotype" w:hAnsi="Palatino Linotype"/>
          <w:color w:val="000000"/>
          <w:rtl w:val="0"/>
        </w:rPr>
        <w:t xml:space="preserve">Instituto de Transparencia, Acceso a la Información Pública y Protección de Datos Personales del Estado de México y Municipios, con fundamento en el artículo 181, párrafo tercero, de la Ley de Transparencia y Acceso a la Información Pública del Estado de México y Municipios, determinó ampliar el plazo para emitir la presente resolución.</w:t>
      </w:r>
    </w:p>
    <w:p w:rsidR="00000000" w:rsidDel="00000000" w:rsidP="00000000" w:rsidRDefault="00000000" w:rsidRPr="00000000" w14:paraId="0000003F">
      <w:pPr>
        <w:widowControl w:val="0"/>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0">
      <w:pPr>
        <w:widowControl w:val="0"/>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41">
      <w:pPr>
        <w:widowControl w:val="0"/>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2">
      <w:pPr>
        <w:widowControl w:val="0"/>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43">
      <w:pPr>
        <w:widowControl w:val="0"/>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4">
      <w:pPr>
        <w:widowControl w:val="0"/>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45">
      <w:pPr>
        <w:widowControl w:val="0"/>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6">
      <w:pPr>
        <w:widowControl w:val="0"/>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47">
      <w:pPr>
        <w:widowControl w:val="0"/>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8">
      <w:pPr>
        <w:widowControl w:val="0"/>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49">
      <w:pPr>
        <w:widowControl w:val="0"/>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A">
      <w:pPr>
        <w:widowControl w:val="0"/>
        <w:numPr>
          <w:ilvl w:val="0"/>
          <w:numId w:val="2"/>
        </w:numPr>
        <w:spacing w:line="360" w:lineRule="auto"/>
        <w:ind w:left="927"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Complejidad del Asunto: </w:t>
      </w:r>
      <w:r w:rsidDel="00000000" w:rsidR="00000000" w:rsidRPr="00000000">
        <w:rPr>
          <w:rFonts w:ascii="Palatino Linotype" w:cs="Palatino Linotype" w:eastAsia="Palatino Linotype" w:hAnsi="Palatino Linotype"/>
          <w:color w:val="000000"/>
          <w:rtl w:val="0"/>
        </w:rPr>
        <w:t xml:space="preserve">La complejidad de la prueba, la pluralidad de sujetos procesales, el tiempo transcurrido, las características y contexto del recurso. </w:t>
      </w:r>
    </w:p>
    <w:p w:rsidR="00000000" w:rsidDel="00000000" w:rsidP="00000000" w:rsidRDefault="00000000" w:rsidRPr="00000000" w14:paraId="0000004B">
      <w:pPr>
        <w:widowControl w:val="0"/>
        <w:numPr>
          <w:ilvl w:val="0"/>
          <w:numId w:val="2"/>
        </w:numPr>
        <w:spacing w:line="360" w:lineRule="auto"/>
        <w:ind w:left="927"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Actividad Procesal del interesado:</w:t>
      </w:r>
      <w:r w:rsidDel="00000000" w:rsidR="00000000" w:rsidRPr="00000000">
        <w:rPr>
          <w:rFonts w:ascii="Palatino Linotype" w:cs="Palatino Linotype" w:eastAsia="Palatino Linotype" w:hAnsi="Palatino Linotype"/>
          <w:color w:val="000000"/>
          <w:rtl w:val="0"/>
        </w:rPr>
        <w:t xml:space="preserve"> Acciones u omisiones del interesado.</w:t>
      </w:r>
    </w:p>
    <w:p w:rsidR="00000000" w:rsidDel="00000000" w:rsidP="00000000" w:rsidRDefault="00000000" w:rsidRPr="00000000" w14:paraId="0000004C">
      <w:pPr>
        <w:widowControl w:val="0"/>
        <w:numPr>
          <w:ilvl w:val="0"/>
          <w:numId w:val="2"/>
        </w:numPr>
        <w:spacing w:line="360" w:lineRule="auto"/>
        <w:ind w:left="927"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Conducta de la Autoridad:</w:t>
      </w:r>
      <w:r w:rsidDel="00000000" w:rsidR="00000000" w:rsidRPr="00000000">
        <w:rPr>
          <w:rFonts w:ascii="Palatino Linotype" w:cs="Palatino Linotype" w:eastAsia="Palatino Linotype" w:hAnsi="Palatino Linotype"/>
          <w:color w:val="000000"/>
          <w:rtl w:val="0"/>
        </w:rPr>
        <w:t xml:space="preserve"> Las Acciones u omisiones realizadas en el procedimiento. Así como si la autoridad actuó con la debida diligencia.</w:t>
      </w:r>
    </w:p>
    <w:p w:rsidR="00000000" w:rsidDel="00000000" w:rsidP="00000000" w:rsidRDefault="00000000" w:rsidRPr="00000000" w14:paraId="0000004D">
      <w:pPr>
        <w:widowControl w:val="0"/>
        <w:numPr>
          <w:ilvl w:val="0"/>
          <w:numId w:val="2"/>
        </w:numPr>
        <w:spacing w:line="360" w:lineRule="auto"/>
        <w:ind w:left="927"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La afectación generada en la situación jurídica de la persona involucrada en el proceso:</w:t>
      </w:r>
      <w:r w:rsidDel="00000000" w:rsidR="00000000" w:rsidRPr="00000000">
        <w:rPr>
          <w:rFonts w:ascii="Palatino Linotype" w:cs="Palatino Linotype" w:eastAsia="Palatino Linotype" w:hAnsi="Palatino Linotype"/>
          <w:color w:val="000000"/>
          <w:rtl w:val="0"/>
        </w:rPr>
        <w:t xml:space="preserve"> Violación a sus derechos humanos.</w:t>
      </w:r>
    </w:p>
    <w:p w:rsidR="00000000" w:rsidDel="00000000" w:rsidP="00000000" w:rsidRDefault="00000000" w:rsidRPr="00000000" w14:paraId="0000004E">
      <w:pPr>
        <w:widowControl w:val="0"/>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F">
      <w:pPr>
        <w:widowControl w:val="0"/>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50">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1">
      <w:pPr>
        <w:widowControl w:val="0"/>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i w:val="1"/>
          <w:color w:val="000000"/>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b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visible en la Gaceta del Seminario Judicial de la Federación con el registro digital 205635.</w:t>
      </w:r>
    </w:p>
    <w:p w:rsidR="00000000" w:rsidDel="00000000" w:rsidP="00000000" w:rsidRDefault="00000000" w:rsidRPr="00000000" w14:paraId="00000052">
      <w:pPr>
        <w:widowControl w:val="0"/>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3">
      <w:pPr>
        <w:widowControl w:val="0"/>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54">
      <w:pPr>
        <w:widowControl w:val="0"/>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5">
      <w:pPr>
        <w:widowControl w:val="0"/>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56">
      <w:pPr>
        <w:widowControl w:val="0"/>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7">
      <w:pPr>
        <w:widowControl w:val="0"/>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i w:val="1"/>
          <w:color w:val="000000"/>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color w:val="000000"/>
          <w:rtl w:val="0"/>
        </w:rPr>
        <w:t xml:space="preserve"> consultable en el Seminario Judicial de la Federación y su gaceta, con el registro digital 2002351.</w:t>
      </w:r>
    </w:p>
    <w:p w:rsidR="00000000" w:rsidDel="00000000" w:rsidP="00000000" w:rsidRDefault="00000000" w:rsidRPr="00000000" w14:paraId="00000058">
      <w:pPr>
        <w:widowControl w:val="0"/>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9">
      <w:pPr>
        <w:widowControl w:val="0"/>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i w:val="1"/>
          <w:color w:val="000000"/>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b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visible en el Seminario Judicial de la Federación y su gaceta, con el registro digital 2002350.</w:t>
      </w:r>
    </w:p>
    <w:p w:rsidR="00000000" w:rsidDel="00000000" w:rsidP="00000000" w:rsidRDefault="00000000" w:rsidRPr="00000000" w14:paraId="0000005A">
      <w:pPr>
        <w:widowControl w:val="0"/>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B">
      <w:pPr>
        <w:widowControl w:val="0"/>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5C">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veintiocho de marzo de dos mil veintitrés</w:t>
      </w:r>
      <w:r w:rsidDel="00000000" w:rsidR="00000000" w:rsidRPr="00000000">
        <w:rPr>
          <w:rFonts w:ascii="Palatino Linotype" w:cs="Palatino Linotype" w:eastAsia="Palatino Linotype" w:hAnsi="Palatino Linotype"/>
          <w:rtl w:val="0"/>
        </w:rPr>
        <w:t xml:space="preserve">, la </w:t>
      </w:r>
      <w:r w:rsidDel="00000000" w:rsidR="00000000" w:rsidRPr="00000000">
        <w:rPr>
          <w:rFonts w:ascii="Palatino Linotype" w:cs="Palatino Linotype" w:eastAsia="Palatino Linotype" w:hAnsi="Palatino Linotype"/>
          <w:b w:val="1"/>
          <w:rtl w:val="0"/>
        </w:rPr>
        <w:t xml:space="preserve">Comisionada Ponente</w:t>
      </w:r>
      <w:r w:rsidDel="00000000" w:rsidR="00000000" w:rsidRPr="00000000">
        <w:rPr>
          <w:rFonts w:ascii="Palatino Linotype" w:cs="Palatino Linotype" w:eastAsia="Palatino Linotype" w:hAnsi="Palatino Linotype"/>
          <w:rtl w:val="0"/>
        </w:rPr>
        <w:t xml:space="preserv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5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y</w:t>
      </w:r>
    </w:p>
    <w:p w:rsidR="00000000" w:rsidDel="00000000" w:rsidP="00000000" w:rsidRDefault="00000000" w:rsidRPr="00000000" w14:paraId="0000006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1">
      <w:pPr>
        <w:widowControl w:val="0"/>
        <w:numPr>
          <w:ilvl w:val="0"/>
          <w:numId w:val="1"/>
        </w:numPr>
        <w:pBdr>
          <w:top w:space="0" w:sz="0" w:val="nil"/>
          <w:left w:space="0" w:sz="0" w:val="nil"/>
          <w:bottom w:space="0" w:sz="0" w:val="nil"/>
          <w:right w:space="0" w:sz="0" w:val="nil"/>
          <w:between w:space="0" w:sz="0" w:val="nil"/>
        </w:pBdr>
        <w:spacing w:line="360" w:lineRule="auto"/>
        <w:ind w:left="1080"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 O N S I D E R A N D O:</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line="360" w:lineRule="auto"/>
        <w:ind w:left="1080" w:firstLine="0"/>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6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los presentes recursos de revisión interpuestos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6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6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7">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recursos de revisión fueron interpuestos dentro del plazo de quince días hábiles, previsto en el artículo 178 de la Ley de Transparencia y Acceso a la Información Pública del Estado de México y Municipios, toda vez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respondió a las solicitudes de información el </w:t>
      </w:r>
      <w:r w:rsidDel="00000000" w:rsidR="00000000" w:rsidRPr="00000000">
        <w:rPr>
          <w:rFonts w:ascii="Palatino Linotype" w:cs="Palatino Linotype" w:eastAsia="Palatino Linotype" w:hAnsi="Palatino Linotype"/>
          <w:b w:val="1"/>
          <w:rtl w:val="0"/>
        </w:rPr>
        <w:t xml:space="preserve">catorce de diciembre de dos mil veintidós, </w:t>
      </w:r>
      <w:r w:rsidDel="00000000" w:rsidR="00000000" w:rsidRPr="00000000">
        <w:rPr>
          <w:rFonts w:ascii="Palatino Linotype" w:cs="Palatino Linotype" w:eastAsia="Palatino Linotype" w:hAnsi="Palatino Linotype"/>
          <w:rtl w:val="0"/>
        </w:rPr>
        <w:t xml:space="preserve">mientras que los recursos de revisión se interpusieron el </w:t>
      </w:r>
      <w:r w:rsidDel="00000000" w:rsidR="00000000" w:rsidRPr="00000000">
        <w:rPr>
          <w:rFonts w:ascii="Palatino Linotype" w:cs="Palatino Linotype" w:eastAsia="Palatino Linotype" w:hAnsi="Palatino Linotype"/>
          <w:b w:val="1"/>
          <w:rtl w:val="0"/>
        </w:rPr>
        <w:t xml:space="preserve">diecinueve de diciembre de dos mil veintidós</w:t>
      </w:r>
      <w:r w:rsidDel="00000000" w:rsidR="00000000" w:rsidRPr="00000000">
        <w:rPr>
          <w:rFonts w:ascii="Palatino Linotype" w:cs="Palatino Linotype" w:eastAsia="Palatino Linotype" w:hAnsi="Palatino Linotype"/>
          <w:rtl w:val="0"/>
        </w:rPr>
        <w:t xml:space="preserve">, esto es, al tercer día hábil posterior en que tuvo conocimiento de la respuesta. </w:t>
      </w:r>
    </w:p>
    <w:p w:rsidR="00000000" w:rsidDel="00000000" w:rsidP="00000000" w:rsidRDefault="00000000" w:rsidRPr="00000000" w14:paraId="00000068">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al considerar la fecha en que se formularon las solicitudes y la fecha en que respondió a ellas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así como la fecha en que se interpusieron los recursos de revisión, se concluye que se encuentran invocados dentro de los márgenes temporales previstos en las disposiciones legales referidas.</w:t>
      </w:r>
    </w:p>
    <w:p w:rsidR="00000000" w:rsidDel="00000000" w:rsidP="00000000" w:rsidRDefault="00000000" w:rsidRPr="00000000" w14:paraId="0000006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formato visible en el SAIMEX.</w:t>
      </w:r>
      <w:r w:rsidDel="00000000" w:rsidR="00000000" w:rsidRPr="00000000">
        <w:rPr>
          <w:rtl w:val="0"/>
        </w:rPr>
      </w:r>
    </w:p>
    <w:p w:rsidR="00000000" w:rsidDel="00000000" w:rsidP="00000000" w:rsidRDefault="00000000" w:rsidRPr="00000000" w14:paraId="0000006C">
      <w:pPr>
        <w:spacing w:line="360" w:lineRule="auto"/>
        <w:rPr/>
      </w:pPr>
      <w:r w:rsidDel="00000000" w:rsidR="00000000" w:rsidRPr="00000000">
        <w:rPr>
          <w:rtl w:val="0"/>
        </w:rPr>
      </w:r>
    </w:p>
    <w:p w:rsidR="00000000" w:rsidDel="00000000" w:rsidP="00000000" w:rsidRDefault="00000000" w:rsidRPr="00000000" w14:paraId="0000006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 los recursos, según lo manifestado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sus motivos de inconformidad, de acuerdo al artículo 179, fracciones V y VI del ordenamiento legal citado, que a la letra dice: </w:t>
      </w:r>
    </w:p>
    <w:p w:rsidR="00000000" w:rsidDel="00000000" w:rsidP="00000000" w:rsidRDefault="00000000" w:rsidRPr="00000000" w14:paraId="0000006E">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179.</w:t>
      </w:r>
      <w:r w:rsidDel="00000000" w:rsidR="00000000" w:rsidRPr="00000000">
        <w:rPr>
          <w:rFonts w:ascii="Palatino Linotype" w:cs="Palatino Linotype" w:eastAsia="Palatino Linotype" w:hAnsi="Palatino Linotype"/>
          <w:i w:val="1"/>
          <w:color w:val="000000"/>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70">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71">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V. La entrega de información incompleta; </w:t>
      </w:r>
    </w:p>
    <w:p w:rsidR="00000000" w:rsidDel="00000000" w:rsidP="00000000" w:rsidRDefault="00000000" w:rsidRPr="00000000" w14:paraId="00000072">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VI. La entrega de información que no corresponda con lo solicitado; </w:t>
      </w:r>
    </w:p>
    <w:p w:rsidR="00000000" w:rsidDel="00000000" w:rsidP="00000000" w:rsidRDefault="00000000" w:rsidRPr="00000000" w14:paraId="00000073">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74">
      <w:pPr>
        <w:spacing w:line="360" w:lineRule="auto"/>
        <w:jc w:val="both"/>
        <w:rPr/>
      </w:pPr>
      <w:r w:rsidDel="00000000" w:rsidR="00000000" w:rsidRPr="00000000">
        <w:rPr>
          <w:rtl w:val="0"/>
        </w:rPr>
      </w:r>
    </w:p>
    <w:p w:rsidR="00000000" w:rsidDel="00000000" w:rsidP="00000000" w:rsidRDefault="00000000" w:rsidRPr="00000000" w14:paraId="0000007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las constancias que integran el expediente electrónico se advierte que el tema sobre el que este Instituto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p>
    <w:p w:rsidR="00000000" w:rsidDel="00000000" w:rsidP="00000000" w:rsidRDefault="00000000" w:rsidRPr="00000000" w14:paraId="0000007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ind w:right="51"/>
        <w:jc w:val="both"/>
        <w:rPr>
          <w:color w:val="000000"/>
        </w:rPr>
      </w:pPr>
      <w:r w:rsidDel="00000000" w:rsidR="00000000" w:rsidRPr="00000000">
        <w:rPr>
          <w:rFonts w:ascii="Palatino Linotype" w:cs="Palatino Linotype" w:eastAsia="Palatino Linotype" w:hAnsi="Palatino Linotype"/>
          <w:b w:val="1"/>
          <w:color w:val="000000"/>
          <w:rtl w:val="0"/>
        </w:rPr>
        <w:t xml:space="preserve">CUARTO. ESTUDIO DEL ASUNTO. </w:t>
      </w:r>
      <w:r w:rsidDel="00000000" w:rsidR="00000000" w:rsidRPr="00000000">
        <w:rPr>
          <w:rFonts w:ascii="Palatino Linotype" w:cs="Palatino Linotype" w:eastAsia="Palatino Linotype" w:hAnsi="Palatino Linotype"/>
          <w:color w:val="000000"/>
          <w:rtl w:val="0"/>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r w:rsidDel="00000000" w:rsidR="00000000" w:rsidRPr="00000000">
        <w:rPr>
          <w:rtl w:val="0"/>
        </w:rPr>
      </w:r>
    </w:p>
    <w:p w:rsidR="00000000" w:rsidDel="00000000" w:rsidP="00000000" w:rsidRDefault="00000000" w:rsidRPr="00000000" w14:paraId="00000078">
      <w:pPr>
        <w:spacing w:line="360" w:lineRule="auto"/>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color w:val="000000"/>
          <w:sz w:val="22"/>
          <w:szCs w:val="22"/>
          <w:rtl w:val="0"/>
        </w:rPr>
        <w:t xml:space="preserve">, así como de las garantías para su protección, cuyo ejercicio no podrá restringirse ni suspenderse, salvo en los casos y bajo las condiciones que esta Constitución establece.</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color w:val="000000"/>
          <w:sz w:val="22"/>
          <w:szCs w:val="22"/>
          <w:rtl w:val="0"/>
        </w:rPr>
        <w:t xml:space="preserve"> En consecuencia, el Estado deberá prevenir, investigar, sancionar y reparar las violaciones a los derechos humanos, en los términos que establezca la ley</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Artículo 6o.</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color w:val="000000"/>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en el ámbito de sus respectivas competencias, se regirán por los siguientes principios y bases:</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I. </w:t>
      </w:r>
      <w:r w:rsidDel="00000000" w:rsidR="00000000" w:rsidRPr="00000000">
        <w:rPr>
          <w:rFonts w:ascii="Palatino Linotype" w:cs="Palatino Linotype" w:eastAsia="Palatino Linotype" w:hAnsi="Palatino Linotype"/>
          <w:b w:val="1"/>
          <w:i w:val="1"/>
          <w:color w:val="000000"/>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color w:val="000000"/>
          <w:sz w:val="22"/>
          <w:szCs w:val="22"/>
          <w:rtl w:val="0"/>
        </w:rPr>
        <w:t xml:space="preserve"> Ejecutivo, Legislativo </w:t>
      </w:r>
      <w:r w:rsidDel="00000000" w:rsidR="00000000" w:rsidRPr="00000000">
        <w:rPr>
          <w:rFonts w:ascii="Palatino Linotype" w:cs="Palatino Linotype" w:eastAsia="Palatino Linotype" w:hAnsi="Palatino Linotype"/>
          <w:b w:val="1"/>
          <w:i w:val="1"/>
          <w:color w:val="000000"/>
          <w:sz w:val="22"/>
          <w:szCs w:val="22"/>
          <w:u w:val="single"/>
          <w:rtl w:val="0"/>
        </w:rPr>
        <w:t xml:space="preserve">y Judicial</w:t>
      </w:r>
      <w:r w:rsidDel="00000000" w:rsidR="00000000" w:rsidRPr="00000000">
        <w:rPr>
          <w:rFonts w:ascii="Palatino Linotype" w:cs="Palatino Linotype" w:eastAsia="Palatino Linotype" w:hAnsi="Palatino Linotype"/>
          <w:i w:val="1"/>
          <w:color w:val="000000"/>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color w:val="000000"/>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color w:val="000000"/>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II. La información que se refiere a la vida privada y los datos personales será protegida en los términos y con las excepciones que fijen las leyes.</w: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III. </w:t>
      </w:r>
      <w:r w:rsidDel="00000000" w:rsidR="00000000" w:rsidRPr="00000000">
        <w:rPr>
          <w:rFonts w:ascii="Palatino Linotype" w:cs="Palatino Linotype" w:eastAsia="Palatino Linotype" w:hAnsi="Palatino Linotype"/>
          <w:b w:val="1"/>
          <w:i w:val="1"/>
          <w:color w:val="000000"/>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color w:val="000000"/>
          <w:sz w:val="22"/>
          <w:szCs w:val="22"/>
          <w:rtl w:val="0"/>
        </w:rPr>
        <w:t xml:space="preserve"> a sus datos personales o a la rectificación de éstos.</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IV. </w:t>
      </w:r>
      <w:r w:rsidDel="00000000" w:rsidR="00000000" w:rsidRPr="00000000">
        <w:rPr>
          <w:rFonts w:ascii="Palatino Linotype" w:cs="Palatino Linotype" w:eastAsia="Palatino Linotype" w:hAnsi="Palatino Linotype"/>
          <w:i w:val="1"/>
          <w:color w:val="000000"/>
          <w:sz w:val="22"/>
          <w:szCs w:val="22"/>
          <w:rtl w:val="0"/>
        </w:rPr>
        <w:t xml:space="preserve">Se establecerán mecanismos de acceso a la información y procedimientos de revisión expeditos que se sustanciarán ante los organismos autónomos especializados e imparciales que establece esta Constitución.</w:t>
      </w: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V. </w:t>
      </w:r>
      <w:r w:rsidDel="00000000" w:rsidR="00000000" w:rsidRPr="00000000">
        <w:rPr>
          <w:rFonts w:ascii="Palatino Linotype" w:cs="Palatino Linotype" w:eastAsia="Palatino Linotype" w:hAnsi="Palatino Linotype"/>
          <w:i w:val="1"/>
          <w:color w:val="000000"/>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VI. </w:t>
      </w:r>
      <w:r w:rsidDel="00000000" w:rsidR="00000000" w:rsidRPr="00000000">
        <w:rPr>
          <w:rFonts w:ascii="Palatino Linotype" w:cs="Palatino Linotype" w:eastAsia="Palatino Linotype" w:hAnsi="Palatino Linotype"/>
          <w:i w:val="1"/>
          <w:color w:val="000000"/>
          <w:sz w:val="22"/>
          <w:szCs w:val="22"/>
          <w:rtl w:val="0"/>
        </w:rPr>
        <w:t xml:space="preserve">Las leyes determinarán la manera en que los sujetos obligados deberán hacer pública la información relativa a los recursos públicos que entreguen a personas físicas o morales.</w: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VII. </w:t>
      </w:r>
      <w:r w:rsidDel="00000000" w:rsidR="00000000" w:rsidRPr="00000000">
        <w:rPr>
          <w:rFonts w:ascii="Palatino Linotype" w:cs="Palatino Linotype" w:eastAsia="Palatino Linotype" w:hAnsi="Palatino Linotype"/>
          <w:i w:val="1"/>
          <w:color w:val="000000"/>
          <w:sz w:val="22"/>
          <w:szCs w:val="22"/>
          <w:rtl w:val="0"/>
        </w:rPr>
        <w:t xml:space="preserve">La inobservancia a las disposiciones en materia de acceso a la información pública será sancionada en los términos que dispongan las leyes. </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Énfasis añadido </w:t>
      </w: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r w:rsidDel="00000000" w:rsidR="00000000" w:rsidRPr="00000000">
        <w:rPr>
          <w:rtl w:val="0"/>
        </w:rPr>
      </w:r>
    </w:p>
    <w:p w:rsidR="00000000" w:rsidDel="00000000" w:rsidP="00000000" w:rsidRDefault="00000000" w:rsidRPr="00000000" w14:paraId="00000092">
      <w:pPr>
        <w:spacing w:line="360" w:lineRule="auto"/>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En primer lugar, es conveniente analizar si la respuesta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Artículo 4.</w:t>
      </w:r>
      <w:r w:rsidDel="00000000" w:rsidR="00000000" w:rsidRPr="00000000">
        <w:rPr>
          <w:rFonts w:ascii="Palatino Linotype" w:cs="Palatino Linotype" w:eastAsia="Palatino Linotype" w:hAnsi="Palatino Linotype"/>
          <w:i w:val="1"/>
          <w:color w:val="000000"/>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color w:val="000000"/>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Énfasis añadido </w:t>
      </w: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Artículo 12.-</w:t>
      </w:r>
      <w:r w:rsidDel="00000000" w:rsidR="00000000" w:rsidRPr="00000000">
        <w:rPr>
          <w:rFonts w:ascii="Palatino Linotype" w:cs="Palatino Linotype" w:eastAsia="Palatino Linotype" w:hAnsi="Palatino Linotype"/>
          <w:i w:val="1"/>
          <w:color w:val="000000"/>
          <w:sz w:val="22"/>
          <w:szCs w:val="22"/>
          <w:rtl w:val="0"/>
        </w:rPr>
        <w:t xml:space="preserve"> Quienes generen, recopilen, administren, manejen, procesen, archiven o conserven información pública serán responsables de la misma en los términos de las disposiciones jurídicas aplicables. </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Énfasis añadido </w:t>
      </w: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r w:rsidDel="00000000" w:rsidR="00000000" w:rsidRPr="00000000">
        <w:rPr>
          <w:rtl w:val="0"/>
        </w:rPr>
      </w:r>
    </w:p>
    <w:p w:rsidR="00000000" w:rsidDel="00000000" w:rsidP="00000000" w:rsidRDefault="00000000" w:rsidRPr="00000000" w14:paraId="000000A1">
      <w:pPr>
        <w:spacing w:line="360" w:lineRule="auto"/>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360" w:lineRule="auto"/>
        <w:ind w:right="49"/>
        <w:jc w:val="both"/>
        <w:rPr>
          <w:color w:val="000000"/>
        </w:rPr>
      </w:pPr>
      <w:r w:rsidDel="00000000" w:rsidR="00000000" w:rsidRPr="00000000">
        <w:rPr>
          <w:rFonts w:ascii="Palatino Linotype" w:cs="Palatino Linotype" w:eastAsia="Palatino Linotype" w:hAnsi="Palatino Linotype"/>
          <w:color w:val="000000"/>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la Persona Servidora Público Habilitada de cada Sujeto Obligado; como así se establece en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A3">
      <w:pPr>
        <w:spacing w:line="360" w:lineRule="auto"/>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Por otra parte, conviene mencionar que la Ley de Transparencia vigente en el Estado de México refiere: </w:t>
      </w: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Artículo 18.</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u w:val="single"/>
          <w:rtl w:val="0"/>
        </w:rPr>
        <w:t xml:space="preserve">Los sujetos obligados deberán documentar todo acto que derive del ejercicio de sus facultades, competencias o funciones, considerando desde su origen la eventual publicidad</w:t>
      </w:r>
      <w:r w:rsidDel="00000000" w:rsidR="00000000" w:rsidRPr="00000000">
        <w:rPr>
          <w:rFonts w:ascii="Palatino Linotype" w:cs="Palatino Linotype" w:eastAsia="Palatino Linotype" w:hAnsi="Palatino Linotype"/>
          <w:i w:val="1"/>
          <w:color w:val="000000"/>
          <w:sz w:val="22"/>
          <w:szCs w:val="22"/>
          <w:rtl w:val="0"/>
        </w:rPr>
        <w:t xml:space="preserve"> y reutilización de la información que generen.</w:t>
      </w: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Artículo 19. </w:t>
      </w:r>
      <w:r w:rsidDel="00000000" w:rsidR="00000000" w:rsidRPr="00000000">
        <w:rPr>
          <w:rFonts w:ascii="Palatino Linotype" w:cs="Palatino Linotype" w:eastAsia="Palatino Linotype" w:hAnsi="Palatino Linotype"/>
          <w:b w:val="1"/>
          <w:i w:val="1"/>
          <w:color w:val="000000"/>
          <w:sz w:val="22"/>
          <w:szCs w:val="22"/>
          <w:u w:val="single"/>
          <w:rtl w:val="0"/>
        </w:rPr>
        <w:t xml:space="preserve">Se presume que la información debe existir si se refiere a las facultades, competencias y funciones que los ordenamientos jurídicos aplicables otorgan a los sujetos obligados</w:t>
      </w: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En los casos en que ciertas facultades, competencias o funciones no se hayan ejercido, se debe motivar la respuesta en función de las causas que motiven tal circunstancia. </w:t>
      </w: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Énfasis añadido </w:t>
      </w: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De los dispositivos legales en comento, se aprecia que todo acto de autoridad en el ejercicio de sus funciones y atribuciones debe estar documentado, por lo que para dar atención a una solicitud de información </w:t>
      </w:r>
      <w:r w:rsidDel="00000000" w:rsidR="00000000" w:rsidRPr="00000000">
        <w:rPr>
          <w:rFonts w:ascii="Palatino Linotype" w:cs="Palatino Linotype" w:eastAsia="Palatino Linotype" w:hAnsi="Palatino Linotype"/>
          <w:b w:val="1"/>
          <w:color w:val="000000"/>
          <w:rtl w:val="0"/>
        </w:rPr>
        <w:t xml:space="preserve">EL SUJETO OBLIGADO</w:t>
      </w:r>
      <w:r w:rsidDel="00000000" w:rsidR="00000000" w:rsidRPr="00000000">
        <w:rPr>
          <w:rFonts w:ascii="Palatino Linotype" w:cs="Palatino Linotype" w:eastAsia="Palatino Linotype" w:hAnsi="Palatino Linotype"/>
          <w:color w:val="000000"/>
          <w:rtl w:val="0"/>
        </w:rPr>
        <w:t xml:space="preserve">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B0">
      <w:pPr>
        <w:spacing w:line="360" w:lineRule="auto"/>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ind w:left="851" w:right="899"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Artículo 3. </w:t>
      </w:r>
      <w:r w:rsidDel="00000000" w:rsidR="00000000" w:rsidRPr="00000000">
        <w:rPr>
          <w:rFonts w:ascii="Palatino Linotype" w:cs="Palatino Linotype" w:eastAsia="Palatino Linotype" w:hAnsi="Palatino Linotype"/>
          <w:i w:val="1"/>
          <w:color w:val="000000"/>
          <w:sz w:val="22"/>
          <w:szCs w:val="22"/>
          <w:rtl w:val="0"/>
        </w:rPr>
        <w:t xml:space="preserve">Para los efectos de la presente Ley se entenderá por:</w:t>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ind w:left="851" w:right="899"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resoluciones, oficios, correspondencia, acuerdos, directivas, directrices, circulares, contratos, convenios, instructivos, notas, memorandos, estadísticas o bien, cualquier otro </w:t>
      </w:r>
      <w:r w:rsidDel="00000000" w:rsidR="00000000" w:rsidRPr="00000000">
        <w:rPr>
          <w:rFonts w:ascii="Palatino Linotype" w:cs="Palatino Linotype" w:eastAsia="Palatino Linotype" w:hAnsi="Palatino Linotype"/>
          <w:b w:val="1"/>
          <w:i w:val="1"/>
          <w:color w:val="000000"/>
          <w:sz w:val="22"/>
          <w:szCs w:val="22"/>
          <w:u w:val="single"/>
          <w:rtl w:val="0"/>
        </w:rPr>
        <w:t xml:space="preserve">registro que documente el ejercicio de las facultades, funciones y competencias de los sujetos obligados</w:t>
      </w:r>
      <w:r w:rsidDel="00000000" w:rsidR="00000000" w:rsidRPr="00000000">
        <w:rPr>
          <w:rFonts w:ascii="Palatino Linotype" w:cs="Palatino Linotype" w:eastAsia="Palatino Linotype" w:hAnsi="Palatino Linotype"/>
          <w:i w:val="1"/>
          <w:color w:val="000000"/>
          <w:sz w:val="22"/>
          <w:szCs w:val="22"/>
          <w:rtl w:val="0"/>
        </w:rPr>
        <w:t xml:space="preserve">, sus servidores públicos e integrantes, sin importar su fuente o fecha de elaboración. Los documentos podrán estar en cualquier medio, sea escrito, impreso, sonoro, visual, </w:t>
      </w:r>
      <w:r w:rsidDel="00000000" w:rsidR="00000000" w:rsidRPr="00000000">
        <w:rPr>
          <w:rFonts w:ascii="Palatino Linotype" w:cs="Palatino Linotype" w:eastAsia="Palatino Linotype" w:hAnsi="Palatino Linotype"/>
          <w:b w:val="1"/>
          <w:i w:val="1"/>
          <w:color w:val="000000"/>
          <w:sz w:val="22"/>
          <w:szCs w:val="22"/>
          <w:u w:val="single"/>
          <w:rtl w:val="0"/>
        </w:rPr>
        <w:t xml:space="preserve">electrónico, informático</w:t>
      </w:r>
      <w:r w:rsidDel="00000000" w:rsidR="00000000" w:rsidRPr="00000000">
        <w:rPr>
          <w:rFonts w:ascii="Palatino Linotype" w:cs="Palatino Linotype" w:eastAsia="Palatino Linotype" w:hAnsi="Palatino Linotype"/>
          <w:i w:val="1"/>
          <w:color w:val="000000"/>
          <w:sz w:val="22"/>
          <w:szCs w:val="22"/>
          <w:rtl w:val="0"/>
        </w:rPr>
        <w:t xml:space="preserve"> u holográfico</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Énfasis añadido</w:t>
      </w: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CRITERIO 0002-11</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color w:val="000000"/>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En consecuencia el acceso a la información se refiere a que se cumplan cualquiera de los siguientes tres supuestos:</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1) Que se trate de información registrada en cualquier soporte documental, que en ejercicio de las atribuciones conferidas, sea generada por los Sujetos Obligados;</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2) Que se trate de información registrada en cualquier soporte documental, que en ejercicio de las atribuciones conferidas, sea administrada por los Sujetos Obligados, y</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ind w:left="851" w:right="616"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3) Que se trate de información registrada en cualquier soporte documental, que en ejercicio de las atribuciones conferidas, se encuentre en posesión de los Sujetos Obligados.</w:t>
      </w: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De ahí que </w:t>
      </w:r>
      <w:r w:rsidDel="00000000" w:rsidR="00000000" w:rsidRPr="00000000">
        <w:rPr>
          <w:rFonts w:ascii="Palatino Linotype" w:cs="Palatino Linotype" w:eastAsia="Palatino Linotype" w:hAnsi="Palatino Linotype"/>
          <w:b w:val="1"/>
          <w:color w:val="000000"/>
          <w:rtl w:val="0"/>
        </w:rPr>
        <w:t xml:space="preserve">EL SUJETO OBLIGADO</w:t>
      </w:r>
      <w:r w:rsidDel="00000000" w:rsidR="00000000" w:rsidRPr="00000000">
        <w:rPr>
          <w:rFonts w:ascii="Palatino Linotype" w:cs="Palatino Linotype" w:eastAsia="Palatino Linotype" w:hAnsi="Palatino Linotype"/>
          <w:color w:val="000000"/>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como pudiera tratarse de aquella relacionada con las obligaciones de transparencia señaladas en los artículos 92 y 100 de la ley de la materia.</w:t>
      </w:r>
      <w:r w:rsidDel="00000000" w:rsidR="00000000" w:rsidRPr="00000000">
        <w:rPr>
          <w:rtl w:val="0"/>
        </w:rPr>
      </w:r>
    </w:p>
    <w:p w:rsidR="00000000" w:rsidDel="00000000" w:rsidP="00000000" w:rsidRDefault="00000000" w:rsidRPr="00000000" w14:paraId="000000C3">
      <w:pPr>
        <w:spacing w:line="360" w:lineRule="auto"/>
        <w:rPr/>
      </w:pPr>
      <w:r w:rsidDel="00000000" w:rsidR="00000000" w:rsidRPr="00000000">
        <w:rPr>
          <w:rtl w:val="0"/>
        </w:rPr>
      </w:r>
    </w:p>
    <w:p w:rsidR="00000000" w:rsidDel="00000000" w:rsidP="00000000" w:rsidRDefault="00000000" w:rsidRPr="00000000" w14:paraId="000000C4">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Ahora bien, este Pleno centrará su atención en el análisis de las solicitudes de información </w:t>
      </w:r>
      <w:r w:rsidDel="00000000" w:rsidR="00000000" w:rsidRPr="00000000">
        <w:rPr>
          <w:rFonts w:ascii="Palatino Linotype" w:cs="Palatino Linotype" w:eastAsia="Palatino Linotype" w:hAnsi="Palatino Linotype"/>
          <w:b w:val="1"/>
          <w:rtl w:val="0"/>
        </w:rPr>
        <w:t xml:space="preserve">00289/TEMOAYA/IP/2022, 00290/TEMOAYA/IP/2022</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00291/TEMOAYA/IP/2022,</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000000"/>
          <w:rtl w:val="0"/>
        </w:rPr>
        <w:t xml:space="preserve">tenemos que </w:t>
      </w:r>
      <w:r w:rsidDel="00000000" w:rsidR="00000000" w:rsidRPr="00000000">
        <w:rPr>
          <w:rFonts w:ascii="Palatino Linotype" w:cs="Palatino Linotype" w:eastAsia="Palatino Linotype" w:hAnsi="Palatino Linotype"/>
          <w:b w:val="1"/>
          <w:color w:val="000000"/>
          <w:rtl w:val="0"/>
        </w:rPr>
        <w:t xml:space="preserve">LA PARTE RECURRENTE</w:t>
      </w:r>
      <w:r w:rsidDel="00000000" w:rsidR="00000000" w:rsidRPr="00000000">
        <w:rPr>
          <w:rFonts w:ascii="Palatino Linotype" w:cs="Palatino Linotype" w:eastAsia="Palatino Linotype" w:hAnsi="Palatino Linotype"/>
          <w:color w:val="000000"/>
          <w:rtl w:val="0"/>
        </w:rPr>
        <w:t xml:space="preserve"> requirió al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 le informara los horarios y lugares de atención de los grupos de las siguientes personas servidoras públicas:</w:t>
      </w:r>
    </w:p>
    <w:p w:rsidR="00000000" w:rsidDel="00000000" w:rsidP="00000000" w:rsidRDefault="00000000" w:rsidRPr="00000000" w14:paraId="000000C5">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C6">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Guillermina Victoriano Ramírez;</w:t>
      </w:r>
    </w:p>
    <w:p w:rsidR="00000000" w:rsidDel="00000000" w:rsidP="00000000" w:rsidRDefault="00000000" w:rsidRPr="00000000" w14:paraId="000000C7">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Dulce Dalila Arana Piña; y</w:t>
      </w:r>
    </w:p>
    <w:p w:rsidR="00000000" w:rsidDel="00000000" w:rsidP="00000000" w:rsidRDefault="00000000" w:rsidRPr="00000000" w14:paraId="000000C8">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Liliana Florentino Gabriel.</w:t>
      </w:r>
    </w:p>
    <w:p w:rsidR="00000000" w:rsidDel="00000000" w:rsidP="00000000" w:rsidRDefault="00000000" w:rsidRPr="00000000" w14:paraId="000000C9">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CA">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su cuenta, </w:t>
      </w:r>
      <w:r w:rsidDel="00000000" w:rsidR="00000000" w:rsidRPr="00000000">
        <w:rPr>
          <w:rFonts w:ascii="Palatino Linotype" w:cs="Palatino Linotype" w:eastAsia="Palatino Linotype" w:hAnsi="Palatino Linotype"/>
          <w:b w:val="1"/>
          <w:color w:val="000000"/>
          <w:rtl w:val="0"/>
        </w:rPr>
        <w:t xml:space="preserve">EL SUJETO OBLIGADO</w:t>
      </w:r>
      <w:r w:rsidDel="00000000" w:rsidR="00000000" w:rsidRPr="00000000">
        <w:rPr>
          <w:rFonts w:ascii="Palatino Linotype" w:cs="Palatino Linotype" w:eastAsia="Palatino Linotype" w:hAnsi="Palatino Linotype"/>
          <w:color w:val="000000"/>
          <w:rtl w:val="0"/>
        </w:rPr>
        <w:t xml:space="preserve"> mediante la Dirección de las Mujeres señaló los horarios de atención en los cuales eran atendidas diversas comunidades del Municipio de Temoaya por parte de las Personas Servidoras Públicas de referencia, como se vuelve a ilustrar en este fallo:  </w:t>
      </w:r>
    </w:p>
    <w:p w:rsidR="00000000" w:rsidDel="00000000" w:rsidP="00000000" w:rsidRDefault="00000000" w:rsidRPr="00000000" w14:paraId="000000CB">
      <w:pPr>
        <w:spacing w:line="360" w:lineRule="auto"/>
        <w:jc w:val="both"/>
        <w:rPr>
          <w:rFonts w:ascii="Palatino Linotype" w:cs="Palatino Linotype" w:eastAsia="Palatino Linotype" w:hAnsi="Palatino Linotype"/>
          <w:color w:val="000000"/>
        </w:rPr>
      </w:pPr>
      <w:r w:rsidDel="00000000" w:rsidR="00000000" w:rsidRPr="00000000">
        <w:rPr>
          <w:rtl w:val="0"/>
        </w:rPr>
      </w:r>
    </w:p>
    <w:tbl>
      <w:tblPr>
        <w:tblStyle w:val="Table4"/>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5998"/>
        <w:tblGridChange w:id="0">
          <w:tblGrid>
            <w:gridCol w:w="2830"/>
            <w:gridCol w:w="5998"/>
          </w:tblGrid>
        </w:tblGridChange>
      </w:tblGrid>
      <w:tr>
        <w:trPr>
          <w:cantSplit w:val="0"/>
          <w:tblHeader w:val="0"/>
        </w:trPr>
        <w:tc>
          <w:tcPr/>
          <w:p w:rsidR="00000000" w:rsidDel="00000000" w:rsidP="00000000" w:rsidRDefault="00000000" w:rsidRPr="00000000" w14:paraId="000000CC">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tc>
        <w:tc>
          <w:tcPr/>
          <w:p w:rsidR="00000000" w:rsidDel="00000000" w:rsidP="00000000" w:rsidRDefault="00000000" w:rsidRPr="00000000" w14:paraId="000000CD">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r>
      <w:tr>
        <w:trPr>
          <w:cantSplit w:val="0"/>
          <w:tblHeader w:val="0"/>
        </w:trPr>
        <w:tc>
          <w:tcPr>
            <w:vAlign w:val="center"/>
          </w:tcPr>
          <w:p w:rsidR="00000000" w:rsidDel="00000000" w:rsidP="00000000" w:rsidRDefault="00000000" w:rsidRPr="00000000" w14:paraId="000000CE">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00289/TEMOAYA/IP/2022</w:t>
            </w:r>
            <w:r w:rsidDel="00000000" w:rsidR="00000000" w:rsidRPr="00000000">
              <w:rPr>
                <w:rtl w:val="0"/>
              </w:rPr>
            </w:r>
          </w:p>
        </w:tc>
        <w:tc>
          <w:tcPr>
            <w:vAlign w:val="center"/>
          </w:tcPr>
          <w:p w:rsidR="00000000" w:rsidDel="00000000" w:rsidP="00000000" w:rsidRDefault="00000000" w:rsidRPr="00000000" w14:paraId="000000CF">
            <w:pPr>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OFICIO </w:t>
            </w:r>
            <w:r w:rsidDel="00000000" w:rsidR="00000000" w:rsidRPr="00000000">
              <w:rPr>
                <w:rFonts w:ascii="Palatino Linotype" w:cs="Palatino Linotype" w:eastAsia="Palatino Linotype" w:hAnsi="Palatino Linotype"/>
                <w:i w:val="1"/>
                <w:sz w:val="22"/>
                <w:szCs w:val="22"/>
                <w:rtl w:val="0"/>
              </w:rPr>
              <w:t xml:space="preserve">DM/505/2022</w:t>
            </w:r>
          </w:p>
          <w:p w:rsidR="00000000" w:rsidDel="00000000" w:rsidP="00000000" w:rsidRDefault="00000000" w:rsidRPr="00000000" w14:paraId="000000D0">
            <w:pPr>
              <w:jc w:val="both"/>
              <w:rPr>
                <w:rFonts w:ascii="Palatino Linotype" w:cs="Palatino Linotype" w:eastAsia="Palatino Linotype" w:hAnsi="Palatino Linotype"/>
                <w:sz w:val="22"/>
                <w:szCs w:val="22"/>
              </w:rPr>
            </w:pPr>
            <w:r w:rsidDel="00000000" w:rsidR="00000000" w:rsidRPr="00000000">
              <w:rPr/>
              <w:drawing>
                <wp:inline distB="0" distT="0" distL="0" distR="0">
                  <wp:extent cx="3681001" cy="684844"/>
                  <wp:effectExtent b="0" l="0" r="0" t="0"/>
                  <wp:docPr id="41" name="image6.png"/>
                  <a:graphic>
                    <a:graphicData uri="http://schemas.openxmlformats.org/drawingml/2006/picture">
                      <pic:pic>
                        <pic:nvPicPr>
                          <pic:cNvPr id="0" name="image6.png"/>
                          <pic:cNvPicPr preferRelativeResize="0"/>
                        </pic:nvPicPr>
                        <pic:blipFill>
                          <a:blip r:embed="rId7"/>
                          <a:srcRect b="22505" l="5270" r="12343" t="50241"/>
                          <a:stretch>
                            <a:fillRect/>
                          </a:stretch>
                        </pic:blipFill>
                        <pic:spPr>
                          <a:xfrm>
                            <a:off x="0" y="0"/>
                            <a:ext cx="3681001" cy="684844"/>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1">
            <w:pPr>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00290/TEMOAYA/IP/2022</w:t>
            </w:r>
            <w:r w:rsidDel="00000000" w:rsidR="00000000" w:rsidRPr="00000000">
              <w:rPr>
                <w:rtl w:val="0"/>
              </w:rPr>
            </w:r>
          </w:p>
        </w:tc>
        <w:tc>
          <w:tcPr>
            <w:vAlign w:val="center"/>
          </w:tcPr>
          <w:p w:rsidR="00000000" w:rsidDel="00000000" w:rsidP="00000000" w:rsidRDefault="00000000" w:rsidRPr="00000000" w14:paraId="000000D2">
            <w:pPr>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OFICIO </w:t>
            </w:r>
            <w:r w:rsidDel="00000000" w:rsidR="00000000" w:rsidRPr="00000000">
              <w:rPr>
                <w:rFonts w:ascii="Palatino Linotype" w:cs="Palatino Linotype" w:eastAsia="Palatino Linotype" w:hAnsi="Palatino Linotype"/>
                <w:i w:val="1"/>
                <w:sz w:val="22"/>
                <w:szCs w:val="22"/>
                <w:rtl w:val="0"/>
              </w:rPr>
              <w:t xml:space="preserve">DM/488/2022</w:t>
            </w:r>
          </w:p>
          <w:p w:rsidR="00000000" w:rsidDel="00000000" w:rsidP="00000000" w:rsidRDefault="00000000" w:rsidRPr="00000000" w14:paraId="000000D3">
            <w:pPr>
              <w:jc w:val="both"/>
              <w:rPr>
                <w:rFonts w:ascii="Palatino Linotype" w:cs="Palatino Linotype" w:eastAsia="Palatino Linotype" w:hAnsi="Palatino Linotype"/>
                <w:sz w:val="22"/>
                <w:szCs w:val="22"/>
              </w:rPr>
            </w:pPr>
            <w:r w:rsidDel="00000000" w:rsidR="00000000" w:rsidRPr="00000000">
              <w:rPr/>
              <w:drawing>
                <wp:inline distB="0" distT="0" distL="0" distR="0">
                  <wp:extent cx="3707168" cy="553133"/>
                  <wp:effectExtent b="0" l="0" r="0" t="0"/>
                  <wp:docPr id="44" name="image8.png"/>
                  <a:graphic>
                    <a:graphicData uri="http://schemas.openxmlformats.org/drawingml/2006/picture">
                      <pic:pic>
                        <pic:nvPicPr>
                          <pic:cNvPr id="0" name="image8.png"/>
                          <pic:cNvPicPr preferRelativeResize="0"/>
                        </pic:nvPicPr>
                        <pic:blipFill>
                          <a:blip r:embed="rId8"/>
                          <a:srcRect b="34853" l="22750" r="1804" t="45131"/>
                          <a:stretch>
                            <a:fillRect/>
                          </a:stretch>
                        </pic:blipFill>
                        <pic:spPr>
                          <a:xfrm>
                            <a:off x="0" y="0"/>
                            <a:ext cx="3707168" cy="553133"/>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D4">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00291/TEMOAYA/IP/2022</w:t>
            </w:r>
          </w:p>
        </w:tc>
        <w:tc>
          <w:tcPr>
            <w:vAlign w:val="center"/>
          </w:tcPr>
          <w:p w:rsidR="00000000" w:rsidDel="00000000" w:rsidP="00000000" w:rsidRDefault="00000000" w:rsidRPr="00000000" w14:paraId="000000D5">
            <w:pPr>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color w:val="000000"/>
                <w:sz w:val="22"/>
                <w:szCs w:val="22"/>
                <w:rtl w:val="0"/>
              </w:rPr>
              <w:t xml:space="preserve">OFICIO </w:t>
            </w:r>
            <w:r w:rsidDel="00000000" w:rsidR="00000000" w:rsidRPr="00000000">
              <w:rPr>
                <w:rFonts w:ascii="Palatino Linotype" w:cs="Palatino Linotype" w:eastAsia="Palatino Linotype" w:hAnsi="Palatino Linotype"/>
                <w:i w:val="1"/>
                <w:sz w:val="22"/>
                <w:szCs w:val="22"/>
                <w:rtl w:val="0"/>
              </w:rPr>
              <w:t xml:space="preserve">DM/528/2022</w:t>
            </w:r>
          </w:p>
          <w:p w:rsidR="00000000" w:rsidDel="00000000" w:rsidP="00000000" w:rsidRDefault="00000000" w:rsidRPr="00000000" w14:paraId="000000D6">
            <w:pPr>
              <w:jc w:val="both"/>
              <w:rPr>
                <w:rFonts w:ascii="Palatino Linotype" w:cs="Palatino Linotype" w:eastAsia="Palatino Linotype" w:hAnsi="Palatino Linotype"/>
                <w:color w:val="000000"/>
                <w:sz w:val="22"/>
                <w:szCs w:val="22"/>
              </w:rPr>
            </w:pPr>
            <w:r w:rsidDel="00000000" w:rsidR="00000000" w:rsidRPr="00000000">
              <w:rPr/>
              <w:drawing>
                <wp:inline distB="0" distT="0" distL="0" distR="0">
                  <wp:extent cx="3788280" cy="496227"/>
                  <wp:effectExtent b="0" l="0" r="0" t="0"/>
                  <wp:docPr id="43" name="image3.png"/>
                  <a:graphic>
                    <a:graphicData uri="http://schemas.openxmlformats.org/drawingml/2006/picture">
                      <pic:pic>
                        <pic:nvPicPr>
                          <pic:cNvPr id="0" name="image3.png"/>
                          <pic:cNvPicPr preferRelativeResize="0"/>
                        </pic:nvPicPr>
                        <pic:blipFill>
                          <a:blip r:embed="rId9"/>
                          <a:srcRect b="38679" l="21792" r="3219" t="43855"/>
                          <a:stretch>
                            <a:fillRect/>
                          </a:stretch>
                        </pic:blipFill>
                        <pic:spPr>
                          <a:xfrm>
                            <a:off x="0" y="0"/>
                            <a:ext cx="3788280" cy="49622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7">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D8">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Ante tales respuestas, y como se ha detallado en esta resolución, </w:t>
      </w:r>
      <w:r w:rsidDel="00000000" w:rsidR="00000000" w:rsidRPr="00000000">
        <w:rPr>
          <w:rFonts w:ascii="Palatino Linotype" w:cs="Palatino Linotype" w:eastAsia="Palatino Linotype" w:hAnsi="Palatino Linotype"/>
          <w:b w:val="1"/>
          <w:color w:val="000000"/>
          <w:rtl w:val="0"/>
        </w:rPr>
        <w:t xml:space="preserve">LA PARTE RECURRENTE</w:t>
      </w:r>
      <w:r w:rsidDel="00000000" w:rsidR="00000000" w:rsidRPr="00000000">
        <w:rPr>
          <w:rFonts w:ascii="Palatino Linotype" w:cs="Palatino Linotype" w:eastAsia="Palatino Linotype" w:hAnsi="Palatino Linotype"/>
          <w:rtl w:val="0"/>
        </w:rPr>
        <w:t xml:space="preserve"> se inconformó, señalando lo siguiente</w:t>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D9">
      <w:pPr>
        <w:spacing w:line="360" w:lineRule="auto"/>
        <w:jc w:val="both"/>
        <w:rPr>
          <w:rFonts w:ascii="Palatino Linotype" w:cs="Palatino Linotype" w:eastAsia="Palatino Linotype" w:hAnsi="Palatino Linotype"/>
          <w:color w:val="000000"/>
        </w:rPr>
      </w:pPr>
      <w:r w:rsidDel="00000000" w:rsidR="00000000" w:rsidRPr="00000000">
        <w:rPr>
          <w:rtl w:val="0"/>
        </w:rPr>
      </w:r>
    </w:p>
    <w:tbl>
      <w:tblPr>
        <w:tblStyle w:val="Table5"/>
        <w:tblW w:w="85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83"/>
        <w:gridCol w:w="5517"/>
        <w:tblGridChange w:id="0">
          <w:tblGrid>
            <w:gridCol w:w="2983"/>
            <w:gridCol w:w="5517"/>
          </w:tblGrid>
        </w:tblGridChange>
      </w:tblGrid>
      <w:tr>
        <w:trPr>
          <w:cantSplit w:val="0"/>
          <w:tblHeader w:val="0"/>
        </w:trPr>
        <w:tc>
          <w:tcPr>
            <w:shd w:fill="d9d9d9" w:val="clear"/>
            <w:vAlign w:val="center"/>
          </w:tcPr>
          <w:p w:rsidR="00000000" w:rsidDel="00000000" w:rsidP="00000000" w:rsidRDefault="00000000" w:rsidRPr="00000000" w14:paraId="000000DA">
            <w:pPr>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ACTOS IMPUGNADOS</w:t>
            </w:r>
          </w:p>
        </w:tc>
        <w:tc>
          <w:tcPr>
            <w:shd w:fill="d9d9d9" w:val="clear"/>
            <w:vAlign w:val="center"/>
          </w:tcPr>
          <w:p w:rsidR="00000000" w:rsidDel="00000000" w:rsidP="00000000" w:rsidRDefault="00000000" w:rsidRPr="00000000" w14:paraId="000000DB">
            <w:pPr>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RAZONES O MOTIVOS DE INCONFORMIDAD</w:t>
            </w:r>
          </w:p>
        </w:tc>
      </w:tr>
      <w:tr>
        <w:trPr>
          <w:cantSplit w:val="0"/>
          <w:tblHeader w:val="0"/>
        </w:trPr>
        <w:tc>
          <w:tcPr>
            <w:vAlign w:val="center"/>
          </w:tcPr>
          <w:p w:rsidR="00000000" w:rsidDel="00000000" w:rsidP="00000000" w:rsidRDefault="00000000" w:rsidRPr="00000000" w14:paraId="000000DC">
            <w:pPr>
              <w:spacing w:line="276" w:lineRule="auto"/>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es imprecisa” (Sic)</w:t>
            </w:r>
          </w:p>
        </w:tc>
        <w:tc>
          <w:tcPr>
            <w:vAlign w:val="center"/>
          </w:tcPr>
          <w:p w:rsidR="00000000" w:rsidDel="00000000" w:rsidP="00000000" w:rsidRDefault="00000000" w:rsidRPr="00000000" w14:paraId="000000DD">
            <w:pPr>
              <w:spacing w:line="276" w:lineRule="auto"/>
              <w:jc w:val="cente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“Deseo conocer los horarios, días de atención y la comunidad con el domicilio exacto para poder acudir a los talleres. Ejemplo: El día lunes acude a San Pedro 2da sección a un costado de la iglesia, en un horario de 11:00 a 14:00 horas.” (Sic)</w:t>
            </w:r>
            <w:r w:rsidDel="00000000" w:rsidR="00000000" w:rsidRPr="00000000">
              <w:rPr>
                <w:rtl w:val="0"/>
              </w:rPr>
            </w:r>
          </w:p>
        </w:tc>
      </w:tr>
    </w:tbl>
    <w:p w:rsidR="00000000" w:rsidDel="00000000" w:rsidP="00000000" w:rsidRDefault="00000000" w:rsidRPr="00000000" w14:paraId="000000DE">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DF">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cuanto hace a la información requerida relacionada en las solicitudes</w:t>
      </w:r>
      <w:r w:rsidDel="00000000" w:rsidR="00000000" w:rsidRPr="00000000">
        <w:rPr>
          <w:rFonts w:ascii="Palatino Linotype" w:cs="Palatino Linotype" w:eastAsia="Palatino Linotype" w:hAnsi="Palatino Linotype"/>
          <w:b w:val="1"/>
          <w:rtl w:val="0"/>
        </w:rPr>
        <w:t xml:space="preserve"> 00289/TEMOAYA/IP/2022, 00290/TEMOAYA/IP/2022</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00291/TEMOAYA/IP/2022, </w:t>
      </w:r>
      <w:r w:rsidDel="00000000" w:rsidR="00000000" w:rsidRPr="00000000">
        <w:rPr>
          <w:rFonts w:ascii="Palatino Linotype" w:cs="Palatino Linotype" w:eastAsia="Palatino Linotype" w:hAnsi="Palatino Linotype"/>
          <w:rtl w:val="0"/>
        </w:rPr>
        <w:t xml:space="preserve">es de señalar que la respuesta fue emitida por parte de la Persona Servidora Pública Habilitada Competente como lo es la Dirección de las Mujeres..</w:t>
      </w:r>
      <w:r w:rsidDel="00000000" w:rsidR="00000000" w:rsidRPr="00000000">
        <w:rPr>
          <w:rtl w:val="0"/>
        </w:rPr>
      </w:r>
    </w:p>
    <w:p w:rsidR="00000000" w:rsidDel="00000000" w:rsidP="00000000" w:rsidRDefault="00000000" w:rsidRPr="00000000" w14:paraId="000000E0">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E1">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cual se acredita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siguió el procedimiento establecido por el artículo 162 de la Ley de Transparencia y Acceso a la Información Pública del Estado de México y Municipios, ya que turnó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rsidR="00000000" w:rsidDel="00000000" w:rsidP="00000000" w:rsidRDefault="00000000" w:rsidRPr="00000000" w14:paraId="000000E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color w:val="404040"/>
          <w:sz w:val="22"/>
          <w:szCs w:val="22"/>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color w:val="404040"/>
          <w:sz w:val="22"/>
          <w:szCs w:val="22"/>
        </w:rPr>
      </w:pPr>
      <w:r w:rsidDel="00000000" w:rsidR="00000000" w:rsidRPr="00000000">
        <w:rPr>
          <w:rFonts w:ascii="Palatino Linotype" w:cs="Palatino Linotype" w:eastAsia="Palatino Linotype" w:hAnsi="Palatino Linotype"/>
          <w:i w:val="1"/>
          <w:color w:val="404040"/>
          <w:sz w:val="22"/>
          <w:szCs w:val="22"/>
          <w:rtl w:val="0"/>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rsidR="00000000" w:rsidDel="00000000" w:rsidP="00000000" w:rsidRDefault="00000000" w:rsidRPr="00000000" w14:paraId="000000E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color w:val="404040"/>
          <w:sz w:val="22"/>
          <w:szCs w:val="22"/>
        </w:rPr>
      </w:pPr>
      <w:r w:rsidDel="00000000" w:rsidR="00000000" w:rsidRPr="00000000">
        <w:rPr>
          <w:rtl w:val="0"/>
        </w:rPr>
      </w:r>
    </w:p>
    <w:p w:rsidR="00000000" w:rsidDel="00000000" w:rsidP="00000000" w:rsidRDefault="00000000" w:rsidRPr="00000000" w14:paraId="000000E5">
      <w:pPr>
        <w:shd w:fill="ffffff" w:val="clear"/>
        <w:spacing w:line="360" w:lineRule="auto"/>
        <w:jc w:val="both"/>
        <w:rPr>
          <w:color w:val="222222"/>
        </w:rPr>
      </w:pPr>
      <w:r w:rsidDel="00000000" w:rsidR="00000000" w:rsidRPr="00000000">
        <w:rPr>
          <w:rFonts w:ascii="Palatino Linotype" w:cs="Palatino Linotype" w:eastAsia="Palatino Linotype" w:hAnsi="Palatino Linotype"/>
          <w:color w:val="222222"/>
          <w:rtl w:val="0"/>
        </w:rPr>
        <w:t xml:space="preserve">En este orden de ideas, se advierte que efectivamente la Unidad de Transparencia cumplió con lo expresado en el artículo 162 de la Ley </w:t>
      </w:r>
      <w:r w:rsidDel="00000000" w:rsidR="00000000" w:rsidRPr="00000000">
        <w:rPr>
          <w:rFonts w:ascii="Palatino Linotype" w:cs="Palatino Linotype" w:eastAsia="Palatino Linotype" w:hAnsi="Palatino Linotype"/>
          <w:color w:val="000000"/>
          <w:rtl w:val="0"/>
        </w:rPr>
        <w:t xml:space="preserve">de Transparencia y Acceso a la Información Pública del Estado de México y Municipios, el cual menciona lo siguiente:</w:t>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color w:val="404040"/>
          <w:sz w:val="22"/>
          <w:szCs w:val="22"/>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color w:val="404040"/>
          <w:sz w:val="22"/>
          <w:szCs w:val="22"/>
        </w:rPr>
      </w:pPr>
      <w:r w:rsidDel="00000000" w:rsidR="00000000" w:rsidRPr="00000000">
        <w:rPr>
          <w:rFonts w:ascii="Palatino Linotype" w:cs="Palatino Linotype" w:eastAsia="Palatino Linotype" w:hAnsi="Palatino Linotype"/>
          <w:i w:val="1"/>
          <w:color w:val="404040"/>
          <w:sz w:val="22"/>
          <w:szCs w:val="22"/>
          <w:rtl w:val="0"/>
        </w:rPr>
        <w:t xml:space="preserve">Artículo 162. Las unidades de transparencia deberán garantizar que las solicitudes </w:t>
      </w:r>
      <w:r w:rsidDel="00000000" w:rsidR="00000000" w:rsidRPr="00000000">
        <w:rPr>
          <w:rFonts w:ascii="Palatino Linotype" w:cs="Palatino Linotype" w:eastAsia="Palatino Linotype" w:hAnsi="Palatino Linotype"/>
          <w:b w:val="1"/>
          <w:i w:val="1"/>
          <w:color w:val="404040"/>
          <w:sz w:val="22"/>
          <w:szCs w:val="22"/>
          <w:rtl w:val="0"/>
        </w:rPr>
        <w:t xml:space="preserve">se turnen a todas las Áreas competentes </w:t>
      </w:r>
      <w:r w:rsidDel="00000000" w:rsidR="00000000" w:rsidRPr="00000000">
        <w:rPr>
          <w:rFonts w:ascii="Palatino Linotype" w:cs="Palatino Linotype" w:eastAsia="Palatino Linotype" w:hAnsi="Palatino Linotype"/>
          <w:i w:val="1"/>
          <w:color w:val="404040"/>
          <w:sz w:val="22"/>
          <w:szCs w:val="22"/>
          <w:rtl w:val="0"/>
        </w:rPr>
        <w:t xml:space="preserve">que cuenten con la información o deban tenerla de acuerdo a sus facultades, competencias y funciones, con el objeto de que realicen una búsqueda exhaustiva y razonable de la información solicitada.</w:t>
      </w:r>
    </w:p>
    <w:p w:rsidR="00000000" w:rsidDel="00000000" w:rsidP="00000000" w:rsidRDefault="00000000" w:rsidRPr="00000000" w14:paraId="000000E8">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E9">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Lo anterior se afirma de la revisión realizada al</w:t>
      </w:r>
      <w:r w:rsidDel="00000000" w:rsidR="00000000" w:rsidRPr="00000000">
        <w:rPr>
          <w:rFonts w:ascii="Palatino Linotype" w:cs="Palatino Linotype" w:eastAsia="Palatino Linotype" w:hAnsi="Palatino Linotype"/>
          <w:color w:val="000000"/>
          <w:rtl w:val="0"/>
        </w:rPr>
        <w:t xml:space="preserve"> Marco Normativo aplicable que faculta a la Dirección de las Mujeres para pronunciarse al respecto, co</w:t>
      </w:r>
      <w:r w:rsidDel="00000000" w:rsidR="00000000" w:rsidRPr="00000000">
        <w:rPr>
          <w:rFonts w:ascii="Palatino Linotype" w:cs="Palatino Linotype" w:eastAsia="Palatino Linotype" w:hAnsi="Palatino Linotype"/>
          <w:rtl w:val="0"/>
        </w:rPr>
        <w:t xml:space="preserve">mo se advierte a continuación</w:t>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EA">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LEY ORGÁNICA MUNICIPAL DEL ESTADO DE MÉXICO</w:t>
      </w:r>
    </w:p>
    <w:p w:rsidR="00000000" w:rsidDel="00000000" w:rsidP="00000000" w:rsidRDefault="00000000" w:rsidRPr="00000000" w14:paraId="000000EC">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TITULO IV Régimen Administrativo </w:t>
      </w:r>
    </w:p>
    <w:p w:rsidR="00000000" w:rsidDel="00000000" w:rsidP="00000000" w:rsidRDefault="00000000" w:rsidRPr="00000000" w14:paraId="000000ED">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CAPITULO PRIMERO De las Dependencias Administrativas</w:t>
      </w:r>
    </w:p>
    <w:p w:rsidR="00000000" w:rsidDel="00000000" w:rsidP="00000000" w:rsidRDefault="00000000" w:rsidRPr="00000000" w14:paraId="000000EE">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Artículo 87.- Para el despacho, estudio y planeación de los diversos asuntos de la administración municipal, el ayuntamiento contará por lo menos con las siguientes Dependencias:</w:t>
      </w:r>
    </w:p>
    <w:p w:rsidR="00000000" w:rsidDel="00000000" w:rsidP="00000000" w:rsidRDefault="00000000" w:rsidRPr="00000000" w14:paraId="000000EF">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F0">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IX. La Dirección de las Mujeres o equivalente.</w:t>
      </w:r>
    </w:p>
    <w:p w:rsidR="00000000" w:rsidDel="00000000" w:rsidP="00000000" w:rsidRDefault="00000000" w:rsidRPr="00000000" w14:paraId="000000F1">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Artículo 96 Quaterdecies.- La Dirección de las Mujeres, tiene las siguientes atribuciones:</w:t>
      </w:r>
    </w:p>
    <w:p w:rsidR="00000000" w:rsidDel="00000000" w:rsidP="00000000" w:rsidRDefault="00000000" w:rsidRPr="00000000" w14:paraId="000000F3">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 Proponer, coordinar y ejecutar las políticas públicas, programas y acciones que aseguren la igualdad y la no discriminación hacia las mujeres en sus distintas etapas de la vida, desde una perspectiva transversal e interseccional y con enfoque de derechos humanos; </w:t>
      </w:r>
    </w:p>
    <w:p w:rsidR="00000000" w:rsidDel="00000000" w:rsidP="00000000" w:rsidRDefault="00000000" w:rsidRPr="00000000" w14:paraId="000000F4">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F5">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III. Promover la participación de las mujeres en la toma de decisiones respecto del diseño de los planes y los programas de gobierno municipal; </w:t>
      </w:r>
    </w:p>
    <w:p w:rsidR="00000000" w:rsidDel="00000000" w:rsidP="00000000" w:rsidRDefault="00000000" w:rsidRPr="00000000" w14:paraId="000000F6">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F7">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VI. Brindar capacitación y asesoría, en materia de derechos humanos de las mujeres, igualdad, no discriminación, así como los tipos y las modalidades de la violencia contra las mujeres, en sus distintas etapas de la vida; </w:t>
      </w:r>
    </w:p>
    <w:p w:rsidR="00000000" w:rsidDel="00000000" w:rsidP="00000000" w:rsidRDefault="00000000" w:rsidRPr="00000000" w14:paraId="000000F8">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VII. Procurar, impulsar y apoyar el fortalecimiento de planes, programas y acciones administrativas que permitan el ejercicio pleno de los derechos de las mujeres; </w:t>
      </w:r>
    </w:p>
    <w:p w:rsidR="00000000" w:rsidDel="00000000" w:rsidP="00000000" w:rsidRDefault="00000000" w:rsidRPr="00000000" w14:paraId="000000F9">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FA">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IX. Establecer programas de sensibilización, reeducación, de construcción y capacitación dirigidos a la población en general con el fin de eliminar los roles y estereotipos que reproduzcan los tipos y modalidades de la violencia contra las mujeres, en todas las etapas de su vida; </w:t>
      </w:r>
    </w:p>
    <w:p w:rsidR="00000000" w:rsidDel="00000000" w:rsidP="00000000" w:rsidRDefault="00000000" w:rsidRPr="00000000" w14:paraId="000000FB">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FC">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XIV. Promover y coordinar la profesionalización permanente del personal de la administración municipal en los temas de prevención, atención integral y erradicación de la violencia contra las niñas, adolescentes y mujeres, igualdad sustantiva o materias afines; </w:t>
      </w:r>
    </w:p>
    <w:p w:rsidR="00000000" w:rsidDel="00000000" w:rsidP="00000000" w:rsidRDefault="00000000" w:rsidRPr="00000000" w14:paraId="000000FD">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FE">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XVII. Las demás que le sean conferidas por la o el Presidente Municipal o por el Ayuntamiento y las establecidas en las disposiciones jurídicas aplicables.</w:t>
      </w:r>
    </w:p>
    <w:p w:rsidR="00000000" w:rsidDel="00000000" w:rsidP="00000000" w:rsidRDefault="00000000" w:rsidRPr="00000000" w14:paraId="000000FF">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LEY DE ACCESO DE LAS MUJERES A UNA VIDA LIBRE DE VIOLENCIA DEL ESTADO DE MÉXICO</w:t>
      </w:r>
    </w:p>
    <w:p w:rsidR="00000000" w:rsidDel="00000000" w:rsidP="00000000" w:rsidRDefault="00000000" w:rsidRPr="00000000" w14:paraId="00000101">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TÍTULO QUINTO DE LA DISTRIBUCIÓN DE COMPETENCIAS EN MATERIA DE PREVENCIÓN, ATENCIÓN, SANCIÓN Y ERRADICACIÓN DE LA VIOLENCIA CONTRA LAS NIÑAS, ADOLESCENTES Y MUJERES</w:t>
      </w:r>
    </w:p>
    <w:p w:rsidR="00000000" w:rsidDel="00000000" w:rsidP="00000000" w:rsidRDefault="00000000" w:rsidRPr="00000000" w14:paraId="00000103">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CAPÍTULO III DE LA COMPETENCIA DE LOS MUNICIPIOS</w:t>
      </w:r>
    </w:p>
    <w:p w:rsidR="00000000" w:rsidDel="00000000" w:rsidP="00000000" w:rsidRDefault="00000000" w:rsidRPr="00000000" w14:paraId="00000104">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105">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X. Ter. Crear una Dirección de las Mujeres o, en su caso, un Instituto Municipal de la Mujer, para promover y fomentar las condiciones que faciliten el pleno ejercicio de los derechos humanos, la igualdad, el desarrollo económico, social, político y cultural, la no discriminación y la erradicación de la violencia contra las niñas, las adolescentes y las mujeres, en concordancia con la Constitución Política de los Estados Unidos Mexicanos, las leyes generales y las estatales, las políticas, nacional y estatal, así como los tratados internacionales en la materia;</w:t>
      </w:r>
    </w:p>
    <w:p w:rsidR="00000000" w:rsidDel="00000000" w:rsidP="00000000" w:rsidRDefault="00000000" w:rsidRPr="00000000" w14:paraId="00000106">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107">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BANDO MUNICIPAL DE TEMOAYA, ESTADO DE MÉXICO, 2022</w:t>
      </w:r>
    </w:p>
    <w:p w:rsidR="00000000" w:rsidDel="00000000" w:rsidP="00000000" w:rsidRDefault="00000000" w:rsidRPr="00000000" w14:paraId="00000109">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Título Décimo de la Atención a la Mujer y a la Juventud</w:t>
      </w:r>
    </w:p>
    <w:p w:rsidR="00000000" w:rsidDel="00000000" w:rsidP="00000000" w:rsidRDefault="00000000" w:rsidRPr="00000000" w14:paraId="0000010A">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Capítulo único</w:t>
      </w:r>
    </w:p>
    <w:p w:rsidR="00000000" w:rsidDel="00000000" w:rsidP="00000000" w:rsidRDefault="00000000" w:rsidRPr="00000000" w14:paraId="0000010B">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Artículo 176.- El Ayuntamiento de Temoaya a través de la Dirección de la Mujer, promoverá y fortalecerá programas federales y estatales, e implementará acciones municipales que atribuyan y faciliten la integración, desarrollo y participación de la mujer, fomentando siempre la igualdad sustantiva y una vida libre de violencia a través del Modelo de Equidad de Género y del Sistema Municipal para la Igualdad de Trato y Oportunidades entre Mujeres y Hombres para Prevenir, Atender y Erradicar la Violencia contra las Mujeres, con las atribuciones siguientes:</w:t>
      </w:r>
    </w:p>
    <w:p w:rsidR="00000000" w:rsidDel="00000000" w:rsidP="00000000" w:rsidRDefault="00000000" w:rsidRPr="00000000" w14:paraId="0000010C">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10D">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 Promover en el municipio y la sociedad, acciones dirigidas a mejorar la condición social de la población femenina y la erradicación de todas las formas de discriminación contra las mujeres, en los ámbitos de la vida social, económica, política y cultural; </w:t>
      </w:r>
    </w:p>
    <w:p w:rsidR="00000000" w:rsidDel="00000000" w:rsidP="00000000" w:rsidRDefault="00000000" w:rsidRPr="00000000" w14:paraId="0000010E">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b w:val="1"/>
          <w:i w:val="1"/>
          <w:color w:val="000000"/>
          <w:sz w:val="22"/>
          <w:szCs w:val="22"/>
          <w:u w:val="single"/>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III. Impulsar programas y talleres adecuados para llevar a cabo las acciones de orientación, asesoría jurídica y asistencia social para la atención a las mujeres; </w:t>
      </w:r>
    </w:p>
    <w:p w:rsidR="00000000" w:rsidDel="00000000" w:rsidP="00000000" w:rsidRDefault="00000000" w:rsidRPr="00000000" w14:paraId="0000010F">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IV. </w:t>
      </w:r>
      <w:r w:rsidDel="00000000" w:rsidR="00000000" w:rsidRPr="00000000">
        <w:rPr>
          <w:rFonts w:ascii="Palatino Linotype" w:cs="Palatino Linotype" w:eastAsia="Palatino Linotype" w:hAnsi="Palatino Linotype"/>
          <w:b w:val="1"/>
          <w:i w:val="1"/>
          <w:color w:val="000000"/>
          <w:sz w:val="22"/>
          <w:szCs w:val="22"/>
          <w:u w:val="single"/>
          <w:rtl w:val="0"/>
        </w:rPr>
        <w:t xml:space="preserve">Realizar y promover la capacitación de cursos para la asistencia social en beneficio de la economía familiar;</w:t>
      </w:r>
      <w:r w:rsidDel="00000000" w:rsidR="00000000" w:rsidRPr="00000000">
        <w:rPr>
          <w:rFonts w:ascii="Palatino Linotype" w:cs="Palatino Linotype" w:eastAsia="Palatino Linotype" w:hAnsi="Palatino Linotype"/>
          <w:i w:val="1"/>
          <w:color w:val="000000"/>
          <w:sz w:val="22"/>
          <w:szCs w:val="22"/>
          <w:rtl w:val="0"/>
        </w:rPr>
        <w:t xml:space="preserve"> </w:t>
      </w:r>
    </w:p>
    <w:p w:rsidR="00000000" w:rsidDel="00000000" w:rsidP="00000000" w:rsidRDefault="00000000" w:rsidRPr="00000000" w14:paraId="00000110">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111">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11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consiguiente, de la normatividad previamente citada se colige que las respuestas fueron proporcionadas por la Dirección de las Mujeres del Ayuntamiento de Temoaya, quien cuenta con facultades competencias y funciones para generar, administrar y poseer la información pública solicitada; por lo que se reitera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siguió el procedimiento establecido por el artículo 162 de la Ley de Transparencia y Acceso a la Información Pública del Estado de México y Municipios, ya que, la respuesta fue emitida por la Persona Servidora Pública Habilitada Competente para apoyar, gestionar y entregar la información.</w:t>
      </w:r>
    </w:p>
    <w:p w:rsidR="00000000" w:rsidDel="00000000" w:rsidP="00000000" w:rsidRDefault="00000000" w:rsidRPr="00000000" w14:paraId="0000011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Sin detrimento de lo expuesto, no escapa de la óptica de este Instituto que</w:t>
      </w:r>
      <w:r w:rsidDel="00000000" w:rsidR="00000000" w:rsidRPr="00000000">
        <w:rPr>
          <w:rFonts w:ascii="Palatino Linotype" w:cs="Palatino Linotype" w:eastAsia="Palatino Linotype" w:hAnsi="Palatino Linotype"/>
          <w:b w:val="1"/>
          <w:color w:val="000000"/>
          <w:rtl w:val="0"/>
        </w:rPr>
        <w:t xml:space="preserve"> LA PARTE RECURRENTE</w:t>
      </w:r>
      <w:r w:rsidDel="00000000" w:rsidR="00000000" w:rsidRPr="00000000">
        <w:rPr>
          <w:rFonts w:ascii="Palatino Linotype" w:cs="Palatino Linotype" w:eastAsia="Palatino Linotype" w:hAnsi="Palatino Linotype"/>
          <w:color w:val="000000"/>
          <w:rtl w:val="0"/>
        </w:rPr>
        <w:t xml:space="preserve"> desde sus requerimientos iniciales manifestó su deseo de conocer el </w:t>
      </w:r>
      <w:r w:rsidDel="00000000" w:rsidR="00000000" w:rsidRPr="00000000">
        <w:rPr>
          <w:rFonts w:ascii="Palatino Linotype" w:cs="Palatino Linotype" w:eastAsia="Palatino Linotype" w:hAnsi="Palatino Linotype"/>
          <w:b w:val="1"/>
          <w:color w:val="000000"/>
          <w:u w:val="single"/>
          <w:rtl w:val="0"/>
        </w:rPr>
        <w:t xml:space="preserve">horario y el lugar de atención</w:t>
      </w:r>
      <w:r w:rsidDel="00000000" w:rsidR="00000000" w:rsidRPr="00000000">
        <w:rPr>
          <w:rFonts w:ascii="Palatino Linotype" w:cs="Palatino Linotype" w:eastAsia="Palatino Linotype" w:hAnsi="Palatino Linotype"/>
          <w:color w:val="000000"/>
          <w:rtl w:val="0"/>
        </w:rPr>
        <w:t xml:space="preserve"> de los grupos por parte de tres Personas Servidoras Públicas, a lo cual, </w:t>
      </w:r>
      <w:r w:rsidDel="00000000" w:rsidR="00000000" w:rsidRPr="00000000">
        <w:rPr>
          <w:rFonts w:ascii="Palatino Linotype" w:cs="Palatino Linotype" w:eastAsia="Palatino Linotype" w:hAnsi="Palatino Linotype"/>
          <w:b w:val="1"/>
          <w:color w:val="000000"/>
          <w:rtl w:val="0"/>
        </w:rPr>
        <w:t xml:space="preserve">EL SUJETO OBLIGADO</w:t>
      </w:r>
      <w:r w:rsidDel="00000000" w:rsidR="00000000" w:rsidRPr="00000000">
        <w:rPr>
          <w:rFonts w:ascii="Palatino Linotype" w:cs="Palatino Linotype" w:eastAsia="Palatino Linotype" w:hAnsi="Palatino Linotype"/>
          <w:color w:val="000000"/>
          <w:rtl w:val="0"/>
        </w:rPr>
        <w:t xml:space="preserve"> si bien es cierto que refirió las horas y las comunidades atendidas, como consta en los oficios </w:t>
      </w:r>
      <w:r w:rsidDel="00000000" w:rsidR="00000000" w:rsidRPr="00000000">
        <w:rPr>
          <w:rFonts w:ascii="Palatino Linotype" w:cs="Palatino Linotype" w:eastAsia="Palatino Linotype" w:hAnsi="Palatino Linotype"/>
          <w:i w:val="1"/>
          <w:sz w:val="22"/>
          <w:szCs w:val="22"/>
          <w:rtl w:val="0"/>
        </w:rPr>
        <w:t xml:space="preserve">DM/488/2022, DM/505/2022 </w:t>
      </w:r>
      <w:r w:rsidDel="00000000" w:rsidR="00000000" w:rsidRPr="00000000">
        <w:rPr>
          <w:rFonts w:ascii="Palatino Linotype" w:cs="Palatino Linotype" w:eastAsia="Palatino Linotype" w:hAnsi="Palatino Linotype"/>
          <w:sz w:val="22"/>
          <w:szCs w:val="22"/>
          <w:rtl w:val="0"/>
        </w:rPr>
        <w:t xml:space="preserve">y </w:t>
      </w:r>
      <w:r w:rsidDel="00000000" w:rsidR="00000000" w:rsidRPr="00000000">
        <w:rPr>
          <w:rFonts w:ascii="Palatino Linotype" w:cs="Palatino Linotype" w:eastAsia="Palatino Linotype" w:hAnsi="Palatino Linotype"/>
          <w:i w:val="1"/>
          <w:sz w:val="22"/>
          <w:szCs w:val="22"/>
          <w:rtl w:val="0"/>
        </w:rPr>
        <w:t xml:space="preserve">DM/528/2022; </w:t>
      </w:r>
      <w:r w:rsidDel="00000000" w:rsidR="00000000" w:rsidRPr="00000000">
        <w:rPr>
          <w:rFonts w:ascii="Palatino Linotype" w:cs="Palatino Linotype" w:eastAsia="Palatino Linotype" w:hAnsi="Palatino Linotype"/>
          <w:rtl w:val="0"/>
        </w:rPr>
        <w:t xml:space="preserve">también lo es que el motivo de inconformidad de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cobra sentido, pues, la Dirección de las Mujeres perdió de vista que la persona solicitante </w:t>
      </w:r>
      <w:r w:rsidDel="00000000" w:rsidR="00000000" w:rsidRPr="00000000">
        <w:rPr>
          <w:rFonts w:ascii="Palatino Linotype" w:cs="Palatino Linotype" w:eastAsia="Palatino Linotype" w:hAnsi="Palatino Linotype"/>
          <w:b w:val="1"/>
          <w:rtl w:val="0"/>
        </w:rPr>
        <w:t xml:space="preserve">quería conocer los lugares, días y horas de atención de los grupos, </w:t>
      </w:r>
      <w:r w:rsidDel="00000000" w:rsidR="00000000" w:rsidRPr="00000000">
        <w:rPr>
          <w:rFonts w:ascii="Palatino Linotype" w:cs="Palatino Linotype" w:eastAsia="Palatino Linotype" w:hAnsi="Palatino Linotype"/>
          <w:rtl w:val="0"/>
        </w:rPr>
        <w:t xml:space="preserve"> esto es la dirección exacta y no sólo de manera general el nombre o sección de las comunidades que son atendidas por cada una de las tres Personas Servidoras Públicas, así como los días y horarios de atención. </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párrafo anterior se sustenta con la definición de </w:t>
      </w:r>
      <w:r w:rsidDel="00000000" w:rsidR="00000000" w:rsidRPr="00000000">
        <w:rPr>
          <w:rFonts w:ascii="Palatino Linotype" w:cs="Palatino Linotype" w:eastAsia="Palatino Linotype" w:hAnsi="Palatino Linotype"/>
          <w:i w:val="1"/>
          <w:rtl w:val="0"/>
        </w:rPr>
        <w:t xml:space="preserve">“lugar”,</w:t>
      </w:r>
      <w:r w:rsidDel="00000000" w:rsidR="00000000" w:rsidRPr="00000000">
        <w:rPr>
          <w:rFonts w:ascii="Palatino Linotype" w:cs="Palatino Linotype" w:eastAsia="Palatino Linotype" w:hAnsi="Palatino Linotype"/>
          <w:rtl w:val="0"/>
        </w:rPr>
        <w:t xml:space="preserve"> según la Real Academia Española, lo define como el </w:t>
      </w:r>
      <w:r w:rsidDel="00000000" w:rsidR="00000000" w:rsidRPr="00000000">
        <w:rPr>
          <w:rFonts w:ascii="Palatino Linotype" w:cs="Palatino Linotype" w:eastAsia="Palatino Linotype" w:hAnsi="Palatino Linotype"/>
          <w:i w:val="1"/>
          <w:rtl w:val="0"/>
        </w:rPr>
        <w:t xml:space="preserve">“Área geográfica definida, de superficie claramente delimitada.” (Sic), </w:t>
      </w:r>
      <w:r w:rsidDel="00000000" w:rsidR="00000000" w:rsidRPr="00000000">
        <w:rPr>
          <w:rFonts w:ascii="Palatino Linotype" w:cs="Palatino Linotype" w:eastAsia="Palatino Linotype" w:hAnsi="Palatino Linotype"/>
          <w:rtl w:val="0"/>
        </w:rPr>
        <w:t xml:space="preserve">definición que es por sí inmejorable y aplicable al caso que nos ocupa, pues se puede resolver que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requería la información para saber el sitio exacto en el cual se reúnen los grupos que atienden las referidas Personas Servidoras Públicas. </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lo dicho, es fácil dirimir que, con la información remitida por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no le es posible a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determinar en qué lugar de las comunidades se encuentra el personal referido, derivado de la amplitud del territorio municipal.</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una vez delimitado lo anterior, es importante referirnos a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debió de puntualizar además de la dirección, los días y horas en que las Personas Servidoras Públicas atienden a los grupos, esto, a la fecha en que se tuvieron por interpuestas las solicitudes de acceso a la información. </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color w:val="202124"/>
          <w:highlight w:val="white"/>
        </w:rPr>
      </w:pPr>
      <w:r w:rsidDel="00000000" w:rsidR="00000000" w:rsidRPr="00000000">
        <w:rPr>
          <w:rFonts w:ascii="Palatino Linotype" w:cs="Palatino Linotype" w:eastAsia="Palatino Linotype" w:hAnsi="Palatino Linotype"/>
          <w:rtl w:val="0"/>
        </w:rPr>
        <w:t xml:space="preserve">Esto en razón de que centró su atención en señalar únicamente las horas en las cuales se realizan las actividades, sin embargo, la definición habitual de </w:t>
      </w:r>
      <w:r w:rsidDel="00000000" w:rsidR="00000000" w:rsidRPr="00000000">
        <w:rPr>
          <w:rFonts w:ascii="Palatino Linotype" w:cs="Palatino Linotype" w:eastAsia="Palatino Linotype" w:hAnsi="Palatino Linotype"/>
          <w:i w:val="1"/>
          <w:rtl w:val="0"/>
        </w:rPr>
        <w:t xml:space="preserve">“horario”</w:t>
      </w:r>
      <w:r w:rsidDel="00000000" w:rsidR="00000000" w:rsidRPr="00000000">
        <w:rPr>
          <w:rFonts w:ascii="Palatino Linotype" w:cs="Palatino Linotype" w:eastAsia="Palatino Linotype" w:hAnsi="Palatino Linotype"/>
          <w:rtl w:val="0"/>
        </w:rPr>
        <w:t xml:space="preserve"> se constriñe al </w:t>
      </w:r>
      <w:r w:rsidDel="00000000" w:rsidR="00000000" w:rsidRPr="00000000">
        <w:rPr>
          <w:rFonts w:ascii="Palatino Linotype" w:cs="Palatino Linotype" w:eastAsia="Palatino Linotype" w:hAnsi="Palatino Linotype"/>
          <w:b w:val="1"/>
          <w:highlight w:val="white"/>
          <w:u w:val="single"/>
          <w:rtl w:val="0"/>
        </w:rPr>
        <w:t xml:space="preserve">periodo</w:t>
      </w:r>
      <w:r w:rsidDel="00000000" w:rsidR="00000000" w:rsidRPr="00000000">
        <w:rPr>
          <w:rFonts w:ascii="Palatino Linotype" w:cs="Palatino Linotype" w:eastAsia="Palatino Linotype" w:hAnsi="Palatino Linotype"/>
          <w:b w:val="0"/>
          <w:highlight w:val="white"/>
          <w:u w:val="single"/>
          <w:rtl w:val="0"/>
        </w:rPr>
        <w:t xml:space="preserve"> </w:t>
      </w:r>
      <w:hyperlink r:id="rId11">
        <w:r w:rsidDel="00000000" w:rsidR="00000000" w:rsidRPr="00000000">
          <w:rPr>
            <w:rFonts w:ascii="Palatino Linotype" w:cs="Palatino Linotype" w:eastAsia="Palatino Linotype" w:hAnsi="Palatino Linotype"/>
            <w:b w:val="1"/>
            <w:color w:val="000000"/>
            <w:u w:val="single"/>
            <w:rtl w:val="0"/>
          </w:rPr>
          <w:t xml:space="preserve">temporal</w:t>
        </w:r>
      </w:hyperlink>
      <w:r w:rsidDel="00000000" w:rsidR="00000000" w:rsidRPr="00000000">
        <w:rPr>
          <w:rFonts w:ascii="Palatino Linotype" w:cs="Palatino Linotype" w:eastAsia="Palatino Linotype" w:hAnsi="Palatino Linotype"/>
          <w:highlight w:val="white"/>
          <w:rtl w:val="0"/>
        </w:rPr>
        <w:t xml:space="preserve"> durante el que se lleva a cabo una actividad, la cual se compone de la i</w:t>
      </w:r>
      <w:r w:rsidDel="00000000" w:rsidR="00000000" w:rsidRPr="00000000">
        <w:rPr>
          <w:rFonts w:ascii="Palatino Linotype" w:cs="Palatino Linotype" w:eastAsia="Palatino Linotype" w:hAnsi="Palatino Linotype"/>
          <w:color w:val="040c28"/>
          <w:rtl w:val="0"/>
        </w:rPr>
        <w:t xml:space="preserve">ndicación del día, mes, año y horas, en que sucederá o se hará algo</w:t>
      </w:r>
      <w:r w:rsidDel="00000000" w:rsidR="00000000" w:rsidRPr="00000000">
        <w:rPr>
          <w:rFonts w:ascii="Palatino Linotype" w:cs="Palatino Linotype" w:eastAsia="Palatino Linotype" w:hAnsi="Palatino Linotype"/>
          <w:color w:val="202124"/>
          <w:highlight w:val="white"/>
          <w:rtl w:val="0"/>
        </w:rPr>
        <w:t xml:space="preserve">.</w:t>
      </w:r>
      <w:r w:rsidDel="00000000" w:rsidR="00000000" w:rsidRPr="00000000">
        <w:rPr>
          <w:rFonts w:ascii="Palatino Linotype" w:cs="Palatino Linotype" w:eastAsia="Palatino Linotype" w:hAnsi="Palatino Linotype"/>
          <w:i w:val="1"/>
          <w:color w:val="202124"/>
          <w:highlight w:val="white"/>
          <w:rtl w:val="0"/>
        </w:rPr>
        <w:t xml:space="preserve"> </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highlight w:val="white"/>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highlight w:val="white"/>
          <w:rtl w:val="0"/>
        </w:rPr>
        <w:t xml:space="preserve">En consecuencia, es de señalar que aunque </w:t>
      </w:r>
      <w:r w:rsidDel="00000000" w:rsidR="00000000" w:rsidRPr="00000000">
        <w:rPr>
          <w:rFonts w:ascii="Palatino Linotype" w:cs="Palatino Linotype" w:eastAsia="Palatino Linotype" w:hAnsi="Palatino Linotype"/>
          <w:b w:val="1"/>
          <w:highlight w:val="white"/>
          <w:rtl w:val="0"/>
        </w:rPr>
        <w:t xml:space="preserve">EL SUJETO OBLIGADO</w:t>
      </w:r>
      <w:r w:rsidDel="00000000" w:rsidR="00000000" w:rsidRPr="00000000">
        <w:rPr>
          <w:rFonts w:ascii="Palatino Linotype" w:cs="Palatino Linotype" w:eastAsia="Palatino Linotype" w:hAnsi="Palatino Linotype"/>
          <w:highlight w:val="white"/>
          <w:rtl w:val="0"/>
        </w:rPr>
        <w:t xml:space="preserve"> señaló los horarios en que se atienden a los grupos referidos, este Pleno considera que los mismos no dotan de Certeza a </w:t>
      </w:r>
      <w:r w:rsidDel="00000000" w:rsidR="00000000" w:rsidRPr="00000000">
        <w:rPr>
          <w:rFonts w:ascii="Palatino Linotype" w:cs="Palatino Linotype" w:eastAsia="Palatino Linotype" w:hAnsi="Palatino Linotype"/>
          <w:b w:val="1"/>
          <w:highlight w:val="white"/>
          <w:rtl w:val="0"/>
        </w:rPr>
        <w:t xml:space="preserve">LA PARTE RECURRENTE</w:t>
      </w:r>
      <w:r w:rsidDel="00000000" w:rsidR="00000000" w:rsidRPr="00000000">
        <w:rPr>
          <w:rFonts w:ascii="Palatino Linotype" w:cs="Palatino Linotype" w:eastAsia="Palatino Linotype" w:hAnsi="Palatino Linotype"/>
          <w:highlight w:val="white"/>
          <w:rtl w:val="0"/>
        </w:rPr>
        <w:t xml:space="preserve"> pues como se ha visto, de la respuesta inicial, </w:t>
      </w:r>
      <w:r w:rsidDel="00000000" w:rsidR="00000000" w:rsidRPr="00000000">
        <w:rPr>
          <w:rFonts w:ascii="Palatino Linotype" w:cs="Palatino Linotype" w:eastAsia="Palatino Linotype" w:hAnsi="Palatino Linotype"/>
          <w:b w:val="1"/>
          <w:highlight w:val="white"/>
          <w:rtl w:val="0"/>
        </w:rPr>
        <w:t xml:space="preserve">no es posible saber con exactitud cuándo, dónde y a qué hora se atenderán los grupos o comunidades referidas en respuesta</w:t>
      </w:r>
      <w:r w:rsidDel="00000000" w:rsidR="00000000" w:rsidRPr="00000000">
        <w:rPr>
          <w:rFonts w:ascii="Palatino Linotype" w:cs="Palatino Linotype" w:eastAsia="Palatino Linotype" w:hAnsi="Palatino Linotype"/>
          <w:highlight w:val="white"/>
          <w:rtl w:val="0"/>
        </w:rPr>
        <w:t xml:space="preserve">; por tanto, este Pleno en aras de satisfacer el Derecho de Acceso a la Información ordena la entrega del documento donde sea posible relacionar a los grupos o comunidades, con los lugares, días y horas en que son atendidos. </w:t>
      </w:r>
    </w:p>
    <w:p w:rsidR="00000000" w:rsidDel="00000000" w:rsidP="00000000" w:rsidRDefault="00000000" w:rsidRPr="00000000" w14:paraId="0000011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todo lo dicho, este Pleno puede resumir que la información entregada por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es incompleta y no corresponde con lo solicitado, por lo que contraviene a los principios de Congruencia y Exhaustividad, como refuerzo de lo anterior, resulta crucial el Criterio 02/17, emitido por el Pleno del Instituto Nacional de Transparencia y Acceso a la Información y Protección de Datos Personales, de título y texto siguientes:</w:t>
      </w:r>
    </w:p>
    <w:p w:rsidR="00000000" w:rsidDel="00000000" w:rsidP="00000000" w:rsidRDefault="00000000" w:rsidRPr="00000000" w14:paraId="0000012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Congruencia y exhaustividad. Sus alcances para garantizar el derecho de acceso a la información.</w:t>
      </w:r>
      <w:r w:rsidDel="00000000" w:rsidR="00000000" w:rsidRPr="00000000">
        <w:rPr>
          <w:rFonts w:ascii="Palatino Linotype" w:cs="Palatino Linotype" w:eastAsia="Palatino Linotype" w:hAnsi="Palatino Linotype"/>
          <w:i w:val="1"/>
          <w:color w:val="000000"/>
          <w:sz w:val="22"/>
          <w:szCs w:val="22"/>
          <w:rtl w:val="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Del="00000000" w:rsidR="00000000" w:rsidRPr="00000000">
        <w:rPr>
          <w:rFonts w:ascii="Palatino Linotype" w:cs="Palatino Linotype" w:eastAsia="Palatino Linotype" w:hAnsi="Palatino Linotype"/>
          <w:b w:val="1"/>
          <w:i w:val="1"/>
          <w:color w:val="000000"/>
          <w:sz w:val="22"/>
          <w:szCs w:val="22"/>
          <w:u w:val="single"/>
          <w:rtl w:val="0"/>
        </w:rPr>
        <w:t xml:space="preserve">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w:t>
      </w:r>
      <w:r w:rsidDel="00000000" w:rsidR="00000000" w:rsidRPr="00000000">
        <w:rPr>
          <w:rFonts w:ascii="Palatino Linotype" w:cs="Palatino Linotype" w:eastAsia="Palatino Linotype" w:hAnsi="Palatino Linotype"/>
          <w:i w:val="1"/>
          <w:color w:val="000000"/>
          <w:sz w:val="22"/>
          <w:szCs w:val="22"/>
          <w:rtl w:val="0"/>
        </w:rPr>
        <w:t xml:space="preserve"> cada uno de los contenidos de información. </w:t>
      </w:r>
    </w:p>
    <w:p w:rsidR="00000000" w:rsidDel="00000000" w:rsidP="00000000" w:rsidRDefault="00000000" w:rsidRPr="00000000" w14:paraId="00000122">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Énfasis añadido</w:t>
      </w:r>
      <w:r w:rsidDel="00000000" w:rsidR="00000000" w:rsidRPr="00000000">
        <w:rPr>
          <w:rFonts w:ascii="Palatino Linotype" w:cs="Palatino Linotype" w:eastAsia="Palatino Linotype" w:hAnsi="Palatino Linotype"/>
          <w:i w:val="1"/>
          <w:color w:val="000000"/>
          <w:sz w:val="22"/>
          <w:szCs w:val="22"/>
          <w:rtl w:val="0"/>
        </w:rPr>
        <w:t xml:space="preserve"> </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refuerzo a estas consideraciones y teniendo presente que el Bando Municipal de Temoaya faculta a la Dirección de las Mujeres para llevar a cabo programas, talleres y realizar cursos para la asistencia social, estamos entonces frente a un servicio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proporciona a la población, y en ese sentido, encontramos a los </w:t>
      </w:r>
      <w:r w:rsidDel="00000000" w:rsidR="00000000" w:rsidRPr="00000000">
        <w:rPr>
          <w:rFonts w:ascii="Palatino Linotype" w:cs="Palatino Linotype" w:eastAsia="Palatino Linotype" w:hAnsi="Palatino Linotype"/>
          <w:i w:val="1"/>
          <w:rtl w:val="0"/>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Del="00000000" w:rsidR="00000000" w:rsidRPr="00000000">
        <w:rPr>
          <w:rFonts w:ascii="Palatino Linotype" w:cs="Palatino Linotype" w:eastAsia="Palatino Linotype" w:hAnsi="Palatino Linotype"/>
          <w:rtl w:val="0"/>
        </w:rPr>
        <w:t xml:space="preserve">de observancia obligatoria para todos los Organismos Garantes y Sujetos Obligados de nuestro país, los cuales tienen como objetivo regular la publicación de información oficiosa en portales de internet y en el caso del Estado de México, en el Sistema de Información Pública de Oficio Mexiquense o IPOMEX; es necesario referirnos al artículo 92 de la Ley de Transparencia y Acceso a la Información Pública del Estado de México y Municipios, que en su fracción XXIII nos dice:</w:t>
      </w:r>
    </w:p>
    <w:p w:rsidR="00000000" w:rsidDel="00000000" w:rsidP="00000000" w:rsidRDefault="00000000" w:rsidRPr="00000000" w14:paraId="0000012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color w:val="404040"/>
          <w:sz w:val="22"/>
          <w:szCs w:val="22"/>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color w:val="404040"/>
          <w:sz w:val="22"/>
          <w:szCs w:val="22"/>
        </w:rPr>
      </w:pPr>
      <w:r w:rsidDel="00000000" w:rsidR="00000000" w:rsidRPr="00000000">
        <w:rPr>
          <w:rFonts w:ascii="Palatino Linotype" w:cs="Palatino Linotype" w:eastAsia="Palatino Linotype" w:hAnsi="Palatino Linotype"/>
          <w:i w:val="1"/>
          <w:color w:val="404040"/>
          <w:sz w:val="22"/>
          <w:szCs w:val="22"/>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12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color w:val="404040"/>
          <w:sz w:val="22"/>
          <w:szCs w:val="22"/>
        </w:rPr>
      </w:pPr>
      <w:r w:rsidDel="00000000" w:rsidR="00000000" w:rsidRPr="00000000">
        <w:rPr>
          <w:rFonts w:ascii="Palatino Linotype" w:cs="Palatino Linotype" w:eastAsia="Palatino Linotype" w:hAnsi="Palatino Linotype"/>
          <w:i w:val="1"/>
          <w:color w:val="404040"/>
          <w:sz w:val="22"/>
          <w:szCs w:val="22"/>
          <w:rtl w:val="0"/>
        </w:rPr>
        <w:t xml:space="preserve">(…)</w:t>
      </w:r>
    </w:p>
    <w:p w:rsidR="00000000" w:rsidDel="00000000" w:rsidP="00000000" w:rsidRDefault="00000000" w:rsidRPr="00000000" w14:paraId="0000012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color w:val="404040"/>
          <w:sz w:val="22"/>
          <w:szCs w:val="22"/>
        </w:rPr>
      </w:pPr>
      <w:r w:rsidDel="00000000" w:rsidR="00000000" w:rsidRPr="00000000">
        <w:rPr>
          <w:rFonts w:ascii="Palatino Linotype" w:cs="Palatino Linotype" w:eastAsia="Palatino Linotype" w:hAnsi="Palatino Linotype"/>
          <w:b w:val="1"/>
          <w:i w:val="1"/>
          <w:color w:val="404040"/>
          <w:sz w:val="22"/>
          <w:szCs w:val="22"/>
          <w:rtl w:val="0"/>
        </w:rPr>
        <w:t xml:space="preserve">XXIII. Los servicios que ofrecen señalando los requisitos para acceder a ellos,</w:t>
      </w:r>
      <w:r w:rsidDel="00000000" w:rsidR="00000000" w:rsidRPr="00000000">
        <w:rPr>
          <w:rFonts w:ascii="Palatino Linotype" w:cs="Palatino Linotype" w:eastAsia="Palatino Linotype" w:hAnsi="Palatino Linotype"/>
          <w:i w:val="1"/>
          <w:color w:val="404040"/>
          <w:sz w:val="22"/>
          <w:szCs w:val="22"/>
          <w:rtl w:val="0"/>
        </w:rPr>
        <w:t xml:space="preserve"> así como los tiempos de respuesta;</w:t>
      </w:r>
    </w:p>
    <w:p w:rsidR="00000000" w:rsidDel="00000000" w:rsidP="00000000" w:rsidRDefault="00000000" w:rsidRPr="00000000" w14:paraId="0000012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color w:val="404040"/>
          <w:sz w:val="22"/>
          <w:szCs w:val="22"/>
        </w:rPr>
      </w:pPr>
      <w:r w:rsidDel="00000000" w:rsidR="00000000" w:rsidRPr="00000000">
        <w:rPr>
          <w:rFonts w:ascii="Palatino Linotype" w:cs="Palatino Linotype" w:eastAsia="Palatino Linotype" w:hAnsi="Palatino Linotype"/>
          <w:i w:val="1"/>
          <w:color w:val="404040"/>
          <w:sz w:val="22"/>
          <w:szCs w:val="22"/>
          <w:rtl w:val="0"/>
        </w:rPr>
        <w:t xml:space="preserve">(…)</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Con la normatividad inserta podemos deducir que los servicios ofrecidos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revisten de naturaleza pública de oficio, y en ese sentido, los Lineamientos antes referidos nos guiarán para saber cuál es la información que podrá satisfacer el Derecho de Acceso a la Información de </w:t>
      </w:r>
      <w:r w:rsidDel="00000000" w:rsidR="00000000" w:rsidRPr="00000000">
        <w:rPr>
          <w:rFonts w:ascii="Palatino Linotype" w:cs="Palatino Linotype" w:eastAsia="Palatino Linotype" w:hAnsi="Palatino Linotype"/>
          <w:b w:val="1"/>
          <w:rtl w:val="0"/>
        </w:rPr>
        <w:t xml:space="preserve">LA PARTE RECURRENTE. </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rPr>
      </w:pPr>
      <w:r w:rsidDel="00000000" w:rsidR="00000000" w:rsidRPr="00000000">
        <w:rPr/>
        <w:drawing>
          <wp:inline distB="0" distT="0" distL="0" distR="0">
            <wp:extent cx="4724400" cy="1743075"/>
            <wp:effectExtent b="0" l="0" r="0" t="0"/>
            <wp:docPr id="47" name="image4.png"/>
            <a:graphic>
              <a:graphicData uri="http://schemas.openxmlformats.org/drawingml/2006/picture">
                <pic:pic>
                  <pic:nvPicPr>
                    <pic:cNvPr id="0" name="image4.png"/>
                    <pic:cNvPicPr preferRelativeResize="0"/>
                  </pic:nvPicPr>
                  <pic:blipFill>
                    <a:blip r:embed="rId12"/>
                    <a:srcRect b="17320" l="5939" r="9877" t="27460"/>
                    <a:stretch>
                      <a:fillRect/>
                    </a:stretch>
                  </pic:blipFill>
                  <pic:spPr>
                    <a:xfrm>
                      <a:off x="0" y="0"/>
                      <a:ext cx="4724400"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Lineamientos establecen que la información relativa a los servicios que ofrecen los Sujetos Obligados deberán ser actualizados de manera trimestral, además, tendrán que cumplir criterios para su publicación, como son los siguientes: </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rPr>
      </w:pPr>
      <w:r w:rsidDel="00000000" w:rsidR="00000000" w:rsidRPr="00000000">
        <w:rPr/>
        <w:drawing>
          <wp:inline distB="0" distT="0" distL="0" distR="0">
            <wp:extent cx="4199427" cy="2645402"/>
            <wp:effectExtent b="0" l="0" r="0" t="0"/>
            <wp:docPr id="46" name="image7.png"/>
            <a:graphic>
              <a:graphicData uri="http://schemas.openxmlformats.org/drawingml/2006/picture">
                <pic:pic>
                  <pic:nvPicPr>
                    <pic:cNvPr id="0" name="image7.png"/>
                    <pic:cNvPicPr preferRelativeResize="0"/>
                  </pic:nvPicPr>
                  <pic:blipFill>
                    <a:blip r:embed="rId13"/>
                    <a:srcRect b="12794" l="20876" r="19043" t="19915"/>
                    <a:stretch>
                      <a:fillRect/>
                    </a:stretch>
                  </pic:blipFill>
                  <pic:spPr>
                    <a:xfrm>
                      <a:off x="0" y="0"/>
                      <a:ext cx="4199427" cy="264540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2159000</wp:posOffset>
                </wp:positionV>
                <wp:extent cx="4495952" cy="516484"/>
                <wp:effectExtent b="0" l="0" r="0" t="0"/>
                <wp:wrapNone/>
                <wp:docPr id="35" name=""/>
                <a:graphic>
                  <a:graphicData uri="http://schemas.microsoft.com/office/word/2010/wordprocessingShape">
                    <wps:wsp>
                      <wps:cNvSpPr/>
                      <wps:cNvPr id="3" name="Shape 3"/>
                      <wps:spPr>
                        <a:xfrm>
                          <a:off x="3107549" y="3531283"/>
                          <a:ext cx="4476902" cy="497434"/>
                        </a:xfrm>
                        <a:prstGeom prst="rect">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2159000</wp:posOffset>
                </wp:positionV>
                <wp:extent cx="4495952" cy="516484"/>
                <wp:effectExtent b="0" l="0" r="0" t="0"/>
                <wp:wrapNone/>
                <wp:docPr id="35"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4495952" cy="516484"/>
                        </a:xfrm>
                        <a:prstGeom prst="rect"/>
                        <a:ln/>
                      </pic:spPr>
                    </pic:pic>
                  </a:graphicData>
                </a:graphic>
              </wp:anchor>
            </w:drawing>
          </mc:Fallback>
        </mc:AlternateConten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pudo advertir, tanto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como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resaltaron en sus actuaciones que la atención a los grupos era de manera presencial.</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rPr>
      </w:pPr>
      <w:r w:rsidDel="00000000" w:rsidR="00000000" w:rsidRPr="00000000">
        <w:rPr/>
        <w:drawing>
          <wp:inline distB="0" distT="0" distL="0" distR="0">
            <wp:extent cx="5246372" cy="1828172"/>
            <wp:effectExtent b="0" l="0" r="0" t="0"/>
            <wp:docPr id="48" name="image2.png"/>
            <a:graphic>
              <a:graphicData uri="http://schemas.openxmlformats.org/drawingml/2006/picture">
                <pic:pic>
                  <pic:nvPicPr>
                    <pic:cNvPr id="0" name="image2.png"/>
                    <pic:cNvPicPr preferRelativeResize="0"/>
                  </pic:nvPicPr>
                  <pic:blipFill>
                    <a:blip r:embed="rId15"/>
                    <a:srcRect b="30002" l="23856" r="21515" t="36152"/>
                    <a:stretch>
                      <a:fillRect/>
                    </a:stretch>
                  </pic:blipFill>
                  <pic:spPr>
                    <a:xfrm>
                      <a:off x="0" y="0"/>
                      <a:ext cx="5246372" cy="182817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685800</wp:posOffset>
                </wp:positionV>
                <wp:extent cx="5432298" cy="1218743"/>
                <wp:effectExtent b="0" l="0" r="0" t="0"/>
                <wp:wrapNone/>
                <wp:docPr id="34" name=""/>
                <a:graphic>
                  <a:graphicData uri="http://schemas.microsoft.com/office/word/2010/wordprocessingShape">
                    <wps:wsp>
                      <wps:cNvSpPr/>
                      <wps:cNvPr id="2" name="Shape 2"/>
                      <wps:spPr>
                        <a:xfrm>
                          <a:off x="2639376" y="3180154"/>
                          <a:ext cx="5413248" cy="1199693"/>
                        </a:xfrm>
                        <a:prstGeom prst="rect">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685800</wp:posOffset>
                </wp:positionV>
                <wp:extent cx="5432298" cy="1218743"/>
                <wp:effectExtent b="0" l="0" r="0" t="0"/>
                <wp:wrapNone/>
                <wp:docPr id="34"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5432298" cy="1218743"/>
                        </a:xfrm>
                        <a:prstGeom prst="rect"/>
                        <a:ln/>
                      </pic:spPr>
                    </pic:pic>
                  </a:graphicData>
                </a:graphic>
              </wp:anchor>
            </w:drawing>
          </mc:Fallback>
        </mc:AlternateConten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404040"/>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caso resalta para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que existen facultades en la normatividad que lo orillan a satisfacer la información solicitada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pues como vimos, esta debe de obrar en sus archivos por la naturaleza de las actividades como son los programas, talleres y cursos para la asistencia social. </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404040"/>
        </w:rPr>
      </w:pPr>
      <w:r w:rsidDel="00000000" w:rsidR="00000000" w:rsidRPr="00000000">
        <w:rPr>
          <w:rtl w:val="0"/>
        </w:rPr>
      </w:r>
    </w:p>
    <w:p w:rsidR="00000000" w:rsidDel="00000000" w:rsidP="00000000" w:rsidRDefault="00000000" w:rsidRPr="00000000" w14:paraId="0000013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menciona que no pasa desapercibido para este Organismo Garante que el particular, al no ser experto en la materia, omitió señalar de manera concreta el o los documentos a los que pretende acceder, no obstante, es obligación de los Sujetos Obligados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en el presente caso, se deberá proceder a la entrega del soporte documental en donde conste la información que brinde respuesta a la solicitud, así el particular podrá buscar conforme a su interés.</w:t>
      </w:r>
    </w:p>
    <w:p w:rsidR="00000000" w:rsidDel="00000000" w:rsidP="00000000" w:rsidRDefault="00000000" w:rsidRPr="00000000" w14:paraId="0000013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sustento a lo anterior resulta aplicable el Criterio 16/17, emitido por el Instituto Nacional de Transparencia, Acceso a la Información y Protección de Datos Personales, INAI, establece lo siguiente: </w:t>
      </w:r>
    </w:p>
    <w:p w:rsidR="00000000" w:rsidDel="00000000" w:rsidP="00000000" w:rsidRDefault="00000000" w:rsidRPr="00000000" w14:paraId="0000013A">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B">
      <w:pPr>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Expresión documental. </w:t>
      </w:r>
      <w:r w:rsidDel="00000000" w:rsidR="00000000" w:rsidRPr="00000000">
        <w:rPr>
          <w:rFonts w:ascii="Palatino Linotype" w:cs="Palatino Linotype" w:eastAsia="Palatino Linotype" w:hAnsi="Palatino Linotype"/>
          <w:i w:val="1"/>
          <w:sz w:val="22"/>
          <w:szCs w:val="22"/>
          <w:rtl w:val="0"/>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r w:rsidDel="00000000" w:rsidR="00000000" w:rsidRPr="00000000">
        <w:rPr>
          <w:rtl w:val="0"/>
        </w:rPr>
      </w:r>
    </w:p>
    <w:p w:rsidR="00000000" w:rsidDel="00000000" w:rsidP="00000000" w:rsidRDefault="00000000" w:rsidRPr="00000000" w14:paraId="0000013C">
      <w:pPr>
        <w:jc w:val="both"/>
        <w:rPr>
          <w:rFonts w:ascii="Palatino Linotype" w:cs="Palatino Linotype" w:eastAsia="Palatino Linotype" w:hAnsi="Palatino Linotype"/>
          <w:sz w:val="22"/>
          <w:szCs w:val="22"/>
        </w:rPr>
      </w:pPr>
      <w:bookmarkStart w:colFirst="0" w:colLast="0" w:name="_heading=h.gjdgxs" w:id="1"/>
      <w:bookmarkEnd w:id="1"/>
      <w:r w:rsidDel="00000000" w:rsidR="00000000" w:rsidRPr="00000000">
        <w:rPr>
          <w:rtl w:val="0"/>
        </w:rPr>
      </w:r>
    </w:p>
    <w:p w:rsidR="00000000" w:rsidDel="00000000" w:rsidP="00000000" w:rsidRDefault="00000000" w:rsidRPr="00000000" w14:paraId="0000013D">
      <w:pPr>
        <w:spacing w:line="360" w:lineRule="auto"/>
        <w:jc w:val="both"/>
        <w:rPr>
          <w:rFonts w:ascii="Palatino Linotype" w:cs="Palatino Linotype" w:eastAsia="Palatino Linotype" w:hAnsi="Palatino Linotype"/>
        </w:rPr>
      </w:pPr>
      <w:bookmarkStart w:colFirst="0" w:colLast="0" w:name="_heading=h.xjmkqg9w2p0k" w:id="2"/>
      <w:bookmarkEnd w:id="2"/>
      <w:r w:rsidDel="00000000" w:rsidR="00000000" w:rsidRPr="00000000">
        <w:rPr>
          <w:rFonts w:ascii="Palatino Linotype" w:cs="Palatino Linotype" w:eastAsia="Palatino Linotype" w:hAnsi="Palatino Linotype"/>
          <w:rtl w:val="0"/>
        </w:rPr>
        <w:t xml:space="preserve">Asimismo, es pertinente mencionar que, 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rsidR="00000000" w:rsidDel="00000000" w:rsidP="00000000" w:rsidRDefault="00000000" w:rsidRPr="00000000" w14:paraId="0000013E">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F">
      <w:pPr>
        <w:ind w:left="566" w:right="629" w:firstLine="0"/>
        <w:jc w:val="both"/>
        <w:rPr>
          <w:rFonts w:ascii="Palatino Linotype" w:cs="Palatino Linotype" w:eastAsia="Palatino Linotype" w:hAnsi="Palatino Linotype"/>
          <w:i w:val="1"/>
          <w:sz w:val="22"/>
          <w:szCs w:val="22"/>
        </w:rPr>
      </w:pPr>
      <w:bookmarkStart w:colFirst="0" w:colLast="0" w:name="_heading=h.3t7oiuyqdcb2" w:id="3"/>
      <w:bookmarkEnd w:id="3"/>
      <w:r w:rsidDel="00000000" w:rsidR="00000000" w:rsidRPr="00000000">
        <w:rPr>
          <w:rFonts w:ascii="Palatino Linotype" w:cs="Palatino Linotype" w:eastAsia="Palatino Linotype" w:hAnsi="Palatino Linotype"/>
          <w:i w:val="1"/>
          <w:sz w:val="22"/>
          <w:szCs w:val="22"/>
          <w:rtl w:val="0"/>
        </w:rPr>
        <w:t xml:space="preserve">Artículo 18. Los sujetos obligados deberán documentar todo acto que derive del ejercicio de sus facultades, competencias o funciones, considerando desde su origen la eventual publicidad y reutilización de la información que generen.</w:t>
      </w:r>
    </w:p>
    <w:p w:rsidR="00000000" w:rsidDel="00000000" w:rsidP="00000000" w:rsidRDefault="00000000" w:rsidRPr="00000000" w14:paraId="00000140">
      <w:pPr>
        <w:spacing w:line="360" w:lineRule="auto"/>
        <w:jc w:val="both"/>
        <w:rPr>
          <w:rFonts w:ascii="Palatino Linotype" w:cs="Palatino Linotype" w:eastAsia="Palatino Linotype" w:hAnsi="Palatino Linotype"/>
          <w:sz w:val="22"/>
          <w:szCs w:val="22"/>
        </w:rPr>
      </w:pPr>
      <w:bookmarkStart w:colFirst="0" w:colLast="0" w:name="_heading=h.a5yreqm0l63e" w:id="4"/>
      <w:bookmarkEnd w:id="4"/>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bookmarkStart w:colFirst="0" w:colLast="0" w:name="_heading=h.ybidyundd4f" w:id="5"/>
      <w:bookmarkEnd w:id="5"/>
      <w:r w:rsidDel="00000000" w:rsidR="00000000" w:rsidRPr="00000000">
        <w:rPr>
          <w:rFonts w:ascii="Palatino Linotype" w:cs="Palatino Linotype" w:eastAsia="Palatino Linotype" w:hAnsi="Palatino Linotype"/>
          <w:rtl w:val="0"/>
        </w:rPr>
        <w:t xml:space="preserve">Por lo que deberá dar acceso al documento donde conste la información solicitada, como pudiera ser un oficio, un memorándum, una convocatoria, entre otros, donde se informe el horario y lugar en que las Personas Servidoras Públicas referidas en las solicitudes </w:t>
      </w:r>
      <w:r w:rsidDel="00000000" w:rsidR="00000000" w:rsidRPr="00000000">
        <w:rPr>
          <w:rFonts w:ascii="Palatino Linotype" w:cs="Palatino Linotype" w:eastAsia="Palatino Linotype" w:hAnsi="Palatino Linotype"/>
          <w:b w:val="1"/>
          <w:rtl w:val="0"/>
        </w:rPr>
        <w:t xml:space="preserve">00289/TEMOAYA/IP/2022, 00290/TEMOAYA/IP/2022 y 00291/TEMOAYA/IP/2022</w:t>
      </w:r>
      <w:r w:rsidDel="00000000" w:rsidR="00000000" w:rsidRPr="00000000">
        <w:rPr>
          <w:rFonts w:ascii="Palatino Linotype" w:cs="Palatino Linotype" w:eastAsia="Palatino Linotype" w:hAnsi="Palatino Linotype"/>
          <w:rtl w:val="0"/>
        </w:rPr>
        <w:t xml:space="preserve"> atienden a los grupos señalados en las diversas comunidades que integran al Municipio de Temoaya. </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resalta la viabilidad de que este Pleno ordene la modificación de las respuestas brindadas a las solicitudes por parte del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y se haga entrega del documento o documentos donde consten conste el horario y el lugar en que las Personas Servidoras Públicas atienden a los grupos referidos, esto a la fecha de interposición de las solicitudes de acceso a la información </w:t>
      </w:r>
      <w:r w:rsidDel="00000000" w:rsidR="00000000" w:rsidRPr="00000000">
        <w:rPr>
          <w:rFonts w:ascii="Palatino Linotype" w:cs="Palatino Linotype" w:eastAsia="Palatino Linotype" w:hAnsi="Palatino Linotype"/>
          <w:b w:val="1"/>
          <w:rtl w:val="0"/>
        </w:rPr>
        <w:t xml:space="preserve">00289/TEMOAYA/IP/2022, 00290/TEMOAYA/IP/2022</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00291/TEMOAYA/IP/2022. </w:t>
      </w: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III de la Ley de Transparencia y Acceso a la Información Pública del Estado de México y Municipios, este Pleno</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7">
      <w:pPr>
        <w:numPr>
          <w:ilvl w:val="0"/>
          <w:numId w:val="1"/>
        </w:numPr>
        <w:pBdr>
          <w:top w:space="0" w:sz="0" w:val="nil"/>
          <w:left w:space="0" w:sz="0" w:val="nil"/>
          <w:bottom w:space="0" w:sz="0" w:val="nil"/>
          <w:right w:space="0" w:sz="0" w:val="nil"/>
          <w:between w:space="0" w:sz="0" w:val="nil"/>
        </w:pBdr>
        <w:spacing w:line="360" w:lineRule="auto"/>
        <w:ind w:left="1080"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 E S U E L V E: </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149">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en los recursos de revisión </w:t>
      </w:r>
      <w:r w:rsidDel="00000000" w:rsidR="00000000" w:rsidRPr="00000000">
        <w:rPr>
          <w:rFonts w:ascii="Palatino Linotype" w:cs="Palatino Linotype" w:eastAsia="Palatino Linotype" w:hAnsi="Palatino Linotype"/>
          <w:b w:val="1"/>
          <w:rtl w:val="0"/>
        </w:rPr>
        <w:t xml:space="preserve">17514/INFOEM/IP/RR/2022, 17515/INFOEM/IP/RR/2022 y 17516/INFOEM/IP/RR/2022 </w:t>
      </w:r>
      <w:r w:rsidDel="00000000" w:rsidR="00000000" w:rsidRPr="00000000">
        <w:rPr>
          <w:rFonts w:ascii="Palatino Linotype" w:cs="Palatino Linotype" w:eastAsia="Palatino Linotype" w:hAnsi="Palatino Linotype"/>
          <w:rtl w:val="0"/>
        </w:rPr>
        <w:t xml:space="preserve">por lo que, en términos del </w:t>
      </w:r>
      <w:r w:rsidDel="00000000" w:rsidR="00000000" w:rsidRPr="00000000">
        <w:rPr>
          <w:rFonts w:ascii="Palatino Linotype" w:cs="Palatino Linotype" w:eastAsia="Palatino Linotype" w:hAnsi="Palatino Linotype"/>
          <w:b w:val="1"/>
          <w:rtl w:val="0"/>
        </w:rPr>
        <w:t xml:space="preserve">CONSIDERANDO CUARTO </w:t>
      </w:r>
      <w:r w:rsidDel="00000000" w:rsidR="00000000" w:rsidRPr="00000000">
        <w:rPr>
          <w:rFonts w:ascii="Palatino Linotype" w:cs="Palatino Linotype" w:eastAsia="Palatino Linotype" w:hAnsi="Palatino Linotype"/>
          <w:rtl w:val="0"/>
        </w:rPr>
        <w:t xml:space="preserve">de la presente resolución, se</w:t>
      </w:r>
      <w:r w:rsidDel="00000000" w:rsidR="00000000" w:rsidRPr="00000000">
        <w:rPr>
          <w:rFonts w:ascii="Palatino Linotype" w:cs="Palatino Linotype" w:eastAsia="Palatino Linotype" w:hAnsi="Palatino Linotype"/>
          <w:b w:val="1"/>
          <w:rtl w:val="0"/>
        </w:rPr>
        <w:t xml:space="preserve"> MODIFICAN </w:t>
      </w:r>
      <w:r w:rsidDel="00000000" w:rsidR="00000000" w:rsidRPr="00000000">
        <w:rPr>
          <w:rFonts w:ascii="Palatino Linotype" w:cs="Palatino Linotype" w:eastAsia="Palatino Linotype" w:hAnsi="Palatino Linotype"/>
          <w:rtl w:val="0"/>
        </w:rPr>
        <w:t xml:space="preserve">las respuestas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14A">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4B">
      <w:pPr>
        <w:spacing w:line="360" w:lineRule="auto"/>
        <w:jc w:val="both"/>
        <w:rPr>
          <w:rFonts w:ascii="Palatino Linotype" w:cs="Palatino Linotype" w:eastAsia="Palatino Linotype" w:hAnsi="Palatino Linotype"/>
        </w:rPr>
      </w:pPr>
      <w:bookmarkStart w:colFirst="0" w:colLast="0" w:name="_heading=h.4d34og8" w:id="6"/>
      <w:bookmarkEnd w:id="6"/>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del </w:t>
      </w:r>
      <w:r w:rsidDel="00000000" w:rsidR="00000000" w:rsidRPr="00000000">
        <w:rPr>
          <w:rFonts w:ascii="Palatino Linotype" w:cs="Palatino Linotype" w:eastAsia="Palatino Linotype" w:hAnsi="Palatino Linotype"/>
          <w:b w:val="1"/>
          <w:rtl w:val="0"/>
        </w:rPr>
        <w:t xml:space="preserve">CONSIDERANDO CUARTO </w:t>
      </w:r>
      <w:r w:rsidDel="00000000" w:rsidR="00000000" w:rsidRPr="00000000">
        <w:rPr>
          <w:rFonts w:ascii="Palatino Linotype" w:cs="Palatino Linotype" w:eastAsia="Palatino Linotype" w:hAnsi="Palatino Linotype"/>
          <w:rtl w:val="0"/>
        </w:rPr>
        <w:t xml:space="preserve">de esta resolución, haga entrega, vía SAIMEX, del documento o los documentos donde conste, al veintitrés de noviembre de dos mil veintitrés: </w:t>
      </w:r>
    </w:p>
    <w:p w:rsidR="00000000" w:rsidDel="00000000" w:rsidP="00000000" w:rsidRDefault="00000000" w:rsidRPr="00000000" w14:paraId="0000014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D">
      <w:pPr>
        <w:numPr>
          <w:ilvl w:val="0"/>
          <w:numId w:val="4"/>
        </w:numPr>
        <w:pBdr>
          <w:top w:space="0" w:sz="0" w:val="nil"/>
          <w:left w:space="0" w:sz="0" w:val="nil"/>
          <w:bottom w:space="0" w:sz="0" w:val="nil"/>
          <w:right w:space="0" w:sz="0" w:val="nil"/>
          <w:between w:space="0" w:sz="0" w:val="nil"/>
        </w:pBdr>
        <w:spacing w:line="360" w:lineRule="auto"/>
        <w:ind w:left="1080" w:hanging="72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Días, horas y dirección</w:t>
      </w:r>
      <w:r w:rsidDel="00000000" w:rsidR="00000000" w:rsidRPr="00000000">
        <w:rPr>
          <w:rFonts w:ascii="Palatino Linotype" w:cs="Palatino Linotype" w:eastAsia="Palatino Linotype" w:hAnsi="Palatino Linotype"/>
          <w:color w:val="000000"/>
          <w:rtl w:val="0"/>
        </w:rPr>
        <w:t xml:space="preserve"> en que las Personas Servidoras Públicas referidas en las solicitudes </w:t>
      </w:r>
      <w:r w:rsidDel="00000000" w:rsidR="00000000" w:rsidRPr="00000000">
        <w:rPr>
          <w:rFonts w:ascii="Palatino Linotype" w:cs="Palatino Linotype" w:eastAsia="Palatino Linotype" w:hAnsi="Palatino Linotype"/>
          <w:b w:val="1"/>
          <w:color w:val="000000"/>
          <w:rtl w:val="0"/>
        </w:rPr>
        <w:t xml:space="preserve">00289/TEMOAYA/IP/2022, 00290/TEMOAYA/IP/2022</w:t>
      </w:r>
      <w:r w:rsidDel="00000000" w:rsidR="00000000" w:rsidRPr="00000000">
        <w:rPr>
          <w:rFonts w:ascii="Palatino Linotype" w:cs="Palatino Linotype" w:eastAsia="Palatino Linotype" w:hAnsi="Palatino Linotype"/>
          <w:color w:val="000000"/>
          <w:rtl w:val="0"/>
        </w:rPr>
        <w:t xml:space="preserve"> y </w:t>
      </w:r>
      <w:r w:rsidDel="00000000" w:rsidR="00000000" w:rsidRPr="00000000">
        <w:rPr>
          <w:rFonts w:ascii="Palatino Linotype" w:cs="Palatino Linotype" w:eastAsia="Palatino Linotype" w:hAnsi="Palatino Linotype"/>
          <w:b w:val="1"/>
          <w:color w:val="000000"/>
          <w:rtl w:val="0"/>
        </w:rPr>
        <w:t xml:space="preserve">00291/TEMOAYA/IP/2022</w:t>
      </w:r>
      <w:r w:rsidDel="00000000" w:rsidR="00000000" w:rsidRPr="00000000">
        <w:rPr>
          <w:rFonts w:ascii="Palatino Linotype" w:cs="Palatino Linotype" w:eastAsia="Palatino Linotype" w:hAnsi="Palatino Linotype"/>
          <w:color w:val="000000"/>
          <w:rtl w:val="0"/>
        </w:rPr>
        <w:t xml:space="preserve"> atienden a los grupos ahí señalados.  </w:t>
      </w:r>
    </w:p>
    <w:p w:rsidR="00000000" w:rsidDel="00000000" w:rsidP="00000000" w:rsidRDefault="00000000" w:rsidRPr="00000000" w14:paraId="0000014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F">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SAIMEX, a la Persona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15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1">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r w:rsidDel="00000000" w:rsidR="00000000" w:rsidRPr="00000000">
        <w:rPr>
          <w:rtl w:val="0"/>
        </w:rPr>
      </w:r>
    </w:p>
    <w:p w:rsidR="00000000" w:rsidDel="00000000" w:rsidP="00000000" w:rsidRDefault="00000000" w:rsidRPr="00000000" w14:paraId="00000152">
      <w:pPr>
        <w:spacing w:line="360" w:lineRule="auto"/>
        <w:rPr/>
      </w:pPr>
      <w:r w:rsidDel="00000000" w:rsidR="00000000" w:rsidRPr="00000000">
        <w:rPr>
          <w:rtl w:val="0"/>
        </w:rPr>
      </w:r>
    </w:p>
    <w:p w:rsidR="00000000" w:rsidDel="00000000" w:rsidP="00000000" w:rsidRDefault="00000000" w:rsidRPr="00000000" w14:paraId="00000153">
      <w:pPr>
        <w:spacing w:line="360" w:lineRule="auto"/>
        <w:jc w:val="both"/>
        <w:rPr/>
      </w:pPr>
      <w:r w:rsidDel="00000000" w:rsidR="00000000" w:rsidRPr="00000000">
        <w:rPr>
          <w:rFonts w:ascii="Palatino Linotype" w:cs="Palatino Linotype" w:eastAsia="Palatino Linotype" w:hAnsi="Palatino Linotype"/>
          <w:b w:val="1"/>
          <w:color w:val="000000"/>
          <w:rtl w:val="0"/>
        </w:rPr>
        <w:t xml:space="preserve">QUINTO. </w:t>
      </w:r>
      <w:r w:rsidDel="00000000" w:rsidR="00000000" w:rsidRPr="00000000">
        <w:rPr>
          <w:rFonts w:ascii="Palatino Linotype" w:cs="Palatino Linotype" w:eastAsia="Palatino Linotype" w:hAnsi="Palatino Linotype"/>
          <w:color w:val="000000"/>
          <w:rtl w:val="0"/>
        </w:rPr>
        <w:t xml:space="preserve">Notifíquese vía SAIMEX,</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a </w:t>
      </w:r>
      <w:r w:rsidDel="00000000" w:rsidR="00000000" w:rsidRPr="00000000">
        <w:rPr>
          <w:rFonts w:ascii="Palatino Linotype" w:cs="Palatino Linotype" w:eastAsia="Palatino Linotype" w:hAnsi="Palatino Linotype"/>
          <w:b w:val="1"/>
          <w:color w:val="000000"/>
          <w:rtl w:val="0"/>
        </w:rPr>
        <w:t xml:space="preserve">LA PARTE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line="360" w:lineRule="auto"/>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155">
      <w:pPr>
        <w:spacing w:line="360" w:lineRule="auto"/>
        <w:jc w:val="both"/>
        <w:rPr>
          <w:rFonts w:ascii="Palatino Linotype" w:cs="Palatino Linotype" w:eastAsia="Palatino Linotype" w:hAnsi="Palatino Linotype"/>
        </w:rPr>
      </w:pPr>
      <w:bookmarkStart w:colFirst="0" w:colLast="0" w:name="_heading=h.3rdcrjn" w:id="7"/>
      <w:bookmarkEnd w:id="7"/>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QUINTA SESIÓN ORDINARIA CELEBRADA EL CINCO DE JULIO DE DOS MIL VEINTITRÉS, ANTE EL SECRETARIO TÉCNICO DEL PLENO ALEXIS TAPIA RAMÍREZ.</w:t>
      </w:r>
    </w:p>
    <w:p w:rsidR="00000000" w:rsidDel="00000000" w:rsidP="00000000" w:rsidRDefault="00000000" w:rsidRPr="00000000" w14:paraId="00000156">
      <w:pPr>
        <w:spacing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266700</wp:posOffset>
                </wp:positionV>
                <wp:extent cx="5538455" cy="5857432"/>
                <wp:effectExtent b="0" l="0" r="0" t="0"/>
                <wp:wrapNone/>
                <wp:docPr id="36" name=""/>
                <a:graphic>
                  <a:graphicData uri="http://schemas.microsoft.com/office/word/2010/wordprocessingShape">
                    <wps:wsp>
                      <wps:cNvCnPr/>
                      <wps:spPr>
                        <a:xfrm>
                          <a:off x="2581535" y="856047"/>
                          <a:ext cx="5528930" cy="5847907"/>
                        </a:xfrm>
                        <a:prstGeom prst="straightConnector1">
                          <a:avLst/>
                        </a:prstGeom>
                        <a:noFill/>
                        <a:ln cap="flat" cmpd="sng" w="9525">
                          <a:solidFill>
                            <a:srgbClr val="F5913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266700</wp:posOffset>
                </wp:positionV>
                <wp:extent cx="5538455" cy="5857432"/>
                <wp:effectExtent b="0" l="0" r="0" t="0"/>
                <wp:wrapNone/>
                <wp:docPr id="36"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5538455" cy="5857432"/>
                        </a:xfrm>
                        <a:prstGeom prst="rect"/>
                        <a:ln/>
                      </pic:spPr>
                    </pic:pic>
                  </a:graphicData>
                </a:graphic>
              </wp:anchor>
            </w:drawing>
          </mc:Fallback>
        </mc:AlternateContent>
      </w:r>
    </w:p>
    <w:p w:rsidR="00000000" w:rsidDel="00000000" w:rsidP="00000000" w:rsidRDefault="00000000" w:rsidRPr="00000000" w14:paraId="0000015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9">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A">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B">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C">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D">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E">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F">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0">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1">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2">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3">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4">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5">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6">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7">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8">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9">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A">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B">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C">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B">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8" w:type="default"/>
      <w:headerReference r:id="rId19" w:type="first"/>
      <w:footerReference r:id="rId20" w:type="default"/>
      <w:footerReference r:id="rId21"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2">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4">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p>
  <w:tbl>
    <w:tblPr>
      <w:tblStyle w:val="Table6"/>
      <w:tblW w:w="5670.0" w:type="dxa"/>
      <w:jc w:val="left"/>
      <w:tblInd w:w="3174.0" w:type="dxa"/>
      <w:tblLayout w:type="fixed"/>
      <w:tblLook w:val="0400"/>
    </w:tblPr>
    <w:tblGrid>
      <w:gridCol w:w="1759.4173458216765"/>
      <w:gridCol w:w="1759.4173458216765"/>
      <w:gridCol w:w="2151.165308356648"/>
      <w:tblGridChange w:id="0">
        <w:tblGrid>
          <w:gridCol w:w="1759.4173458216765"/>
          <w:gridCol w:w="1759.4173458216765"/>
          <w:gridCol w:w="2151.165308356648"/>
        </w:tblGrid>
      </w:tblGridChange>
    </w:tblGrid>
    <w:tr>
      <w:trPr>
        <w:cantSplit w:val="0"/>
        <w:tblHeader w:val="0"/>
      </w:trPr>
      <w:tc>
        <w:tcPr>
          <w:shd w:fill="auto" w:val="clear"/>
          <w:vAlign w:val="center"/>
        </w:tcPr>
        <w:p w:rsidR="00000000" w:rsidDel="00000000" w:rsidP="00000000" w:rsidRDefault="00000000" w:rsidRPr="00000000" w14:paraId="0000017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r w:rsidDel="00000000" w:rsidR="00000000" w:rsidRPr="00000000">
            <w:drawing>
              <wp:anchor allowOverlap="1" behindDoc="1" distB="0" distT="0" distL="0" distR="0" hidden="0" layoutInCell="1" locked="0" relativeHeight="0" simplePos="0">
                <wp:simplePos x="0" y="0"/>
                <wp:positionH relativeFrom="column">
                  <wp:posOffset>-3177538</wp:posOffset>
                </wp:positionH>
                <wp:positionV relativeFrom="paragraph">
                  <wp:posOffset>-617853</wp:posOffset>
                </wp:positionV>
                <wp:extent cx="7809865" cy="10165715"/>
                <wp:effectExtent b="0" l="0" r="0" t="0"/>
                <wp:wrapNone/>
                <wp:docPr id="3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c>
      <w:tc>
        <w:tcPr>
          <w:shd w:fill="auto" w:val="clear"/>
          <w:vAlign w:val="center"/>
        </w:tcPr>
        <w:p w:rsidR="00000000" w:rsidDel="00000000" w:rsidP="00000000" w:rsidRDefault="00000000" w:rsidRPr="00000000" w14:paraId="0000017E">
          <w:pPr>
            <w:rPr>
              <w:rFonts w:ascii="Palatino Linotype" w:cs="Palatino Linotype" w:eastAsia="Palatino Linotype" w:hAnsi="Palatino Linotype"/>
              <w:b w:val="1"/>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7F">
          <w:pPr>
            <w:tabs>
              <w:tab w:val="left" w:leader="none" w:pos="3153"/>
            </w:tabs>
            <w:ind w:left="-45" w:firstLine="0"/>
            <w:jc w:val="both"/>
            <w:rPr>
              <w:rFonts w:ascii="Palatino Linotype" w:cs="Palatino Linotype" w:eastAsia="Palatino Linotype" w:hAnsi="Palatino Linotype"/>
              <w:b w:val="1"/>
              <w:sz w:val="22"/>
              <w:szCs w:val="22"/>
              <w:highlight w:val="yellow"/>
            </w:rPr>
          </w:pPr>
          <w:r w:rsidDel="00000000" w:rsidR="00000000" w:rsidRPr="00000000">
            <w:rPr>
              <w:rFonts w:ascii="Palatino Linotype" w:cs="Palatino Linotype" w:eastAsia="Palatino Linotype" w:hAnsi="Palatino Linotype"/>
              <w:b w:val="1"/>
              <w:sz w:val="22"/>
              <w:szCs w:val="22"/>
              <w:rtl w:val="0"/>
            </w:rPr>
            <w:t xml:space="preserve">17514/INFOEM/IP/RR/2022 y acumulados</w:t>
          </w:r>
          <w:r w:rsidDel="00000000" w:rsidR="00000000" w:rsidRPr="00000000">
            <w:rPr>
              <w:rtl w:val="0"/>
            </w:rPr>
          </w:r>
        </w:p>
      </w:tc>
    </w:tr>
    <w:tr>
      <w:trPr>
        <w:cantSplit w:val="0"/>
        <w:trHeight w:val="130" w:hRule="atLeast"/>
        <w:tblHeader w:val="0"/>
      </w:trPr>
      <w:tc>
        <w:tcPr>
          <w:shd w:fill="auto" w:val="clear"/>
          <w:vAlign w:val="center"/>
        </w:tcPr>
        <w:p w:rsidR="00000000" w:rsidDel="00000000" w:rsidP="00000000" w:rsidRDefault="00000000" w:rsidRPr="00000000" w14:paraId="0000018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81">
          <w:pPr>
            <w:rPr>
              <w:rFonts w:ascii="Palatino Linotype" w:cs="Palatino Linotype" w:eastAsia="Palatino Linotype" w:hAnsi="Palatino Linotype"/>
              <w:b w:val="1"/>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82">
          <w:pPr>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 XXXXXXXXX XXXXXX XXXXXXXX</w:t>
          </w:r>
        </w:p>
      </w:tc>
    </w:tr>
    <w:tr>
      <w:trPr>
        <w:cantSplit w:val="0"/>
        <w:trHeight w:val="228" w:hRule="atLeast"/>
        <w:tblHeader w:val="0"/>
      </w:trPr>
      <w:tc>
        <w:tcPr>
          <w:shd w:fill="auto" w:val="clear"/>
          <w:vAlign w:val="center"/>
        </w:tcPr>
        <w:p w:rsidR="00000000" w:rsidDel="00000000" w:rsidP="00000000" w:rsidRDefault="00000000" w:rsidRPr="00000000" w14:paraId="0000018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84">
          <w:pPr>
            <w:rPr>
              <w:rFonts w:ascii="Palatino Linotype" w:cs="Palatino Linotype" w:eastAsia="Palatino Linotype" w:hAnsi="Palatino Linotype"/>
              <w:b w:val="1"/>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85">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Temoaya</w:t>
          </w:r>
        </w:p>
      </w:tc>
    </w:tr>
    <w:tr>
      <w:trPr>
        <w:cantSplit w:val="0"/>
        <w:tblHeader w:val="0"/>
      </w:trPr>
      <w:tc>
        <w:tcPr>
          <w:shd w:fill="auto" w:val="clear"/>
          <w:vAlign w:val="center"/>
        </w:tcPr>
        <w:p w:rsidR="00000000" w:rsidDel="00000000" w:rsidP="00000000" w:rsidRDefault="00000000" w:rsidRPr="00000000" w14:paraId="0000018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87">
          <w:pPr>
            <w:rPr>
              <w:rFonts w:ascii="Palatino Linotype" w:cs="Palatino Linotype" w:eastAsia="Palatino Linotype" w:hAnsi="Palatino Linotype"/>
              <w:b w:val="1"/>
              <w:sz w:val="22"/>
              <w:szCs w:val="22"/>
            </w:rPr>
          </w:pPr>
          <w:r w:rsidDel="00000000" w:rsidR="00000000" w:rsidRPr="00000000">
            <w:rPr>
              <w:rtl w:val="0"/>
            </w:rPr>
          </w:r>
        </w:p>
      </w:tc>
      <w:tc>
        <w:tcPr>
          <w:shd w:fill="auto" w:val="clear"/>
          <w:vAlign w:val="center"/>
        </w:tcPr>
        <w:p w:rsidR="00000000" w:rsidDel="00000000" w:rsidP="00000000" w:rsidRDefault="00000000" w:rsidRPr="00000000" w14:paraId="00000188">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89">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A">
    <w:pPr>
      <w:rPr>
        <w:rFonts w:ascii="Cambria" w:cs="Cambria" w:eastAsia="Cambria" w:hAnsi="Cambria"/>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-1071160</wp:posOffset>
          </wp:positionH>
          <wp:positionV relativeFrom="paragraph">
            <wp:posOffset>-487678</wp:posOffset>
          </wp:positionV>
          <wp:extent cx="7809865" cy="10165715"/>
          <wp:effectExtent b="0" l="0" r="0" t="0"/>
          <wp:wrapNone/>
          <wp:docPr id="4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7"/>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8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8C">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17514/INFOEM/IP/RR/2022 y acumulados</w:t>
          </w:r>
        </w:p>
      </w:tc>
    </w:tr>
    <w:tr>
      <w:trPr>
        <w:cantSplit w:val="0"/>
        <w:trHeight w:val="228" w:hRule="atLeast"/>
        <w:tblHeader w:val="0"/>
      </w:trPr>
      <w:tc>
        <w:tcPr>
          <w:shd w:fill="auto" w:val="clear"/>
          <w:vAlign w:val="center"/>
        </w:tcPr>
        <w:p w:rsidR="00000000" w:rsidDel="00000000" w:rsidP="00000000" w:rsidRDefault="00000000" w:rsidRPr="00000000" w14:paraId="0000018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8E">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Temoaya</w:t>
          </w:r>
        </w:p>
      </w:tc>
    </w:tr>
    <w:tr>
      <w:trPr>
        <w:cantSplit w:val="0"/>
        <w:tblHeader w:val="0"/>
      </w:trPr>
      <w:tc>
        <w:tcPr>
          <w:shd w:fill="auto" w:val="clear"/>
          <w:vAlign w:val="center"/>
        </w:tcPr>
        <w:p w:rsidR="00000000" w:rsidDel="00000000" w:rsidP="00000000" w:rsidRDefault="00000000" w:rsidRPr="00000000" w14:paraId="0000018F">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90">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91">
    <w:pPr>
      <w:rPr>
        <w:rFonts w:ascii="Cambria" w:cs="Cambria" w:eastAsia="Cambria" w:hAnsi="Cambria"/>
      </w:rPr>
    </w:pPr>
    <w:r w:rsidDel="00000000" w:rsidR="00000000" w:rsidRPr="00000000">
      <w:rPr>
        <w:rFonts w:ascii="Cambria" w:cs="Cambria" w:eastAsia="Cambria" w:hAnsi="Cambria"/>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927" w:hanging="360"/>
      </w:pPr>
      <w:rPr>
        <w:b w:val="1"/>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329ED"/>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semiHidden w:val="1"/>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10" w:customStyle="1">
    <w:name w:val="Table Normal10"/>
    <w:tblPr>
      <w:tblCellMar>
        <w:top w:w="0.0" w:type="dxa"/>
        <w:left w:w="0.0" w:type="dxa"/>
        <w:bottom w:w="0.0" w:type="dxa"/>
        <w:right w:w="0.0" w:type="dxa"/>
      </w:tblCellMar>
    </w:tblPr>
  </w:style>
  <w:style w:type="table" w:styleId="TableNormal9" w:customStyle="1">
    <w:name w:val="Table Normal9"/>
    <w:tblPr>
      <w:tblCellMar>
        <w:top w:w="0.0" w:type="dxa"/>
        <w:left w:w="0.0" w:type="dxa"/>
        <w:bottom w:w="0.0" w:type="dxa"/>
        <w:right w:w="0.0" w:type="dxa"/>
      </w:tblCellMar>
    </w:tblPr>
  </w:style>
  <w:style w:type="table" w:styleId="TableNormal8" w:customStyle="1">
    <w:name w:val="Table Normal8"/>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11" w:customStyle="1">
    <w:name w:val="11"/>
    <w:basedOn w:val="TableNormal11"/>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0" w:customStyle="1">
    <w:name w:val="10"/>
    <w:basedOn w:val="TableNormal11"/>
    <w:tblPr>
      <w:tblStyleRowBandSize w:val="1"/>
      <w:tblStyleColBandSize w:val="1"/>
      <w:tblCellMar>
        <w:left w:w="115.0" w:type="dxa"/>
        <w:right w:w="115.0" w:type="dxa"/>
      </w:tblCellMar>
    </w:tblPr>
  </w:style>
  <w:style w:type="table" w:styleId="9" w:customStyle="1">
    <w:name w:val="9"/>
    <w:basedOn w:val="TableNormal11"/>
    <w:tblPr>
      <w:tblStyleRowBandSize w:val="1"/>
      <w:tblStyleColBandSize w:val="1"/>
      <w:tblCellMar>
        <w:left w:w="115.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8" w:customStyle="1">
    <w:name w:val="8"/>
    <w:basedOn w:val="TableNormal11"/>
    <w:tblPr>
      <w:tblStyleRowBandSize w:val="1"/>
      <w:tblStyleColBandSize w:val="1"/>
      <w:tblCellMar>
        <w:left w:w="115.0" w:type="dxa"/>
        <w:right w:w="115.0" w:type="dxa"/>
      </w:tblCellMar>
    </w:tblPr>
  </w:style>
  <w:style w:type="table" w:styleId="7" w:customStyle="1">
    <w:name w:val="7"/>
    <w:basedOn w:val="TableNormal11"/>
    <w:tblPr>
      <w:tblStyleRowBandSize w:val="1"/>
      <w:tblStyleColBandSize w:val="1"/>
      <w:tblCellMar>
        <w:left w:w="115.0" w:type="dxa"/>
        <w:right w:w="115.0" w:type="dxa"/>
      </w:tblCellMar>
    </w:tblPr>
  </w:style>
  <w:style w:type="table" w:styleId="6" w:customStyle="1">
    <w:name w:val="6"/>
    <w:basedOn w:val="TableNormal2"/>
    <w:tblPr>
      <w:tblStyleRowBandSize w:val="1"/>
      <w:tblStyleColBandSize w:val="1"/>
      <w:tblCellMar>
        <w:left w:w="115.0" w:type="dxa"/>
        <w:right w:w="115.0" w:type="dxa"/>
      </w:tblCellMar>
    </w:tblPr>
  </w:style>
  <w:style w:type="table" w:styleId="5" w:customStyle="1">
    <w:name w:val="5"/>
    <w:basedOn w:val="TableNormal2"/>
    <w:tblPr>
      <w:tblStyleRowBandSize w:val="1"/>
      <w:tblStyleColBandSize w:val="1"/>
      <w:tblCellMar>
        <w:left w:w="115.0" w:type="dxa"/>
        <w:right w:w="115.0" w:type="dxa"/>
      </w:tblCellMar>
    </w:tblPr>
  </w:style>
  <w:style w:type="table" w:styleId="4" w:customStyle="1">
    <w:name w:val="4"/>
    <w:basedOn w:val="TableNormal3"/>
    <w:tblPr>
      <w:tblStyleRowBandSize w:val="1"/>
      <w:tblStyleColBandSize w:val="1"/>
      <w:tblCellMar>
        <w:left w:w="115.0" w:type="dxa"/>
        <w:right w:w="115.0" w:type="dxa"/>
      </w:tblCellMar>
    </w:tblPr>
  </w:style>
  <w:style w:type="table" w:styleId="3" w:customStyle="1">
    <w:name w:val="3"/>
    <w:basedOn w:val="TableNormal3"/>
    <w:tblPr>
      <w:tblStyleRowBandSize w:val="1"/>
      <w:tblStyleColBandSize w:val="1"/>
      <w:tblCellMar>
        <w:left w:w="115.0" w:type="dxa"/>
        <w:right w:w="115.0" w:type="dxa"/>
      </w:tblCellMar>
    </w:tblPr>
  </w:style>
  <w:style w:type="paragraph" w:styleId="Saludo">
    <w:name w:val="Salutation"/>
    <w:basedOn w:val="Normal"/>
    <w:next w:val="Normal"/>
    <w:link w:val="SaludoCar"/>
    <w:uiPriority w:val="99"/>
    <w:unhideWhenUsed w:val="1"/>
    <w:rsid w:val="00A34A66"/>
  </w:style>
  <w:style w:type="character" w:styleId="SaludoCar" w:customStyle="1">
    <w:name w:val="Saludo Car"/>
    <w:basedOn w:val="Fuentedeprrafopredeter"/>
    <w:link w:val="Saludo"/>
    <w:uiPriority w:val="99"/>
    <w:rsid w:val="00A34A66"/>
  </w:style>
  <w:style w:type="paragraph" w:styleId="Listaconvietas2">
    <w:name w:val="List Bullet 2"/>
    <w:basedOn w:val="Normal"/>
    <w:uiPriority w:val="99"/>
    <w:unhideWhenUsed w:val="1"/>
    <w:rsid w:val="00A34A66"/>
    <w:pPr>
      <w:tabs>
        <w:tab w:val="num" w:pos="720"/>
      </w:tabs>
      <w:ind w:left="720" w:hanging="720"/>
      <w:contextualSpacing w:val="1"/>
    </w:pPr>
  </w:style>
  <w:style w:type="table" w:styleId="2" w:customStyle="1">
    <w:name w:val="2"/>
    <w:basedOn w:val="TableNormal4"/>
    <w:tblPr>
      <w:tblStyleRowBandSize w:val="1"/>
      <w:tblStyleColBandSize w:val="1"/>
      <w:tblCellMar>
        <w:left w:w="115.0" w:type="dxa"/>
        <w:right w:w="115.0" w:type="dxa"/>
      </w:tblCellMar>
    </w:tblPr>
  </w:style>
  <w:style w:type="table" w:styleId="1" w:customStyle="1">
    <w:name w:val="1"/>
    <w:basedOn w:val="TableNormal4"/>
    <w:tblPr>
      <w:tblStyleRowBandSize w:val="1"/>
      <w:tblStyleColBandSize w:val="1"/>
      <w:tblCellMar>
        <w:left w:w="115.0" w:type="dxa"/>
        <w:right w:w="115.0" w:type="dxa"/>
      </w:tblCellMar>
    </w:tblPr>
  </w:style>
  <w:style w:type="table" w:styleId="23" w:customStyle="1">
    <w:name w:val="23"/>
    <w:basedOn w:val="TableNormal5"/>
    <w:tblPr>
      <w:tblStyleRowBandSize w:val="1"/>
      <w:tblStyleColBandSize w:val="1"/>
      <w:tblCellMar>
        <w:left w:w="115.0" w:type="dxa"/>
        <w:right w:w="115.0" w:type="dxa"/>
      </w:tblCellMar>
    </w:tblPr>
  </w:style>
  <w:style w:type="table" w:styleId="22" w:customStyle="1">
    <w:name w:val="22"/>
    <w:basedOn w:val="TableNormal5"/>
    <w:tblPr>
      <w:tblStyleRowBandSize w:val="1"/>
      <w:tblStyleColBandSize w:val="1"/>
      <w:tblCellMar>
        <w:left w:w="115.0" w:type="dxa"/>
        <w:right w:w="115.0" w:type="dxa"/>
      </w:tblCellMar>
    </w:tblPr>
  </w:style>
  <w:style w:type="table" w:styleId="21" w:customStyle="1">
    <w:name w:val="21"/>
    <w:basedOn w:val="TableNormal6"/>
    <w:tblPr>
      <w:tblStyleRowBandSize w:val="1"/>
      <w:tblStyleColBandSize w:val="1"/>
      <w:tblCellMar>
        <w:left w:w="115.0" w:type="dxa"/>
        <w:right w:w="115.0" w:type="dxa"/>
      </w:tblCellMar>
    </w:tblPr>
  </w:style>
  <w:style w:type="table" w:styleId="20" w:customStyle="1">
    <w:name w:val="20"/>
    <w:basedOn w:val="TableNormal6"/>
    <w:tblPr>
      <w:tblStyleRowBandSize w:val="1"/>
      <w:tblStyleColBandSize w:val="1"/>
      <w:tblCellMar>
        <w:left w:w="115.0" w:type="dxa"/>
        <w:right w:w="115.0" w:type="dxa"/>
      </w:tblCellMar>
    </w:tblPr>
  </w:style>
  <w:style w:type="table" w:styleId="19" w:customStyle="1">
    <w:name w:val="19"/>
    <w:basedOn w:val="TableNormal7"/>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8" w:customStyle="1">
    <w:name w:val="18"/>
    <w:basedOn w:val="TableNormal7"/>
    <w:tblPr>
      <w:tblStyleRowBandSize w:val="1"/>
      <w:tblStyleColBandSize w:val="1"/>
      <w:tblCellMar>
        <w:left w:w="115.0" w:type="dxa"/>
        <w:right w:w="115.0" w:type="dxa"/>
      </w:tblCellMar>
    </w:tblPr>
  </w:style>
  <w:style w:type="table" w:styleId="17" w:customStyle="1">
    <w:name w:val="17"/>
    <w:basedOn w:val="TableNormal7"/>
    <w:tblPr>
      <w:tblStyleRowBandSize w:val="1"/>
      <w:tblStyleColBandSize w:val="1"/>
      <w:tblCellMar>
        <w:left w:w="115.0" w:type="dxa"/>
        <w:right w:w="115.0" w:type="dxa"/>
      </w:tblCellMar>
    </w:tblPr>
  </w:style>
  <w:style w:type="table" w:styleId="16" w:customStyle="1">
    <w:name w:val="16"/>
    <w:basedOn w:val="TableNormal8"/>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15" w:customStyle="1">
    <w:name w:val="15"/>
    <w:basedOn w:val="TableNormal8"/>
    <w:tblPr>
      <w:tblStyleRowBandSize w:val="1"/>
      <w:tblStyleColBandSize w:val="1"/>
      <w:tblCellMar>
        <w:left w:w="115.0" w:type="dxa"/>
        <w:right w:w="115.0" w:type="dxa"/>
      </w:tblCellMar>
    </w:tblPr>
  </w:style>
  <w:style w:type="table" w:styleId="14" w:customStyle="1">
    <w:name w:val="14"/>
    <w:basedOn w:val="TableNormal8"/>
    <w:tblPr>
      <w:tblStyleRowBandSize w:val="1"/>
      <w:tblStyleColBandSize w:val="1"/>
      <w:tblCellMar>
        <w:left w:w="115.0" w:type="dxa"/>
        <w:right w:w="115.0" w:type="dxa"/>
      </w:tblCellMar>
    </w:tblPr>
  </w:style>
  <w:style w:type="table" w:styleId="13" w:customStyle="1">
    <w:name w:val="13"/>
    <w:basedOn w:val="TableNormal9"/>
    <w:tblPr>
      <w:tblStyleRowBandSize w:val="1"/>
      <w:tblStyleColBandSize w:val="1"/>
      <w:tblCellMar>
        <w:left w:w="115.0" w:type="dxa"/>
        <w:right w:w="115.0" w:type="dxa"/>
      </w:tblCellMar>
    </w:tblPr>
  </w:style>
  <w:style w:type="table" w:styleId="12" w:customStyle="1">
    <w:name w:val="12"/>
    <w:basedOn w:val="TableNormal9"/>
    <w:tblPr>
      <w:tblStyleRowBandSize w:val="1"/>
      <w:tblStyleColBandSize w:val="1"/>
      <w:tblCellMar>
        <w:left w:w="115.0" w:type="dxa"/>
        <w:right w:w="115.0" w:type="dxa"/>
      </w:tblCellMar>
    </w:tblPr>
  </w:style>
  <w:style w:type="table" w:styleId="26" w:customStyle="1">
    <w:name w:val="26"/>
    <w:basedOn w:val="TableNormal10"/>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25" w:customStyle="1">
    <w:name w:val="25"/>
    <w:basedOn w:val="TableNormal10"/>
    <w:tblPr>
      <w:tblStyleRowBandSize w:val="1"/>
      <w:tblStyleColBandSize w:val="1"/>
      <w:tblCellMar>
        <w:left w:w="115.0" w:type="dxa"/>
        <w:right w:w="115.0" w:type="dxa"/>
      </w:tblCellMar>
    </w:tblPr>
  </w:style>
  <w:style w:type="table" w:styleId="24" w:customStyle="1">
    <w:name w:val="24"/>
    <w:basedOn w:val="TableNormal10"/>
    <w:tblPr>
      <w:tblStyleRowBandSize w:val="1"/>
      <w:tblStyleColBandSize w:val="1"/>
      <w:tblCellMar>
        <w:left w:w="115.0" w:type="dxa"/>
        <w:right w:w="115.0" w:type="dxa"/>
      </w:tblCellMar>
    </w:tblPr>
  </w:style>
  <w:style w:type="table" w:styleId="Tabladelista1clara-nfasis111" w:customStyle="1">
    <w:name w:val="Tabla de lista 1 clara - Énfasis 111"/>
    <w:basedOn w:val="Tablanormal"/>
    <w:uiPriority w:val="46"/>
    <w:rsid w:val="0096387C"/>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paragraph" w:styleId="Cita">
    <w:name w:val="Quote"/>
    <w:basedOn w:val="Normal"/>
    <w:next w:val="Normal"/>
    <w:link w:val="CitaCar"/>
    <w:uiPriority w:val="29"/>
    <w:qFormat w:val="1"/>
    <w:rsid w:val="008A3C56"/>
    <w:pPr>
      <w:spacing w:after="160" w:before="200"/>
      <w:ind w:left="864" w:right="864"/>
      <w:jc w:val="center"/>
    </w:pPr>
    <w:rPr>
      <w:i w:val="1"/>
      <w:iCs w:val="1"/>
      <w:color w:val="404040" w:themeColor="text1" w:themeTint="0000BF"/>
    </w:rPr>
  </w:style>
  <w:style w:type="character" w:styleId="CitaCar" w:customStyle="1">
    <w:name w:val="Cita Car"/>
    <w:basedOn w:val="Fuentedeprrafopredeter"/>
    <w:link w:val="Cita"/>
    <w:uiPriority w:val="29"/>
    <w:rsid w:val="008A3C56"/>
    <w:rPr>
      <w:i w:val="1"/>
      <w:iCs w:val="1"/>
      <w:color w:val="404040" w:themeColor="text1" w:themeTint="0000BF"/>
    </w:rPr>
  </w:style>
  <w:style w:type="table" w:styleId="a" w:customStyle="1">
    <w:basedOn w:val="TableNormal1"/>
    <w:tblPr>
      <w:tblStyleRowBandSize w:val="1"/>
      <w:tblStyleColBandSize w:val="1"/>
      <w:tblCellMar>
        <w:left w:w="108.0" w:type="dxa"/>
        <w:right w:w="108.0" w:type="dxa"/>
      </w:tblCellMar>
    </w:tblPr>
  </w:style>
  <w:style w:type="table" w:styleId="a0" w:customStyle="1">
    <w:basedOn w:val="TableNormal1"/>
    <w:tblPr>
      <w:tblStyleRowBandSize w:val="1"/>
      <w:tblStyleColBandSize w:val="1"/>
      <w:tblCellMar>
        <w:left w:w="108.0" w:type="dxa"/>
        <w:right w:w="108.0" w:type="dxa"/>
      </w:tblCellMar>
    </w:tblPr>
  </w:style>
  <w:style w:type="table" w:styleId="a2" w:customStyle="1">
    <w:basedOn w:val="TableNormal1"/>
    <w:tblPr>
      <w:tblStyleRowBandSize w:val="1"/>
      <w:tblStyleColBandSize w:val="1"/>
      <w:tblCellMar>
        <w:left w:w="108.0" w:type="dxa"/>
        <w:right w:w="108.0" w:type="dxa"/>
      </w:tblCellMar>
    </w:tblPr>
  </w:style>
  <w:style w:type="table" w:styleId="a3" w:customStyle="1">
    <w:basedOn w:val="TableNormal1"/>
    <w:tblPr>
      <w:tblStyleRowBandSize w:val="1"/>
      <w:tblStyleColBandSize w:val="1"/>
      <w:tblCellMar>
        <w:left w:w="108.0" w:type="dxa"/>
        <w:right w:w="108.0" w:type="dxa"/>
      </w:tblCellMar>
    </w:tblPr>
  </w:style>
  <w:style w:type="table" w:styleId="a4" w:customStyle="1">
    <w:basedOn w:val="TableNormal1"/>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5" w:customStyle="1">
    <w:basedOn w:val="TableNormal1"/>
    <w:tblPr>
      <w:tblStyleRowBandSize w:val="1"/>
      <w:tblStyleColBandSize w:val="1"/>
      <w:tblCellMar>
        <w:left w:w="115.0" w:type="dxa"/>
        <w:right w:w="115.0" w:type="dxa"/>
      </w:tblCellMar>
    </w:tblPr>
  </w:style>
  <w:style w:type="table" w:styleId="a6" w:customStyle="1">
    <w:basedOn w:val="TableNormal1"/>
    <w:tblPr>
      <w:tblStyleRowBandSize w:val="1"/>
      <w:tblStyleColBandSize w:val="1"/>
      <w:tblCellMar>
        <w:left w:w="115.0" w:type="dxa"/>
        <w:right w:w="115.0" w:type="dxa"/>
      </w:tblCellMar>
    </w:tblPr>
  </w:style>
  <w:style w:type="paragraph" w:styleId="Citas" w:customStyle="1">
    <w:name w:val="Citas"/>
    <w:basedOn w:val="Normal"/>
    <w:qFormat w:val="1"/>
    <w:rsid w:val="0073487B"/>
    <w:pPr>
      <w:spacing w:after="160" w:before="240" w:line="360" w:lineRule="auto"/>
      <w:ind w:left="851" w:right="851"/>
      <w:jc w:val="both"/>
    </w:pPr>
    <w:rPr>
      <w:rFonts w:ascii="Palatino Linotype" w:cs="Arial" w:hAnsi="Palatino Linotype" w:eastAsiaTheme="minorHAnsi"/>
      <w:i w:val="1"/>
      <w:sz w:val="22"/>
      <w:szCs w:val="22"/>
      <w:lang w:eastAsia="en-US"/>
    </w:rPr>
  </w:style>
  <w:style w:type="table" w:styleId="a7" w:customStyle="1">
    <w:basedOn w:val="TableNormal0"/>
    <w:tblPr>
      <w:tblStyleRowBandSize w:val="1"/>
      <w:tblStyleColBandSize w:val="1"/>
      <w:tblCellMar>
        <w:left w:w="115.0" w:type="dxa"/>
        <w:right w:w="115.0" w:type="dxa"/>
      </w:tblCellMar>
    </w:tblPr>
  </w:style>
  <w:style w:type="table" w:styleId="a8" w:customStyle="1">
    <w:basedOn w:val="TableNormal0"/>
    <w:tblPr>
      <w:tblStyleRowBandSize w:val="1"/>
      <w:tblStyleColBandSize w:val="1"/>
      <w:tblCellMar>
        <w:left w:w="115.0" w:type="dxa"/>
        <w:right w:w="115.0" w:type="dxa"/>
      </w:tblCellMar>
    </w:tblPr>
  </w:style>
  <w:style w:type="table" w:styleId="a9" w:customStyle="1">
    <w:basedOn w:val="TableNormal0"/>
    <w:tblPr>
      <w:tblStyleRowBandSize w:val="1"/>
      <w:tblStyleColBandSize w:val="1"/>
      <w:tblCellMar>
        <w:left w:w="115.0" w:type="dxa"/>
        <w:right w:w="115.0" w:type="dxa"/>
      </w:tblCellMar>
    </w:tblPr>
  </w:style>
  <w:style w:type="table" w:styleId="aa" w:customStyle="1">
    <w:basedOn w:val="TableNormal0"/>
    <w:tblPr>
      <w:tblStyleRowBandSize w:val="1"/>
      <w:tblStyleColBandSize w:val="1"/>
      <w:tblCellMar>
        <w:left w:w="115.0" w:type="dxa"/>
        <w:right w:w="115.0" w:type="dxa"/>
      </w:tblCellMar>
    </w:tbl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left w:w="115.0" w:type="dxa"/>
        <w:right w:w="115.0" w:type="dxa"/>
      </w:tblCellMar>
    </w:tblPr>
  </w:style>
  <w:style w:type="table" w:styleId="ad"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definicion.de/tiempo/" TargetMode="External"/><Relationship Id="rId10" Type="http://schemas.openxmlformats.org/officeDocument/2006/relationships/image" Target="media/image5.png"/><Relationship Id="rId21"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0.png"/><Relationship Id="rId17" Type="http://schemas.openxmlformats.org/officeDocument/2006/relationships/image" Target="media/image11.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6.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HTLqfx9k8wPtqXqICrelqjnLwg==">CgMxLjAyCWguMnM4ZXlvMTIIaC5namRneHMyDmgueGpta3FnOXcycDBrMg5oLjN0N29pdXlxZGNiMjIOaC5hNXlyZXFtMGw2M2UyDWgueWJpZHl1bmRkNGYyCWguNGQzNG9nODIJaC4zcmRjcmpuOAByITFSc2xvZ3hpTXRYQUNUbGRUbTRBWDJyREJsTmRvOThXQg==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2023-08-04T19:32:00Z</dcterms:created>
  <dc:creator>iMac</dc:creator>
</cp:coreProperties>
</file>