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B644B"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diecisiete de mayo del dos mil veintitrés.</w:t>
      </w:r>
    </w:p>
    <w:p w14:paraId="00B34A58"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t>Visto</w:t>
      </w:r>
      <w:r w:rsidRPr="00B526AF">
        <w:rPr>
          <w:rFonts w:ascii="Palatino Linotype" w:eastAsia="Palatino Linotype" w:hAnsi="Palatino Linotype" w:cs="Palatino Linotype"/>
        </w:rPr>
        <w:t xml:space="preserve"> el expediente relativo al recurso de revisión </w:t>
      </w:r>
      <w:r w:rsidRPr="00B526AF">
        <w:rPr>
          <w:rFonts w:ascii="Palatino Linotype" w:eastAsia="Palatino Linotype" w:hAnsi="Palatino Linotype" w:cs="Palatino Linotype"/>
          <w:b/>
        </w:rPr>
        <w:t>15179/INFOEM/IP/RR/2022,</w:t>
      </w:r>
      <w:r w:rsidRPr="00B526AF">
        <w:rPr>
          <w:rFonts w:ascii="Palatino Linotype" w:eastAsia="Palatino Linotype" w:hAnsi="Palatino Linotype" w:cs="Palatino Linotype"/>
        </w:rPr>
        <w:t xml:space="preserve"> interpuesto por </w:t>
      </w:r>
      <w:r w:rsidRPr="00B526AF">
        <w:rPr>
          <w:rFonts w:ascii="Palatino Linotype" w:eastAsia="Palatino Linotype" w:hAnsi="Palatino Linotype" w:cs="Palatino Linotype"/>
          <w:b/>
        </w:rPr>
        <w:t>un particular que no proporcionó su nombre</w:t>
      </w:r>
      <w:r w:rsidRPr="00B526AF">
        <w:rPr>
          <w:rFonts w:ascii="Palatino Linotype" w:eastAsia="Palatino Linotype" w:hAnsi="Palatino Linotype" w:cs="Palatino Linotype"/>
        </w:rPr>
        <w:t xml:space="preserve">, a quien se le denominada el </w:t>
      </w:r>
      <w:r w:rsidRPr="00B526AF">
        <w:rPr>
          <w:rFonts w:ascii="Palatino Linotype" w:eastAsia="Palatino Linotype" w:hAnsi="Palatino Linotype" w:cs="Palatino Linotype"/>
          <w:b/>
        </w:rPr>
        <w:t>RECURRENTE</w:t>
      </w:r>
      <w:r w:rsidRPr="00B526AF">
        <w:rPr>
          <w:rFonts w:ascii="Palatino Linotype" w:eastAsia="Palatino Linotype" w:hAnsi="Palatino Linotype" w:cs="Palatino Linotype"/>
        </w:rPr>
        <w:t xml:space="preserve">, en contra de la respuesta a su solicitud de información con número de folio </w:t>
      </w:r>
      <w:r w:rsidRPr="00B526AF">
        <w:rPr>
          <w:rFonts w:ascii="Palatino Linotype" w:eastAsia="Palatino Linotype" w:hAnsi="Palatino Linotype" w:cs="Palatino Linotype"/>
          <w:b/>
        </w:rPr>
        <w:t xml:space="preserve">00148/OTUMBA/IP/2022, </w:t>
      </w:r>
      <w:r w:rsidRPr="00B526AF">
        <w:rPr>
          <w:rFonts w:ascii="Palatino Linotype" w:eastAsia="Palatino Linotype" w:hAnsi="Palatino Linotype" w:cs="Palatino Linotype"/>
        </w:rPr>
        <w:t xml:space="preserve">por parte del Ayuntamiento de Otumba, en lo sucesivo el </w:t>
      </w:r>
      <w:r w:rsidRPr="00B526AF">
        <w:rPr>
          <w:rFonts w:ascii="Palatino Linotype" w:eastAsia="Palatino Linotype" w:hAnsi="Palatino Linotype" w:cs="Palatino Linotype"/>
          <w:b/>
        </w:rPr>
        <w:t xml:space="preserve">SUJETO OBLIGADO; </w:t>
      </w:r>
      <w:r w:rsidRPr="00B526AF">
        <w:rPr>
          <w:rFonts w:ascii="Palatino Linotype" w:eastAsia="Palatino Linotype" w:hAnsi="Palatino Linotype" w:cs="Palatino Linotype"/>
        </w:rPr>
        <w:t>se procede a dictar la presente resolución, con base en los siguientes:</w:t>
      </w:r>
    </w:p>
    <w:p w14:paraId="7937D52D" w14:textId="77777777" w:rsidR="00475955" w:rsidRPr="00B526AF" w:rsidRDefault="001F2C49">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B526AF">
        <w:rPr>
          <w:rFonts w:ascii="Palatino Linotype" w:eastAsia="Palatino Linotype" w:hAnsi="Palatino Linotype" w:cs="Palatino Linotype"/>
          <w:b/>
        </w:rPr>
        <w:t>A N T E C E D E N T E S:</w:t>
      </w:r>
    </w:p>
    <w:p w14:paraId="6DFA1CED"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t xml:space="preserve">1. Solicitud de acceso a la información. </w:t>
      </w:r>
      <w:r w:rsidRPr="00B526AF">
        <w:rPr>
          <w:rFonts w:ascii="Palatino Linotype" w:eastAsia="Palatino Linotype" w:hAnsi="Palatino Linotype" w:cs="Palatino Linotype"/>
        </w:rPr>
        <w:t xml:space="preserve">Con fecha catorce de septiembre del dos mil veintidós, la parte </w:t>
      </w:r>
      <w:r w:rsidRPr="00B526AF">
        <w:rPr>
          <w:rFonts w:ascii="Palatino Linotype" w:eastAsia="Palatino Linotype" w:hAnsi="Palatino Linotype" w:cs="Palatino Linotype"/>
          <w:b/>
        </w:rPr>
        <w:t>RECURRENTE</w:t>
      </w:r>
      <w:r w:rsidRPr="00B526AF">
        <w:rPr>
          <w:rFonts w:ascii="Palatino Linotype" w:eastAsia="Palatino Linotype" w:hAnsi="Palatino Linotype" w:cs="Palatino Linotype"/>
        </w:rPr>
        <w:t xml:space="preserve"> formuló solicitud de acceso a información pública al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a través del Sistema de Acceso a la Información Mexiquense, en adelante </w:t>
      </w:r>
      <w:r w:rsidRPr="00B526AF">
        <w:rPr>
          <w:rFonts w:ascii="Palatino Linotype" w:eastAsia="Palatino Linotype" w:hAnsi="Palatino Linotype" w:cs="Palatino Linotype"/>
          <w:b/>
        </w:rPr>
        <w:t>SAIMEX,</w:t>
      </w:r>
      <w:r w:rsidRPr="00B526AF">
        <w:rPr>
          <w:rFonts w:ascii="Palatino Linotype" w:eastAsia="Palatino Linotype" w:hAnsi="Palatino Linotype" w:cs="Palatino Linotype"/>
        </w:rPr>
        <w:t xml:space="preserve"> requiriéndole lo siguiente:</w:t>
      </w:r>
    </w:p>
    <w:p w14:paraId="2F34A5F6" w14:textId="77777777" w:rsidR="00475955" w:rsidRPr="00B526AF" w:rsidRDefault="001F2C49">
      <w:pPr>
        <w:ind w:left="851" w:right="758"/>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“Solicito en una Tabla de Excel y documento soporte que justifique la tabla antes mencionada de Cuantas licencias de Funcionamiento se han otorgado de enero a agosto de la </w:t>
      </w:r>
      <w:proofErr w:type="spellStart"/>
      <w:r w:rsidRPr="00B526AF">
        <w:rPr>
          <w:rFonts w:ascii="Palatino Linotype" w:eastAsia="Palatino Linotype" w:hAnsi="Palatino Linotype" w:cs="Palatino Linotype"/>
          <w:i/>
          <w:sz w:val="22"/>
          <w:szCs w:val="22"/>
        </w:rPr>
        <w:t>administracion</w:t>
      </w:r>
      <w:proofErr w:type="spellEnd"/>
      <w:r w:rsidRPr="00B526AF">
        <w:rPr>
          <w:rFonts w:ascii="Palatino Linotype" w:eastAsia="Palatino Linotype" w:hAnsi="Palatino Linotype" w:cs="Palatino Linotype"/>
          <w:i/>
          <w:sz w:val="22"/>
          <w:szCs w:val="22"/>
        </w:rPr>
        <w:t xml:space="preserve"> 2022-2024, así como 1. cobro realizado, 2. Clave única, que se integrará de una serie alfanumérica. 3. Nombre del municipio. 4. Nombre del titular. 5. Actividad económica. 6. Fecha de inicio de actividades. 7. Tipo de impacto. 8. Domicilio de la unidad económica. 9. Visitas y procedimientos de verificación en su caso. 10. Sanciones en su caso. Todas las emitidas por la </w:t>
      </w:r>
      <w:proofErr w:type="spellStart"/>
      <w:r w:rsidRPr="00B526AF">
        <w:rPr>
          <w:rFonts w:ascii="Palatino Linotype" w:eastAsia="Palatino Linotype" w:hAnsi="Palatino Linotype" w:cs="Palatino Linotype"/>
          <w:i/>
          <w:sz w:val="22"/>
          <w:szCs w:val="22"/>
        </w:rPr>
        <w:t>Direccion</w:t>
      </w:r>
      <w:proofErr w:type="spellEnd"/>
      <w:r w:rsidRPr="00B526AF">
        <w:rPr>
          <w:rFonts w:ascii="Palatino Linotype" w:eastAsia="Palatino Linotype" w:hAnsi="Palatino Linotype" w:cs="Palatino Linotype"/>
          <w:i/>
          <w:sz w:val="22"/>
          <w:szCs w:val="22"/>
        </w:rPr>
        <w:t xml:space="preserve"> de Reglamentos y la </w:t>
      </w:r>
      <w:proofErr w:type="spellStart"/>
      <w:r w:rsidRPr="00B526AF">
        <w:rPr>
          <w:rFonts w:ascii="Palatino Linotype" w:eastAsia="Palatino Linotype" w:hAnsi="Palatino Linotype" w:cs="Palatino Linotype"/>
          <w:i/>
          <w:sz w:val="22"/>
          <w:szCs w:val="22"/>
        </w:rPr>
        <w:t>Direccion</w:t>
      </w:r>
      <w:proofErr w:type="spellEnd"/>
      <w:r w:rsidRPr="00B526AF">
        <w:rPr>
          <w:rFonts w:ascii="Palatino Linotype" w:eastAsia="Palatino Linotype" w:hAnsi="Palatino Linotype" w:cs="Palatino Linotype"/>
          <w:i/>
          <w:sz w:val="22"/>
          <w:szCs w:val="22"/>
        </w:rPr>
        <w:t xml:space="preserve"> de Desarrollo </w:t>
      </w:r>
      <w:proofErr w:type="spellStart"/>
      <w:r w:rsidRPr="00B526AF">
        <w:rPr>
          <w:rFonts w:ascii="Palatino Linotype" w:eastAsia="Palatino Linotype" w:hAnsi="Palatino Linotype" w:cs="Palatino Linotype"/>
          <w:i/>
          <w:sz w:val="22"/>
          <w:szCs w:val="22"/>
        </w:rPr>
        <w:t>Economico</w:t>
      </w:r>
      <w:proofErr w:type="spellEnd"/>
      <w:r w:rsidRPr="00B526AF">
        <w:rPr>
          <w:rFonts w:ascii="Palatino Linotype" w:eastAsia="Palatino Linotype" w:hAnsi="Palatino Linotype" w:cs="Palatino Linotype"/>
          <w:i/>
          <w:sz w:val="22"/>
          <w:szCs w:val="22"/>
        </w:rPr>
        <w:t>” (Sic)</w:t>
      </w:r>
    </w:p>
    <w:p w14:paraId="11CF9D92"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t xml:space="preserve">Modalidad elegida para la entrega de la información: </w:t>
      </w:r>
      <w:r w:rsidRPr="00B526AF">
        <w:rPr>
          <w:rFonts w:ascii="Palatino Linotype" w:eastAsia="Palatino Linotype" w:hAnsi="Palatino Linotype" w:cs="Palatino Linotype"/>
        </w:rPr>
        <w:t xml:space="preserve">a través del </w:t>
      </w:r>
      <w:r w:rsidRPr="00B526AF">
        <w:rPr>
          <w:rFonts w:ascii="Palatino Linotype" w:eastAsia="Palatino Linotype" w:hAnsi="Palatino Linotype" w:cs="Palatino Linotype"/>
          <w:b/>
        </w:rPr>
        <w:t>SAIMEX</w:t>
      </w:r>
      <w:r w:rsidRPr="00B526AF">
        <w:rPr>
          <w:rFonts w:ascii="Palatino Linotype" w:eastAsia="Palatino Linotype" w:hAnsi="Palatino Linotype" w:cs="Palatino Linotype"/>
        </w:rPr>
        <w:t>.</w:t>
      </w:r>
    </w:p>
    <w:p w14:paraId="64DC9D4A"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lastRenderedPageBreak/>
        <w:t xml:space="preserve">2. Respuesta. </w:t>
      </w:r>
      <w:r w:rsidRPr="00B526AF">
        <w:rPr>
          <w:rFonts w:ascii="Palatino Linotype" w:eastAsia="Palatino Linotype" w:hAnsi="Palatino Linotype" w:cs="Palatino Linotype"/>
        </w:rPr>
        <w:t xml:space="preserve">Con fecha veintisiete de septiembre del dos mil veintidós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envió su respuesta a la solicitud de acceso a la información a través del SAIMEX, la cual versa como sigue:</w:t>
      </w:r>
    </w:p>
    <w:p w14:paraId="7E8B0302" w14:textId="77777777" w:rsidR="00475955" w:rsidRPr="00B526AF" w:rsidRDefault="001F2C49">
      <w:pPr>
        <w:spacing w:before="240"/>
        <w:ind w:left="851" w:right="90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FF6FD8" w14:textId="77777777" w:rsidR="00475955" w:rsidRPr="00B526AF" w:rsidRDefault="001F2C49">
      <w:pPr>
        <w:ind w:left="851" w:right="90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Anexo información recopilada</w:t>
      </w:r>
    </w:p>
    <w:p w14:paraId="23727EB9" w14:textId="77777777" w:rsidR="00475955" w:rsidRPr="00B526AF" w:rsidRDefault="001F2C49">
      <w:pPr>
        <w:ind w:left="851" w:right="90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ATENTAMENTE</w:t>
      </w:r>
    </w:p>
    <w:p w14:paraId="7A743D18" w14:textId="77777777" w:rsidR="00475955" w:rsidRPr="00B526AF" w:rsidRDefault="001F2C49">
      <w:pPr>
        <w:ind w:left="851" w:right="902"/>
        <w:jc w:val="both"/>
        <w:rPr>
          <w:rFonts w:ascii="Palatino Linotype" w:eastAsia="Palatino Linotype" w:hAnsi="Palatino Linotype" w:cs="Palatino Linotype"/>
          <w:i/>
          <w:sz w:val="22"/>
          <w:szCs w:val="22"/>
        </w:rPr>
      </w:pPr>
      <w:r w:rsidRPr="00B526AF">
        <w:rPr>
          <w:rFonts w:ascii="Verdana" w:eastAsia="Verdana" w:hAnsi="Verdana" w:cs="Verdana"/>
          <w:sz w:val="18"/>
          <w:szCs w:val="18"/>
        </w:rPr>
        <w:t>C</w:t>
      </w:r>
      <w:r w:rsidRPr="00B526AF">
        <w:rPr>
          <w:rFonts w:ascii="Palatino Linotype" w:eastAsia="Palatino Linotype" w:hAnsi="Palatino Linotype" w:cs="Palatino Linotype"/>
          <w:i/>
          <w:sz w:val="22"/>
          <w:szCs w:val="22"/>
        </w:rPr>
        <w:t>. SERGIO DANIEL MARTÍNEZ NÚÑEZ” (Sic)</w:t>
      </w:r>
    </w:p>
    <w:p w14:paraId="5858C345" w14:textId="77777777" w:rsidR="00475955" w:rsidRPr="00B526AF" w:rsidRDefault="00475955">
      <w:pPr>
        <w:ind w:right="902"/>
        <w:jc w:val="both"/>
        <w:rPr>
          <w:rFonts w:ascii="Palatino Linotype" w:eastAsia="Palatino Linotype" w:hAnsi="Palatino Linotype" w:cs="Palatino Linotype"/>
          <w:i/>
        </w:rPr>
      </w:pPr>
    </w:p>
    <w:p w14:paraId="60480A27"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adjuntó a su respuesta el archivo electrónico siguiente:</w:t>
      </w:r>
    </w:p>
    <w:p w14:paraId="46BA5D13" w14:textId="77777777" w:rsidR="00475955" w:rsidRPr="00B526AF" w:rsidRDefault="00475955">
      <w:pPr>
        <w:spacing w:line="360" w:lineRule="auto"/>
        <w:jc w:val="both"/>
        <w:rPr>
          <w:rFonts w:ascii="Palatino Linotype" w:eastAsia="Palatino Linotype" w:hAnsi="Palatino Linotype" w:cs="Palatino Linotype"/>
        </w:rPr>
      </w:pPr>
    </w:p>
    <w:p w14:paraId="769172BF"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w:t>
      </w:r>
      <w:hyperlink r:id="rId8">
        <w:r w:rsidRPr="00B526AF">
          <w:rPr>
            <w:rFonts w:ascii="Palatino Linotype" w:eastAsia="Palatino Linotype" w:hAnsi="Palatino Linotype" w:cs="Palatino Linotype"/>
          </w:rPr>
          <w:t>00148.pdf</w:t>
        </w:r>
      </w:hyperlink>
      <w:r w:rsidRPr="00B526AF">
        <w:rPr>
          <w:rFonts w:ascii="Palatino Linotype" w:eastAsia="Palatino Linotype" w:hAnsi="Palatino Linotype" w:cs="Palatino Linotype"/>
        </w:rPr>
        <w:t xml:space="preserve">”, el cual contiene oficio número OTU/122/374/09/2022, por medio del cual la Unidad de Transparencia del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informó al solicitante que la información solicitada fue localizada por la Dirección de Desarrollo Económico y Mejora Regulatoria, y que es pública, poniendo a su disposición el hipervínculo siguiente a la información solicitada:</w:t>
      </w:r>
    </w:p>
    <w:p w14:paraId="44EC0937" w14:textId="77777777" w:rsidR="00475955" w:rsidRPr="00B526AF" w:rsidRDefault="00475955">
      <w:pPr>
        <w:spacing w:line="360" w:lineRule="auto"/>
        <w:jc w:val="both"/>
        <w:rPr>
          <w:rFonts w:ascii="Palatino Linotype" w:eastAsia="Palatino Linotype" w:hAnsi="Palatino Linotype" w:cs="Palatino Linotype"/>
        </w:rPr>
      </w:pPr>
    </w:p>
    <w:p w14:paraId="2E2A5853" w14:textId="77777777" w:rsidR="00475955" w:rsidRPr="00B526AF" w:rsidRDefault="001F2C49">
      <w:pPr>
        <w:spacing w:line="360" w:lineRule="auto"/>
        <w:jc w:val="both"/>
        <w:rPr>
          <w:rFonts w:ascii="Palatino Linotype" w:eastAsia="Palatino Linotype" w:hAnsi="Palatino Linotype" w:cs="Palatino Linotype"/>
        </w:rPr>
      </w:pPr>
      <w:r w:rsidRPr="00B526AF">
        <w:rPr>
          <w:noProof/>
          <w:lang w:val="es-MX" w:eastAsia="es-MX"/>
        </w:rPr>
        <w:drawing>
          <wp:inline distT="0" distB="0" distL="0" distR="0" wp14:anchorId="2B9EA2B5" wp14:editId="7FD4BC70">
            <wp:extent cx="5485410" cy="1674779"/>
            <wp:effectExtent l="0" t="0" r="0" b="0"/>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31742" t="15404" r="12877" b="59639"/>
                    <a:stretch>
                      <a:fillRect/>
                    </a:stretch>
                  </pic:blipFill>
                  <pic:spPr>
                    <a:xfrm>
                      <a:off x="0" y="0"/>
                      <a:ext cx="5485410" cy="1674779"/>
                    </a:xfrm>
                    <a:prstGeom prst="rect">
                      <a:avLst/>
                    </a:prstGeom>
                    <a:ln/>
                  </pic:spPr>
                </pic:pic>
              </a:graphicData>
            </a:graphic>
          </wp:inline>
        </w:drawing>
      </w:r>
    </w:p>
    <w:p w14:paraId="298B3DB9"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 </w:t>
      </w:r>
      <w:r w:rsidRPr="00B526AF">
        <w:rPr>
          <w:noProof/>
          <w:lang w:val="es-MX" w:eastAsia="es-MX"/>
        </w:rPr>
        <w:drawing>
          <wp:inline distT="0" distB="0" distL="0" distR="0" wp14:anchorId="1F4E07DB" wp14:editId="0F901715">
            <wp:extent cx="5509475" cy="904101"/>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1558" t="35498" r="21538" b="51099"/>
                    <a:stretch>
                      <a:fillRect/>
                    </a:stretch>
                  </pic:blipFill>
                  <pic:spPr>
                    <a:xfrm>
                      <a:off x="0" y="0"/>
                      <a:ext cx="5509475" cy="904101"/>
                    </a:xfrm>
                    <a:prstGeom prst="rect">
                      <a:avLst/>
                    </a:prstGeom>
                    <a:ln/>
                  </pic:spPr>
                </pic:pic>
              </a:graphicData>
            </a:graphic>
          </wp:inline>
        </w:drawing>
      </w:r>
    </w:p>
    <w:p w14:paraId="5DCBA651" w14:textId="77777777" w:rsidR="00475955" w:rsidRPr="00B526AF" w:rsidRDefault="00475955">
      <w:pPr>
        <w:spacing w:line="360" w:lineRule="auto"/>
        <w:jc w:val="both"/>
      </w:pPr>
    </w:p>
    <w:p w14:paraId="68B84F89"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t xml:space="preserve">3. Interposición del recurso de revisión. </w:t>
      </w:r>
      <w:r w:rsidRPr="00B526AF">
        <w:rPr>
          <w:rFonts w:ascii="Palatino Linotype" w:eastAsia="Palatino Linotype" w:hAnsi="Palatino Linotype" w:cs="Palatino Linotype"/>
        </w:rPr>
        <w:t>Inconforme</w:t>
      </w:r>
      <w:r w:rsidRPr="00B526AF">
        <w:rPr>
          <w:rFonts w:ascii="Palatino Linotype" w:eastAsia="Palatino Linotype" w:hAnsi="Palatino Linotype" w:cs="Palatino Linotype"/>
          <w:sz w:val="36"/>
          <w:szCs w:val="36"/>
        </w:rPr>
        <w:t xml:space="preserve"> </w:t>
      </w:r>
      <w:r w:rsidRPr="00B526AF">
        <w:rPr>
          <w:rFonts w:ascii="Palatino Linotype" w:eastAsia="Palatino Linotype" w:hAnsi="Palatino Linotype" w:cs="Palatino Linotype"/>
        </w:rPr>
        <w:t xml:space="preserve">el solicitante con la respuesta del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interpuso el recurso de revisión a través del SAIMEX en fecha veintiocho de septiembre del dos mil veintidós, a través del cual expresó lo siguiente:</w:t>
      </w:r>
    </w:p>
    <w:p w14:paraId="01D01A02" w14:textId="77777777" w:rsidR="00475955" w:rsidRPr="00B526AF" w:rsidRDefault="00475955">
      <w:pPr>
        <w:spacing w:line="360" w:lineRule="auto"/>
        <w:jc w:val="both"/>
        <w:rPr>
          <w:rFonts w:ascii="Palatino Linotype" w:eastAsia="Palatino Linotype" w:hAnsi="Palatino Linotype" w:cs="Palatino Linotype"/>
        </w:rPr>
      </w:pPr>
    </w:p>
    <w:p w14:paraId="27826D09" w14:textId="77777777" w:rsidR="00475955" w:rsidRPr="00B526AF" w:rsidRDefault="001F2C49">
      <w:pPr>
        <w:spacing w:line="360" w:lineRule="auto"/>
        <w:rPr>
          <w:rFonts w:ascii="Palatino Linotype" w:eastAsia="Palatino Linotype" w:hAnsi="Palatino Linotype" w:cs="Palatino Linotype"/>
          <w:b/>
        </w:rPr>
      </w:pPr>
      <w:r w:rsidRPr="00B526AF">
        <w:rPr>
          <w:rFonts w:ascii="Palatino Linotype" w:eastAsia="Palatino Linotype" w:hAnsi="Palatino Linotype" w:cs="Palatino Linotype"/>
          <w:b/>
        </w:rPr>
        <w:t>a) Acto impugnado.</w:t>
      </w:r>
    </w:p>
    <w:p w14:paraId="519DAF7D" w14:textId="77777777" w:rsidR="00475955" w:rsidRPr="00B526AF" w:rsidRDefault="001F2C49">
      <w:pPr>
        <w:spacing w:after="240"/>
        <w:ind w:left="851" w:right="900"/>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“Solicito en una Tabla de Excel y documento soporte que justifique la tabla antes mencionada de Cuantas licencias de Funcionamiento se han otorgado de enero a agosto de la </w:t>
      </w:r>
      <w:proofErr w:type="spellStart"/>
      <w:r w:rsidRPr="00B526AF">
        <w:rPr>
          <w:rFonts w:ascii="Palatino Linotype" w:eastAsia="Palatino Linotype" w:hAnsi="Palatino Linotype" w:cs="Palatino Linotype"/>
          <w:i/>
          <w:sz w:val="22"/>
          <w:szCs w:val="22"/>
        </w:rPr>
        <w:t>administracion</w:t>
      </w:r>
      <w:proofErr w:type="spellEnd"/>
      <w:r w:rsidRPr="00B526AF">
        <w:rPr>
          <w:rFonts w:ascii="Palatino Linotype" w:eastAsia="Palatino Linotype" w:hAnsi="Palatino Linotype" w:cs="Palatino Linotype"/>
          <w:i/>
          <w:sz w:val="22"/>
          <w:szCs w:val="22"/>
        </w:rPr>
        <w:t xml:space="preserve"> 2022-2024, así como 1. cobro realizado, 2. Clave única, que se integrará de una serie alfanumérica. 3. Nombre del municipio. 4. Nombre del titular. 5. Actividad económica. 6. Fecha de inicio de actividades. 7. Tipo de impacto. 8. Domicilio de la unidad económica. 9. Visitas y procedimientos de verificación en su caso. 10. Sanciones en su caso. Todas las emitidas por la </w:t>
      </w:r>
      <w:proofErr w:type="spellStart"/>
      <w:r w:rsidRPr="00B526AF">
        <w:rPr>
          <w:rFonts w:ascii="Palatino Linotype" w:eastAsia="Palatino Linotype" w:hAnsi="Palatino Linotype" w:cs="Palatino Linotype"/>
          <w:i/>
          <w:sz w:val="22"/>
          <w:szCs w:val="22"/>
        </w:rPr>
        <w:t>Direccion</w:t>
      </w:r>
      <w:proofErr w:type="spellEnd"/>
      <w:r w:rsidRPr="00B526AF">
        <w:rPr>
          <w:rFonts w:ascii="Palatino Linotype" w:eastAsia="Palatino Linotype" w:hAnsi="Palatino Linotype" w:cs="Palatino Linotype"/>
          <w:i/>
          <w:sz w:val="22"/>
          <w:szCs w:val="22"/>
        </w:rPr>
        <w:t xml:space="preserve"> de Reglamentos y la </w:t>
      </w:r>
      <w:proofErr w:type="spellStart"/>
      <w:r w:rsidRPr="00B526AF">
        <w:rPr>
          <w:rFonts w:ascii="Palatino Linotype" w:eastAsia="Palatino Linotype" w:hAnsi="Palatino Linotype" w:cs="Palatino Linotype"/>
          <w:i/>
          <w:sz w:val="22"/>
          <w:szCs w:val="22"/>
        </w:rPr>
        <w:t>Direccion</w:t>
      </w:r>
      <w:proofErr w:type="spellEnd"/>
      <w:r w:rsidRPr="00B526AF">
        <w:rPr>
          <w:rFonts w:ascii="Palatino Linotype" w:eastAsia="Palatino Linotype" w:hAnsi="Palatino Linotype" w:cs="Palatino Linotype"/>
          <w:i/>
          <w:sz w:val="22"/>
          <w:szCs w:val="22"/>
        </w:rPr>
        <w:t xml:space="preserve"> de Desarrollo </w:t>
      </w:r>
      <w:proofErr w:type="spellStart"/>
      <w:r w:rsidRPr="00B526AF">
        <w:rPr>
          <w:rFonts w:ascii="Palatino Linotype" w:eastAsia="Palatino Linotype" w:hAnsi="Palatino Linotype" w:cs="Palatino Linotype"/>
          <w:i/>
          <w:sz w:val="22"/>
          <w:szCs w:val="22"/>
        </w:rPr>
        <w:t>Economico</w:t>
      </w:r>
      <w:proofErr w:type="spellEnd"/>
      <w:r w:rsidRPr="00B526AF">
        <w:rPr>
          <w:rFonts w:ascii="Palatino Linotype" w:eastAsia="Palatino Linotype" w:hAnsi="Palatino Linotype" w:cs="Palatino Linotype"/>
          <w:i/>
          <w:sz w:val="22"/>
          <w:szCs w:val="22"/>
        </w:rPr>
        <w:t>” (Sic)</w:t>
      </w:r>
    </w:p>
    <w:p w14:paraId="29622840" w14:textId="77777777" w:rsidR="00475955" w:rsidRPr="00B526AF" w:rsidRDefault="001F2C49">
      <w:pPr>
        <w:spacing w:line="360" w:lineRule="auto"/>
        <w:jc w:val="both"/>
        <w:rPr>
          <w:rFonts w:ascii="Palatino Linotype" w:eastAsia="Palatino Linotype" w:hAnsi="Palatino Linotype" w:cs="Palatino Linotype"/>
          <w:b/>
        </w:rPr>
      </w:pPr>
      <w:r w:rsidRPr="00B526AF">
        <w:rPr>
          <w:rFonts w:ascii="Palatino Linotype" w:eastAsia="Palatino Linotype" w:hAnsi="Palatino Linotype" w:cs="Palatino Linotype"/>
          <w:b/>
        </w:rPr>
        <w:t>b) Motivos de inconformidad.</w:t>
      </w:r>
    </w:p>
    <w:p w14:paraId="35AEF0EC" w14:textId="77777777" w:rsidR="00475955" w:rsidRPr="00B526AF" w:rsidRDefault="001F2C49">
      <w:pPr>
        <w:spacing w:after="240"/>
        <w:ind w:left="851" w:right="900"/>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“Los enlaces que proporcionan no son claros, tampoco especifican el nombre completo del hipervínculo.” (Sic)</w:t>
      </w:r>
    </w:p>
    <w:p w14:paraId="135D6720" w14:textId="77777777" w:rsidR="00475955" w:rsidRPr="00B526AF" w:rsidRDefault="001F2C49">
      <w:pPr>
        <w:spacing w:before="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t xml:space="preserve">4. Turno. </w:t>
      </w:r>
      <w:r w:rsidRPr="00B526A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B526AF">
        <w:rPr>
          <w:rFonts w:ascii="Palatino Linotype" w:eastAsia="Palatino Linotype" w:hAnsi="Palatino Linotype" w:cs="Palatino Linotype"/>
          <w:b/>
        </w:rPr>
        <w:t xml:space="preserve">15179/INFOEM/IP/RR/2022 </w:t>
      </w:r>
      <w:r w:rsidRPr="00B526AF">
        <w:rPr>
          <w:rFonts w:ascii="Palatino Linotype" w:eastAsia="Palatino Linotype" w:hAnsi="Palatino Linotype" w:cs="Palatino Linotype"/>
        </w:rPr>
        <w:t>se turnó</w:t>
      </w:r>
      <w:r w:rsidRPr="00B526AF">
        <w:rPr>
          <w:rFonts w:ascii="Palatino Linotype" w:eastAsia="Palatino Linotype" w:hAnsi="Palatino Linotype" w:cs="Palatino Linotype"/>
          <w:b/>
        </w:rPr>
        <w:t xml:space="preserve"> </w:t>
      </w:r>
      <w:r w:rsidRPr="00B526AF">
        <w:rPr>
          <w:rFonts w:ascii="Palatino Linotype" w:eastAsia="Palatino Linotype" w:hAnsi="Palatino Linotype" w:cs="Palatino Linotype"/>
        </w:rPr>
        <w:t xml:space="preserve">por el sistema electrónico del Instituto de Transparencia, Acceso a la Información Pública y Protección de Datos Personales del Estado de México y Municipios, a la Comisionada </w:t>
      </w:r>
      <w:r w:rsidRPr="00B526AF">
        <w:rPr>
          <w:rFonts w:ascii="Palatino Linotype" w:eastAsia="Palatino Linotype" w:hAnsi="Palatino Linotype" w:cs="Palatino Linotype"/>
          <w:b/>
        </w:rPr>
        <w:t>Guadalupe Ramírez Peña,</w:t>
      </w:r>
      <w:r w:rsidRPr="00B526AF">
        <w:rPr>
          <w:rFonts w:ascii="Palatino Linotype" w:eastAsia="Palatino Linotype" w:hAnsi="Palatino Linotype" w:cs="Palatino Linotype"/>
        </w:rPr>
        <w:t xml:space="preserve"> para su análisis, estudio, elaboración del proyecto y presentación ante el Pleno de este Instituto.</w:t>
      </w:r>
    </w:p>
    <w:p w14:paraId="014A04DB" w14:textId="77777777" w:rsidR="00475955" w:rsidRPr="00B526AF" w:rsidRDefault="00475955">
      <w:pPr>
        <w:spacing w:line="360" w:lineRule="auto"/>
        <w:jc w:val="both"/>
        <w:rPr>
          <w:rFonts w:ascii="Palatino Linotype" w:eastAsia="Palatino Linotype" w:hAnsi="Palatino Linotype" w:cs="Palatino Linotype"/>
        </w:rPr>
      </w:pPr>
    </w:p>
    <w:p w14:paraId="0FA8EAF3" w14:textId="77777777" w:rsidR="00475955" w:rsidRPr="00B526AF" w:rsidRDefault="001F2C49">
      <w:pPr>
        <w:spacing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t xml:space="preserve">5. Admisión del recurso de revisión: </w:t>
      </w:r>
      <w:r w:rsidRPr="00B526AF">
        <w:rPr>
          <w:rFonts w:ascii="Palatino Linotype" w:eastAsia="Palatino Linotype" w:hAnsi="Palatino Linotype" w:cs="Palatino Linotype"/>
        </w:rPr>
        <w:t xml:space="preserve">En fecha tres de octubre del dos mil veintidós, la Comisionada ponente, admitió a trámite el recurso de revisión que ahora se </w:t>
      </w:r>
      <w:r w:rsidRPr="00B526AF">
        <w:rPr>
          <w:rFonts w:ascii="Palatino Linotype" w:eastAsia="Palatino Linotype" w:hAnsi="Palatino Linotype" w:cs="Palatino Linotype"/>
        </w:rPr>
        <w:lastRenderedPageBreak/>
        <w:t xml:space="preserve">resuelve, dando un plazo máximo de siete días hábiles para que las partes manifestaran lo que a su derecho resultara conveniente, ofrecieran pruebas, formularan alegatos y el Sujeto Obligado presentara su informe justificado. </w:t>
      </w:r>
    </w:p>
    <w:p w14:paraId="5E4A3841"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t>6. Manifestaciones</w:t>
      </w:r>
      <w:r w:rsidRPr="00B526AF">
        <w:rPr>
          <w:rFonts w:ascii="Palatino Linotype" w:eastAsia="Palatino Linotype" w:hAnsi="Palatino Linotype" w:cs="Palatino Linotype"/>
        </w:rPr>
        <w:t xml:space="preserve">: De las constancias que obran en el expediente electrónico del SAIMEX del Recurso de Revisión </w:t>
      </w:r>
      <w:r w:rsidRPr="00B526AF">
        <w:rPr>
          <w:rFonts w:ascii="Palatino Linotype" w:eastAsia="Palatino Linotype" w:hAnsi="Palatino Linotype" w:cs="Palatino Linotype"/>
          <w:b/>
          <w:sz w:val="22"/>
          <w:szCs w:val="22"/>
        </w:rPr>
        <w:t xml:space="preserve">15179/INFOEM/IP/RR/2022, </w:t>
      </w:r>
      <w:r w:rsidRPr="00B526AF">
        <w:rPr>
          <w:rFonts w:ascii="Palatino Linotype" w:eastAsia="Palatino Linotype" w:hAnsi="Palatino Linotype" w:cs="Palatino Linotype"/>
        </w:rPr>
        <w:t xml:space="preserve">se desprende que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no rindió su informe justificado, del mismo modo </w:t>
      </w:r>
      <w:r w:rsidRPr="00B526AF">
        <w:rPr>
          <w:rFonts w:ascii="Palatino Linotype" w:eastAsia="Palatino Linotype" w:hAnsi="Palatino Linotype" w:cs="Palatino Linotype"/>
          <w:b/>
        </w:rPr>
        <w:t>el RECURRENTE</w:t>
      </w:r>
      <w:r w:rsidRPr="00B526AF">
        <w:rPr>
          <w:rFonts w:ascii="Palatino Linotype" w:eastAsia="Palatino Linotype" w:hAnsi="Palatino Linotype" w:cs="Palatino Linotype"/>
        </w:rPr>
        <w:t xml:space="preserve"> fue omitió realizar manifestaciones.</w:t>
      </w:r>
    </w:p>
    <w:p w14:paraId="605D01FF" w14:textId="77777777" w:rsidR="00475955" w:rsidRPr="00B526AF" w:rsidRDefault="001F2C49">
      <w:pPr>
        <w:widowControl w:val="0"/>
        <w:tabs>
          <w:tab w:val="left" w:pos="709"/>
        </w:tabs>
        <w:spacing w:before="240" w:after="240" w:line="360" w:lineRule="auto"/>
        <w:jc w:val="both"/>
        <w:rPr>
          <w:rFonts w:ascii="Palatino Linotype" w:eastAsia="Palatino Linotype" w:hAnsi="Palatino Linotype" w:cs="Palatino Linotype"/>
        </w:rPr>
      </w:pPr>
      <w:r w:rsidRPr="00B526AF">
        <w:rPr>
          <w:noProof/>
          <w:lang w:val="es-MX" w:eastAsia="es-MX"/>
        </w:rPr>
        <w:drawing>
          <wp:inline distT="0" distB="0" distL="0" distR="0" wp14:anchorId="25D22EC9" wp14:editId="0B59AAAB">
            <wp:extent cx="5496037" cy="1267960"/>
            <wp:effectExtent l="0" t="0" r="0" b="0"/>
            <wp:docPr id="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9028" t="34996" r="19844" b="35521"/>
                    <a:stretch>
                      <a:fillRect/>
                    </a:stretch>
                  </pic:blipFill>
                  <pic:spPr>
                    <a:xfrm>
                      <a:off x="0" y="0"/>
                      <a:ext cx="5496037" cy="1267960"/>
                    </a:xfrm>
                    <a:prstGeom prst="rect">
                      <a:avLst/>
                    </a:prstGeom>
                    <a:ln/>
                  </pic:spPr>
                </pic:pic>
              </a:graphicData>
            </a:graphic>
          </wp:inline>
        </w:drawing>
      </w:r>
    </w:p>
    <w:p w14:paraId="6B2276D7" w14:textId="77777777" w:rsidR="00475955" w:rsidRPr="00B526AF" w:rsidRDefault="001F2C49">
      <w:pPr>
        <w:widowControl w:val="0"/>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t>7.- Ampliación del plazo para emitir resolución</w:t>
      </w:r>
      <w:r w:rsidRPr="00B526AF">
        <w:rPr>
          <w:rFonts w:ascii="Palatino Linotype" w:eastAsia="Palatino Linotype" w:hAnsi="Palatino Linotype" w:cs="Palatino Linotype"/>
        </w:rPr>
        <w:t>. En fecha nueve de mayo del dos mil veintitrés, con fundamento en el artículo 181, párrafo tercero de la Ley de Transparencia y Acceso a la Información Pública del Estado de México y Municipios, se acordó la ampliación del plazo para su resolución.</w:t>
      </w:r>
    </w:p>
    <w:p w14:paraId="243602D4" w14:textId="77777777" w:rsidR="00475955" w:rsidRPr="00B526AF" w:rsidRDefault="00475955">
      <w:pPr>
        <w:widowControl w:val="0"/>
        <w:spacing w:line="360" w:lineRule="auto"/>
        <w:jc w:val="both"/>
        <w:rPr>
          <w:rFonts w:ascii="Palatino Linotype" w:eastAsia="Palatino Linotype" w:hAnsi="Palatino Linotype" w:cs="Palatino Linotype"/>
        </w:rPr>
      </w:pPr>
    </w:p>
    <w:p w14:paraId="47174812"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6334B833"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88B5850" w14:textId="77777777" w:rsidR="00475955" w:rsidRPr="00B526AF" w:rsidRDefault="00475955">
      <w:pPr>
        <w:spacing w:line="360" w:lineRule="auto"/>
        <w:jc w:val="both"/>
        <w:rPr>
          <w:rFonts w:ascii="Palatino Linotype" w:eastAsia="Palatino Linotype" w:hAnsi="Palatino Linotype" w:cs="Palatino Linotype"/>
        </w:rPr>
      </w:pPr>
    </w:p>
    <w:p w14:paraId="14C7E276"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34783D6" w14:textId="77777777" w:rsidR="00475955" w:rsidRPr="00B526AF" w:rsidRDefault="00475955">
      <w:pPr>
        <w:spacing w:line="360" w:lineRule="auto"/>
        <w:jc w:val="both"/>
        <w:rPr>
          <w:rFonts w:ascii="Palatino Linotype" w:eastAsia="Palatino Linotype" w:hAnsi="Palatino Linotype" w:cs="Palatino Linotype"/>
        </w:rPr>
      </w:pPr>
    </w:p>
    <w:p w14:paraId="799980B4"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0EB8309" w14:textId="77777777" w:rsidR="00475955" w:rsidRPr="00B526AF" w:rsidRDefault="00475955">
      <w:pPr>
        <w:spacing w:line="360" w:lineRule="auto"/>
        <w:jc w:val="both"/>
        <w:rPr>
          <w:rFonts w:ascii="Palatino Linotype" w:eastAsia="Palatino Linotype" w:hAnsi="Palatino Linotype" w:cs="Palatino Linotype"/>
        </w:rPr>
      </w:pPr>
    </w:p>
    <w:p w14:paraId="360EBDAC" w14:textId="77777777" w:rsidR="00475955" w:rsidRPr="00B526AF" w:rsidRDefault="001F2C49">
      <w:pPr>
        <w:spacing w:line="360" w:lineRule="auto"/>
        <w:jc w:val="both"/>
        <w:rPr>
          <w:rFonts w:ascii="Palatino Linotype" w:eastAsia="Palatino Linotype" w:hAnsi="Palatino Linotype" w:cs="Palatino Linotype"/>
          <w:strike/>
        </w:rPr>
      </w:pPr>
      <w:r w:rsidRPr="00B526A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E8F3B4F" w14:textId="77777777" w:rsidR="00475955" w:rsidRPr="00B526AF" w:rsidRDefault="00475955">
      <w:pPr>
        <w:spacing w:line="360" w:lineRule="auto"/>
        <w:jc w:val="both"/>
        <w:rPr>
          <w:rFonts w:ascii="Palatino Linotype" w:eastAsia="Palatino Linotype" w:hAnsi="Palatino Linotype" w:cs="Palatino Linotype"/>
        </w:rPr>
      </w:pPr>
    </w:p>
    <w:p w14:paraId="07E33F03" w14:textId="77777777" w:rsidR="00475955" w:rsidRPr="00B526AF" w:rsidRDefault="001F2C49">
      <w:pPr>
        <w:numPr>
          <w:ilvl w:val="0"/>
          <w:numId w:val="2"/>
        </w:num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3F50C90" w14:textId="77777777" w:rsidR="00475955" w:rsidRPr="00B526AF" w:rsidRDefault="00475955">
      <w:pPr>
        <w:spacing w:line="360" w:lineRule="auto"/>
        <w:ind w:left="927"/>
        <w:jc w:val="both"/>
        <w:rPr>
          <w:rFonts w:ascii="Palatino Linotype" w:eastAsia="Palatino Linotype" w:hAnsi="Palatino Linotype" w:cs="Palatino Linotype"/>
        </w:rPr>
      </w:pPr>
    </w:p>
    <w:p w14:paraId="5AEFCC2C" w14:textId="77777777" w:rsidR="00475955" w:rsidRPr="00B526AF" w:rsidRDefault="001F2C49">
      <w:pPr>
        <w:numPr>
          <w:ilvl w:val="0"/>
          <w:numId w:val="2"/>
        </w:num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lastRenderedPageBreak/>
        <w:t>Actividad Procesal del interesado. Acciones u omisiones del interesado.</w:t>
      </w:r>
    </w:p>
    <w:p w14:paraId="3C78A859" w14:textId="77777777" w:rsidR="00475955" w:rsidRPr="00B526AF" w:rsidRDefault="00475955">
      <w:pPr>
        <w:spacing w:line="360" w:lineRule="auto"/>
        <w:jc w:val="both"/>
        <w:rPr>
          <w:rFonts w:ascii="Palatino Linotype" w:eastAsia="Palatino Linotype" w:hAnsi="Palatino Linotype" w:cs="Palatino Linotype"/>
        </w:rPr>
      </w:pPr>
    </w:p>
    <w:p w14:paraId="7BDF3B8A" w14:textId="77777777" w:rsidR="00475955" w:rsidRPr="00B526AF" w:rsidRDefault="001F2C49">
      <w:pPr>
        <w:numPr>
          <w:ilvl w:val="0"/>
          <w:numId w:val="2"/>
        </w:num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Conducta de la Autoridad: Las Acciones u omisiones realizadas en el procedimiento. Así como si la autoridad actuó con la debida diligencia.</w:t>
      </w:r>
    </w:p>
    <w:p w14:paraId="3DFC1BD6" w14:textId="77777777" w:rsidR="00475955" w:rsidRPr="00B526AF" w:rsidRDefault="00475955">
      <w:pPr>
        <w:spacing w:line="360" w:lineRule="auto"/>
        <w:ind w:left="708"/>
        <w:rPr>
          <w:rFonts w:ascii="Palatino Linotype" w:eastAsia="Palatino Linotype" w:hAnsi="Palatino Linotype" w:cs="Palatino Linotype"/>
        </w:rPr>
      </w:pPr>
    </w:p>
    <w:p w14:paraId="0BC4C094" w14:textId="77777777" w:rsidR="00475955" w:rsidRPr="00B526AF" w:rsidRDefault="001F2C49">
      <w:pPr>
        <w:spacing w:line="360" w:lineRule="auto"/>
        <w:ind w:left="567"/>
        <w:jc w:val="both"/>
        <w:rPr>
          <w:rFonts w:ascii="Palatino Linotype" w:eastAsia="Palatino Linotype" w:hAnsi="Palatino Linotype" w:cs="Palatino Linotype"/>
        </w:rPr>
      </w:pPr>
      <w:r w:rsidRPr="00B526AF">
        <w:rPr>
          <w:rFonts w:ascii="Palatino Linotype" w:eastAsia="Palatino Linotype" w:hAnsi="Palatino Linotype" w:cs="Palatino Linotype"/>
        </w:rPr>
        <w:t>d) La afectación generada en la situación jurídica de la persona involucrada en el proceso: Violación a sus derechos humanos.</w:t>
      </w:r>
    </w:p>
    <w:p w14:paraId="161CAD75" w14:textId="77777777" w:rsidR="00475955" w:rsidRPr="00B526AF" w:rsidRDefault="00475955">
      <w:pPr>
        <w:spacing w:line="360" w:lineRule="auto"/>
        <w:jc w:val="both"/>
        <w:rPr>
          <w:rFonts w:ascii="Palatino Linotype" w:eastAsia="Palatino Linotype" w:hAnsi="Palatino Linotype" w:cs="Palatino Linotype"/>
        </w:rPr>
      </w:pPr>
    </w:p>
    <w:p w14:paraId="6537241D"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F7158BC" w14:textId="77777777" w:rsidR="00475955" w:rsidRPr="00B526AF" w:rsidRDefault="00475955">
      <w:pPr>
        <w:spacing w:line="360" w:lineRule="auto"/>
        <w:jc w:val="both"/>
        <w:rPr>
          <w:rFonts w:ascii="Palatino Linotype" w:eastAsia="Palatino Linotype" w:hAnsi="Palatino Linotype" w:cs="Palatino Linotype"/>
        </w:rPr>
      </w:pPr>
    </w:p>
    <w:p w14:paraId="0A65E2DE" w14:textId="77777777" w:rsidR="00475955" w:rsidRPr="00B526AF" w:rsidRDefault="001F2C49">
      <w:pPr>
        <w:spacing w:line="360" w:lineRule="auto"/>
        <w:jc w:val="both"/>
        <w:rPr>
          <w:rFonts w:ascii="Palatino Linotype" w:eastAsia="Palatino Linotype" w:hAnsi="Palatino Linotype" w:cs="Palatino Linotype"/>
          <w:b/>
        </w:rPr>
      </w:pPr>
      <w:r w:rsidRPr="00B526A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526A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526AF">
        <w:rPr>
          <w:rFonts w:ascii="Palatino Linotype" w:eastAsia="Palatino Linotype" w:hAnsi="Palatino Linotype" w:cs="Palatino Linotype"/>
        </w:rPr>
        <w:t>, visible en la Gaceta del Seminario Judicial de la Federación con el registro digital 205635.</w:t>
      </w:r>
    </w:p>
    <w:p w14:paraId="01BD0577" w14:textId="77777777" w:rsidR="00475955" w:rsidRPr="00B526AF" w:rsidRDefault="00475955">
      <w:pPr>
        <w:spacing w:line="360" w:lineRule="auto"/>
        <w:jc w:val="both"/>
        <w:rPr>
          <w:rFonts w:ascii="Palatino Linotype" w:eastAsia="Palatino Linotype" w:hAnsi="Palatino Linotype" w:cs="Palatino Linotype"/>
        </w:rPr>
      </w:pPr>
    </w:p>
    <w:p w14:paraId="4B875D27"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B526AF">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30D807B" w14:textId="77777777" w:rsidR="00475955" w:rsidRPr="00B526AF" w:rsidRDefault="00475955">
      <w:pPr>
        <w:spacing w:line="360" w:lineRule="auto"/>
        <w:jc w:val="both"/>
        <w:rPr>
          <w:rFonts w:ascii="Palatino Linotype" w:eastAsia="Palatino Linotype" w:hAnsi="Palatino Linotype" w:cs="Palatino Linotype"/>
        </w:rPr>
      </w:pPr>
    </w:p>
    <w:p w14:paraId="5806BAF6"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53F45C3" w14:textId="77777777" w:rsidR="00475955" w:rsidRPr="00B526AF" w:rsidRDefault="00475955">
      <w:pPr>
        <w:spacing w:line="360" w:lineRule="auto"/>
        <w:jc w:val="both"/>
        <w:rPr>
          <w:rFonts w:ascii="Palatino Linotype" w:eastAsia="Palatino Linotype" w:hAnsi="Palatino Linotype" w:cs="Palatino Linotype"/>
        </w:rPr>
      </w:pPr>
    </w:p>
    <w:p w14:paraId="37640DE0"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 </w:t>
      </w:r>
      <w:r w:rsidRPr="00B526AF">
        <w:rPr>
          <w:rFonts w:ascii="Palatino Linotype" w:eastAsia="Palatino Linotype" w:hAnsi="Palatino Linotype" w:cs="Palatino Linotype"/>
          <w:i/>
        </w:rPr>
        <w:t>“PLAZO RAZONABLE PARA RESOLVER. DIMENSIÓN Y EFECTOS DE ESTE CONCEPTO CUANDO SE ADUCE EXCESIVA CARGA DE TRABAJO.”</w:t>
      </w:r>
      <w:r w:rsidRPr="00B526AF">
        <w:rPr>
          <w:rFonts w:ascii="Palatino Linotype" w:eastAsia="Palatino Linotype" w:hAnsi="Palatino Linotype" w:cs="Palatino Linotype"/>
        </w:rPr>
        <w:t xml:space="preserve"> consultable en el Seminario Judicial de la Federación y su gaceta, con el registro digital 2002351.</w:t>
      </w:r>
    </w:p>
    <w:p w14:paraId="14752185" w14:textId="77777777" w:rsidR="00475955" w:rsidRPr="00B526AF" w:rsidRDefault="00475955">
      <w:pPr>
        <w:spacing w:line="360" w:lineRule="auto"/>
        <w:jc w:val="both"/>
        <w:rPr>
          <w:rFonts w:ascii="Palatino Linotype" w:eastAsia="Palatino Linotype" w:hAnsi="Palatino Linotype" w:cs="Palatino Linotype"/>
          <w:b/>
        </w:rPr>
      </w:pPr>
    </w:p>
    <w:p w14:paraId="6C93A84E"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i/>
        </w:rPr>
        <w:t>“PLAZO RAZONABLE PARA RESOLVER. CONCEPTO Y ELEMENTOS QUE LO INTEGRAN A LA LUZ DEL DERECHO INTERNACIONAL DE LOS DERECHOS HUMANOS.”</w:t>
      </w:r>
      <w:r w:rsidRPr="00B526AF">
        <w:rPr>
          <w:rFonts w:ascii="Palatino Linotype" w:eastAsia="Palatino Linotype" w:hAnsi="Palatino Linotype" w:cs="Palatino Linotype"/>
        </w:rPr>
        <w:t>, visible en el Seminario Judicial de la Federación y su gaceta, con el registro digital 2002350.</w:t>
      </w:r>
    </w:p>
    <w:p w14:paraId="77ACB2FE" w14:textId="77777777" w:rsidR="00475955" w:rsidRPr="00B526AF" w:rsidRDefault="00475955">
      <w:pPr>
        <w:spacing w:line="360" w:lineRule="auto"/>
        <w:jc w:val="both"/>
        <w:rPr>
          <w:rFonts w:ascii="Palatino Linotype" w:eastAsia="Palatino Linotype" w:hAnsi="Palatino Linotype" w:cs="Palatino Linotype"/>
        </w:rPr>
      </w:pPr>
    </w:p>
    <w:p w14:paraId="375BA173"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14D9743" w14:textId="77777777" w:rsidR="00475955" w:rsidRPr="00B526AF" w:rsidRDefault="00475955">
      <w:pPr>
        <w:spacing w:line="360" w:lineRule="auto"/>
        <w:jc w:val="both"/>
        <w:rPr>
          <w:rFonts w:ascii="Palatino Linotype" w:eastAsia="Palatino Linotype" w:hAnsi="Palatino Linotype" w:cs="Palatino Linotype"/>
          <w:b/>
        </w:rPr>
      </w:pPr>
    </w:p>
    <w:p w14:paraId="28B0C10E"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t xml:space="preserve">8. Cierre de instrucción. </w:t>
      </w:r>
      <w:r w:rsidRPr="00B526AF">
        <w:rPr>
          <w:rFonts w:ascii="Palatino Linotype" w:eastAsia="Palatino Linotype" w:hAnsi="Palatino Linotype" w:cs="Palatino Linotype"/>
        </w:rPr>
        <w:t>En fecha once de mayo de dos mil veintitrés la Comisionada ponente determinó el cierre de instrucción en términos de la fracción VI del artículo 185 de la Ley de Transparencia y Acceso a la Información Pública del Estado de México y Municipios.</w:t>
      </w:r>
    </w:p>
    <w:p w14:paraId="1FEAF627"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3F1F543" w14:textId="77777777" w:rsidR="00475955" w:rsidRPr="00B526AF" w:rsidRDefault="001F2C49">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rPr>
      </w:pPr>
      <w:r w:rsidRPr="00B526AF">
        <w:rPr>
          <w:rFonts w:ascii="Palatino Linotype" w:eastAsia="Palatino Linotype" w:hAnsi="Palatino Linotype" w:cs="Palatino Linotype"/>
          <w:b/>
        </w:rPr>
        <w:t>II</w:t>
      </w:r>
      <w:r w:rsidRPr="00B526AF">
        <w:rPr>
          <w:rFonts w:ascii="Palatino Linotype" w:eastAsia="Palatino Linotype" w:hAnsi="Palatino Linotype" w:cs="Palatino Linotype"/>
          <w:b/>
        </w:rPr>
        <w:tab/>
        <w:t>C O N S I D E R A N D O:</w:t>
      </w:r>
    </w:p>
    <w:p w14:paraId="445ABC91"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t xml:space="preserve">Primero. Competencia. </w:t>
      </w:r>
      <w:r w:rsidRPr="00B526AF">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B526AF">
        <w:rPr>
          <w:rFonts w:ascii="Palatino Linotype" w:eastAsia="Palatino Linotype" w:hAnsi="Palatino Linotype" w:cs="Palatino Linotype"/>
          <w:b/>
        </w:rPr>
        <w:t>RECURRENTE</w:t>
      </w:r>
      <w:r w:rsidRPr="00B526AF">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800ED7A"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t>Segundo. Oportunidad y Procedibilidad del Recurso de Revisión</w:t>
      </w:r>
      <w:r w:rsidRPr="00B526AF">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w:t>
      </w:r>
      <w:r w:rsidRPr="00B526AF">
        <w:rPr>
          <w:rFonts w:ascii="Palatino Linotype" w:eastAsia="Palatino Linotype" w:hAnsi="Palatino Linotype" w:cs="Palatino Linotype"/>
        </w:rPr>
        <w:lastRenderedPageBreak/>
        <w:t xml:space="preserve">Transparencia y Acceso a la Información Pública del Estado de México y Municipios; en la especie se advierte que el presente medio de impugnación fue interpuesto dentro del plazo de quince días previsto en el primer artículo de referencia; toda vez que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emitió su respuesta a la solicitud planteada por el solicitante en fecha veintisiete de septiembre del año dos mil veintidós y el </w:t>
      </w:r>
      <w:r w:rsidRPr="00B526AF">
        <w:rPr>
          <w:rFonts w:ascii="Palatino Linotype" w:eastAsia="Palatino Linotype" w:hAnsi="Palatino Linotype" w:cs="Palatino Linotype"/>
          <w:b/>
        </w:rPr>
        <w:t>RECURRENTE</w:t>
      </w:r>
      <w:r w:rsidRPr="00B526AF">
        <w:rPr>
          <w:rFonts w:ascii="Palatino Linotype" w:eastAsia="Palatino Linotype" w:hAnsi="Palatino Linotype" w:cs="Palatino Linotype"/>
        </w:rPr>
        <w:t xml:space="preserve"> presentó su recurso de revisión el veintiocho del mismo mes y año, esto es al primer día hábil siguiente de aquel en que tuvo conocimiento de la respuesta; evidenciándose que la interposición del recurso se encuentra dentro de los márgenes temporales previstos en el citado precepto legal.</w:t>
      </w:r>
    </w:p>
    <w:p w14:paraId="06A34341"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Por cuanto hace a la procedibilidad del recurso de revisión, es de suma importancia señalar que la parte </w:t>
      </w:r>
      <w:r w:rsidRPr="00B526AF">
        <w:rPr>
          <w:rFonts w:ascii="Palatino Linotype" w:eastAsia="Palatino Linotype" w:hAnsi="Palatino Linotype" w:cs="Palatino Linotype"/>
          <w:b/>
        </w:rPr>
        <w:t>RECURRENTE</w:t>
      </w:r>
      <w:r w:rsidRPr="00B526AF">
        <w:rPr>
          <w:rFonts w:ascii="Palatino Linotype" w:eastAsia="Palatino Linotype" w:hAnsi="Palatino Linotype" w:cs="Palatino Linotype"/>
        </w:rPr>
        <w:t>, no se identificó,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057D799" w14:textId="77777777" w:rsidR="00475955" w:rsidRPr="00B526AF" w:rsidRDefault="001F2C49">
      <w:pPr>
        <w:spacing w:before="240" w:after="240" w:line="276" w:lineRule="auto"/>
        <w:ind w:left="851" w:right="90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r w:rsidRPr="00B526AF">
        <w:rPr>
          <w:rFonts w:ascii="Palatino Linotype" w:eastAsia="Palatino Linotype" w:hAnsi="Palatino Linotype" w:cs="Palatino Linotype"/>
          <w:b/>
          <w:i/>
          <w:sz w:val="22"/>
          <w:szCs w:val="22"/>
        </w:rPr>
        <w:t>Las solicitudes anónimas</w:t>
      </w:r>
      <w:r w:rsidRPr="00B526AF">
        <w:rPr>
          <w:rFonts w:ascii="Palatino Linotype" w:eastAsia="Palatino Linotype" w:hAnsi="Palatino Linotype" w:cs="Palatino Linotype"/>
          <w:i/>
          <w:sz w:val="22"/>
          <w:szCs w:val="22"/>
        </w:rPr>
        <w:t xml:space="preserve">, con nombre incompleto o seudónimo </w:t>
      </w:r>
      <w:r w:rsidRPr="00B526AF">
        <w:rPr>
          <w:rFonts w:ascii="Palatino Linotype" w:eastAsia="Palatino Linotype" w:hAnsi="Palatino Linotype" w:cs="Palatino Linotype"/>
          <w:b/>
          <w:i/>
          <w:sz w:val="22"/>
          <w:szCs w:val="22"/>
        </w:rPr>
        <w:t>serán procedentes para su trámite por parte del sujeto obligado ante quien se presente</w:t>
      </w:r>
      <w:r w:rsidRPr="00B526AF">
        <w:rPr>
          <w:rFonts w:ascii="Palatino Linotype" w:eastAsia="Palatino Linotype" w:hAnsi="Palatino Linotype" w:cs="Palatino Linotype"/>
          <w:i/>
          <w:sz w:val="22"/>
          <w:szCs w:val="22"/>
        </w:rPr>
        <w:t>. No podrá requerirse información adicional con motivo del nombre proporcionado por el solicitante."(Sic)</w:t>
      </w:r>
    </w:p>
    <w:p w14:paraId="04F6F143" w14:textId="77777777" w:rsidR="00475955" w:rsidRPr="00B526AF" w:rsidRDefault="001F2C49">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Así también,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w:t>
      </w:r>
      <w:r w:rsidRPr="00B526AF">
        <w:rPr>
          <w:rFonts w:ascii="Palatino Linotype" w:eastAsia="Palatino Linotype" w:hAnsi="Palatino Linotype" w:cs="Palatino Linotype"/>
        </w:rPr>
        <w:lastRenderedPageBreak/>
        <w:t xml:space="preserve">Municipios, en atención a que fue presentado mediante el formato visible en </w:t>
      </w:r>
      <w:r w:rsidRPr="00B526AF">
        <w:rPr>
          <w:rFonts w:ascii="Palatino Linotype" w:eastAsia="Palatino Linotype" w:hAnsi="Palatino Linotype" w:cs="Palatino Linotype"/>
          <w:b/>
        </w:rPr>
        <w:t>EL</w:t>
      </w:r>
      <w:r w:rsidRPr="00B526AF">
        <w:rPr>
          <w:rFonts w:ascii="Palatino Linotype" w:eastAsia="Palatino Linotype" w:hAnsi="Palatino Linotype" w:cs="Palatino Linotype"/>
        </w:rPr>
        <w:t xml:space="preserve"> </w:t>
      </w:r>
      <w:r w:rsidRPr="00B526AF">
        <w:rPr>
          <w:rFonts w:ascii="Palatino Linotype" w:eastAsia="Palatino Linotype" w:hAnsi="Palatino Linotype" w:cs="Palatino Linotype"/>
          <w:b/>
        </w:rPr>
        <w:t>SAIMEX</w:t>
      </w:r>
      <w:r w:rsidRPr="00B526AF">
        <w:rPr>
          <w:rFonts w:ascii="Palatino Linotype" w:eastAsia="Palatino Linotype" w:hAnsi="Palatino Linotype" w:cs="Palatino Linotype"/>
        </w:rPr>
        <w:t>.</w:t>
      </w:r>
    </w:p>
    <w:p w14:paraId="1092414E" w14:textId="77777777" w:rsidR="00475955" w:rsidRPr="00B526AF" w:rsidRDefault="00475955">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55DFF605" w14:textId="77777777" w:rsidR="00475955" w:rsidRPr="00B526AF" w:rsidRDefault="001F2C4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526AF">
        <w:rPr>
          <w:rFonts w:ascii="Palatino Linotype" w:eastAsia="Palatino Linotype" w:hAnsi="Palatino Linotype" w:cs="Palatino Linotype"/>
        </w:rPr>
        <w:t>Ahora bien, resulta procedente la interposición del recurso revisión, según lo aducido por el RECURRENTE en su acto impugnado como en sus motivos de inconformidad, de acuerdo al artículo 179 fracción IX de la Ley de Transparencia y Acceso a la Información Pública del Estado de México y Municipios; que a la letra dice:</w:t>
      </w:r>
    </w:p>
    <w:p w14:paraId="0BEE0FDC" w14:textId="77777777" w:rsidR="00475955" w:rsidRPr="00B526AF" w:rsidRDefault="00475955">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46E32FEE" w14:textId="77777777" w:rsidR="00475955" w:rsidRPr="00B526AF" w:rsidRDefault="001F2C49">
      <w:pPr>
        <w:pBdr>
          <w:top w:val="nil"/>
          <w:left w:val="nil"/>
          <w:bottom w:val="nil"/>
          <w:right w:val="nil"/>
          <w:between w:val="nil"/>
        </w:pBdr>
        <w:ind w:left="992" w:right="1043"/>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“Artículo 179</w:t>
      </w:r>
      <w:r w:rsidRPr="00B526AF">
        <w:rPr>
          <w:rFonts w:ascii="Palatino Linotype" w:eastAsia="Palatino Linotype" w:hAnsi="Palatino Linotype" w:cs="Palatino Linotype"/>
          <w:i/>
          <w:sz w:val="22"/>
          <w:szCs w:val="22"/>
        </w:rPr>
        <w:t xml:space="preserve">. </w:t>
      </w:r>
      <w:r w:rsidRPr="00B526AF">
        <w:rPr>
          <w:rFonts w:ascii="Palatino Linotype" w:eastAsia="Palatino Linotype" w:hAnsi="Palatino Linotype" w:cs="Palatino Linotype"/>
          <w:b/>
          <w:i/>
          <w:sz w:val="22"/>
          <w:szCs w:val="22"/>
        </w:rPr>
        <w:t>El recurso de revisión</w:t>
      </w:r>
      <w:r w:rsidRPr="00B526AF">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B526AF">
        <w:rPr>
          <w:rFonts w:ascii="Palatino Linotype" w:eastAsia="Palatino Linotype" w:hAnsi="Palatino Linotype" w:cs="Palatino Linotype"/>
          <w:b/>
          <w:i/>
          <w:sz w:val="22"/>
          <w:szCs w:val="22"/>
        </w:rPr>
        <w:t>, y procederá en contra de las siguientes causas</w:t>
      </w:r>
      <w:r w:rsidRPr="00B526AF">
        <w:rPr>
          <w:rFonts w:ascii="Palatino Linotype" w:eastAsia="Palatino Linotype" w:hAnsi="Palatino Linotype" w:cs="Palatino Linotype"/>
          <w:i/>
          <w:sz w:val="22"/>
          <w:szCs w:val="22"/>
        </w:rPr>
        <w:t>:</w:t>
      </w:r>
    </w:p>
    <w:p w14:paraId="14B2A278" w14:textId="77777777" w:rsidR="00475955" w:rsidRPr="00B526AF" w:rsidRDefault="001F2C49">
      <w:pPr>
        <w:pBdr>
          <w:top w:val="nil"/>
          <w:left w:val="nil"/>
          <w:bottom w:val="nil"/>
          <w:right w:val="nil"/>
          <w:between w:val="nil"/>
        </w:pBdr>
        <w:ind w:left="992" w:right="1043"/>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p>
    <w:p w14:paraId="240F8361" w14:textId="77777777" w:rsidR="00475955" w:rsidRPr="00B526AF" w:rsidRDefault="001F2C49">
      <w:pPr>
        <w:pBdr>
          <w:top w:val="nil"/>
          <w:left w:val="nil"/>
          <w:bottom w:val="nil"/>
          <w:right w:val="nil"/>
          <w:between w:val="nil"/>
        </w:pBdr>
        <w:ind w:left="992" w:right="1043"/>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IX. La entrega o puesta a disposición de información en un formato incomprensible y/o no accesible para el solicitante…” (Sic)</w:t>
      </w:r>
    </w:p>
    <w:p w14:paraId="022FD30B" w14:textId="77777777" w:rsidR="00475955" w:rsidRPr="00B526AF" w:rsidRDefault="00475955">
      <w:pPr>
        <w:pBdr>
          <w:top w:val="nil"/>
          <w:left w:val="nil"/>
          <w:bottom w:val="nil"/>
          <w:right w:val="nil"/>
          <w:between w:val="nil"/>
        </w:pBdr>
        <w:spacing w:after="240" w:line="360" w:lineRule="auto"/>
        <w:ind w:right="-91"/>
        <w:jc w:val="both"/>
        <w:rPr>
          <w:rFonts w:ascii="Palatino Linotype" w:eastAsia="Palatino Linotype" w:hAnsi="Palatino Linotype" w:cs="Palatino Linotype"/>
          <w:b/>
          <w:i/>
          <w:sz w:val="22"/>
          <w:szCs w:val="22"/>
        </w:rPr>
      </w:pPr>
    </w:p>
    <w:p w14:paraId="7FC00650" w14:textId="77777777" w:rsidR="00475955" w:rsidRPr="00B526AF" w:rsidRDefault="001F2C49">
      <w:pPr>
        <w:spacing w:before="280" w:after="28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t>Tercero. Materia de Revisión</w:t>
      </w:r>
      <w:r w:rsidRPr="00B526AF">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B526A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B526AF">
        <w:rPr>
          <w:rFonts w:ascii="Palatino Linotype" w:eastAsia="Palatino Linotype" w:hAnsi="Palatino Linotype" w:cs="Palatino Linotype"/>
        </w:rPr>
        <w:t xml:space="preserve">del </w:t>
      </w:r>
      <w:r w:rsidRPr="00B526AF">
        <w:rPr>
          <w:rFonts w:ascii="Palatino Linotype" w:eastAsia="Palatino Linotype" w:hAnsi="Palatino Linotype" w:cs="Palatino Linotype"/>
          <w:b/>
        </w:rPr>
        <w:t>RECURRENTE</w:t>
      </w:r>
      <w:r w:rsidRPr="00B526AF">
        <w:rPr>
          <w:rFonts w:ascii="Palatino Linotype" w:eastAsia="Palatino Linotype" w:hAnsi="Palatino Linotype" w:cs="Palatino Linotype"/>
        </w:rPr>
        <w:t>, o en su defecto, en caso de ser procedente, ordenar la entrega de información.</w:t>
      </w:r>
    </w:p>
    <w:p w14:paraId="04BF298C"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t xml:space="preserve">Cuarto. Estudio de fondo del asunto. </w:t>
      </w:r>
      <w:r w:rsidRPr="00B526AF">
        <w:rPr>
          <w:rFonts w:ascii="Palatino Linotype" w:eastAsia="Palatino Linotype" w:hAnsi="Palatino Linotype" w:cs="Palatino Linotype"/>
        </w:rPr>
        <w:t xml:space="preserve">Es conveniente analizar si la respuesta del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w:t>
      </w:r>
      <w:r w:rsidRPr="00B526AF">
        <w:rPr>
          <w:rFonts w:ascii="Palatino Linotype" w:eastAsia="Palatino Linotype" w:hAnsi="Palatino Linotype" w:cs="Palatino Linotype"/>
        </w:rPr>
        <w:lastRenderedPageBreak/>
        <w:t>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4A99B6E" w14:textId="77777777" w:rsidR="00475955" w:rsidRPr="00B526AF" w:rsidRDefault="001F2C49">
      <w:pPr>
        <w:spacing w:before="240"/>
        <w:ind w:left="709" w:right="760"/>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r w:rsidRPr="00B526AF">
        <w:rPr>
          <w:rFonts w:ascii="Palatino Linotype" w:eastAsia="Palatino Linotype" w:hAnsi="Palatino Linotype" w:cs="Palatino Linotype"/>
          <w:b/>
          <w:i/>
          <w:sz w:val="22"/>
          <w:szCs w:val="22"/>
        </w:rPr>
        <w:t>Artículo 4</w:t>
      </w:r>
      <w:r w:rsidRPr="00B526A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9BC8DF2" w14:textId="77777777" w:rsidR="00475955" w:rsidRPr="00B526AF" w:rsidRDefault="001F2C49">
      <w:pPr>
        <w:ind w:left="709" w:right="760"/>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526A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19E6598" w14:textId="77777777" w:rsidR="00475955" w:rsidRPr="00B526AF" w:rsidRDefault="001F2C49">
      <w:pPr>
        <w:ind w:left="709" w:right="760"/>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B526AF">
        <w:rPr>
          <w:rFonts w:ascii="Palatino Linotype" w:eastAsia="Palatino Linotype" w:hAnsi="Palatino Linotype" w:cs="Palatino Linotype"/>
          <w:i/>
          <w:sz w:val="22"/>
          <w:szCs w:val="22"/>
        </w:rPr>
        <w:t>.”(</w:t>
      </w:r>
      <w:proofErr w:type="gramEnd"/>
      <w:r w:rsidRPr="00B526AF">
        <w:rPr>
          <w:rFonts w:ascii="Palatino Linotype" w:eastAsia="Palatino Linotype" w:hAnsi="Palatino Linotype" w:cs="Palatino Linotype"/>
          <w:i/>
          <w:sz w:val="22"/>
          <w:szCs w:val="22"/>
        </w:rPr>
        <w:t>Sic)</w:t>
      </w:r>
    </w:p>
    <w:p w14:paraId="34AC222E" w14:textId="77777777" w:rsidR="00475955" w:rsidRPr="00B526AF" w:rsidRDefault="00475955">
      <w:pPr>
        <w:spacing w:line="360" w:lineRule="auto"/>
        <w:jc w:val="both"/>
        <w:rPr>
          <w:rFonts w:ascii="Palatino Linotype" w:eastAsia="Palatino Linotype" w:hAnsi="Palatino Linotype" w:cs="Palatino Linotype"/>
        </w:rPr>
      </w:pPr>
    </w:p>
    <w:p w14:paraId="4AA80DC3"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C24C905" w14:textId="77777777" w:rsidR="00475955" w:rsidRPr="00B526AF" w:rsidRDefault="00475955">
      <w:pPr>
        <w:spacing w:line="360" w:lineRule="auto"/>
        <w:jc w:val="both"/>
        <w:rPr>
          <w:rFonts w:ascii="Palatino Linotype" w:eastAsia="Palatino Linotype" w:hAnsi="Palatino Linotype" w:cs="Palatino Linotype"/>
        </w:rPr>
      </w:pPr>
    </w:p>
    <w:p w14:paraId="1A409870" w14:textId="77777777" w:rsidR="00475955" w:rsidRPr="00B526AF" w:rsidRDefault="001F2C49">
      <w:pPr>
        <w:ind w:left="567" w:right="758"/>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“Artículo 12.-</w:t>
      </w:r>
      <w:r w:rsidRPr="00B526A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B24CF70" w14:textId="77777777" w:rsidR="00475955" w:rsidRPr="00B526AF" w:rsidRDefault="00475955">
      <w:pPr>
        <w:ind w:left="567" w:right="758"/>
        <w:jc w:val="both"/>
        <w:rPr>
          <w:rFonts w:ascii="Palatino Linotype" w:eastAsia="Palatino Linotype" w:hAnsi="Palatino Linotype" w:cs="Palatino Linotype"/>
          <w:i/>
          <w:sz w:val="22"/>
          <w:szCs w:val="22"/>
        </w:rPr>
      </w:pPr>
    </w:p>
    <w:p w14:paraId="0E36D1DC" w14:textId="77777777" w:rsidR="00475955" w:rsidRPr="00B526AF" w:rsidRDefault="001F2C49">
      <w:pPr>
        <w:ind w:left="567" w:right="758"/>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526AF">
        <w:rPr>
          <w:rFonts w:ascii="Palatino Linotype" w:eastAsia="Palatino Linotype" w:hAnsi="Palatino Linotype" w:cs="Palatino Linotype"/>
          <w:i/>
          <w:sz w:val="22"/>
          <w:szCs w:val="22"/>
        </w:rPr>
        <w:t xml:space="preserve">. </w:t>
      </w:r>
      <w:r w:rsidRPr="00B526A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81D940D" w14:textId="77777777" w:rsidR="00475955" w:rsidRPr="00B526AF" w:rsidRDefault="00475955">
      <w:pPr>
        <w:spacing w:line="360" w:lineRule="auto"/>
        <w:ind w:right="-93"/>
        <w:jc w:val="both"/>
        <w:rPr>
          <w:rFonts w:ascii="Palatino Linotype" w:eastAsia="Palatino Linotype" w:hAnsi="Palatino Linotype" w:cs="Palatino Linotype"/>
        </w:rPr>
      </w:pPr>
    </w:p>
    <w:p w14:paraId="51C59A3A" w14:textId="77777777" w:rsidR="00475955" w:rsidRPr="00B526AF" w:rsidRDefault="001F2C49">
      <w:pPr>
        <w:spacing w:line="360" w:lineRule="auto"/>
        <w:ind w:right="-93"/>
        <w:jc w:val="both"/>
        <w:rPr>
          <w:rFonts w:ascii="Palatino Linotype" w:eastAsia="Palatino Linotype" w:hAnsi="Palatino Linotype" w:cs="Palatino Linotype"/>
        </w:rPr>
      </w:pPr>
      <w:r w:rsidRPr="00B526AF">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24BA854E" w14:textId="77777777" w:rsidR="00475955" w:rsidRPr="00B526AF" w:rsidRDefault="00475955">
      <w:pPr>
        <w:spacing w:line="360" w:lineRule="auto"/>
        <w:ind w:right="-93"/>
        <w:jc w:val="both"/>
        <w:rPr>
          <w:rFonts w:ascii="Palatino Linotype" w:eastAsia="Palatino Linotype" w:hAnsi="Palatino Linotype" w:cs="Palatino Linotype"/>
        </w:rPr>
      </w:pPr>
    </w:p>
    <w:p w14:paraId="2298B9D6" w14:textId="77777777" w:rsidR="00475955" w:rsidRPr="00B526AF" w:rsidRDefault="001F2C49">
      <w:pPr>
        <w:spacing w:line="360" w:lineRule="auto"/>
        <w:jc w:val="both"/>
        <w:rPr>
          <w:rFonts w:ascii="Palatino Linotype" w:eastAsia="Palatino Linotype" w:hAnsi="Palatino Linotype" w:cs="Palatino Linotype"/>
          <w:b/>
        </w:rPr>
      </w:pPr>
      <w:r w:rsidRPr="00B526AF">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B526AF">
        <w:rPr>
          <w:rFonts w:ascii="Palatino Linotype" w:eastAsia="Palatino Linotype" w:hAnsi="Palatino Linotype" w:cs="Palatino Linotype"/>
          <w:b/>
        </w:rPr>
        <w:t xml:space="preserve"> </w:t>
      </w:r>
    </w:p>
    <w:p w14:paraId="581DF892" w14:textId="77777777" w:rsidR="00475955" w:rsidRPr="00B526AF" w:rsidRDefault="00475955">
      <w:pPr>
        <w:ind w:left="851" w:right="850"/>
        <w:jc w:val="both"/>
        <w:rPr>
          <w:rFonts w:ascii="Palatino Linotype" w:eastAsia="Palatino Linotype" w:hAnsi="Palatino Linotype" w:cs="Palatino Linotype"/>
        </w:rPr>
      </w:pPr>
    </w:p>
    <w:p w14:paraId="10D5CADD" w14:textId="77777777" w:rsidR="00475955" w:rsidRPr="00B526AF" w:rsidRDefault="001F2C49">
      <w:pPr>
        <w:ind w:left="851" w:right="90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r w:rsidRPr="00B526AF">
        <w:rPr>
          <w:rFonts w:ascii="Palatino Linotype" w:eastAsia="Palatino Linotype" w:hAnsi="Palatino Linotype" w:cs="Palatino Linotype"/>
          <w:b/>
          <w:i/>
          <w:sz w:val="22"/>
          <w:szCs w:val="22"/>
        </w:rPr>
        <w:t>No existe obligación de elaborar documentos ad hoc para atender las solicitudes de acceso a la información.</w:t>
      </w:r>
      <w:r w:rsidRPr="00B526A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D4413F" w14:textId="77777777" w:rsidR="00475955" w:rsidRPr="00B526AF" w:rsidRDefault="001F2C49">
      <w:pPr>
        <w:ind w:left="851" w:right="90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Resoluciones: </w:t>
      </w:r>
    </w:p>
    <w:p w14:paraId="0DD7FA3D" w14:textId="77777777" w:rsidR="00475955" w:rsidRPr="00B526AF" w:rsidRDefault="001F2C49">
      <w:pPr>
        <w:ind w:left="851" w:right="901"/>
        <w:jc w:val="both"/>
        <w:rPr>
          <w:rFonts w:ascii="Palatino Linotype" w:eastAsia="Palatino Linotype" w:hAnsi="Palatino Linotype" w:cs="Palatino Linotype"/>
          <w:i/>
          <w:sz w:val="22"/>
          <w:szCs w:val="22"/>
        </w:rPr>
      </w:pPr>
      <w:r w:rsidRPr="00B526AF">
        <w:rPr>
          <w:rFonts w:ascii="Noto Sans Symbols" w:eastAsia="Noto Sans Symbols" w:hAnsi="Noto Sans Symbols" w:cs="Noto Sans Symbols"/>
          <w:i/>
          <w:sz w:val="22"/>
          <w:szCs w:val="22"/>
        </w:rPr>
        <w:t>∙</w:t>
      </w:r>
      <w:r w:rsidRPr="00B526AF">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31A79C73" w14:textId="77777777" w:rsidR="00475955" w:rsidRPr="00B526AF" w:rsidRDefault="001F2C49">
      <w:pPr>
        <w:ind w:left="851" w:right="901"/>
        <w:jc w:val="both"/>
        <w:rPr>
          <w:rFonts w:ascii="Palatino Linotype" w:eastAsia="Palatino Linotype" w:hAnsi="Palatino Linotype" w:cs="Palatino Linotype"/>
          <w:i/>
          <w:sz w:val="22"/>
          <w:szCs w:val="22"/>
        </w:rPr>
      </w:pPr>
      <w:r w:rsidRPr="00B526AF">
        <w:rPr>
          <w:rFonts w:ascii="Noto Sans Symbols" w:eastAsia="Noto Sans Symbols" w:hAnsi="Noto Sans Symbols" w:cs="Noto Sans Symbols"/>
          <w:i/>
          <w:sz w:val="22"/>
          <w:szCs w:val="22"/>
        </w:rPr>
        <w:lastRenderedPageBreak/>
        <w:t>∙</w:t>
      </w:r>
      <w:r w:rsidRPr="00B526AF">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0629BAA7" w14:textId="77777777" w:rsidR="00475955" w:rsidRPr="00B526AF" w:rsidRDefault="001F2C49">
      <w:pPr>
        <w:ind w:left="851" w:right="901"/>
        <w:jc w:val="both"/>
        <w:rPr>
          <w:rFonts w:ascii="Palatino Linotype" w:eastAsia="Palatino Linotype" w:hAnsi="Palatino Linotype" w:cs="Palatino Linotype"/>
          <w:i/>
          <w:sz w:val="22"/>
          <w:szCs w:val="22"/>
        </w:rPr>
      </w:pPr>
      <w:r w:rsidRPr="00B526AF">
        <w:rPr>
          <w:rFonts w:ascii="Noto Sans Symbols" w:eastAsia="Noto Sans Symbols" w:hAnsi="Noto Sans Symbols" w:cs="Noto Sans Symbols"/>
          <w:i/>
          <w:sz w:val="22"/>
          <w:szCs w:val="22"/>
        </w:rPr>
        <w:t>∙</w:t>
      </w:r>
      <w:r w:rsidRPr="00B526AF">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B526AF">
        <w:rPr>
          <w:rFonts w:ascii="Palatino Linotype" w:eastAsia="Palatino Linotype" w:hAnsi="Palatino Linotype" w:cs="Palatino Linotype"/>
          <w:i/>
          <w:sz w:val="22"/>
          <w:szCs w:val="22"/>
        </w:rPr>
        <w:t>.”(</w:t>
      </w:r>
      <w:proofErr w:type="gramEnd"/>
      <w:r w:rsidRPr="00B526AF">
        <w:rPr>
          <w:rFonts w:ascii="Palatino Linotype" w:eastAsia="Palatino Linotype" w:hAnsi="Palatino Linotype" w:cs="Palatino Linotype"/>
          <w:i/>
          <w:sz w:val="22"/>
          <w:szCs w:val="22"/>
        </w:rPr>
        <w:t>Sic)</w:t>
      </w:r>
    </w:p>
    <w:p w14:paraId="09EA481A" w14:textId="77777777" w:rsidR="00475955" w:rsidRPr="00B526AF" w:rsidRDefault="00475955">
      <w:pPr>
        <w:spacing w:line="360" w:lineRule="auto"/>
        <w:ind w:right="-93"/>
        <w:jc w:val="both"/>
        <w:rPr>
          <w:rFonts w:ascii="Palatino Linotype" w:eastAsia="Palatino Linotype" w:hAnsi="Palatino Linotype" w:cs="Palatino Linotype"/>
        </w:rPr>
      </w:pPr>
    </w:p>
    <w:p w14:paraId="7BDCC018"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EC250D4" w14:textId="77777777" w:rsidR="00475955" w:rsidRPr="00B526AF" w:rsidRDefault="00475955">
      <w:pPr>
        <w:spacing w:line="360" w:lineRule="auto"/>
        <w:jc w:val="both"/>
        <w:rPr>
          <w:rFonts w:ascii="Palatino Linotype" w:eastAsia="Palatino Linotype" w:hAnsi="Palatino Linotype" w:cs="Palatino Linotype"/>
        </w:rPr>
      </w:pPr>
    </w:p>
    <w:p w14:paraId="5FA3B572" w14:textId="77777777" w:rsidR="00475955" w:rsidRPr="00B526AF" w:rsidRDefault="001F2C49">
      <w:pPr>
        <w:spacing w:line="360" w:lineRule="auto"/>
        <w:ind w:right="49"/>
        <w:jc w:val="both"/>
        <w:rPr>
          <w:rFonts w:ascii="Palatino Linotype" w:eastAsia="Palatino Linotype" w:hAnsi="Palatino Linotype" w:cs="Palatino Linotype"/>
        </w:rPr>
      </w:pPr>
      <w:r w:rsidRPr="00B526A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674CDDA" w14:textId="77777777" w:rsidR="00475955" w:rsidRPr="00B526AF" w:rsidRDefault="00475955">
      <w:pPr>
        <w:spacing w:line="360" w:lineRule="auto"/>
        <w:ind w:right="49"/>
        <w:jc w:val="both"/>
        <w:rPr>
          <w:rFonts w:ascii="Palatino Linotype" w:eastAsia="Palatino Linotype" w:hAnsi="Palatino Linotype" w:cs="Palatino Linotype"/>
        </w:rPr>
      </w:pPr>
    </w:p>
    <w:p w14:paraId="6A09EC33"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B526AF">
        <w:rPr>
          <w:rFonts w:ascii="Palatino Linotype" w:eastAsia="Palatino Linotype" w:hAnsi="Palatino Linotype" w:cs="Palatino Linotype"/>
        </w:rPr>
        <w:lastRenderedPageBreak/>
        <w:t xml:space="preserve">podrán estar en cualquier medio, sea escrito, impreso, sonoro, visual, electrónico, informático u holográfico de conformidad con el artículo 3, fracción XI de la Ley de la materia, el cual señala lo siguiente: </w:t>
      </w:r>
    </w:p>
    <w:p w14:paraId="19B74FB9" w14:textId="77777777" w:rsidR="00475955" w:rsidRPr="00B526AF" w:rsidRDefault="00475955">
      <w:pPr>
        <w:ind w:left="851" w:right="899"/>
        <w:jc w:val="both"/>
        <w:rPr>
          <w:rFonts w:ascii="Palatino Linotype" w:eastAsia="Palatino Linotype" w:hAnsi="Palatino Linotype" w:cs="Palatino Linotype"/>
          <w:i/>
          <w:sz w:val="22"/>
          <w:szCs w:val="22"/>
        </w:rPr>
      </w:pPr>
    </w:p>
    <w:p w14:paraId="287A34F7" w14:textId="77777777" w:rsidR="00475955" w:rsidRPr="00B526AF" w:rsidRDefault="001F2C49">
      <w:pPr>
        <w:ind w:left="851" w:right="89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r w:rsidRPr="00B526AF">
        <w:rPr>
          <w:rFonts w:ascii="Palatino Linotype" w:eastAsia="Palatino Linotype" w:hAnsi="Palatino Linotype" w:cs="Palatino Linotype"/>
          <w:b/>
          <w:i/>
          <w:sz w:val="22"/>
          <w:szCs w:val="22"/>
        </w:rPr>
        <w:t xml:space="preserve">Artículo 3. </w:t>
      </w:r>
      <w:r w:rsidRPr="00B526AF">
        <w:rPr>
          <w:rFonts w:ascii="Palatino Linotype" w:eastAsia="Palatino Linotype" w:hAnsi="Palatino Linotype" w:cs="Palatino Linotype"/>
          <w:i/>
          <w:sz w:val="22"/>
          <w:szCs w:val="22"/>
        </w:rPr>
        <w:t>Para los efectos de la presente Ley se entenderá por:</w:t>
      </w:r>
    </w:p>
    <w:p w14:paraId="734EA984" w14:textId="77777777" w:rsidR="00475955" w:rsidRPr="00B526AF" w:rsidRDefault="001F2C49">
      <w:pPr>
        <w:ind w:left="851" w:right="89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p>
    <w:p w14:paraId="2BCA193A" w14:textId="77777777" w:rsidR="00475955" w:rsidRPr="00B526AF" w:rsidRDefault="001F2C49">
      <w:pPr>
        <w:ind w:left="851" w:right="89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XI. Documento:</w:t>
      </w:r>
      <w:r w:rsidRPr="00B526AF">
        <w:rPr>
          <w:rFonts w:ascii="Palatino Linotype" w:eastAsia="Palatino Linotype" w:hAnsi="Palatino Linotype" w:cs="Palatino Linotype"/>
          <w:i/>
          <w:sz w:val="22"/>
          <w:szCs w:val="22"/>
        </w:rPr>
        <w:t xml:space="preserve"> Los expedientes, reportes, estudios, actas</w:t>
      </w:r>
      <w:r w:rsidRPr="00B526AF">
        <w:rPr>
          <w:rFonts w:ascii="Palatino Linotype" w:eastAsia="Palatino Linotype" w:hAnsi="Palatino Linotype" w:cs="Palatino Linotype"/>
          <w:b/>
          <w:i/>
          <w:sz w:val="22"/>
          <w:szCs w:val="22"/>
        </w:rPr>
        <w:t>,</w:t>
      </w:r>
      <w:r w:rsidRPr="00B526A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3368BAF" w14:textId="77777777" w:rsidR="00475955" w:rsidRPr="00B526AF" w:rsidRDefault="00475955">
      <w:pPr>
        <w:ind w:left="851" w:right="899"/>
        <w:jc w:val="both"/>
        <w:rPr>
          <w:rFonts w:ascii="Palatino Linotype" w:eastAsia="Palatino Linotype" w:hAnsi="Palatino Linotype" w:cs="Palatino Linotype"/>
          <w:sz w:val="22"/>
          <w:szCs w:val="22"/>
        </w:rPr>
      </w:pPr>
    </w:p>
    <w:p w14:paraId="5E99623C"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D5A7157" w14:textId="77777777" w:rsidR="00475955" w:rsidRPr="00B526AF" w:rsidRDefault="00475955">
      <w:pPr>
        <w:ind w:left="851" w:right="899"/>
        <w:jc w:val="both"/>
        <w:rPr>
          <w:rFonts w:ascii="Palatino Linotype" w:eastAsia="Palatino Linotype" w:hAnsi="Palatino Linotype" w:cs="Palatino Linotype"/>
        </w:rPr>
      </w:pPr>
    </w:p>
    <w:p w14:paraId="51BAE368" w14:textId="77777777" w:rsidR="00475955" w:rsidRPr="00B526AF" w:rsidRDefault="001F2C49">
      <w:pPr>
        <w:ind w:left="851" w:right="899"/>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sz w:val="22"/>
          <w:szCs w:val="22"/>
        </w:rPr>
        <w:t>“</w:t>
      </w:r>
      <w:r w:rsidRPr="00B526AF">
        <w:rPr>
          <w:rFonts w:ascii="Palatino Linotype" w:eastAsia="Palatino Linotype" w:hAnsi="Palatino Linotype" w:cs="Palatino Linotype"/>
          <w:b/>
          <w:i/>
          <w:sz w:val="22"/>
          <w:szCs w:val="22"/>
        </w:rPr>
        <w:t>CRITERIO 0002-11</w:t>
      </w:r>
    </w:p>
    <w:p w14:paraId="09B2ED98" w14:textId="77777777" w:rsidR="00475955" w:rsidRPr="00B526AF" w:rsidRDefault="001F2C49">
      <w:pPr>
        <w:ind w:left="851" w:right="89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526A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0518768" w14:textId="77777777" w:rsidR="00475955" w:rsidRPr="00B526AF" w:rsidRDefault="001F2C49">
      <w:pPr>
        <w:ind w:left="851" w:right="89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En </w:t>
      </w:r>
      <w:proofErr w:type="gramStart"/>
      <w:r w:rsidRPr="00B526AF">
        <w:rPr>
          <w:rFonts w:ascii="Palatino Linotype" w:eastAsia="Palatino Linotype" w:hAnsi="Palatino Linotype" w:cs="Palatino Linotype"/>
          <w:i/>
          <w:sz w:val="22"/>
          <w:szCs w:val="22"/>
        </w:rPr>
        <w:t>consecuencia</w:t>
      </w:r>
      <w:proofErr w:type="gramEnd"/>
      <w:r w:rsidRPr="00B526A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2C47A8C" w14:textId="77777777" w:rsidR="00475955" w:rsidRPr="00B526AF" w:rsidRDefault="001F2C49">
      <w:pPr>
        <w:ind w:left="851" w:right="89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1) Que se trate de información registrada en cualquier soporte documental, </w:t>
      </w:r>
      <w:proofErr w:type="gramStart"/>
      <w:r w:rsidRPr="00B526AF">
        <w:rPr>
          <w:rFonts w:ascii="Palatino Linotype" w:eastAsia="Palatino Linotype" w:hAnsi="Palatino Linotype" w:cs="Palatino Linotype"/>
          <w:i/>
          <w:sz w:val="22"/>
          <w:szCs w:val="22"/>
        </w:rPr>
        <w:t>que</w:t>
      </w:r>
      <w:proofErr w:type="gramEnd"/>
      <w:r w:rsidRPr="00B526AF">
        <w:rPr>
          <w:rFonts w:ascii="Palatino Linotype" w:eastAsia="Palatino Linotype" w:hAnsi="Palatino Linotype" w:cs="Palatino Linotype"/>
          <w:i/>
          <w:sz w:val="22"/>
          <w:szCs w:val="22"/>
        </w:rPr>
        <w:t xml:space="preserve"> en ejercicio de las atribuciones conferidas, sea generada por los Sujetos Obligados;</w:t>
      </w:r>
    </w:p>
    <w:p w14:paraId="069E1791" w14:textId="77777777" w:rsidR="00475955" w:rsidRPr="00B526AF" w:rsidRDefault="001F2C49">
      <w:pPr>
        <w:ind w:left="851" w:right="899"/>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B526AF">
        <w:rPr>
          <w:rFonts w:ascii="Palatino Linotype" w:eastAsia="Palatino Linotype" w:hAnsi="Palatino Linotype" w:cs="Palatino Linotype"/>
          <w:b/>
          <w:i/>
          <w:sz w:val="22"/>
          <w:szCs w:val="22"/>
        </w:rPr>
        <w:t>que</w:t>
      </w:r>
      <w:proofErr w:type="gramEnd"/>
      <w:r w:rsidRPr="00B526AF">
        <w:rPr>
          <w:rFonts w:ascii="Palatino Linotype" w:eastAsia="Palatino Linotype" w:hAnsi="Palatino Linotype" w:cs="Palatino Linotype"/>
          <w:b/>
          <w:i/>
          <w:sz w:val="22"/>
          <w:szCs w:val="22"/>
        </w:rPr>
        <w:t xml:space="preserve"> en ejercicio de las atribuciones conferidas, sea administrada por los Sujetos Obligados, y</w:t>
      </w:r>
    </w:p>
    <w:p w14:paraId="79FACCD2" w14:textId="77777777" w:rsidR="00475955" w:rsidRPr="00B526AF" w:rsidRDefault="001F2C49">
      <w:pPr>
        <w:ind w:left="851" w:right="899"/>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lastRenderedPageBreak/>
        <w:t xml:space="preserve">3) Que se trate de información registrada en cualquier soporte documental, </w:t>
      </w:r>
      <w:proofErr w:type="gramStart"/>
      <w:r w:rsidRPr="00B526AF">
        <w:rPr>
          <w:rFonts w:ascii="Palatino Linotype" w:eastAsia="Palatino Linotype" w:hAnsi="Palatino Linotype" w:cs="Palatino Linotype"/>
          <w:b/>
          <w:i/>
          <w:sz w:val="22"/>
          <w:szCs w:val="22"/>
        </w:rPr>
        <w:t>que</w:t>
      </w:r>
      <w:proofErr w:type="gramEnd"/>
      <w:r w:rsidRPr="00B526AF">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25908881" w14:textId="77777777" w:rsidR="00475955" w:rsidRPr="00B526AF" w:rsidRDefault="00475955">
      <w:pPr>
        <w:ind w:right="899"/>
        <w:jc w:val="both"/>
        <w:rPr>
          <w:rFonts w:ascii="Palatino Linotype" w:eastAsia="Palatino Linotype" w:hAnsi="Palatino Linotype" w:cs="Palatino Linotype"/>
          <w:b/>
          <w:i/>
          <w:sz w:val="22"/>
          <w:szCs w:val="22"/>
        </w:rPr>
      </w:pPr>
    </w:p>
    <w:p w14:paraId="34D18C37"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w:t>
      </w:r>
      <w:r w:rsidRPr="00B526AF">
        <w:rPr>
          <w:rFonts w:ascii="Palatino Linotype" w:eastAsia="Palatino Linotype" w:hAnsi="Palatino Linotype" w:cs="Palatino Linotype"/>
          <w:b/>
        </w:rPr>
        <w:t>Ayuntamiento de Otumba,</w:t>
      </w:r>
      <w:r w:rsidRPr="00B526AF">
        <w:rPr>
          <w:rFonts w:ascii="Palatino Linotype" w:eastAsia="Palatino Linotype" w:hAnsi="Palatino Linotype" w:cs="Palatino Linotype"/>
        </w:rPr>
        <w:t xml:space="preserve"> lo siguiente:</w:t>
      </w:r>
    </w:p>
    <w:p w14:paraId="65FCDB2B"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En tabla Excel:</w:t>
      </w:r>
    </w:p>
    <w:p w14:paraId="3070DB83" w14:textId="77777777" w:rsidR="00475955" w:rsidRPr="00B526AF" w:rsidRDefault="001F2C49">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El documento soporte que justifique la tabla antes mencionada de Cuantas licencias de Funcionamiento se han otorgado de enero a agosto de la administración 2022-2024. así como:</w:t>
      </w:r>
    </w:p>
    <w:p w14:paraId="74A1F0BA" w14:textId="77777777" w:rsidR="00475955" w:rsidRPr="00B526AF" w:rsidRDefault="001F2C49">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rPr>
      </w:pPr>
      <w:r w:rsidRPr="00B526AF">
        <w:rPr>
          <w:rFonts w:ascii="Palatino Linotype" w:eastAsia="Palatino Linotype" w:hAnsi="Palatino Linotype" w:cs="Palatino Linotype"/>
        </w:rPr>
        <w:t>1. cobro realizado.</w:t>
      </w:r>
    </w:p>
    <w:p w14:paraId="039CFBFF" w14:textId="77777777" w:rsidR="00475955" w:rsidRPr="00B526AF" w:rsidRDefault="001F2C49">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rPr>
      </w:pPr>
      <w:r w:rsidRPr="00B526AF">
        <w:rPr>
          <w:rFonts w:ascii="Palatino Linotype" w:eastAsia="Palatino Linotype" w:hAnsi="Palatino Linotype" w:cs="Palatino Linotype"/>
          <w:sz w:val="22"/>
          <w:szCs w:val="22"/>
        </w:rPr>
        <w:t>2.</w:t>
      </w:r>
      <w:r w:rsidRPr="00B526AF">
        <w:rPr>
          <w:rFonts w:ascii="Palatino Linotype" w:eastAsia="Palatino Linotype" w:hAnsi="Palatino Linotype" w:cs="Palatino Linotype"/>
        </w:rPr>
        <w:t xml:space="preserve"> Clave única, que se integrará de una serie alfanumérica. </w:t>
      </w:r>
    </w:p>
    <w:p w14:paraId="387C12D2" w14:textId="77777777" w:rsidR="00475955" w:rsidRPr="00B526AF" w:rsidRDefault="001F2C49">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3. Nombre del municipio. </w:t>
      </w:r>
    </w:p>
    <w:p w14:paraId="0AEACA13" w14:textId="77777777" w:rsidR="00475955" w:rsidRPr="00B526AF" w:rsidRDefault="001F2C49">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4. Nombre del titular. </w:t>
      </w:r>
    </w:p>
    <w:p w14:paraId="6C56EED3" w14:textId="77777777" w:rsidR="00475955" w:rsidRPr="00B526AF" w:rsidRDefault="001F2C49">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5. Actividad económica. </w:t>
      </w:r>
    </w:p>
    <w:p w14:paraId="5E151022" w14:textId="77777777" w:rsidR="00475955" w:rsidRPr="00B526AF" w:rsidRDefault="001F2C49">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6. Fecha de inicio de actividades. </w:t>
      </w:r>
    </w:p>
    <w:p w14:paraId="6918CF60" w14:textId="77777777" w:rsidR="00475955" w:rsidRPr="00B526AF" w:rsidRDefault="001F2C49">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7. Tipo de impacto. </w:t>
      </w:r>
    </w:p>
    <w:p w14:paraId="77D88CB5" w14:textId="77777777" w:rsidR="00475955" w:rsidRPr="00B526AF" w:rsidRDefault="001F2C49">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8. Domicilio de la unidad económica. </w:t>
      </w:r>
    </w:p>
    <w:p w14:paraId="499AFF1A" w14:textId="77777777" w:rsidR="00475955" w:rsidRPr="00B526AF" w:rsidRDefault="001F2C49">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9. Visitas y procedimientos de verificación en su caso. </w:t>
      </w:r>
    </w:p>
    <w:p w14:paraId="5A397251" w14:textId="77777777" w:rsidR="00475955" w:rsidRPr="00B526AF" w:rsidRDefault="001F2C49">
      <w:pPr>
        <w:pBdr>
          <w:top w:val="nil"/>
          <w:left w:val="nil"/>
          <w:bottom w:val="nil"/>
          <w:right w:val="nil"/>
          <w:between w:val="nil"/>
        </w:pBdr>
        <w:spacing w:before="240" w:after="240" w:line="360" w:lineRule="auto"/>
        <w:ind w:left="720"/>
        <w:jc w:val="both"/>
        <w:rPr>
          <w:rFonts w:ascii="Palatino Linotype" w:eastAsia="Palatino Linotype" w:hAnsi="Palatino Linotype" w:cs="Palatino Linotype"/>
        </w:rPr>
      </w:pPr>
      <w:r w:rsidRPr="00B526AF">
        <w:rPr>
          <w:rFonts w:ascii="Palatino Linotype" w:eastAsia="Palatino Linotype" w:hAnsi="Palatino Linotype" w:cs="Palatino Linotype"/>
        </w:rPr>
        <w:lastRenderedPageBreak/>
        <w:t xml:space="preserve">10. Sanciones en su caso. </w:t>
      </w:r>
    </w:p>
    <w:p w14:paraId="68E38083"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Por su parte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emitió su respuesta a través de su Unidad de Transparencia, quien informó al solicitante, que la información solicitada fue localizada por la Dirección de Desarrollo Económico y Mejora Regulatoria, y que es pública, a través del hipervínculo siguiente:</w:t>
      </w:r>
    </w:p>
    <w:p w14:paraId="7AC621CA" w14:textId="77777777" w:rsidR="00475955" w:rsidRPr="00B526AF" w:rsidRDefault="001F2C49">
      <w:pPr>
        <w:spacing w:line="360" w:lineRule="auto"/>
        <w:jc w:val="both"/>
        <w:rPr>
          <w:rFonts w:ascii="Palatino Linotype" w:eastAsia="Palatino Linotype" w:hAnsi="Palatino Linotype" w:cs="Palatino Linotype"/>
        </w:rPr>
      </w:pPr>
      <w:r w:rsidRPr="00B526AF">
        <w:rPr>
          <w:noProof/>
          <w:lang w:val="es-MX" w:eastAsia="es-MX"/>
        </w:rPr>
        <w:drawing>
          <wp:inline distT="0" distB="0" distL="0" distR="0" wp14:anchorId="09F506D7" wp14:editId="181419BC">
            <wp:extent cx="5485410" cy="1674779"/>
            <wp:effectExtent l="0" t="0" r="0" b="0"/>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31742" t="15404" r="12877" b="59639"/>
                    <a:stretch>
                      <a:fillRect/>
                    </a:stretch>
                  </pic:blipFill>
                  <pic:spPr>
                    <a:xfrm>
                      <a:off x="0" y="0"/>
                      <a:ext cx="5485410" cy="1674779"/>
                    </a:xfrm>
                    <a:prstGeom prst="rect">
                      <a:avLst/>
                    </a:prstGeom>
                    <a:ln/>
                  </pic:spPr>
                </pic:pic>
              </a:graphicData>
            </a:graphic>
          </wp:inline>
        </w:drawing>
      </w:r>
    </w:p>
    <w:p w14:paraId="1E0B3A6C"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 </w:t>
      </w:r>
      <w:r w:rsidRPr="00B526AF">
        <w:rPr>
          <w:noProof/>
          <w:lang w:val="es-MX" w:eastAsia="es-MX"/>
        </w:rPr>
        <w:drawing>
          <wp:inline distT="0" distB="0" distL="0" distR="0" wp14:anchorId="562BFA8B" wp14:editId="703777A4">
            <wp:extent cx="5509475" cy="904101"/>
            <wp:effectExtent l="0" t="0" r="0" 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1558" t="35498" r="21538" b="51099"/>
                    <a:stretch>
                      <a:fillRect/>
                    </a:stretch>
                  </pic:blipFill>
                  <pic:spPr>
                    <a:xfrm>
                      <a:off x="0" y="0"/>
                      <a:ext cx="5509475" cy="904101"/>
                    </a:xfrm>
                    <a:prstGeom prst="rect">
                      <a:avLst/>
                    </a:prstGeom>
                    <a:ln/>
                  </pic:spPr>
                </pic:pic>
              </a:graphicData>
            </a:graphic>
          </wp:inline>
        </w:drawing>
      </w:r>
    </w:p>
    <w:p w14:paraId="2FCCF469"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Inconforme el </w:t>
      </w:r>
      <w:r w:rsidRPr="00B526AF">
        <w:rPr>
          <w:rFonts w:ascii="Palatino Linotype" w:eastAsia="Palatino Linotype" w:hAnsi="Palatino Linotype" w:cs="Palatino Linotype"/>
          <w:b/>
        </w:rPr>
        <w:t>RECURRENTE</w:t>
      </w:r>
      <w:r w:rsidRPr="00B526AF">
        <w:rPr>
          <w:rFonts w:ascii="Palatino Linotype" w:eastAsia="Palatino Linotype" w:hAnsi="Palatino Linotype" w:cs="Palatino Linotype"/>
        </w:rPr>
        <w:t xml:space="preserve"> con la respuesta, interpuso el Recurso de Revisión, mediante el cual señaló que “los enlaces que proporcionan no son claros, tampoco especifican el nombre completo del hipervínculo” (Sic)</w:t>
      </w:r>
    </w:p>
    <w:p w14:paraId="64C93C4E" w14:textId="77777777" w:rsidR="00475955" w:rsidRPr="00B526AF" w:rsidRDefault="001F2C49">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Una vez notificado el recurso de revisión al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este fue omiso en rendir su informe justificado. </w:t>
      </w:r>
    </w:p>
    <w:p w14:paraId="171B6636" w14:textId="77777777" w:rsidR="00475955" w:rsidRPr="00B526AF" w:rsidRDefault="00475955">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112CF259"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Con base en lo precedente, se determina que la información proporcionada por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en su respuesta, no cumple con lo establecido por los artículos 4, 12, 24 último párrafo y 161 de la Ley de Transparencia y Acceso a la Información Pública del Estado de México y Municipios; por ello, los motivos de </w:t>
      </w:r>
      <w:r w:rsidRPr="00B526AF">
        <w:rPr>
          <w:rFonts w:ascii="Palatino Linotype" w:eastAsia="Palatino Linotype" w:hAnsi="Palatino Linotype" w:cs="Palatino Linotype"/>
        </w:rPr>
        <w:lastRenderedPageBreak/>
        <w:t xml:space="preserve">inconformidad acontecen fundados para modificar la respuesta del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en razón de las consideraciones de derecho que a continuación se exponen: </w:t>
      </w:r>
    </w:p>
    <w:p w14:paraId="0459F3D0" w14:textId="77777777" w:rsidR="00475955" w:rsidRPr="00B526AF" w:rsidRDefault="001F2C49">
      <w:pPr>
        <w:spacing w:before="240" w:after="240" w:line="360" w:lineRule="auto"/>
        <w:jc w:val="both"/>
        <w:rPr>
          <w:rFonts w:ascii="Palatino Linotype" w:eastAsia="Palatino Linotype" w:hAnsi="Palatino Linotype" w:cs="Palatino Linotype"/>
        </w:rPr>
      </w:pPr>
      <w:bookmarkStart w:id="0" w:name="_heading=h.3znysh7" w:colFirst="0" w:colLast="0"/>
      <w:bookmarkEnd w:id="0"/>
      <w:r w:rsidRPr="00B526AF">
        <w:rPr>
          <w:rFonts w:ascii="Palatino Linotype" w:eastAsia="Palatino Linotype" w:hAnsi="Palatino Linotype" w:cs="Palatino Linotype"/>
        </w:rPr>
        <w:t xml:space="preserve">Regresando a la respuesta del </w:t>
      </w:r>
      <w:r w:rsidRPr="00B526AF">
        <w:rPr>
          <w:rFonts w:ascii="Palatino Linotype" w:eastAsia="Palatino Linotype" w:hAnsi="Palatino Linotype" w:cs="Palatino Linotype"/>
          <w:b/>
        </w:rPr>
        <w:t xml:space="preserve">SUJETO OBLIGADO </w:t>
      </w:r>
      <w:r w:rsidRPr="00B526AF">
        <w:rPr>
          <w:rFonts w:ascii="Palatino Linotype" w:eastAsia="Palatino Linotype" w:hAnsi="Palatino Linotype" w:cs="Palatino Linotype"/>
        </w:rPr>
        <w:t>en donde se le informó al solicitante que la información solicitada fue localizada por la Dirección de Desarrollo Económico y Mejora Regulatoria, y que es pública, a través del hipervínculo siguiente:</w:t>
      </w:r>
    </w:p>
    <w:p w14:paraId="09EB1DE0" w14:textId="77777777" w:rsidR="00475955" w:rsidRPr="00B526AF" w:rsidRDefault="001F2C49">
      <w:pPr>
        <w:spacing w:line="360" w:lineRule="auto"/>
        <w:jc w:val="both"/>
        <w:rPr>
          <w:rFonts w:ascii="Palatino Linotype" w:eastAsia="Palatino Linotype" w:hAnsi="Palatino Linotype" w:cs="Palatino Linotype"/>
        </w:rPr>
      </w:pPr>
      <w:r w:rsidRPr="00B526AF">
        <w:rPr>
          <w:noProof/>
          <w:lang w:val="es-MX" w:eastAsia="es-MX"/>
        </w:rPr>
        <w:drawing>
          <wp:inline distT="0" distB="0" distL="0" distR="0" wp14:anchorId="1AF5C3EB" wp14:editId="6169D33A">
            <wp:extent cx="5495668" cy="2311904"/>
            <wp:effectExtent l="0" t="0" r="0" b="0"/>
            <wp:docPr id="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31742" t="15404" r="12877" b="59639"/>
                    <a:stretch>
                      <a:fillRect/>
                    </a:stretch>
                  </pic:blipFill>
                  <pic:spPr>
                    <a:xfrm>
                      <a:off x="0" y="0"/>
                      <a:ext cx="5495668" cy="2311904"/>
                    </a:xfrm>
                    <a:prstGeom prst="rect">
                      <a:avLst/>
                    </a:prstGeom>
                    <a:ln/>
                  </pic:spPr>
                </pic:pic>
              </a:graphicData>
            </a:graphic>
          </wp:inline>
        </w:drawing>
      </w:r>
    </w:p>
    <w:p w14:paraId="1BE5CD67"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 </w:t>
      </w:r>
      <w:r w:rsidRPr="00B526AF">
        <w:rPr>
          <w:noProof/>
          <w:lang w:val="es-MX" w:eastAsia="es-MX"/>
        </w:rPr>
        <w:drawing>
          <wp:inline distT="0" distB="0" distL="0" distR="0" wp14:anchorId="33D95580" wp14:editId="33B1EBE3">
            <wp:extent cx="5523906" cy="1459755"/>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1558" t="35498" r="21538" b="51099"/>
                    <a:stretch>
                      <a:fillRect/>
                    </a:stretch>
                  </pic:blipFill>
                  <pic:spPr>
                    <a:xfrm>
                      <a:off x="0" y="0"/>
                      <a:ext cx="5523906" cy="1459755"/>
                    </a:xfrm>
                    <a:prstGeom prst="rect">
                      <a:avLst/>
                    </a:prstGeom>
                    <a:ln/>
                  </pic:spPr>
                </pic:pic>
              </a:graphicData>
            </a:graphic>
          </wp:inline>
        </w:drawing>
      </w:r>
    </w:p>
    <w:p w14:paraId="5A05B6A4"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Por lo que respecta a la liga electrónica proporcionada por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se procedió a acceder a ella, arrojando la siguiente información:</w:t>
      </w:r>
    </w:p>
    <w:p w14:paraId="283CA3B2" w14:textId="77777777" w:rsidR="00475955" w:rsidRPr="00B526AF" w:rsidRDefault="00475955">
      <w:pPr>
        <w:spacing w:line="360" w:lineRule="auto"/>
        <w:jc w:val="both"/>
      </w:pPr>
    </w:p>
    <w:p w14:paraId="3960AFA4" w14:textId="77777777" w:rsidR="00475955" w:rsidRPr="00B526AF" w:rsidRDefault="001F2C49">
      <w:pPr>
        <w:spacing w:line="360" w:lineRule="auto"/>
        <w:jc w:val="both"/>
      </w:pPr>
      <w:r w:rsidRPr="00B526AF">
        <w:rPr>
          <w:noProof/>
          <w:lang w:val="es-MX" w:eastAsia="es-MX"/>
        </w:rPr>
        <w:lastRenderedPageBreak/>
        <w:drawing>
          <wp:inline distT="0" distB="0" distL="0" distR="0" wp14:anchorId="4BB33BE1" wp14:editId="360D0D77">
            <wp:extent cx="5385196" cy="2667727"/>
            <wp:effectExtent l="0" t="0" r="0" b="0"/>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18534" t="6047" r="19778" b="26761"/>
                    <a:stretch>
                      <a:fillRect/>
                    </a:stretch>
                  </pic:blipFill>
                  <pic:spPr>
                    <a:xfrm>
                      <a:off x="0" y="0"/>
                      <a:ext cx="5385196" cy="2667727"/>
                    </a:xfrm>
                    <a:prstGeom prst="rect">
                      <a:avLst/>
                    </a:prstGeom>
                    <a:ln/>
                  </pic:spPr>
                </pic:pic>
              </a:graphicData>
            </a:graphic>
          </wp:inline>
        </w:drawing>
      </w:r>
    </w:p>
    <w:p w14:paraId="4D3F0776"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La cual corresponde a las concesiones, contratos, convenios, permisos licencias o autorizaciones otorgados por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en los años 2018 a 2022 y al ingresar al año 2022, este contiene 316 registros, de los cuales se advierte que tiene un cúmulo de información de certificados de temporalidad, licencias de funcionamiento, cédula de empadronamiento, entre otros, lo que implica que el </w:t>
      </w:r>
      <w:r w:rsidRPr="00B526AF">
        <w:rPr>
          <w:rFonts w:ascii="Palatino Linotype" w:eastAsia="Palatino Linotype" w:hAnsi="Palatino Linotype" w:cs="Palatino Linotype"/>
          <w:b/>
        </w:rPr>
        <w:t>RECURRENTE</w:t>
      </w:r>
      <w:r w:rsidRPr="00B526AF">
        <w:rPr>
          <w:rFonts w:ascii="Palatino Linotype" w:eastAsia="Palatino Linotype" w:hAnsi="Palatino Linotype" w:cs="Palatino Linotype"/>
        </w:rPr>
        <w:t xml:space="preserve"> haga una búsqueda dentro de toda la información que yace en dicha liga electrónica, en razón de que el particular solicitó la información de una temporalidad en específico del primero de enero al treinta y uno de agosto del año 2022 y respecto de un tema específico; por consiguiente, no se colmó la pretensión de la parte </w:t>
      </w:r>
      <w:r w:rsidRPr="00B526AF">
        <w:rPr>
          <w:rFonts w:ascii="Palatino Linotype" w:eastAsia="Palatino Linotype" w:hAnsi="Palatino Linotype" w:cs="Palatino Linotype"/>
          <w:b/>
        </w:rPr>
        <w:t>RECURRENTE</w:t>
      </w:r>
      <w:r w:rsidRPr="00B526AF">
        <w:rPr>
          <w:rFonts w:ascii="Palatino Linotype" w:eastAsia="Palatino Linotype" w:hAnsi="Palatino Linotype" w:cs="Palatino Linotype"/>
        </w:rPr>
        <w:t xml:space="preserve">. </w:t>
      </w:r>
    </w:p>
    <w:p w14:paraId="060E0E64" w14:textId="77777777" w:rsidR="00475955" w:rsidRPr="00B526AF" w:rsidRDefault="00475955">
      <w:pPr>
        <w:spacing w:line="360" w:lineRule="auto"/>
        <w:jc w:val="both"/>
        <w:rPr>
          <w:rFonts w:ascii="Palatino Linotype" w:eastAsia="Palatino Linotype" w:hAnsi="Palatino Linotype" w:cs="Palatino Linotype"/>
        </w:rPr>
      </w:pPr>
    </w:p>
    <w:p w14:paraId="644AC19B" w14:textId="77777777" w:rsidR="00475955" w:rsidRPr="00B526AF" w:rsidRDefault="001F2C49">
      <w:pPr>
        <w:pBdr>
          <w:top w:val="nil"/>
          <w:left w:val="nil"/>
          <w:bottom w:val="nil"/>
          <w:right w:val="nil"/>
          <w:between w:val="nil"/>
        </w:pBd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w:t>
      </w:r>
      <w:r w:rsidRPr="00B526AF">
        <w:rPr>
          <w:rFonts w:ascii="Palatino Linotype" w:eastAsia="Palatino Linotype" w:hAnsi="Palatino Linotype" w:cs="Palatino Linotype"/>
        </w:rPr>
        <w:lastRenderedPageBreak/>
        <w:t>así como la forma en que se deberá consultar la información, señalando una fuente precisa y concreta, a saber:</w:t>
      </w:r>
    </w:p>
    <w:p w14:paraId="22F248C1" w14:textId="77777777" w:rsidR="00475955" w:rsidRPr="00B526AF" w:rsidRDefault="00475955">
      <w:pPr>
        <w:pBdr>
          <w:top w:val="nil"/>
          <w:left w:val="nil"/>
          <w:bottom w:val="nil"/>
          <w:right w:val="nil"/>
          <w:between w:val="nil"/>
        </w:pBdr>
        <w:spacing w:line="360" w:lineRule="auto"/>
        <w:jc w:val="both"/>
        <w:rPr>
          <w:rFonts w:ascii="Palatino Linotype" w:eastAsia="Palatino Linotype" w:hAnsi="Palatino Linotype" w:cs="Palatino Linotype"/>
        </w:rPr>
      </w:pPr>
    </w:p>
    <w:p w14:paraId="43DDC7BD" w14:textId="77777777" w:rsidR="00475955" w:rsidRPr="00B526AF" w:rsidRDefault="001F2C49">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“Artículo 11.</w:t>
      </w:r>
      <w:r w:rsidRPr="00B526AF">
        <w:rPr>
          <w:rFonts w:ascii="Palatino Linotype" w:eastAsia="Palatino Linotype" w:hAnsi="Palatino Linotype" w:cs="Palatino Linotype"/>
          <w:i/>
          <w:sz w:val="22"/>
          <w:szCs w:val="22"/>
        </w:rPr>
        <w:t xml:space="preserve"> </w:t>
      </w:r>
      <w:r w:rsidRPr="00B526AF">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B526AF">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2E447D45" w14:textId="77777777" w:rsidR="00475955" w:rsidRPr="00B526AF" w:rsidRDefault="001F2C49">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p>
    <w:p w14:paraId="14869137" w14:textId="77777777" w:rsidR="00475955" w:rsidRPr="00B526AF" w:rsidRDefault="00475955">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14:paraId="097DB9F5" w14:textId="77777777" w:rsidR="00475955" w:rsidRPr="00B526AF" w:rsidRDefault="001F2C49">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B526AF">
        <w:rPr>
          <w:rFonts w:ascii="Palatino Linotype" w:eastAsia="Palatino Linotype" w:hAnsi="Palatino Linotype" w:cs="Palatino Linotype"/>
          <w:b/>
          <w:i/>
          <w:sz w:val="22"/>
          <w:szCs w:val="22"/>
        </w:rPr>
        <w:t>Artículo 161.</w:t>
      </w:r>
      <w:r w:rsidRPr="00B526AF">
        <w:rPr>
          <w:rFonts w:ascii="Palatino Linotype" w:eastAsia="Palatino Linotype" w:hAnsi="Palatino Linotype" w:cs="Palatino Linotype"/>
          <w:i/>
          <w:sz w:val="22"/>
          <w:szCs w:val="22"/>
        </w:rPr>
        <w:t xml:space="preserve"> </w:t>
      </w:r>
      <w:r w:rsidRPr="00B526AF">
        <w:rPr>
          <w:rFonts w:ascii="Palatino Linotype" w:eastAsia="Palatino Linotype" w:hAnsi="Palatino Linotype" w:cs="Palatino Linotype"/>
          <w:b/>
          <w:i/>
          <w:sz w:val="22"/>
          <w:szCs w:val="22"/>
          <w:u w:val="single"/>
        </w:rPr>
        <w:t>Cuando la información requerida por el solicitante ya esté disponible al público</w:t>
      </w:r>
      <w:r w:rsidRPr="00B526AF">
        <w:rPr>
          <w:rFonts w:ascii="Palatino Linotype" w:eastAsia="Palatino Linotype" w:hAnsi="Palatino Linotype" w:cs="Palatino Linotype"/>
          <w:i/>
          <w:sz w:val="22"/>
          <w:szCs w:val="22"/>
        </w:rPr>
        <w:t xml:space="preserve"> en medios impresos, tales como libros, compendios, trípticos, registros públicos, </w:t>
      </w:r>
      <w:r w:rsidRPr="00B526AF">
        <w:rPr>
          <w:rFonts w:ascii="Palatino Linotype" w:eastAsia="Palatino Linotype" w:hAnsi="Palatino Linotype" w:cs="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3753B0B7" w14:textId="77777777" w:rsidR="00475955" w:rsidRPr="00B526AF" w:rsidRDefault="00475955">
      <w:pPr>
        <w:pBdr>
          <w:top w:val="nil"/>
          <w:left w:val="nil"/>
          <w:bottom w:val="nil"/>
          <w:right w:val="nil"/>
          <w:between w:val="nil"/>
        </w:pBdr>
        <w:spacing w:line="360" w:lineRule="auto"/>
        <w:jc w:val="both"/>
        <w:rPr>
          <w:rFonts w:ascii="Palatino Linotype" w:eastAsia="Palatino Linotype" w:hAnsi="Palatino Linotype" w:cs="Palatino Linotype"/>
        </w:rPr>
      </w:pPr>
    </w:p>
    <w:p w14:paraId="20AF259D" w14:textId="77777777" w:rsidR="00475955" w:rsidRPr="00B526AF" w:rsidRDefault="001F2C49">
      <w:pPr>
        <w:pBdr>
          <w:top w:val="nil"/>
          <w:left w:val="nil"/>
          <w:bottom w:val="nil"/>
          <w:right w:val="nil"/>
          <w:between w:val="nil"/>
        </w:pBd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De los artículos transcritos se establecen las características que debe tener la información desde el momento de su generación, publicación y entrega; de igual manera se contempla el procedimiento a seguir por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A42B64C" w14:textId="77777777" w:rsidR="00475955" w:rsidRPr="00B526AF" w:rsidRDefault="00475955">
      <w:pPr>
        <w:pBdr>
          <w:top w:val="nil"/>
          <w:left w:val="nil"/>
          <w:bottom w:val="nil"/>
          <w:right w:val="nil"/>
          <w:between w:val="nil"/>
        </w:pBdr>
        <w:spacing w:line="360" w:lineRule="auto"/>
        <w:jc w:val="both"/>
        <w:rPr>
          <w:rFonts w:ascii="Palatino Linotype" w:eastAsia="Palatino Linotype" w:hAnsi="Palatino Linotype" w:cs="Palatino Linotype"/>
        </w:rPr>
      </w:pPr>
    </w:p>
    <w:p w14:paraId="6C587FA3" w14:textId="77777777" w:rsidR="00475955" w:rsidRPr="00B526AF" w:rsidRDefault="001F2C49">
      <w:pPr>
        <w:numPr>
          <w:ilvl w:val="0"/>
          <w:numId w:val="5"/>
        </w:numPr>
        <w:pBdr>
          <w:top w:val="nil"/>
          <w:left w:val="nil"/>
          <w:bottom w:val="nil"/>
          <w:right w:val="nil"/>
          <w:between w:val="nil"/>
        </w:pBdr>
        <w:ind w:left="1134" w:hanging="567"/>
        <w:jc w:val="both"/>
        <w:rPr>
          <w:rFonts w:ascii="Palatino Linotype" w:eastAsia="Palatino Linotype" w:hAnsi="Palatino Linotype" w:cs="Palatino Linotype"/>
        </w:rPr>
      </w:pPr>
      <w:r w:rsidRPr="00B526AF">
        <w:rPr>
          <w:rFonts w:ascii="Palatino Linotype" w:eastAsia="Palatino Linotype" w:hAnsi="Palatino Linotype" w:cs="Palatino Linotype"/>
        </w:rPr>
        <w:t>La fuente</w:t>
      </w:r>
    </w:p>
    <w:p w14:paraId="1A257E23" w14:textId="77777777" w:rsidR="00475955" w:rsidRPr="00B526AF" w:rsidRDefault="001F2C49">
      <w:pPr>
        <w:numPr>
          <w:ilvl w:val="0"/>
          <w:numId w:val="5"/>
        </w:numPr>
        <w:pBdr>
          <w:top w:val="nil"/>
          <w:left w:val="nil"/>
          <w:bottom w:val="nil"/>
          <w:right w:val="nil"/>
          <w:between w:val="nil"/>
        </w:pBdr>
        <w:ind w:left="1134" w:hanging="567"/>
        <w:jc w:val="both"/>
        <w:rPr>
          <w:rFonts w:ascii="Palatino Linotype" w:eastAsia="Palatino Linotype" w:hAnsi="Palatino Linotype" w:cs="Palatino Linotype"/>
        </w:rPr>
      </w:pPr>
      <w:r w:rsidRPr="00B526AF">
        <w:rPr>
          <w:rFonts w:ascii="Palatino Linotype" w:eastAsia="Palatino Linotype" w:hAnsi="Palatino Linotype" w:cs="Palatino Linotype"/>
        </w:rPr>
        <w:t>El lugar y</w:t>
      </w:r>
    </w:p>
    <w:p w14:paraId="2B64CA2D" w14:textId="77777777" w:rsidR="00475955" w:rsidRPr="00B526AF" w:rsidRDefault="001F2C49">
      <w:pPr>
        <w:numPr>
          <w:ilvl w:val="0"/>
          <w:numId w:val="5"/>
        </w:numPr>
        <w:pBdr>
          <w:top w:val="nil"/>
          <w:left w:val="nil"/>
          <w:bottom w:val="nil"/>
          <w:right w:val="nil"/>
          <w:between w:val="nil"/>
        </w:pBdr>
        <w:ind w:left="1134" w:hanging="567"/>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La forma </w:t>
      </w:r>
    </w:p>
    <w:p w14:paraId="54ACE26F" w14:textId="77777777" w:rsidR="00475955" w:rsidRPr="00B526AF" w:rsidRDefault="00475955">
      <w:pPr>
        <w:pBdr>
          <w:top w:val="nil"/>
          <w:left w:val="nil"/>
          <w:bottom w:val="nil"/>
          <w:right w:val="nil"/>
          <w:between w:val="nil"/>
        </w:pBdr>
        <w:spacing w:line="360" w:lineRule="auto"/>
        <w:jc w:val="both"/>
        <w:rPr>
          <w:rFonts w:ascii="Palatino Linotype" w:eastAsia="Palatino Linotype" w:hAnsi="Palatino Linotype" w:cs="Palatino Linotype"/>
        </w:rPr>
      </w:pPr>
    </w:p>
    <w:p w14:paraId="07779E1C" w14:textId="77777777" w:rsidR="00475955" w:rsidRPr="00B526AF" w:rsidRDefault="001F2C49">
      <w:pPr>
        <w:pBdr>
          <w:top w:val="nil"/>
          <w:left w:val="nil"/>
          <w:bottom w:val="nil"/>
          <w:right w:val="nil"/>
          <w:between w:val="nil"/>
        </w:pBd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lastRenderedPageBreak/>
        <w:t>Asimismo, se establece que la fuente de la información deberá ser:</w:t>
      </w:r>
    </w:p>
    <w:p w14:paraId="12F94D39" w14:textId="77777777" w:rsidR="00475955" w:rsidRPr="00B526AF" w:rsidRDefault="001F2C49">
      <w:pPr>
        <w:numPr>
          <w:ilvl w:val="0"/>
          <w:numId w:val="6"/>
        </w:numPr>
        <w:pBdr>
          <w:top w:val="nil"/>
          <w:left w:val="nil"/>
          <w:bottom w:val="nil"/>
          <w:right w:val="nil"/>
          <w:between w:val="nil"/>
        </w:pBdr>
        <w:ind w:left="1134" w:hanging="556"/>
        <w:jc w:val="both"/>
        <w:rPr>
          <w:rFonts w:ascii="Palatino Linotype" w:eastAsia="Palatino Linotype" w:hAnsi="Palatino Linotype" w:cs="Palatino Linotype"/>
        </w:rPr>
      </w:pPr>
      <w:r w:rsidRPr="00B526AF">
        <w:rPr>
          <w:rFonts w:ascii="Palatino Linotype" w:eastAsia="Palatino Linotype" w:hAnsi="Palatino Linotype" w:cs="Palatino Linotype"/>
        </w:rPr>
        <w:t>Precisa</w:t>
      </w:r>
    </w:p>
    <w:p w14:paraId="01144E44" w14:textId="77777777" w:rsidR="00475955" w:rsidRPr="00B526AF" w:rsidRDefault="001F2C49">
      <w:pPr>
        <w:numPr>
          <w:ilvl w:val="0"/>
          <w:numId w:val="6"/>
        </w:numPr>
        <w:pBdr>
          <w:top w:val="nil"/>
          <w:left w:val="nil"/>
          <w:bottom w:val="nil"/>
          <w:right w:val="nil"/>
          <w:between w:val="nil"/>
        </w:pBdr>
        <w:ind w:left="1134" w:hanging="556"/>
        <w:jc w:val="both"/>
        <w:rPr>
          <w:rFonts w:ascii="Palatino Linotype" w:eastAsia="Palatino Linotype" w:hAnsi="Palatino Linotype" w:cs="Palatino Linotype"/>
        </w:rPr>
      </w:pPr>
      <w:r w:rsidRPr="00B526AF">
        <w:rPr>
          <w:rFonts w:ascii="Palatino Linotype" w:eastAsia="Palatino Linotype" w:hAnsi="Palatino Linotype" w:cs="Palatino Linotype"/>
        </w:rPr>
        <w:t>Concreta</w:t>
      </w:r>
    </w:p>
    <w:p w14:paraId="030B2FEB" w14:textId="77777777" w:rsidR="00475955" w:rsidRPr="00B526AF" w:rsidRDefault="001F2C49">
      <w:pPr>
        <w:numPr>
          <w:ilvl w:val="0"/>
          <w:numId w:val="6"/>
        </w:numPr>
        <w:pBdr>
          <w:top w:val="nil"/>
          <w:left w:val="nil"/>
          <w:bottom w:val="nil"/>
          <w:right w:val="nil"/>
          <w:between w:val="nil"/>
        </w:pBdr>
        <w:ind w:left="1134" w:hanging="556"/>
        <w:jc w:val="both"/>
        <w:rPr>
          <w:rFonts w:ascii="Palatino Linotype" w:eastAsia="Palatino Linotype" w:hAnsi="Palatino Linotype" w:cs="Palatino Linotype"/>
        </w:rPr>
      </w:pPr>
      <w:r w:rsidRPr="00B526AF">
        <w:rPr>
          <w:rFonts w:ascii="Palatino Linotype" w:eastAsia="Palatino Linotype" w:hAnsi="Palatino Linotype" w:cs="Palatino Linotype"/>
          <w:b/>
        </w:rPr>
        <w:t>Y no debe implicar que el solicitante realice una búsqueda en toda la información que se encuentre disponible</w:t>
      </w:r>
      <w:r w:rsidRPr="00B526AF">
        <w:rPr>
          <w:rFonts w:ascii="Palatino Linotype" w:eastAsia="Palatino Linotype" w:hAnsi="Palatino Linotype" w:cs="Palatino Linotype"/>
        </w:rPr>
        <w:t>.</w:t>
      </w:r>
    </w:p>
    <w:p w14:paraId="5F39FA1A" w14:textId="77777777" w:rsidR="00475955" w:rsidRPr="00B526AF" w:rsidRDefault="00475955">
      <w:pPr>
        <w:pBdr>
          <w:top w:val="nil"/>
          <w:left w:val="nil"/>
          <w:bottom w:val="nil"/>
          <w:right w:val="nil"/>
          <w:between w:val="nil"/>
        </w:pBdr>
        <w:spacing w:line="360" w:lineRule="auto"/>
        <w:jc w:val="both"/>
        <w:rPr>
          <w:rFonts w:ascii="Palatino Linotype" w:eastAsia="Palatino Linotype" w:hAnsi="Palatino Linotype" w:cs="Palatino Linotype"/>
        </w:rPr>
      </w:pPr>
    </w:p>
    <w:p w14:paraId="4E3C9178" w14:textId="77777777" w:rsidR="00475955" w:rsidRPr="00B526AF" w:rsidRDefault="001F2C49">
      <w:pPr>
        <w:pBdr>
          <w:top w:val="nil"/>
          <w:left w:val="nil"/>
          <w:bottom w:val="nil"/>
          <w:right w:val="nil"/>
          <w:between w:val="nil"/>
        </w:pBd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Imperativos legales que establecen el procedimiento que debe seguir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no acontece; ello porque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se limitó a indicar la dirección electrónica de su página oficial, sin que señalara puntualmente el procedimiento que el particular debe seguir para acceder a la información requerida, lo que implica que  la fuente no es precisa y no es concreta, sino por el contrario ésta resulta abstracta y genera incertidumbre entre el cúmulo de información que se observa en la página; y por último, su fuente implica que el solicitante realice una búsqueda en toda la información que se encuentra disponible  a fin de localizar únicamente las correspondientes a las licencias de funcionamiento, lo que a todas luces transgrede el numeral citado.</w:t>
      </w:r>
    </w:p>
    <w:p w14:paraId="04A587E8" w14:textId="77777777" w:rsidR="00475955" w:rsidRPr="00B526AF" w:rsidRDefault="00475955">
      <w:pPr>
        <w:pBdr>
          <w:top w:val="nil"/>
          <w:left w:val="nil"/>
          <w:bottom w:val="nil"/>
          <w:right w:val="nil"/>
          <w:between w:val="nil"/>
        </w:pBdr>
        <w:spacing w:line="360" w:lineRule="auto"/>
        <w:jc w:val="both"/>
        <w:rPr>
          <w:rFonts w:ascii="Palatino Linotype" w:eastAsia="Palatino Linotype" w:hAnsi="Palatino Linotype" w:cs="Palatino Linotype"/>
        </w:rPr>
      </w:pPr>
    </w:p>
    <w:p w14:paraId="5D5B848E"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También de la respuesta, se advierte que la única área del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que se pronunció fue la Dirección de Desarrollo Económico y Mejora Regulatoria, quien en efecto es competente </w:t>
      </w:r>
      <w:proofErr w:type="gramStart"/>
      <w:r w:rsidRPr="00B526AF">
        <w:rPr>
          <w:rFonts w:ascii="Palatino Linotype" w:eastAsia="Palatino Linotype" w:hAnsi="Palatino Linotype" w:cs="Palatino Linotype"/>
        </w:rPr>
        <w:t>para  conocer</w:t>
      </w:r>
      <w:proofErr w:type="gramEnd"/>
      <w:r w:rsidRPr="00B526AF">
        <w:rPr>
          <w:rFonts w:ascii="Palatino Linotype" w:eastAsia="Palatino Linotype" w:hAnsi="Palatino Linotype" w:cs="Palatino Linotype"/>
        </w:rPr>
        <w:t xml:space="preserve"> de la in formación pues dentro de sus atribuciones se advierten las siguientes: </w:t>
      </w:r>
    </w:p>
    <w:p w14:paraId="1AF91B0C" w14:textId="77777777" w:rsidR="00475955" w:rsidRPr="00B526AF" w:rsidRDefault="00475955">
      <w:pPr>
        <w:spacing w:line="360" w:lineRule="auto"/>
        <w:jc w:val="both"/>
        <w:rPr>
          <w:rFonts w:ascii="Palatino Linotype" w:eastAsia="Palatino Linotype" w:hAnsi="Palatino Linotype" w:cs="Palatino Linotype"/>
        </w:rPr>
      </w:pPr>
    </w:p>
    <w:p w14:paraId="618F5E91"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Ley Orgánica Municipal del Estado de México:</w:t>
      </w:r>
    </w:p>
    <w:p w14:paraId="542BDE41" w14:textId="77777777" w:rsidR="00475955" w:rsidRPr="00B526AF" w:rsidRDefault="00475955">
      <w:pPr>
        <w:spacing w:line="360" w:lineRule="auto"/>
        <w:jc w:val="both"/>
        <w:rPr>
          <w:rFonts w:ascii="Palatino Linotype" w:eastAsia="Palatino Linotype" w:hAnsi="Palatino Linotype" w:cs="Palatino Linotype"/>
        </w:rPr>
      </w:pPr>
    </w:p>
    <w:p w14:paraId="31FA4DF0" w14:textId="77777777" w:rsidR="00475955" w:rsidRPr="00B526AF" w:rsidRDefault="001F2C49">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lastRenderedPageBreak/>
        <w:t xml:space="preserve">“Artículo 96 </w:t>
      </w:r>
      <w:proofErr w:type="spellStart"/>
      <w:proofErr w:type="gramStart"/>
      <w:r w:rsidRPr="00B526AF">
        <w:rPr>
          <w:rFonts w:ascii="Palatino Linotype" w:eastAsia="Palatino Linotype" w:hAnsi="Palatino Linotype" w:cs="Palatino Linotype"/>
          <w:i/>
          <w:sz w:val="22"/>
          <w:szCs w:val="22"/>
        </w:rPr>
        <w:t>Quáter</w:t>
      </w:r>
      <w:proofErr w:type="spellEnd"/>
      <w:r w:rsidRPr="00B526AF">
        <w:rPr>
          <w:rFonts w:ascii="Palatino Linotype" w:eastAsia="Palatino Linotype" w:hAnsi="Palatino Linotype" w:cs="Palatino Linotype"/>
          <w:i/>
          <w:sz w:val="22"/>
          <w:szCs w:val="22"/>
        </w:rPr>
        <w:t>.-</w:t>
      </w:r>
      <w:proofErr w:type="gramEnd"/>
      <w:r w:rsidRPr="00B526AF">
        <w:rPr>
          <w:rFonts w:ascii="Palatino Linotype" w:eastAsia="Palatino Linotype" w:hAnsi="Palatino Linotype" w:cs="Palatino Linotype"/>
          <w:i/>
          <w:sz w:val="22"/>
          <w:szCs w:val="22"/>
        </w:rPr>
        <w:t xml:space="preserve"> El Titular de la Dirección de Desarrollo Económico Municipal o el Titular de la Unidad Administrativa equivalente, tiene las siguientes atribuciones: </w:t>
      </w:r>
    </w:p>
    <w:p w14:paraId="6A8CC05C" w14:textId="77777777" w:rsidR="00475955" w:rsidRPr="00B526AF" w:rsidRDefault="001F2C49">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p>
    <w:p w14:paraId="34BC70E6" w14:textId="77777777" w:rsidR="00475955" w:rsidRPr="00B526AF" w:rsidRDefault="001F2C49">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 XVIII. </w:t>
      </w:r>
      <w:r w:rsidRPr="00B526AF">
        <w:rPr>
          <w:rFonts w:ascii="Palatino Linotype" w:eastAsia="Palatino Linotype" w:hAnsi="Palatino Linotype" w:cs="Palatino Linotype"/>
          <w:b/>
          <w:i/>
          <w:sz w:val="22"/>
          <w:szCs w:val="22"/>
        </w:rPr>
        <w:t>Conducir la coordinación interinstitucional de las dependencias municipales a las que corresponda conocer sobre el otorgamiento de</w:t>
      </w:r>
      <w:r w:rsidRPr="00B526AF">
        <w:rPr>
          <w:rFonts w:ascii="Palatino Linotype" w:eastAsia="Palatino Linotype" w:hAnsi="Palatino Linotype" w:cs="Palatino Linotype"/>
          <w:i/>
          <w:sz w:val="22"/>
          <w:szCs w:val="22"/>
        </w:rPr>
        <w:t xml:space="preserve"> permisos y </w:t>
      </w:r>
      <w:r w:rsidRPr="00B526AF">
        <w:rPr>
          <w:rFonts w:ascii="Palatino Linotype" w:eastAsia="Palatino Linotype" w:hAnsi="Palatino Linotype" w:cs="Palatino Linotype"/>
          <w:b/>
          <w:i/>
          <w:sz w:val="22"/>
          <w:szCs w:val="22"/>
        </w:rPr>
        <w:t>licencias para la apertura y funcionamiento de unidades económicas;</w:t>
      </w:r>
      <w:r w:rsidRPr="00B526AF">
        <w:rPr>
          <w:rFonts w:ascii="Palatino Linotype" w:eastAsia="Palatino Linotype" w:hAnsi="Palatino Linotype" w:cs="Palatino Linotype"/>
          <w:i/>
          <w:sz w:val="22"/>
          <w:szCs w:val="22"/>
        </w:rPr>
        <w:t xml:space="preserve"> </w:t>
      </w:r>
    </w:p>
    <w:p w14:paraId="3C43FB7A" w14:textId="77777777" w:rsidR="00475955" w:rsidRPr="00B526AF" w:rsidRDefault="001F2C49">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Para tal efecto, deberá garantizar que el otorgamiento de la licencia no esté sujeto al pago de contribuciones ni a donación alguna; la exigencia de cargas tributarias, dádivas o cualquier otro concepto que condicione su expedición será sancionada en términos de la Ley de Responsabilidades Administrativas del Estado de México y Municipios; </w:t>
      </w:r>
    </w:p>
    <w:p w14:paraId="17133B95" w14:textId="77777777" w:rsidR="00475955" w:rsidRPr="00B526AF" w:rsidRDefault="001F2C49">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XIX. Operar y actualizar el Registro Municipal de Unidades Económicas de los permisos o licencias de funcionamiento otorgadas a las unidades económicas respectivas</w:t>
      </w:r>
      <w:r w:rsidRPr="00B526AF">
        <w:rPr>
          <w:rFonts w:ascii="Palatino Linotype" w:eastAsia="Palatino Linotype" w:hAnsi="Palatino Linotype" w:cs="Palatino Linotype"/>
          <w:i/>
          <w:sz w:val="22"/>
          <w:szCs w:val="22"/>
        </w:rPr>
        <w:t>, así como remitir dentro de los cinco días hábiles siguientes los datos generados al Sistema que al efecto integre la Secretaría de Desarrollo Económico, a la Secretaría de Seguridad y a la Fiscalía General de Justicia del Estado de México, la información respectiva</w:t>
      </w:r>
      <w:proofErr w:type="gramStart"/>
      <w:r w:rsidRPr="00B526AF">
        <w:rPr>
          <w:rFonts w:ascii="Palatino Linotype" w:eastAsia="Palatino Linotype" w:hAnsi="Palatino Linotype" w:cs="Palatino Linotype"/>
          <w:i/>
          <w:sz w:val="22"/>
          <w:szCs w:val="22"/>
        </w:rPr>
        <w:t>…”(</w:t>
      </w:r>
      <w:proofErr w:type="gramEnd"/>
      <w:r w:rsidRPr="00B526AF">
        <w:rPr>
          <w:rFonts w:ascii="Palatino Linotype" w:eastAsia="Palatino Linotype" w:hAnsi="Palatino Linotype" w:cs="Palatino Linotype"/>
          <w:i/>
          <w:sz w:val="22"/>
          <w:szCs w:val="22"/>
        </w:rPr>
        <w:t>Sic)</w:t>
      </w:r>
    </w:p>
    <w:p w14:paraId="57E188D0" w14:textId="77777777" w:rsidR="00475955" w:rsidRPr="00B526AF" w:rsidRDefault="00475955">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14:paraId="024A6A8F"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Sin embargo se estima que el </w:t>
      </w:r>
      <w:r w:rsidRPr="00B526AF">
        <w:rPr>
          <w:rFonts w:ascii="Palatino Linotype" w:eastAsia="Palatino Linotype" w:hAnsi="Palatino Linotype" w:cs="Palatino Linotype"/>
          <w:b/>
        </w:rPr>
        <w:t>Ayuntamiento de Otumba</w:t>
      </w:r>
      <w:r w:rsidRPr="00B526AF">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7BE69F00" w14:textId="77777777" w:rsidR="00475955" w:rsidRPr="00B526AF" w:rsidRDefault="001F2C49">
      <w:pPr>
        <w:spacing w:before="240" w:after="240"/>
        <w:ind w:left="709" w:right="902"/>
        <w:jc w:val="both"/>
        <w:rPr>
          <w:rFonts w:ascii="Palatino Linotype" w:eastAsia="Palatino Linotype" w:hAnsi="Palatino Linotype" w:cs="Palatino Linotype"/>
          <w:i/>
          <w:sz w:val="20"/>
          <w:szCs w:val="20"/>
        </w:rPr>
      </w:pPr>
      <w:r w:rsidRPr="00B526AF">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596EC5E7" w14:textId="77777777" w:rsidR="00475955" w:rsidRPr="00B526AF" w:rsidRDefault="001F2C49">
      <w:pPr>
        <w:shd w:val="clear" w:color="auto" w:fill="FFFFFF"/>
        <w:spacing w:before="240" w:after="240" w:line="360" w:lineRule="auto"/>
        <w:jc w:val="both"/>
      </w:pPr>
      <w:r w:rsidRPr="00B526AF">
        <w:rPr>
          <w:rFonts w:ascii="Palatino Linotype" w:eastAsia="Palatino Linotype" w:hAnsi="Palatino Linotype" w:cs="Palatino Linotype"/>
        </w:rPr>
        <w:t xml:space="preserve">En este orden de ideas, se advierte que efectivamente la Unidad de Transparencia no cumplió con lo expresado en el artículo 162 de la Ley de Transparencia y Acceso </w:t>
      </w:r>
      <w:r w:rsidRPr="00B526AF">
        <w:rPr>
          <w:rFonts w:ascii="Palatino Linotype" w:eastAsia="Palatino Linotype" w:hAnsi="Palatino Linotype" w:cs="Palatino Linotype"/>
        </w:rPr>
        <w:lastRenderedPageBreak/>
        <w:t>a la Información Pública del Estado de México y Municipios, el cual menciona lo siguiente:</w:t>
      </w:r>
    </w:p>
    <w:p w14:paraId="09AB05EA" w14:textId="77777777" w:rsidR="00475955" w:rsidRPr="00B526AF" w:rsidRDefault="001F2C49">
      <w:pPr>
        <w:shd w:val="clear" w:color="auto" w:fill="FFFFFF"/>
        <w:spacing w:after="240" w:line="276" w:lineRule="auto"/>
        <w:ind w:left="993" w:right="1041"/>
        <w:jc w:val="both"/>
      </w:pPr>
      <w:r w:rsidRPr="00B526AF">
        <w:rPr>
          <w:rFonts w:ascii="Palatino Linotype" w:eastAsia="Palatino Linotype" w:hAnsi="Palatino Linotype" w:cs="Palatino Linotype"/>
          <w:b/>
          <w:i/>
          <w:sz w:val="22"/>
          <w:szCs w:val="22"/>
        </w:rPr>
        <w:t>“Artículo 162.</w:t>
      </w:r>
      <w:r w:rsidRPr="00B526AF">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010E9111" w14:textId="77777777" w:rsidR="00475955" w:rsidRPr="00B526AF" w:rsidRDefault="001F2C49">
      <w:pPr>
        <w:shd w:val="clear" w:color="auto" w:fill="FFFFFF"/>
        <w:spacing w:line="360" w:lineRule="auto"/>
        <w:jc w:val="both"/>
      </w:pPr>
      <w:r w:rsidRPr="00B526AF">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B526AF">
        <w:rPr>
          <w:rFonts w:ascii="Palatino Linotype" w:eastAsia="Palatino Linotype" w:hAnsi="Palatino Linotype" w:cs="Palatino Linotype"/>
          <w:vertAlign w:val="superscript"/>
        </w:rPr>
        <w:footnoteReference w:id="1"/>
      </w:r>
      <w:r w:rsidRPr="00B526AF">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26DFEF5A" w14:textId="77777777" w:rsidR="00475955" w:rsidRPr="00B526AF" w:rsidRDefault="00475955">
      <w:pPr>
        <w:shd w:val="clear" w:color="auto" w:fill="FFFFFF"/>
        <w:ind w:left="993" w:right="1041"/>
        <w:jc w:val="both"/>
        <w:rPr>
          <w:rFonts w:ascii="Palatino Linotype" w:eastAsia="Palatino Linotype" w:hAnsi="Palatino Linotype" w:cs="Palatino Linotype"/>
          <w:b/>
          <w:i/>
          <w:sz w:val="22"/>
          <w:szCs w:val="22"/>
        </w:rPr>
      </w:pPr>
    </w:p>
    <w:p w14:paraId="77EE0FAF" w14:textId="77777777" w:rsidR="00475955" w:rsidRPr="00B526AF" w:rsidRDefault="001F2C49">
      <w:pPr>
        <w:shd w:val="clear" w:color="auto" w:fill="FFFFFF"/>
        <w:ind w:left="993" w:right="1041"/>
        <w:jc w:val="both"/>
      </w:pPr>
      <w:r w:rsidRPr="00B526AF">
        <w:rPr>
          <w:rFonts w:ascii="Palatino Linotype" w:eastAsia="Palatino Linotype" w:hAnsi="Palatino Linotype" w:cs="Palatino Linotype"/>
          <w:b/>
          <w:i/>
          <w:sz w:val="22"/>
          <w:szCs w:val="22"/>
        </w:rPr>
        <w:t>“Artículo 160. </w:t>
      </w:r>
      <w:r w:rsidRPr="00B526AF">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2DC9690" w14:textId="77777777" w:rsidR="00475955" w:rsidRPr="00B526AF" w:rsidRDefault="001F2C49">
      <w:pPr>
        <w:shd w:val="clear" w:color="auto" w:fill="FFFFFF"/>
        <w:ind w:left="993" w:right="1041"/>
        <w:jc w:val="both"/>
      </w:pPr>
      <w:r w:rsidRPr="00B526AF">
        <w:rPr>
          <w:rFonts w:ascii="Palatino Linotype" w:eastAsia="Palatino Linotype" w:hAnsi="Palatino Linotype" w:cs="Palatino Linotype"/>
          <w:i/>
          <w:sz w:val="22"/>
          <w:szCs w:val="22"/>
        </w:rPr>
        <w:lastRenderedPageBreak/>
        <w:t>En caso que la información solicitada consista en bases de datos se deberá privilegiar la entrega de la misma en formatos abiertos.</w:t>
      </w:r>
    </w:p>
    <w:p w14:paraId="6388D66C" w14:textId="77777777" w:rsidR="00475955" w:rsidRPr="00B526AF" w:rsidRDefault="001F2C49">
      <w:pPr>
        <w:shd w:val="clear" w:color="auto" w:fill="FFFFFF"/>
        <w:ind w:left="993" w:right="1041"/>
        <w:jc w:val="both"/>
      </w:pPr>
      <w:r w:rsidRPr="00B526AF">
        <w:rPr>
          <w:rFonts w:ascii="Palatino Linotype" w:eastAsia="Palatino Linotype" w:hAnsi="Palatino Linotype" w:cs="Palatino Linotype"/>
          <w:b/>
          <w:i/>
          <w:sz w:val="22"/>
          <w:szCs w:val="22"/>
        </w:rPr>
        <w:t>Artículo 163.</w:t>
      </w:r>
      <w:r w:rsidRPr="00B526AF">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1396CB5A" w14:textId="77777777" w:rsidR="00475955" w:rsidRPr="00B526AF" w:rsidRDefault="001F2C49">
      <w:pPr>
        <w:shd w:val="clear" w:color="auto" w:fill="FFFFFF"/>
        <w:ind w:left="993" w:right="1041"/>
        <w:jc w:val="both"/>
      </w:pPr>
      <w:r w:rsidRPr="00B526AF">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B03E535" w14:textId="77777777" w:rsidR="00475955" w:rsidRPr="00B526AF" w:rsidRDefault="001F2C49">
      <w:pPr>
        <w:shd w:val="clear" w:color="auto" w:fill="FFFFFF"/>
        <w:ind w:left="993" w:right="1041"/>
        <w:jc w:val="both"/>
      </w:pPr>
      <w:r w:rsidRPr="00B526AF">
        <w:rPr>
          <w:rFonts w:ascii="Palatino Linotype" w:eastAsia="Palatino Linotype" w:hAnsi="Palatino Linotype" w:cs="Palatino Linotype"/>
          <w:b/>
          <w:i/>
          <w:sz w:val="22"/>
          <w:szCs w:val="22"/>
        </w:rPr>
        <w:t>Artículo 165.</w:t>
      </w:r>
      <w:r w:rsidRPr="00B526AF">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7F7CEDDA" w14:textId="77777777" w:rsidR="00475955" w:rsidRPr="00B526AF" w:rsidRDefault="001F2C49">
      <w:pPr>
        <w:shd w:val="clear" w:color="auto" w:fill="FFFFFF"/>
        <w:ind w:left="993" w:right="1041"/>
        <w:jc w:val="both"/>
      </w:pPr>
      <w:r w:rsidRPr="00B526AF">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76BDCEF6" w14:textId="77777777" w:rsidR="00475955" w:rsidRPr="00B526AF" w:rsidRDefault="001F2C49">
      <w:pPr>
        <w:shd w:val="clear" w:color="auto" w:fill="FFFFFF"/>
        <w:spacing w:after="240"/>
        <w:ind w:left="993" w:right="1041"/>
        <w:jc w:val="both"/>
      </w:pPr>
      <w:r w:rsidRPr="00B526AF">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 (Sic)</w:t>
      </w:r>
    </w:p>
    <w:p w14:paraId="6AB99C7D" w14:textId="77777777" w:rsidR="00475955" w:rsidRPr="00B526AF" w:rsidRDefault="001F2C49">
      <w:pPr>
        <w:shd w:val="clear" w:color="auto" w:fill="FFFFFF"/>
        <w:spacing w:before="240" w:after="240" w:line="360" w:lineRule="auto"/>
        <w:jc w:val="both"/>
      </w:pPr>
      <w:r w:rsidRPr="00B526AF">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B526AF">
        <w:rPr>
          <w:rFonts w:ascii="Palatino Linotype" w:eastAsia="Palatino Linotype" w:hAnsi="Palatino Linotype" w:cs="Palatino Linotype"/>
          <w:vertAlign w:val="superscript"/>
        </w:rPr>
        <w:footnoteReference w:id="2"/>
      </w:r>
      <w:r w:rsidRPr="00B526AF">
        <w:rPr>
          <w:rFonts w:ascii="Palatino Linotype" w:eastAsia="Palatino Linotype" w:hAnsi="Palatino Linotype" w:cs="Palatino Linotype"/>
        </w:rPr>
        <w:t xml:space="preserve">, situación que no se advierte en el presente caso, toda vez que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a través de su Unidad de Transparencia 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w:t>
      </w:r>
      <w:r w:rsidRPr="00B526AF">
        <w:rPr>
          <w:rFonts w:ascii="Palatino Linotype" w:eastAsia="Palatino Linotype" w:hAnsi="Palatino Linotype" w:cs="Palatino Linotype"/>
        </w:rPr>
        <w:lastRenderedPageBreak/>
        <w:t>las áreas competentes la solicitud con el objetivo de brindar contestación al requerimiento.</w:t>
      </w:r>
    </w:p>
    <w:p w14:paraId="6DB5619E" w14:textId="77777777" w:rsidR="00475955" w:rsidRPr="00B526AF" w:rsidRDefault="001F2C49">
      <w:pPr>
        <w:spacing w:line="360" w:lineRule="auto"/>
        <w:ind w:right="51"/>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En mérito de lo anterior, se colige que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 como pudieran ser de manera enunciativa más no limitada, la Dirección de Reglamentos y Vía Pública del Ayuntamiento de Otumba, en términos de lo señalado por el artículo 109 fracciones VII, VIII y IX del Código Reglamentario del Ayuntamiento de Otumba del año 2022, que señalan:</w:t>
      </w:r>
    </w:p>
    <w:p w14:paraId="626ECE0D" w14:textId="77777777" w:rsidR="00475955" w:rsidRPr="00B526AF" w:rsidRDefault="00475955">
      <w:pPr>
        <w:spacing w:line="360" w:lineRule="auto"/>
        <w:ind w:right="51"/>
        <w:jc w:val="both"/>
        <w:rPr>
          <w:rFonts w:ascii="Palatino Linotype" w:eastAsia="Palatino Linotype" w:hAnsi="Palatino Linotype" w:cs="Palatino Linotype"/>
        </w:rPr>
      </w:pPr>
    </w:p>
    <w:p w14:paraId="4FE3B90A" w14:textId="77777777" w:rsidR="00475955" w:rsidRPr="00B526AF" w:rsidRDefault="001F2C49">
      <w:pPr>
        <w:shd w:val="clear" w:color="auto" w:fill="FFFFFF"/>
        <w:ind w:left="993" w:right="1041"/>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i/>
          <w:sz w:val="22"/>
          <w:szCs w:val="22"/>
        </w:rPr>
        <w:t>“</w:t>
      </w:r>
      <w:r w:rsidRPr="00B526AF">
        <w:rPr>
          <w:rFonts w:ascii="Palatino Linotype" w:eastAsia="Palatino Linotype" w:hAnsi="Palatino Linotype" w:cs="Palatino Linotype"/>
          <w:b/>
          <w:i/>
          <w:sz w:val="22"/>
          <w:szCs w:val="22"/>
        </w:rPr>
        <w:t>Artículo 109. Son atribuciones y facultades de la Dirección de Reglamentos y Vía Pública las Siguientes:</w:t>
      </w:r>
    </w:p>
    <w:p w14:paraId="6E3E992F" w14:textId="77777777" w:rsidR="00475955" w:rsidRPr="00B526AF" w:rsidRDefault="001F2C49">
      <w:pPr>
        <w:shd w:val="clear" w:color="auto" w:fill="FFFFFF"/>
        <w:ind w:left="993" w:right="104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p>
    <w:p w14:paraId="72879722" w14:textId="77777777" w:rsidR="00475955" w:rsidRPr="00B526AF" w:rsidRDefault="001F2C49">
      <w:pPr>
        <w:shd w:val="clear" w:color="auto" w:fill="FFFFFF"/>
        <w:ind w:left="993" w:right="1041"/>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VII. Expedir y revalidar las Licencias de funcionamiento a las personas físicas o jurídicas colectivas, que lo soliciten, previo cumplimiento de las disposiciones administrativas y legales establecidas para tal efecto</w:t>
      </w:r>
    </w:p>
    <w:p w14:paraId="56BDE551" w14:textId="77777777" w:rsidR="00475955" w:rsidRPr="00B526AF" w:rsidRDefault="001F2C49">
      <w:pPr>
        <w:shd w:val="clear" w:color="auto" w:fill="FFFFFF"/>
        <w:ind w:left="993" w:right="1041"/>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 xml:space="preserve">VIII. Resguardar y mantener actualizado el archivo de las Licencias de Funcionamiento </w:t>
      </w:r>
    </w:p>
    <w:p w14:paraId="4E1338E7" w14:textId="77777777" w:rsidR="00475955" w:rsidRPr="00B526AF" w:rsidRDefault="001F2C49">
      <w:pPr>
        <w:shd w:val="clear" w:color="auto" w:fill="FFFFFF"/>
        <w:ind w:left="993" w:right="1041"/>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IX. Elaborar las órdenes de pago que amparen el ingreso por concepto de apertura o refrendo anual por conceptos de otorgamientos de Licencias de Funcionamiento</w:t>
      </w:r>
    </w:p>
    <w:p w14:paraId="527AE603" w14:textId="77777777" w:rsidR="00475955" w:rsidRPr="00B526AF" w:rsidRDefault="001F2C49">
      <w:pPr>
        <w:shd w:val="clear" w:color="auto" w:fill="FFFFFF"/>
        <w:ind w:left="993" w:right="104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u w:val="single"/>
        </w:rPr>
        <w:t>X. Supervisar las actuaciones de los verificadores o inspectores de campo</w:t>
      </w:r>
      <w:r w:rsidRPr="00B526AF">
        <w:rPr>
          <w:rFonts w:ascii="Palatino Linotype" w:eastAsia="Palatino Linotype" w:hAnsi="Palatino Linotype" w:cs="Palatino Linotype"/>
          <w:i/>
          <w:sz w:val="22"/>
          <w:szCs w:val="22"/>
        </w:rPr>
        <w:t>” (Sic)</w:t>
      </w:r>
    </w:p>
    <w:p w14:paraId="4FD6D0BD" w14:textId="77777777" w:rsidR="00475955" w:rsidRPr="00B526AF" w:rsidRDefault="00475955">
      <w:pPr>
        <w:shd w:val="clear" w:color="auto" w:fill="FFFFFF"/>
        <w:ind w:left="993" w:right="1041"/>
        <w:jc w:val="both"/>
        <w:rPr>
          <w:rFonts w:ascii="Palatino Linotype" w:eastAsia="Palatino Linotype" w:hAnsi="Palatino Linotype" w:cs="Palatino Linotype"/>
          <w:i/>
          <w:sz w:val="22"/>
          <w:szCs w:val="22"/>
        </w:rPr>
      </w:pPr>
    </w:p>
    <w:p w14:paraId="7F12BFB8" w14:textId="77777777" w:rsidR="00475955" w:rsidRPr="00B526AF" w:rsidRDefault="001F2C49">
      <w:pPr>
        <w:spacing w:line="360" w:lineRule="auto"/>
        <w:jc w:val="both"/>
        <w:rPr>
          <w:rFonts w:ascii="Palatino Linotype" w:eastAsia="Palatino Linotype" w:hAnsi="Palatino Linotype" w:cs="Palatino Linotype"/>
          <w:b/>
        </w:rPr>
      </w:pPr>
      <w:r w:rsidRPr="00B526AF">
        <w:rPr>
          <w:rFonts w:ascii="Palatino Linotype" w:eastAsia="Palatino Linotype" w:hAnsi="Palatino Linotype" w:cs="Palatino Linotype"/>
        </w:rPr>
        <w:t>Ahora bien, respecto de los requerimientos del particular, relacionada con que se le hiciera entrega de una tabla, es de señalar que no están obligados a generar documentos ad hoc, en términos del criterio 03-17, expuesto por el Instituto Nacional de Transparencia, Acceso a la Información y Protección de Datos Personales, que dice:</w:t>
      </w:r>
      <w:r w:rsidRPr="00B526AF">
        <w:rPr>
          <w:rFonts w:ascii="Palatino Linotype" w:eastAsia="Palatino Linotype" w:hAnsi="Palatino Linotype" w:cs="Palatino Linotype"/>
          <w:b/>
        </w:rPr>
        <w:t xml:space="preserve"> </w:t>
      </w:r>
    </w:p>
    <w:p w14:paraId="0D51E69D" w14:textId="77777777" w:rsidR="00475955" w:rsidRPr="00B526AF" w:rsidRDefault="00475955">
      <w:pPr>
        <w:ind w:left="851" w:right="850"/>
        <w:jc w:val="both"/>
        <w:rPr>
          <w:rFonts w:ascii="Palatino Linotype" w:eastAsia="Palatino Linotype" w:hAnsi="Palatino Linotype" w:cs="Palatino Linotype"/>
        </w:rPr>
      </w:pPr>
    </w:p>
    <w:p w14:paraId="1A08D6C0" w14:textId="77777777" w:rsidR="00475955" w:rsidRPr="00B526AF" w:rsidRDefault="001F2C49">
      <w:pPr>
        <w:ind w:left="851" w:right="90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r w:rsidRPr="00B526AF">
        <w:rPr>
          <w:rFonts w:ascii="Palatino Linotype" w:eastAsia="Palatino Linotype" w:hAnsi="Palatino Linotype" w:cs="Palatino Linotype"/>
          <w:b/>
          <w:i/>
          <w:sz w:val="22"/>
          <w:szCs w:val="22"/>
        </w:rPr>
        <w:t>No existe obligación de elaborar documentos ad hoc para atender las solicitudes de acceso a la información.</w:t>
      </w:r>
      <w:r w:rsidRPr="00B526A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02342B0" w14:textId="77777777" w:rsidR="00475955" w:rsidRPr="00B526AF" w:rsidRDefault="001F2C49">
      <w:pPr>
        <w:ind w:left="851" w:right="90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Resoluciones: </w:t>
      </w:r>
    </w:p>
    <w:p w14:paraId="43C249F5" w14:textId="77777777" w:rsidR="00475955" w:rsidRPr="00B526AF" w:rsidRDefault="001F2C49">
      <w:pPr>
        <w:ind w:left="851" w:right="901"/>
        <w:jc w:val="both"/>
        <w:rPr>
          <w:rFonts w:ascii="Palatino Linotype" w:eastAsia="Palatino Linotype" w:hAnsi="Palatino Linotype" w:cs="Palatino Linotype"/>
          <w:i/>
          <w:sz w:val="22"/>
          <w:szCs w:val="22"/>
        </w:rPr>
      </w:pPr>
      <w:r w:rsidRPr="00B526AF">
        <w:rPr>
          <w:rFonts w:ascii="Noto Sans Symbols" w:eastAsia="Noto Sans Symbols" w:hAnsi="Noto Sans Symbols" w:cs="Noto Sans Symbols"/>
          <w:i/>
          <w:sz w:val="22"/>
          <w:szCs w:val="22"/>
        </w:rPr>
        <w:t>∙</w:t>
      </w:r>
      <w:r w:rsidRPr="00B526AF">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0F9C04B0" w14:textId="77777777" w:rsidR="00475955" w:rsidRPr="00B526AF" w:rsidRDefault="001F2C49">
      <w:pPr>
        <w:ind w:left="851" w:right="901"/>
        <w:jc w:val="both"/>
        <w:rPr>
          <w:rFonts w:ascii="Palatino Linotype" w:eastAsia="Palatino Linotype" w:hAnsi="Palatino Linotype" w:cs="Palatino Linotype"/>
          <w:i/>
          <w:sz w:val="22"/>
          <w:szCs w:val="22"/>
        </w:rPr>
      </w:pPr>
      <w:r w:rsidRPr="00B526AF">
        <w:rPr>
          <w:rFonts w:ascii="Noto Sans Symbols" w:eastAsia="Noto Sans Symbols" w:hAnsi="Noto Sans Symbols" w:cs="Noto Sans Symbols"/>
          <w:i/>
          <w:sz w:val="22"/>
          <w:szCs w:val="22"/>
        </w:rPr>
        <w:t>∙</w:t>
      </w:r>
      <w:r w:rsidRPr="00B526AF">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6F6C8EC1" w14:textId="77777777" w:rsidR="00475955" w:rsidRPr="00B526AF" w:rsidRDefault="001F2C49">
      <w:pPr>
        <w:ind w:left="851" w:right="901"/>
        <w:jc w:val="both"/>
        <w:rPr>
          <w:rFonts w:ascii="Palatino Linotype" w:eastAsia="Palatino Linotype" w:hAnsi="Palatino Linotype" w:cs="Palatino Linotype"/>
          <w:i/>
          <w:sz w:val="22"/>
          <w:szCs w:val="22"/>
        </w:rPr>
      </w:pPr>
      <w:r w:rsidRPr="00B526AF">
        <w:rPr>
          <w:rFonts w:ascii="Noto Sans Symbols" w:eastAsia="Noto Sans Symbols" w:hAnsi="Noto Sans Symbols" w:cs="Noto Sans Symbols"/>
          <w:i/>
          <w:sz w:val="22"/>
          <w:szCs w:val="22"/>
        </w:rPr>
        <w:t>∙</w:t>
      </w:r>
      <w:r w:rsidRPr="00B526AF">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B526AF">
        <w:rPr>
          <w:rFonts w:ascii="Palatino Linotype" w:eastAsia="Palatino Linotype" w:hAnsi="Palatino Linotype" w:cs="Palatino Linotype"/>
          <w:i/>
          <w:sz w:val="22"/>
          <w:szCs w:val="22"/>
        </w:rPr>
        <w:t>.”(</w:t>
      </w:r>
      <w:proofErr w:type="gramEnd"/>
      <w:r w:rsidRPr="00B526AF">
        <w:rPr>
          <w:rFonts w:ascii="Palatino Linotype" w:eastAsia="Palatino Linotype" w:hAnsi="Palatino Linotype" w:cs="Palatino Linotype"/>
          <w:i/>
          <w:sz w:val="22"/>
          <w:szCs w:val="22"/>
        </w:rPr>
        <w:t>Sic)</w:t>
      </w:r>
    </w:p>
    <w:p w14:paraId="32AD7282" w14:textId="77777777" w:rsidR="00475955" w:rsidRPr="00B526AF" w:rsidRDefault="00475955">
      <w:pPr>
        <w:spacing w:line="360" w:lineRule="auto"/>
        <w:jc w:val="both"/>
        <w:rPr>
          <w:rFonts w:ascii="Palatino Linotype" w:eastAsia="Palatino Linotype" w:hAnsi="Palatino Linotype" w:cs="Palatino Linotype"/>
        </w:rPr>
      </w:pPr>
    </w:p>
    <w:p w14:paraId="430EAA63"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Sin embargo la mayoría de los datos requeridos son considerados como obligación de transparencia, correspondientes a las Licencias de Funcionamiento, el Cobro realizado, Nombre del municipio, Nombre del titular, Actividad económica y Fecha de inicio de actividades,  ya que es criterio de este Organismo Garante, que el nombre del titular, nombre del municipio, vigencia, objeto o tipo y domicilio del establecimiento, es información que es considerada como pública, por así determinarlo el artículo 92 fracción XXXII, de la Ley de la Materia, que señala:</w:t>
      </w:r>
    </w:p>
    <w:p w14:paraId="24AB648B" w14:textId="77777777" w:rsidR="00475955" w:rsidRPr="00B526AF" w:rsidRDefault="00475955">
      <w:pPr>
        <w:spacing w:after="120" w:line="360" w:lineRule="auto"/>
        <w:jc w:val="both"/>
        <w:rPr>
          <w:rFonts w:ascii="Palatino Linotype" w:eastAsia="Palatino Linotype" w:hAnsi="Palatino Linotype" w:cs="Palatino Linotype"/>
        </w:rPr>
      </w:pPr>
    </w:p>
    <w:p w14:paraId="5E3CF466" w14:textId="77777777" w:rsidR="00475955" w:rsidRPr="00B526AF" w:rsidRDefault="001F2C49">
      <w:pPr>
        <w:spacing w:before="120" w:after="240" w:line="276" w:lineRule="auto"/>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“Artículo 92. </w:t>
      </w:r>
      <w:r w:rsidRPr="00B526AF">
        <w:rPr>
          <w:rFonts w:ascii="Palatino Linotype" w:eastAsia="Palatino Linotype" w:hAnsi="Palatino Linotype" w:cs="Palatino Linotype"/>
          <w:b/>
          <w:i/>
          <w:sz w:val="22"/>
          <w:szCs w:val="22"/>
        </w:rPr>
        <w:t xml:space="preserve">Los sujetos obligados deberán poner a disposición del público de manera permanente y actualizada de forma sencilla, precisa y entendible, en los respectivos medios electrónicos, de acuerdo con sus facultades, atribuciones, </w:t>
      </w:r>
      <w:r w:rsidRPr="00B526AF">
        <w:rPr>
          <w:rFonts w:ascii="Palatino Linotype" w:eastAsia="Palatino Linotype" w:hAnsi="Palatino Linotype" w:cs="Palatino Linotype"/>
          <w:b/>
          <w:i/>
          <w:sz w:val="22"/>
          <w:szCs w:val="22"/>
        </w:rPr>
        <w:lastRenderedPageBreak/>
        <w:t>funciones u objeto social, según corresponda, la información, por lo menos</w:t>
      </w:r>
      <w:r w:rsidRPr="00B526AF">
        <w:rPr>
          <w:rFonts w:ascii="Palatino Linotype" w:eastAsia="Palatino Linotype" w:hAnsi="Palatino Linotype" w:cs="Palatino Linotype"/>
          <w:i/>
          <w:sz w:val="22"/>
          <w:szCs w:val="22"/>
        </w:rPr>
        <w:t xml:space="preserve">, de los temas, </w:t>
      </w:r>
      <w:r w:rsidRPr="00B526AF">
        <w:rPr>
          <w:rFonts w:ascii="Palatino Linotype" w:eastAsia="Palatino Linotype" w:hAnsi="Palatino Linotype" w:cs="Palatino Linotype"/>
          <w:b/>
          <w:i/>
          <w:sz w:val="22"/>
          <w:szCs w:val="22"/>
        </w:rPr>
        <w:t>documentos</w:t>
      </w:r>
      <w:r w:rsidRPr="00B526AF">
        <w:rPr>
          <w:rFonts w:ascii="Palatino Linotype" w:eastAsia="Palatino Linotype" w:hAnsi="Palatino Linotype" w:cs="Palatino Linotype"/>
          <w:i/>
          <w:sz w:val="22"/>
          <w:szCs w:val="22"/>
        </w:rPr>
        <w:t xml:space="preserve"> y políticas </w:t>
      </w:r>
      <w:r w:rsidRPr="00B526AF">
        <w:rPr>
          <w:rFonts w:ascii="Palatino Linotype" w:eastAsia="Palatino Linotype" w:hAnsi="Palatino Linotype" w:cs="Palatino Linotype"/>
          <w:b/>
          <w:i/>
          <w:sz w:val="22"/>
          <w:szCs w:val="22"/>
        </w:rPr>
        <w:t>que a continuación se señalan</w:t>
      </w:r>
      <w:r w:rsidRPr="00B526AF">
        <w:rPr>
          <w:rFonts w:ascii="Palatino Linotype" w:eastAsia="Palatino Linotype" w:hAnsi="Palatino Linotype" w:cs="Palatino Linotype"/>
          <w:i/>
          <w:sz w:val="22"/>
          <w:szCs w:val="22"/>
        </w:rPr>
        <w:t>:</w:t>
      </w:r>
    </w:p>
    <w:p w14:paraId="6378C6F8" w14:textId="77777777" w:rsidR="00475955" w:rsidRPr="00B526AF" w:rsidRDefault="001F2C49">
      <w:pPr>
        <w:spacing w:before="240" w:after="240" w:line="276" w:lineRule="auto"/>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XXXII. Las</w:t>
      </w:r>
      <w:r w:rsidRPr="00B526AF">
        <w:rPr>
          <w:rFonts w:ascii="Palatino Linotype" w:eastAsia="Palatino Linotype" w:hAnsi="Palatino Linotype" w:cs="Palatino Linotype"/>
          <w:i/>
          <w:sz w:val="22"/>
          <w:szCs w:val="22"/>
        </w:rPr>
        <w:t xml:space="preserve"> concesiones, contratos, convenios, permisos</w:t>
      </w:r>
      <w:r w:rsidRPr="00B526AF">
        <w:rPr>
          <w:rFonts w:ascii="Palatino Linotype" w:eastAsia="Palatino Linotype" w:hAnsi="Palatino Linotype" w:cs="Palatino Linotype"/>
          <w:b/>
          <w:i/>
          <w:sz w:val="22"/>
          <w:szCs w:val="22"/>
        </w:rPr>
        <w:t>,</w:t>
      </w:r>
      <w:r w:rsidRPr="00B526AF">
        <w:rPr>
          <w:rFonts w:ascii="Palatino Linotype" w:eastAsia="Palatino Linotype" w:hAnsi="Palatino Linotype" w:cs="Palatino Linotype"/>
          <w:i/>
          <w:sz w:val="22"/>
          <w:szCs w:val="22"/>
        </w:rPr>
        <w:t xml:space="preserve"> </w:t>
      </w:r>
      <w:r w:rsidRPr="00B526AF">
        <w:rPr>
          <w:rFonts w:ascii="Palatino Linotype" w:eastAsia="Palatino Linotype" w:hAnsi="Palatino Linotype" w:cs="Palatino Linotype"/>
          <w:b/>
          <w:i/>
          <w:sz w:val="22"/>
          <w:szCs w:val="22"/>
        </w:rPr>
        <w:t>licencias</w:t>
      </w:r>
      <w:r w:rsidRPr="00B526AF">
        <w:rPr>
          <w:rFonts w:ascii="Palatino Linotype" w:eastAsia="Palatino Linotype" w:hAnsi="Palatino Linotype" w:cs="Palatino Linotype"/>
          <w:i/>
          <w:sz w:val="22"/>
          <w:szCs w:val="22"/>
        </w:rPr>
        <w:t xml:space="preserve"> o autorizaciones</w:t>
      </w:r>
      <w:r w:rsidRPr="00B526AF">
        <w:rPr>
          <w:rFonts w:ascii="Palatino Linotype" w:eastAsia="Palatino Linotype" w:hAnsi="Palatino Linotype" w:cs="Palatino Linotype"/>
          <w:b/>
          <w:i/>
          <w:sz w:val="22"/>
          <w:szCs w:val="22"/>
        </w:rPr>
        <w:t xml:space="preserve"> otorgados,</w:t>
      </w:r>
      <w:r w:rsidRPr="00B526AF">
        <w:rPr>
          <w:rFonts w:ascii="Palatino Linotype" w:eastAsia="Palatino Linotype" w:hAnsi="Palatino Linotype" w:cs="Palatino Linotype"/>
          <w:i/>
          <w:sz w:val="22"/>
          <w:szCs w:val="22"/>
        </w:rPr>
        <w:t xml:space="preserve"> </w:t>
      </w:r>
      <w:r w:rsidRPr="00B526AF">
        <w:rPr>
          <w:rFonts w:ascii="Palatino Linotype" w:eastAsia="Palatino Linotype" w:hAnsi="Palatino Linotype" w:cs="Palatino Linotype"/>
          <w:b/>
          <w:i/>
          <w:sz w:val="22"/>
          <w:szCs w:val="22"/>
        </w:rPr>
        <w:t>especificando los titulares de aquéllos, debiendo publicarse su objeto, nombre o razón social del titular, vigencia, tipo, términos, condiciones, monto y modificaciones</w:t>
      </w:r>
      <w:r w:rsidRPr="00B526AF">
        <w:rPr>
          <w:rFonts w:ascii="Palatino Linotype" w:eastAsia="Palatino Linotype" w:hAnsi="Palatino Linotype" w:cs="Palatino Linotype"/>
          <w:i/>
          <w:sz w:val="22"/>
          <w:szCs w:val="22"/>
        </w:rPr>
        <w:t>,</w:t>
      </w:r>
      <w:r w:rsidRPr="00B526AF">
        <w:rPr>
          <w:rFonts w:ascii="Palatino Linotype" w:eastAsia="Palatino Linotype" w:hAnsi="Palatino Linotype" w:cs="Palatino Linotype"/>
          <w:b/>
          <w:i/>
          <w:sz w:val="22"/>
          <w:szCs w:val="22"/>
        </w:rPr>
        <w:t xml:space="preserve"> así como si el procedimiento involucra el aprovechamiento de bienes, servicios y/o recursos públicos</w:t>
      </w:r>
      <w:r w:rsidRPr="00B526AF">
        <w:rPr>
          <w:rFonts w:ascii="Palatino Linotype" w:eastAsia="Palatino Linotype" w:hAnsi="Palatino Linotype" w:cs="Palatino Linotype"/>
          <w:i/>
          <w:sz w:val="22"/>
          <w:szCs w:val="22"/>
        </w:rPr>
        <w:t>…” (Sic)</w:t>
      </w:r>
    </w:p>
    <w:p w14:paraId="2B75F0BC" w14:textId="77777777" w:rsidR="00475955" w:rsidRPr="00B526AF" w:rsidRDefault="001F2C49">
      <w:pPr>
        <w:spacing w:line="360" w:lineRule="auto"/>
        <w:jc w:val="both"/>
      </w:pPr>
      <w:r w:rsidRPr="00B526AF">
        <w:rPr>
          <w:rFonts w:ascii="Palatino Linotype" w:eastAsia="Palatino Linotype" w:hAnsi="Palatino Linotype" w:cs="Palatino Linotype"/>
        </w:rPr>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señalan al respecto:</w:t>
      </w:r>
    </w:p>
    <w:p w14:paraId="66A13190" w14:textId="77777777" w:rsidR="00475955" w:rsidRPr="00B526AF" w:rsidRDefault="001F2C49">
      <w:pPr>
        <w:spacing w:line="360" w:lineRule="auto"/>
        <w:jc w:val="both"/>
        <w:rPr>
          <w:rFonts w:ascii="Palatino Linotype" w:eastAsia="Palatino Linotype" w:hAnsi="Palatino Linotype" w:cs="Palatino Linotype"/>
          <w:b/>
          <w:u w:val="single"/>
        </w:rPr>
      </w:pPr>
      <w:r w:rsidRPr="00B526AF">
        <w:rPr>
          <w:noProof/>
          <w:lang w:val="es-MX" w:eastAsia="es-MX"/>
        </w:rPr>
        <w:drawing>
          <wp:inline distT="0" distB="0" distL="0" distR="0" wp14:anchorId="2DCA6932" wp14:editId="49326A45">
            <wp:extent cx="5378788" cy="4008314"/>
            <wp:effectExtent l="0" t="0" r="0" b="0"/>
            <wp:docPr id="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41699" t="17930" r="26691" b="12690"/>
                    <a:stretch>
                      <a:fillRect/>
                    </a:stretch>
                  </pic:blipFill>
                  <pic:spPr>
                    <a:xfrm>
                      <a:off x="0" y="0"/>
                      <a:ext cx="5378788" cy="4008314"/>
                    </a:xfrm>
                    <a:prstGeom prst="rect">
                      <a:avLst/>
                    </a:prstGeom>
                    <a:ln/>
                  </pic:spPr>
                </pic:pic>
              </a:graphicData>
            </a:graphic>
          </wp:inline>
        </w:drawing>
      </w:r>
      <w:r w:rsidRPr="00B526AF">
        <w:rPr>
          <w:noProof/>
          <w:lang w:val="es-MX" w:eastAsia="es-MX"/>
        </w:rPr>
        <mc:AlternateContent>
          <mc:Choice Requires="wps">
            <w:drawing>
              <wp:anchor distT="0" distB="0" distL="114300" distR="114300" simplePos="0" relativeHeight="251658240" behindDoc="0" locked="0" layoutInCell="1" hidden="0" allowOverlap="1" wp14:anchorId="2E23C15E" wp14:editId="2CBE06FF">
                <wp:simplePos x="0" y="0"/>
                <wp:positionH relativeFrom="column">
                  <wp:posOffset>25401</wp:posOffset>
                </wp:positionH>
                <wp:positionV relativeFrom="paragraph">
                  <wp:posOffset>3073400</wp:posOffset>
                </wp:positionV>
                <wp:extent cx="5297666" cy="957370"/>
                <wp:effectExtent l="0" t="0" r="0" b="0"/>
                <wp:wrapNone/>
                <wp:docPr id="61" name="Rectángulo 61"/>
                <wp:cNvGraphicFramePr/>
                <a:graphic xmlns:a="http://schemas.openxmlformats.org/drawingml/2006/main">
                  <a:graphicData uri="http://schemas.microsoft.com/office/word/2010/wordprocessingShape">
                    <wps:wsp>
                      <wps:cNvSpPr/>
                      <wps:spPr>
                        <a:xfrm>
                          <a:off x="2713042" y="3317190"/>
                          <a:ext cx="5265916" cy="925620"/>
                        </a:xfrm>
                        <a:prstGeom prst="rect">
                          <a:avLst/>
                        </a:prstGeom>
                        <a:noFill/>
                        <a:ln w="31750" cap="flat" cmpd="sng">
                          <a:solidFill>
                            <a:srgbClr val="42719B"/>
                          </a:solidFill>
                          <a:prstDash val="solid"/>
                          <a:miter lim="800000"/>
                          <a:headEnd type="none" w="sm" len="sm"/>
                          <a:tailEnd type="none" w="sm" len="sm"/>
                        </a:ln>
                      </wps:spPr>
                      <wps:txbx>
                        <w:txbxContent>
                          <w:p w14:paraId="30DEDB32" w14:textId="77777777" w:rsidR="00475955" w:rsidRDefault="00475955">
                            <w:pPr>
                              <w:textDirection w:val="btLr"/>
                            </w:pPr>
                          </w:p>
                        </w:txbxContent>
                      </wps:txbx>
                      <wps:bodyPr spcFirstLastPara="1" wrap="square" lIns="91425" tIns="91425" rIns="91425" bIns="91425" anchor="ctr" anchorCtr="0">
                        <a:noAutofit/>
                      </wps:bodyPr>
                    </wps:wsp>
                  </a:graphicData>
                </a:graphic>
              </wp:anchor>
            </w:drawing>
          </mc:Choice>
          <mc:Fallback>
            <w:pict>
              <v:rect w14:anchorId="2E23C15E" id="Rectángulo 61" o:spid="_x0000_s1026" style="position:absolute;left:0;text-align:left;margin-left:2pt;margin-top:242pt;width:417.15pt;height:75.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" filled="f" strokecolor="#42719b" strokeweight="2.5pt">
                <v:stroke startarrowwidth="narrow" startarrowlength="short" endarrowwidth="narrow" endarrowlength="short"/>
                <v:textbox inset="2.53958mm,2.53958mm,2.53958mm,2.53958mm">
                  <w:txbxContent>
                    <w:p w14:paraId="30DEDB32" w14:textId="77777777" w:rsidR="00475955" w:rsidRDefault="00475955">
                      <w:pPr>
                        <w:textDirection w:val="btLr"/>
                      </w:pPr>
                    </w:p>
                  </w:txbxContent>
                </v:textbox>
              </v:rect>
            </w:pict>
          </mc:Fallback>
        </mc:AlternateContent>
      </w:r>
    </w:p>
    <w:p w14:paraId="50F75646" w14:textId="77777777" w:rsidR="00475955" w:rsidRPr="00B526AF" w:rsidRDefault="00475955">
      <w:pPr>
        <w:spacing w:line="360" w:lineRule="auto"/>
        <w:jc w:val="both"/>
        <w:rPr>
          <w:rFonts w:ascii="Palatino Linotype" w:eastAsia="Palatino Linotype" w:hAnsi="Palatino Linotype" w:cs="Palatino Linotype"/>
        </w:rPr>
      </w:pPr>
    </w:p>
    <w:p w14:paraId="3BB5AA06" w14:textId="77777777" w:rsidR="00475955" w:rsidRPr="00B526AF" w:rsidRDefault="001F2C49">
      <w:pPr>
        <w:spacing w:line="360" w:lineRule="auto"/>
        <w:jc w:val="both"/>
        <w:rPr>
          <w:rFonts w:ascii="Palatino Linotype" w:eastAsia="Palatino Linotype" w:hAnsi="Palatino Linotype" w:cs="Palatino Linotype"/>
        </w:rPr>
      </w:pPr>
      <w:r w:rsidRPr="00B526AF">
        <w:rPr>
          <w:noProof/>
          <w:lang w:val="es-MX" w:eastAsia="es-MX"/>
        </w:rPr>
        <w:drawing>
          <wp:inline distT="0" distB="0" distL="0" distR="0" wp14:anchorId="111F21EE" wp14:editId="72657143">
            <wp:extent cx="5531882" cy="3273541"/>
            <wp:effectExtent l="0" t="0" r="0" b="0"/>
            <wp:docPr id="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37480" t="25952" r="25604" b="10857"/>
                    <a:stretch>
                      <a:fillRect/>
                    </a:stretch>
                  </pic:blipFill>
                  <pic:spPr>
                    <a:xfrm>
                      <a:off x="0" y="0"/>
                      <a:ext cx="5531882" cy="3273541"/>
                    </a:xfrm>
                    <a:prstGeom prst="rect">
                      <a:avLst/>
                    </a:prstGeom>
                    <a:ln/>
                  </pic:spPr>
                </pic:pic>
              </a:graphicData>
            </a:graphic>
          </wp:inline>
        </w:drawing>
      </w:r>
      <w:r w:rsidRPr="00B526AF">
        <w:rPr>
          <w:noProof/>
          <w:lang w:val="es-MX" w:eastAsia="es-MX"/>
        </w:rPr>
        <mc:AlternateContent>
          <mc:Choice Requires="wps">
            <w:drawing>
              <wp:anchor distT="0" distB="0" distL="114300" distR="114300" simplePos="0" relativeHeight="251659264" behindDoc="0" locked="0" layoutInCell="1" hidden="0" allowOverlap="1" wp14:anchorId="38B71452" wp14:editId="629366BA">
                <wp:simplePos x="0" y="0"/>
                <wp:positionH relativeFrom="column">
                  <wp:posOffset>50801</wp:posOffset>
                </wp:positionH>
                <wp:positionV relativeFrom="paragraph">
                  <wp:posOffset>406400</wp:posOffset>
                </wp:positionV>
                <wp:extent cx="5297666" cy="324757"/>
                <wp:effectExtent l="0" t="0" r="0" b="0"/>
                <wp:wrapNone/>
                <wp:docPr id="60" name="Rectángulo 60"/>
                <wp:cNvGraphicFramePr/>
                <a:graphic xmlns:a="http://schemas.openxmlformats.org/drawingml/2006/main">
                  <a:graphicData uri="http://schemas.microsoft.com/office/word/2010/wordprocessingShape">
                    <wps:wsp>
                      <wps:cNvSpPr/>
                      <wps:spPr>
                        <a:xfrm>
                          <a:off x="2728917" y="3649372"/>
                          <a:ext cx="5234166" cy="261257"/>
                        </a:xfrm>
                        <a:prstGeom prst="rect">
                          <a:avLst/>
                        </a:prstGeom>
                        <a:noFill/>
                        <a:ln w="31750" cap="flat" cmpd="sng">
                          <a:solidFill>
                            <a:srgbClr val="42719B"/>
                          </a:solidFill>
                          <a:prstDash val="solid"/>
                          <a:miter lim="800000"/>
                          <a:headEnd type="none" w="sm" len="sm"/>
                          <a:tailEnd type="none" w="sm" len="sm"/>
                        </a:ln>
                      </wps:spPr>
                      <wps:txbx>
                        <w:txbxContent>
                          <w:p w14:paraId="419D095F" w14:textId="77777777" w:rsidR="00475955" w:rsidRDefault="00475955">
                            <w:pPr>
                              <w:textDirection w:val="btLr"/>
                            </w:pPr>
                          </w:p>
                        </w:txbxContent>
                      </wps:txbx>
                      <wps:bodyPr spcFirstLastPara="1" wrap="square" lIns="91425" tIns="91425" rIns="91425" bIns="91425" anchor="ctr" anchorCtr="0">
                        <a:noAutofit/>
                      </wps:bodyPr>
                    </wps:wsp>
                  </a:graphicData>
                </a:graphic>
              </wp:anchor>
            </w:drawing>
          </mc:Choice>
          <mc:Fallback>
            <w:pict>
              <v:rect w14:anchorId="38B71452" id="Rectángulo 60" o:spid="_x0000_s1027" style="position:absolute;left:0;text-align:left;margin-left:4pt;margin-top:32pt;width:417.15pt;height:25.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" filled="f" strokecolor="#42719b" strokeweight="2.5pt">
                <v:stroke startarrowwidth="narrow" startarrowlength="short" endarrowwidth="narrow" endarrowlength="short"/>
                <v:textbox inset="2.53958mm,2.53958mm,2.53958mm,2.53958mm">
                  <w:txbxContent>
                    <w:p w14:paraId="419D095F" w14:textId="77777777" w:rsidR="00475955" w:rsidRDefault="00475955">
                      <w:pPr>
                        <w:textDirection w:val="btLr"/>
                      </w:pPr>
                    </w:p>
                  </w:txbxContent>
                </v:textbox>
              </v:rect>
            </w:pict>
          </mc:Fallback>
        </mc:AlternateContent>
      </w:r>
    </w:p>
    <w:p w14:paraId="434885EA" w14:textId="77777777" w:rsidR="00475955" w:rsidRPr="00B526AF" w:rsidRDefault="00475955">
      <w:pPr>
        <w:spacing w:after="120" w:line="360" w:lineRule="auto"/>
        <w:jc w:val="both"/>
        <w:rPr>
          <w:rFonts w:ascii="Palatino Linotype" w:eastAsia="Palatino Linotype" w:hAnsi="Palatino Linotype" w:cs="Palatino Linotype"/>
        </w:rPr>
      </w:pPr>
    </w:p>
    <w:p w14:paraId="504644C3" w14:textId="77777777" w:rsidR="00475955" w:rsidRPr="00B526AF" w:rsidRDefault="001F2C49">
      <w:pPr>
        <w:spacing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Razones por las cuales lo procedente es ordenar el documento en donde consten el número de Licencias de Funcionamiento se han otorgado de enero a agosto de la administración 2022-2024, en el que se incluya el Cobro realizado, Nombre del Municipio, Nombre del Titular, Actividad Económica, Clave Única, Fecha de inicio de actividades, Tipo de impacto y Domicilio de la unidad económica, y en versión pública conforme a lo señalado en el considerando quinto del presente fallo. </w:t>
      </w:r>
    </w:p>
    <w:p w14:paraId="32C8D61D" w14:textId="77777777" w:rsidR="00475955" w:rsidRPr="00B526AF" w:rsidRDefault="001F2C49">
      <w:pPr>
        <w:spacing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En cuanto a la Clave única y Tipo de impacto, es necesario señalar que </w:t>
      </w:r>
      <w:proofErr w:type="gramStart"/>
      <w:r w:rsidRPr="00B526AF">
        <w:rPr>
          <w:rFonts w:ascii="Palatino Linotype" w:eastAsia="Palatino Linotype" w:hAnsi="Palatino Linotype" w:cs="Palatino Linotype"/>
        </w:rPr>
        <w:t>los artículo</w:t>
      </w:r>
      <w:proofErr w:type="gramEnd"/>
      <w:r w:rsidRPr="00B526AF">
        <w:rPr>
          <w:rFonts w:ascii="Palatino Linotype" w:eastAsia="Palatino Linotype" w:hAnsi="Palatino Linotype" w:cs="Palatino Linotype"/>
        </w:rPr>
        <w:t xml:space="preserve"> 31, fracciones I. Ter, VLIV y XLV de la Ley Orgánica Municipal del Estado de México, que a la letra señalan:</w:t>
      </w:r>
    </w:p>
    <w:p w14:paraId="5DCAF83D" w14:textId="77777777" w:rsidR="00475955" w:rsidRPr="00B526AF" w:rsidRDefault="001F2C49">
      <w:pPr>
        <w:spacing w:before="240"/>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CAPITULO TERCERO</w:t>
      </w:r>
    </w:p>
    <w:p w14:paraId="4EA236F8" w14:textId="77777777" w:rsidR="00475955" w:rsidRPr="00B526AF" w:rsidRDefault="001F2C49">
      <w:pPr>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ATRIBUCIONES DE LOS AYUNTAMIENTOS</w:t>
      </w:r>
    </w:p>
    <w:p w14:paraId="402396C5" w14:textId="77777777" w:rsidR="00475955" w:rsidRPr="00B526AF" w:rsidRDefault="001F2C49">
      <w:pPr>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Artículo 31.- Son atribuciones de los ayuntamientos:</w:t>
      </w:r>
    </w:p>
    <w:p w14:paraId="305BD2C4" w14:textId="77777777" w:rsidR="00475955" w:rsidRPr="00B526AF" w:rsidRDefault="001F2C49">
      <w:pPr>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lastRenderedPageBreak/>
        <w:t xml:space="preserve">I al I Bis… </w:t>
      </w:r>
    </w:p>
    <w:p w14:paraId="4DB182D1" w14:textId="77777777" w:rsidR="00475955" w:rsidRPr="00B526AF" w:rsidRDefault="001F2C49">
      <w:pPr>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I. Ter. Aprobar y promover un programa para el otorgamiento de la licencia o permiso provisional de funcionamiento para negocios de bajo riesgo que no impliquen riesgos sanitarios, ambientales o de protección civil, conforme al Catálogo Mexiquense de Actividades Industriales, Comerciales y de Servicios de Bajo Riesgo, consignado en la Ley de la materia, mismo que deberá publicarse dentro de los primeros 30 días naturales de cada Ejercicio Fiscal y será aplicable hasta la publicación del siguiente catálogo. </w:t>
      </w:r>
    </w:p>
    <w:p w14:paraId="2DF46F0F" w14:textId="77777777" w:rsidR="00475955" w:rsidRPr="00B526AF" w:rsidRDefault="001F2C49">
      <w:pPr>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El otorgamiento de la licencia o permiso a que hace referencia el párrafo anterior, en ningún caso estará sujeto al pago de contribuciones ni a donación alguna; la exigencia de cargas tributarias, dádivas o cualquier otro concepto que condicione su expedición será sancionada en términos de la Ley de Responsabilidades Administrativas del Estado de México y Municipios;</w:t>
      </w:r>
    </w:p>
    <w:p w14:paraId="155551D7" w14:textId="77777777" w:rsidR="00475955" w:rsidRPr="00B526AF" w:rsidRDefault="001F2C49">
      <w:pPr>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I </w:t>
      </w:r>
      <w:proofErr w:type="spellStart"/>
      <w:r w:rsidRPr="00B526AF">
        <w:rPr>
          <w:rFonts w:ascii="Palatino Linotype" w:eastAsia="Palatino Linotype" w:hAnsi="Palatino Linotype" w:cs="Palatino Linotype"/>
          <w:i/>
          <w:sz w:val="22"/>
          <w:szCs w:val="22"/>
        </w:rPr>
        <w:t>Quáter</w:t>
      </w:r>
      <w:proofErr w:type="spellEnd"/>
      <w:r w:rsidRPr="00B526AF">
        <w:rPr>
          <w:rFonts w:ascii="Palatino Linotype" w:eastAsia="Palatino Linotype" w:hAnsi="Palatino Linotype" w:cs="Palatino Linotype"/>
          <w:i/>
          <w:sz w:val="22"/>
          <w:szCs w:val="22"/>
        </w:rPr>
        <w:t>. al XLIII…</w:t>
      </w:r>
    </w:p>
    <w:p w14:paraId="05317236" w14:textId="77777777" w:rsidR="00475955" w:rsidRPr="00B526AF" w:rsidRDefault="001F2C49">
      <w:pPr>
        <w:ind w:left="567" w:right="567"/>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 xml:space="preserve">XLIV. Crear el Registro Municipal de Unidades Económicas, donde se especifique la licencia de funcionamiento con la actividad de la unidad económica e impacto que generen, así como las demás características que se determinen; </w:t>
      </w:r>
    </w:p>
    <w:p w14:paraId="54F73192" w14:textId="77777777" w:rsidR="00475955" w:rsidRPr="00B526AF" w:rsidRDefault="001F2C49">
      <w:pPr>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XLV. Colaborar con las autoridades estatales y federales en el ámbito de su competencia para establecer medidas regulatorias a unidades económicas de impacto urbano y crear un registro específico que se regirá de acuerdo a la Ley de Transparencia y Acceso a la Información Pública del Estado de México y Municipios;</w:t>
      </w:r>
    </w:p>
    <w:p w14:paraId="2A359178" w14:textId="77777777" w:rsidR="00475955" w:rsidRPr="00B526AF" w:rsidRDefault="001F2C49">
      <w:pPr>
        <w:ind w:left="567" w:right="567"/>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XLVI…(Sic)</w:t>
      </w:r>
    </w:p>
    <w:p w14:paraId="641A83DB" w14:textId="77777777" w:rsidR="00475955" w:rsidRPr="00B526AF" w:rsidRDefault="00475955">
      <w:pPr>
        <w:spacing w:line="360" w:lineRule="auto"/>
        <w:jc w:val="both"/>
        <w:rPr>
          <w:rFonts w:ascii="Palatino Linotype" w:eastAsia="Palatino Linotype" w:hAnsi="Palatino Linotype" w:cs="Palatino Linotype"/>
          <w:sz w:val="22"/>
          <w:szCs w:val="22"/>
        </w:rPr>
      </w:pPr>
    </w:p>
    <w:p w14:paraId="68414B89"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Del artículo anterior, es posible advertir que los Ayuntamientos que integran el Estado de México, entre ellos el Ayuntamiento de Otumba, cuentan con la atribución de emitir licencias de funcionamiento a favor de los negocios e impacto que generen.</w:t>
      </w:r>
    </w:p>
    <w:p w14:paraId="2BFBC4F3" w14:textId="77777777" w:rsidR="00475955" w:rsidRPr="00B526AF" w:rsidRDefault="00475955">
      <w:pPr>
        <w:spacing w:line="360" w:lineRule="auto"/>
        <w:jc w:val="both"/>
        <w:rPr>
          <w:rFonts w:ascii="Palatino Linotype" w:eastAsia="Palatino Linotype" w:hAnsi="Palatino Linotype" w:cs="Palatino Linotype"/>
        </w:rPr>
      </w:pPr>
    </w:p>
    <w:p w14:paraId="74BF739E"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En atención a lo antes descrito, es dable determinar que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al tratarse de un Ayuntamiento del Estado de México, se encuentra constreñido a generar un Registro Municipal de Unidades Económicas, en las cuales se registran las licencias de funcionamiento emitidas a favor de actividades comerciales, la clave única y el tipo de impacto.</w:t>
      </w:r>
    </w:p>
    <w:p w14:paraId="6FC37054" w14:textId="77777777" w:rsidR="00475955" w:rsidRPr="00B526AF" w:rsidRDefault="00475955">
      <w:pPr>
        <w:spacing w:line="360" w:lineRule="auto"/>
        <w:jc w:val="both"/>
        <w:rPr>
          <w:rFonts w:ascii="Palatino Linotype" w:eastAsia="Palatino Linotype" w:hAnsi="Palatino Linotype" w:cs="Palatino Linotype"/>
        </w:rPr>
      </w:pPr>
    </w:p>
    <w:p w14:paraId="37B93124"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lastRenderedPageBreak/>
        <w:t xml:space="preserve">Respecto a la integración del Registro Municipal de Unidades Económicas; el artículo 11 de la Ley de competitividad y ordenamiento comercial del Estado de México; véase: </w:t>
      </w:r>
      <w:hyperlink r:id="rId15">
        <w:r w:rsidRPr="00B526AF">
          <w:rPr>
            <w:rFonts w:ascii="Palatino Linotype" w:eastAsia="Palatino Linotype" w:hAnsi="Palatino Linotype" w:cs="Palatino Linotype"/>
            <w:u w:val="single"/>
          </w:rPr>
          <w:t>https://legislacion.edomex.gob.mx/sites/legislacion.edomex.gob.mx/files/files/pdf/ley/vig/leyvig217.pdf</w:t>
        </w:r>
      </w:hyperlink>
      <w:r w:rsidRPr="00B526AF">
        <w:rPr>
          <w:rFonts w:ascii="Palatino Linotype" w:eastAsia="Palatino Linotype" w:hAnsi="Palatino Linotype" w:cs="Palatino Linotype"/>
        </w:rPr>
        <w:t xml:space="preserve">; en donde se establece los elementos que debe contemplar el Registro, en los siguientes términos: </w:t>
      </w:r>
    </w:p>
    <w:p w14:paraId="569EF7D6" w14:textId="77777777" w:rsidR="00475955" w:rsidRPr="00B526AF" w:rsidRDefault="00475955">
      <w:pPr>
        <w:spacing w:line="360" w:lineRule="auto"/>
        <w:ind w:left="567" w:right="539"/>
        <w:jc w:val="both"/>
        <w:rPr>
          <w:rFonts w:ascii="Palatino Linotype" w:eastAsia="Palatino Linotype" w:hAnsi="Palatino Linotype" w:cs="Palatino Linotype"/>
          <w:i/>
        </w:rPr>
      </w:pPr>
    </w:p>
    <w:p w14:paraId="2B96AAB4" w14:textId="77777777" w:rsidR="00475955" w:rsidRPr="00B526AF" w:rsidRDefault="001F2C49">
      <w:pPr>
        <w:ind w:left="567" w:right="539"/>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 xml:space="preserve">“Artículo 11. El registro incluirá al menos los datos siguientes: </w:t>
      </w:r>
    </w:p>
    <w:p w14:paraId="4E1F8CB0"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I. Clave única</w:t>
      </w:r>
      <w:r w:rsidRPr="00B526AF">
        <w:rPr>
          <w:rFonts w:ascii="Palatino Linotype" w:eastAsia="Palatino Linotype" w:hAnsi="Palatino Linotype" w:cs="Palatino Linotype"/>
          <w:i/>
          <w:sz w:val="22"/>
          <w:szCs w:val="22"/>
        </w:rPr>
        <w:t xml:space="preserve">, que se integrará de una serie alfanumérica. </w:t>
      </w:r>
    </w:p>
    <w:p w14:paraId="2B6518DA"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II. Nombre del municipio. </w:t>
      </w:r>
    </w:p>
    <w:p w14:paraId="60771FA9" w14:textId="77777777" w:rsidR="00475955" w:rsidRPr="00B526AF" w:rsidRDefault="001F2C49">
      <w:pPr>
        <w:ind w:left="567" w:right="539"/>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 xml:space="preserve">III. Nombre del titular. </w:t>
      </w:r>
    </w:p>
    <w:p w14:paraId="550686A3" w14:textId="77777777" w:rsidR="00475955" w:rsidRPr="00B526AF" w:rsidRDefault="001F2C49">
      <w:pPr>
        <w:ind w:left="567" w:right="539"/>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 xml:space="preserve">IV. Actividad económica. </w:t>
      </w:r>
    </w:p>
    <w:p w14:paraId="7667F8CC"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V. Fecha de inicio de actividades. </w:t>
      </w:r>
    </w:p>
    <w:p w14:paraId="0DC0A54B"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VI. Tipo de impacto. </w:t>
      </w:r>
    </w:p>
    <w:p w14:paraId="3291F966" w14:textId="77777777" w:rsidR="00475955" w:rsidRPr="00B526AF" w:rsidRDefault="001F2C49">
      <w:pPr>
        <w:ind w:left="567" w:right="539"/>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 xml:space="preserve">VII. Domicilio de la unidad económica. </w:t>
      </w:r>
    </w:p>
    <w:p w14:paraId="25199F04"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VIII. Visitas y procedimientos de verificación en su caso. </w:t>
      </w:r>
    </w:p>
    <w:p w14:paraId="62F61193"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IX. Sanciones en su caso. </w:t>
      </w:r>
    </w:p>
    <w:p w14:paraId="150D2C4A"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X. Las demás que le confieran esta Ley y otras disposiciones </w:t>
      </w:r>
      <w:proofErr w:type="gramStart"/>
      <w:r w:rsidRPr="00B526AF">
        <w:rPr>
          <w:rFonts w:ascii="Palatino Linotype" w:eastAsia="Palatino Linotype" w:hAnsi="Palatino Linotype" w:cs="Palatino Linotype"/>
          <w:i/>
          <w:sz w:val="22"/>
          <w:szCs w:val="22"/>
        </w:rPr>
        <w:t>aplicables.(</w:t>
      </w:r>
      <w:proofErr w:type="gramEnd"/>
      <w:r w:rsidRPr="00B526AF">
        <w:rPr>
          <w:rFonts w:ascii="Palatino Linotype" w:eastAsia="Palatino Linotype" w:hAnsi="Palatino Linotype" w:cs="Palatino Linotype"/>
          <w:i/>
          <w:sz w:val="22"/>
          <w:szCs w:val="22"/>
        </w:rPr>
        <w:t>Sic)</w:t>
      </w:r>
    </w:p>
    <w:p w14:paraId="3568DE56" w14:textId="77777777" w:rsidR="00475955" w:rsidRPr="00B526AF" w:rsidRDefault="00475955">
      <w:pPr>
        <w:ind w:left="567" w:right="539"/>
        <w:jc w:val="both"/>
        <w:rPr>
          <w:rFonts w:ascii="Palatino Linotype" w:eastAsia="Palatino Linotype" w:hAnsi="Palatino Linotype" w:cs="Palatino Linotype"/>
          <w:i/>
          <w:sz w:val="22"/>
          <w:szCs w:val="22"/>
        </w:rPr>
      </w:pPr>
    </w:p>
    <w:p w14:paraId="13265FB6" w14:textId="77777777" w:rsidR="00475955" w:rsidRPr="00B526AF" w:rsidRDefault="001F2C49">
      <w:pPr>
        <w:tabs>
          <w:tab w:val="left" w:pos="4962"/>
        </w:tabs>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Derivado de lo anterior, es dable determinar qué el Ayuntamiento de Otumba se encuentra obligado a generar el Registro Municipal de Unidades Económicas, en el que se inscribe información de las licencias emitidas a favor de las unidades económicas, como lo son: la clave única de cada unidad económica y el tipo de impacto.</w:t>
      </w:r>
    </w:p>
    <w:p w14:paraId="4232941F" w14:textId="77777777" w:rsidR="00475955" w:rsidRPr="00B526AF" w:rsidRDefault="00475955">
      <w:pPr>
        <w:spacing w:line="360" w:lineRule="auto"/>
        <w:jc w:val="both"/>
        <w:rPr>
          <w:rFonts w:ascii="Palatino Linotype" w:eastAsia="Palatino Linotype" w:hAnsi="Palatino Linotype" w:cs="Palatino Linotype"/>
        </w:rPr>
      </w:pPr>
    </w:p>
    <w:p w14:paraId="29693C49"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Para el caso de que la </w:t>
      </w:r>
      <w:r w:rsidRPr="00B526AF">
        <w:rPr>
          <w:rFonts w:ascii="Palatino Linotype" w:eastAsia="Palatino Linotype" w:hAnsi="Palatino Linotype" w:cs="Palatino Linotype"/>
          <w:b/>
        </w:rPr>
        <w:t>Clave Única</w:t>
      </w:r>
      <w:r w:rsidRPr="00B526AF">
        <w:rPr>
          <w:rFonts w:ascii="Palatino Linotype" w:eastAsia="Palatino Linotype" w:hAnsi="Palatino Linotype" w:cs="Palatino Linotype"/>
        </w:rPr>
        <w:t>, que se integrará de una serie alfanumérica, haga identificable a una persona se debe clasificarse como confidencial, en términos de lo señalado por el artículo 143 fracción I, de la Ley de la Materia, que señala:</w:t>
      </w:r>
    </w:p>
    <w:p w14:paraId="453A79E3" w14:textId="77777777" w:rsidR="00475955" w:rsidRPr="00B526AF" w:rsidRDefault="00475955">
      <w:pPr>
        <w:spacing w:line="360" w:lineRule="auto"/>
        <w:jc w:val="both"/>
        <w:rPr>
          <w:rFonts w:ascii="Palatino Linotype" w:eastAsia="Palatino Linotype" w:hAnsi="Palatino Linotype" w:cs="Palatino Linotype"/>
        </w:rPr>
      </w:pPr>
    </w:p>
    <w:p w14:paraId="6F62CA3C" w14:textId="77777777" w:rsidR="00475955" w:rsidRPr="00B526AF" w:rsidRDefault="001F2C49">
      <w:pPr>
        <w:ind w:left="993" w:right="104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lastRenderedPageBreak/>
        <w:t>Artículo 143</w:t>
      </w:r>
      <w:r w:rsidRPr="00B526A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BF558A8" w14:textId="77777777" w:rsidR="00475955" w:rsidRPr="00B526AF" w:rsidRDefault="001F2C49">
      <w:pPr>
        <w:ind w:left="993" w:right="104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I.</w:t>
      </w:r>
      <w:r w:rsidRPr="00B526AF">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4E56FE6C" w14:textId="77777777" w:rsidR="00475955" w:rsidRPr="00B526AF" w:rsidRDefault="00475955">
      <w:pPr>
        <w:spacing w:after="240" w:line="360" w:lineRule="auto"/>
        <w:jc w:val="both"/>
        <w:rPr>
          <w:rFonts w:ascii="Palatino Linotype" w:eastAsia="Palatino Linotype" w:hAnsi="Palatino Linotype" w:cs="Palatino Linotype"/>
        </w:rPr>
      </w:pPr>
    </w:p>
    <w:p w14:paraId="7A6B4375" w14:textId="77777777" w:rsidR="00475955" w:rsidRPr="00B526AF" w:rsidRDefault="001F2C49">
      <w:pPr>
        <w:spacing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Finalmente, sobre el </w:t>
      </w:r>
      <w:r w:rsidRPr="00B526AF">
        <w:rPr>
          <w:rFonts w:ascii="Palatino Linotype" w:eastAsia="Palatino Linotype" w:hAnsi="Palatino Linotype" w:cs="Palatino Linotype"/>
          <w:b/>
        </w:rPr>
        <w:t>domicilio de la unidad económica</w:t>
      </w:r>
      <w:r w:rsidRPr="00B526AF">
        <w:rPr>
          <w:rFonts w:ascii="Palatino Linotype" w:eastAsia="Palatino Linotype" w:hAnsi="Palatino Linotype" w:cs="Palatino Linotype"/>
        </w:rPr>
        <w:t>, resulta necesario precisar que el domicilio establecido en las licencias de funcionamiento y que obre en el registro, no corresponde al domicilio particular del titular de dichas autorizaciones, sino que corresponde a aquel donde se localiza la unidad económica, es decir, en el lugar en donde se realizará la actividad comercial, industrial o de servicios, por lo cual, el dato únicamente identifica la ubicación donde se realiza una actividad económica regulada por el Municipio, respecto del cual se expidió una licencia de funcionamiento por tanto, no actualiza el supuesto de clasificación previsto en el artículo 143 de la Ley de Transparencia y Acceso a la Información Pública del Estado de México y Municipios y debe considerarse como información pública.</w:t>
      </w:r>
    </w:p>
    <w:p w14:paraId="0007D1A0" w14:textId="77777777" w:rsidR="00475955" w:rsidRPr="00B526AF" w:rsidRDefault="001F2C4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B526AF">
        <w:rPr>
          <w:rFonts w:ascii="Palatino Linotype" w:eastAsia="Palatino Linotype" w:hAnsi="Palatino Linotype" w:cs="Palatino Linotype"/>
          <w:b/>
          <w:u w:val="single"/>
        </w:rPr>
        <w:t>En cuanto a las Visitas y procedimientos de verificación en su caso las sanciones en su caso</w:t>
      </w:r>
      <w:r w:rsidRPr="00B526AF">
        <w:rPr>
          <w:rFonts w:ascii="Palatino Linotype" w:eastAsia="Palatino Linotype" w:hAnsi="Palatino Linotype" w:cs="Palatino Linotype"/>
        </w:rPr>
        <w:t>, debemos remitirnos a lo que señalan los artículos 328 al 336 del Código Reglamentario del Ayuntamiento de Otumba del año 2022, que señalan:</w:t>
      </w:r>
    </w:p>
    <w:p w14:paraId="47018CD0"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“SUBSECCIÓN SEGUNDA</w:t>
      </w:r>
    </w:p>
    <w:p w14:paraId="2183EF6B"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DE LAS LICENCIAS DE FUNCIONAMIENTO</w:t>
      </w:r>
    </w:p>
    <w:p w14:paraId="5D84938B"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Artículo 328. Las o los particulares que se dediquen a las actividades que regulan el Bando Municipal y este Código Reglamentario, para obtener la licencia de funcionamiento o autorización correspondiente por primera vez, deberán cumplir con los requisitos siguientes:</w:t>
      </w:r>
    </w:p>
    <w:p w14:paraId="421D13C3"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 Contrato de arrendamiento y pago predial actualizado</w:t>
      </w:r>
    </w:p>
    <w:p w14:paraId="708BF8A1"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II. Dos fotografías de la fachada</w:t>
      </w:r>
    </w:p>
    <w:p w14:paraId="44CE1BB2"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lastRenderedPageBreak/>
        <w:t>III. Formato Único de Solicitud de Alta de Licencia de Funcionamiento</w:t>
      </w:r>
    </w:p>
    <w:p w14:paraId="32094206"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IV. Cédula Informativa de Zonificación o Licencia de Uso de suelo vigente V. Copia de la identificación oficial vigente del titular o en su caso carta poder e identificación oficial del apoderado legal</w:t>
      </w:r>
    </w:p>
    <w:p w14:paraId="2836A929"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VI. Alta ante el Servicio de Administración Tributaria</w:t>
      </w:r>
    </w:p>
    <w:p w14:paraId="54046096"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VII. Dictamen de viabilidad expedido por el área de Protección Civil, en caso de que la unidad económica se considere de mediano o alto impacto</w:t>
      </w:r>
    </w:p>
    <w:p w14:paraId="46FA3A66"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VIII. Acta constitutiva (únicamente para personas jurídico-colectivas)</w:t>
      </w:r>
    </w:p>
    <w:p w14:paraId="089F4814"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IX. Poder notarial del representante legal y/o carta poder de la persona que realice el trámite, solo en caso de no acudir el titular que solicite la licencia y/o permiso de funcionamiento, con identificación oficial</w:t>
      </w:r>
    </w:p>
    <w:p w14:paraId="619CE5C1"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 Licencia sanitaria (en los casos que lo requiera)</w:t>
      </w:r>
    </w:p>
    <w:p w14:paraId="5B2709AF"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XI. Evaluación de Impacto Estatal, en caso de que la unidad Económica de considere de mediano y alto impacto; y</w:t>
      </w:r>
    </w:p>
    <w:p w14:paraId="03AB5FFC"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XII. Dictamen de Giro (en casos que lo requiera)</w:t>
      </w:r>
    </w:p>
    <w:p w14:paraId="608DFF1E"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Artículo 329. La autoridad municipal podrá otorgar permisos provisionales de funcionamiento, los cuales no podrán ser refrendados y en ningún caso podrán amparar más de un total de seis meses de vigencia, tras lo cual será forzoso obtener la licencia de funcionamiento.</w:t>
      </w:r>
    </w:p>
    <w:p w14:paraId="4281010F"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Artículo 330. Los requisitos para refrendo de la Licencia de Funcionamiento serán los siguientes:</w:t>
      </w:r>
    </w:p>
    <w:p w14:paraId="6A126A26"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 Presentar Licencia de Funcionamiento</w:t>
      </w:r>
    </w:p>
    <w:p w14:paraId="5F7F1B81"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II. Comprobante de pago expedido por la Tesorería Municipal</w:t>
      </w:r>
    </w:p>
    <w:p w14:paraId="2A4F0CB1"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III. Copia imple de identificación oficial</w:t>
      </w:r>
    </w:p>
    <w:p w14:paraId="35A69A33" w14:textId="77777777" w:rsidR="00475955" w:rsidRPr="00B526AF" w:rsidRDefault="001F2C49">
      <w:pPr>
        <w:spacing w:before="120" w:after="120"/>
        <w:ind w:left="709" w:right="851"/>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DE LA CANCELACIÓN, REVOCACIÓN Y NULIDAD DE LAS LICENCIAS Y PERMISOS</w:t>
      </w:r>
    </w:p>
    <w:p w14:paraId="53765D55"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Artículo 331. De la Dirección de Reglamentos y Vía Pública en conjunto con la Dirección de Desarrollo Económico, se reserva la facultad de revalidar, revocar o cancelar las licencias, permisos y en general toda autorización que expida</w:t>
      </w:r>
      <w:r w:rsidRPr="00B526AF">
        <w:rPr>
          <w:rFonts w:ascii="Palatino Linotype" w:eastAsia="Palatino Linotype" w:hAnsi="Palatino Linotype" w:cs="Palatino Linotype"/>
          <w:i/>
          <w:sz w:val="22"/>
          <w:szCs w:val="22"/>
        </w:rPr>
        <w:t>, cuando no se cumplan los requisitos que al respecto establezca el presente Reglamento, las demás disposiciones legales aplicables al caso concreto.</w:t>
      </w:r>
    </w:p>
    <w:p w14:paraId="7EE778AA" w14:textId="77777777" w:rsidR="00475955" w:rsidRPr="00B526AF" w:rsidRDefault="001F2C49">
      <w:pPr>
        <w:spacing w:before="120" w:after="120"/>
        <w:ind w:left="709" w:right="851"/>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Artículo 332. Son motivo de la cancelación de las Licencias de Funcionamiento cuando sobrevenga alguna de las siguientes causales:</w:t>
      </w:r>
    </w:p>
    <w:p w14:paraId="110D1C74"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 A petición del interesado;</w:t>
      </w:r>
    </w:p>
    <w:p w14:paraId="3F094A02"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lastRenderedPageBreak/>
        <w:t>II. Ejercer actividades distintas a las autorizadas o se aumente el giro sin la aprobación de la Dirección de Reglamentos y Vía Pública;</w:t>
      </w:r>
    </w:p>
    <w:p w14:paraId="62690D96"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III. Realizar cualquier modificación de superficie en el establecimiento sin la autorización de la Dirección de Reglamentos y Vía Pública</w:t>
      </w:r>
    </w:p>
    <w:p w14:paraId="733B0BAE"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IV. Modificar las condiciones en que fue otorgada la Licencia o permisos sin llevar a cabo el trámite respectivo ante Dirección de Reglamentos y Vía Pública;</w:t>
      </w:r>
    </w:p>
    <w:p w14:paraId="3B3C0A66"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V. Reincidir en el cumplimiento de las disposiciones previstas en el presente reglamento;</w:t>
      </w:r>
    </w:p>
    <w:p w14:paraId="0967AC05"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VI. Abstenerse u omitir cumplir con lo ordenado por la autoridad municipal mediante resolución expresa;</w:t>
      </w:r>
    </w:p>
    <w:p w14:paraId="693F01CC"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VII. Por muerte del titular;</w:t>
      </w:r>
    </w:p>
    <w:p w14:paraId="3134E1FA"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VIII. Por ausencia declarada por autoridad judicial del titular;</w:t>
      </w:r>
    </w:p>
    <w:p w14:paraId="54CDF8C1"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IX. A petición del propietario del inmueble cuando este no sea el Titular de la Licencia de Funcionamiento y el titular no tenga la posesión del inmueble;</w:t>
      </w:r>
    </w:p>
    <w:p w14:paraId="7CCCE225"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 Por cambio de giro o domicilio, con las salvedades establecidas en el presente reglamento;</w:t>
      </w:r>
    </w:p>
    <w:p w14:paraId="5B0CA412"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XI. Fusión, escisión y quiebra de la empresa o establecimiento;</w:t>
      </w:r>
    </w:p>
    <w:p w14:paraId="0EFF1F7B"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XII. Declaración judicial;</w:t>
      </w:r>
    </w:p>
    <w:p w14:paraId="6C677C76"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XIII. Resolución de Dirección de Reglamentos y Vía Pública;</w:t>
      </w:r>
    </w:p>
    <w:p w14:paraId="591E9F58"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XIV. Por venta, cesión, préstamo o cualquier figura jurídica que le recaiga sin realizar el trámite de cambio de propietario ante la Dirección de Reglamentos y Vía Pública;</w:t>
      </w:r>
    </w:p>
    <w:p w14:paraId="06D3E324"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XV. Falsedad en declaraciones, cambios y aplicaciones no autorizados o por vicios que acompañen su expedición, según sea el caso. En los dos primeros supuestos se impondrán las penas correspondientes;</w:t>
      </w:r>
    </w:p>
    <w:p w14:paraId="09BD8C56"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XVI. Cuando no se ejerzan los derechos en ellas consignadas o no se cuente con el local que justifica su existencia;</w:t>
      </w:r>
    </w:p>
    <w:p w14:paraId="47BD71D2"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XVII. Por no cumplir lo dispuesto en materia de Protección Civil y Bomberos de este Municipio;</w:t>
      </w:r>
    </w:p>
    <w:p w14:paraId="49C45011"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XVIII. Cuando sin licencia de funcionamiento, el establecimiento o puesto opere fuere de horario permitido;</w:t>
      </w:r>
    </w:p>
    <w:p w14:paraId="0B4080A8"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XIX. Explotar la Licencia de Funcionamiento en dos o más establecimientos comerciales o en dos o más domicilios distintos al autorizado;</w:t>
      </w:r>
    </w:p>
    <w:p w14:paraId="449476C3"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lastRenderedPageBreak/>
        <w:t>XX. Por desacato a las obligaciones o prohibiciones que establezca el presente Reglamento; y</w:t>
      </w:r>
    </w:p>
    <w:p w14:paraId="0E9CE67E"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XXI. Las demás que establezcan las leyes, el Bando Municipal, el presente Código y demás disposiciones aplicables.</w:t>
      </w:r>
    </w:p>
    <w:p w14:paraId="34432679" w14:textId="77777777" w:rsidR="00475955" w:rsidRPr="00B526AF" w:rsidRDefault="001F2C49">
      <w:pPr>
        <w:spacing w:before="120" w:after="120"/>
        <w:ind w:left="709" w:right="851"/>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i/>
          <w:sz w:val="22"/>
          <w:szCs w:val="22"/>
        </w:rPr>
        <w:t xml:space="preserve">Artículo 333. Cuando el propietario del inmueble en el que se haya desarrollado alguna actividad comercial solicite la cancelación de la Licencia, la </w:t>
      </w:r>
      <w:r w:rsidRPr="00B526AF">
        <w:rPr>
          <w:rFonts w:ascii="Palatino Linotype" w:eastAsia="Palatino Linotype" w:hAnsi="Palatino Linotype" w:cs="Palatino Linotype"/>
          <w:b/>
          <w:i/>
          <w:sz w:val="22"/>
          <w:szCs w:val="22"/>
        </w:rPr>
        <w:t>Dirección de Reglamentos y Vía Pública deberá verificar que el establecimiento ha dejado de funcionar.</w:t>
      </w:r>
    </w:p>
    <w:p w14:paraId="0F27BA5D"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Artículo 334. Las Licencias de Funcionamiento y permisos caducan:</w:t>
      </w:r>
    </w:p>
    <w:p w14:paraId="0225436D"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 Por la conclusión del término de la vigencia;</w:t>
      </w:r>
    </w:p>
    <w:p w14:paraId="6A986491"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II. Por no iniciar el comerciante sus actividades dentro de los sesenta días siguientes a su expedición.</w:t>
      </w:r>
    </w:p>
    <w:p w14:paraId="735702D0"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Artículo 335. Son nulas y no surtirán efecto alguno las Licencias de Funcionamiento otorgadas en los siguientes casos:</w:t>
      </w:r>
    </w:p>
    <w:p w14:paraId="6C13EB3B"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 Cuando los datos proporcionados por el solicitante resulten falsos y con base a ellos se hubiesen expedido;</w:t>
      </w:r>
    </w:p>
    <w:p w14:paraId="5334386F"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II. Cuando el empleado municipal que la haya otorgado carezca de facultades para ello;</w:t>
      </w:r>
    </w:p>
    <w:p w14:paraId="1565D9DC"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III. Cuando se haya otorgado con violación manifiesta de los preceptos aplicables y/o este reglamento;</w:t>
      </w:r>
    </w:p>
    <w:p w14:paraId="7F639719"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IV. Cuando se modifique oficialmente el uso de suelo del inmueble en el que se encuentre el establecimiento, haciéndolo incompatible; y</w:t>
      </w:r>
    </w:p>
    <w:p w14:paraId="2AA8938B"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V. Las demás que establezcan las leyes, el Bando Municipal, el presente Código y demás disposiciones que determine el Honorable Ayuntamiento.</w:t>
      </w:r>
    </w:p>
    <w:p w14:paraId="2030FFE8" w14:textId="77777777" w:rsidR="00475955" w:rsidRPr="00B526AF" w:rsidRDefault="001F2C49">
      <w:pPr>
        <w:spacing w:before="120" w:after="120"/>
        <w:ind w:left="709" w:right="851"/>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Artículo 336. La renovación será dictada por la autoridad que expidió el permiso o licencia de funcionamiento y deberá ser notificada personalmente al titular de la licencia o permiso, en términos del Código de Procedimientos Administrativos de la Entidad.</w:t>
      </w:r>
    </w:p>
    <w:p w14:paraId="12D63AE8" w14:textId="77777777" w:rsidR="00475955" w:rsidRPr="00B526AF" w:rsidRDefault="00475955">
      <w:pPr>
        <w:spacing w:line="360" w:lineRule="auto"/>
        <w:jc w:val="both"/>
        <w:rPr>
          <w:rFonts w:ascii="Palatino Linotype" w:eastAsia="Palatino Linotype" w:hAnsi="Palatino Linotype" w:cs="Palatino Linotype"/>
          <w:b/>
          <w:i/>
          <w:sz w:val="22"/>
          <w:szCs w:val="22"/>
        </w:rPr>
      </w:pPr>
    </w:p>
    <w:p w14:paraId="3F9E7EAB"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También, es conveniente a traer de nueva cuenta la integración del Registro Municipal de Unidades Económicas; el artículo 11 de la Ley de competitividad y ordenamiento comercial del Estado de México; véase: </w:t>
      </w:r>
      <w:hyperlink r:id="rId16">
        <w:r w:rsidRPr="00B526AF">
          <w:rPr>
            <w:rFonts w:ascii="Palatino Linotype" w:eastAsia="Palatino Linotype" w:hAnsi="Palatino Linotype" w:cs="Palatino Linotype"/>
            <w:u w:val="single"/>
          </w:rPr>
          <w:t>https://legislacion.edomex.gob.mx/sites/legislacion.edomex.gob.mx/files/files/pdf/l</w:t>
        </w:r>
        <w:r w:rsidRPr="00B526AF">
          <w:rPr>
            <w:rFonts w:ascii="Palatino Linotype" w:eastAsia="Palatino Linotype" w:hAnsi="Palatino Linotype" w:cs="Palatino Linotype"/>
            <w:u w:val="single"/>
          </w:rPr>
          <w:lastRenderedPageBreak/>
          <w:t>ey/vig/leyvig217.pdf</w:t>
        </w:r>
      </w:hyperlink>
      <w:r w:rsidRPr="00B526AF">
        <w:rPr>
          <w:rFonts w:ascii="Palatino Linotype" w:eastAsia="Palatino Linotype" w:hAnsi="Palatino Linotype" w:cs="Palatino Linotype"/>
        </w:rPr>
        <w:t xml:space="preserve">; en donde se establece los elementos que debe contemplar el Registro de las licencias de funcionamiento, en los siguientes términos: </w:t>
      </w:r>
    </w:p>
    <w:p w14:paraId="3E6E3C4A" w14:textId="77777777" w:rsidR="00475955" w:rsidRPr="00B526AF" w:rsidRDefault="00475955">
      <w:pPr>
        <w:spacing w:line="360" w:lineRule="auto"/>
        <w:ind w:left="567" w:right="539"/>
        <w:jc w:val="both"/>
        <w:rPr>
          <w:rFonts w:ascii="Palatino Linotype" w:eastAsia="Palatino Linotype" w:hAnsi="Palatino Linotype" w:cs="Palatino Linotype"/>
          <w:i/>
        </w:rPr>
      </w:pPr>
    </w:p>
    <w:p w14:paraId="260BB861" w14:textId="77777777" w:rsidR="00475955" w:rsidRPr="00B526AF" w:rsidRDefault="001F2C49">
      <w:pPr>
        <w:ind w:left="567" w:right="539"/>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 xml:space="preserve">“Artículo 11. El registro incluirá al menos los datos siguientes: </w:t>
      </w:r>
    </w:p>
    <w:p w14:paraId="2AAD1E62"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I. Clave única, que se integrará de una serie alfanumérica. </w:t>
      </w:r>
    </w:p>
    <w:p w14:paraId="4E735178"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II. Nombre del municipio. </w:t>
      </w:r>
    </w:p>
    <w:p w14:paraId="39094774"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III. Nombre del titular. </w:t>
      </w:r>
    </w:p>
    <w:p w14:paraId="34070555"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IV. Actividad económica. </w:t>
      </w:r>
    </w:p>
    <w:p w14:paraId="0C645FB4"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V. Fecha de inicio de actividades. </w:t>
      </w:r>
    </w:p>
    <w:p w14:paraId="01B83D5C"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VI. Tipo de impacto. </w:t>
      </w:r>
    </w:p>
    <w:p w14:paraId="1416920B"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VII. Domicilio de la unidad económica. </w:t>
      </w:r>
    </w:p>
    <w:p w14:paraId="40ED7C80" w14:textId="77777777" w:rsidR="00475955" w:rsidRPr="00B526AF" w:rsidRDefault="001F2C49">
      <w:pPr>
        <w:ind w:left="567" w:right="539"/>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 xml:space="preserve">VIII. Visitas y procedimientos de verificación en su caso. </w:t>
      </w:r>
    </w:p>
    <w:p w14:paraId="71CE166F"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IX. Sanciones en su caso</w:t>
      </w:r>
      <w:r w:rsidRPr="00B526AF">
        <w:rPr>
          <w:rFonts w:ascii="Palatino Linotype" w:eastAsia="Palatino Linotype" w:hAnsi="Palatino Linotype" w:cs="Palatino Linotype"/>
          <w:i/>
          <w:sz w:val="22"/>
          <w:szCs w:val="22"/>
        </w:rPr>
        <w:t xml:space="preserve">. </w:t>
      </w:r>
    </w:p>
    <w:p w14:paraId="0A3F9BA9"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X. Las demás que le confieran esta Ley y otras disposiciones aplicables. (Sic)</w:t>
      </w:r>
    </w:p>
    <w:p w14:paraId="45435545" w14:textId="77777777" w:rsidR="00475955" w:rsidRPr="00B526AF" w:rsidRDefault="001F2C4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B526AF">
        <w:rPr>
          <w:rFonts w:ascii="Palatino Linotype" w:eastAsia="Palatino Linotype" w:hAnsi="Palatino Linotype" w:cs="Palatino Linotype"/>
        </w:rPr>
        <w:t>De los anteriores preceptos legales, podemos advertir que la Dirección de Reglamentos y Vía Pública del Ayuntamiento de Otumba, es área competente para llevar las verificaciones a los establecimientos que cuentan con una licencia de funcionamiento y para el caso de que sobrevenga alguna causal señalada en el artículo el artículo 332 del Código Reglamentario antes referido, deberá  dictar la sanción correspondiente en términos de lo señalado por el artículo 180 de la Ley de Competitividad y Ordenamiento Comercial del Estado de México, que señala:</w:t>
      </w:r>
    </w:p>
    <w:p w14:paraId="432B1EB8"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“Artículo 180. Son sanciones administrativas: </w:t>
      </w:r>
    </w:p>
    <w:p w14:paraId="68464CD6"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I. Amonestación. </w:t>
      </w:r>
    </w:p>
    <w:p w14:paraId="6BFE9F55"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II. Amonestación con apercibimiento. </w:t>
      </w:r>
    </w:p>
    <w:p w14:paraId="223367CE"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III. Multa. </w:t>
      </w:r>
    </w:p>
    <w:p w14:paraId="29222147"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IV. Clausura temporal o definitiva, parcial o total. </w:t>
      </w:r>
    </w:p>
    <w:p w14:paraId="1D6379A9"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V. Arresto hasta por treinta y seis horas. </w:t>
      </w:r>
    </w:p>
    <w:p w14:paraId="0C3F0C35"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VI. Suspensión del permiso. </w:t>
      </w:r>
    </w:p>
    <w:p w14:paraId="69C40F7D"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II. Revocación o cancelación de las autorizaciones, licencias, dictámenes o permisos otorgados.” (Sic)</w:t>
      </w:r>
    </w:p>
    <w:p w14:paraId="21931E21"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lastRenderedPageBreak/>
        <w:t xml:space="preserve">Razones por las cuales lo procedente es ordenar el documento en donde consten las visitas y procedimientos de verificación a los establecimientos económicos que cuentan con una licencia de funcionamiento, concluidos, en el que se incluyan las sanciones correspondientes; desde primero de enero al treinta y uno de agosto del año dos mil veintidós, en versión pública en términos de lo señalado por el considerando quinto del presente fallo. </w:t>
      </w:r>
    </w:p>
    <w:p w14:paraId="23F7AB29"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Para el caso de que existan procedimientos en trámite dentro de la temporalidad </w:t>
      </w:r>
      <w:proofErr w:type="gramStart"/>
      <w:r w:rsidRPr="00B526AF">
        <w:rPr>
          <w:rFonts w:ascii="Palatino Linotype" w:eastAsia="Palatino Linotype" w:hAnsi="Palatino Linotype" w:cs="Palatino Linotype"/>
        </w:rPr>
        <w:t>que</w:t>
      </w:r>
      <w:proofErr w:type="gramEnd"/>
      <w:r w:rsidRPr="00B526AF">
        <w:rPr>
          <w:rFonts w:ascii="Palatino Linotype" w:eastAsia="Palatino Linotype" w:hAnsi="Palatino Linotype" w:cs="Palatino Linotype"/>
        </w:rPr>
        <w:t xml:space="preserve"> señalada en el párrafo anterior, dicha información reviste el carácter de información reservada y en este caso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deberá emitir un acuerdo que clasifique como reservado el procedimiento.</w:t>
      </w:r>
    </w:p>
    <w:p w14:paraId="6F6E0F32" w14:textId="77777777" w:rsidR="00475955" w:rsidRPr="00B526AF" w:rsidRDefault="001F2C49">
      <w:pPr>
        <w:spacing w:line="360" w:lineRule="auto"/>
        <w:ind w:right="49"/>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Lo anterior es así, para dar seguridad jurídica al solicitante que por alguna excepción establecida en ley no es posible acceder temporalmente a la información referida anteriormente, para así no dejar en estado de indefensión y exista certeza jurídica de lo expuesto por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debiendo tomar en cuenta los siguientes preceptos legales de la Ley de Transparencia y Acceso a la Información Pública del Estado de México y Municipios:</w:t>
      </w:r>
    </w:p>
    <w:p w14:paraId="6C49E00E" w14:textId="77777777" w:rsidR="00475955" w:rsidRPr="00B526AF" w:rsidRDefault="00475955">
      <w:pPr>
        <w:spacing w:line="360" w:lineRule="auto"/>
        <w:ind w:right="49"/>
        <w:jc w:val="both"/>
        <w:rPr>
          <w:rFonts w:ascii="Palatino Linotype" w:eastAsia="Palatino Linotype" w:hAnsi="Palatino Linotype" w:cs="Palatino Linotype"/>
        </w:rPr>
      </w:pPr>
    </w:p>
    <w:p w14:paraId="692572B1"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“Artículo 3. Para los efectos de la presente Ley se entenderá por:</w:t>
      </w:r>
    </w:p>
    <w:p w14:paraId="5CADE902"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p>
    <w:p w14:paraId="16D0E378"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 xml:space="preserve">XXIV. Información reservada: </w:t>
      </w:r>
      <w:r w:rsidRPr="00B526AF">
        <w:rPr>
          <w:rFonts w:ascii="Palatino Linotype" w:eastAsia="Palatino Linotype" w:hAnsi="Palatino Linotype" w:cs="Palatino Linotype"/>
          <w:i/>
          <w:sz w:val="22"/>
          <w:szCs w:val="22"/>
        </w:rPr>
        <w:t>La clasificada con este carácter de manera temporal por las disposiciones de esta Ley, cuya divulgación puede causar daño en términos de lo establecido por esta Ley;</w:t>
      </w:r>
    </w:p>
    <w:p w14:paraId="66B34217"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Artículo 122. </w:t>
      </w:r>
      <w:r w:rsidRPr="00B526AF">
        <w:rPr>
          <w:rFonts w:ascii="Palatino Linotype" w:eastAsia="Palatino Linotype" w:hAnsi="Palatino Linotype" w:cs="Palatino Linotype"/>
          <w:b/>
          <w:i/>
          <w:sz w:val="22"/>
          <w:szCs w:val="22"/>
        </w:rPr>
        <w:t>La clasificación es el proceso mediante el cual el Sujeto Obligado determina que la información en su poder actualizar alguno de los supuestos de reserva</w:t>
      </w:r>
      <w:r w:rsidRPr="00B526AF">
        <w:rPr>
          <w:rFonts w:ascii="Palatino Linotype" w:eastAsia="Palatino Linotype" w:hAnsi="Palatino Linotype" w:cs="Palatino Linotype"/>
          <w:i/>
          <w:sz w:val="22"/>
          <w:szCs w:val="22"/>
        </w:rPr>
        <w:t xml:space="preserve"> o confidencialidad, de conformidad con lo dispuesto en el presente título.</w:t>
      </w:r>
    </w:p>
    <w:p w14:paraId="05FB61D9"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lastRenderedPageBreak/>
        <w:t>Los supuestos de reserva o confidencialidad previstos en las leyes deberán ser acordes con las bases, principios y disposiciones establecidos en la Ley General y, en ningún caso, podrán contravenirla.</w:t>
      </w:r>
    </w:p>
    <w:p w14:paraId="17E56E1E"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57BE35C9"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 xml:space="preserve">Artículo 125. La información clasificada como reservada, de acuerdo a lo establecido en esta Ley podrá permanecer con tal carácter hasta por un periodo de cinco años, </w:t>
      </w:r>
      <w:r w:rsidRPr="00B526AF">
        <w:rPr>
          <w:rFonts w:ascii="Palatino Linotype" w:eastAsia="Palatino Linotype" w:hAnsi="Palatino Linotype" w:cs="Palatino Linotype"/>
          <w:i/>
          <w:sz w:val="22"/>
          <w:szCs w:val="22"/>
        </w:rPr>
        <w:t>contados a partir de su clasificación, salvo que antes del cumplimiento del periodo de restricción, dejaran de existir los motivos de su reserva.</w:t>
      </w:r>
    </w:p>
    <w:p w14:paraId="37224566"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38CD2AAE"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14:paraId="31EB19C6"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w:t>
      </w:r>
    </w:p>
    <w:p w14:paraId="23487C20" w14:textId="77777777" w:rsidR="00475955" w:rsidRPr="00B526AF" w:rsidRDefault="001F2C49">
      <w:pPr>
        <w:ind w:left="851" w:right="822"/>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w:t>
      </w:r>
    </w:p>
    <w:p w14:paraId="2ECE9E22" w14:textId="77777777" w:rsidR="00475955" w:rsidRPr="00B526AF" w:rsidRDefault="001F2C49">
      <w:pPr>
        <w:ind w:left="851" w:right="822"/>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 xml:space="preserve">Artículo 128. En los casos en que se niegue el acceso a la información, por actualizarse alguno de los supuestos de clasificación, el Comité de Transparencia deberá confirmar, modificar o revocar la decisión. </w:t>
      </w:r>
    </w:p>
    <w:p w14:paraId="47955545" w14:textId="77777777" w:rsidR="00475955" w:rsidRPr="00B526AF" w:rsidRDefault="001F2C49">
      <w:pPr>
        <w:ind w:left="851" w:right="822"/>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i/>
          <w:sz w:val="22"/>
          <w:szCs w:val="22"/>
        </w:rPr>
        <w:t xml:space="preserve">Para motivar la clasificación de la información y la ampliación del plazo de reserva, </w:t>
      </w:r>
      <w:r w:rsidRPr="00B526AF">
        <w:rPr>
          <w:rFonts w:ascii="Palatino Linotype" w:eastAsia="Palatino Linotype" w:hAnsi="Palatino Linotype" w:cs="Palatino Linotype"/>
          <w:b/>
          <w:i/>
          <w:sz w:val="22"/>
          <w:szCs w:val="22"/>
        </w:rPr>
        <w:t>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46F50684"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 xml:space="preserve">Tratándose de </w:t>
      </w:r>
      <w:proofErr w:type="gramStart"/>
      <w:r w:rsidRPr="00B526AF">
        <w:rPr>
          <w:rFonts w:ascii="Palatino Linotype" w:eastAsia="Palatino Linotype" w:hAnsi="Palatino Linotype" w:cs="Palatino Linotype"/>
          <w:i/>
          <w:sz w:val="22"/>
          <w:szCs w:val="22"/>
        </w:rPr>
        <w:t>aquélla</w:t>
      </w:r>
      <w:proofErr w:type="gramEnd"/>
      <w:r w:rsidRPr="00B526AF">
        <w:rPr>
          <w:rFonts w:ascii="Palatino Linotype" w:eastAsia="Palatino Linotype" w:hAnsi="Palatino Linotype" w:cs="Palatino Linotype"/>
          <w:i/>
          <w:sz w:val="22"/>
          <w:szCs w:val="22"/>
        </w:rPr>
        <w:t xml:space="preserve"> información que actualice los supuestos de clasificación, deberá señalarse el plazo al que estará sujeto la reserva.</w:t>
      </w:r>
    </w:p>
    <w:p w14:paraId="4107D69C" w14:textId="77777777" w:rsidR="00475955" w:rsidRPr="00B526AF" w:rsidRDefault="001F2C49">
      <w:pPr>
        <w:ind w:left="851" w:right="822"/>
        <w:jc w:val="both"/>
        <w:rPr>
          <w:rFonts w:ascii="Palatino Linotype" w:eastAsia="Palatino Linotype" w:hAnsi="Palatino Linotype" w:cs="Palatino Linotype"/>
          <w:b/>
          <w:i/>
          <w:sz w:val="22"/>
          <w:szCs w:val="22"/>
          <w:u w:val="single"/>
        </w:rPr>
      </w:pPr>
      <w:r w:rsidRPr="00B526AF">
        <w:rPr>
          <w:rFonts w:ascii="Palatino Linotype" w:eastAsia="Palatino Linotype" w:hAnsi="Palatino Linotype" w:cs="Palatino Linotype"/>
          <w:i/>
          <w:sz w:val="22"/>
          <w:szCs w:val="22"/>
        </w:rPr>
        <w:lastRenderedPageBreak/>
        <w:t xml:space="preserve">Artículo 129. </w:t>
      </w:r>
      <w:r w:rsidRPr="00B526AF">
        <w:rPr>
          <w:rFonts w:ascii="Palatino Linotype" w:eastAsia="Palatino Linotype" w:hAnsi="Palatino Linotype" w:cs="Palatino Linotype"/>
          <w:b/>
          <w:i/>
          <w:sz w:val="22"/>
          <w:szCs w:val="22"/>
        </w:rPr>
        <w:t>En la aplicación de la prueba de daño, el Sujeto Obligado deberá precisar las razones objetivas por las que la apertura de la información generaría una afectación, justificando que:</w:t>
      </w:r>
    </w:p>
    <w:p w14:paraId="64C104A6" w14:textId="77777777" w:rsidR="00475955" w:rsidRPr="00B526AF" w:rsidRDefault="001F2C49">
      <w:pPr>
        <w:ind w:left="851" w:right="822"/>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I. La divulgación de la información representa un riesgo real, demostrable e identificable del perjuicio significativo al interés público o a la seguridad pública;</w:t>
      </w:r>
    </w:p>
    <w:p w14:paraId="5BDC364F" w14:textId="77777777" w:rsidR="00475955" w:rsidRPr="00B526AF" w:rsidRDefault="001F2C49">
      <w:pPr>
        <w:ind w:left="851" w:right="822"/>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II. El riesgo de perjuicio que supondría la divulgación supera el interés público general de que se difunda; y</w:t>
      </w:r>
    </w:p>
    <w:p w14:paraId="2A1C6505" w14:textId="77777777" w:rsidR="00475955" w:rsidRPr="00B526AF" w:rsidRDefault="001F2C49">
      <w:pPr>
        <w:ind w:left="851" w:right="822"/>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III. La limitación se adecua al principio de proporcionalidad y representa el medio menos restrictivo disponible representa el medio menos restrictivo disponible para evitar el perjuicio.</w:t>
      </w:r>
    </w:p>
    <w:p w14:paraId="1E5C2F02"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u w:val="single"/>
        </w:rPr>
        <w:t>Artículo 130. Los sujetos obligados deberán aplicar, de manera restrictiva y limitada, las excepciones al derecho de acceso a la información y sólo podrán invocarlas cuando acrediten su procedencia</w:t>
      </w:r>
      <w:r w:rsidRPr="00B526AF">
        <w:rPr>
          <w:rFonts w:ascii="Palatino Linotype" w:eastAsia="Palatino Linotype" w:hAnsi="Palatino Linotype" w:cs="Palatino Linotype"/>
          <w:i/>
          <w:sz w:val="22"/>
          <w:szCs w:val="22"/>
        </w:rPr>
        <w:t>, sin ampliar las excepciones o supuestos de reserva o confidencialidad previstos en la Ley General y la presente Ley, aduciendo analogía o mayoría de razón.</w:t>
      </w:r>
    </w:p>
    <w:p w14:paraId="5184306C" w14:textId="77777777" w:rsidR="00475955" w:rsidRPr="00B526AF" w:rsidRDefault="001F2C49">
      <w:pPr>
        <w:ind w:left="851" w:right="822"/>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Artículo 140. El acceso a la información pública será restringido excepcionalmente, cuando por razones de interés público, ésta sea clasificada como reservada, conforme a los criterios siguientes:</w:t>
      </w:r>
    </w:p>
    <w:p w14:paraId="57429120"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p>
    <w:p w14:paraId="2FC65610"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VI.</w:t>
      </w:r>
      <w:r w:rsidRPr="00B526AF">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(Sic)</w:t>
      </w:r>
    </w:p>
    <w:p w14:paraId="66E06AB1" w14:textId="77777777" w:rsidR="00475955" w:rsidRPr="00B526AF" w:rsidRDefault="00475955">
      <w:pPr>
        <w:spacing w:line="360" w:lineRule="auto"/>
        <w:ind w:right="49"/>
        <w:jc w:val="both"/>
        <w:rPr>
          <w:rFonts w:ascii="Palatino Linotype" w:eastAsia="Palatino Linotype" w:hAnsi="Palatino Linotype" w:cs="Palatino Linotype"/>
          <w:i/>
        </w:rPr>
      </w:pPr>
    </w:p>
    <w:p w14:paraId="4A6A020F" w14:textId="77777777" w:rsidR="00475955" w:rsidRPr="00B526AF" w:rsidRDefault="001F2C49">
      <w:pPr>
        <w:spacing w:line="360" w:lineRule="auto"/>
        <w:ind w:right="49"/>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De la interpretación sistemática de los artículos citados, se advierte que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debe realizar la debida reserva de la información por seguir en trámite el procedimiento aludido, siguiendo los requisitos expuestos: </w:t>
      </w:r>
    </w:p>
    <w:p w14:paraId="5FDDD9A8" w14:textId="77777777" w:rsidR="00475955" w:rsidRPr="00B526AF" w:rsidRDefault="00475955">
      <w:pPr>
        <w:spacing w:line="360" w:lineRule="auto"/>
        <w:ind w:right="49"/>
        <w:jc w:val="both"/>
        <w:rPr>
          <w:rFonts w:ascii="Palatino Linotype" w:eastAsia="Palatino Linotype" w:hAnsi="Palatino Linotype" w:cs="Palatino Linotype"/>
        </w:rPr>
      </w:pPr>
    </w:p>
    <w:p w14:paraId="5CF3E48F"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“La divulgación de la información representa un riesgo real, demostrable e identificable del perjuicio significativo al interés público o a la seguridad pública;</w:t>
      </w:r>
    </w:p>
    <w:p w14:paraId="13943CAF"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El riesgo de perjuicio que supondría la divulgación supera el interés público general de que se difunda; y</w:t>
      </w:r>
    </w:p>
    <w:p w14:paraId="38E8CD48"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lastRenderedPageBreak/>
        <w:t>La limitación se adecua al principio de proporcionalidad y representa el medio menos restrictivo disponible representa el medio menos restrictivo disponible para evitar el perjuicio.” (Sic)</w:t>
      </w:r>
    </w:p>
    <w:p w14:paraId="5618167A" w14:textId="77777777" w:rsidR="00475955" w:rsidRPr="00B526AF" w:rsidRDefault="00475955">
      <w:pPr>
        <w:spacing w:line="360" w:lineRule="auto"/>
        <w:ind w:left="851" w:right="822"/>
        <w:jc w:val="both"/>
        <w:rPr>
          <w:rFonts w:ascii="Palatino Linotype" w:eastAsia="Palatino Linotype" w:hAnsi="Palatino Linotype" w:cs="Palatino Linotype"/>
          <w:b/>
          <w:i/>
          <w:sz w:val="22"/>
          <w:szCs w:val="22"/>
        </w:rPr>
      </w:pPr>
    </w:p>
    <w:p w14:paraId="75231F8F" w14:textId="77777777" w:rsidR="00475955" w:rsidRPr="00B526AF" w:rsidRDefault="001F2C49">
      <w:pPr>
        <w:spacing w:line="360" w:lineRule="auto"/>
        <w:ind w:right="49"/>
        <w:jc w:val="both"/>
        <w:rPr>
          <w:rFonts w:ascii="Palatino Linotype" w:eastAsia="Palatino Linotype" w:hAnsi="Palatino Linotype" w:cs="Palatino Linotype"/>
        </w:rPr>
      </w:pPr>
      <w:r w:rsidRPr="00B526AF">
        <w:rPr>
          <w:rFonts w:ascii="Palatino Linotype" w:eastAsia="Palatino Linotype" w:hAnsi="Palatino Linotype" w:cs="Palatino Linotype"/>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14:paraId="5F7E9799" w14:textId="77777777" w:rsidR="00475955" w:rsidRPr="00B526AF" w:rsidRDefault="00475955">
      <w:pPr>
        <w:spacing w:line="360" w:lineRule="auto"/>
        <w:ind w:right="49"/>
        <w:jc w:val="both"/>
        <w:rPr>
          <w:rFonts w:ascii="Palatino Linotype" w:eastAsia="Palatino Linotype" w:hAnsi="Palatino Linotype" w:cs="Palatino Linotype"/>
        </w:rPr>
      </w:pPr>
    </w:p>
    <w:p w14:paraId="168AC318" w14:textId="77777777" w:rsidR="00475955" w:rsidRPr="00B526AF" w:rsidRDefault="001F2C49">
      <w:pPr>
        <w:ind w:left="851" w:right="822"/>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p>
    <w:p w14:paraId="646B2285" w14:textId="77777777" w:rsidR="00475955" w:rsidRPr="00B526AF" w:rsidRDefault="001F2C49">
      <w:pPr>
        <w:ind w:left="851" w:right="822"/>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El contenido formal de la garantía de legalidad prevista en el artículo </w:t>
      </w:r>
      <w:hyperlink r:id="rId17">
        <w:r w:rsidRPr="00B526AF">
          <w:rPr>
            <w:rFonts w:ascii="Palatino Linotype" w:eastAsia="Palatino Linotype" w:hAnsi="Palatino Linotype" w:cs="Palatino Linotype"/>
            <w:i/>
            <w:sz w:val="22"/>
            <w:szCs w:val="22"/>
            <w:u w:val="single"/>
          </w:rPr>
          <w:t>16 constitucional</w:t>
        </w:r>
      </w:hyperlink>
      <w:r w:rsidRPr="00B526AF">
        <w:rPr>
          <w:rFonts w:ascii="Palatino Linotype" w:eastAsia="Palatino Linotype" w:hAnsi="Palatino Linotype" w:cs="Palatino Linotype"/>
          <w:i/>
          <w:sz w:val="22"/>
          <w:szCs w:val="22"/>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7D1827FF" w14:textId="77777777" w:rsidR="00475955" w:rsidRPr="00B526AF" w:rsidRDefault="00475955">
      <w:pPr>
        <w:spacing w:line="360" w:lineRule="auto"/>
        <w:jc w:val="both"/>
        <w:rPr>
          <w:rFonts w:ascii="Palatino Linotype" w:eastAsia="Palatino Linotype" w:hAnsi="Palatino Linotype" w:cs="Palatino Linotype"/>
          <w:b/>
        </w:rPr>
      </w:pPr>
    </w:p>
    <w:p w14:paraId="22C3601E"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t xml:space="preserve">Quinto. Versión Pública. </w:t>
      </w:r>
      <w:r w:rsidRPr="00B526AF">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w:t>
      </w:r>
      <w:r w:rsidRPr="00B526AF">
        <w:rPr>
          <w:rFonts w:ascii="Palatino Linotype" w:eastAsia="Palatino Linotype" w:hAnsi="Palatino Linotype" w:cs="Palatino Linotype"/>
        </w:rPr>
        <w:lastRenderedPageBreak/>
        <w:t xml:space="preserve">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B526AF">
        <w:rPr>
          <w:rFonts w:ascii="Palatino Linotype" w:eastAsia="Palatino Linotype" w:hAnsi="Palatino Linotype" w:cs="Palatino Linotype"/>
          <w:b/>
        </w:rPr>
        <w:t>RECURRENTE</w:t>
      </w:r>
      <w:r w:rsidRPr="00B526AF">
        <w:rPr>
          <w:rFonts w:ascii="Palatino Linotype" w:eastAsia="Palatino Linotype" w:hAnsi="Palatino Linotype" w:cs="Palatino Linotype"/>
        </w:rPr>
        <w:t xml:space="preserve"> sin menoscabar el derecho a la protección de los datos personales de terceros.</w:t>
      </w:r>
    </w:p>
    <w:p w14:paraId="3C4B29C1" w14:textId="77777777" w:rsidR="00475955" w:rsidRPr="00B526AF" w:rsidRDefault="001F2C49">
      <w:pPr>
        <w:spacing w:before="240" w:after="240" w:line="360" w:lineRule="auto"/>
        <w:ind w:right="50"/>
        <w:jc w:val="both"/>
        <w:rPr>
          <w:rFonts w:ascii="Palatino Linotype" w:eastAsia="Palatino Linotype" w:hAnsi="Palatino Linotype" w:cs="Palatino Linotype"/>
        </w:rPr>
      </w:pPr>
      <w:r w:rsidRPr="00B526AF">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2A8D9633" w14:textId="77777777" w:rsidR="00475955" w:rsidRPr="00B526AF" w:rsidRDefault="001F2C49">
      <w:pPr>
        <w:ind w:left="993" w:right="1041"/>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 xml:space="preserve"> “Artículo 3. Para los efectos de la presente Ley se entenderá por:</w:t>
      </w:r>
    </w:p>
    <w:p w14:paraId="14C7E824" w14:textId="77777777" w:rsidR="00475955" w:rsidRPr="00B526AF" w:rsidRDefault="001F2C49">
      <w:pPr>
        <w:ind w:left="993" w:right="104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IX. Datos personales:</w:t>
      </w:r>
      <w:r w:rsidRPr="00B526AF">
        <w:rPr>
          <w:rFonts w:ascii="Palatino Linotype" w:eastAsia="Palatino Linotype" w:hAnsi="Palatino Linotype" w:cs="Palatino Linotype"/>
          <w:i/>
          <w:sz w:val="22"/>
          <w:szCs w:val="22"/>
        </w:rPr>
        <w:t xml:space="preserve"> </w:t>
      </w:r>
      <w:r w:rsidRPr="00B526AF">
        <w:rPr>
          <w:rFonts w:ascii="Palatino Linotype" w:eastAsia="Palatino Linotype" w:hAnsi="Palatino Linotype" w:cs="Palatino Linotype"/>
          <w:b/>
          <w:i/>
          <w:sz w:val="22"/>
          <w:szCs w:val="22"/>
        </w:rPr>
        <w:t>La información concerniente a una persona, identificada o identificable</w:t>
      </w:r>
      <w:r w:rsidRPr="00B526AF">
        <w:rPr>
          <w:rFonts w:ascii="Palatino Linotype" w:eastAsia="Palatino Linotype" w:hAnsi="Palatino Linotype" w:cs="Palatino Linotype"/>
          <w:i/>
          <w:sz w:val="22"/>
          <w:szCs w:val="22"/>
        </w:rPr>
        <w:t xml:space="preserve"> según lo dispuesto por la Ley de Protección de Datos Personales del Estado de México;</w:t>
      </w:r>
    </w:p>
    <w:p w14:paraId="542156BD" w14:textId="77777777" w:rsidR="00475955" w:rsidRPr="00B526AF" w:rsidRDefault="001F2C49">
      <w:pPr>
        <w:ind w:left="993" w:right="104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XX. Información clasificada:</w:t>
      </w:r>
      <w:r w:rsidRPr="00B526AF">
        <w:rPr>
          <w:rFonts w:ascii="Palatino Linotype" w:eastAsia="Palatino Linotype" w:hAnsi="Palatino Linotype" w:cs="Palatino Linotype"/>
          <w:i/>
          <w:sz w:val="22"/>
          <w:szCs w:val="22"/>
        </w:rPr>
        <w:t xml:space="preserve"> Aquella considerada por la presente Ley como reservada o confidencial;</w:t>
      </w:r>
    </w:p>
    <w:p w14:paraId="1E096A34" w14:textId="77777777" w:rsidR="00475955" w:rsidRPr="00B526AF" w:rsidRDefault="001F2C49">
      <w:pPr>
        <w:ind w:left="993" w:right="104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XXXII. Protección de Datos Personales:</w:t>
      </w:r>
      <w:r w:rsidRPr="00B526AF">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6A3C02B0" w14:textId="77777777" w:rsidR="00475955" w:rsidRPr="00B526AF" w:rsidRDefault="001F2C49">
      <w:pPr>
        <w:ind w:left="993" w:right="104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XLV. Versión pública</w:t>
      </w:r>
      <w:r w:rsidRPr="00B526AF">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B4003D0" w14:textId="77777777" w:rsidR="00475955" w:rsidRPr="00B526AF" w:rsidRDefault="00475955">
      <w:pPr>
        <w:ind w:left="993" w:right="1041"/>
        <w:jc w:val="both"/>
        <w:rPr>
          <w:rFonts w:ascii="Palatino Linotype" w:eastAsia="Palatino Linotype" w:hAnsi="Palatino Linotype" w:cs="Palatino Linotype"/>
          <w:i/>
          <w:sz w:val="22"/>
          <w:szCs w:val="22"/>
        </w:rPr>
      </w:pPr>
    </w:p>
    <w:p w14:paraId="01DF0F4B" w14:textId="77777777" w:rsidR="00475955" w:rsidRPr="00B526AF" w:rsidRDefault="001F2C49">
      <w:pPr>
        <w:ind w:left="993" w:right="104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“Artículo 6.</w:t>
      </w:r>
      <w:r w:rsidRPr="00B526AF">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55A63B8" w14:textId="77777777" w:rsidR="00475955" w:rsidRPr="00B526AF" w:rsidRDefault="00475955">
      <w:pPr>
        <w:ind w:left="993" w:right="1041"/>
        <w:jc w:val="both"/>
        <w:rPr>
          <w:rFonts w:ascii="Palatino Linotype" w:eastAsia="Palatino Linotype" w:hAnsi="Palatino Linotype" w:cs="Palatino Linotype"/>
          <w:i/>
          <w:sz w:val="22"/>
          <w:szCs w:val="22"/>
        </w:rPr>
      </w:pPr>
    </w:p>
    <w:p w14:paraId="57B081E1" w14:textId="77777777" w:rsidR="00475955" w:rsidRPr="00B526AF" w:rsidRDefault="001F2C49">
      <w:pPr>
        <w:ind w:left="993" w:right="1041"/>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“Artículo 137.</w:t>
      </w:r>
      <w:r w:rsidRPr="00B526A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w:t>
      </w:r>
      <w:r w:rsidRPr="00B526AF">
        <w:rPr>
          <w:rFonts w:ascii="Palatino Linotype" w:eastAsia="Palatino Linotype" w:hAnsi="Palatino Linotype" w:cs="Palatino Linotype"/>
          <w:i/>
          <w:sz w:val="22"/>
          <w:szCs w:val="22"/>
        </w:rPr>
        <w:lastRenderedPageBreak/>
        <w:t>versión pública en la que se testen las partes o secciones clasificadas, indicando su contenido de manera genérica y fundando y motivando su clasificación.”</w:t>
      </w:r>
    </w:p>
    <w:p w14:paraId="29738522" w14:textId="77777777" w:rsidR="00475955" w:rsidRPr="00B526AF" w:rsidRDefault="00475955">
      <w:pPr>
        <w:ind w:left="993" w:right="1041"/>
        <w:jc w:val="both"/>
        <w:rPr>
          <w:rFonts w:ascii="Palatino Linotype" w:eastAsia="Palatino Linotype" w:hAnsi="Palatino Linotype" w:cs="Palatino Linotype"/>
          <w:b/>
          <w:i/>
          <w:sz w:val="22"/>
          <w:szCs w:val="22"/>
        </w:rPr>
      </w:pPr>
    </w:p>
    <w:p w14:paraId="4FC72E82" w14:textId="77777777" w:rsidR="00475955" w:rsidRPr="00B526AF" w:rsidRDefault="001F2C49">
      <w:pPr>
        <w:ind w:left="993" w:right="104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“Artículo 143</w:t>
      </w:r>
      <w:r w:rsidRPr="00B526A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750242B" w14:textId="77777777" w:rsidR="00475955" w:rsidRPr="00B526AF" w:rsidRDefault="001F2C49">
      <w:pPr>
        <w:ind w:left="993" w:right="104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I.</w:t>
      </w:r>
      <w:r w:rsidRPr="00B526AF">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48885186" w14:textId="77777777" w:rsidR="00475955" w:rsidRPr="00B526AF" w:rsidRDefault="001F2C49">
      <w:pPr>
        <w:ind w:left="993" w:right="104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0AC5B98" w14:textId="77777777" w:rsidR="00475955" w:rsidRPr="00B526AF" w:rsidRDefault="001F2C49">
      <w:pPr>
        <w:ind w:left="993" w:right="104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5F42AEDB" w14:textId="77777777" w:rsidR="00475955" w:rsidRPr="00B526AF" w:rsidRDefault="00475955">
      <w:pPr>
        <w:ind w:left="993" w:right="1041"/>
        <w:jc w:val="both"/>
        <w:rPr>
          <w:rFonts w:ascii="Palatino Linotype" w:eastAsia="Palatino Linotype" w:hAnsi="Palatino Linotype" w:cs="Palatino Linotype"/>
          <w:i/>
          <w:sz w:val="22"/>
          <w:szCs w:val="22"/>
        </w:rPr>
      </w:pPr>
    </w:p>
    <w:p w14:paraId="1C3B0331" w14:textId="77777777" w:rsidR="00475955" w:rsidRPr="00B526AF" w:rsidRDefault="001F2C49">
      <w:pPr>
        <w:spacing w:line="360" w:lineRule="auto"/>
        <w:ind w:right="51"/>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B526AF">
        <w:rPr>
          <w:rFonts w:ascii="Palatino Linotype" w:eastAsia="Palatino Linotype" w:hAnsi="Palatino Linotype" w:cs="Palatino Linotype"/>
          <w:b/>
        </w:rPr>
        <w:t>RECURRENTE</w:t>
      </w:r>
      <w:r w:rsidRPr="00B526AF">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EF63D67" w14:textId="77777777" w:rsidR="00475955" w:rsidRPr="00B526AF" w:rsidRDefault="00475955">
      <w:pPr>
        <w:spacing w:line="360" w:lineRule="auto"/>
        <w:ind w:right="51"/>
        <w:jc w:val="both"/>
        <w:rPr>
          <w:rFonts w:ascii="Palatino Linotype" w:eastAsia="Palatino Linotype" w:hAnsi="Palatino Linotype" w:cs="Palatino Linotype"/>
        </w:rPr>
      </w:pPr>
    </w:p>
    <w:p w14:paraId="679E60A6" w14:textId="77777777" w:rsidR="00475955" w:rsidRPr="00B526AF" w:rsidRDefault="001F2C49">
      <w:pPr>
        <w:spacing w:line="360" w:lineRule="auto"/>
        <w:ind w:right="50"/>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w:t>
      </w:r>
      <w:r w:rsidRPr="00B526AF">
        <w:rPr>
          <w:rFonts w:ascii="Palatino Linotype" w:eastAsia="Palatino Linotype" w:hAnsi="Palatino Linotype" w:cs="Palatino Linotype"/>
        </w:rPr>
        <w:lastRenderedPageBreak/>
        <w:t>intransferibles e indelegables y los Sujetos Obligados no deberán hacer entrega de los mismos a personas ajenas a su titular.</w:t>
      </w:r>
    </w:p>
    <w:p w14:paraId="41EE9E0A" w14:textId="77777777" w:rsidR="00475955" w:rsidRPr="00B526AF" w:rsidRDefault="00475955">
      <w:pPr>
        <w:spacing w:line="360" w:lineRule="auto"/>
        <w:ind w:right="50"/>
        <w:jc w:val="both"/>
        <w:rPr>
          <w:rFonts w:ascii="Palatino Linotype" w:eastAsia="Palatino Linotype" w:hAnsi="Palatino Linotype" w:cs="Palatino Linotype"/>
        </w:rPr>
      </w:pPr>
    </w:p>
    <w:p w14:paraId="7A31C863" w14:textId="77777777" w:rsidR="00475955" w:rsidRPr="00B526AF" w:rsidRDefault="001F2C49">
      <w:pPr>
        <w:spacing w:line="360" w:lineRule="auto"/>
        <w:ind w:right="51"/>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En ese sentido, sobre la </w:t>
      </w:r>
      <w:r w:rsidRPr="00B526AF">
        <w:rPr>
          <w:rFonts w:ascii="Palatino Linotype" w:eastAsia="Palatino Linotype" w:hAnsi="Palatino Linotype" w:cs="Palatino Linotype"/>
          <w:b/>
        </w:rPr>
        <w:t>clave catastral</w:t>
      </w:r>
      <w:r w:rsidRPr="00B526AF">
        <w:rPr>
          <w:rFonts w:ascii="Palatino Linotype" w:eastAsia="Palatino Linotype" w:hAnsi="Palatino Linotype" w:cs="Palatino Linotype"/>
        </w:rPr>
        <w:t xml:space="preserve"> debe decirse que artículo 179, fracción I del </w:t>
      </w:r>
      <w:r w:rsidRPr="00B526AF">
        <w:rPr>
          <w:rFonts w:ascii="Palatino Linotype" w:eastAsia="Palatino Linotype" w:hAnsi="Palatino Linotype" w:cs="Palatino Linotype"/>
          <w:i/>
        </w:rPr>
        <w:t>Código Financiero del Estado de México y Municipios,</w:t>
      </w:r>
      <w:r w:rsidRPr="00B526AF">
        <w:rPr>
          <w:rFonts w:ascii="Palatino Linotype" w:eastAsia="Palatino Linotype" w:hAnsi="Palatino Linotype" w:cs="Palatino Linotype"/>
        </w:rPr>
        <w:t xml:space="preserve">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62E1673D" w14:textId="77777777" w:rsidR="00475955" w:rsidRPr="00B526AF" w:rsidRDefault="001F2C49">
      <w:pPr>
        <w:spacing w:before="240" w:after="240" w:line="360" w:lineRule="auto"/>
        <w:ind w:right="-93"/>
        <w:jc w:val="both"/>
        <w:rPr>
          <w:rFonts w:ascii="Palatino Linotype" w:eastAsia="Palatino Linotype" w:hAnsi="Palatino Linotype" w:cs="Palatino Linotype"/>
        </w:rPr>
      </w:pPr>
      <w:r w:rsidRPr="00B526AF">
        <w:rPr>
          <w:rFonts w:ascii="Palatino Linotype" w:eastAsia="Palatino Linotype" w:hAnsi="Palatino Linotype" w:cs="Palatino Linotype"/>
        </w:rPr>
        <w:t>Conforme a lo descrito, se advierte que el dato en comento, hace referencia a un predio determinado.</w:t>
      </w:r>
    </w:p>
    <w:p w14:paraId="7C4270F0"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El “Diccionario de Datos catastrales Escala 1:1000” del Instituto Nacional de Estadística y Geografía (INEGI), contempla en su Glosario la definición de la Clave Catastral, la cual, apunta lo siguiente:</w:t>
      </w:r>
    </w:p>
    <w:p w14:paraId="1BF3A8F7" w14:textId="77777777" w:rsidR="00475955" w:rsidRPr="00B526AF" w:rsidRDefault="001F2C49">
      <w:pPr>
        <w:spacing w:before="120" w:after="120"/>
        <w:ind w:left="709" w:right="85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r w:rsidRPr="00B526AF">
        <w:rPr>
          <w:rFonts w:ascii="Palatino Linotype" w:eastAsia="Palatino Linotype" w:hAnsi="Palatino Linotype" w:cs="Palatino Linotype"/>
          <w:b/>
          <w:i/>
          <w:sz w:val="22"/>
          <w:szCs w:val="22"/>
        </w:rPr>
        <w:t>Clave Catastral</w:t>
      </w:r>
      <w:r w:rsidRPr="00B526AF">
        <w:rPr>
          <w:rFonts w:ascii="Palatino Linotype" w:eastAsia="Palatino Linotype" w:hAnsi="Palatino Linotype" w:cs="Palatino Linotype"/>
          <w:i/>
          <w:sz w:val="22"/>
          <w:szCs w:val="22"/>
        </w:rPr>
        <w:t>: El código que identifica al predio de forma única para su localización geográfica, mismo que es asignado a cada uno de ellos en el momento de su inscripción en el padrón catastral por las Unidades del Estado con atribuciones catastrales</w:t>
      </w:r>
      <w:proofErr w:type="gramStart"/>
      <w:r w:rsidRPr="00B526AF">
        <w:rPr>
          <w:rFonts w:ascii="Palatino Linotype" w:eastAsia="Palatino Linotype" w:hAnsi="Palatino Linotype" w:cs="Palatino Linotype"/>
          <w:i/>
          <w:sz w:val="22"/>
          <w:szCs w:val="22"/>
        </w:rPr>
        <w:t>.”(</w:t>
      </w:r>
      <w:proofErr w:type="gramEnd"/>
      <w:r w:rsidRPr="00B526AF">
        <w:rPr>
          <w:rFonts w:ascii="Palatino Linotype" w:eastAsia="Palatino Linotype" w:hAnsi="Palatino Linotype" w:cs="Palatino Linotype"/>
          <w:i/>
          <w:sz w:val="22"/>
          <w:szCs w:val="22"/>
        </w:rPr>
        <w:t>Sic)</w:t>
      </w:r>
    </w:p>
    <w:p w14:paraId="6DA5D648"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De los conceptos antepuestos,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w:t>
      </w:r>
      <w:r w:rsidRPr="00B526AF">
        <w:rPr>
          <w:rFonts w:ascii="Palatino Linotype" w:eastAsia="Palatino Linotype" w:hAnsi="Palatino Linotype" w:cs="Palatino Linotype"/>
        </w:rPr>
        <w:lastRenderedPageBreak/>
        <w:t>no se trata de actos de autoridad que ayuden a hacer público el quehacer de los servidores, por lo cual se considera que no es procedente la entrega de dicho dato.</w:t>
      </w:r>
    </w:p>
    <w:p w14:paraId="0E1A7E19"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En cuanto al </w:t>
      </w:r>
      <w:r w:rsidRPr="00B526AF">
        <w:rPr>
          <w:rFonts w:ascii="Palatino Linotype" w:eastAsia="Palatino Linotype" w:hAnsi="Palatino Linotype" w:cs="Palatino Linotype"/>
          <w:b/>
        </w:rPr>
        <w:t>nombre de representante legal</w:t>
      </w:r>
      <w:r w:rsidRPr="00B526AF">
        <w:rPr>
          <w:rFonts w:ascii="Palatino Linotype" w:eastAsia="Palatino Linotype" w:hAnsi="Palatino Linotype" w:cs="Palatino Linotype"/>
        </w:rPr>
        <w:t>, al respecto, resulta necesario señalar que las personas jurídico colectivas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solicitar y recibir diversas Licencias de Funcionamiento.</w:t>
      </w:r>
    </w:p>
    <w:p w14:paraId="296434F7" w14:textId="77777777" w:rsidR="00475955" w:rsidRPr="00B526AF" w:rsidRDefault="001F2C49">
      <w:pPr>
        <w:widowControl w:val="0"/>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14:paraId="04509DD5" w14:textId="77777777" w:rsidR="00475955" w:rsidRPr="00B526AF" w:rsidRDefault="00475955">
      <w:pPr>
        <w:spacing w:line="360" w:lineRule="auto"/>
        <w:jc w:val="both"/>
        <w:rPr>
          <w:rFonts w:ascii="Palatino Linotype" w:eastAsia="Palatino Linotype" w:hAnsi="Palatino Linotype" w:cs="Palatino Linotype"/>
        </w:rPr>
      </w:pPr>
    </w:p>
    <w:p w14:paraId="23C3AD67"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En esa tesitura, la representación de las personas morales se realizará por medio de representantes o apoderados, y en el caso específico de las sociedades mercantiles, dicha representación se otorgará mediante instrumento público.</w:t>
      </w:r>
    </w:p>
    <w:p w14:paraId="24E004AA" w14:textId="77777777" w:rsidR="00475955" w:rsidRPr="00B526AF" w:rsidRDefault="00475955">
      <w:pPr>
        <w:spacing w:line="360" w:lineRule="auto"/>
        <w:jc w:val="both"/>
        <w:rPr>
          <w:rFonts w:ascii="Palatino Linotype" w:eastAsia="Palatino Linotype" w:hAnsi="Palatino Linotype" w:cs="Palatino Linotype"/>
        </w:rPr>
      </w:pPr>
    </w:p>
    <w:p w14:paraId="411FA2BB"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Ello, toda vez que la representación legal debe ser conocida para surtir efectos ante terceros; es decir, la publicidad de la misma tiene por objeto dar certeza a quienes se relacionan con la persona jurídico-colectiva representada, que las actuaciones de su representante están previamente autorizadas y que surtirán efectos legales a que constriñe cada acto.</w:t>
      </w:r>
    </w:p>
    <w:p w14:paraId="75B2C9E1"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lastRenderedPageBreak/>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del apoderado legal de una empresa, </w:t>
      </w:r>
      <w:r w:rsidRPr="00B526AF">
        <w:rPr>
          <w:rFonts w:ascii="Palatino Linotype" w:eastAsia="Palatino Linotype" w:hAnsi="Palatino Linotype" w:cs="Palatino Linotype"/>
          <w:b/>
        </w:rPr>
        <w:t xml:space="preserve">es público, </w:t>
      </w:r>
      <w:r w:rsidRPr="00B526AF">
        <w:rPr>
          <w:rFonts w:ascii="Palatino Linotype" w:eastAsia="Palatino Linotype" w:hAnsi="Palatino Linotype" w:cs="Palatino Linotype"/>
        </w:rPr>
        <w:t xml:space="preserve">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14:paraId="66F7B6CB" w14:textId="77777777" w:rsidR="00475955" w:rsidRPr="00B526AF" w:rsidRDefault="00475955">
      <w:pPr>
        <w:spacing w:line="360" w:lineRule="auto"/>
        <w:jc w:val="both"/>
        <w:rPr>
          <w:rFonts w:ascii="Palatino Linotype" w:eastAsia="Palatino Linotype" w:hAnsi="Palatino Linotype" w:cs="Palatino Linotype"/>
        </w:rPr>
      </w:pPr>
    </w:p>
    <w:p w14:paraId="482C85E7"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Lo anterior, se robustece con el criterio 01/19, emitido por el Instituto Nacional de Transparencia, Acceso a la Información Pública y Protección de Datos Personales, que establece lo siguiente:</w:t>
      </w:r>
    </w:p>
    <w:p w14:paraId="6F19C7EE" w14:textId="77777777" w:rsidR="00475955" w:rsidRPr="00B526AF" w:rsidRDefault="00475955">
      <w:pPr>
        <w:spacing w:line="360" w:lineRule="auto"/>
        <w:ind w:left="567" w:right="567"/>
        <w:jc w:val="both"/>
        <w:rPr>
          <w:rFonts w:ascii="Palatino Linotype" w:eastAsia="Palatino Linotype" w:hAnsi="Palatino Linotype" w:cs="Palatino Linotype"/>
          <w:b/>
          <w:i/>
        </w:rPr>
      </w:pPr>
    </w:p>
    <w:p w14:paraId="4B17ED92" w14:textId="77777777" w:rsidR="00475955" w:rsidRPr="00B526AF" w:rsidRDefault="001F2C49">
      <w:pPr>
        <w:ind w:left="567" w:right="53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“Datos de identificación del representante o apoderado legal.</w:t>
      </w:r>
      <w:r w:rsidRPr="00B526AF">
        <w:rPr>
          <w:rFonts w:ascii="Palatino Linotype" w:eastAsia="Palatino Linotype" w:hAnsi="Palatino Linotype" w:cs="Palatino Linotype"/>
          <w:i/>
          <w:sz w:val="22"/>
          <w:szCs w:val="22"/>
        </w:rPr>
        <w:t xml:space="preserve"> </w:t>
      </w:r>
      <w:r w:rsidRPr="00B526AF">
        <w:rPr>
          <w:rFonts w:ascii="Palatino Linotype" w:eastAsia="Palatino Linotype" w:hAnsi="Palatino Linotype" w:cs="Palatino Linotype"/>
          <w:b/>
          <w:i/>
          <w:sz w:val="22"/>
          <w:szCs w:val="22"/>
        </w:rPr>
        <w:t xml:space="preserve">Naturaleza jurídica. </w:t>
      </w:r>
      <w:r w:rsidRPr="00B526AF">
        <w:rPr>
          <w:rFonts w:ascii="Palatino Linotype" w:eastAsia="Palatino Linotype" w:hAnsi="Palatino Linotype" w:cs="Palatino Linotype"/>
          <w:i/>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roofErr w:type="gramStart"/>
      <w:r w:rsidRPr="00B526AF">
        <w:rPr>
          <w:rFonts w:ascii="Palatino Linotype" w:eastAsia="Palatino Linotype" w:hAnsi="Palatino Linotype" w:cs="Palatino Linotype"/>
          <w:i/>
          <w:sz w:val="22"/>
          <w:szCs w:val="22"/>
        </w:rPr>
        <w:t>.”(</w:t>
      </w:r>
      <w:proofErr w:type="gramEnd"/>
      <w:r w:rsidRPr="00B526AF">
        <w:rPr>
          <w:rFonts w:ascii="Palatino Linotype" w:eastAsia="Palatino Linotype" w:hAnsi="Palatino Linotype" w:cs="Palatino Linotype"/>
          <w:i/>
          <w:sz w:val="22"/>
          <w:szCs w:val="22"/>
        </w:rPr>
        <w:t>Sic)</w:t>
      </w:r>
    </w:p>
    <w:p w14:paraId="7001DA78" w14:textId="77777777" w:rsidR="00475955" w:rsidRPr="00B526AF" w:rsidRDefault="00475955">
      <w:pPr>
        <w:spacing w:line="360" w:lineRule="auto"/>
        <w:jc w:val="both"/>
        <w:rPr>
          <w:rFonts w:ascii="Palatino Linotype" w:eastAsia="Palatino Linotype" w:hAnsi="Palatino Linotype" w:cs="Palatino Linotype"/>
        </w:rPr>
      </w:pPr>
    </w:p>
    <w:p w14:paraId="12272508"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Ante tales situaciones, el nombre del representante legal, de una persona jurídica colectiva que solicito una Licencia de Funcionamiento, no es susceptible de ser clasificado como confidencial, en términos del artículo 143, fracción I de la Ley Federal de Transparencia y Acceso a la Información Pública; inclusive ayuda a rendir cuentas, de que dicha autorización fue entregada a la persona adecuada.</w:t>
      </w:r>
    </w:p>
    <w:p w14:paraId="02C46C11" w14:textId="77777777" w:rsidR="00475955" w:rsidRPr="00B526AF" w:rsidRDefault="00475955">
      <w:pPr>
        <w:spacing w:line="360" w:lineRule="auto"/>
        <w:ind w:right="50"/>
        <w:jc w:val="both"/>
        <w:rPr>
          <w:rFonts w:ascii="Palatino Linotype" w:eastAsia="Palatino Linotype" w:hAnsi="Palatino Linotype" w:cs="Palatino Linotype"/>
        </w:rPr>
      </w:pPr>
    </w:p>
    <w:p w14:paraId="44727894" w14:textId="77777777" w:rsidR="00475955" w:rsidRPr="00B526AF" w:rsidRDefault="001F2C49">
      <w:pPr>
        <w:spacing w:line="360" w:lineRule="auto"/>
        <w:ind w:right="51"/>
        <w:jc w:val="both"/>
        <w:rPr>
          <w:rFonts w:ascii="Palatino Linotype" w:eastAsia="Palatino Linotype" w:hAnsi="Palatino Linotype" w:cs="Palatino Linotype"/>
        </w:rPr>
      </w:pPr>
      <w:r w:rsidRPr="00B526AF">
        <w:rPr>
          <w:rFonts w:ascii="Palatino Linotype" w:eastAsia="Palatino Linotype" w:hAnsi="Palatino Linotype" w:cs="Palatino Linotype"/>
        </w:rPr>
        <w:lastRenderedPageBreak/>
        <w:t xml:space="preserve">En ese contexto, la clasificación de la información no opera con la simple supresión de datos que se haga en los documentos de que se trate o con la simple decisión que tome el Servidor Público Habilitado o el </w:t>
      </w:r>
      <w:proofErr w:type="gramStart"/>
      <w:r w:rsidRPr="00B526AF">
        <w:rPr>
          <w:rFonts w:ascii="Palatino Linotype" w:eastAsia="Palatino Linotype" w:hAnsi="Palatino Linotype" w:cs="Palatino Linotype"/>
        </w:rPr>
        <w:t>Responsable</w:t>
      </w:r>
      <w:proofErr w:type="gramEnd"/>
      <w:r w:rsidRPr="00B526AF">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7688ACA4" w14:textId="77777777" w:rsidR="00475955" w:rsidRPr="00B526AF" w:rsidRDefault="00475955">
      <w:pPr>
        <w:spacing w:line="360" w:lineRule="auto"/>
        <w:ind w:right="51"/>
        <w:jc w:val="both"/>
        <w:rPr>
          <w:rFonts w:ascii="Palatino Linotype" w:eastAsia="Palatino Linotype" w:hAnsi="Palatino Linotype" w:cs="Palatino Linotype"/>
        </w:rPr>
      </w:pPr>
    </w:p>
    <w:p w14:paraId="74540F7A" w14:textId="77777777" w:rsidR="00475955" w:rsidRPr="00B526AF" w:rsidRDefault="001F2C49">
      <w:pPr>
        <w:ind w:left="992" w:right="1043"/>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“Artículo 49.</w:t>
      </w:r>
      <w:r w:rsidRPr="00B526AF">
        <w:rPr>
          <w:rFonts w:ascii="Palatino Linotype" w:eastAsia="Palatino Linotype" w:hAnsi="Palatino Linotype" w:cs="Palatino Linotype"/>
          <w:i/>
          <w:sz w:val="22"/>
          <w:szCs w:val="22"/>
        </w:rPr>
        <w:t xml:space="preserve"> </w:t>
      </w:r>
      <w:r w:rsidRPr="00B526AF">
        <w:rPr>
          <w:rFonts w:ascii="Palatino Linotype" w:eastAsia="Palatino Linotype" w:hAnsi="Palatino Linotype" w:cs="Palatino Linotype"/>
          <w:b/>
          <w:i/>
          <w:sz w:val="22"/>
          <w:szCs w:val="22"/>
        </w:rPr>
        <w:t>Los Comités de Transparencia</w:t>
      </w:r>
      <w:r w:rsidRPr="00B526AF">
        <w:rPr>
          <w:rFonts w:ascii="Palatino Linotype" w:eastAsia="Palatino Linotype" w:hAnsi="Palatino Linotype" w:cs="Palatino Linotype"/>
          <w:i/>
          <w:sz w:val="22"/>
          <w:szCs w:val="22"/>
        </w:rPr>
        <w:t xml:space="preserve"> tendrán las siguientes atribuciones:</w:t>
      </w:r>
    </w:p>
    <w:p w14:paraId="57E2BDEB" w14:textId="77777777" w:rsidR="00475955" w:rsidRPr="00B526AF" w:rsidRDefault="001F2C49">
      <w:pPr>
        <w:ind w:left="992" w:right="1043"/>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VIII. Aprobar, modificar o revocar la clasificación de la información</w:t>
      </w:r>
      <w:r w:rsidRPr="00B526AF">
        <w:rPr>
          <w:rFonts w:ascii="Palatino Linotype" w:eastAsia="Palatino Linotype" w:hAnsi="Palatino Linotype" w:cs="Palatino Linotype"/>
          <w:i/>
          <w:sz w:val="22"/>
          <w:szCs w:val="22"/>
        </w:rPr>
        <w:t>…”</w:t>
      </w:r>
    </w:p>
    <w:p w14:paraId="309CD14A" w14:textId="77777777" w:rsidR="00475955" w:rsidRPr="00B526AF" w:rsidRDefault="001F2C49">
      <w:pPr>
        <w:ind w:left="992" w:right="1043"/>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r w:rsidRPr="00B526AF">
        <w:rPr>
          <w:rFonts w:ascii="Palatino Linotype" w:eastAsia="Palatino Linotype" w:hAnsi="Palatino Linotype" w:cs="Palatino Linotype"/>
          <w:b/>
          <w:i/>
          <w:sz w:val="22"/>
          <w:szCs w:val="22"/>
        </w:rPr>
        <w:t>Artículo 53.</w:t>
      </w:r>
      <w:r w:rsidRPr="00B526AF">
        <w:rPr>
          <w:rFonts w:ascii="Palatino Linotype" w:eastAsia="Palatino Linotype" w:hAnsi="Palatino Linotype" w:cs="Palatino Linotype"/>
          <w:i/>
          <w:sz w:val="22"/>
          <w:szCs w:val="22"/>
        </w:rPr>
        <w:t xml:space="preserve"> Las </w:t>
      </w:r>
      <w:r w:rsidRPr="00B526AF">
        <w:rPr>
          <w:rFonts w:ascii="Palatino Linotype" w:eastAsia="Palatino Linotype" w:hAnsi="Palatino Linotype" w:cs="Palatino Linotype"/>
          <w:b/>
          <w:i/>
          <w:sz w:val="22"/>
          <w:szCs w:val="22"/>
        </w:rPr>
        <w:t>Unidades de Transparencia</w:t>
      </w:r>
      <w:r w:rsidRPr="00B526AF">
        <w:rPr>
          <w:rFonts w:ascii="Palatino Linotype" w:eastAsia="Palatino Linotype" w:hAnsi="Palatino Linotype" w:cs="Palatino Linotype"/>
          <w:i/>
          <w:sz w:val="22"/>
          <w:szCs w:val="22"/>
        </w:rPr>
        <w:t xml:space="preserve"> tendrán las siguientes </w:t>
      </w:r>
      <w:r w:rsidRPr="00B526AF">
        <w:rPr>
          <w:rFonts w:ascii="Palatino Linotype" w:eastAsia="Palatino Linotype" w:hAnsi="Palatino Linotype" w:cs="Palatino Linotype"/>
          <w:b/>
          <w:i/>
          <w:sz w:val="22"/>
          <w:szCs w:val="22"/>
        </w:rPr>
        <w:t>funciones</w:t>
      </w:r>
      <w:r w:rsidRPr="00B526AF">
        <w:rPr>
          <w:rFonts w:ascii="Palatino Linotype" w:eastAsia="Palatino Linotype" w:hAnsi="Palatino Linotype" w:cs="Palatino Linotype"/>
          <w:i/>
          <w:sz w:val="22"/>
          <w:szCs w:val="22"/>
        </w:rPr>
        <w:t>:</w:t>
      </w:r>
    </w:p>
    <w:p w14:paraId="0B15D376" w14:textId="77777777" w:rsidR="00475955" w:rsidRPr="00B526AF" w:rsidRDefault="001F2C49">
      <w:pPr>
        <w:ind w:left="992" w:right="1043"/>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X. Presentar ante el Comité, el proyecto de clasificación de información</w:t>
      </w:r>
      <w:r w:rsidRPr="00B526AF">
        <w:rPr>
          <w:rFonts w:ascii="Palatino Linotype" w:eastAsia="Palatino Linotype" w:hAnsi="Palatino Linotype" w:cs="Palatino Linotype"/>
          <w:i/>
          <w:sz w:val="22"/>
          <w:szCs w:val="22"/>
        </w:rPr>
        <w:t xml:space="preserve">…” </w:t>
      </w:r>
    </w:p>
    <w:p w14:paraId="5F5E0598" w14:textId="77777777" w:rsidR="00475955" w:rsidRPr="00B526AF" w:rsidRDefault="001F2C49">
      <w:pPr>
        <w:ind w:left="992" w:right="1043"/>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“Artículo 59.</w:t>
      </w:r>
      <w:r w:rsidRPr="00B526AF">
        <w:rPr>
          <w:rFonts w:ascii="Palatino Linotype" w:eastAsia="Palatino Linotype" w:hAnsi="Palatino Linotype" w:cs="Palatino Linotype"/>
          <w:i/>
          <w:sz w:val="22"/>
          <w:szCs w:val="22"/>
        </w:rPr>
        <w:t xml:space="preserve"> Los </w:t>
      </w:r>
      <w:r w:rsidRPr="00B526AF">
        <w:rPr>
          <w:rFonts w:ascii="Palatino Linotype" w:eastAsia="Palatino Linotype" w:hAnsi="Palatino Linotype" w:cs="Palatino Linotype"/>
          <w:b/>
          <w:i/>
          <w:sz w:val="22"/>
          <w:szCs w:val="22"/>
        </w:rPr>
        <w:t>servidores públicos habilitados</w:t>
      </w:r>
      <w:r w:rsidRPr="00B526AF">
        <w:rPr>
          <w:rFonts w:ascii="Palatino Linotype" w:eastAsia="Palatino Linotype" w:hAnsi="Palatino Linotype" w:cs="Palatino Linotype"/>
          <w:i/>
          <w:sz w:val="22"/>
          <w:szCs w:val="22"/>
        </w:rPr>
        <w:t xml:space="preserve"> tendrán las </w:t>
      </w:r>
      <w:r w:rsidRPr="00B526AF">
        <w:rPr>
          <w:rFonts w:ascii="Palatino Linotype" w:eastAsia="Palatino Linotype" w:hAnsi="Palatino Linotype" w:cs="Palatino Linotype"/>
          <w:b/>
          <w:i/>
          <w:sz w:val="22"/>
          <w:szCs w:val="22"/>
        </w:rPr>
        <w:t>funciones</w:t>
      </w:r>
      <w:r w:rsidRPr="00B526AF">
        <w:rPr>
          <w:rFonts w:ascii="Palatino Linotype" w:eastAsia="Palatino Linotype" w:hAnsi="Palatino Linotype" w:cs="Palatino Linotype"/>
          <w:i/>
          <w:sz w:val="22"/>
          <w:szCs w:val="22"/>
        </w:rPr>
        <w:t xml:space="preserve"> siguientes:</w:t>
      </w:r>
    </w:p>
    <w:p w14:paraId="35098D1C" w14:textId="77777777" w:rsidR="00475955" w:rsidRPr="00B526AF" w:rsidRDefault="001F2C49">
      <w:pPr>
        <w:ind w:left="992" w:right="1043"/>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B526AF">
        <w:rPr>
          <w:rFonts w:ascii="Palatino Linotype" w:eastAsia="Palatino Linotype" w:hAnsi="Palatino Linotype" w:cs="Palatino Linotype"/>
          <w:i/>
          <w:sz w:val="22"/>
          <w:szCs w:val="22"/>
        </w:rPr>
        <w:t>, la cual tendrá los fundamentos y argumentos en que se basa dicha propuesta</w:t>
      </w:r>
      <w:proofErr w:type="gramStart"/>
      <w:r w:rsidRPr="00B526AF">
        <w:rPr>
          <w:rFonts w:ascii="Palatino Linotype" w:eastAsia="Palatino Linotype" w:hAnsi="Palatino Linotype" w:cs="Palatino Linotype"/>
          <w:i/>
          <w:sz w:val="22"/>
          <w:szCs w:val="22"/>
        </w:rPr>
        <w:t>…”(</w:t>
      </w:r>
      <w:proofErr w:type="gramEnd"/>
      <w:r w:rsidRPr="00B526AF">
        <w:rPr>
          <w:rFonts w:ascii="Palatino Linotype" w:eastAsia="Palatino Linotype" w:hAnsi="Palatino Linotype" w:cs="Palatino Linotype"/>
          <w:i/>
          <w:sz w:val="22"/>
          <w:szCs w:val="22"/>
        </w:rPr>
        <w:t>Sic)</w:t>
      </w:r>
    </w:p>
    <w:p w14:paraId="4A772C6F" w14:textId="77777777" w:rsidR="00475955" w:rsidRPr="00B526AF" w:rsidRDefault="00475955">
      <w:pPr>
        <w:ind w:left="992" w:right="1043"/>
        <w:jc w:val="both"/>
        <w:rPr>
          <w:rFonts w:ascii="Palatino Linotype" w:eastAsia="Palatino Linotype" w:hAnsi="Palatino Linotype" w:cs="Palatino Linotype"/>
          <w:i/>
          <w:sz w:val="22"/>
          <w:szCs w:val="22"/>
        </w:rPr>
      </w:pPr>
    </w:p>
    <w:p w14:paraId="58F0802E"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D724718" w14:textId="77777777" w:rsidR="00475955" w:rsidRPr="00B526AF" w:rsidRDefault="00475955">
      <w:pPr>
        <w:spacing w:line="360" w:lineRule="auto"/>
        <w:jc w:val="both"/>
        <w:rPr>
          <w:rFonts w:ascii="Palatino Linotype" w:eastAsia="Palatino Linotype" w:hAnsi="Palatino Linotype" w:cs="Palatino Linotype"/>
        </w:rPr>
      </w:pPr>
    </w:p>
    <w:p w14:paraId="441E2A27"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5443EA1E" w14:textId="77777777" w:rsidR="00475955" w:rsidRPr="00B526AF" w:rsidRDefault="00475955">
      <w:pPr>
        <w:spacing w:line="360" w:lineRule="auto"/>
        <w:jc w:val="both"/>
        <w:rPr>
          <w:rFonts w:ascii="Palatino Linotype" w:eastAsia="Palatino Linotype" w:hAnsi="Palatino Linotype" w:cs="Palatino Linotype"/>
        </w:rPr>
      </w:pPr>
    </w:p>
    <w:p w14:paraId="4C795378" w14:textId="77777777" w:rsidR="00475955" w:rsidRPr="00B526AF" w:rsidRDefault="001F2C49">
      <w:pPr>
        <w:spacing w:after="240"/>
        <w:ind w:left="993" w:right="1041"/>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r w:rsidRPr="00B526AF">
        <w:rPr>
          <w:rFonts w:ascii="Palatino Linotype" w:eastAsia="Palatino Linotype" w:hAnsi="Palatino Linotype" w:cs="Palatino Linotype"/>
          <w:b/>
          <w:i/>
          <w:sz w:val="22"/>
          <w:szCs w:val="22"/>
        </w:rPr>
        <w:t>Artículo 149.</w:t>
      </w:r>
      <w:r w:rsidRPr="00B526AF">
        <w:rPr>
          <w:rFonts w:ascii="Palatino Linotype" w:eastAsia="Palatino Linotype" w:hAnsi="Palatino Linotype" w:cs="Palatino Linotype"/>
          <w:i/>
          <w:sz w:val="22"/>
          <w:szCs w:val="22"/>
        </w:rPr>
        <w:t xml:space="preserve"> El </w:t>
      </w:r>
      <w:r w:rsidRPr="00B526AF">
        <w:rPr>
          <w:rFonts w:ascii="Palatino Linotype" w:eastAsia="Palatino Linotype" w:hAnsi="Palatino Linotype" w:cs="Palatino Linotype"/>
          <w:b/>
          <w:i/>
          <w:sz w:val="22"/>
          <w:szCs w:val="22"/>
        </w:rPr>
        <w:t>acuerdo que clasifique la información como confidencial</w:t>
      </w:r>
      <w:r w:rsidRPr="00B526AF">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B526AF">
        <w:rPr>
          <w:rFonts w:ascii="Palatino Linotype" w:eastAsia="Palatino Linotype" w:hAnsi="Palatino Linotype" w:cs="Palatino Linotype"/>
          <w:i/>
          <w:sz w:val="22"/>
          <w:szCs w:val="22"/>
        </w:rPr>
        <w:t>.”(</w:t>
      </w:r>
      <w:proofErr w:type="gramEnd"/>
      <w:r w:rsidRPr="00B526AF">
        <w:rPr>
          <w:rFonts w:ascii="Palatino Linotype" w:eastAsia="Palatino Linotype" w:hAnsi="Palatino Linotype" w:cs="Palatino Linotype"/>
          <w:i/>
          <w:sz w:val="22"/>
          <w:szCs w:val="22"/>
        </w:rPr>
        <w:t>Sic)</w:t>
      </w:r>
    </w:p>
    <w:p w14:paraId="658402E0" w14:textId="77777777" w:rsidR="00475955" w:rsidRPr="00B526AF" w:rsidRDefault="00475955">
      <w:pPr>
        <w:spacing w:before="240" w:line="360" w:lineRule="auto"/>
        <w:ind w:right="51"/>
        <w:jc w:val="both"/>
        <w:rPr>
          <w:rFonts w:ascii="Palatino Linotype" w:eastAsia="Palatino Linotype" w:hAnsi="Palatino Linotype" w:cs="Palatino Linotype"/>
          <w:i/>
          <w:sz w:val="22"/>
          <w:szCs w:val="22"/>
        </w:rPr>
      </w:pPr>
    </w:p>
    <w:p w14:paraId="146F34E1" w14:textId="77777777" w:rsidR="00475955" w:rsidRPr="00B526AF" w:rsidRDefault="001F2C49">
      <w:pPr>
        <w:spacing w:line="360" w:lineRule="auto"/>
        <w:ind w:right="51"/>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Es decir,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94C45A0" w14:textId="77777777" w:rsidR="00475955" w:rsidRPr="00B526AF" w:rsidRDefault="00475955">
      <w:pPr>
        <w:spacing w:line="360" w:lineRule="auto"/>
        <w:ind w:right="51"/>
        <w:jc w:val="both"/>
        <w:rPr>
          <w:rFonts w:ascii="Palatino Linotype" w:eastAsia="Palatino Linotype" w:hAnsi="Palatino Linotype" w:cs="Palatino Linotype"/>
        </w:rPr>
      </w:pPr>
    </w:p>
    <w:p w14:paraId="4E17D335"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Al respecto, se destaca que la versión pública que elabore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B526AF">
        <w:rPr>
          <w:rFonts w:ascii="Palatino Linotype" w:eastAsia="Palatino Linotype" w:hAnsi="Palatino Linotype" w:cs="Palatino Linotype"/>
          <w:b/>
        </w:rPr>
        <w:lastRenderedPageBreak/>
        <w:t>LINEAMIENTOS GENERALES EN MATERIA DE CLASIFICACIÓN Y DESCLASIFICACIÓN DE LA INFORMACIÓN, ASÍ COMO PARA LA ELABORACIÓN DE VERSIONES PÚBLICAS</w:t>
      </w:r>
      <w:r w:rsidRPr="00B526AF">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030E680E" w14:textId="77777777" w:rsidR="00475955" w:rsidRPr="00B526AF" w:rsidRDefault="00475955">
      <w:pPr>
        <w:ind w:left="709" w:right="709"/>
        <w:jc w:val="both"/>
        <w:rPr>
          <w:rFonts w:ascii="Palatino Linotype" w:eastAsia="Palatino Linotype" w:hAnsi="Palatino Linotype" w:cs="Palatino Linotype"/>
          <w:b/>
          <w:i/>
          <w:sz w:val="22"/>
          <w:szCs w:val="22"/>
        </w:rPr>
      </w:pPr>
    </w:p>
    <w:p w14:paraId="5ABAA5B8" w14:textId="77777777" w:rsidR="00475955" w:rsidRPr="00B526AF" w:rsidRDefault="001F2C49">
      <w:pPr>
        <w:ind w:left="709" w:right="709"/>
        <w:jc w:val="both"/>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5746C5F"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proofErr w:type="gramStart"/>
      <w:r w:rsidRPr="00B526AF">
        <w:rPr>
          <w:rFonts w:ascii="Palatino Linotype" w:eastAsia="Palatino Linotype" w:hAnsi="Palatino Linotype" w:cs="Palatino Linotype"/>
          <w:b/>
          <w:i/>
          <w:sz w:val="22"/>
          <w:szCs w:val="22"/>
        </w:rPr>
        <w:t>Segundo.-</w:t>
      </w:r>
      <w:proofErr w:type="gramEnd"/>
      <w:r w:rsidRPr="00B526AF">
        <w:rPr>
          <w:rFonts w:ascii="Palatino Linotype" w:eastAsia="Palatino Linotype" w:hAnsi="Palatino Linotype" w:cs="Palatino Linotype"/>
          <w:i/>
          <w:sz w:val="22"/>
          <w:szCs w:val="22"/>
        </w:rPr>
        <w:t xml:space="preserve"> Para efectos de los presentes Lineamientos Generales, se entenderá por:</w:t>
      </w:r>
    </w:p>
    <w:p w14:paraId="1E6E51E7"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XVIII.</w:t>
      </w:r>
      <w:r w:rsidRPr="00B526AF">
        <w:rPr>
          <w:rFonts w:ascii="Palatino Linotype" w:eastAsia="Palatino Linotype" w:hAnsi="Palatino Linotype" w:cs="Palatino Linotype"/>
          <w:i/>
          <w:sz w:val="22"/>
          <w:szCs w:val="22"/>
        </w:rPr>
        <w:t xml:space="preserve"> </w:t>
      </w:r>
      <w:r w:rsidRPr="00B526AF">
        <w:rPr>
          <w:rFonts w:ascii="Palatino Linotype" w:eastAsia="Palatino Linotype" w:hAnsi="Palatino Linotype" w:cs="Palatino Linotype"/>
          <w:b/>
          <w:i/>
          <w:sz w:val="22"/>
          <w:szCs w:val="22"/>
        </w:rPr>
        <w:t>Versión pública:</w:t>
      </w:r>
      <w:r w:rsidRPr="00B526AF">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B526AF">
        <w:rPr>
          <w:rFonts w:ascii="Palatino Linotype" w:eastAsia="Palatino Linotype" w:hAnsi="Palatino Linotype" w:cs="Palatino Linotype"/>
          <w:b/>
          <w:i/>
          <w:sz w:val="22"/>
          <w:szCs w:val="22"/>
          <w:u w:val="single"/>
        </w:rPr>
        <w:t>fundando y motivando la</w:t>
      </w:r>
      <w:r w:rsidRPr="00B526AF">
        <w:rPr>
          <w:rFonts w:ascii="Palatino Linotype" w:eastAsia="Palatino Linotype" w:hAnsi="Palatino Linotype" w:cs="Palatino Linotype"/>
          <w:i/>
          <w:sz w:val="22"/>
          <w:szCs w:val="22"/>
        </w:rPr>
        <w:t xml:space="preserve"> reserva o </w:t>
      </w:r>
      <w:r w:rsidRPr="00B526AF">
        <w:rPr>
          <w:rFonts w:ascii="Palatino Linotype" w:eastAsia="Palatino Linotype" w:hAnsi="Palatino Linotype" w:cs="Palatino Linotype"/>
          <w:b/>
          <w:i/>
          <w:sz w:val="22"/>
          <w:szCs w:val="22"/>
          <w:u w:val="single"/>
        </w:rPr>
        <w:t>confidencialidad</w:t>
      </w:r>
      <w:r w:rsidRPr="00B526AF">
        <w:rPr>
          <w:rFonts w:ascii="Palatino Linotype" w:eastAsia="Palatino Linotype" w:hAnsi="Palatino Linotype" w:cs="Palatino Linotype"/>
          <w:i/>
          <w:sz w:val="22"/>
          <w:szCs w:val="22"/>
        </w:rPr>
        <w:t>, a través de la resolución que para tal efecto emita el Comité de Transparencia.</w:t>
      </w:r>
    </w:p>
    <w:p w14:paraId="0948D926"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Cuarto.</w:t>
      </w:r>
      <w:r w:rsidRPr="00B526AF">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ABF2C32"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30F4625"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Quinto.</w:t>
      </w:r>
      <w:r w:rsidRPr="00B526AF">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C02B3F7"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Sexto.</w:t>
      </w:r>
      <w:r w:rsidRPr="00B526AF">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EBEB8E3"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65C7B21B"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Séptimo.</w:t>
      </w:r>
      <w:r w:rsidRPr="00B526AF">
        <w:rPr>
          <w:rFonts w:ascii="Palatino Linotype" w:eastAsia="Palatino Linotype" w:hAnsi="Palatino Linotype" w:cs="Palatino Linotype"/>
          <w:i/>
          <w:sz w:val="22"/>
          <w:szCs w:val="22"/>
        </w:rPr>
        <w:t xml:space="preserve"> La clasificación de la información se llevará a cabo en el momento en que:</w:t>
      </w:r>
    </w:p>
    <w:p w14:paraId="3908A740"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lastRenderedPageBreak/>
        <w:t>I.</w:t>
      </w:r>
      <w:r w:rsidRPr="00B526AF">
        <w:rPr>
          <w:rFonts w:ascii="Palatino Linotype" w:eastAsia="Palatino Linotype" w:hAnsi="Palatino Linotype" w:cs="Palatino Linotype"/>
          <w:i/>
          <w:sz w:val="22"/>
          <w:szCs w:val="22"/>
        </w:rPr>
        <w:t xml:space="preserve"> Se reciba una solicitud de acceso a la información;</w:t>
      </w:r>
    </w:p>
    <w:p w14:paraId="1C051C3E"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II.</w:t>
      </w:r>
      <w:r w:rsidRPr="00B526AF">
        <w:rPr>
          <w:rFonts w:ascii="Palatino Linotype" w:eastAsia="Palatino Linotype" w:hAnsi="Palatino Linotype" w:cs="Palatino Linotype"/>
          <w:i/>
          <w:sz w:val="22"/>
          <w:szCs w:val="22"/>
        </w:rPr>
        <w:t xml:space="preserve"> Se determine mediante resolución de autoridad competente, o</w:t>
      </w:r>
    </w:p>
    <w:p w14:paraId="0B192FC6"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III.</w:t>
      </w:r>
      <w:r w:rsidRPr="00B526AF">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04A69B6"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1C66075"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Octavo.</w:t>
      </w:r>
      <w:r w:rsidRPr="00B526AF">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26F2D36"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E26601D"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7141F6CC"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AA5EE24"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AADA2A3"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Noveno.</w:t>
      </w:r>
      <w:r w:rsidRPr="00B526AF">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2450C9A"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Décimo.</w:t>
      </w:r>
      <w:r w:rsidRPr="00B526AF">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E012B0F"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DDDEAB8"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Décimo primero.</w:t>
      </w:r>
      <w:r w:rsidRPr="00B526AF">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5824985"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p>
    <w:p w14:paraId="424B4164" w14:textId="77777777" w:rsidR="00475955" w:rsidRPr="00B526AF" w:rsidRDefault="001F2C49">
      <w:pPr>
        <w:ind w:left="709" w:right="709"/>
        <w:jc w:val="center"/>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lastRenderedPageBreak/>
        <w:t>CAPÍTULO VIII</w:t>
      </w:r>
    </w:p>
    <w:p w14:paraId="5C187D82" w14:textId="77777777" w:rsidR="00475955" w:rsidRPr="00B526AF" w:rsidRDefault="001F2C49">
      <w:pPr>
        <w:ind w:left="709" w:right="709"/>
        <w:jc w:val="center"/>
        <w:rPr>
          <w:rFonts w:ascii="Palatino Linotype" w:eastAsia="Palatino Linotype" w:hAnsi="Palatino Linotype" w:cs="Palatino Linotype"/>
          <w:b/>
          <w:i/>
          <w:sz w:val="22"/>
          <w:szCs w:val="22"/>
        </w:rPr>
      </w:pPr>
      <w:r w:rsidRPr="00B526AF">
        <w:rPr>
          <w:rFonts w:ascii="Palatino Linotype" w:eastAsia="Palatino Linotype" w:hAnsi="Palatino Linotype" w:cs="Palatino Linotype"/>
          <w:b/>
          <w:i/>
          <w:sz w:val="22"/>
          <w:szCs w:val="22"/>
        </w:rPr>
        <w:t>DE LA LEYENDA DE CLASIFICACIÓN</w:t>
      </w:r>
    </w:p>
    <w:p w14:paraId="3293B872"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 xml:space="preserve">Quincuagésimo. </w:t>
      </w:r>
      <w:r w:rsidRPr="00B526AF">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B526AF">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6817CD8C" w14:textId="77777777" w:rsidR="00475955" w:rsidRPr="00B526AF" w:rsidRDefault="001F2C49">
      <w:pPr>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w:t>
      </w:r>
    </w:p>
    <w:p w14:paraId="74354F6B" w14:textId="77777777" w:rsidR="00475955" w:rsidRPr="00B526AF" w:rsidRDefault="001F2C49">
      <w:pPr>
        <w:spacing w:after="160"/>
        <w:ind w:left="709" w:right="70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b/>
          <w:i/>
          <w:sz w:val="22"/>
          <w:szCs w:val="22"/>
        </w:rPr>
        <w:t xml:space="preserve">Quincuagésimo tercero. </w:t>
      </w:r>
      <w:r w:rsidRPr="00B526AF">
        <w:rPr>
          <w:rFonts w:ascii="Palatino Linotype" w:eastAsia="Palatino Linotype" w:hAnsi="Palatino Linotype" w:cs="Palatino Linotype"/>
          <w:b/>
          <w:i/>
          <w:sz w:val="22"/>
          <w:szCs w:val="22"/>
          <w:u w:val="single"/>
        </w:rPr>
        <w:t>El formato para señalar la clasificación parcial de un documento</w:t>
      </w:r>
      <w:r w:rsidRPr="00B526AF">
        <w:rPr>
          <w:rFonts w:ascii="Palatino Linotype" w:eastAsia="Palatino Linotype" w:hAnsi="Palatino Linotype" w:cs="Palatino Linotype"/>
          <w:i/>
          <w:sz w:val="22"/>
          <w:szCs w:val="22"/>
        </w:rPr>
        <w:t>, es el siguiente:</w:t>
      </w:r>
    </w:p>
    <w:tbl>
      <w:tblPr>
        <w:tblStyle w:val="a5"/>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B526AF" w:rsidRPr="00B526AF" w14:paraId="50B58636" w14:textId="77777777">
        <w:trPr>
          <w:jc w:val="center"/>
        </w:trPr>
        <w:tc>
          <w:tcPr>
            <w:tcW w:w="1159" w:type="dxa"/>
            <w:tcBorders>
              <w:top w:val="nil"/>
              <w:left w:val="nil"/>
              <w:bottom w:val="single" w:sz="4" w:space="0" w:color="000000"/>
              <w:right w:val="single" w:sz="4" w:space="0" w:color="000000"/>
            </w:tcBorders>
          </w:tcPr>
          <w:p w14:paraId="3C34BABA" w14:textId="77777777" w:rsidR="00475955" w:rsidRPr="00B526AF" w:rsidRDefault="00475955">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DEC38FA" w14:textId="77777777" w:rsidR="00475955" w:rsidRPr="00B526AF" w:rsidRDefault="001F2C49">
            <w:pPr>
              <w:jc w:val="center"/>
              <w:rPr>
                <w:rFonts w:ascii="Palatino Linotype" w:eastAsia="Palatino Linotype" w:hAnsi="Palatino Linotype" w:cs="Palatino Linotype"/>
                <w:b/>
                <w:i/>
              </w:rPr>
            </w:pPr>
            <w:r w:rsidRPr="00B526AF">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7A52ACA1" w14:textId="77777777" w:rsidR="00475955" w:rsidRPr="00B526AF" w:rsidRDefault="001F2C49">
            <w:pPr>
              <w:jc w:val="center"/>
              <w:rPr>
                <w:rFonts w:ascii="Palatino Linotype" w:eastAsia="Palatino Linotype" w:hAnsi="Palatino Linotype" w:cs="Palatino Linotype"/>
                <w:b/>
                <w:i/>
              </w:rPr>
            </w:pPr>
            <w:r w:rsidRPr="00B526AF">
              <w:rPr>
                <w:rFonts w:ascii="Palatino Linotype" w:eastAsia="Palatino Linotype" w:hAnsi="Palatino Linotype" w:cs="Palatino Linotype"/>
                <w:b/>
                <w:i/>
              </w:rPr>
              <w:t>Dónde:</w:t>
            </w:r>
          </w:p>
        </w:tc>
      </w:tr>
      <w:tr w:rsidR="00B526AF" w:rsidRPr="00B526AF" w14:paraId="5C145FC8"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5EEAAAD8" w14:textId="77777777" w:rsidR="00475955" w:rsidRPr="00B526AF" w:rsidRDefault="001F2C49">
            <w:pPr>
              <w:jc w:val="center"/>
              <w:rPr>
                <w:rFonts w:ascii="Palatino Linotype" w:eastAsia="Palatino Linotype" w:hAnsi="Palatino Linotype" w:cs="Palatino Linotype"/>
                <w:b/>
                <w:i/>
              </w:rPr>
            </w:pPr>
            <w:r w:rsidRPr="00B526AF">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6BA90984" w14:textId="77777777" w:rsidR="00475955" w:rsidRPr="00B526AF" w:rsidRDefault="001F2C49">
            <w:pPr>
              <w:jc w:val="center"/>
              <w:rPr>
                <w:rFonts w:ascii="Palatino Linotype" w:eastAsia="Palatino Linotype" w:hAnsi="Palatino Linotype" w:cs="Palatino Linotype"/>
                <w:i/>
              </w:rPr>
            </w:pPr>
            <w:r w:rsidRPr="00B526AF">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4EDF001E" w14:textId="77777777" w:rsidR="00475955" w:rsidRPr="00B526AF" w:rsidRDefault="001F2C49">
            <w:pPr>
              <w:jc w:val="both"/>
              <w:rPr>
                <w:rFonts w:ascii="Palatino Linotype" w:eastAsia="Palatino Linotype" w:hAnsi="Palatino Linotype" w:cs="Palatino Linotype"/>
                <w:i/>
              </w:rPr>
            </w:pPr>
            <w:r w:rsidRPr="00B526AF">
              <w:rPr>
                <w:rFonts w:ascii="Palatino Linotype" w:eastAsia="Palatino Linotype" w:hAnsi="Palatino Linotype" w:cs="Palatino Linotype"/>
                <w:i/>
              </w:rPr>
              <w:t>Se anotará la fecha en la que el Comité de Transparencia confirmó la clasificación del documento, en su caso.</w:t>
            </w:r>
          </w:p>
        </w:tc>
      </w:tr>
      <w:tr w:rsidR="00B526AF" w:rsidRPr="00B526AF" w14:paraId="19D3E0B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4AB502E" w14:textId="77777777" w:rsidR="00475955" w:rsidRPr="00B526AF" w:rsidRDefault="0047595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B2FA3FF" w14:textId="77777777" w:rsidR="00475955" w:rsidRPr="00B526AF" w:rsidRDefault="001F2C49">
            <w:pPr>
              <w:jc w:val="center"/>
              <w:rPr>
                <w:rFonts w:ascii="Palatino Linotype" w:eastAsia="Palatino Linotype" w:hAnsi="Palatino Linotype" w:cs="Palatino Linotype"/>
                <w:i/>
              </w:rPr>
            </w:pPr>
            <w:r w:rsidRPr="00B526AF">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3DB3125A" w14:textId="77777777" w:rsidR="00475955" w:rsidRPr="00B526AF" w:rsidRDefault="001F2C49">
            <w:pPr>
              <w:jc w:val="both"/>
              <w:rPr>
                <w:rFonts w:ascii="Palatino Linotype" w:eastAsia="Palatino Linotype" w:hAnsi="Palatino Linotype" w:cs="Palatino Linotype"/>
                <w:i/>
              </w:rPr>
            </w:pPr>
            <w:r w:rsidRPr="00B526AF">
              <w:rPr>
                <w:rFonts w:ascii="Palatino Linotype" w:eastAsia="Palatino Linotype" w:hAnsi="Palatino Linotype" w:cs="Palatino Linotype"/>
                <w:i/>
              </w:rPr>
              <w:t>Se señalará el nombre del área del cual es titular quien clasifica.</w:t>
            </w:r>
          </w:p>
        </w:tc>
      </w:tr>
      <w:tr w:rsidR="00B526AF" w:rsidRPr="00B526AF" w14:paraId="308A4C28"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05F792E" w14:textId="77777777" w:rsidR="00475955" w:rsidRPr="00B526AF" w:rsidRDefault="0047595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9B8D139" w14:textId="77777777" w:rsidR="00475955" w:rsidRPr="00B526AF" w:rsidRDefault="001F2C49">
            <w:pPr>
              <w:jc w:val="center"/>
              <w:rPr>
                <w:rFonts w:ascii="Palatino Linotype" w:eastAsia="Palatino Linotype" w:hAnsi="Palatino Linotype" w:cs="Palatino Linotype"/>
                <w:i/>
              </w:rPr>
            </w:pPr>
            <w:r w:rsidRPr="00B526AF">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623F46C1" w14:textId="77777777" w:rsidR="00475955" w:rsidRPr="00B526AF" w:rsidRDefault="001F2C49">
            <w:pPr>
              <w:jc w:val="both"/>
              <w:rPr>
                <w:rFonts w:ascii="Palatino Linotype" w:eastAsia="Palatino Linotype" w:hAnsi="Palatino Linotype" w:cs="Palatino Linotype"/>
                <w:i/>
              </w:rPr>
            </w:pPr>
            <w:r w:rsidRPr="00B526AF">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526AF" w:rsidRPr="00B526AF" w14:paraId="117FA117"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4985F8A" w14:textId="77777777" w:rsidR="00475955" w:rsidRPr="00B526AF" w:rsidRDefault="0047595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4961623" w14:textId="77777777" w:rsidR="00475955" w:rsidRPr="00B526AF" w:rsidRDefault="001F2C49">
            <w:pPr>
              <w:jc w:val="center"/>
              <w:rPr>
                <w:rFonts w:ascii="Palatino Linotype" w:eastAsia="Palatino Linotype" w:hAnsi="Palatino Linotype" w:cs="Palatino Linotype"/>
                <w:i/>
              </w:rPr>
            </w:pPr>
            <w:r w:rsidRPr="00B526AF">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2CDC10DC" w14:textId="77777777" w:rsidR="00475955" w:rsidRPr="00B526AF" w:rsidRDefault="001F2C49">
            <w:pPr>
              <w:jc w:val="both"/>
              <w:rPr>
                <w:rFonts w:ascii="Palatino Linotype" w:eastAsia="Palatino Linotype" w:hAnsi="Palatino Linotype" w:cs="Palatino Linotype"/>
                <w:i/>
              </w:rPr>
            </w:pPr>
            <w:r w:rsidRPr="00B526AF">
              <w:rPr>
                <w:rFonts w:ascii="Palatino Linotype" w:eastAsia="Palatino Linotype" w:hAnsi="Palatino Linotype" w:cs="Palatino Linotype"/>
                <w:i/>
              </w:rPr>
              <w:t>Se anotará el número de años o meses por los que se mantendrá el documento o las partes del mismo como reservado.</w:t>
            </w:r>
          </w:p>
        </w:tc>
      </w:tr>
      <w:tr w:rsidR="00B526AF" w:rsidRPr="00B526AF" w14:paraId="69D541A6"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853A8AC" w14:textId="77777777" w:rsidR="00475955" w:rsidRPr="00B526AF" w:rsidRDefault="0047595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C7ACCF6" w14:textId="77777777" w:rsidR="00475955" w:rsidRPr="00B526AF" w:rsidRDefault="001F2C49">
            <w:pPr>
              <w:jc w:val="center"/>
              <w:rPr>
                <w:rFonts w:ascii="Palatino Linotype" w:eastAsia="Palatino Linotype" w:hAnsi="Palatino Linotype" w:cs="Palatino Linotype"/>
                <w:i/>
              </w:rPr>
            </w:pPr>
            <w:r w:rsidRPr="00B526AF">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E15EA96" w14:textId="77777777" w:rsidR="00475955" w:rsidRPr="00B526AF" w:rsidRDefault="001F2C49">
            <w:pPr>
              <w:jc w:val="both"/>
              <w:rPr>
                <w:rFonts w:ascii="Palatino Linotype" w:eastAsia="Palatino Linotype" w:hAnsi="Palatino Linotype" w:cs="Palatino Linotype"/>
                <w:i/>
              </w:rPr>
            </w:pPr>
            <w:r w:rsidRPr="00B526AF">
              <w:rPr>
                <w:rFonts w:ascii="Palatino Linotype" w:eastAsia="Palatino Linotype" w:hAnsi="Palatino Linotype" w:cs="Palatino Linotype"/>
                <w:i/>
              </w:rPr>
              <w:t>Se señalará el nombre del ordenamiento, el o los artículos, fracción(es), párrafo(s) con base en los cuales se sustente la reserva.</w:t>
            </w:r>
          </w:p>
        </w:tc>
      </w:tr>
      <w:tr w:rsidR="00B526AF" w:rsidRPr="00B526AF" w14:paraId="24F3CB4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544703F" w14:textId="77777777" w:rsidR="00475955" w:rsidRPr="00B526AF" w:rsidRDefault="0047595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D92ECCB" w14:textId="77777777" w:rsidR="00475955" w:rsidRPr="00B526AF" w:rsidRDefault="001F2C49">
            <w:pPr>
              <w:jc w:val="center"/>
              <w:rPr>
                <w:rFonts w:ascii="Palatino Linotype" w:eastAsia="Palatino Linotype" w:hAnsi="Palatino Linotype" w:cs="Palatino Linotype"/>
                <w:i/>
              </w:rPr>
            </w:pPr>
            <w:r w:rsidRPr="00B526AF">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2892DB4C" w14:textId="77777777" w:rsidR="00475955" w:rsidRPr="00B526AF" w:rsidRDefault="001F2C49">
            <w:pPr>
              <w:jc w:val="both"/>
              <w:rPr>
                <w:rFonts w:ascii="Palatino Linotype" w:eastAsia="Palatino Linotype" w:hAnsi="Palatino Linotype" w:cs="Palatino Linotype"/>
                <w:i/>
              </w:rPr>
            </w:pPr>
            <w:r w:rsidRPr="00B526AF">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B526AF" w:rsidRPr="00B526AF" w14:paraId="087307AF"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7C92B85" w14:textId="77777777" w:rsidR="00475955" w:rsidRPr="00B526AF" w:rsidRDefault="0047595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B975BEB" w14:textId="77777777" w:rsidR="00475955" w:rsidRPr="00B526AF" w:rsidRDefault="001F2C49">
            <w:pPr>
              <w:jc w:val="center"/>
              <w:rPr>
                <w:rFonts w:ascii="Palatino Linotype" w:eastAsia="Palatino Linotype" w:hAnsi="Palatino Linotype" w:cs="Palatino Linotype"/>
                <w:i/>
              </w:rPr>
            </w:pPr>
            <w:r w:rsidRPr="00B526AF">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38AE0E9A" w14:textId="77777777" w:rsidR="00475955" w:rsidRPr="00B526AF" w:rsidRDefault="001F2C49">
            <w:pPr>
              <w:jc w:val="both"/>
              <w:rPr>
                <w:rFonts w:ascii="Palatino Linotype" w:eastAsia="Palatino Linotype" w:hAnsi="Palatino Linotype" w:cs="Palatino Linotype"/>
                <w:i/>
              </w:rPr>
            </w:pPr>
            <w:r w:rsidRPr="00B526AF">
              <w:rPr>
                <w:rFonts w:ascii="Palatino Linotype" w:eastAsia="Palatino Linotype" w:hAnsi="Palatino Linotype" w:cs="Palatino Linotype"/>
                <w:i/>
              </w:rPr>
              <w:t xml:space="preserve">Se indicarán, en su caso, las partes o páginas del documento que se clasifica como confidencial. Si el documento fuera confidencial en su totalidad, se anotarán todas las páginas que lo conforman. Si el </w:t>
            </w:r>
            <w:r w:rsidRPr="00B526AF">
              <w:rPr>
                <w:rFonts w:ascii="Palatino Linotype" w:eastAsia="Palatino Linotype" w:hAnsi="Palatino Linotype" w:cs="Palatino Linotype"/>
                <w:i/>
              </w:rPr>
              <w:lastRenderedPageBreak/>
              <w:t>documento no contiene información confidencial, se tachará este apartado.</w:t>
            </w:r>
          </w:p>
        </w:tc>
      </w:tr>
      <w:tr w:rsidR="00B526AF" w:rsidRPr="00B526AF" w14:paraId="5B0C03FB"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FFA80F7" w14:textId="77777777" w:rsidR="00475955" w:rsidRPr="00B526AF" w:rsidRDefault="0047595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8326D02" w14:textId="77777777" w:rsidR="00475955" w:rsidRPr="00B526AF" w:rsidRDefault="001F2C49">
            <w:pPr>
              <w:jc w:val="center"/>
              <w:rPr>
                <w:rFonts w:ascii="Palatino Linotype" w:eastAsia="Palatino Linotype" w:hAnsi="Palatino Linotype" w:cs="Palatino Linotype"/>
                <w:i/>
              </w:rPr>
            </w:pPr>
            <w:r w:rsidRPr="00B526AF">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18CA113" w14:textId="77777777" w:rsidR="00475955" w:rsidRPr="00B526AF" w:rsidRDefault="001F2C49">
            <w:pPr>
              <w:jc w:val="both"/>
              <w:rPr>
                <w:rFonts w:ascii="Palatino Linotype" w:eastAsia="Palatino Linotype" w:hAnsi="Palatino Linotype" w:cs="Palatino Linotype"/>
                <w:i/>
              </w:rPr>
            </w:pPr>
            <w:r w:rsidRPr="00B526AF">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B526AF" w:rsidRPr="00B526AF" w14:paraId="64544B31"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701A938" w14:textId="77777777" w:rsidR="00475955" w:rsidRPr="00B526AF" w:rsidRDefault="0047595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5C5BEE9" w14:textId="77777777" w:rsidR="00475955" w:rsidRPr="00B526AF" w:rsidRDefault="001F2C49">
            <w:pPr>
              <w:jc w:val="center"/>
              <w:rPr>
                <w:rFonts w:ascii="Palatino Linotype" w:eastAsia="Palatino Linotype" w:hAnsi="Palatino Linotype" w:cs="Palatino Linotype"/>
                <w:i/>
              </w:rPr>
            </w:pPr>
            <w:r w:rsidRPr="00B526AF">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5E39A3F8" w14:textId="77777777" w:rsidR="00475955" w:rsidRPr="00B526AF" w:rsidRDefault="001F2C49">
            <w:pPr>
              <w:jc w:val="both"/>
              <w:rPr>
                <w:rFonts w:ascii="Palatino Linotype" w:eastAsia="Palatino Linotype" w:hAnsi="Palatino Linotype" w:cs="Palatino Linotype"/>
                <w:i/>
              </w:rPr>
            </w:pPr>
            <w:r w:rsidRPr="00B526AF">
              <w:rPr>
                <w:rFonts w:ascii="Palatino Linotype" w:eastAsia="Palatino Linotype" w:hAnsi="Palatino Linotype" w:cs="Palatino Linotype"/>
                <w:i/>
              </w:rPr>
              <w:t>Rúbrica autógrafa de quien clasifica.</w:t>
            </w:r>
          </w:p>
        </w:tc>
      </w:tr>
      <w:tr w:rsidR="00B526AF" w:rsidRPr="00B526AF" w14:paraId="488523E4"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0D57870" w14:textId="77777777" w:rsidR="00475955" w:rsidRPr="00B526AF" w:rsidRDefault="0047595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87A07CC" w14:textId="77777777" w:rsidR="00475955" w:rsidRPr="00B526AF" w:rsidRDefault="001F2C49">
            <w:pPr>
              <w:jc w:val="center"/>
              <w:rPr>
                <w:rFonts w:ascii="Palatino Linotype" w:eastAsia="Palatino Linotype" w:hAnsi="Palatino Linotype" w:cs="Palatino Linotype"/>
                <w:i/>
              </w:rPr>
            </w:pPr>
            <w:r w:rsidRPr="00B526AF">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2C8A1645" w14:textId="77777777" w:rsidR="00475955" w:rsidRPr="00B526AF" w:rsidRDefault="001F2C49">
            <w:pPr>
              <w:jc w:val="both"/>
              <w:rPr>
                <w:rFonts w:ascii="Palatino Linotype" w:eastAsia="Palatino Linotype" w:hAnsi="Palatino Linotype" w:cs="Palatino Linotype"/>
                <w:i/>
              </w:rPr>
            </w:pPr>
            <w:r w:rsidRPr="00B526AF">
              <w:rPr>
                <w:rFonts w:ascii="Palatino Linotype" w:eastAsia="Palatino Linotype" w:hAnsi="Palatino Linotype" w:cs="Palatino Linotype"/>
                <w:i/>
              </w:rPr>
              <w:t>Se anotará la fecha en que se desclasifica el documento.</w:t>
            </w:r>
          </w:p>
        </w:tc>
      </w:tr>
      <w:tr w:rsidR="00475955" w:rsidRPr="00B526AF" w14:paraId="2D9346DD"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6BEBEF7" w14:textId="77777777" w:rsidR="00475955" w:rsidRPr="00B526AF" w:rsidRDefault="00475955">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EB0DB1A" w14:textId="77777777" w:rsidR="00475955" w:rsidRPr="00B526AF" w:rsidRDefault="001F2C49">
            <w:pPr>
              <w:jc w:val="center"/>
              <w:rPr>
                <w:rFonts w:ascii="Palatino Linotype" w:eastAsia="Palatino Linotype" w:hAnsi="Palatino Linotype" w:cs="Palatino Linotype"/>
                <w:i/>
              </w:rPr>
            </w:pPr>
            <w:r w:rsidRPr="00B526AF">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71D25852" w14:textId="77777777" w:rsidR="00475955" w:rsidRPr="00B526AF" w:rsidRDefault="001F2C49">
            <w:pPr>
              <w:rPr>
                <w:rFonts w:ascii="Palatino Linotype" w:eastAsia="Palatino Linotype" w:hAnsi="Palatino Linotype" w:cs="Palatino Linotype"/>
                <w:i/>
              </w:rPr>
            </w:pPr>
            <w:r w:rsidRPr="00B526AF">
              <w:rPr>
                <w:rFonts w:ascii="Palatino Linotype" w:eastAsia="Palatino Linotype" w:hAnsi="Palatino Linotype" w:cs="Palatino Linotype"/>
                <w:i/>
              </w:rPr>
              <w:t>Rúbrica autógrafa de quien desclasifica.</w:t>
            </w:r>
          </w:p>
        </w:tc>
      </w:tr>
    </w:tbl>
    <w:p w14:paraId="0612568B" w14:textId="77777777" w:rsidR="00475955" w:rsidRPr="00B526AF" w:rsidRDefault="00475955">
      <w:pPr>
        <w:spacing w:line="360" w:lineRule="auto"/>
        <w:jc w:val="both"/>
        <w:rPr>
          <w:rFonts w:ascii="Palatino Linotype" w:eastAsia="Palatino Linotype" w:hAnsi="Palatino Linotype" w:cs="Palatino Linotype"/>
        </w:rPr>
      </w:pPr>
    </w:p>
    <w:p w14:paraId="088EC633"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685652BD" w14:textId="77777777" w:rsidR="00475955" w:rsidRPr="00B526AF" w:rsidRDefault="00475955">
      <w:pPr>
        <w:spacing w:line="360" w:lineRule="auto"/>
        <w:jc w:val="both"/>
        <w:rPr>
          <w:rFonts w:ascii="Palatino Linotype" w:eastAsia="Palatino Linotype" w:hAnsi="Palatino Linotype" w:cs="Palatino Linotype"/>
        </w:rPr>
      </w:pPr>
    </w:p>
    <w:p w14:paraId="52B1100D" w14:textId="77777777" w:rsidR="00475955" w:rsidRPr="00B526AF" w:rsidRDefault="001F2C49">
      <w:pPr>
        <w:shd w:val="clear" w:color="auto" w:fill="FFFFFF"/>
        <w:spacing w:line="360" w:lineRule="auto"/>
        <w:ind w:right="51"/>
        <w:jc w:val="both"/>
        <w:rPr>
          <w:rFonts w:ascii="Palatino Linotype" w:eastAsia="Palatino Linotype" w:hAnsi="Palatino Linotype" w:cs="Palatino Linotype"/>
        </w:rPr>
      </w:pPr>
      <w:r w:rsidRPr="00B526A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B526AF">
        <w:rPr>
          <w:rFonts w:ascii="Palatino Linotype" w:eastAsia="Palatino Linotype" w:hAnsi="Palatino Linotype" w:cs="Palatino Linotype"/>
          <w:b/>
        </w:rPr>
        <w:t>RECURRENTE</w:t>
      </w:r>
      <w:r w:rsidRPr="00B526AF">
        <w:rPr>
          <w:rFonts w:ascii="Palatino Linotype" w:eastAsia="Palatino Linotype" w:hAnsi="Palatino Linotype" w:cs="Palatino Linotype"/>
        </w:rPr>
        <w:t>.</w:t>
      </w:r>
    </w:p>
    <w:p w14:paraId="6DC19212" w14:textId="77777777" w:rsidR="00475955" w:rsidRPr="00B526AF" w:rsidRDefault="00475955">
      <w:pPr>
        <w:spacing w:line="360" w:lineRule="auto"/>
        <w:jc w:val="both"/>
        <w:rPr>
          <w:rFonts w:ascii="Palatino Linotype" w:eastAsia="Palatino Linotype" w:hAnsi="Palatino Linotype" w:cs="Palatino Linotype"/>
        </w:rPr>
      </w:pPr>
    </w:p>
    <w:p w14:paraId="360DA417"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445CE165" w14:textId="77777777" w:rsidR="00475955" w:rsidRPr="00B526AF" w:rsidRDefault="001F2C49">
      <w:pPr>
        <w:spacing w:before="240" w:after="240"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rPr>
        <w:t>Así, con fundamento en lo prescrito en los artículos 5 párrafos vigésimo, vigésimo primero y vigésimo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A3FADC4" w14:textId="77777777" w:rsidR="00475955" w:rsidRPr="00B526AF" w:rsidRDefault="001F2C49">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rPr>
      </w:pPr>
      <w:r w:rsidRPr="00B526AF">
        <w:rPr>
          <w:rFonts w:ascii="Palatino Linotype" w:eastAsia="Palatino Linotype" w:hAnsi="Palatino Linotype" w:cs="Palatino Linotype"/>
          <w:b/>
        </w:rPr>
        <w:t>III. R E S U E L V E:</w:t>
      </w:r>
    </w:p>
    <w:p w14:paraId="37FA1C62"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t xml:space="preserve">Primero. </w:t>
      </w:r>
      <w:r w:rsidRPr="00B526AF">
        <w:rPr>
          <w:rFonts w:ascii="Palatino Linotype" w:eastAsia="Palatino Linotype" w:hAnsi="Palatino Linotype" w:cs="Palatino Linotype"/>
        </w:rPr>
        <w:t>Resulta</w:t>
      </w:r>
      <w:r w:rsidRPr="00B526AF">
        <w:rPr>
          <w:rFonts w:ascii="Palatino Linotype" w:eastAsia="Palatino Linotype" w:hAnsi="Palatino Linotype" w:cs="Palatino Linotype"/>
          <w:b/>
        </w:rPr>
        <w:t xml:space="preserve"> FUNDADO</w:t>
      </w:r>
      <w:r w:rsidRPr="00B526AF">
        <w:rPr>
          <w:rFonts w:ascii="Palatino Linotype" w:eastAsia="Palatino Linotype" w:hAnsi="Palatino Linotype" w:cs="Palatino Linotype"/>
        </w:rPr>
        <w:t xml:space="preserve"> el motivo de inconformidad hecho valer por el </w:t>
      </w:r>
      <w:r w:rsidRPr="00B526AF">
        <w:rPr>
          <w:rFonts w:ascii="Palatino Linotype" w:eastAsia="Palatino Linotype" w:hAnsi="Palatino Linotype" w:cs="Palatino Linotype"/>
          <w:b/>
        </w:rPr>
        <w:t>RECURRENTE</w:t>
      </w:r>
      <w:r w:rsidRPr="00B526AF">
        <w:rPr>
          <w:rFonts w:ascii="Palatino Linotype" w:eastAsia="Palatino Linotype" w:hAnsi="Palatino Linotype" w:cs="Palatino Linotype"/>
        </w:rPr>
        <w:t xml:space="preserve"> en el Recurso de Revisión </w:t>
      </w:r>
      <w:r w:rsidRPr="00B526AF">
        <w:rPr>
          <w:rFonts w:ascii="Palatino Linotype" w:eastAsia="Palatino Linotype" w:hAnsi="Palatino Linotype" w:cs="Palatino Linotype"/>
          <w:b/>
        </w:rPr>
        <w:t xml:space="preserve">15179/INFOEM/IP/RR/2022, </w:t>
      </w:r>
      <w:r w:rsidRPr="00B526AF">
        <w:rPr>
          <w:rFonts w:ascii="Palatino Linotype" w:eastAsia="Palatino Linotype" w:hAnsi="Palatino Linotype" w:cs="Palatino Linotype"/>
        </w:rPr>
        <w:t xml:space="preserve">por lo que, en términos del considerando </w:t>
      </w:r>
      <w:r w:rsidRPr="00B526AF">
        <w:rPr>
          <w:rFonts w:ascii="Palatino Linotype" w:eastAsia="Palatino Linotype" w:hAnsi="Palatino Linotype" w:cs="Palatino Linotype"/>
          <w:b/>
        </w:rPr>
        <w:t xml:space="preserve">Cuarto </w:t>
      </w:r>
      <w:r w:rsidRPr="00B526AF">
        <w:rPr>
          <w:rFonts w:ascii="Palatino Linotype" w:eastAsia="Palatino Linotype" w:hAnsi="Palatino Linotype" w:cs="Palatino Linotype"/>
        </w:rPr>
        <w:t xml:space="preserve">de esta resolución, se </w:t>
      </w:r>
      <w:r w:rsidRPr="00B526AF">
        <w:rPr>
          <w:rFonts w:ascii="Palatino Linotype" w:eastAsia="Palatino Linotype" w:hAnsi="Palatino Linotype" w:cs="Palatino Linotype"/>
          <w:b/>
        </w:rPr>
        <w:t xml:space="preserve">MODIFICA </w:t>
      </w:r>
      <w:r w:rsidRPr="00B526AF">
        <w:rPr>
          <w:rFonts w:ascii="Palatino Linotype" w:eastAsia="Palatino Linotype" w:hAnsi="Palatino Linotype" w:cs="Palatino Linotype"/>
        </w:rPr>
        <w:t xml:space="preserve">la respuesta emitida por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w:t>
      </w:r>
    </w:p>
    <w:p w14:paraId="111FAFD3" w14:textId="77777777" w:rsidR="00475955" w:rsidRPr="00B526AF" w:rsidRDefault="00475955">
      <w:pPr>
        <w:spacing w:line="360" w:lineRule="auto"/>
        <w:ind w:right="49"/>
        <w:jc w:val="both"/>
        <w:rPr>
          <w:rFonts w:ascii="Palatino Linotype" w:eastAsia="Palatino Linotype" w:hAnsi="Palatino Linotype" w:cs="Palatino Linotype"/>
          <w:b/>
        </w:rPr>
      </w:pPr>
    </w:p>
    <w:p w14:paraId="07A8EB6D" w14:textId="77777777" w:rsidR="00475955" w:rsidRPr="00B526AF" w:rsidRDefault="001F2C49">
      <w:pPr>
        <w:spacing w:line="360" w:lineRule="auto"/>
        <w:ind w:right="49"/>
        <w:jc w:val="both"/>
        <w:rPr>
          <w:rFonts w:ascii="Palatino Linotype" w:eastAsia="Palatino Linotype" w:hAnsi="Palatino Linotype" w:cs="Palatino Linotype"/>
        </w:rPr>
      </w:pPr>
      <w:r w:rsidRPr="00B526AF">
        <w:rPr>
          <w:rFonts w:ascii="Palatino Linotype" w:eastAsia="Palatino Linotype" w:hAnsi="Palatino Linotype" w:cs="Palatino Linotype"/>
          <w:b/>
        </w:rPr>
        <w:t xml:space="preserve">Segundo. </w:t>
      </w:r>
      <w:r w:rsidRPr="00B526AF">
        <w:rPr>
          <w:rFonts w:ascii="Palatino Linotype" w:eastAsia="Palatino Linotype" w:hAnsi="Palatino Linotype" w:cs="Palatino Linotype"/>
        </w:rPr>
        <w:t>Se</w:t>
      </w:r>
      <w:r w:rsidRPr="00B526AF">
        <w:rPr>
          <w:rFonts w:ascii="Palatino Linotype" w:eastAsia="Palatino Linotype" w:hAnsi="Palatino Linotype" w:cs="Palatino Linotype"/>
          <w:b/>
        </w:rPr>
        <w:t xml:space="preserve"> ORDENA </w:t>
      </w:r>
      <w:r w:rsidRPr="00B526AF">
        <w:rPr>
          <w:rFonts w:ascii="Palatino Linotype" w:eastAsia="Palatino Linotype" w:hAnsi="Palatino Linotype" w:cs="Palatino Linotype"/>
        </w:rPr>
        <w:t xml:space="preserve">al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a que,</w:t>
      </w:r>
      <w:r w:rsidRPr="00B526AF">
        <w:rPr>
          <w:rFonts w:ascii="Palatino Linotype" w:eastAsia="Palatino Linotype" w:hAnsi="Palatino Linotype" w:cs="Palatino Linotype"/>
          <w:b/>
        </w:rPr>
        <w:t xml:space="preserve"> </w:t>
      </w:r>
      <w:r w:rsidRPr="00B526AF">
        <w:rPr>
          <w:rFonts w:ascii="Palatino Linotype" w:eastAsia="Palatino Linotype" w:hAnsi="Palatino Linotype" w:cs="Palatino Linotype"/>
        </w:rPr>
        <w:t>en términos del Considerando Cuarto y Quinto, haga entrega vía Sistema de Acceso a la Información Mexiquense (SAIMEX), previa búsqueda exhaustiva y razonable, en versión pública de ser procedente del documento o documentos en donde conste lo siguiente:</w:t>
      </w:r>
    </w:p>
    <w:p w14:paraId="765C69CB" w14:textId="77777777" w:rsidR="00475955" w:rsidRPr="00B526AF" w:rsidRDefault="00475955">
      <w:pPr>
        <w:spacing w:line="360" w:lineRule="auto"/>
        <w:ind w:right="49"/>
        <w:jc w:val="both"/>
        <w:rPr>
          <w:rFonts w:ascii="Palatino Linotype" w:eastAsia="Palatino Linotype" w:hAnsi="Palatino Linotype" w:cs="Palatino Linotype"/>
        </w:rPr>
      </w:pPr>
    </w:p>
    <w:p w14:paraId="52538F99" w14:textId="77777777" w:rsidR="00475955" w:rsidRPr="00B526AF" w:rsidRDefault="001F2C49">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B526AF">
        <w:rPr>
          <w:rFonts w:ascii="Palatino Linotype" w:eastAsia="Palatino Linotype" w:hAnsi="Palatino Linotype" w:cs="Palatino Linotype"/>
          <w:sz w:val="22"/>
          <w:szCs w:val="22"/>
        </w:rPr>
        <w:lastRenderedPageBreak/>
        <w:t>El número de Licencias de Funcionamiento se han otorgado de enero a agosto de la administración 2022-2024, en el que se incluya el Cobro realizado, Nombre del Municipio, Nombre del Titular, Actividad Económica, Clave Única, Fecha de inicio de actividades, Tipo de impacto y Domicilio de la unidad económica</w:t>
      </w:r>
      <w:r w:rsidRPr="00B526AF">
        <w:rPr>
          <w:rFonts w:ascii="Palatino Linotype" w:eastAsia="Palatino Linotype" w:hAnsi="Palatino Linotype" w:cs="Palatino Linotype"/>
          <w:i/>
          <w:sz w:val="22"/>
          <w:szCs w:val="22"/>
        </w:rPr>
        <w:t>,</w:t>
      </w:r>
      <w:r w:rsidRPr="00B526AF">
        <w:rPr>
          <w:rFonts w:ascii="Palatino Linotype" w:eastAsia="Palatino Linotype" w:hAnsi="Palatino Linotype" w:cs="Palatino Linotype"/>
          <w:sz w:val="22"/>
          <w:szCs w:val="22"/>
        </w:rPr>
        <w:t xml:space="preserve"> del primero de enero al treinta y uno de agosto del año dos mil veintidós. </w:t>
      </w:r>
    </w:p>
    <w:p w14:paraId="6AB8CE5A" w14:textId="77777777" w:rsidR="00475955" w:rsidRPr="00B526AF" w:rsidRDefault="001F2C49">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B526AF">
        <w:rPr>
          <w:rFonts w:ascii="Palatino Linotype" w:eastAsia="Palatino Linotype" w:hAnsi="Palatino Linotype" w:cs="Palatino Linotype"/>
          <w:sz w:val="22"/>
          <w:szCs w:val="22"/>
        </w:rPr>
        <w:t>Las visitas y procedimientos de verificación a los establecimientos económicos que cuentan con una licencia de funcionamiento, en el que se incluyan las sanciones correspondientes, del primero de enero al treinta y uno de agosto del año dos mil veintidós.</w:t>
      </w:r>
    </w:p>
    <w:p w14:paraId="4ED13081" w14:textId="77777777" w:rsidR="00475955" w:rsidRPr="00B526AF" w:rsidRDefault="001F2C49">
      <w:pPr>
        <w:pBdr>
          <w:top w:val="nil"/>
          <w:left w:val="nil"/>
          <w:bottom w:val="nil"/>
          <w:right w:val="nil"/>
          <w:between w:val="nil"/>
        </w:pBdr>
        <w:spacing w:before="240" w:after="240" w:line="276" w:lineRule="auto"/>
        <w:ind w:left="360" w:right="49"/>
        <w:jc w:val="both"/>
        <w:rPr>
          <w:rFonts w:ascii="Palatino Linotype" w:eastAsia="Palatino Linotype" w:hAnsi="Palatino Linotype" w:cs="Palatino Linotype"/>
          <w:i/>
          <w:sz w:val="22"/>
          <w:szCs w:val="22"/>
        </w:rPr>
      </w:pPr>
      <w:r w:rsidRPr="00B526AF">
        <w:rPr>
          <w:rFonts w:ascii="Palatino Linotype" w:eastAsia="Palatino Linotype" w:hAnsi="Palatino Linotype" w:cs="Palatino Linotype"/>
          <w:i/>
          <w:sz w:val="22"/>
          <w:szCs w:val="22"/>
        </w:rPr>
        <w:t>De ser procedente 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4A3EAE96" w14:textId="77777777" w:rsidR="00475955" w:rsidRPr="00B526AF" w:rsidRDefault="001F2C49">
      <w:pPr>
        <w:pBdr>
          <w:top w:val="nil"/>
          <w:left w:val="nil"/>
          <w:bottom w:val="nil"/>
          <w:right w:val="nil"/>
          <w:between w:val="nil"/>
        </w:pBdr>
        <w:spacing w:before="240" w:after="240" w:line="276" w:lineRule="auto"/>
        <w:ind w:left="360" w:right="49"/>
        <w:jc w:val="both"/>
        <w:rPr>
          <w:rFonts w:ascii="Palatino Linotype" w:eastAsia="Palatino Linotype" w:hAnsi="Palatino Linotype" w:cs="Palatino Linotype"/>
          <w:i/>
        </w:rPr>
      </w:pPr>
      <w:r w:rsidRPr="00B526AF">
        <w:rPr>
          <w:rFonts w:ascii="Palatino Linotype" w:eastAsia="Palatino Linotype" w:hAnsi="Palatino Linotype" w:cs="Palatino Linotype"/>
          <w:i/>
          <w:sz w:val="22"/>
          <w:szCs w:val="22"/>
        </w:rPr>
        <w:t xml:space="preserve">Respecto de la información que se ordena en el numeral 2, </w:t>
      </w:r>
      <w:r w:rsidRPr="00B526AF">
        <w:rPr>
          <w:rFonts w:ascii="Palatino Linotype" w:eastAsia="Palatino Linotype" w:hAnsi="Palatino Linotype" w:cs="Palatino Linotype"/>
          <w:i/>
        </w:rPr>
        <w:t xml:space="preserve">actualice alguna causal de reserva, se deberá entregar el Acuerdo del Comité de Transparencia en términos del artículo 49 fracción </w:t>
      </w:r>
      <w:proofErr w:type="gramStart"/>
      <w:r w:rsidRPr="00B526AF">
        <w:rPr>
          <w:rFonts w:ascii="Palatino Linotype" w:eastAsia="Palatino Linotype" w:hAnsi="Palatino Linotype" w:cs="Palatino Linotype"/>
          <w:i/>
        </w:rPr>
        <w:t>VIII  y</w:t>
      </w:r>
      <w:proofErr w:type="gramEnd"/>
      <w:r w:rsidRPr="00B526AF">
        <w:rPr>
          <w:rFonts w:ascii="Palatino Linotype" w:eastAsia="Palatino Linotype" w:hAnsi="Palatino Linotype" w:cs="Palatino Linotype"/>
          <w:i/>
        </w:rPr>
        <w:t xml:space="preserve"> 132 fracción II de la Ley de Transparencia y Acceso a la Información Pública del Estado de México y Municipios, en el que funde y motive las razones por las cuales se reserve la información.</w:t>
      </w:r>
    </w:p>
    <w:p w14:paraId="61BC95A5" w14:textId="77777777" w:rsidR="00475955" w:rsidRPr="00B526AF" w:rsidRDefault="001F2C49">
      <w:pPr>
        <w:spacing w:line="360" w:lineRule="auto"/>
        <w:ind w:right="49"/>
        <w:jc w:val="both"/>
        <w:rPr>
          <w:rFonts w:ascii="Palatino Linotype" w:eastAsia="Palatino Linotype" w:hAnsi="Palatino Linotype" w:cs="Palatino Linotype"/>
        </w:rPr>
      </w:pPr>
      <w:r w:rsidRPr="00B526AF">
        <w:rPr>
          <w:rFonts w:ascii="Palatino Linotype" w:eastAsia="Palatino Linotype" w:hAnsi="Palatino Linotype" w:cs="Palatino Linotype"/>
          <w:b/>
        </w:rPr>
        <w:t xml:space="preserve">Tercero. Notifíquese, </w:t>
      </w:r>
      <w:r w:rsidRPr="00B526AF">
        <w:rPr>
          <w:rFonts w:ascii="Palatino Linotype" w:eastAsia="Palatino Linotype" w:hAnsi="Palatino Linotype" w:cs="Palatino Linotype"/>
        </w:rPr>
        <w:t xml:space="preserve">vía </w:t>
      </w:r>
      <w:r w:rsidRPr="00B526AF">
        <w:rPr>
          <w:rFonts w:ascii="Palatino Linotype" w:eastAsia="Palatino Linotype" w:hAnsi="Palatino Linotype" w:cs="Palatino Linotype"/>
          <w:b/>
        </w:rPr>
        <w:t>SAIMEX</w:t>
      </w:r>
      <w:r w:rsidRPr="00B526AF">
        <w:rPr>
          <w:rFonts w:ascii="Palatino Linotype" w:eastAsia="Palatino Linotype" w:hAnsi="Palatino Linotype" w:cs="Palatino Linotype"/>
        </w:rPr>
        <w:t xml:space="preserve">, al Titular de la Unidad de Transparencia del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w:t>
      </w:r>
      <w:r w:rsidRPr="00B526AF">
        <w:rPr>
          <w:rFonts w:ascii="Palatino Linotype" w:eastAsia="Palatino Linotype" w:hAnsi="Palatino Linotype" w:cs="Palatino Linotype"/>
        </w:rPr>
        <w:lastRenderedPageBreak/>
        <w:t>manera parcial, se le impondrá una medida de apremio de conformidad con lo previsto en los artículos 198, 200, fracción III; 214, 215 y 216 de la Ley  de Transparencia y Acceso a la Información Pública del Estado de México y Municipios.</w:t>
      </w:r>
    </w:p>
    <w:p w14:paraId="1AC5BD06" w14:textId="77777777" w:rsidR="00475955" w:rsidRPr="00B526AF" w:rsidRDefault="00475955">
      <w:pPr>
        <w:spacing w:line="360" w:lineRule="auto"/>
        <w:jc w:val="both"/>
        <w:rPr>
          <w:rFonts w:ascii="Palatino Linotype" w:eastAsia="Palatino Linotype" w:hAnsi="Palatino Linotype" w:cs="Palatino Linotype"/>
          <w:b/>
        </w:rPr>
      </w:pPr>
    </w:p>
    <w:p w14:paraId="2EF1601B" w14:textId="77777777" w:rsidR="00475955" w:rsidRPr="00B526AF" w:rsidRDefault="001F2C49">
      <w:pPr>
        <w:spacing w:line="360" w:lineRule="auto"/>
        <w:ind w:right="49"/>
        <w:jc w:val="both"/>
        <w:rPr>
          <w:rFonts w:ascii="Palatino Linotype" w:eastAsia="Palatino Linotype" w:hAnsi="Palatino Linotype" w:cs="Palatino Linotype"/>
        </w:rPr>
      </w:pPr>
      <w:r w:rsidRPr="00B526AF">
        <w:rPr>
          <w:rFonts w:ascii="Palatino Linotype" w:eastAsia="Palatino Linotype" w:hAnsi="Palatino Linotype" w:cs="Palatino Linotype"/>
          <w:b/>
        </w:rPr>
        <w:t>Cuarto. Notifíquese vía SAIMEX</w:t>
      </w:r>
      <w:r w:rsidRPr="00B526AF">
        <w:rPr>
          <w:rFonts w:ascii="Palatino Linotype" w:eastAsia="Palatino Linotype" w:hAnsi="Palatino Linotype" w:cs="Palatino Linotype"/>
        </w:rPr>
        <w:t xml:space="preserve"> a la parte </w:t>
      </w:r>
      <w:r w:rsidRPr="00B526AF">
        <w:rPr>
          <w:rFonts w:ascii="Palatino Linotype" w:eastAsia="Palatino Linotype" w:hAnsi="Palatino Linotype" w:cs="Palatino Linotype"/>
          <w:b/>
        </w:rPr>
        <w:t>RECURRENTE</w:t>
      </w:r>
      <w:r w:rsidRPr="00B526A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7D00A5E0" w14:textId="77777777" w:rsidR="00475955" w:rsidRPr="00B526AF" w:rsidRDefault="00475955">
      <w:pPr>
        <w:spacing w:line="360" w:lineRule="auto"/>
        <w:ind w:right="49"/>
        <w:jc w:val="both"/>
        <w:rPr>
          <w:rFonts w:ascii="Palatino Linotype" w:eastAsia="Palatino Linotype" w:hAnsi="Palatino Linotype" w:cs="Palatino Linotype"/>
        </w:rPr>
      </w:pPr>
    </w:p>
    <w:p w14:paraId="1CE879D0" w14:textId="77777777" w:rsidR="00475955" w:rsidRPr="00B526AF" w:rsidRDefault="001F2C49">
      <w:pPr>
        <w:spacing w:line="360" w:lineRule="auto"/>
        <w:jc w:val="both"/>
        <w:rPr>
          <w:rFonts w:ascii="Palatino Linotype" w:eastAsia="Palatino Linotype" w:hAnsi="Palatino Linotype" w:cs="Palatino Linotype"/>
        </w:rPr>
      </w:pPr>
      <w:r w:rsidRPr="00B526AF">
        <w:rPr>
          <w:rFonts w:ascii="Palatino Linotype" w:eastAsia="Palatino Linotype" w:hAnsi="Palatino Linotype" w:cs="Palatino Linotype"/>
          <w:b/>
        </w:rPr>
        <w:t>Quinto.</w:t>
      </w:r>
      <w:r w:rsidRPr="00B526AF">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B526AF">
        <w:rPr>
          <w:rFonts w:ascii="Palatino Linotype" w:eastAsia="Palatino Linotype" w:hAnsi="Palatino Linotype" w:cs="Palatino Linotype"/>
          <w:b/>
        </w:rPr>
        <w:t>SUJETO OBLIGADO</w:t>
      </w:r>
      <w:r w:rsidRPr="00B526AF">
        <w:rPr>
          <w:rFonts w:ascii="Palatino Linotype" w:eastAsia="Palatino Linotype" w:hAnsi="Palatino Linotype" w:cs="Palatino Linotype"/>
        </w:rPr>
        <w:t xml:space="preserve"> de manera fundada y motivada, podrá solicitar una ampliación de plazo para el cumplimiento de la presente resolución.</w:t>
      </w:r>
    </w:p>
    <w:p w14:paraId="1D95E8B9" w14:textId="77777777" w:rsidR="00475955" w:rsidRPr="00B526AF" w:rsidRDefault="001F2C49">
      <w:pPr>
        <w:spacing w:before="240" w:after="240" w:line="360" w:lineRule="auto"/>
        <w:jc w:val="both"/>
        <w:rPr>
          <w:rFonts w:ascii="Palatino Linotype" w:eastAsia="Palatino Linotype" w:hAnsi="Palatino Linotype" w:cs="Palatino Linotype"/>
        </w:rPr>
        <w:sectPr w:rsidR="00475955" w:rsidRPr="00B526AF">
          <w:headerReference w:type="default" r:id="rId18"/>
          <w:footerReference w:type="default" r:id="rId19"/>
          <w:headerReference w:type="first" r:id="rId20"/>
          <w:footerReference w:type="first" r:id="rId21"/>
          <w:pgSz w:w="12240" w:h="15840"/>
          <w:pgMar w:top="1417" w:right="1701" w:bottom="1417" w:left="1701" w:header="709" w:footer="709" w:gutter="0"/>
          <w:pgNumType w:start="1"/>
          <w:cols w:space="720"/>
          <w:titlePg/>
        </w:sectPr>
      </w:pPr>
      <w:bookmarkStart w:id="1" w:name="_heading=h.1fob9te" w:colFirst="0" w:colLast="0"/>
      <w:bookmarkEnd w:id="1"/>
      <w:r w:rsidRPr="00B526AF">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DÉCIMA OCTAVA SESIÓN ORDINARIA CELEBRADA EL DIECISIETE DE MAYO DE DOS MIL VEINTITRÉS, ANTE EL SECRETARIO TÉCNICO DEL PLENO ALEXIS TAPIA RAMÍREZ. </w:t>
      </w:r>
    </w:p>
    <w:p w14:paraId="1B0DB19D" w14:textId="77777777" w:rsidR="00475955" w:rsidRPr="00B526AF" w:rsidRDefault="00475955">
      <w:pPr>
        <w:spacing w:before="240" w:after="240" w:line="360" w:lineRule="auto"/>
        <w:jc w:val="both"/>
        <w:rPr>
          <w:rFonts w:ascii="Palatino Linotype" w:eastAsia="Palatino Linotype" w:hAnsi="Palatino Linotype" w:cs="Palatino Linotype"/>
        </w:rPr>
      </w:pPr>
    </w:p>
    <w:p w14:paraId="7763948C" w14:textId="77777777" w:rsidR="00475955" w:rsidRPr="00B526AF" w:rsidRDefault="00475955">
      <w:pPr>
        <w:spacing w:before="240" w:after="240" w:line="360" w:lineRule="auto"/>
        <w:jc w:val="both"/>
        <w:rPr>
          <w:rFonts w:ascii="Palatino Linotype" w:eastAsia="Palatino Linotype" w:hAnsi="Palatino Linotype" w:cs="Palatino Linotype"/>
        </w:rPr>
      </w:pPr>
    </w:p>
    <w:p w14:paraId="4246A7C2" w14:textId="77777777" w:rsidR="00475955" w:rsidRPr="00B526AF" w:rsidRDefault="00475955">
      <w:pPr>
        <w:spacing w:before="240" w:after="240" w:line="360" w:lineRule="auto"/>
        <w:jc w:val="both"/>
        <w:rPr>
          <w:rFonts w:ascii="Palatino Linotype" w:eastAsia="Palatino Linotype" w:hAnsi="Palatino Linotype" w:cs="Palatino Linotype"/>
        </w:rPr>
      </w:pPr>
    </w:p>
    <w:sectPr w:rsidR="00475955" w:rsidRPr="00B526AF">
      <w:headerReference w:type="first" r:id="rId22"/>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FFE2E" w14:textId="77777777" w:rsidR="00514877" w:rsidRDefault="00514877">
      <w:r>
        <w:separator/>
      </w:r>
    </w:p>
  </w:endnote>
  <w:endnote w:type="continuationSeparator" w:id="0">
    <w:p w14:paraId="01CC0148" w14:textId="77777777" w:rsidR="00514877" w:rsidRDefault="00514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D5511" w14:textId="77777777" w:rsidR="00475955" w:rsidRDefault="001F2C4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43E52">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43E52">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5B152D2A" w14:textId="77777777" w:rsidR="00475955" w:rsidRDefault="0047595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2EFFE" w14:textId="77777777" w:rsidR="00475955" w:rsidRDefault="001F2C4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43E52">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43E52">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2ECDC5CE" w14:textId="77777777" w:rsidR="00475955" w:rsidRDefault="0047595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8DEB6" w14:textId="77777777" w:rsidR="00514877" w:rsidRDefault="00514877">
      <w:r>
        <w:separator/>
      </w:r>
    </w:p>
  </w:footnote>
  <w:footnote w:type="continuationSeparator" w:id="0">
    <w:p w14:paraId="3A234750" w14:textId="77777777" w:rsidR="00514877" w:rsidRDefault="00514877">
      <w:r>
        <w:continuationSeparator/>
      </w:r>
    </w:p>
  </w:footnote>
  <w:footnote w:id="1">
    <w:p w14:paraId="245107A6" w14:textId="77777777" w:rsidR="00475955" w:rsidRDefault="001F2C49">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539F2FB7" w14:textId="77777777" w:rsidR="00475955" w:rsidRDefault="001F2C49">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50BC" w14:textId="77777777" w:rsidR="00475955" w:rsidRDefault="001F2C49">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14:anchorId="090A2200" wp14:editId="64C6FEF0">
          <wp:simplePos x="0" y="0"/>
          <wp:positionH relativeFrom="column">
            <wp:posOffset>-665858</wp:posOffset>
          </wp:positionH>
          <wp:positionV relativeFrom="paragraph">
            <wp:posOffset>-453614</wp:posOffset>
          </wp:positionV>
          <wp:extent cx="7635600" cy="9943200"/>
          <wp:effectExtent l="0" t="0" r="0" b="0"/>
          <wp:wrapNone/>
          <wp:docPr id="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7"/>
      <w:tblW w:w="5670" w:type="dxa"/>
      <w:tblInd w:w="3119" w:type="dxa"/>
      <w:tblLayout w:type="fixed"/>
      <w:tblLook w:val="0400" w:firstRow="0" w:lastRow="0" w:firstColumn="0" w:lastColumn="0" w:noHBand="0" w:noVBand="1"/>
    </w:tblPr>
    <w:tblGrid>
      <w:gridCol w:w="2551"/>
      <w:gridCol w:w="3119"/>
    </w:tblGrid>
    <w:tr w:rsidR="00475955" w14:paraId="02672464" w14:textId="77777777">
      <w:tc>
        <w:tcPr>
          <w:tcW w:w="2551" w:type="dxa"/>
          <w:vAlign w:val="center"/>
        </w:tcPr>
        <w:p w14:paraId="68750C4F" w14:textId="77777777" w:rsidR="00475955" w:rsidRDefault="001F2C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D66235A" w14:textId="77777777" w:rsidR="00475955" w:rsidRDefault="001F2C4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15179/INFOEM/IP/RR/2022. </w:t>
          </w:r>
        </w:p>
      </w:tc>
    </w:tr>
    <w:tr w:rsidR="00475955" w14:paraId="669A2C1F" w14:textId="77777777">
      <w:trPr>
        <w:trHeight w:val="228"/>
      </w:trPr>
      <w:tc>
        <w:tcPr>
          <w:tcW w:w="2551" w:type="dxa"/>
          <w:vAlign w:val="center"/>
        </w:tcPr>
        <w:p w14:paraId="49EBCAFF" w14:textId="77777777" w:rsidR="00475955" w:rsidRDefault="001F2C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75D77B18" w14:textId="77777777" w:rsidR="00475955" w:rsidRDefault="001F2C4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Otumba.</w:t>
          </w:r>
        </w:p>
      </w:tc>
    </w:tr>
    <w:tr w:rsidR="00475955" w14:paraId="6F4CC7FB" w14:textId="77777777">
      <w:tc>
        <w:tcPr>
          <w:tcW w:w="2551" w:type="dxa"/>
          <w:vAlign w:val="center"/>
        </w:tcPr>
        <w:p w14:paraId="439B8A63" w14:textId="77777777" w:rsidR="00475955" w:rsidRDefault="001F2C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4118CBBC" w14:textId="77777777" w:rsidR="00475955" w:rsidRDefault="001F2C4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A0DC78" w14:textId="77777777" w:rsidR="00475955" w:rsidRDefault="0047595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E8EBD" w14:textId="77777777" w:rsidR="00475955" w:rsidRDefault="001F2C49">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412F2C15" wp14:editId="49BAF4E0">
          <wp:simplePos x="0" y="0"/>
          <wp:positionH relativeFrom="column">
            <wp:posOffset>-680311</wp:posOffset>
          </wp:positionH>
          <wp:positionV relativeFrom="paragraph">
            <wp:posOffset>-168882</wp:posOffset>
          </wp:positionV>
          <wp:extent cx="7635600" cy="9943200"/>
          <wp:effectExtent l="0" t="0" r="0" b="0"/>
          <wp:wrapNone/>
          <wp:docPr id="6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6"/>
      <w:tblW w:w="5812" w:type="dxa"/>
      <w:tblInd w:w="3119" w:type="dxa"/>
      <w:tblLayout w:type="fixed"/>
      <w:tblLook w:val="0400" w:firstRow="0" w:lastRow="0" w:firstColumn="0" w:lastColumn="0" w:noHBand="0" w:noVBand="1"/>
    </w:tblPr>
    <w:tblGrid>
      <w:gridCol w:w="2551"/>
      <w:gridCol w:w="3261"/>
    </w:tblGrid>
    <w:tr w:rsidR="00475955" w14:paraId="071D8FFC" w14:textId="77777777">
      <w:tc>
        <w:tcPr>
          <w:tcW w:w="2551" w:type="dxa"/>
          <w:vAlign w:val="center"/>
        </w:tcPr>
        <w:p w14:paraId="0386A8BA" w14:textId="77777777" w:rsidR="00475955" w:rsidRDefault="001F2C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14:paraId="6003A6A9" w14:textId="77777777" w:rsidR="00475955" w:rsidRDefault="001F2C4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15179/INFOEM/IP/RR/2022. </w:t>
          </w:r>
        </w:p>
      </w:tc>
    </w:tr>
    <w:tr w:rsidR="00475955" w14:paraId="7C4A5A33" w14:textId="77777777">
      <w:tc>
        <w:tcPr>
          <w:tcW w:w="2551" w:type="dxa"/>
          <w:vAlign w:val="center"/>
        </w:tcPr>
        <w:p w14:paraId="14295EA3" w14:textId="77777777" w:rsidR="00475955" w:rsidRDefault="001F2C4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14:paraId="12204D83" w14:textId="77777777" w:rsidR="00475955" w:rsidRDefault="00475955">
          <w:pPr>
            <w:jc w:val="both"/>
            <w:rPr>
              <w:rFonts w:ascii="Palatino Linotype" w:eastAsia="Palatino Linotype" w:hAnsi="Palatino Linotype" w:cs="Palatino Linotype"/>
              <w:b/>
              <w:sz w:val="22"/>
              <w:szCs w:val="22"/>
            </w:rPr>
          </w:pPr>
        </w:p>
      </w:tc>
    </w:tr>
    <w:tr w:rsidR="00475955" w14:paraId="0AEBCAC9" w14:textId="77777777">
      <w:trPr>
        <w:trHeight w:val="228"/>
      </w:trPr>
      <w:tc>
        <w:tcPr>
          <w:tcW w:w="2551" w:type="dxa"/>
          <w:vAlign w:val="center"/>
        </w:tcPr>
        <w:p w14:paraId="4B735EE5" w14:textId="77777777" w:rsidR="00475955" w:rsidRDefault="001F2C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14:paraId="240C6783" w14:textId="77777777" w:rsidR="00475955" w:rsidRDefault="001F2C4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Otumba.</w:t>
          </w:r>
        </w:p>
      </w:tc>
    </w:tr>
    <w:tr w:rsidR="00475955" w14:paraId="2C7910EE" w14:textId="77777777">
      <w:tc>
        <w:tcPr>
          <w:tcW w:w="2551" w:type="dxa"/>
          <w:vAlign w:val="center"/>
        </w:tcPr>
        <w:p w14:paraId="12CF2B5B" w14:textId="77777777" w:rsidR="00475955" w:rsidRDefault="001F2C4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14:paraId="30BF0D96" w14:textId="77777777" w:rsidR="00475955" w:rsidRDefault="001F2C4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B8B4158" w14:textId="77777777" w:rsidR="00475955" w:rsidRDefault="00475955">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6CF6" w14:textId="77777777" w:rsidR="00475955" w:rsidRDefault="00475955">
    <w:pPr>
      <w:pBdr>
        <w:top w:val="nil"/>
        <w:left w:val="nil"/>
        <w:bottom w:val="nil"/>
        <w:right w:val="nil"/>
        <w:between w:val="nil"/>
      </w:pBdr>
      <w:tabs>
        <w:tab w:val="center" w:pos="4419"/>
        <w:tab w:val="right" w:pos="8838"/>
      </w:tabs>
      <w:jc w:val="both"/>
      <w:rPr>
        <w:color w:val="000000"/>
      </w:rPr>
    </w:pPr>
  </w:p>
  <w:p w14:paraId="356BECB0" w14:textId="77777777" w:rsidR="00475955" w:rsidRDefault="00475955">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47DCB"/>
    <w:multiLevelType w:val="multilevel"/>
    <w:tmpl w:val="7070DE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5E2DD9"/>
    <w:multiLevelType w:val="multilevel"/>
    <w:tmpl w:val="550035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111E33"/>
    <w:multiLevelType w:val="multilevel"/>
    <w:tmpl w:val="83B64CD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0563B2"/>
    <w:multiLevelType w:val="multilevel"/>
    <w:tmpl w:val="C924086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500509F7"/>
    <w:multiLevelType w:val="multilevel"/>
    <w:tmpl w:val="0262AA82"/>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6C025071"/>
    <w:multiLevelType w:val="multilevel"/>
    <w:tmpl w:val="6D722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955"/>
    <w:rsid w:val="001F2C49"/>
    <w:rsid w:val="00475955"/>
    <w:rsid w:val="004F16C4"/>
    <w:rsid w:val="00514877"/>
    <w:rsid w:val="005F5037"/>
    <w:rsid w:val="00B526AF"/>
    <w:rsid w:val="00F23909"/>
    <w:rsid w:val="00F43E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D0EB8"/>
  <w15:docId w15:val="{55200213-D463-40FA-969C-6BF232312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1E35F1"/>
  </w:style>
  <w:style w:type="character" w:customStyle="1" w:styleId="SinespaciadoCar">
    <w:name w:val="Sin espaciado Car"/>
    <w:aliases w:val="Francesa Car,INAI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14A6D"/>
    <w:rPr>
      <w:vertAlign w:val="superscript"/>
    </w:rPr>
  </w:style>
  <w:style w:type="paragraph" w:customStyle="1" w:styleId="Default">
    <w:name w:val="Default"/>
    <w:rsid w:val="00DD33AE"/>
    <w:pPr>
      <w:autoSpaceDE w:val="0"/>
      <w:autoSpaceDN w:val="0"/>
      <w:adjustRightInd w:val="0"/>
    </w:pPr>
    <w:rPr>
      <w:rFonts w:ascii="Arial" w:hAnsi="Arial" w:cs="Arial"/>
      <w:color w:val="000000"/>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85490.page"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https://legislacion.edomex.gob.mx/sites/legislacion.edomex.gob.mx/files/files/pdf/ley/vig/leyvig217.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gislacion.edomex.gob.mx/sites/legislacion.edomex.gob.mx/files/files/pdf/ley/vig/leyvig217.pdf"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UkT+nN1GtowhFCrYmpcSoRqvgZw==">AMUW2mW9y5SALCWHCqNvIcocQsLtGFdgPJDTTAQGknzTAf7jQqVmHgw7r1GVcIdpe9VohkhqbQsl7mhnv8jqWeQEbRdGiibb5A72ymJxJDYqIgXX+26stnKJvF7jOnY8cay8vwQbovJ15vHHUOa4mRI1I4hQpdGREA==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53</Pages>
  <Words>13819</Words>
  <Characters>76010</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2023-05-19T17:24:00Z</cp:lastPrinted>
  <dcterms:created xsi:type="dcterms:W3CDTF">2023-06-02T16:45:00Z</dcterms:created>
  <dcterms:modified xsi:type="dcterms:W3CDTF">2023-06-02T16:45:00Z</dcterms:modified>
</cp:coreProperties>
</file>