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E7" w:rsidRPr="00F505FD" w:rsidRDefault="00F65335">
      <w:pPr>
        <w:spacing w:before="240" w:after="240" w:line="360" w:lineRule="auto"/>
        <w:jc w:val="both"/>
        <w:rPr>
          <w:rFonts w:ascii="Palatino Linotype" w:eastAsia="Palatino Linotype" w:hAnsi="Palatino Linotype" w:cs="Palatino Linotype"/>
        </w:rPr>
      </w:pPr>
      <w:bookmarkStart w:id="0" w:name="_GoBack"/>
      <w:bookmarkEnd w:id="0"/>
      <w:r w:rsidRPr="00F505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F505FD">
        <w:rPr>
          <w:rFonts w:ascii="Palatino Linotype" w:eastAsia="Palatino Linotype" w:hAnsi="Palatino Linotype" w:cs="Palatino Linotype"/>
          <w:b/>
        </w:rPr>
        <w:t>veinticinco de enero de dos mil veintitrés</w:t>
      </w:r>
      <w:r w:rsidRPr="00F505FD">
        <w:rPr>
          <w:rFonts w:ascii="Palatino Linotype" w:eastAsia="Palatino Linotype" w:hAnsi="Palatino Linotype" w:cs="Palatino Linotype"/>
        </w:rPr>
        <w:t xml:space="preserve">. </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Visto</w:t>
      </w:r>
      <w:r w:rsidRPr="00F505FD">
        <w:rPr>
          <w:rFonts w:ascii="Palatino Linotype" w:eastAsia="Palatino Linotype" w:hAnsi="Palatino Linotype" w:cs="Palatino Linotype"/>
        </w:rPr>
        <w:t xml:space="preserve"> el expediente formado con motivo del recurso de revisión </w:t>
      </w:r>
      <w:r w:rsidRPr="00F505FD">
        <w:rPr>
          <w:rFonts w:ascii="Palatino Linotype" w:eastAsia="Palatino Linotype" w:hAnsi="Palatino Linotype" w:cs="Palatino Linotype"/>
          <w:b/>
        </w:rPr>
        <w:t>16079/INFOEM/IP/RR/2022</w:t>
      </w:r>
      <w:r w:rsidRPr="00F505FD">
        <w:rPr>
          <w:rFonts w:ascii="Palatino Linotype" w:eastAsia="Palatino Linotype" w:hAnsi="Palatino Linotype" w:cs="Palatino Linotype"/>
        </w:rPr>
        <w:t>, interpuesto por</w:t>
      </w:r>
      <w:r w:rsidRPr="00F505FD">
        <w:rPr>
          <w:rFonts w:ascii="Palatino Linotype" w:eastAsia="Palatino Linotype" w:hAnsi="Palatino Linotype" w:cs="Palatino Linotype"/>
          <w:b/>
        </w:rPr>
        <w:t xml:space="preserve"> un particular de manera anónima, </w:t>
      </w:r>
      <w:r w:rsidRPr="00F505FD">
        <w:rPr>
          <w:rFonts w:ascii="Palatino Linotype" w:eastAsia="Palatino Linotype" w:hAnsi="Palatino Linotype" w:cs="Palatino Linotype"/>
        </w:rPr>
        <w:t>quien en lo sucesivo</w:t>
      </w:r>
      <w:r w:rsidRPr="00F505FD">
        <w:rPr>
          <w:rFonts w:ascii="Palatino Linotype" w:eastAsia="Palatino Linotype" w:hAnsi="Palatino Linotype" w:cs="Palatino Linotype"/>
          <w:b/>
        </w:rPr>
        <w:t xml:space="preserve"> </w:t>
      </w:r>
      <w:r w:rsidRPr="00F505FD">
        <w:rPr>
          <w:rFonts w:ascii="Palatino Linotype" w:eastAsia="Palatino Linotype" w:hAnsi="Palatino Linotype" w:cs="Palatino Linotype"/>
        </w:rPr>
        <w:t xml:space="preserve">será identificado como </w:t>
      </w:r>
      <w:r w:rsidRPr="00F505FD">
        <w:rPr>
          <w:rFonts w:ascii="Palatino Linotype" w:eastAsia="Palatino Linotype" w:hAnsi="Palatino Linotype" w:cs="Palatino Linotype"/>
          <w:b/>
        </w:rPr>
        <w:t>la parte</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Recurrente,</w:t>
      </w:r>
      <w:r w:rsidRPr="00F505FD">
        <w:rPr>
          <w:rFonts w:ascii="Palatino Linotype" w:eastAsia="Palatino Linotype" w:hAnsi="Palatino Linotype" w:cs="Palatino Linotype"/>
        </w:rPr>
        <w:t xml:space="preserve"> en contra de la respuesta del </w:t>
      </w:r>
      <w:r w:rsidRPr="00F505FD">
        <w:rPr>
          <w:rFonts w:ascii="Palatino Linotype" w:eastAsia="Palatino Linotype" w:hAnsi="Palatino Linotype" w:cs="Palatino Linotype"/>
          <w:b/>
        </w:rPr>
        <w:t xml:space="preserve">Ayuntamiento de Almoloya del Río, </w:t>
      </w:r>
      <w:r w:rsidRPr="00F505FD">
        <w:rPr>
          <w:rFonts w:ascii="Palatino Linotype" w:eastAsia="Palatino Linotype" w:hAnsi="Palatino Linotype" w:cs="Palatino Linotype"/>
        </w:rPr>
        <w:t xml:space="preserve">en lo sucesivo el </w:t>
      </w:r>
      <w:r w:rsidRPr="00F505FD">
        <w:rPr>
          <w:rFonts w:ascii="Palatino Linotype" w:eastAsia="Palatino Linotype" w:hAnsi="Palatino Linotype" w:cs="Palatino Linotype"/>
          <w:b/>
        </w:rPr>
        <w:t xml:space="preserve">Sujeto Obligado, </w:t>
      </w:r>
      <w:r w:rsidRPr="00F505FD">
        <w:rPr>
          <w:rFonts w:ascii="Palatino Linotype" w:eastAsia="Palatino Linotype" w:hAnsi="Palatino Linotype" w:cs="Palatino Linotype"/>
        </w:rPr>
        <w:t xml:space="preserve">se procede a dictar la presente resolución con base en los siguientes: </w:t>
      </w:r>
    </w:p>
    <w:p w:rsidR="006407E7" w:rsidRPr="00F505FD" w:rsidRDefault="00F65335">
      <w:pPr>
        <w:spacing w:before="240" w:after="240" w:line="360" w:lineRule="auto"/>
        <w:jc w:val="center"/>
        <w:rPr>
          <w:rFonts w:ascii="Palatino Linotype" w:eastAsia="Palatino Linotype" w:hAnsi="Palatino Linotype" w:cs="Palatino Linotype"/>
          <w:b/>
          <w:sz w:val="28"/>
          <w:szCs w:val="28"/>
        </w:rPr>
      </w:pPr>
      <w:r w:rsidRPr="00F505FD">
        <w:rPr>
          <w:rFonts w:ascii="Palatino Linotype" w:eastAsia="Palatino Linotype" w:hAnsi="Palatino Linotype" w:cs="Palatino Linotype"/>
          <w:b/>
        </w:rPr>
        <w:t>I. A N T E C E D E N T E S</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1. Solicitud de acceso a la información.</w:t>
      </w:r>
      <w:r w:rsidRPr="00F505FD">
        <w:rPr>
          <w:rFonts w:ascii="Palatino Linotype" w:eastAsia="Palatino Linotype" w:hAnsi="Palatino Linotype" w:cs="Palatino Linotype"/>
        </w:rPr>
        <w:t xml:space="preserve"> El </w:t>
      </w:r>
      <w:r w:rsidRPr="00F505FD">
        <w:rPr>
          <w:rFonts w:ascii="Palatino Linotype" w:eastAsia="Palatino Linotype" w:hAnsi="Palatino Linotype" w:cs="Palatino Linotype"/>
          <w:b/>
        </w:rPr>
        <w:t>once de octubre de dos mil veintidós,</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la parte</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 xml:space="preserve">Recurrente </w:t>
      </w:r>
      <w:r w:rsidRPr="00F505FD">
        <w:rPr>
          <w:rFonts w:ascii="Palatino Linotype" w:eastAsia="Palatino Linotype" w:hAnsi="Palatino Linotype" w:cs="Palatino Linotype"/>
        </w:rPr>
        <w:t>presentó a través del Sistema de Acceso a la Información Mexiquense (</w:t>
      </w:r>
      <w:r w:rsidRPr="00F505FD">
        <w:rPr>
          <w:rFonts w:ascii="Palatino Linotype" w:eastAsia="Palatino Linotype" w:hAnsi="Palatino Linotype" w:cs="Palatino Linotype"/>
          <w:b/>
        </w:rPr>
        <w:t>SAIMEX),</w:t>
      </w:r>
      <w:r w:rsidRPr="00F505FD">
        <w:rPr>
          <w:rFonts w:ascii="Palatino Linotype" w:eastAsia="Palatino Linotype" w:hAnsi="Palatino Linotype" w:cs="Palatino Linotype"/>
        </w:rPr>
        <w:t xml:space="preserve"> la solicitud de acceso a la información pública registrada con el número </w:t>
      </w:r>
      <w:r w:rsidRPr="00F505FD">
        <w:rPr>
          <w:rFonts w:ascii="Palatino Linotype" w:eastAsia="Palatino Linotype" w:hAnsi="Palatino Linotype" w:cs="Palatino Linotype"/>
          <w:b/>
        </w:rPr>
        <w:t xml:space="preserve">00162/ALMORI/IP/2022, </w:t>
      </w:r>
      <w:r w:rsidRPr="00F505FD">
        <w:rPr>
          <w:rFonts w:ascii="Palatino Linotype" w:eastAsia="Palatino Linotype" w:hAnsi="Palatino Linotype" w:cs="Palatino Linotype"/>
        </w:rPr>
        <w:t xml:space="preserve">mediante la cual requirió la información siguiente: </w:t>
      </w:r>
    </w:p>
    <w:p w:rsidR="006407E7" w:rsidRPr="00F505FD" w:rsidRDefault="00F65335">
      <w:pPr>
        <w:spacing w:before="240" w:after="240" w:line="276" w:lineRule="auto"/>
        <w:ind w:left="567" w:right="900"/>
        <w:jc w:val="both"/>
        <w:rPr>
          <w:rFonts w:ascii="Palatino Linotype" w:eastAsia="Palatino Linotype" w:hAnsi="Palatino Linotype" w:cs="Palatino Linotype"/>
          <w:b/>
          <w:i/>
          <w:sz w:val="22"/>
          <w:szCs w:val="22"/>
        </w:rPr>
      </w:pPr>
      <w:bookmarkStart w:id="1" w:name="_heading=h.gjdgxs" w:colFirst="0" w:colLast="0"/>
      <w:bookmarkEnd w:id="1"/>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 xml:space="preserve">Al secretario del Ayuntamiento. </w:t>
      </w:r>
      <w:proofErr w:type="gramStart"/>
      <w:r w:rsidRPr="00F505FD">
        <w:rPr>
          <w:rFonts w:ascii="Palatino Linotype" w:eastAsia="Palatino Linotype" w:hAnsi="Palatino Linotype" w:cs="Palatino Linotype"/>
          <w:b/>
          <w:i/>
          <w:sz w:val="22"/>
          <w:szCs w:val="22"/>
        </w:rPr>
        <w:t>solicito</w:t>
      </w:r>
      <w:proofErr w:type="gramEnd"/>
      <w:r w:rsidRPr="00F505FD">
        <w:rPr>
          <w:rFonts w:ascii="Palatino Linotype" w:eastAsia="Palatino Linotype" w:hAnsi="Palatino Linotype" w:cs="Palatino Linotype"/>
          <w:b/>
          <w:i/>
          <w:sz w:val="22"/>
          <w:szCs w:val="22"/>
        </w:rPr>
        <w:t xml:space="preserve"> copia fiel del nombramiento del titular de la </w:t>
      </w:r>
      <w:proofErr w:type="spellStart"/>
      <w:r w:rsidRPr="00F505FD">
        <w:rPr>
          <w:rFonts w:ascii="Palatino Linotype" w:eastAsia="Palatino Linotype" w:hAnsi="Palatino Linotype" w:cs="Palatino Linotype"/>
          <w:b/>
          <w:i/>
          <w:sz w:val="22"/>
          <w:szCs w:val="22"/>
        </w:rPr>
        <w:t>Defensoria</w:t>
      </w:r>
      <w:proofErr w:type="spellEnd"/>
      <w:r w:rsidRPr="00F505FD">
        <w:rPr>
          <w:rFonts w:ascii="Palatino Linotype" w:eastAsia="Palatino Linotype" w:hAnsi="Palatino Linotype" w:cs="Palatino Linotype"/>
          <w:b/>
          <w:i/>
          <w:sz w:val="22"/>
          <w:szCs w:val="22"/>
        </w:rPr>
        <w:t xml:space="preserve"> Municipal.</w:t>
      </w:r>
      <w:r w:rsidRPr="00F505FD">
        <w:rPr>
          <w:rFonts w:ascii="Palatino Linotype" w:eastAsia="Palatino Linotype" w:hAnsi="Palatino Linotype" w:cs="Palatino Linotype"/>
          <w:i/>
          <w:sz w:val="22"/>
          <w:szCs w:val="22"/>
        </w:rPr>
        <w:t>” (Sic) (Énfasis añadido)</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Modalidad de Entrega:</w:t>
      </w:r>
      <w:r w:rsidRPr="00F505FD">
        <w:rPr>
          <w:rFonts w:ascii="Palatino Linotype" w:eastAsia="Palatino Linotype" w:hAnsi="Palatino Linotype" w:cs="Palatino Linotype"/>
        </w:rPr>
        <w:t xml:space="preserve"> A través del </w:t>
      </w:r>
      <w:r w:rsidRPr="00F505FD">
        <w:rPr>
          <w:rFonts w:ascii="Palatino Linotype" w:eastAsia="Palatino Linotype" w:hAnsi="Palatino Linotype" w:cs="Palatino Linotype"/>
          <w:b/>
        </w:rPr>
        <w:t>Sistema de Acceso a la Información Mexiquense (SAIMEX)</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 xml:space="preserve">2. Respuesta. </w:t>
      </w:r>
      <w:r w:rsidRPr="00F505FD">
        <w:rPr>
          <w:rFonts w:ascii="Palatino Linotype" w:eastAsia="Palatino Linotype" w:hAnsi="Palatino Linotype" w:cs="Palatino Linotype"/>
        </w:rPr>
        <w:t xml:space="preserve"> El </w:t>
      </w:r>
      <w:r w:rsidRPr="00F505FD">
        <w:rPr>
          <w:rFonts w:ascii="Palatino Linotype" w:eastAsia="Palatino Linotype" w:hAnsi="Palatino Linotype" w:cs="Palatino Linotype"/>
          <w:b/>
        </w:rPr>
        <w:t>primero de noviembre de dos mil veintidós</w:t>
      </w:r>
      <w:r w:rsidRPr="00F505FD">
        <w:rPr>
          <w:rFonts w:ascii="Palatino Linotype" w:eastAsia="Palatino Linotype" w:hAnsi="Palatino Linotype" w:cs="Palatino Linotype"/>
        </w:rPr>
        <w:t xml:space="preserv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respondió a la solicitud de acceso a la información en los términos siguientes:   </w:t>
      </w:r>
    </w:p>
    <w:p w:rsidR="006407E7" w:rsidRPr="00F505FD" w:rsidRDefault="00F65335">
      <w:pPr>
        <w:spacing w:before="240" w:after="240" w:line="276" w:lineRule="auto"/>
        <w:ind w:left="851"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lastRenderedPageBreak/>
        <w:t xml:space="preserve">“Sea este medio </w:t>
      </w:r>
      <w:proofErr w:type="spellStart"/>
      <w:r w:rsidRPr="00F505FD">
        <w:rPr>
          <w:rFonts w:ascii="Palatino Linotype" w:eastAsia="Palatino Linotype" w:hAnsi="Palatino Linotype" w:cs="Palatino Linotype"/>
          <w:i/>
          <w:sz w:val="22"/>
          <w:szCs w:val="22"/>
        </w:rPr>
        <w:t>mas</w:t>
      </w:r>
      <w:proofErr w:type="spellEnd"/>
      <w:r w:rsidRPr="00F505FD">
        <w:rPr>
          <w:rFonts w:ascii="Palatino Linotype" w:eastAsia="Palatino Linotype" w:hAnsi="Palatino Linotype" w:cs="Palatino Linotype"/>
          <w:i/>
          <w:sz w:val="22"/>
          <w:szCs w:val="22"/>
        </w:rPr>
        <w:t xml:space="preserve"> propicio, para informarle acerca de la solicitud con folio 00162/ALMORI/IP/2022 que </w:t>
      </w:r>
      <w:r w:rsidRPr="00F505FD">
        <w:rPr>
          <w:rFonts w:ascii="Palatino Linotype" w:eastAsia="Palatino Linotype" w:hAnsi="Palatino Linotype" w:cs="Palatino Linotype"/>
          <w:b/>
          <w:i/>
          <w:sz w:val="22"/>
          <w:szCs w:val="22"/>
        </w:rPr>
        <w:t>toda vez no se precisa a que defensoría se refiere, por ello no se remite información alguna, por lo que deberá de aclarar el nombre completo del área, para estar en posibilidad de remitir la información correspondiente.</w:t>
      </w:r>
      <w:r w:rsidRPr="00F505FD">
        <w:rPr>
          <w:rFonts w:ascii="Palatino Linotype" w:eastAsia="Palatino Linotype" w:hAnsi="Palatino Linotype" w:cs="Palatino Linotype"/>
          <w:i/>
          <w:sz w:val="22"/>
          <w:szCs w:val="22"/>
        </w:rPr>
        <w:t xml:space="preserve"> Sin </w:t>
      </w:r>
      <w:proofErr w:type="spellStart"/>
      <w:proofErr w:type="gramStart"/>
      <w:r w:rsidRPr="00F505FD">
        <w:rPr>
          <w:rFonts w:ascii="Palatino Linotype" w:eastAsia="Palatino Linotype" w:hAnsi="Palatino Linotype" w:cs="Palatino Linotype"/>
          <w:i/>
          <w:sz w:val="22"/>
          <w:szCs w:val="22"/>
        </w:rPr>
        <w:t>mas</w:t>
      </w:r>
      <w:proofErr w:type="spellEnd"/>
      <w:proofErr w:type="gramEnd"/>
      <w:r w:rsidRPr="00F505FD">
        <w:rPr>
          <w:rFonts w:ascii="Palatino Linotype" w:eastAsia="Palatino Linotype" w:hAnsi="Palatino Linotype" w:cs="Palatino Linotype"/>
          <w:i/>
          <w:sz w:val="22"/>
          <w:szCs w:val="22"/>
        </w:rPr>
        <w:t xml:space="preserve"> por el momento, aprovecho, para enviarle un cordial saludo.</w:t>
      </w:r>
    </w:p>
    <w:p w:rsidR="006407E7" w:rsidRPr="00F505FD" w:rsidRDefault="00F65335">
      <w:pPr>
        <w:spacing w:before="240" w:after="240" w:line="276" w:lineRule="auto"/>
        <w:ind w:left="851"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ATENTAMENTE</w:t>
      </w:r>
    </w:p>
    <w:p w:rsidR="006407E7" w:rsidRPr="00F505FD" w:rsidRDefault="00F65335">
      <w:pPr>
        <w:spacing w:before="240" w:after="240" w:line="276" w:lineRule="auto"/>
        <w:ind w:left="851"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ING. Ulises </w:t>
      </w:r>
      <w:proofErr w:type="spellStart"/>
      <w:r w:rsidRPr="00F505FD">
        <w:rPr>
          <w:rFonts w:ascii="Palatino Linotype" w:eastAsia="Palatino Linotype" w:hAnsi="Palatino Linotype" w:cs="Palatino Linotype"/>
          <w:i/>
          <w:sz w:val="22"/>
          <w:szCs w:val="22"/>
        </w:rPr>
        <w:t>Emmanuell</w:t>
      </w:r>
      <w:proofErr w:type="spellEnd"/>
      <w:r w:rsidRPr="00F505FD">
        <w:rPr>
          <w:rFonts w:ascii="Palatino Linotype" w:eastAsia="Palatino Linotype" w:hAnsi="Palatino Linotype" w:cs="Palatino Linotype"/>
          <w:i/>
          <w:sz w:val="22"/>
          <w:szCs w:val="22"/>
        </w:rPr>
        <w:t xml:space="preserve"> Reyes Conde” (Sic) (Énfasis añadido)</w:t>
      </w:r>
    </w:p>
    <w:p w:rsidR="006407E7" w:rsidRPr="00F505FD" w:rsidRDefault="00F65335">
      <w:pPr>
        <w:spacing w:before="240" w:after="240" w:line="360" w:lineRule="auto"/>
        <w:ind w:right="49"/>
        <w:jc w:val="both"/>
        <w:rPr>
          <w:rFonts w:ascii="Palatino Linotype" w:eastAsia="Palatino Linotype" w:hAnsi="Palatino Linotype" w:cs="Palatino Linotype"/>
        </w:rPr>
      </w:pPr>
      <w:r w:rsidRPr="00F505FD">
        <w:rPr>
          <w:rFonts w:ascii="Palatino Linotype" w:eastAsia="Palatino Linotype" w:hAnsi="Palatino Linotype" w:cs="Palatino Linotype"/>
          <w:b/>
        </w:rPr>
        <w:t xml:space="preserve">3. Interposición del recurso de revisión. </w:t>
      </w:r>
      <w:r w:rsidRPr="00F505FD">
        <w:rPr>
          <w:rFonts w:ascii="Palatino Linotype" w:eastAsia="Palatino Linotype" w:hAnsi="Palatino Linotype" w:cs="Palatino Linotype"/>
        </w:rPr>
        <w:t xml:space="preserve">El </w:t>
      </w:r>
      <w:r w:rsidRPr="00F505FD">
        <w:rPr>
          <w:rFonts w:ascii="Palatino Linotype" w:eastAsia="Palatino Linotype" w:hAnsi="Palatino Linotype" w:cs="Palatino Linotype"/>
          <w:b/>
        </w:rPr>
        <w:t xml:space="preserve">tres de noviembre de dos mil veintidós, la parte Recurrente, </w:t>
      </w:r>
      <w:r w:rsidRPr="00F505FD">
        <w:rPr>
          <w:rFonts w:ascii="Palatino Linotype" w:eastAsia="Palatino Linotype" w:hAnsi="Palatino Linotype" w:cs="Palatino Linotype"/>
        </w:rPr>
        <w:t>inconforme con la respuesta, presentó el recurso de revisión a través del cual expresó lo siguiente:</w:t>
      </w:r>
    </w:p>
    <w:p w:rsidR="006407E7" w:rsidRPr="00F505FD" w:rsidRDefault="00F65335">
      <w:pPr>
        <w:spacing w:before="240" w:after="240" w:line="360" w:lineRule="auto"/>
        <w:ind w:left="567"/>
        <w:rPr>
          <w:rFonts w:ascii="Palatino Linotype" w:eastAsia="Palatino Linotype" w:hAnsi="Palatino Linotype" w:cs="Palatino Linotype"/>
          <w:b/>
        </w:rPr>
      </w:pPr>
      <w:r w:rsidRPr="00F505FD">
        <w:rPr>
          <w:rFonts w:ascii="Palatino Linotype" w:eastAsia="Palatino Linotype" w:hAnsi="Palatino Linotype" w:cs="Palatino Linotype"/>
          <w:b/>
        </w:rPr>
        <w:t>a) Acto impugnado.</w:t>
      </w:r>
    </w:p>
    <w:p w:rsidR="006407E7" w:rsidRPr="00F505FD" w:rsidRDefault="00F65335">
      <w:pPr>
        <w:spacing w:before="240" w:after="240" w:line="276" w:lineRule="auto"/>
        <w:ind w:left="851"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Se me da como respuesta una aclaración de mi información (es confusa y/o incompleta)</w:t>
      </w:r>
      <w:r w:rsidRPr="00F505FD">
        <w:rPr>
          <w:rFonts w:ascii="Palatino Linotype" w:eastAsia="Palatino Linotype" w:hAnsi="Palatino Linotype" w:cs="Palatino Linotype"/>
          <w:i/>
          <w:sz w:val="22"/>
          <w:szCs w:val="22"/>
        </w:rPr>
        <w:t>” (Sic) (Énfasis añadido)</w:t>
      </w:r>
    </w:p>
    <w:p w:rsidR="006407E7" w:rsidRPr="00F505FD" w:rsidRDefault="00F65335">
      <w:pPr>
        <w:spacing w:before="240" w:after="240" w:line="360" w:lineRule="auto"/>
        <w:ind w:left="567"/>
        <w:jc w:val="both"/>
        <w:rPr>
          <w:rFonts w:ascii="Palatino Linotype" w:eastAsia="Palatino Linotype" w:hAnsi="Palatino Linotype" w:cs="Palatino Linotype"/>
          <w:b/>
        </w:rPr>
      </w:pPr>
      <w:r w:rsidRPr="00F505FD">
        <w:rPr>
          <w:rFonts w:ascii="Palatino Linotype" w:eastAsia="Palatino Linotype" w:hAnsi="Palatino Linotype" w:cs="Palatino Linotype"/>
          <w:b/>
        </w:rPr>
        <w:t>b) Motivos de inconformidad.</w:t>
      </w:r>
    </w:p>
    <w:p w:rsidR="006407E7" w:rsidRPr="00F505FD" w:rsidRDefault="00F65335">
      <w:pPr>
        <w:spacing w:before="240" w:after="240" w:line="276" w:lineRule="auto"/>
        <w:ind w:left="851"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me refiero a la defensoría municipal de los derechos humanos.</w:t>
      </w:r>
      <w:r w:rsidRPr="00F505FD">
        <w:rPr>
          <w:rFonts w:ascii="Palatino Linotype" w:eastAsia="Palatino Linotype" w:hAnsi="Palatino Linotype" w:cs="Palatino Linotype"/>
          <w:i/>
          <w:sz w:val="22"/>
          <w:szCs w:val="22"/>
        </w:rPr>
        <w:t>” (Sic) (Énfasis añadido)</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4. Turno.</w:t>
      </w:r>
      <w:r w:rsidRPr="00F505FD">
        <w:rPr>
          <w:rFonts w:ascii="Palatino Linotype" w:eastAsia="Palatino Linotype" w:hAnsi="Palatino Linotype" w:cs="Palatino Linotype"/>
          <w:b/>
          <w:sz w:val="28"/>
          <w:szCs w:val="28"/>
        </w:rPr>
        <w:t xml:space="preserve"> </w:t>
      </w:r>
      <w:r w:rsidRPr="00F505F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proofErr w:type="gramStart"/>
      <w:r w:rsidRPr="00F505FD">
        <w:rPr>
          <w:rFonts w:ascii="Palatino Linotype" w:eastAsia="Palatino Linotype" w:hAnsi="Palatino Linotype" w:cs="Palatino Linotype"/>
        </w:rPr>
        <w:t>del</w:t>
      </w:r>
      <w:proofErr w:type="gramEnd"/>
      <w:r w:rsidRPr="00F505FD">
        <w:rPr>
          <w:rFonts w:ascii="Palatino Linotype" w:eastAsia="Palatino Linotype" w:hAnsi="Palatino Linotype" w:cs="Palatino Linotype"/>
        </w:rPr>
        <w:t xml:space="preserve"> Estado de México y Municipios, a la </w:t>
      </w:r>
      <w:r w:rsidRPr="00F505FD">
        <w:rPr>
          <w:rFonts w:ascii="Palatino Linotype" w:eastAsia="Palatino Linotype" w:hAnsi="Palatino Linotype" w:cs="Palatino Linotype"/>
          <w:b/>
        </w:rPr>
        <w:t xml:space="preserve">Comisionada Guadalupe Ramírez Peña, </w:t>
      </w:r>
      <w:r w:rsidRPr="00F505FD">
        <w:rPr>
          <w:rFonts w:ascii="Palatino Linotype" w:eastAsia="Palatino Linotype" w:hAnsi="Palatino Linotype" w:cs="Palatino Linotype"/>
        </w:rPr>
        <w:t xml:space="preserve">a efecto de que analizara sobre su admisión o su </w:t>
      </w:r>
      <w:proofErr w:type="spellStart"/>
      <w:r w:rsidRPr="00F505FD">
        <w:rPr>
          <w:rFonts w:ascii="Palatino Linotype" w:eastAsia="Palatino Linotype" w:hAnsi="Palatino Linotype" w:cs="Palatino Linotype"/>
        </w:rPr>
        <w:t>desechamiento</w:t>
      </w:r>
      <w:proofErr w:type="spellEnd"/>
      <w:r w:rsidRPr="00F505FD">
        <w:rPr>
          <w:rFonts w:ascii="Palatino Linotype" w:eastAsia="Palatino Linotype" w:hAnsi="Palatino Linotype" w:cs="Palatino Linotype"/>
        </w:rPr>
        <w:t>.</w:t>
      </w:r>
    </w:p>
    <w:p w:rsidR="006407E7" w:rsidRPr="00F505FD" w:rsidRDefault="00F65335">
      <w:pPr>
        <w:spacing w:before="240" w:after="240" w:line="360" w:lineRule="auto"/>
        <w:jc w:val="both"/>
        <w:rPr>
          <w:rFonts w:ascii="Palatino Linotype" w:eastAsia="Palatino Linotype" w:hAnsi="Palatino Linotype" w:cs="Palatino Linotype"/>
          <w:b/>
        </w:rPr>
      </w:pPr>
      <w:r w:rsidRPr="00F505FD">
        <w:rPr>
          <w:rFonts w:ascii="Palatino Linotype" w:eastAsia="Palatino Linotype" w:hAnsi="Palatino Linotype" w:cs="Palatino Linotype"/>
          <w:b/>
        </w:rPr>
        <w:lastRenderedPageBreak/>
        <w:t>5.</w:t>
      </w:r>
      <w:r w:rsidRPr="00F505FD">
        <w:rPr>
          <w:rFonts w:ascii="Palatino Linotype" w:eastAsia="Palatino Linotype" w:hAnsi="Palatino Linotype" w:cs="Palatino Linotype"/>
          <w:b/>
          <w:i/>
        </w:rPr>
        <w:t xml:space="preserve"> </w:t>
      </w:r>
      <w:r w:rsidRPr="00F505FD">
        <w:rPr>
          <w:rFonts w:ascii="Palatino Linotype" w:eastAsia="Palatino Linotype" w:hAnsi="Palatino Linotype" w:cs="Palatino Linotype"/>
          <w:b/>
        </w:rPr>
        <w:t>Admisión del Recurso de revisión.</w:t>
      </w:r>
      <w:r w:rsidRPr="00F505FD">
        <w:rPr>
          <w:rFonts w:ascii="Palatino Linotype" w:eastAsia="Palatino Linotype" w:hAnsi="Palatino Linotype" w:cs="Palatino Linotype"/>
          <w:sz w:val="28"/>
          <w:szCs w:val="28"/>
        </w:rPr>
        <w:t xml:space="preserve"> El</w:t>
      </w:r>
      <w:r w:rsidRPr="00F505FD">
        <w:rPr>
          <w:rFonts w:ascii="Palatino Linotype" w:eastAsia="Palatino Linotype" w:hAnsi="Palatino Linotype" w:cs="Palatino Linotype"/>
          <w:b/>
        </w:rPr>
        <w:t xml:space="preserve"> ocho de noviembre de dos mil veintidós, </w:t>
      </w:r>
      <w:r w:rsidRPr="00F505F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presentara su informe justificado.</w:t>
      </w:r>
    </w:p>
    <w:p w:rsidR="006407E7" w:rsidRPr="00F505FD" w:rsidRDefault="00F65335">
      <w:pPr>
        <w:widowControl w:val="0"/>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6. Manifestaciones</w:t>
      </w:r>
      <w:r w:rsidRPr="00F505FD">
        <w:rPr>
          <w:rFonts w:ascii="Palatino Linotype" w:eastAsia="Palatino Linotype" w:hAnsi="Palatino Linotype" w:cs="Palatino Linotype"/>
        </w:rPr>
        <w:t>.</w:t>
      </w:r>
      <w:r w:rsidRPr="00F505FD">
        <w:rPr>
          <w:rFonts w:ascii="Palatino Linotype" w:eastAsia="Palatino Linotype" w:hAnsi="Palatino Linotype" w:cs="Palatino Linotype"/>
          <w:sz w:val="28"/>
          <w:szCs w:val="28"/>
        </w:rPr>
        <w:t xml:space="preserve"> </w:t>
      </w:r>
      <w:r w:rsidRPr="00F505FD">
        <w:rPr>
          <w:rFonts w:ascii="Palatino Linotype" w:eastAsia="Palatino Linotype" w:hAnsi="Palatino Linotype" w:cs="Palatino Linotype"/>
        </w:rPr>
        <w:t xml:space="preserve">De las constancias que obran en el expediente electrónico, se advierte que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fue omiso en rendir su informe justificado, asimismo la parte Recurrente no emitió manifestación o pronunciamiento alguno que a su derecho conviniera, por lo que se tiene por </w:t>
      </w:r>
      <w:proofErr w:type="spellStart"/>
      <w:r w:rsidRPr="00F505FD">
        <w:rPr>
          <w:rFonts w:ascii="Palatino Linotype" w:eastAsia="Palatino Linotype" w:hAnsi="Palatino Linotype" w:cs="Palatino Linotype"/>
        </w:rPr>
        <w:t>precluido</w:t>
      </w:r>
      <w:proofErr w:type="spellEnd"/>
      <w:r w:rsidRPr="00F505FD">
        <w:rPr>
          <w:rFonts w:ascii="Palatino Linotype" w:eastAsia="Palatino Linotype" w:hAnsi="Palatino Linotype" w:cs="Palatino Linotype"/>
        </w:rPr>
        <w:t xml:space="preserve"> su derecho para tal efecto. </w:t>
      </w:r>
    </w:p>
    <w:p w:rsidR="006407E7" w:rsidRPr="00F505FD" w:rsidRDefault="00F65335">
      <w:pPr>
        <w:widowControl w:val="0"/>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noProof/>
          <w:lang w:val="es-MX"/>
        </w:rPr>
        <w:drawing>
          <wp:inline distT="0" distB="0" distL="0" distR="0">
            <wp:extent cx="5612130" cy="1477645"/>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77645"/>
                    </a:xfrm>
                    <a:prstGeom prst="rect">
                      <a:avLst/>
                    </a:prstGeom>
                    <a:ln/>
                  </pic:spPr>
                </pic:pic>
              </a:graphicData>
            </a:graphic>
          </wp:inline>
        </w:drawing>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7. Ampliación de plazo para emitir resolución.</w:t>
      </w:r>
      <w:r w:rsidRPr="00F505FD">
        <w:rPr>
          <w:rFonts w:ascii="Palatino Linotype" w:eastAsia="Palatino Linotype" w:hAnsi="Palatino Linotype" w:cs="Palatino Linotype"/>
        </w:rPr>
        <w:t xml:space="preserve"> El </w:t>
      </w:r>
      <w:r w:rsidRPr="00F505FD">
        <w:rPr>
          <w:rFonts w:ascii="Palatino Linotype" w:eastAsia="Palatino Linotype" w:hAnsi="Palatino Linotype" w:cs="Palatino Linotype"/>
          <w:b/>
        </w:rPr>
        <w:t>diecinueve de enero de dos mil veintidós</w:t>
      </w:r>
      <w:r w:rsidRPr="00F505FD">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lastRenderedPageBreak/>
        <w:t xml:space="preserve">8. Cierre de instrucción. </w:t>
      </w:r>
      <w:r w:rsidRPr="00F505F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F505FD">
        <w:rPr>
          <w:rFonts w:ascii="Palatino Linotype" w:eastAsia="Palatino Linotype" w:hAnsi="Palatino Linotype" w:cs="Palatino Linotype"/>
          <w:b/>
        </w:rPr>
        <w:t>diecinueve de enero de dos mil veintitrés</w:t>
      </w:r>
      <w:r w:rsidRPr="00F505F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rsidR="006407E7" w:rsidRPr="00F505FD" w:rsidRDefault="00F65335">
      <w:pPr>
        <w:widowControl w:val="0"/>
        <w:spacing w:before="240" w:after="240" w:line="360" w:lineRule="auto"/>
        <w:jc w:val="center"/>
        <w:rPr>
          <w:rFonts w:ascii="Palatino Linotype" w:eastAsia="Palatino Linotype" w:hAnsi="Palatino Linotype" w:cs="Palatino Linotype"/>
          <w:b/>
        </w:rPr>
      </w:pPr>
      <w:r w:rsidRPr="00F505FD">
        <w:rPr>
          <w:rFonts w:ascii="Palatino Linotype" w:eastAsia="Palatino Linotype" w:hAnsi="Palatino Linotype" w:cs="Palatino Linotype"/>
          <w:b/>
        </w:rPr>
        <w:t>II. C O N S I D E R A N D O</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Primero. Competencia.</w:t>
      </w:r>
      <w:r w:rsidRPr="00F505F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F505FD">
        <w:rPr>
          <w:rFonts w:ascii="Palatino Linotype" w:eastAsia="Palatino Linotype" w:hAnsi="Palatino Linotype" w:cs="Palatino Linotype"/>
          <w:b/>
        </w:rPr>
        <w:t>la parte Recurrente</w:t>
      </w:r>
      <w:r w:rsidRPr="00F505FD">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407E7" w:rsidRPr="00F505FD" w:rsidRDefault="00F65335">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F505FD">
        <w:rPr>
          <w:rFonts w:ascii="Palatino Linotype" w:eastAsia="Palatino Linotype" w:hAnsi="Palatino Linotype" w:cs="Palatino Linotype"/>
          <w:b/>
        </w:rPr>
        <w:t xml:space="preserve">Segundo. Oportunidad y </w:t>
      </w:r>
      <w:proofErr w:type="spellStart"/>
      <w:r w:rsidRPr="00F505FD">
        <w:rPr>
          <w:rFonts w:ascii="Palatino Linotype" w:eastAsia="Palatino Linotype" w:hAnsi="Palatino Linotype" w:cs="Palatino Linotype"/>
          <w:b/>
        </w:rPr>
        <w:t>Procedibilidad</w:t>
      </w:r>
      <w:proofErr w:type="spellEnd"/>
      <w:r w:rsidRPr="00F505FD">
        <w:rPr>
          <w:rFonts w:ascii="Palatino Linotype" w:eastAsia="Palatino Linotype" w:hAnsi="Palatino Linotype" w:cs="Palatino Linotype"/>
          <w:b/>
        </w:rPr>
        <w:t xml:space="preserve"> del Recurso de Revisión</w:t>
      </w:r>
      <w:r w:rsidRPr="00F505FD">
        <w:rPr>
          <w:rFonts w:ascii="Palatino Linotype" w:eastAsia="Palatino Linotype" w:hAnsi="Palatino Linotype" w:cs="Palatino Linotype"/>
        </w:rPr>
        <w:t xml:space="preserve">. Previo al estudio del fondo del asunto, se procede a analizar los requisitos de oportunidad y </w:t>
      </w:r>
      <w:proofErr w:type="spellStart"/>
      <w:r w:rsidRPr="00F505FD">
        <w:rPr>
          <w:rFonts w:ascii="Palatino Linotype" w:eastAsia="Palatino Linotype" w:hAnsi="Palatino Linotype" w:cs="Palatino Linotype"/>
        </w:rPr>
        <w:lastRenderedPageBreak/>
        <w:t>procedibilidad</w:t>
      </w:r>
      <w:proofErr w:type="spellEnd"/>
      <w:r w:rsidRPr="00F505F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respondió a la solicitud de información el </w:t>
      </w:r>
      <w:r w:rsidRPr="00F505FD">
        <w:rPr>
          <w:rFonts w:ascii="Palatino Linotype" w:eastAsia="Palatino Linotype" w:hAnsi="Palatino Linotype" w:cs="Palatino Linotype"/>
          <w:b/>
        </w:rPr>
        <w:t xml:space="preserve">primero de noviembre de dos mil veintidós, </w:t>
      </w:r>
      <w:r w:rsidRPr="00F505FD">
        <w:rPr>
          <w:rFonts w:ascii="Palatino Linotype" w:eastAsia="Palatino Linotype" w:hAnsi="Palatino Linotype" w:cs="Palatino Linotype"/>
        </w:rPr>
        <w:t xml:space="preserve">mientras que el recurso de revisión se interpuso el </w:t>
      </w:r>
      <w:r w:rsidRPr="00F505FD">
        <w:rPr>
          <w:rFonts w:ascii="Palatino Linotype" w:eastAsia="Palatino Linotype" w:hAnsi="Palatino Linotype" w:cs="Palatino Linotype"/>
          <w:b/>
        </w:rPr>
        <w:t>tres de noviembre de dos mil veintidós</w:t>
      </w:r>
      <w:r w:rsidRPr="00F505FD">
        <w:rPr>
          <w:rFonts w:ascii="Palatino Linotype" w:eastAsia="Palatino Linotype" w:hAnsi="Palatino Linotype" w:cs="Palatino Linotype"/>
        </w:rPr>
        <w:t xml:space="preserve">, esto es, el </w:t>
      </w:r>
      <w:r w:rsidRPr="00F505FD">
        <w:rPr>
          <w:rFonts w:ascii="Palatino Linotype" w:eastAsia="Palatino Linotype" w:hAnsi="Palatino Linotype" w:cs="Palatino Linotype"/>
          <w:b/>
        </w:rPr>
        <w:t>primer día hábil</w:t>
      </w:r>
      <w:r w:rsidRPr="00F505FD">
        <w:rPr>
          <w:rFonts w:ascii="Palatino Linotype" w:eastAsia="Palatino Linotype" w:hAnsi="Palatino Linotype" w:cs="Palatino Linotype"/>
        </w:rPr>
        <w:t xml:space="preserve"> posterior en que tuvo conocimiento de la respuesta impugnada.</w:t>
      </w:r>
    </w:p>
    <w:p w:rsidR="006407E7" w:rsidRPr="00F505FD" w:rsidRDefault="00F6533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Asimismo, por cuanto hace a la </w:t>
      </w:r>
      <w:proofErr w:type="spellStart"/>
      <w:r w:rsidRPr="00F505FD">
        <w:rPr>
          <w:rFonts w:ascii="Palatino Linotype" w:eastAsia="Palatino Linotype" w:hAnsi="Palatino Linotype" w:cs="Palatino Linotype"/>
        </w:rPr>
        <w:t>procedibilidad</w:t>
      </w:r>
      <w:proofErr w:type="spellEnd"/>
      <w:r w:rsidRPr="00F505FD">
        <w:rPr>
          <w:rFonts w:ascii="Palatino Linotype" w:eastAsia="Palatino Linotype" w:hAnsi="Palatino Linotype" w:cs="Palatino Linotype"/>
        </w:rPr>
        <w:t xml:space="preserve"> del recurso de revisión, es de suma importancia señalar que </w:t>
      </w:r>
      <w:r w:rsidRPr="00F505FD">
        <w:rPr>
          <w:rFonts w:ascii="Palatino Linotype" w:eastAsia="Palatino Linotype" w:hAnsi="Palatino Linotype" w:cs="Palatino Linotype"/>
          <w:b/>
        </w:rPr>
        <w:t>la parte Recurrente</w:t>
      </w:r>
      <w:r w:rsidRPr="00F505FD">
        <w:rPr>
          <w:rFonts w:ascii="Palatino Linotype" w:eastAsia="Palatino Linotype" w:hAnsi="Palatino Linotype" w:cs="Palatino Linotype"/>
        </w:rPr>
        <w:t>, no señaló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407E7" w:rsidRPr="00F505FD" w:rsidRDefault="00F65335">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Por ello, se concluye la acreditación plena de los elementos formales precisados por el artículo 180 de la Ley de Transparencia y Acceso a la Información Pública del </w:t>
      </w:r>
      <w:r w:rsidRPr="00F505FD">
        <w:rPr>
          <w:rFonts w:ascii="Palatino Linotype" w:eastAsia="Palatino Linotype" w:hAnsi="Palatino Linotype" w:cs="Palatino Linotype"/>
        </w:rPr>
        <w:lastRenderedPageBreak/>
        <w:t>Estado de México y Municipios, en atención a que fue presentado mediante el formato visible en el SAIMEX.</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fracciones V y VI del ordenamiento legal citado, que a la letra dice: </w:t>
      </w:r>
    </w:p>
    <w:p w:rsidR="006407E7" w:rsidRPr="00F505FD" w:rsidRDefault="00F65335">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Artículo 179.</w:t>
      </w:r>
      <w:r w:rsidRPr="00F505F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6407E7" w:rsidRPr="00F505FD" w:rsidRDefault="00F65335">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sidRPr="00F505FD">
        <w:rPr>
          <w:rFonts w:ascii="Palatino Linotype" w:eastAsia="Palatino Linotype" w:hAnsi="Palatino Linotype" w:cs="Palatino Linotype"/>
          <w:b/>
          <w:i/>
          <w:sz w:val="22"/>
          <w:szCs w:val="22"/>
        </w:rPr>
        <w:t>V. La entrega de información incompleta;</w:t>
      </w:r>
    </w:p>
    <w:p w:rsidR="006407E7" w:rsidRPr="00F505FD" w:rsidRDefault="00F65335">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sidRPr="00F505FD">
        <w:rPr>
          <w:rFonts w:ascii="Palatino Linotype" w:eastAsia="Palatino Linotype" w:hAnsi="Palatino Linotype" w:cs="Palatino Linotype"/>
          <w:b/>
          <w:i/>
          <w:sz w:val="22"/>
          <w:szCs w:val="22"/>
        </w:rPr>
        <w:t>…</w:t>
      </w:r>
    </w:p>
    <w:p w:rsidR="006407E7" w:rsidRPr="00F505FD" w:rsidRDefault="00F65335">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VI. La entrega de información que no corresponda con lo solicitado;</w:t>
      </w:r>
      <w:r w:rsidRPr="00F505FD">
        <w:rPr>
          <w:rFonts w:ascii="Palatino Linotype" w:eastAsia="Palatino Linotype" w:hAnsi="Palatino Linotype" w:cs="Palatino Linotype"/>
          <w:i/>
          <w:sz w:val="22"/>
          <w:szCs w:val="22"/>
        </w:rPr>
        <w:t>”</w:t>
      </w:r>
    </w:p>
    <w:p w:rsidR="006407E7" w:rsidRPr="00F505FD" w:rsidRDefault="00F65335">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(Énfasis añadido)</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 xml:space="preserve">Tercero. Materia de la revisión. </w:t>
      </w:r>
      <w:r w:rsidRPr="00F505F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505F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505FD">
        <w:rPr>
          <w:rFonts w:ascii="Palatino Linotype" w:eastAsia="Palatino Linotype" w:hAnsi="Palatino Linotype" w:cs="Palatino Linotype"/>
        </w:rPr>
        <w:t xml:space="preserve">de </w:t>
      </w:r>
      <w:r w:rsidRPr="00F505FD">
        <w:rPr>
          <w:rFonts w:ascii="Palatino Linotype" w:eastAsia="Palatino Linotype" w:hAnsi="Palatino Linotype" w:cs="Palatino Linotype"/>
          <w:b/>
        </w:rPr>
        <w:t>la parte Recurrente,</w:t>
      </w:r>
      <w:r w:rsidRPr="00F505FD">
        <w:rPr>
          <w:rFonts w:ascii="Palatino Linotype" w:eastAsia="Palatino Linotype" w:hAnsi="Palatino Linotype" w:cs="Palatino Linotype"/>
        </w:rPr>
        <w:t xml:space="preserve"> o en su defecto, en caso de ser procedente, ordenar la entrega de información oportuna.</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b/>
        </w:rPr>
        <w:t xml:space="preserve">Cuarto. Estudio del asunto. </w:t>
      </w:r>
      <w:r w:rsidRPr="00F505FD">
        <w:rPr>
          <w:rFonts w:ascii="Palatino Linotype" w:eastAsia="Palatino Linotype" w:hAnsi="Palatino Linotype" w:cs="Palatino Linotype"/>
        </w:rPr>
        <w:t xml:space="preserve">Antes de entrar al análisis de los pronunciamientos del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w:t>
      </w:r>
      <w:r w:rsidRPr="00F505FD">
        <w:rPr>
          <w:rFonts w:ascii="Palatino Linotype" w:eastAsia="Palatino Linotype" w:hAnsi="Palatino Linotype" w:cs="Palatino Linotype"/>
        </w:rPr>
        <w:lastRenderedPageBreak/>
        <w:t>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407E7" w:rsidRPr="00F505FD" w:rsidRDefault="00F65335">
      <w:pPr>
        <w:pBdr>
          <w:top w:val="nil"/>
          <w:left w:val="nil"/>
          <w:bottom w:val="nil"/>
          <w:right w:val="nil"/>
          <w:between w:val="nil"/>
        </w:pBdr>
        <w:spacing w:before="240" w:after="240"/>
        <w:ind w:left="851" w:right="850"/>
        <w:jc w:val="both"/>
      </w:pPr>
      <w:r w:rsidRPr="00F505F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505F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6407E7" w:rsidRPr="00F505FD" w:rsidRDefault="00F65335">
      <w:pPr>
        <w:pBdr>
          <w:top w:val="nil"/>
          <w:left w:val="nil"/>
          <w:bottom w:val="nil"/>
          <w:right w:val="nil"/>
          <w:between w:val="nil"/>
        </w:pBdr>
        <w:spacing w:before="240" w:after="240"/>
        <w:ind w:left="851" w:right="850"/>
        <w:jc w:val="both"/>
      </w:pPr>
      <w:r w:rsidRPr="00F505F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6407E7" w:rsidRPr="00F505FD" w:rsidRDefault="00F65335">
      <w:pPr>
        <w:pBdr>
          <w:top w:val="nil"/>
          <w:left w:val="nil"/>
          <w:bottom w:val="nil"/>
          <w:right w:val="nil"/>
          <w:between w:val="nil"/>
        </w:pBdr>
        <w:spacing w:before="240" w:after="240"/>
        <w:ind w:left="851" w:right="850"/>
        <w:jc w:val="both"/>
      </w:pPr>
      <w:r w:rsidRPr="00F505F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505F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6407E7" w:rsidRPr="00F505FD" w:rsidRDefault="00F65335">
      <w:pPr>
        <w:pBdr>
          <w:top w:val="nil"/>
          <w:left w:val="nil"/>
          <w:bottom w:val="nil"/>
          <w:right w:val="nil"/>
          <w:between w:val="nil"/>
        </w:pBdr>
        <w:spacing w:before="240" w:after="240"/>
        <w:ind w:left="851" w:right="850"/>
        <w:jc w:val="both"/>
      </w:pPr>
      <w:r w:rsidRPr="00F505FD">
        <w:rPr>
          <w:rFonts w:ascii="Palatino Linotype" w:eastAsia="Palatino Linotype" w:hAnsi="Palatino Linotype" w:cs="Palatino Linotype"/>
          <w:i/>
          <w:sz w:val="22"/>
          <w:szCs w:val="22"/>
        </w:rPr>
        <w:t>[…]</w:t>
      </w:r>
    </w:p>
    <w:p w:rsidR="006407E7" w:rsidRPr="00F505FD" w:rsidRDefault="00F65335">
      <w:pPr>
        <w:pBdr>
          <w:top w:val="nil"/>
          <w:left w:val="nil"/>
          <w:bottom w:val="nil"/>
          <w:right w:val="nil"/>
          <w:between w:val="nil"/>
        </w:pBdr>
        <w:spacing w:before="240" w:after="240"/>
        <w:ind w:left="851" w:right="901"/>
        <w:jc w:val="both"/>
      </w:pPr>
      <w:r w:rsidRPr="00F505FD">
        <w:rPr>
          <w:rFonts w:ascii="Palatino Linotype" w:eastAsia="Palatino Linotype" w:hAnsi="Palatino Linotype" w:cs="Palatino Linotype"/>
          <w:b/>
          <w:i/>
          <w:sz w:val="22"/>
          <w:szCs w:val="22"/>
        </w:rPr>
        <w:t>“Artículo 6o.</w:t>
      </w:r>
    </w:p>
    <w:p w:rsidR="006407E7" w:rsidRPr="00F505FD" w:rsidRDefault="00F65335">
      <w:pPr>
        <w:pBdr>
          <w:top w:val="nil"/>
          <w:left w:val="nil"/>
          <w:bottom w:val="nil"/>
          <w:right w:val="nil"/>
          <w:between w:val="nil"/>
        </w:pBdr>
        <w:spacing w:before="240" w:after="240"/>
        <w:ind w:left="851" w:right="901"/>
        <w:jc w:val="both"/>
      </w:pPr>
      <w:r w:rsidRPr="00F505FD">
        <w:rPr>
          <w:rFonts w:ascii="Palatino Linotype" w:eastAsia="Palatino Linotype" w:hAnsi="Palatino Linotype" w:cs="Palatino Linotype"/>
          <w:i/>
          <w:sz w:val="22"/>
          <w:szCs w:val="22"/>
        </w:rPr>
        <w:t>[...]</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b/>
          <w:i/>
          <w:sz w:val="22"/>
          <w:szCs w:val="22"/>
        </w:rPr>
        <w:t xml:space="preserve">A. Para el ejercicio del derecho de acceso a la información, la Federación y </w:t>
      </w:r>
      <w:r w:rsidRPr="00F505FD">
        <w:rPr>
          <w:rFonts w:ascii="Palatino Linotype" w:eastAsia="Palatino Linotype" w:hAnsi="Palatino Linotype" w:cs="Palatino Linotype"/>
          <w:b/>
          <w:i/>
          <w:sz w:val="22"/>
          <w:szCs w:val="22"/>
          <w:u w:val="single"/>
        </w:rPr>
        <w:t>las entidades federativas</w:t>
      </w:r>
      <w:r w:rsidRPr="00F505FD">
        <w:rPr>
          <w:rFonts w:ascii="Palatino Linotype" w:eastAsia="Palatino Linotype" w:hAnsi="Palatino Linotype" w:cs="Palatino Linotype"/>
          <w:b/>
          <w:i/>
          <w:sz w:val="22"/>
          <w:szCs w:val="22"/>
        </w:rPr>
        <w:t>,</w:t>
      </w:r>
      <w:r w:rsidRPr="00F505FD">
        <w:rPr>
          <w:rFonts w:ascii="Palatino Linotype" w:eastAsia="Palatino Linotype" w:hAnsi="Palatino Linotype" w:cs="Palatino Linotype"/>
          <w:i/>
          <w:sz w:val="22"/>
          <w:szCs w:val="22"/>
        </w:rPr>
        <w:t xml:space="preserve"> en el ámbito de sus respectivas competencias, se regirán por los siguientes principios y bases:</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i/>
          <w:sz w:val="22"/>
          <w:szCs w:val="22"/>
        </w:rPr>
        <w:t> </w:t>
      </w:r>
      <w:r w:rsidRPr="00F505FD">
        <w:rPr>
          <w:rFonts w:ascii="Palatino Linotype" w:eastAsia="Palatino Linotype" w:hAnsi="Palatino Linotype" w:cs="Palatino Linotype"/>
          <w:b/>
          <w:i/>
          <w:sz w:val="22"/>
          <w:szCs w:val="22"/>
        </w:rPr>
        <w:t xml:space="preserve">I. </w:t>
      </w:r>
      <w:r w:rsidRPr="00F505F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505FD">
        <w:rPr>
          <w:rFonts w:ascii="Palatino Linotype" w:eastAsia="Palatino Linotype" w:hAnsi="Palatino Linotype" w:cs="Palatino Linotype"/>
          <w:i/>
          <w:sz w:val="22"/>
          <w:szCs w:val="22"/>
        </w:rPr>
        <w:t xml:space="preserve"> Ejecutivo, Legislativo </w:t>
      </w:r>
      <w:r w:rsidRPr="00F505FD">
        <w:rPr>
          <w:rFonts w:ascii="Palatino Linotype" w:eastAsia="Palatino Linotype" w:hAnsi="Palatino Linotype" w:cs="Palatino Linotype"/>
          <w:b/>
          <w:i/>
          <w:sz w:val="22"/>
          <w:szCs w:val="22"/>
          <w:u w:val="single"/>
        </w:rPr>
        <w:t>y Judicial</w:t>
      </w:r>
      <w:r w:rsidRPr="00F505FD">
        <w:rPr>
          <w:rFonts w:ascii="Palatino Linotype" w:eastAsia="Palatino Linotype" w:hAnsi="Palatino Linotype" w:cs="Palatino Linotype"/>
          <w:i/>
          <w:sz w:val="22"/>
          <w:szCs w:val="22"/>
        </w:rPr>
        <w:t xml:space="preserve">, órganos </w:t>
      </w:r>
      <w:r w:rsidRPr="00F505FD">
        <w:rPr>
          <w:rFonts w:ascii="Palatino Linotype" w:eastAsia="Palatino Linotype" w:hAnsi="Palatino Linotype" w:cs="Palatino Linotype"/>
          <w:i/>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F505FD">
        <w:rPr>
          <w:rFonts w:ascii="Palatino Linotype" w:eastAsia="Palatino Linotype" w:hAnsi="Palatino Linotype" w:cs="Palatino Linotype"/>
          <w:b/>
          <w:i/>
          <w:sz w:val="22"/>
          <w:szCs w:val="22"/>
        </w:rPr>
        <w:t>es pública y sólo podrá ser reservada temporalmente por razones de interés público y seguridad nacional,</w:t>
      </w:r>
      <w:r w:rsidRPr="00F505F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i/>
          <w:sz w:val="22"/>
          <w:szCs w:val="22"/>
        </w:rPr>
        <w:t> </w:t>
      </w:r>
      <w:r w:rsidRPr="00F505F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i/>
          <w:sz w:val="22"/>
          <w:szCs w:val="22"/>
        </w:rPr>
        <w:t> </w:t>
      </w:r>
      <w:r w:rsidRPr="00F505FD">
        <w:rPr>
          <w:rFonts w:ascii="Palatino Linotype" w:eastAsia="Palatino Linotype" w:hAnsi="Palatino Linotype" w:cs="Palatino Linotype"/>
          <w:b/>
          <w:i/>
          <w:sz w:val="22"/>
          <w:szCs w:val="22"/>
        </w:rPr>
        <w:t xml:space="preserve">III. </w:t>
      </w:r>
      <w:r w:rsidRPr="00F505F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505FD">
        <w:rPr>
          <w:rFonts w:ascii="Palatino Linotype" w:eastAsia="Palatino Linotype" w:hAnsi="Palatino Linotype" w:cs="Palatino Linotype"/>
          <w:i/>
          <w:sz w:val="22"/>
          <w:szCs w:val="22"/>
        </w:rPr>
        <w:t xml:space="preserve"> a sus datos personales o a la rectificación de éstos.</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i/>
          <w:sz w:val="22"/>
          <w:szCs w:val="22"/>
        </w:rPr>
        <w:t> </w:t>
      </w:r>
      <w:r w:rsidRPr="00F505FD">
        <w:rPr>
          <w:rFonts w:ascii="Palatino Linotype" w:eastAsia="Palatino Linotype" w:hAnsi="Palatino Linotype" w:cs="Palatino Linotype"/>
          <w:b/>
          <w:i/>
          <w:sz w:val="22"/>
          <w:szCs w:val="22"/>
        </w:rPr>
        <w:t xml:space="preserve">IV. </w:t>
      </w:r>
      <w:r w:rsidRPr="00F505F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b/>
          <w:i/>
          <w:sz w:val="22"/>
          <w:szCs w:val="22"/>
        </w:rPr>
        <w:t xml:space="preserve">V. </w:t>
      </w:r>
      <w:r w:rsidRPr="00F505F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i/>
          <w:sz w:val="22"/>
          <w:szCs w:val="22"/>
        </w:rPr>
        <w:t> </w:t>
      </w:r>
      <w:r w:rsidRPr="00F505FD">
        <w:rPr>
          <w:rFonts w:ascii="Palatino Linotype" w:eastAsia="Palatino Linotype" w:hAnsi="Palatino Linotype" w:cs="Palatino Linotype"/>
          <w:b/>
          <w:i/>
          <w:sz w:val="22"/>
          <w:szCs w:val="22"/>
        </w:rPr>
        <w:t xml:space="preserve">VI. </w:t>
      </w:r>
      <w:r w:rsidRPr="00F505F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6407E7" w:rsidRPr="00F505FD" w:rsidRDefault="00F65335">
      <w:pPr>
        <w:pBdr>
          <w:top w:val="nil"/>
          <w:left w:val="nil"/>
          <w:bottom w:val="nil"/>
          <w:right w:val="nil"/>
          <w:between w:val="nil"/>
        </w:pBdr>
        <w:spacing w:before="240" w:after="240"/>
        <w:ind w:left="851" w:right="851"/>
        <w:jc w:val="both"/>
      </w:pPr>
      <w:r w:rsidRPr="00F505FD">
        <w:rPr>
          <w:rFonts w:ascii="Palatino Linotype" w:eastAsia="Palatino Linotype" w:hAnsi="Palatino Linotype" w:cs="Palatino Linotype"/>
          <w:i/>
          <w:sz w:val="22"/>
          <w:szCs w:val="22"/>
        </w:rPr>
        <w:t> </w:t>
      </w:r>
      <w:r w:rsidRPr="00F505FD">
        <w:rPr>
          <w:rFonts w:ascii="Palatino Linotype" w:eastAsia="Palatino Linotype" w:hAnsi="Palatino Linotype" w:cs="Palatino Linotype"/>
          <w:b/>
          <w:i/>
          <w:sz w:val="22"/>
          <w:szCs w:val="22"/>
        </w:rPr>
        <w:t xml:space="preserve">VII. </w:t>
      </w:r>
      <w:r w:rsidRPr="00F505F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w:t>
      </w:r>
      <w:r w:rsidRPr="00F505FD">
        <w:rPr>
          <w:rFonts w:ascii="Palatino Linotype" w:eastAsia="Palatino Linotype" w:hAnsi="Palatino Linotype" w:cs="Palatino Linotype"/>
        </w:rPr>
        <w:lastRenderedPageBreak/>
        <w:t>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6407E7" w:rsidRPr="00F505FD" w:rsidRDefault="00F65335">
      <w:pPr>
        <w:pBdr>
          <w:top w:val="nil"/>
          <w:left w:val="nil"/>
          <w:bottom w:val="nil"/>
          <w:right w:val="nil"/>
          <w:between w:val="nil"/>
        </w:pBdr>
        <w:spacing w:before="240" w:after="240"/>
        <w:ind w:left="709" w:right="760"/>
        <w:jc w:val="both"/>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Artículo 4</w:t>
      </w:r>
      <w:r w:rsidRPr="00F505F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6407E7" w:rsidRPr="00F505FD" w:rsidRDefault="00F65335">
      <w:pPr>
        <w:pBdr>
          <w:top w:val="nil"/>
          <w:left w:val="nil"/>
          <w:bottom w:val="nil"/>
          <w:right w:val="nil"/>
          <w:between w:val="nil"/>
        </w:pBdr>
        <w:spacing w:before="240" w:after="240"/>
        <w:ind w:left="709" w:right="760"/>
        <w:jc w:val="both"/>
      </w:pPr>
      <w:r w:rsidRPr="00F505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407E7" w:rsidRPr="00F505FD" w:rsidRDefault="00F65335">
      <w:pPr>
        <w:pBdr>
          <w:top w:val="nil"/>
          <w:left w:val="nil"/>
          <w:bottom w:val="nil"/>
          <w:right w:val="nil"/>
          <w:between w:val="nil"/>
        </w:pBdr>
        <w:spacing w:before="240" w:after="240"/>
        <w:ind w:left="709" w:right="760"/>
        <w:jc w:val="both"/>
      </w:pPr>
      <w:r w:rsidRPr="00F505F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6407E7" w:rsidRPr="00F505FD" w:rsidRDefault="00F65335">
      <w:pPr>
        <w:pBdr>
          <w:top w:val="nil"/>
          <w:left w:val="nil"/>
          <w:bottom w:val="nil"/>
          <w:right w:val="nil"/>
          <w:between w:val="nil"/>
        </w:pBdr>
        <w:spacing w:before="240" w:after="240"/>
        <w:ind w:left="567" w:right="758"/>
        <w:jc w:val="both"/>
      </w:pPr>
      <w:r w:rsidRPr="00F505FD">
        <w:rPr>
          <w:rFonts w:ascii="Palatino Linotype" w:eastAsia="Palatino Linotype" w:hAnsi="Palatino Linotype" w:cs="Palatino Linotype"/>
          <w:i/>
          <w:sz w:val="22"/>
          <w:szCs w:val="22"/>
        </w:rPr>
        <w:lastRenderedPageBreak/>
        <w:t>“</w:t>
      </w:r>
      <w:r w:rsidRPr="00F505FD">
        <w:rPr>
          <w:rFonts w:ascii="Palatino Linotype" w:eastAsia="Palatino Linotype" w:hAnsi="Palatino Linotype" w:cs="Palatino Linotype"/>
          <w:b/>
          <w:i/>
          <w:sz w:val="22"/>
          <w:szCs w:val="22"/>
        </w:rPr>
        <w:t>Artículo 12</w:t>
      </w:r>
      <w:r w:rsidRPr="00F505F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6407E7" w:rsidRPr="00F505FD" w:rsidRDefault="00F65335">
      <w:pPr>
        <w:pBdr>
          <w:top w:val="nil"/>
          <w:left w:val="nil"/>
          <w:bottom w:val="nil"/>
          <w:right w:val="nil"/>
          <w:between w:val="nil"/>
        </w:pBdr>
        <w:spacing w:before="240" w:after="240"/>
        <w:ind w:left="567" w:right="758"/>
        <w:jc w:val="both"/>
      </w:pPr>
      <w:r w:rsidRPr="00F505F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F505FD">
        <w:rPr>
          <w:rFonts w:ascii="Palatino Linotype" w:eastAsia="Palatino Linotype" w:hAnsi="Palatino Linotype" w:cs="Palatino Linotype"/>
          <w:b/>
        </w:rPr>
        <w:t xml:space="preserve"> </w:t>
      </w:r>
      <w:r w:rsidRPr="00F505F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F505FD">
        <w:rPr>
          <w:rFonts w:ascii="Palatino Linotype" w:eastAsia="Palatino Linotype" w:hAnsi="Palatino Linotype" w:cs="Palatino Linotype"/>
          <w:i/>
        </w:rPr>
        <w:t>ad hoc</w:t>
      </w:r>
      <w:r w:rsidRPr="00F505FD">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b/>
          <w:i/>
          <w:sz w:val="22"/>
          <w:szCs w:val="22"/>
        </w:rPr>
        <w:t>03/17</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b/>
          <w:i/>
          <w:sz w:val="22"/>
          <w:szCs w:val="22"/>
        </w:rPr>
        <w:t>“NO EXISTE OBLIGACIÓN DE ELABORAR DOCUMENTOS AD HOC PARA ATENDER LAS SOLICITUDES DE ACCESO A LA INFORMACIÓN.</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407E7" w:rsidRPr="00F505FD" w:rsidRDefault="00F65335">
      <w:pPr>
        <w:pBdr>
          <w:top w:val="nil"/>
          <w:left w:val="nil"/>
          <w:bottom w:val="nil"/>
          <w:right w:val="nil"/>
          <w:between w:val="nil"/>
        </w:pBdr>
        <w:spacing w:before="240" w:after="240" w:line="360" w:lineRule="auto"/>
        <w:ind w:right="49"/>
        <w:jc w:val="both"/>
      </w:pPr>
      <w:r w:rsidRPr="00F505F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i/>
          <w:sz w:val="22"/>
          <w:szCs w:val="22"/>
        </w:rPr>
        <w:lastRenderedPageBreak/>
        <w:t>“</w:t>
      </w:r>
      <w:r w:rsidRPr="00F505FD">
        <w:rPr>
          <w:rFonts w:ascii="Palatino Linotype" w:eastAsia="Palatino Linotype" w:hAnsi="Palatino Linotype" w:cs="Palatino Linotype"/>
          <w:b/>
          <w:i/>
          <w:sz w:val="22"/>
          <w:szCs w:val="22"/>
        </w:rPr>
        <w:t xml:space="preserve">Artículo 3. </w:t>
      </w:r>
      <w:r w:rsidRPr="00F505FD">
        <w:rPr>
          <w:rFonts w:ascii="Palatino Linotype" w:eastAsia="Palatino Linotype" w:hAnsi="Palatino Linotype" w:cs="Palatino Linotype"/>
          <w:i/>
          <w:sz w:val="22"/>
          <w:szCs w:val="22"/>
        </w:rPr>
        <w:t>Para los efectos de la presente Ley se entenderá por:</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i/>
          <w:sz w:val="22"/>
          <w:szCs w:val="22"/>
        </w:rPr>
        <w:t>…</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b/>
          <w:i/>
          <w:sz w:val="22"/>
          <w:szCs w:val="22"/>
        </w:rPr>
        <w:t>XI. Documento:</w:t>
      </w:r>
      <w:r w:rsidRPr="00F505F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505FD">
        <w:rPr>
          <w:rFonts w:ascii="Palatino Linotype" w:eastAsia="Palatino Linotype" w:hAnsi="Palatino Linotype" w:cs="Palatino Linotype"/>
          <w:b/>
          <w:i/>
          <w:sz w:val="22"/>
          <w:szCs w:val="22"/>
        </w:rPr>
        <w:t>…</w:t>
      </w:r>
      <w:r w:rsidRPr="00F505FD">
        <w:rPr>
          <w:rFonts w:ascii="Palatino Linotype" w:eastAsia="Palatino Linotype" w:hAnsi="Palatino Linotype" w:cs="Palatino Linotype"/>
          <w:i/>
          <w:sz w:val="22"/>
          <w:szCs w:val="22"/>
        </w:rPr>
        <w:t>” (Sic)</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b/>
          <w:sz w:val="22"/>
          <w:szCs w:val="22"/>
        </w:rPr>
        <w:t>“</w:t>
      </w:r>
      <w:r w:rsidRPr="00F505FD">
        <w:rPr>
          <w:rFonts w:ascii="Palatino Linotype" w:eastAsia="Palatino Linotype" w:hAnsi="Palatino Linotype" w:cs="Palatino Linotype"/>
          <w:b/>
          <w:i/>
          <w:sz w:val="22"/>
          <w:szCs w:val="22"/>
        </w:rPr>
        <w:t>CRITERIO 0002-11</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505F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407E7" w:rsidRPr="00F505FD" w:rsidRDefault="00F65335">
      <w:pPr>
        <w:pBdr>
          <w:top w:val="nil"/>
          <w:left w:val="nil"/>
          <w:bottom w:val="nil"/>
          <w:right w:val="nil"/>
          <w:between w:val="nil"/>
        </w:pBdr>
        <w:spacing w:before="240" w:after="240"/>
        <w:ind w:left="567" w:right="567"/>
        <w:jc w:val="both"/>
      </w:pPr>
      <w:r w:rsidRPr="00F505F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407E7" w:rsidRPr="00F505FD" w:rsidRDefault="00F65335">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6407E7" w:rsidRPr="00F505FD" w:rsidRDefault="00F65335">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6407E7" w:rsidRPr="00F505FD" w:rsidRDefault="00F65335">
      <w:pPr>
        <w:pBdr>
          <w:top w:val="nil"/>
          <w:left w:val="nil"/>
          <w:bottom w:val="nil"/>
          <w:right w:val="nil"/>
          <w:between w:val="nil"/>
        </w:pBdr>
        <w:spacing w:before="240" w:after="240"/>
        <w:ind w:left="567" w:right="567" w:hanging="284"/>
        <w:jc w:val="both"/>
      </w:pPr>
      <w:r w:rsidRPr="00F505FD">
        <w:rPr>
          <w:rFonts w:ascii="Palatino Linotype" w:eastAsia="Palatino Linotype" w:hAnsi="Palatino Linotype" w:cs="Palatino Linotype"/>
          <w:i/>
          <w:sz w:val="22"/>
          <w:szCs w:val="22"/>
        </w:rPr>
        <w:lastRenderedPageBreak/>
        <w:t xml:space="preserve">3. </w:t>
      </w:r>
      <w:r w:rsidRPr="00F505FD">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t xml:space="preserve">De ahí que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6407E7" w:rsidRPr="00F505FD" w:rsidRDefault="00F65335">
      <w:pPr>
        <w:pBdr>
          <w:top w:val="nil"/>
          <w:left w:val="nil"/>
          <w:bottom w:val="nil"/>
          <w:right w:val="nil"/>
          <w:between w:val="nil"/>
        </w:pBdr>
        <w:spacing w:before="240" w:after="240" w:line="360" w:lineRule="auto"/>
        <w:jc w:val="both"/>
      </w:pPr>
      <w:r w:rsidRPr="00F505FD">
        <w:rPr>
          <w:rFonts w:ascii="Palatino Linotype" w:eastAsia="Palatino Linotype" w:hAnsi="Palatino Linotype" w:cs="Palatino Linotype"/>
        </w:rPr>
        <w:t xml:space="preserve">Ahora bien, para profundizar en el estudio del presente asunto, es conveniente recordar que la parte solicitante requirió al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le proporcionara lo siguiente:</w:t>
      </w:r>
    </w:p>
    <w:p w:rsidR="006407E7" w:rsidRPr="00F505FD" w:rsidRDefault="00F65335">
      <w:pPr>
        <w:numPr>
          <w:ilvl w:val="0"/>
          <w:numId w:val="2"/>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b/>
          <w:sz w:val="22"/>
          <w:szCs w:val="22"/>
        </w:rPr>
      </w:pPr>
      <w:r w:rsidRPr="00F505FD">
        <w:rPr>
          <w:rFonts w:ascii="Palatino Linotype" w:eastAsia="Palatino Linotype" w:hAnsi="Palatino Linotype" w:cs="Palatino Linotype"/>
          <w:b/>
          <w:sz w:val="22"/>
          <w:szCs w:val="22"/>
        </w:rPr>
        <w:t>Copia fiel del nombramiento del titular de la Defensoría Municipal.</w:t>
      </w:r>
    </w:p>
    <w:p w:rsidR="006407E7" w:rsidRPr="00F505FD" w:rsidRDefault="00F65335">
      <w:pPr>
        <w:spacing w:before="240" w:after="240" w:line="360" w:lineRule="auto"/>
        <w:ind w:right="49"/>
        <w:jc w:val="both"/>
        <w:rPr>
          <w:rFonts w:ascii="Palatino Linotype" w:eastAsia="Palatino Linotype" w:hAnsi="Palatino Linotype" w:cs="Palatino Linotype"/>
          <w:b/>
          <w:i/>
        </w:rPr>
      </w:pPr>
      <w:r w:rsidRPr="00F505FD">
        <w:rPr>
          <w:rFonts w:ascii="Palatino Linotype" w:eastAsia="Palatino Linotype" w:hAnsi="Palatino Linotype" w:cs="Palatino Linotype"/>
        </w:rPr>
        <w:t xml:space="preserve">En su respuesta, el </w:t>
      </w:r>
      <w:r w:rsidRPr="00F505FD">
        <w:rPr>
          <w:rFonts w:ascii="Palatino Linotype" w:eastAsia="Palatino Linotype" w:hAnsi="Palatino Linotype" w:cs="Palatino Linotype"/>
          <w:b/>
        </w:rPr>
        <w:t xml:space="preserve">Sujeto Obligado </w:t>
      </w:r>
      <w:r w:rsidRPr="00F505FD">
        <w:rPr>
          <w:rFonts w:ascii="Palatino Linotype" w:eastAsia="Palatino Linotype" w:hAnsi="Palatino Linotype" w:cs="Palatino Linotype"/>
        </w:rPr>
        <w:t>manifestó lo siguiente: “</w:t>
      </w:r>
      <w:r w:rsidRPr="00F505FD">
        <w:rPr>
          <w:rFonts w:ascii="Palatino Linotype" w:eastAsia="Palatino Linotype" w:hAnsi="Palatino Linotype" w:cs="Palatino Linotype"/>
          <w:b/>
          <w:i/>
        </w:rPr>
        <w:t>…</w:t>
      </w:r>
      <w:r w:rsidRPr="00F505FD">
        <w:rPr>
          <w:rFonts w:ascii="Palatino Linotype" w:eastAsia="Palatino Linotype" w:hAnsi="Palatino Linotype" w:cs="Palatino Linotype"/>
          <w:i/>
        </w:rPr>
        <w:t>para informarle acerca de la solicitud con folio 00162/ALMORI/IP/2022 que</w:t>
      </w:r>
      <w:r w:rsidRPr="00F505FD">
        <w:rPr>
          <w:rFonts w:ascii="Palatino Linotype" w:eastAsia="Palatino Linotype" w:hAnsi="Palatino Linotype" w:cs="Palatino Linotype"/>
          <w:b/>
          <w:i/>
        </w:rPr>
        <w:t xml:space="preserve"> </w:t>
      </w:r>
      <w:r w:rsidRPr="00F505FD">
        <w:rPr>
          <w:rFonts w:ascii="Palatino Linotype" w:eastAsia="Palatino Linotype" w:hAnsi="Palatino Linotype" w:cs="Palatino Linotype"/>
          <w:b/>
          <w:i/>
          <w:u w:val="single"/>
        </w:rPr>
        <w:t>toda vez no se precisa a que defensoría se refiere, por ello no se remite información alguna, por lo que deberá de aclarar el nombre completo del área</w:t>
      </w:r>
      <w:r w:rsidRPr="00F505FD">
        <w:rPr>
          <w:rFonts w:ascii="Palatino Linotype" w:eastAsia="Palatino Linotype" w:hAnsi="Palatino Linotype" w:cs="Palatino Linotype"/>
          <w:b/>
          <w:i/>
        </w:rPr>
        <w:t>, para estar en posibilidad de remitir la información correspondiente…” (Sic)</w:t>
      </w:r>
    </w:p>
    <w:p w:rsidR="006407E7" w:rsidRPr="00F505FD" w:rsidRDefault="00F65335">
      <w:pPr>
        <w:spacing w:before="240" w:after="240" w:line="360" w:lineRule="auto"/>
        <w:ind w:right="49"/>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Conocida la respuesta, </w:t>
      </w:r>
      <w:r w:rsidRPr="00F505FD">
        <w:rPr>
          <w:rFonts w:ascii="Palatino Linotype" w:eastAsia="Palatino Linotype" w:hAnsi="Palatino Linotype" w:cs="Palatino Linotype"/>
          <w:b/>
        </w:rPr>
        <w:t>la parte</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Recurrente</w:t>
      </w:r>
      <w:r w:rsidRPr="00F505FD">
        <w:rPr>
          <w:rFonts w:ascii="Palatino Linotype" w:eastAsia="Palatino Linotype" w:hAnsi="Palatino Linotype" w:cs="Palatino Linotype"/>
        </w:rPr>
        <w:t xml:space="preserve"> interpuso el recurso de revisión que nos ocupa, expresando medularmente en su escrito </w:t>
      </w:r>
      <w:proofErr w:type="spellStart"/>
      <w:r w:rsidRPr="00F505FD">
        <w:rPr>
          <w:rFonts w:ascii="Palatino Linotype" w:eastAsia="Palatino Linotype" w:hAnsi="Palatino Linotype" w:cs="Palatino Linotype"/>
        </w:rPr>
        <w:t>recursal</w:t>
      </w:r>
      <w:proofErr w:type="spellEnd"/>
      <w:r w:rsidRPr="00F505FD">
        <w:rPr>
          <w:rFonts w:ascii="Palatino Linotype" w:eastAsia="Palatino Linotype" w:hAnsi="Palatino Linotype" w:cs="Palatino Linotype"/>
        </w:rPr>
        <w:t xml:space="preserve">, lo siguiente: </w:t>
      </w:r>
    </w:p>
    <w:p w:rsidR="006407E7" w:rsidRPr="00F505FD" w:rsidRDefault="00F65335">
      <w:pPr>
        <w:spacing w:before="240" w:after="240" w:line="360" w:lineRule="auto"/>
        <w:ind w:left="567"/>
        <w:rPr>
          <w:rFonts w:ascii="Palatino Linotype" w:eastAsia="Palatino Linotype" w:hAnsi="Palatino Linotype" w:cs="Palatino Linotype"/>
          <w:b/>
        </w:rPr>
      </w:pPr>
      <w:r w:rsidRPr="00F505FD">
        <w:rPr>
          <w:rFonts w:ascii="Palatino Linotype" w:eastAsia="Palatino Linotype" w:hAnsi="Palatino Linotype" w:cs="Palatino Linotype"/>
          <w:b/>
        </w:rPr>
        <w:lastRenderedPageBreak/>
        <w:t>a) Acto impugnado.</w:t>
      </w:r>
    </w:p>
    <w:p w:rsidR="006407E7" w:rsidRPr="00F505FD" w:rsidRDefault="00F65335">
      <w:pPr>
        <w:spacing w:before="240" w:after="240" w:line="276" w:lineRule="auto"/>
        <w:ind w:left="851"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Se me da como respuesta una aclaración de mi información (es confusa y/o incompleta)</w:t>
      </w:r>
      <w:r w:rsidRPr="00F505FD">
        <w:rPr>
          <w:rFonts w:ascii="Palatino Linotype" w:eastAsia="Palatino Linotype" w:hAnsi="Palatino Linotype" w:cs="Palatino Linotype"/>
          <w:i/>
          <w:sz w:val="22"/>
          <w:szCs w:val="22"/>
        </w:rPr>
        <w:t>” (Sic) (Énfasis añadido)</w:t>
      </w:r>
    </w:p>
    <w:p w:rsidR="006407E7" w:rsidRPr="00F505FD" w:rsidRDefault="00F65335">
      <w:pPr>
        <w:spacing w:before="240" w:after="240" w:line="360" w:lineRule="auto"/>
        <w:ind w:left="567"/>
        <w:jc w:val="both"/>
        <w:rPr>
          <w:rFonts w:ascii="Palatino Linotype" w:eastAsia="Palatino Linotype" w:hAnsi="Palatino Linotype" w:cs="Palatino Linotype"/>
          <w:b/>
        </w:rPr>
      </w:pPr>
      <w:r w:rsidRPr="00F505FD">
        <w:rPr>
          <w:rFonts w:ascii="Palatino Linotype" w:eastAsia="Palatino Linotype" w:hAnsi="Palatino Linotype" w:cs="Palatino Linotype"/>
          <w:b/>
        </w:rPr>
        <w:t>b) Motivos de inconformidad.</w:t>
      </w:r>
    </w:p>
    <w:p w:rsidR="006407E7" w:rsidRPr="00F505FD" w:rsidRDefault="00F65335">
      <w:pPr>
        <w:spacing w:before="240" w:after="240" w:line="276" w:lineRule="auto"/>
        <w:ind w:left="851"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u w:val="single"/>
        </w:rPr>
        <w:t>me refiero a la defensoría municipal de los derechos humanos</w:t>
      </w:r>
      <w:r w:rsidRPr="00F505FD">
        <w:rPr>
          <w:rFonts w:ascii="Palatino Linotype" w:eastAsia="Palatino Linotype" w:hAnsi="Palatino Linotype" w:cs="Palatino Linotype"/>
          <w:b/>
          <w:i/>
          <w:sz w:val="22"/>
          <w:szCs w:val="22"/>
        </w:rPr>
        <w:t>.</w:t>
      </w:r>
      <w:r w:rsidRPr="00F505FD">
        <w:rPr>
          <w:rFonts w:ascii="Palatino Linotype" w:eastAsia="Palatino Linotype" w:hAnsi="Palatino Linotype" w:cs="Palatino Linotype"/>
          <w:i/>
          <w:sz w:val="22"/>
          <w:szCs w:val="22"/>
        </w:rPr>
        <w:t>” (Sic) (Énfasis añadido)</w:t>
      </w:r>
    </w:p>
    <w:p w:rsidR="006407E7" w:rsidRPr="00F505FD" w:rsidRDefault="00F65335">
      <w:pPr>
        <w:spacing w:before="240" w:after="240" w:line="360" w:lineRule="auto"/>
        <w:ind w:right="49"/>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Admitido a trámite el recurso de revisión, las partes fueron omisas en remitir sus manifestaciones, por lo que se tiene por </w:t>
      </w:r>
      <w:proofErr w:type="spellStart"/>
      <w:r w:rsidRPr="00F505FD">
        <w:rPr>
          <w:rFonts w:ascii="Palatino Linotype" w:eastAsia="Palatino Linotype" w:hAnsi="Palatino Linotype" w:cs="Palatino Linotype"/>
        </w:rPr>
        <w:t>precluido</w:t>
      </w:r>
      <w:proofErr w:type="spellEnd"/>
      <w:r w:rsidRPr="00F505FD">
        <w:rPr>
          <w:rFonts w:ascii="Palatino Linotype" w:eastAsia="Palatino Linotype" w:hAnsi="Palatino Linotype" w:cs="Palatino Linotype"/>
        </w:rPr>
        <w:t xml:space="preserve"> su derecho para tal efecto. </w:t>
      </w:r>
    </w:p>
    <w:p w:rsidR="006407E7" w:rsidRPr="00F505FD" w:rsidRDefault="00F65335">
      <w:pPr>
        <w:tabs>
          <w:tab w:val="left" w:pos="709"/>
        </w:tabs>
        <w:spacing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Ahora bien, teniendo en cuenta las posturas de las partes, en primer lugar conviene señalar que del análisis a la respuesta, se advierte que ésta es propiamente una aclaración, en la cual,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a través de la Titular de la Unidad de Transparencia, requirió a la persona solicitante al décimo quinto día hábil posterior a la presentación de la solicitud, a efecto de que, ampliara los datos de su solicitud a efecto de asegurar la continuidad del proceso de acceso a la información, debiendo especificar correctamente los elementos requeridos.</w:t>
      </w:r>
    </w:p>
    <w:p w:rsidR="006407E7" w:rsidRPr="00F505FD" w:rsidRDefault="006407E7">
      <w:pPr>
        <w:tabs>
          <w:tab w:val="left" w:pos="709"/>
        </w:tabs>
        <w:spacing w:line="360" w:lineRule="auto"/>
        <w:jc w:val="both"/>
        <w:rPr>
          <w:rFonts w:ascii="Palatino Linotype" w:eastAsia="Palatino Linotype" w:hAnsi="Palatino Linotype" w:cs="Palatino Linotype"/>
        </w:rPr>
      </w:pPr>
    </w:p>
    <w:p w:rsidR="006407E7" w:rsidRPr="00F505FD" w:rsidRDefault="00F65335">
      <w:pPr>
        <w:tabs>
          <w:tab w:val="left" w:pos="709"/>
        </w:tabs>
        <w:spacing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En tal tesitura, el artículo 159 primer párrafo de la Ley de Transparencia y Acceso a la Información Pública del Estado de México, señala lo siguiente respecto de la procedencia de la aclaración: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w:t>
      </w:r>
      <w:r w:rsidRPr="00F505FD">
        <w:rPr>
          <w:rFonts w:ascii="Palatino Linotype" w:eastAsia="Palatino Linotype" w:hAnsi="Palatino Linotype" w:cs="Palatino Linotype"/>
          <w:b/>
          <w:i/>
          <w:sz w:val="22"/>
          <w:szCs w:val="22"/>
        </w:rPr>
        <w:lastRenderedPageBreak/>
        <w:t>presentación de la solicitud</w:t>
      </w:r>
      <w:r w:rsidRPr="00F505FD">
        <w:rPr>
          <w:rFonts w:ascii="Palatino Linotype" w:eastAsia="Palatino Linotype" w:hAnsi="Palatino Linotype" w:cs="Palatino Linotype"/>
          <w:i/>
          <w:sz w:val="22"/>
          <w:szCs w:val="22"/>
        </w:rPr>
        <w:t>, para que, en un término de hasta diez días hábiles, indique otros elementos que complementen, corrijan o amplíen los datos proporcionados o bien, precise uno o varios requerimientos de información.” (Sic) (Énfasis añadido)</w:t>
      </w:r>
    </w:p>
    <w:p w:rsidR="006407E7" w:rsidRPr="00F505FD" w:rsidRDefault="00F65335">
      <w:pPr>
        <w:spacing w:before="240" w:after="240" w:line="360" w:lineRule="auto"/>
        <w:ind w:right="51"/>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Por lo que, trasladando esta premisa al caso concreto, se colige que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no cumplió los plazos establecidos por la legislación y, en consecuencia, se le insta para que en futuras ocasiones atienda los plazos establecidos por la ley.</w:t>
      </w:r>
    </w:p>
    <w:p w:rsidR="006407E7" w:rsidRPr="00F505FD" w:rsidRDefault="00F65335">
      <w:pPr>
        <w:spacing w:before="240" w:after="240" w:line="360" w:lineRule="auto"/>
        <w:ind w:right="51"/>
        <w:jc w:val="both"/>
        <w:rPr>
          <w:rFonts w:ascii="Palatino Linotype" w:eastAsia="Palatino Linotype" w:hAnsi="Palatino Linotype" w:cs="Palatino Linotype"/>
        </w:rPr>
      </w:pPr>
      <w:r w:rsidRPr="00F505FD">
        <w:rPr>
          <w:rFonts w:ascii="Palatino Linotype" w:eastAsia="Palatino Linotype" w:hAnsi="Palatino Linotype" w:cs="Palatino Linotype"/>
        </w:rPr>
        <w:t>En virtud de lo anterior, el particular no tuvo la posibilidad de atender el requerimiento pues, se insiste, el mismo se realizó al momento de otorgar respuesta a la solicitud de información, no obstante, del análisis a las constancias que obran en el expediente electrónico del recurso de revisión que se resuelve, se aprecia que lo desahogó al momento de interponer el medio de impugnación que nos ocupa.</w:t>
      </w:r>
    </w:p>
    <w:p w:rsidR="006407E7" w:rsidRPr="00F505FD" w:rsidRDefault="00F65335">
      <w:pPr>
        <w:spacing w:before="240" w:after="240" w:line="360" w:lineRule="auto"/>
        <w:ind w:right="51"/>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Es de destacar que aún con la precisión realizada por </w:t>
      </w:r>
      <w:r w:rsidRPr="00F505FD">
        <w:rPr>
          <w:rFonts w:ascii="Palatino Linotype" w:eastAsia="Palatino Linotype" w:hAnsi="Palatino Linotype" w:cs="Palatino Linotype"/>
          <w:b/>
        </w:rPr>
        <w:t>la parte Recurrente</w:t>
      </w:r>
      <w:r w:rsidRPr="00F505FD">
        <w:rPr>
          <w:rFonts w:ascii="Palatino Linotype" w:eastAsia="Palatino Linotype" w:hAnsi="Palatino Linotype" w:cs="Palatino Linotype"/>
        </w:rPr>
        <w:t xml:space="preserv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fue omiso en subsanar esta deficiencia mediante la etapa de manifestaciones, por lo tanto, deberá atender la solicitud de información en los términos precisados en el recurso de revisión.</w:t>
      </w:r>
    </w:p>
    <w:p w:rsidR="006407E7" w:rsidRPr="00F505FD" w:rsidRDefault="00F65335">
      <w:pPr>
        <w:spacing w:before="240" w:after="240" w:line="372"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Así, es que a consideración de este Organismo Garante el </w:t>
      </w:r>
      <w:r w:rsidRPr="00F505FD">
        <w:rPr>
          <w:rFonts w:ascii="Palatino Linotype" w:eastAsia="Palatino Linotype" w:hAnsi="Palatino Linotype" w:cs="Palatino Linotype"/>
          <w:b/>
        </w:rPr>
        <w:t>Sujeto Obligado hizo un uso excesivo del requerimiento de aclaración</w:t>
      </w:r>
      <w:r w:rsidRPr="00F505FD">
        <w:rPr>
          <w:rFonts w:ascii="Palatino Linotype" w:eastAsia="Palatino Linotype" w:hAnsi="Palatino Linotype" w:cs="Palatino Linotype"/>
        </w:rPr>
        <w:t>, pues se reitera que el requerimiento no se encuentra dentro del plazo legal establecido, aunado al hecho que los términos de la solicitud son claros y permiten identificar plenamente la información que es del interés de la persona solicitante, por lo que la aclaración pretendida no era necesaria.</w:t>
      </w:r>
    </w:p>
    <w:p w:rsidR="006407E7" w:rsidRPr="00F505FD" w:rsidRDefault="00F65335">
      <w:pPr>
        <w:spacing w:before="240" w:after="240" w:line="360" w:lineRule="auto"/>
        <w:ind w:right="51"/>
        <w:jc w:val="both"/>
        <w:rPr>
          <w:rFonts w:ascii="Palatino Linotype" w:eastAsia="Palatino Linotype" w:hAnsi="Palatino Linotype" w:cs="Palatino Linotype"/>
        </w:rPr>
      </w:pPr>
      <w:r w:rsidRPr="00F505FD">
        <w:rPr>
          <w:rFonts w:ascii="Palatino Linotype" w:eastAsia="Palatino Linotype" w:hAnsi="Palatino Linotype" w:cs="Palatino Linotype"/>
        </w:rPr>
        <w:lastRenderedPageBreak/>
        <w:t xml:space="preserve">Más aún cuando respecto a la información solicitada se advierte que el Bando Municipal vigente, en su artículo 35, prevé que dentro de su estructura orgánica únicamente existe una Defensoría Municipal que es precisamente la Defensoría Municipal de Derechos Humanos, tal como se ilustra a continuación con la cita al precepto legal referido: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“Artículo 35.- Para el eficiente desempeño de sus funciones cada dependencia se integrará con las Direcciones, Unidades Administrativas que resulten necesarias, previa autorización del Ayuntamiento, siendo estas centralizadas y de acuerdo a sus techos presupuestales, así como dependencias descentralizadas que contaran con un presupuesto propio, siendo las siguientes: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I. Centralizadas: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a) Secretaria del Ayuntamiento.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b) Tesorería Municipal.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Coordinación de Catastro.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c) Contraloría interna Municipal.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d) Dirección de Administración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Coordinación de Recursos Humanos</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Coordinación de Recursos Materiales.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Coordinación de Gobierno Digital y Tecnologías de la Información.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e) Dirección de gobernación.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f) Dirección de Desarrollo social.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Coordinación de Casa de Cultura.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lastRenderedPageBreak/>
        <w:t xml:space="preserve">g) Dirección de Desarrollo Urbano.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h) Dirección de Obras Públicas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i) Coordinación de Atención Ciudadana.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j) Dirección de Seguridad Pública y Protección Civil.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Coordinación de Protección Civil y Bomberos.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Secretario Técnico de Seguridad Pública.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k) Dirección Jurídica.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Oficialía Mediadora Conciliadora.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Oficialía Calificadora.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l) Dirección de Ecología.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m) Dirección de Desarrollo Económico.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n) Dirección de Mejora Regulatoria.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o) Unidad de Información, Planeación, Programación y Evaluación (UIPEPE).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 Unidad de Transparencia y Acceso a la Información.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p) Dirección de Salud.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II. Descentralizadas: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a) Instituto Municipal de Cultura Física y Deporte (IMCUFIDE).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b) Sistema Municipal para el Desarrollo Integral de la Familia (DIF).</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III. Organismos Autónomos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a) Instituto Municipal de la Mujer.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lastRenderedPageBreak/>
        <w:t xml:space="preserve">b) Instituto Municipal de la Juventud.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c) Defensoría Municipal de Derechos Humanos.</w:t>
      </w:r>
      <w:r w:rsidRPr="00F505FD">
        <w:rPr>
          <w:rFonts w:ascii="Palatino Linotype" w:eastAsia="Palatino Linotype" w:hAnsi="Palatino Linotype" w:cs="Palatino Linotype"/>
          <w:i/>
          <w:sz w:val="22"/>
          <w:szCs w:val="22"/>
        </w:rPr>
        <w:t>” (Sic) (Énfasis añadido)</w:t>
      </w:r>
    </w:p>
    <w:p w:rsidR="006407E7" w:rsidRPr="00F505FD" w:rsidRDefault="00F65335">
      <w:pPr>
        <w:spacing w:before="240" w:after="240" w:line="360" w:lineRule="auto"/>
        <w:ind w:right="49"/>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De manera que en un ejercicio de interpretación a la solicitud de información del particular, se reitera que existen elementos que permiten identificar con precisión y claridad la información requerida, por lo que se concluye que lo que requiere es copia del nombramiento del titular de la Defensoría Municipal de Derechos Humanos. </w:t>
      </w:r>
    </w:p>
    <w:p w:rsidR="00416359" w:rsidRPr="00F505FD" w:rsidRDefault="00416359">
      <w:pPr>
        <w:spacing w:before="240" w:after="240" w:line="360" w:lineRule="auto"/>
        <w:ind w:right="49"/>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Asimismo, de la consulta al portal de Información Pública de Oficio Mexiquense (IPOMEX) del </w:t>
      </w:r>
      <w:r w:rsidRPr="00F505FD">
        <w:rPr>
          <w:rFonts w:ascii="Palatino Linotype" w:eastAsia="Palatino Linotype" w:hAnsi="Palatino Linotype" w:cs="Palatino Linotype"/>
          <w:b/>
        </w:rPr>
        <w:t xml:space="preserve">Sujeto Obligado, </w:t>
      </w:r>
      <w:r w:rsidRPr="00F505FD">
        <w:rPr>
          <w:rFonts w:ascii="Palatino Linotype" w:eastAsia="Palatino Linotype" w:hAnsi="Palatino Linotype" w:cs="Palatino Linotype"/>
        </w:rPr>
        <w:t>se advierte que</w:t>
      </w:r>
      <w:r w:rsidRPr="00F505FD">
        <w:rPr>
          <w:rFonts w:ascii="Palatino Linotype" w:eastAsia="Palatino Linotype" w:hAnsi="Palatino Linotype" w:cs="Palatino Linotype"/>
          <w:b/>
        </w:rPr>
        <w:t xml:space="preserve"> </w:t>
      </w:r>
      <w:r w:rsidRPr="00F505FD">
        <w:rPr>
          <w:rFonts w:ascii="Palatino Linotype" w:eastAsia="Palatino Linotype" w:hAnsi="Palatino Linotype" w:cs="Palatino Linotype"/>
        </w:rPr>
        <w:t>el alta en el cargo, se dio el</w:t>
      </w:r>
      <w:r w:rsidRPr="00F505FD">
        <w:rPr>
          <w:rFonts w:ascii="Palatino Linotype" w:eastAsia="Palatino Linotype" w:hAnsi="Palatino Linotype" w:cs="Palatino Linotype"/>
          <w:b/>
        </w:rPr>
        <w:t xml:space="preserve"> primero de enero de dos mil veintidós</w:t>
      </w:r>
      <w:r w:rsidR="00F65335" w:rsidRPr="00F505FD">
        <w:rPr>
          <w:rFonts w:ascii="Palatino Linotype" w:eastAsia="Palatino Linotype" w:hAnsi="Palatino Linotype" w:cs="Palatino Linotype"/>
          <w:b/>
        </w:rPr>
        <w:t>.</w:t>
      </w:r>
    </w:p>
    <w:p w:rsidR="00416359" w:rsidRPr="00F505FD" w:rsidRDefault="00416359" w:rsidP="00416359">
      <w:pPr>
        <w:spacing w:before="240" w:after="240" w:line="360" w:lineRule="auto"/>
        <w:ind w:right="49"/>
        <w:jc w:val="center"/>
        <w:rPr>
          <w:rFonts w:ascii="Palatino Linotype" w:eastAsia="Palatino Linotype" w:hAnsi="Palatino Linotype" w:cs="Palatino Linotype"/>
        </w:rPr>
      </w:pPr>
      <w:r w:rsidRPr="00F505FD">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628015</wp:posOffset>
                </wp:positionV>
                <wp:extent cx="4476750" cy="838200"/>
                <wp:effectExtent l="57150" t="38100" r="76200" b="95250"/>
                <wp:wrapNone/>
                <wp:docPr id="2" name="Rectángulo 2"/>
                <wp:cNvGraphicFramePr/>
                <a:graphic xmlns:a="http://schemas.openxmlformats.org/drawingml/2006/main">
                  <a:graphicData uri="http://schemas.microsoft.com/office/word/2010/wordprocessingShape">
                    <wps:wsp>
                      <wps:cNvSpPr/>
                      <wps:spPr>
                        <a:xfrm>
                          <a:off x="0" y="0"/>
                          <a:ext cx="4476750" cy="838200"/>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F944F" id="Rectángulo 2" o:spid="_x0000_s1026" style="position:absolute;margin-left:31.95pt;margin-top:49.45pt;width:35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2+igIAAG4FAAAOAAAAZHJzL2Uyb0RvYy54bWysVNtOGzEQfa/Uf7D8XjZZEpKu2KAIRFUJ&#10;AQIqnh2vnVjyelzbySb9m35Lf4yx90JEkZCqvuzOeO5nLucX+1qTnXBegSnp+GREiTAcKmXWJf3x&#10;dP1lTokPzFRMgxElPQhPLxafP503thA5bEBXwhF0YnzR2JJuQrBFlnm+ETXzJ2CFQaEEV7OArFtn&#10;lWMNeq91lo9GZ1kDrrIOuPAeX69aIV0k/1IKHu6k9CIQXVLMLaSvS99V/GaLc1asHbMbxbs02D9k&#10;UTNlMOjg6ooFRrZO/eWqVtyBBxlOONQZSKm4SDVgNePRm2oeN8yKVAuC4+0Ak/9/bvnt7t4RVZU0&#10;p8SwGlv0gKD9+W3WWw0kjwA11heo92jvXcd5JGO1e+nq+Mc6yD6BehhAFftAOD5OJrOz2RSx5yib&#10;n86xa9Fp9mptnQ/fBNQkEiV1GD9hyXY3PrSqvUoMZuBaaY3vrNCGNJj5fDqbJgsPWlVRGoXerVeX&#10;2pEdi70f5aOzPvCRGqahDWYTa2yrSlQ4aNEGeBAS4cE6xm2EOJhicMs4FyaMu4K0Qe1oJjGFwfD0&#10;Y8NOP5qKNLSDcf6x8WCRIoMJg3GtDLj3HOghZdnq9wi0dUcIVlAdcDIctCvjLb9W2J4b5sM9c7gj&#10;2FHc+3CHH6kB2wAdRckG3K/33qM+ji5KKWlw50rqf26ZE5To7waH+ut4MolLmpjJdJYj444lq2OJ&#10;2daXgK0d44WxPJFRP+ielA7qZzwPyxgVRcxwjF1SHlzPXIb2FuCB4WK5TGq4mJaFG/Noed/1OH5P&#10;+2fmbDejAaf7Fvr9ZMWbUW11Yz8MLLcBpEpz/IprhzcuddqE7gDFq3HMJ63XM7l4AQAA//8DAFBL&#10;AwQUAAYACAAAACEAt7jW998AAAAJAQAADwAAAGRycy9kb3ducmV2LnhtbEyPQU/DMAyF70j8h8hI&#10;3Fi6VipraTohtGkSsAMDiavXmKbQOKXJtvLvyU5wsq339Py9ajnZXhxp9J1jBfNZAoK4cbrjVsHb&#10;6/pmAcIHZI29Y1LwQx6W9eVFhaV2J36h4y60IoawL1GBCWEopfSNIYt+5gbiqH240WKI59hKPeIp&#10;httepkmSS4sdxw8GB3ow1HztDlbB+3c6f9qs0Dxv14Y/+XEj81Wm1PXVdH8HItAU/sxwxo/oUEem&#10;vTuw9qJXkGdFdCooFnFG/TY/L3sFaZYUIOtK/m9Q/wIAAP//AwBQSwECLQAUAAYACAAAACEAtoM4&#10;kv4AAADhAQAAEwAAAAAAAAAAAAAAAAAAAAAAW0NvbnRlbnRfVHlwZXNdLnhtbFBLAQItABQABgAI&#10;AAAAIQA4/SH/1gAAAJQBAAALAAAAAAAAAAAAAAAAAC8BAABfcmVscy8ucmVsc1BLAQItABQABgAI&#10;AAAAIQDAUD2+igIAAG4FAAAOAAAAAAAAAAAAAAAAAC4CAABkcnMvZTJvRG9jLnhtbFBLAQItABQA&#10;BgAIAAAAIQC3uNb33wAAAAkBAAAPAAAAAAAAAAAAAAAAAOQEAABkcnMvZG93bnJldi54bWxQSwUG&#10;AAAAAAQABADzAAAA8AUAAAAA&#10;" filled="f" strokecolor="#002060" strokeweight="2.25pt">
                <v:shadow on="t" color="black" opacity="22937f" origin=",.5" offset="0,.63889mm"/>
              </v:rect>
            </w:pict>
          </mc:Fallback>
        </mc:AlternateContent>
      </w:r>
      <w:r w:rsidRPr="00F505FD">
        <w:rPr>
          <w:rFonts w:ascii="Palatino Linotype" w:eastAsia="Palatino Linotype" w:hAnsi="Palatino Linotype" w:cs="Palatino Linotype"/>
          <w:noProof/>
          <w:lang w:val="es-MX"/>
        </w:rPr>
        <w:drawing>
          <wp:inline distT="0" distB="0" distL="0" distR="0" wp14:anchorId="1A1C431C" wp14:editId="4CE8BE3C">
            <wp:extent cx="4762500" cy="3890990"/>
            <wp:effectExtent l="19050" t="19050" r="1905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6811" cy="3894512"/>
                    </a:xfrm>
                    <a:prstGeom prst="rect">
                      <a:avLst/>
                    </a:prstGeom>
                    <a:ln>
                      <a:solidFill>
                        <a:schemeClr val="tx1"/>
                      </a:solidFill>
                    </a:ln>
                  </pic:spPr>
                </pic:pic>
              </a:graphicData>
            </a:graphic>
          </wp:inline>
        </w:drawing>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Acotado lo anterior, no escapa de la óptica de este Organismo Garante que el </w:t>
      </w:r>
      <w:r w:rsidRPr="00F505FD">
        <w:rPr>
          <w:rFonts w:ascii="Palatino Linotype" w:eastAsia="Palatino Linotype" w:hAnsi="Palatino Linotype" w:cs="Palatino Linotype"/>
          <w:b/>
        </w:rPr>
        <w:t xml:space="preserve">Sujeto Obligado </w:t>
      </w:r>
      <w:r w:rsidRPr="00F505FD">
        <w:rPr>
          <w:rFonts w:ascii="Palatino Linotype" w:eastAsia="Palatino Linotype" w:hAnsi="Palatino Linotype" w:cs="Palatino Linotype"/>
        </w:rPr>
        <w:t>no turnó</w:t>
      </w:r>
      <w:r w:rsidRPr="00F505FD">
        <w:rPr>
          <w:rFonts w:ascii="Palatino Linotype" w:eastAsia="Palatino Linotype" w:hAnsi="Palatino Linotype" w:cs="Palatino Linotype"/>
          <w:b/>
        </w:rPr>
        <w:t xml:space="preserve"> </w:t>
      </w:r>
      <w:r w:rsidRPr="00F505FD">
        <w:rPr>
          <w:rFonts w:ascii="Palatino Linotype" w:eastAsia="Palatino Linotype" w:hAnsi="Palatino Linotype" w:cs="Palatino Linotype"/>
        </w:rPr>
        <w:t>la solicitud</w:t>
      </w:r>
      <w:r w:rsidRPr="00F505FD">
        <w:rPr>
          <w:rFonts w:ascii="Palatino Linotype" w:eastAsia="Palatino Linotype" w:hAnsi="Palatino Linotype" w:cs="Palatino Linotype"/>
          <w:b/>
        </w:rPr>
        <w:t xml:space="preserve"> </w:t>
      </w:r>
      <w:r w:rsidRPr="00F505FD">
        <w:rPr>
          <w:rFonts w:ascii="Palatino Linotype" w:eastAsia="Palatino Linotype" w:hAnsi="Palatino Linotype" w:cs="Palatino Linotype"/>
        </w:rPr>
        <w:t xml:space="preserve">a las áreas competentes, por lo que se incumplió con el principio de exhaustividad, toda vez que no se advierte una correcta búsqueda exhaustiva y razonable de la información solicitada por el Particular, lo anterior es así, en razón de que como se verá en las próximas líneas argumentativas, para otorgar mayor certeza jurídica al particular de que se realizaron las gestiones necesarias para obtener la información, dichos requerimientos debieron turnarse a la Secretaría del Ayuntamiento, en ese sentido, compete a los sujetos obligados seguir el procedimiento para la atención a las solicitudes de acceso a la información, establecido en los artículos 151, 160, 162, 163, 164, 165 y 166, de la Ley de </w:t>
      </w:r>
      <w:r w:rsidRPr="00F505FD">
        <w:rPr>
          <w:rFonts w:ascii="Palatino Linotype" w:eastAsia="Palatino Linotype" w:hAnsi="Palatino Linotype" w:cs="Palatino Linotype"/>
        </w:rPr>
        <w:lastRenderedPageBreak/>
        <w:t xml:space="preserve">Transparencia y Acceso a la Información Pública del Estado de México y Municipios, el cual es el siguiente: </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w:t>
      </w:r>
      <w:r w:rsidRPr="00F505FD">
        <w:rPr>
          <w:rFonts w:ascii="Palatino Linotype" w:eastAsia="Palatino Linotype" w:hAnsi="Palatino Linotype" w:cs="Palatino Linotype"/>
        </w:rPr>
        <w:lastRenderedPageBreak/>
        <w:t xml:space="preserve">deberá ofrecer otras; por lo cual, deberá fundar y motivar la necesidad de modificar el medio de entrega, y </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En este orden de ideas, se reitera que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debió turnar la solicitud a las áreas competentes para conocer de la solicitud de información, como en el presente caso se advierte que pudiera contar con la información, la </w:t>
      </w:r>
      <w:r w:rsidRPr="00F505FD">
        <w:rPr>
          <w:rFonts w:ascii="Palatino Linotype" w:eastAsia="Palatino Linotype" w:hAnsi="Palatino Linotype" w:cs="Palatino Linotype"/>
          <w:b/>
        </w:rPr>
        <w:t>Secretaría del Ayuntamiento</w:t>
      </w:r>
      <w:r w:rsidRPr="00F505FD">
        <w:rPr>
          <w:rFonts w:ascii="Palatino Linotype" w:eastAsia="Palatino Linotype" w:hAnsi="Palatino Linotype" w:cs="Palatino Linotype"/>
        </w:rPr>
        <w:t xml:space="preserve">, ello encuentra sustento en los artículos 147 A, 147 E, 147 F, 147 G y 147 H, de la Ley Orgánica Municipal, mismos que versan de la siguiente manera: </w:t>
      </w:r>
    </w:p>
    <w:p w:rsidR="006407E7" w:rsidRPr="00F505FD" w:rsidRDefault="00F65335">
      <w:pPr>
        <w:spacing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Artículo 147 A.-</w:t>
      </w:r>
      <w:r w:rsidRPr="00F505FD">
        <w:rPr>
          <w:rFonts w:ascii="Palatino Linotype" w:eastAsia="Palatino Linotype" w:hAnsi="Palatino Linotype" w:cs="Palatino Linotype"/>
          <w:i/>
          <w:sz w:val="22"/>
          <w:szCs w:val="22"/>
        </w:rPr>
        <w:t xml:space="preserve"> </w:t>
      </w:r>
      <w:r w:rsidRPr="00F505FD">
        <w:rPr>
          <w:rFonts w:ascii="Palatino Linotype" w:eastAsia="Palatino Linotype" w:hAnsi="Palatino Linotype" w:cs="Palatino Linotype"/>
          <w:b/>
          <w:i/>
          <w:sz w:val="22"/>
          <w:szCs w:val="22"/>
        </w:rPr>
        <w:t>En cada municipio, el ayuntamiento respectivo, mediante acuerdo de cabildo, expedirá con la oportunidad debida una convocatoria abierta a toda la población para designar al Defensor Municipal de Derechos Humanos, que deberá durar en su cargo tres años</w:t>
      </w:r>
      <w:r w:rsidRPr="00F505FD">
        <w:rPr>
          <w:rFonts w:ascii="Palatino Linotype" w:eastAsia="Palatino Linotype" w:hAnsi="Palatino Linotype" w:cs="Palatino Linotype"/>
          <w:i/>
          <w:sz w:val="22"/>
          <w:szCs w:val="22"/>
        </w:rPr>
        <w:t>, contando a partir de la fecha de su designación, pudiendo ser reelecto por el ayuntamiento por una sola vez y por igual periodo, de acuerdo a los lineamientos siguientes:</w:t>
      </w:r>
    </w:p>
    <w:p w:rsidR="006407E7" w:rsidRPr="00F505FD" w:rsidRDefault="00F65335">
      <w:pPr>
        <w:spacing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p>
    <w:p w:rsidR="006407E7" w:rsidRPr="00F505FD" w:rsidRDefault="00F65335">
      <w:pPr>
        <w:spacing w:after="240" w:line="276" w:lineRule="auto"/>
        <w:ind w:left="567" w:right="900"/>
        <w:jc w:val="both"/>
        <w:rPr>
          <w:rFonts w:ascii="Palatino Linotype" w:eastAsia="Palatino Linotype" w:hAnsi="Palatino Linotype" w:cs="Palatino Linotype"/>
          <w:b/>
          <w:i/>
          <w:sz w:val="22"/>
          <w:szCs w:val="22"/>
        </w:rPr>
      </w:pPr>
      <w:r w:rsidRPr="00F505FD">
        <w:rPr>
          <w:rFonts w:ascii="Palatino Linotype" w:eastAsia="Palatino Linotype" w:hAnsi="Palatino Linotype" w:cs="Palatino Linotype"/>
          <w:b/>
          <w:i/>
          <w:sz w:val="22"/>
          <w:szCs w:val="22"/>
        </w:rPr>
        <w:t>Artículo 147 E.-</w:t>
      </w:r>
      <w:r w:rsidRPr="00F505FD">
        <w:rPr>
          <w:rFonts w:ascii="Palatino Linotype" w:eastAsia="Palatino Linotype" w:hAnsi="Palatino Linotype" w:cs="Palatino Linotype"/>
          <w:i/>
          <w:sz w:val="22"/>
          <w:szCs w:val="22"/>
        </w:rPr>
        <w:t xml:space="preserve"> </w:t>
      </w:r>
      <w:r w:rsidRPr="00F505FD">
        <w:rPr>
          <w:rFonts w:ascii="Palatino Linotype" w:eastAsia="Palatino Linotype" w:hAnsi="Palatino Linotype" w:cs="Palatino Linotype"/>
          <w:b/>
          <w:i/>
          <w:sz w:val="22"/>
          <w:szCs w:val="22"/>
        </w:rPr>
        <w:t xml:space="preserve">La Secretaría del ayuntamiento recibirá las solicitudes y documentación de los aspirantes, acusándolo de recibido y con el folio respectivo y lo hará del conocimiento del ayuntamiento en la sesión de cabildo ordinaria siguiente, a fin de acordar su remisión a la Comisión Municipal de Derechos Humanos, para la declaratoria de terna, en no más </w:t>
      </w:r>
      <w:r w:rsidRPr="00F505FD">
        <w:rPr>
          <w:rFonts w:ascii="Palatino Linotype" w:eastAsia="Palatino Linotype" w:hAnsi="Palatino Linotype" w:cs="Palatino Linotype"/>
          <w:b/>
          <w:i/>
          <w:sz w:val="22"/>
          <w:szCs w:val="22"/>
        </w:rPr>
        <w:lastRenderedPageBreak/>
        <w:t xml:space="preserve">de cinco días hábiles, acompañando copia certificada del punto de acuerdo respectivo. </w:t>
      </w:r>
    </w:p>
    <w:p w:rsidR="006407E7" w:rsidRPr="00F505FD" w:rsidRDefault="00F65335">
      <w:pPr>
        <w:spacing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Artículo 147 F.- Una vez recibida la documentación de los aspirantes en la Comisión Municipal de Derechos Humanos, previo estudio y consulta con la sociedad civil organizada, organismos públicos y privados, se emitirá la declaratoria de terna, en un término no mayor a diez días hábiles. </w:t>
      </w:r>
    </w:p>
    <w:p w:rsidR="006407E7" w:rsidRPr="00F505FD" w:rsidRDefault="00F65335">
      <w:pPr>
        <w:spacing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Los puntos no previstos en la convocatoria respectiva serán resueltos por el Ayuntamiento.</w:t>
      </w:r>
    </w:p>
    <w:p w:rsidR="006407E7" w:rsidRPr="00F505FD" w:rsidRDefault="00F65335">
      <w:pPr>
        <w:spacing w:after="240" w:line="276" w:lineRule="auto"/>
        <w:ind w:left="567" w:right="900"/>
        <w:jc w:val="both"/>
        <w:rPr>
          <w:rFonts w:ascii="Palatino Linotype" w:eastAsia="Palatino Linotype" w:hAnsi="Palatino Linotype" w:cs="Palatino Linotype"/>
          <w:b/>
          <w:i/>
          <w:sz w:val="22"/>
          <w:szCs w:val="22"/>
        </w:rPr>
      </w:pPr>
      <w:r w:rsidRPr="00F505FD">
        <w:rPr>
          <w:rFonts w:ascii="Palatino Linotype" w:eastAsia="Palatino Linotype" w:hAnsi="Palatino Linotype" w:cs="Palatino Linotype"/>
          <w:i/>
          <w:sz w:val="22"/>
          <w:szCs w:val="22"/>
        </w:rPr>
        <w:t xml:space="preserve">Artículo 147 G.- </w:t>
      </w:r>
      <w:r w:rsidRPr="00F505FD">
        <w:rPr>
          <w:rFonts w:ascii="Palatino Linotype" w:eastAsia="Palatino Linotype" w:hAnsi="Palatino Linotype" w:cs="Palatino Linotype"/>
          <w:b/>
          <w:i/>
          <w:sz w:val="22"/>
          <w:szCs w:val="22"/>
        </w:rPr>
        <w:t xml:space="preserve">La Comisión Municipal de Derechos Humanos remitirá al cabildo la declaratoria de terna correspondiente, para que la comunique a los aspirantes propuestos, para que en la siguiente sesión ordinaria, expongan su propuesta de plan de trabajo. Será el cabildo quien designe al Defensor Municipal de Derechos Humanos. </w:t>
      </w:r>
    </w:p>
    <w:p w:rsidR="006407E7" w:rsidRPr="00F505FD" w:rsidRDefault="00F65335">
      <w:pPr>
        <w:spacing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Artículo 147 H.- </w:t>
      </w:r>
      <w:r w:rsidRPr="00F505FD">
        <w:rPr>
          <w:rFonts w:ascii="Palatino Linotype" w:eastAsia="Palatino Linotype" w:hAnsi="Palatino Linotype" w:cs="Palatino Linotype"/>
          <w:b/>
          <w:i/>
          <w:sz w:val="22"/>
          <w:szCs w:val="22"/>
        </w:rPr>
        <w:t>La toma de protesta del Defensor Municipal de Derechos Humanos, se realizará en sesión de cabildo, en la que estará presente la o el Presidente de la Comisión de Derechos Humanos del Estado de México o quien lo represente.</w:t>
      </w:r>
      <w:r w:rsidRPr="00F505FD">
        <w:rPr>
          <w:rFonts w:ascii="Palatino Linotype" w:eastAsia="Palatino Linotype" w:hAnsi="Palatino Linotype" w:cs="Palatino Linotype"/>
          <w:i/>
          <w:sz w:val="22"/>
          <w:szCs w:val="22"/>
        </w:rPr>
        <w:t xml:space="preserve"> </w:t>
      </w:r>
    </w:p>
    <w:p w:rsidR="006407E7" w:rsidRPr="00F505FD" w:rsidRDefault="00F65335">
      <w:pPr>
        <w:spacing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u w:val="single"/>
        </w:rPr>
        <w:t>La Secretaría del ayuntamiento, dará a conocer a los habitantes el nombramiento respectivo que se publicará en el órgano oficial de difusión del municipio</w:t>
      </w:r>
      <w:r w:rsidRPr="00F505FD">
        <w:rPr>
          <w:rFonts w:ascii="Palatino Linotype" w:eastAsia="Palatino Linotype" w:hAnsi="Palatino Linotype" w:cs="Palatino Linotype"/>
          <w:i/>
          <w:sz w:val="22"/>
          <w:szCs w:val="22"/>
        </w:rPr>
        <w:t>, además de enviar a la Comisión de Derechos Humanos del Estado de México copia certificada en documento físico o electrónico del acta de la sesión de cabildo correspondiente al nombramiento. Se contará como copia certificada en documento electrónico, para efectos del párrafo anterior, aquel instrumento en el que conste la firma electrónica avanzada o el sello electrónico del Secretario del ayuntamiento.” (Sic) (Énfasis añadido)</w:t>
      </w:r>
    </w:p>
    <w:p w:rsidR="006407E7" w:rsidRPr="00F505FD" w:rsidRDefault="00F65335">
      <w:pPr>
        <w:spacing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De tal suerte que como se visualiza en la cita insertada previamente, existe fuente obligacional para que la Secretaría del Ayuntamiento cuente con el nombramiento del titular de la Defensoría Municipal de los Derechos Humanos, pues es el área </w:t>
      </w:r>
      <w:r w:rsidRPr="00F505FD">
        <w:rPr>
          <w:rFonts w:ascii="Palatino Linotype" w:eastAsia="Palatino Linotype" w:hAnsi="Palatino Linotype" w:cs="Palatino Linotype"/>
        </w:rPr>
        <w:lastRenderedPageBreak/>
        <w:t xml:space="preserve">responsable de dar a conocer a los habitantes en el órgano oficial de difusión del municipio, por lo tanto, se concluye que en efecto, se debió turnar la solicitud a esta unidad para que se remitiera el documento solicitado por el particular. </w:t>
      </w:r>
    </w:p>
    <w:p w:rsidR="006407E7" w:rsidRPr="00F505FD" w:rsidRDefault="00F6533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 xml:space="preserve">Es por todo lo anteriormente expuesto que se estima procedente </w:t>
      </w:r>
      <w:r w:rsidRPr="00F505FD">
        <w:rPr>
          <w:rFonts w:ascii="Palatino Linotype" w:eastAsia="Palatino Linotype" w:hAnsi="Palatino Linotype" w:cs="Palatino Linotype"/>
          <w:b/>
        </w:rPr>
        <w:t>REVOCAR </w:t>
      </w:r>
      <w:r w:rsidRPr="00F505FD">
        <w:rPr>
          <w:rFonts w:ascii="Palatino Linotype" w:eastAsia="Palatino Linotype" w:hAnsi="Palatino Linotype" w:cs="Palatino Linotype"/>
        </w:rPr>
        <w:t xml:space="preserve">la respuesta del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de conformidad con lo establecido en el artículo 186 fracción III de la Ley de Transparencia y Acceso a la Información Pública del Estado de México y Municipios, a fin de que se ponga a disposición del particular el nombramiento del titular de la Defensoría Municipal de Derechos Humanos, vigente al once de octubre del dos mil veintidós, en versión pública de ser procedente, esto de conformidad con el Considerando siguiente.</w:t>
      </w:r>
    </w:p>
    <w:p w:rsidR="006407E7" w:rsidRPr="00F505FD" w:rsidRDefault="00F65335">
      <w:pPr>
        <w:spacing w:before="240" w:after="240" w:line="360" w:lineRule="auto"/>
        <w:ind w:right="49"/>
        <w:jc w:val="both"/>
        <w:rPr>
          <w:rFonts w:ascii="Palatino Linotype" w:eastAsia="Palatino Linotype" w:hAnsi="Palatino Linotype" w:cs="Palatino Linotype"/>
        </w:rPr>
      </w:pPr>
      <w:r w:rsidRPr="00F505FD">
        <w:rPr>
          <w:rFonts w:ascii="Palatino Linotype" w:eastAsia="Palatino Linotype" w:hAnsi="Palatino Linotype" w:cs="Palatino Linotype"/>
          <w:b/>
        </w:rPr>
        <w:t xml:space="preserve">Quinto. Versión Pública. </w:t>
      </w:r>
      <w:r w:rsidRPr="00F505FD">
        <w:rPr>
          <w:rFonts w:ascii="Palatino Linotype" w:eastAsia="Palatino Linotype" w:hAnsi="Palatino Linotype" w:cs="Palatino Linotype"/>
        </w:rPr>
        <w:t>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6407E7" w:rsidRPr="00F505FD" w:rsidRDefault="00F65335">
      <w:pPr>
        <w:spacing w:before="240" w:after="240" w:line="360" w:lineRule="auto"/>
        <w:ind w:right="50"/>
        <w:jc w:val="both"/>
        <w:rPr>
          <w:rFonts w:ascii="Palatino Linotype" w:eastAsia="Palatino Linotype" w:hAnsi="Palatino Linotype" w:cs="Palatino Linotype"/>
        </w:rPr>
      </w:pPr>
      <w:r w:rsidRPr="00F505FD">
        <w:rPr>
          <w:rFonts w:ascii="Palatino Linotype" w:eastAsia="Palatino Linotype" w:hAnsi="Palatino Linotype" w:cs="Palatino Linotype"/>
        </w:rPr>
        <w:lastRenderedPageBreak/>
        <w:t xml:space="preserve">Lo anterior, de conformidad a lo que señalan los artículos 3 fracciones IX, XX, XXI y XLV, 91, 132 fracciones II y III, y 143 </w:t>
      </w:r>
      <w:proofErr w:type="gramStart"/>
      <w:r w:rsidRPr="00F505FD">
        <w:rPr>
          <w:rFonts w:ascii="Palatino Linotype" w:eastAsia="Palatino Linotype" w:hAnsi="Palatino Linotype" w:cs="Palatino Linotype"/>
        </w:rPr>
        <w:t>fracción</w:t>
      </w:r>
      <w:proofErr w:type="gramEnd"/>
      <w:r w:rsidRPr="00F505FD">
        <w:rPr>
          <w:rFonts w:ascii="Palatino Linotype" w:eastAsia="Palatino Linotype" w:hAnsi="Palatino Linotype" w:cs="Palatino Linotype"/>
        </w:rPr>
        <w:t xml:space="preserve"> I de la Ley de Transparencia y Acceso a la Información Pública del Estado de México y Municipios que establecen:</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Artículo 3</w:t>
      </w:r>
      <w:r w:rsidRPr="00F505FD">
        <w:rPr>
          <w:rFonts w:ascii="Palatino Linotype" w:eastAsia="Palatino Linotype" w:hAnsi="Palatino Linotype" w:cs="Palatino Linotype"/>
          <w:i/>
          <w:sz w:val="22"/>
          <w:szCs w:val="22"/>
        </w:rPr>
        <w:t>. Para los efectos de la presente Ley se entenderá por:</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IX. Datos personales:</w:t>
      </w:r>
      <w:r w:rsidRPr="00F505F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XX. Información clasificada</w:t>
      </w:r>
      <w:r w:rsidRPr="00F505FD">
        <w:rPr>
          <w:rFonts w:ascii="Palatino Linotype" w:eastAsia="Palatino Linotype" w:hAnsi="Palatino Linotype" w:cs="Palatino Linotype"/>
          <w:i/>
          <w:sz w:val="22"/>
          <w:szCs w:val="22"/>
        </w:rPr>
        <w:t>: Aquella considerada por la presente Ley como reservada o confidencial;</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XXI. Información confidencial:</w:t>
      </w:r>
      <w:r w:rsidRPr="00F505FD">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XLV. Versión pública:</w:t>
      </w:r>
      <w:r w:rsidRPr="00F505F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 xml:space="preserve">Artículo 91. </w:t>
      </w:r>
      <w:r w:rsidRPr="00F505F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 xml:space="preserve">Artículo 132. </w:t>
      </w:r>
      <w:r w:rsidRPr="00F505FD">
        <w:rPr>
          <w:rFonts w:ascii="Palatino Linotype" w:eastAsia="Palatino Linotype" w:hAnsi="Palatino Linotype" w:cs="Palatino Linotype"/>
          <w:i/>
          <w:sz w:val="22"/>
          <w:szCs w:val="22"/>
        </w:rPr>
        <w:t>La clasificación de la información se llevará a cabo en el momento en que:</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w:t>
      </w:r>
      <w:r w:rsidRPr="00F505FD">
        <w:rPr>
          <w:rFonts w:ascii="Palatino Linotype" w:eastAsia="Palatino Linotype" w:hAnsi="Palatino Linotype" w:cs="Palatino Linotype"/>
          <w:i/>
          <w:sz w:val="22"/>
          <w:szCs w:val="22"/>
        </w:rPr>
        <w:t>. Se reciba una solicitud de acceso a la información;</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II</w:t>
      </w:r>
      <w:r w:rsidRPr="00F505FD">
        <w:rPr>
          <w:rFonts w:ascii="Palatino Linotype" w:eastAsia="Palatino Linotype" w:hAnsi="Palatino Linotype" w:cs="Palatino Linotype"/>
          <w:i/>
          <w:sz w:val="22"/>
          <w:szCs w:val="22"/>
        </w:rPr>
        <w:t>. Se determine mediante resolución de autoridad competente; o</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III</w:t>
      </w:r>
      <w:r w:rsidRPr="00F505FD">
        <w:rPr>
          <w:rFonts w:ascii="Palatino Linotype" w:eastAsia="Palatino Linotype" w:hAnsi="Palatino Linotype" w:cs="Palatino Linotype"/>
          <w:i/>
          <w:sz w:val="22"/>
          <w:szCs w:val="22"/>
        </w:rPr>
        <w:t>. Se generen versiones públicas para dar cumplimiento a las obligaciones de transparencia previstas en esta Ley.</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Artículo 143</w:t>
      </w:r>
      <w:r w:rsidRPr="00F505F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w:t>
      </w:r>
      <w:r w:rsidRPr="00F505FD">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F505FD">
        <w:rPr>
          <w:rFonts w:ascii="Palatino Linotype" w:eastAsia="Palatino Linotype" w:hAnsi="Palatino Linotype" w:cs="Palatino Linotype"/>
          <w:i/>
          <w:sz w:val="22"/>
          <w:szCs w:val="22"/>
        </w:rPr>
        <w:t>jurídico</w:t>
      </w:r>
      <w:proofErr w:type="gramEnd"/>
      <w:r w:rsidRPr="00F505FD">
        <w:rPr>
          <w:rFonts w:ascii="Palatino Linotype" w:eastAsia="Palatino Linotype" w:hAnsi="Palatino Linotype" w:cs="Palatino Linotype"/>
          <w:i/>
          <w:sz w:val="22"/>
          <w:szCs w:val="22"/>
        </w:rPr>
        <w:t xml:space="preserve"> colectiva identificada o identificable;</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lastRenderedPageBreak/>
        <w:t>II.</w:t>
      </w:r>
      <w:r w:rsidRPr="00F505F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III</w:t>
      </w:r>
      <w:r w:rsidRPr="00F505FD">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w:t>
      </w:r>
      <w:r w:rsidRPr="00F505FD">
        <w:rPr>
          <w:rFonts w:ascii="Palatino Linotype" w:eastAsia="Palatino Linotype" w:hAnsi="Palatino Linotype" w:cs="Palatino Linotype"/>
          <w:b/>
          <w:i/>
          <w:sz w:val="22"/>
          <w:szCs w:val="22"/>
        </w:rPr>
        <w:t>Quincuagésimo sexto</w:t>
      </w:r>
      <w:r w:rsidRPr="00F505FD">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Quincuagésimo séptimo</w:t>
      </w:r>
      <w:r w:rsidRPr="00F505F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lastRenderedPageBreak/>
        <w:t>I</w:t>
      </w:r>
      <w:r w:rsidRPr="00F505F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II.</w:t>
      </w:r>
      <w:r w:rsidRPr="00F505FD">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III.</w:t>
      </w:r>
      <w:r w:rsidRPr="00F505F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6407E7" w:rsidRPr="00F505FD" w:rsidRDefault="00F65335">
      <w:pPr>
        <w:spacing w:before="120" w:after="120"/>
        <w:ind w:left="567" w:right="902"/>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b/>
          <w:i/>
          <w:sz w:val="22"/>
          <w:szCs w:val="22"/>
        </w:rPr>
        <w:t>Quincuagésimo octavo</w:t>
      </w:r>
      <w:r w:rsidRPr="00F505FD">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6407E7" w:rsidRPr="00F505FD" w:rsidRDefault="00F65335">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F505F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3"/>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F505FD" w:rsidRPr="00F505FD">
        <w:tc>
          <w:tcPr>
            <w:tcW w:w="4253" w:type="dxa"/>
            <w:gridSpan w:val="2"/>
            <w:tcBorders>
              <w:top w:val="nil"/>
              <w:left w:val="nil"/>
              <w:right w:val="nil"/>
            </w:tcBorders>
          </w:tcPr>
          <w:p w:rsidR="006407E7" w:rsidRPr="00F505FD" w:rsidRDefault="00F65335">
            <w:pPr>
              <w:jc w:val="center"/>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6407E7" w:rsidRPr="00F505FD" w:rsidRDefault="00F65335">
            <w:pPr>
              <w:jc w:val="center"/>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Total</w:t>
            </w:r>
          </w:p>
        </w:tc>
      </w:tr>
      <w:tr w:rsidR="00F505FD" w:rsidRPr="00F505FD">
        <w:tc>
          <w:tcPr>
            <w:tcW w:w="1134" w:type="dxa"/>
          </w:tcPr>
          <w:p w:rsidR="006407E7" w:rsidRPr="00F505FD" w:rsidRDefault="00F65335">
            <w:pPr>
              <w:jc w:val="center"/>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Concepto</w:t>
            </w:r>
          </w:p>
        </w:tc>
        <w:tc>
          <w:tcPr>
            <w:tcW w:w="3119" w:type="dxa"/>
          </w:tcPr>
          <w:p w:rsidR="006407E7" w:rsidRPr="00F505FD" w:rsidRDefault="00F65335">
            <w:pPr>
              <w:jc w:val="center"/>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Dónde</w:t>
            </w:r>
          </w:p>
        </w:tc>
        <w:tc>
          <w:tcPr>
            <w:tcW w:w="1129" w:type="dxa"/>
          </w:tcPr>
          <w:p w:rsidR="006407E7" w:rsidRPr="00F505FD" w:rsidRDefault="00F65335">
            <w:pPr>
              <w:jc w:val="center"/>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Concepto</w:t>
            </w:r>
          </w:p>
        </w:tc>
        <w:tc>
          <w:tcPr>
            <w:tcW w:w="3446" w:type="dxa"/>
          </w:tcPr>
          <w:p w:rsidR="006407E7" w:rsidRPr="00F505FD" w:rsidRDefault="00F65335">
            <w:pPr>
              <w:jc w:val="center"/>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Dónde</w:t>
            </w:r>
          </w:p>
        </w:tc>
      </w:tr>
      <w:tr w:rsidR="00F505FD" w:rsidRPr="00F505FD">
        <w:tc>
          <w:tcPr>
            <w:tcW w:w="8828" w:type="dxa"/>
            <w:gridSpan w:val="4"/>
          </w:tcPr>
          <w:p w:rsidR="006407E7" w:rsidRPr="00F505FD" w:rsidRDefault="00F65335">
            <w:pPr>
              <w:jc w:val="center"/>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Sello oficial o logotipo del sujeto obligado</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lastRenderedPageBreak/>
              <w:t>Fecha de clasificación</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Fecha de clasificación</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Área</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señalará el nombre del área del cual es titular quien clasifica.</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Área</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señalará el nombre del área de la cual es el titular quien clasifica.</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Información reservada</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F505FD">
              <w:rPr>
                <w:rFonts w:ascii="Palatino Linotype" w:eastAsia="Palatino Linotype" w:hAnsi="Palatino Linotype" w:cs="Palatino Linotype"/>
                <w:sz w:val="12"/>
                <w:szCs w:val="12"/>
              </w:rPr>
              <w:t>anotarán</w:t>
            </w:r>
            <w:proofErr w:type="gramEnd"/>
            <w:r w:rsidRPr="00F505FD">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Reservado</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Leyenda de información RESERVADA.</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Fundamento legal</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Periodo de reserva</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Ampliación del periodo de reserva</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Fundamento legal</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Confidencial</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Ampliación del periodo de reserva</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Fundamento legal</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Confidencial</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Leyenda de información CONFIDENCIAL.</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Rúbrica del titular del área</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Rúbrica autógrafa de quien clasifica.</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Fundamento legal</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Fecha de desclasificación</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anotará la fecha en que se desclasifica el documento.</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Rúbrica del titular del área</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Rúbrica autógrafa de quien clasifica.</w:t>
            </w:r>
          </w:p>
        </w:tc>
      </w:tr>
      <w:tr w:rsidR="00F505FD" w:rsidRPr="00F505FD">
        <w:tc>
          <w:tcPr>
            <w:tcW w:w="1134"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Rúbrica y cargo del servidor público</w:t>
            </w:r>
          </w:p>
        </w:tc>
        <w:tc>
          <w:tcPr>
            <w:tcW w:w="3119"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Rúbrica autógrafa de quien desclasifica.</w:t>
            </w: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Fecha de desclasificación</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Se anotará la fecha en que se desclasifica.</w:t>
            </w:r>
          </w:p>
        </w:tc>
      </w:tr>
      <w:tr w:rsidR="00F505FD" w:rsidRPr="00F505FD">
        <w:tc>
          <w:tcPr>
            <w:tcW w:w="1134" w:type="dxa"/>
          </w:tcPr>
          <w:p w:rsidR="006407E7" w:rsidRPr="00F505FD" w:rsidRDefault="006407E7">
            <w:pPr>
              <w:jc w:val="both"/>
              <w:rPr>
                <w:rFonts w:ascii="Palatino Linotype" w:eastAsia="Palatino Linotype" w:hAnsi="Palatino Linotype" w:cs="Palatino Linotype"/>
                <w:b/>
                <w:sz w:val="12"/>
                <w:szCs w:val="12"/>
              </w:rPr>
            </w:pPr>
          </w:p>
        </w:tc>
        <w:tc>
          <w:tcPr>
            <w:tcW w:w="3119" w:type="dxa"/>
          </w:tcPr>
          <w:p w:rsidR="006407E7" w:rsidRPr="00F505FD" w:rsidRDefault="006407E7">
            <w:pPr>
              <w:jc w:val="both"/>
              <w:rPr>
                <w:rFonts w:ascii="Palatino Linotype" w:eastAsia="Palatino Linotype" w:hAnsi="Palatino Linotype" w:cs="Palatino Linotype"/>
                <w:sz w:val="12"/>
                <w:szCs w:val="12"/>
              </w:rPr>
            </w:pP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Partes o secciones reservadas o confidenciales</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 xml:space="preserve">En caso que una vez desclasificado el expediente, </w:t>
            </w:r>
            <w:proofErr w:type="spellStart"/>
            <w:r w:rsidRPr="00F505FD">
              <w:rPr>
                <w:rFonts w:ascii="Palatino Linotype" w:eastAsia="Palatino Linotype" w:hAnsi="Palatino Linotype" w:cs="Palatino Linotype"/>
                <w:sz w:val="12"/>
                <w:szCs w:val="12"/>
              </w:rPr>
              <w:t>subsistanpartes</w:t>
            </w:r>
            <w:proofErr w:type="spellEnd"/>
            <w:r w:rsidRPr="00F505FD">
              <w:rPr>
                <w:rFonts w:ascii="Palatino Linotype" w:eastAsia="Palatino Linotype" w:hAnsi="Palatino Linotype" w:cs="Palatino Linotype"/>
                <w:sz w:val="12"/>
                <w:szCs w:val="12"/>
              </w:rPr>
              <w:t xml:space="preserve"> o secciones del mismo reservadas o confidenciales, se señalará este hecho.</w:t>
            </w:r>
          </w:p>
        </w:tc>
      </w:tr>
      <w:tr w:rsidR="00F505FD" w:rsidRPr="00F505FD">
        <w:tc>
          <w:tcPr>
            <w:tcW w:w="1134" w:type="dxa"/>
          </w:tcPr>
          <w:p w:rsidR="006407E7" w:rsidRPr="00F505FD" w:rsidRDefault="006407E7">
            <w:pPr>
              <w:jc w:val="both"/>
              <w:rPr>
                <w:rFonts w:ascii="Palatino Linotype" w:eastAsia="Palatino Linotype" w:hAnsi="Palatino Linotype" w:cs="Palatino Linotype"/>
                <w:b/>
                <w:sz w:val="12"/>
                <w:szCs w:val="12"/>
              </w:rPr>
            </w:pPr>
          </w:p>
        </w:tc>
        <w:tc>
          <w:tcPr>
            <w:tcW w:w="3119" w:type="dxa"/>
          </w:tcPr>
          <w:p w:rsidR="006407E7" w:rsidRPr="00F505FD" w:rsidRDefault="006407E7">
            <w:pPr>
              <w:jc w:val="both"/>
              <w:rPr>
                <w:rFonts w:ascii="Palatino Linotype" w:eastAsia="Palatino Linotype" w:hAnsi="Palatino Linotype" w:cs="Palatino Linotype"/>
                <w:sz w:val="12"/>
                <w:szCs w:val="12"/>
              </w:rPr>
            </w:pPr>
          </w:p>
        </w:tc>
        <w:tc>
          <w:tcPr>
            <w:tcW w:w="1129" w:type="dxa"/>
          </w:tcPr>
          <w:p w:rsidR="006407E7" w:rsidRPr="00F505FD" w:rsidRDefault="00F65335">
            <w:pPr>
              <w:jc w:val="both"/>
              <w:rPr>
                <w:rFonts w:ascii="Palatino Linotype" w:eastAsia="Palatino Linotype" w:hAnsi="Palatino Linotype" w:cs="Palatino Linotype"/>
                <w:b/>
                <w:sz w:val="12"/>
                <w:szCs w:val="12"/>
              </w:rPr>
            </w:pPr>
            <w:r w:rsidRPr="00F505FD">
              <w:rPr>
                <w:rFonts w:ascii="Palatino Linotype" w:eastAsia="Palatino Linotype" w:hAnsi="Palatino Linotype" w:cs="Palatino Linotype"/>
                <w:b/>
                <w:sz w:val="12"/>
                <w:szCs w:val="12"/>
              </w:rPr>
              <w:t>Rúbrica y cargo del servidor público</w:t>
            </w:r>
          </w:p>
        </w:tc>
        <w:tc>
          <w:tcPr>
            <w:tcW w:w="3446" w:type="dxa"/>
          </w:tcPr>
          <w:p w:rsidR="006407E7" w:rsidRPr="00F505FD" w:rsidRDefault="00F65335">
            <w:pPr>
              <w:jc w:val="both"/>
              <w:rPr>
                <w:rFonts w:ascii="Palatino Linotype" w:eastAsia="Palatino Linotype" w:hAnsi="Palatino Linotype" w:cs="Palatino Linotype"/>
                <w:sz w:val="12"/>
                <w:szCs w:val="12"/>
              </w:rPr>
            </w:pPr>
            <w:r w:rsidRPr="00F505FD">
              <w:rPr>
                <w:rFonts w:ascii="Palatino Linotype" w:eastAsia="Palatino Linotype" w:hAnsi="Palatino Linotype" w:cs="Palatino Linotype"/>
                <w:sz w:val="12"/>
                <w:szCs w:val="12"/>
              </w:rPr>
              <w:t>Rúbrica autógrafa de quien desclasifica.</w:t>
            </w:r>
          </w:p>
        </w:tc>
      </w:tr>
    </w:tbl>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6407E7" w:rsidRPr="00F505FD" w:rsidRDefault="00F65335">
      <w:pPr>
        <w:numPr>
          <w:ilvl w:val="0"/>
          <w:numId w:val="3"/>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F505FD">
        <w:rPr>
          <w:rFonts w:ascii="Palatino Linotype" w:eastAsia="Palatino Linotype" w:hAnsi="Palatino Linotype" w:cs="Palatino Linotype"/>
          <w:b/>
        </w:rPr>
        <w:t>R E S U E L V E:</w:t>
      </w:r>
    </w:p>
    <w:p w:rsidR="006407E7" w:rsidRPr="00F505FD" w:rsidRDefault="00F65335">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F505FD">
        <w:rPr>
          <w:rFonts w:ascii="Palatino Linotype" w:eastAsia="Palatino Linotype" w:hAnsi="Palatino Linotype" w:cs="Palatino Linotype"/>
          <w:b/>
        </w:rPr>
        <w:t xml:space="preserve">Primero. </w:t>
      </w:r>
      <w:r w:rsidRPr="00F505FD">
        <w:rPr>
          <w:rFonts w:ascii="Palatino Linotype" w:eastAsia="Palatino Linotype" w:hAnsi="Palatino Linotype" w:cs="Palatino Linotype"/>
        </w:rPr>
        <w:t xml:space="preserve">Resultan </w:t>
      </w:r>
      <w:r w:rsidRPr="00F505FD">
        <w:rPr>
          <w:rFonts w:ascii="Palatino Linotype" w:eastAsia="Palatino Linotype" w:hAnsi="Palatino Linotype" w:cs="Palatino Linotype"/>
          <w:b/>
        </w:rPr>
        <w:t>fundadas</w:t>
      </w:r>
      <w:r w:rsidRPr="00F505FD">
        <w:rPr>
          <w:rFonts w:ascii="Palatino Linotype" w:eastAsia="Palatino Linotype" w:hAnsi="Palatino Linotype" w:cs="Palatino Linotype"/>
        </w:rPr>
        <w:t xml:space="preserve"> las razones o motivos de inconformidad hechos valer por </w:t>
      </w:r>
      <w:r w:rsidRPr="00F505FD">
        <w:rPr>
          <w:rFonts w:ascii="Palatino Linotype" w:eastAsia="Palatino Linotype" w:hAnsi="Palatino Linotype" w:cs="Palatino Linotype"/>
          <w:b/>
        </w:rPr>
        <w:t>la parte Recurrente</w:t>
      </w:r>
      <w:r w:rsidRPr="00F505FD">
        <w:rPr>
          <w:rFonts w:ascii="Palatino Linotype" w:eastAsia="Palatino Linotype" w:hAnsi="Palatino Linotype" w:cs="Palatino Linotype"/>
        </w:rPr>
        <w:t xml:space="preserve"> en el recurso de revisión </w:t>
      </w:r>
      <w:r w:rsidRPr="00F505FD">
        <w:rPr>
          <w:rFonts w:ascii="Palatino Linotype" w:eastAsia="Palatino Linotype" w:hAnsi="Palatino Linotype" w:cs="Palatino Linotype"/>
          <w:b/>
        </w:rPr>
        <w:t>16079/INFOEM/IP/RR/2022</w:t>
      </w:r>
      <w:r w:rsidRPr="00F505FD">
        <w:rPr>
          <w:rFonts w:ascii="Palatino Linotype" w:eastAsia="Palatino Linotype" w:hAnsi="Palatino Linotype" w:cs="Palatino Linotype"/>
        </w:rPr>
        <w:t xml:space="preserve">; por lo </w:t>
      </w:r>
      <w:r w:rsidRPr="00F505FD">
        <w:rPr>
          <w:rFonts w:ascii="Palatino Linotype" w:eastAsia="Palatino Linotype" w:hAnsi="Palatino Linotype" w:cs="Palatino Linotype"/>
        </w:rPr>
        <w:lastRenderedPageBreak/>
        <w:t xml:space="preserve">que, en términos del </w:t>
      </w:r>
      <w:r w:rsidRPr="00F505FD">
        <w:rPr>
          <w:rFonts w:ascii="Palatino Linotype" w:eastAsia="Palatino Linotype" w:hAnsi="Palatino Linotype" w:cs="Palatino Linotype"/>
          <w:b/>
        </w:rPr>
        <w:t>Considerando</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 xml:space="preserve">Cuarto </w:t>
      </w:r>
      <w:r w:rsidRPr="00F505FD">
        <w:rPr>
          <w:rFonts w:ascii="Palatino Linotype" w:eastAsia="Palatino Linotype" w:hAnsi="Palatino Linotype" w:cs="Palatino Linotype"/>
        </w:rPr>
        <w:t xml:space="preserve">de esta resolución, se </w:t>
      </w:r>
      <w:r w:rsidRPr="00F505FD">
        <w:rPr>
          <w:rFonts w:ascii="Palatino Linotype" w:eastAsia="Palatino Linotype" w:hAnsi="Palatino Linotype" w:cs="Palatino Linotype"/>
          <w:b/>
        </w:rPr>
        <w:t xml:space="preserve">REVOCA </w:t>
      </w:r>
      <w:r w:rsidRPr="00F505FD">
        <w:rPr>
          <w:rFonts w:ascii="Palatino Linotype" w:eastAsia="Palatino Linotype" w:hAnsi="Palatino Linotype" w:cs="Palatino Linotype"/>
        </w:rPr>
        <w:t xml:space="preserve">la respuesta emitida por el </w:t>
      </w:r>
      <w:r w:rsidRPr="00F505FD">
        <w:rPr>
          <w:rFonts w:ascii="Palatino Linotype" w:eastAsia="Palatino Linotype" w:hAnsi="Palatino Linotype" w:cs="Palatino Linotype"/>
          <w:b/>
        </w:rPr>
        <w:t xml:space="preserve">Sujeto Obligado. </w:t>
      </w:r>
    </w:p>
    <w:p w:rsidR="006407E7" w:rsidRPr="00F505FD" w:rsidRDefault="00F65335">
      <w:pPr>
        <w:spacing w:before="240" w:after="240" w:line="360" w:lineRule="auto"/>
        <w:ind w:right="49"/>
        <w:jc w:val="both"/>
        <w:rPr>
          <w:rFonts w:ascii="Palatino Linotype" w:eastAsia="Palatino Linotype" w:hAnsi="Palatino Linotype" w:cs="Palatino Linotype"/>
          <w:b/>
        </w:rPr>
      </w:pPr>
      <w:bookmarkStart w:id="5" w:name="_heading=h.1fob9te" w:colFirst="0" w:colLast="0"/>
      <w:bookmarkEnd w:id="5"/>
      <w:r w:rsidRPr="00F505FD">
        <w:rPr>
          <w:rFonts w:ascii="Palatino Linotype" w:eastAsia="Palatino Linotype" w:hAnsi="Palatino Linotype" w:cs="Palatino Linotype"/>
          <w:b/>
        </w:rPr>
        <w:t xml:space="preserve">Segundo. </w:t>
      </w:r>
      <w:r w:rsidRPr="00F505FD">
        <w:rPr>
          <w:rFonts w:ascii="Palatino Linotype" w:eastAsia="Palatino Linotype" w:hAnsi="Palatino Linotype" w:cs="Palatino Linotype"/>
        </w:rPr>
        <w:t xml:space="preserve">Se </w:t>
      </w:r>
      <w:r w:rsidRPr="00F505FD">
        <w:rPr>
          <w:rFonts w:ascii="Palatino Linotype" w:eastAsia="Palatino Linotype" w:hAnsi="Palatino Linotype" w:cs="Palatino Linotype"/>
          <w:b/>
        </w:rPr>
        <w:t xml:space="preserve">Ordena </w:t>
      </w:r>
      <w:r w:rsidRPr="00F505FD">
        <w:rPr>
          <w:rFonts w:ascii="Palatino Linotype" w:eastAsia="Palatino Linotype" w:hAnsi="Palatino Linotype" w:cs="Palatino Linotype"/>
        </w:rPr>
        <w:t xml:space="preserve">al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haga entrega a </w:t>
      </w:r>
      <w:r w:rsidRPr="00F505FD">
        <w:rPr>
          <w:rFonts w:ascii="Palatino Linotype" w:eastAsia="Palatino Linotype" w:hAnsi="Palatino Linotype" w:cs="Palatino Linotype"/>
          <w:b/>
        </w:rPr>
        <w:t>la parte</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Recurrente</w:t>
      </w:r>
      <w:r w:rsidRPr="00F505FD">
        <w:rPr>
          <w:rFonts w:ascii="Palatino Linotype" w:eastAsia="Palatino Linotype" w:hAnsi="Palatino Linotype" w:cs="Palatino Linotype"/>
        </w:rPr>
        <w:t xml:space="preserve"> vía SAIMEX</w:t>
      </w:r>
      <w:r w:rsidRPr="00F505FD">
        <w:rPr>
          <w:rFonts w:ascii="Palatino Linotype" w:eastAsia="Palatino Linotype" w:hAnsi="Palatino Linotype" w:cs="Palatino Linotype"/>
          <w:b/>
        </w:rPr>
        <w:t>, en versión pública de ser procedente</w:t>
      </w:r>
      <w:r w:rsidRPr="00F505FD">
        <w:rPr>
          <w:rFonts w:ascii="Palatino Linotype" w:eastAsia="Palatino Linotype" w:hAnsi="Palatino Linotype" w:cs="Palatino Linotype"/>
        </w:rPr>
        <w:t xml:space="preserve">, en términos de los </w:t>
      </w:r>
      <w:r w:rsidRPr="00F505FD">
        <w:rPr>
          <w:rFonts w:ascii="Palatino Linotype" w:eastAsia="Palatino Linotype" w:hAnsi="Palatino Linotype" w:cs="Palatino Linotype"/>
          <w:b/>
        </w:rPr>
        <w:t>Considerandos</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 xml:space="preserve">Cuarto y Quinto de la presente resolución, lo siguiente: </w:t>
      </w:r>
    </w:p>
    <w:p w:rsidR="006407E7" w:rsidRPr="00F505FD" w:rsidRDefault="00F65335">
      <w:pPr>
        <w:numPr>
          <w:ilvl w:val="0"/>
          <w:numId w:val="2"/>
        </w:num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b/>
          <w:i/>
        </w:rPr>
      </w:pPr>
      <w:r w:rsidRPr="00F505FD">
        <w:rPr>
          <w:rFonts w:ascii="Palatino Linotype" w:eastAsia="Palatino Linotype" w:hAnsi="Palatino Linotype" w:cs="Palatino Linotype"/>
          <w:b/>
          <w:i/>
        </w:rPr>
        <w:t xml:space="preserve">El nombramiento del titular de la Defensoría Municipal de Derechos Humanos, en funciones al once de octubre del dos mil veintidós. </w:t>
      </w:r>
    </w:p>
    <w:p w:rsidR="006407E7" w:rsidRPr="00F505FD" w:rsidRDefault="00F65335">
      <w:pPr>
        <w:spacing w:before="240" w:after="240" w:line="276" w:lineRule="auto"/>
        <w:ind w:left="567" w:right="900"/>
        <w:jc w:val="both"/>
        <w:rPr>
          <w:rFonts w:ascii="Palatino Linotype" w:eastAsia="Palatino Linotype" w:hAnsi="Palatino Linotype" w:cs="Palatino Linotype"/>
          <w:i/>
          <w:sz w:val="22"/>
          <w:szCs w:val="22"/>
        </w:rPr>
      </w:pPr>
      <w:r w:rsidRPr="00F505FD">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F505FD">
        <w:rPr>
          <w:rFonts w:ascii="Palatino Linotype" w:eastAsia="Palatino Linotype" w:hAnsi="Palatino Linotype" w:cs="Palatino Linotype"/>
          <w:b/>
          <w:i/>
          <w:sz w:val="22"/>
          <w:szCs w:val="22"/>
        </w:rPr>
        <w:t>la parte</w:t>
      </w:r>
      <w:r w:rsidRPr="00F505FD">
        <w:rPr>
          <w:rFonts w:ascii="Palatino Linotype" w:eastAsia="Palatino Linotype" w:hAnsi="Palatino Linotype" w:cs="Palatino Linotype"/>
          <w:i/>
          <w:sz w:val="22"/>
          <w:szCs w:val="22"/>
        </w:rPr>
        <w:t xml:space="preserve"> </w:t>
      </w:r>
      <w:r w:rsidRPr="00F505FD">
        <w:rPr>
          <w:rFonts w:ascii="Palatino Linotype" w:eastAsia="Palatino Linotype" w:hAnsi="Palatino Linotype" w:cs="Palatino Linotype"/>
          <w:b/>
          <w:i/>
          <w:sz w:val="22"/>
          <w:szCs w:val="22"/>
        </w:rPr>
        <w:t>Recurrente</w:t>
      </w:r>
      <w:r w:rsidRPr="00F505FD">
        <w:rPr>
          <w:rFonts w:ascii="Palatino Linotype" w:eastAsia="Palatino Linotype" w:hAnsi="Palatino Linotype" w:cs="Palatino Linotype"/>
          <w:i/>
          <w:sz w:val="22"/>
          <w:szCs w:val="22"/>
        </w:rPr>
        <w:t>.</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Tercero</w:t>
      </w:r>
      <w:r w:rsidRPr="00F505FD">
        <w:rPr>
          <w:rFonts w:ascii="Palatino Linotype" w:eastAsia="Palatino Linotype" w:hAnsi="Palatino Linotype" w:cs="Palatino Linotype"/>
          <w:b/>
          <w:sz w:val="28"/>
          <w:szCs w:val="28"/>
        </w:rPr>
        <w:t xml:space="preserve">.  </w:t>
      </w:r>
      <w:r w:rsidRPr="00F505FD">
        <w:rPr>
          <w:rFonts w:ascii="Palatino Linotype" w:eastAsia="Palatino Linotype" w:hAnsi="Palatino Linotype" w:cs="Palatino Linotype"/>
          <w:b/>
        </w:rPr>
        <w:t>Notifíquese vía SAIMEX,</w:t>
      </w:r>
      <w:r w:rsidRPr="00F505FD">
        <w:rPr>
          <w:rFonts w:ascii="Palatino Linotype" w:eastAsia="Palatino Linotype" w:hAnsi="Palatino Linotype" w:cs="Palatino Linotype"/>
          <w:b/>
          <w:sz w:val="28"/>
          <w:szCs w:val="28"/>
        </w:rPr>
        <w:t xml:space="preserve"> </w:t>
      </w:r>
      <w:r w:rsidRPr="00F505FD">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t>Cuarto</w:t>
      </w:r>
      <w:r w:rsidRPr="00F505FD">
        <w:rPr>
          <w:rFonts w:ascii="Palatino Linotype" w:eastAsia="Palatino Linotype" w:hAnsi="Palatino Linotype" w:cs="Palatino Linotype"/>
          <w:b/>
          <w:sz w:val="28"/>
          <w:szCs w:val="28"/>
        </w:rPr>
        <w:t xml:space="preserve">. </w:t>
      </w:r>
      <w:r w:rsidRPr="00F505F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505FD">
        <w:rPr>
          <w:rFonts w:ascii="Palatino Linotype" w:eastAsia="Palatino Linotype" w:hAnsi="Palatino Linotype" w:cs="Palatino Linotype"/>
          <w:b/>
        </w:rPr>
        <w:t>Sujeto Obligado</w:t>
      </w:r>
      <w:r w:rsidRPr="00F505FD">
        <w:rPr>
          <w:rFonts w:ascii="Palatino Linotype" w:eastAsia="Palatino Linotype" w:hAnsi="Palatino Linotype" w:cs="Palatino Linotype"/>
        </w:rPr>
        <w:t xml:space="preserve"> de manera fundada y motivada, podrá solicitar una ampliación de plazo para el cumplimiento de la presente resolución.</w:t>
      </w:r>
    </w:p>
    <w:p w:rsidR="006407E7" w:rsidRPr="00F505FD" w:rsidRDefault="00F65335">
      <w:pPr>
        <w:spacing w:before="240" w:after="240" w:line="360" w:lineRule="auto"/>
        <w:jc w:val="both"/>
        <w:rPr>
          <w:rFonts w:ascii="Palatino Linotype" w:eastAsia="Palatino Linotype" w:hAnsi="Palatino Linotype" w:cs="Palatino Linotype"/>
        </w:rPr>
      </w:pPr>
      <w:r w:rsidRPr="00F505FD">
        <w:rPr>
          <w:rFonts w:ascii="Palatino Linotype" w:eastAsia="Palatino Linotype" w:hAnsi="Palatino Linotype" w:cs="Palatino Linotype"/>
          <w:b/>
        </w:rPr>
        <w:lastRenderedPageBreak/>
        <w:t>Quinto</w:t>
      </w:r>
      <w:r w:rsidRPr="00F505FD">
        <w:rPr>
          <w:rFonts w:ascii="Palatino Linotype" w:eastAsia="Palatino Linotype" w:hAnsi="Palatino Linotype" w:cs="Palatino Linotype"/>
          <w:b/>
          <w:sz w:val="28"/>
          <w:szCs w:val="28"/>
        </w:rPr>
        <w:t xml:space="preserve">. </w:t>
      </w:r>
      <w:r w:rsidRPr="00F505FD">
        <w:rPr>
          <w:rFonts w:ascii="Palatino Linotype" w:eastAsia="Palatino Linotype" w:hAnsi="Palatino Linotype" w:cs="Palatino Linotype"/>
          <w:b/>
        </w:rPr>
        <w:t xml:space="preserve">Notifíquese vía SAIMEX, </w:t>
      </w:r>
      <w:r w:rsidRPr="00F505FD">
        <w:rPr>
          <w:rFonts w:ascii="Palatino Linotype" w:eastAsia="Palatino Linotype" w:hAnsi="Palatino Linotype" w:cs="Palatino Linotype"/>
        </w:rPr>
        <w:t xml:space="preserve">a </w:t>
      </w:r>
      <w:r w:rsidRPr="00F505FD">
        <w:rPr>
          <w:rFonts w:ascii="Palatino Linotype" w:eastAsia="Palatino Linotype" w:hAnsi="Palatino Linotype" w:cs="Palatino Linotype"/>
          <w:b/>
        </w:rPr>
        <w:t>la parte</w:t>
      </w:r>
      <w:r w:rsidRPr="00F505FD">
        <w:rPr>
          <w:rFonts w:ascii="Palatino Linotype" w:eastAsia="Palatino Linotype" w:hAnsi="Palatino Linotype" w:cs="Palatino Linotype"/>
        </w:rPr>
        <w:t xml:space="preserve"> </w:t>
      </w:r>
      <w:r w:rsidRPr="00F505FD">
        <w:rPr>
          <w:rFonts w:ascii="Palatino Linotype" w:eastAsia="Palatino Linotype" w:hAnsi="Palatino Linotype" w:cs="Palatino Linotype"/>
          <w:b/>
        </w:rPr>
        <w:t>Recurrente</w:t>
      </w:r>
      <w:r w:rsidRPr="00F505FD">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6407E7" w:rsidRPr="00F505FD" w:rsidRDefault="00F13413">
      <w:pPr>
        <w:spacing w:before="240" w:after="240" w:line="360" w:lineRule="auto"/>
        <w:jc w:val="both"/>
        <w:rPr>
          <w:rFonts w:ascii="Palatino Linotype" w:eastAsia="Palatino Linotype" w:hAnsi="Palatino Linotype" w:cs="Palatino Linotype"/>
          <w:sz w:val="20"/>
          <w:szCs w:val="20"/>
        </w:rPr>
        <w:sectPr w:rsidR="006407E7" w:rsidRPr="00F505F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r w:rsidRPr="00F505FD">
        <w:rPr>
          <w:rFonts w:ascii="Palatino Linotype" w:eastAsia="Palatino Linotype" w:hAnsi="Palatino Linotype" w:cs="Palatino Linotype"/>
          <w:noProof/>
          <w:lang w:val="es-MX"/>
        </w:rPr>
        <mc:AlternateContent>
          <mc:Choice Requires="wps">
            <w:drawing>
              <wp:anchor distT="0" distB="0" distL="114300" distR="114300" simplePos="0" relativeHeight="251660288" behindDoc="0" locked="0" layoutInCell="1" allowOverlap="1">
                <wp:simplePos x="0" y="0"/>
                <wp:positionH relativeFrom="column">
                  <wp:posOffset>36284</wp:posOffset>
                </wp:positionH>
                <wp:positionV relativeFrom="paragraph">
                  <wp:posOffset>2699946</wp:posOffset>
                </wp:positionV>
                <wp:extent cx="5348176" cy="3615070"/>
                <wp:effectExtent l="38100" t="19050" r="62230" b="80645"/>
                <wp:wrapNone/>
                <wp:docPr id="3" name="Conector recto 3"/>
                <wp:cNvGraphicFramePr/>
                <a:graphic xmlns:a="http://schemas.openxmlformats.org/drawingml/2006/main">
                  <a:graphicData uri="http://schemas.microsoft.com/office/word/2010/wordprocessingShape">
                    <wps:wsp>
                      <wps:cNvCnPr/>
                      <wps:spPr>
                        <a:xfrm>
                          <a:off x="0" y="0"/>
                          <a:ext cx="5348176" cy="36150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E4D12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212.6pt" to="423.95pt,4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OguwEAALkDAAAOAAAAZHJzL2Uyb0RvYy54bWysU8tu2zAQvBfoPxC815LsxgkEyzk4aC9F&#10;a/TxAQy1tIjwhSVryX/fJW0rRVvkUORCasmZ2Z3lanM/WcOOgFF71/FmUXMGTvpeu0PHf3z/8O6O&#10;s5iE64XxDjp+gsjvt2/fbMbQwtIP3vSAjERcbMfQ8SGl0FZVlANYERc+gKNL5dGKRCEeqh7FSOrW&#10;VMu6Xlejxz6glxAjnT6cL/m26CsFMn1RKkJipuNUWyorlvUxr9V2I9oDijBoeSlD/EcVVmhHSWep&#10;B5EE+4n6LymrJfroVVpIbyuvlJZQPJCbpv7DzbdBBCheqDkxzG2KrycrPx/3yHTf8RVnTlh6oh09&#10;lEweGeaNrXKPxhBbgu7cHi9RDHvMhieFNu9khU2lr6e5rzAlJunwZvX+rrldcybpbrVuburb0vnq&#10;mR4wpo/gLcsfHTfaZeOiFcdPMVFKgl4hFORyzgWUr3QykMHGfQVFZijlsrDLGMHOIDsKGoD+qclm&#10;SKsgM0VpY2ZS/TLpgs00KKM1E5uXiTO6ZPQuzUSrncd/kdN0LVWd8VfXZ6/Z9qPvT+U5SjtoPoqz&#10;yyznAfw9LvTnP277CwAA//8DAFBLAwQUAAYACAAAACEA3p71yt4AAAAJAQAADwAAAGRycy9kb3du&#10;cmV2LnhtbEyPT0vEMBTE74LfITzBi7ippbV/bLqI6EHYy67i+W0Tk2LzUprsNn5740mPwwwzv+m2&#10;0U7srBY/OhJwt8mAKRqcHEkLeH97ua2B+YAkcXKkBHwrD9v+8qLDVrqV9up8CJqlEvItCjAhzC3n&#10;fjDKot+4WVHyPt1iMSS5aC4XXFO5nXieZffc4khpweCsnowavg4nK2CIPN6YZ6lXXb3KHfr6g5c7&#10;Ia6v4uMDsKBi+AvDL35Chz4xHd2JpGeTgLJKQQFFXubAkl8XVQPsKKBpihJ43/H/D/ofAAAA//8D&#10;AFBLAQItABQABgAIAAAAIQC2gziS/gAAAOEBAAATAAAAAAAAAAAAAAAAAAAAAABbQ29udGVudF9U&#10;eXBlc10ueG1sUEsBAi0AFAAGAAgAAAAhADj9If/WAAAAlAEAAAsAAAAAAAAAAAAAAAAALwEAAF9y&#10;ZWxzLy5yZWxzUEsBAi0AFAAGAAgAAAAhAJ+LI6C7AQAAuQMAAA4AAAAAAAAAAAAAAAAALgIAAGRy&#10;cy9lMm9Eb2MueG1sUEsBAi0AFAAGAAgAAAAhAN6e9creAAAACQEAAA8AAAAAAAAAAAAAAAAAFQQA&#10;AGRycy9kb3ducmV2LnhtbFBLBQYAAAAABAAEAPMAAAAgBQAAAAA=&#10;" strokecolor="black [3200]" strokeweight="2pt">
                <v:shadow on="t" color="black" opacity="24903f" origin=",.5" offset="0,.55556mm"/>
              </v:line>
            </w:pict>
          </mc:Fallback>
        </mc:AlternateContent>
      </w:r>
      <w:r w:rsidR="00F65335" w:rsidRPr="00F505F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p w:rsidR="006407E7" w:rsidRPr="00F505FD" w:rsidRDefault="006407E7">
      <w:pPr>
        <w:spacing w:before="240" w:after="240" w:line="360" w:lineRule="auto"/>
        <w:jc w:val="both"/>
        <w:rPr>
          <w:rFonts w:ascii="Palatino Linotype" w:eastAsia="Palatino Linotype" w:hAnsi="Palatino Linotype" w:cs="Palatino Linotype"/>
          <w:sz w:val="20"/>
          <w:szCs w:val="20"/>
        </w:rPr>
      </w:pPr>
    </w:p>
    <w:sectPr w:rsidR="006407E7" w:rsidRPr="00F505FD">
      <w:head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F6E" w:rsidRDefault="00134F6E">
      <w:r>
        <w:separator/>
      </w:r>
    </w:p>
  </w:endnote>
  <w:endnote w:type="continuationSeparator" w:id="0">
    <w:p w:rsidR="00134F6E" w:rsidRDefault="0013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E7" w:rsidRDefault="00F653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401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401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6407E7" w:rsidRDefault="006407E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E7" w:rsidRDefault="00F653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401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401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6407E7" w:rsidRDefault="006407E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F6E" w:rsidRDefault="00134F6E">
      <w:r>
        <w:separator/>
      </w:r>
    </w:p>
  </w:footnote>
  <w:footnote w:type="continuationSeparator" w:id="0">
    <w:p w:rsidR="00134F6E" w:rsidRDefault="00134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E7" w:rsidRDefault="00F65335">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-1080132</wp:posOffset>
          </wp:positionH>
          <wp:positionV relativeFrom="paragraph">
            <wp:posOffset>-396399</wp:posOffset>
          </wp:positionV>
          <wp:extent cx="7809865" cy="1016571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6407E7">
      <w:tc>
        <w:tcPr>
          <w:tcW w:w="2489" w:type="dxa"/>
          <w:shd w:val="clear" w:color="auto" w:fill="auto"/>
        </w:tcPr>
        <w:p w:rsidR="006407E7" w:rsidRDefault="00F6533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6407E7" w:rsidRDefault="00F65335">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16079/INFOEM/IP/RR/2022</w:t>
          </w:r>
        </w:p>
      </w:tc>
    </w:tr>
    <w:tr w:rsidR="006407E7">
      <w:trPr>
        <w:trHeight w:val="228"/>
      </w:trPr>
      <w:tc>
        <w:tcPr>
          <w:tcW w:w="2489" w:type="dxa"/>
          <w:shd w:val="clear" w:color="auto" w:fill="auto"/>
          <w:vAlign w:val="center"/>
        </w:tcPr>
        <w:p w:rsidR="006407E7" w:rsidRDefault="00F6533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6407E7" w:rsidRDefault="00F65335">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del Río</w:t>
          </w:r>
        </w:p>
      </w:tc>
    </w:tr>
    <w:tr w:rsidR="006407E7">
      <w:tc>
        <w:tcPr>
          <w:tcW w:w="2489" w:type="dxa"/>
          <w:shd w:val="clear" w:color="auto" w:fill="auto"/>
          <w:vAlign w:val="center"/>
        </w:tcPr>
        <w:p w:rsidR="006407E7" w:rsidRDefault="00F65335">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6407E7" w:rsidRDefault="00F65335">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407E7" w:rsidRDefault="00F6533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E7" w:rsidRDefault="006407E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4"/>
      <w:tblW w:w="5953" w:type="dxa"/>
      <w:tblInd w:w="3261" w:type="dxa"/>
      <w:tblLayout w:type="fixed"/>
      <w:tblLook w:val="0400" w:firstRow="0" w:lastRow="0" w:firstColumn="0" w:lastColumn="0" w:noHBand="0" w:noVBand="1"/>
    </w:tblPr>
    <w:tblGrid>
      <w:gridCol w:w="2551"/>
      <w:gridCol w:w="3402"/>
    </w:tblGrid>
    <w:tr w:rsidR="006407E7">
      <w:tc>
        <w:tcPr>
          <w:tcW w:w="2551" w:type="dxa"/>
          <w:shd w:val="clear" w:color="auto" w:fill="auto"/>
          <w:vAlign w:val="center"/>
        </w:tcPr>
        <w:p w:rsidR="006407E7" w:rsidRDefault="00F6533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rsidR="006407E7" w:rsidRDefault="00F65335">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16079/INFOEM/IP/RR/2022</w:t>
          </w:r>
        </w:p>
      </w:tc>
    </w:tr>
    <w:tr w:rsidR="006407E7">
      <w:trPr>
        <w:trHeight w:val="130"/>
      </w:trPr>
      <w:tc>
        <w:tcPr>
          <w:tcW w:w="2551" w:type="dxa"/>
          <w:shd w:val="clear" w:color="auto" w:fill="auto"/>
          <w:vAlign w:val="center"/>
        </w:tcPr>
        <w:p w:rsidR="006407E7" w:rsidRDefault="00F6533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rsidR="006407E7" w:rsidRDefault="006407E7">
          <w:pPr>
            <w:ind w:left="-45"/>
            <w:jc w:val="both"/>
            <w:rPr>
              <w:rFonts w:ascii="Palatino Linotype" w:eastAsia="Palatino Linotype" w:hAnsi="Palatino Linotype" w:cs="Palatino Linotype"/>
              <w:b/>
            </w:rPr>
          </w:pPr>
        </w:p>
      </w:tc>
    </w:tr>
    <w:tr w:rsidR="006407E7">
      <w:trPr>
        <w:trHeight w:val="228"/>
      </w:trPr>
      <w:tc>
        <w:tcPr>
          <w:tcW w:w="2551" w:type="dxa"/>
          <w:shd w:val="clear" w:color="auto" w:fill="auto"/>
          <w:vAlign w:val="center"/>
        </w:tcPr>
        <w:p w:rsidR="006407E7" w:rsidRDefault="00F6533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rsidR="006407E7" w:rsidRDefault="00F65335">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del Río</w:t>
          </w:r>
        </w:p>
      </w:tc>
    </w:tr>
    <w:tr w:rsidR="006407E7">
      <w:tc>
        <w:tcPr>
          <w:tcW w:w="2551" w:type="dxa"/>
          <w:shd w:val="clear" w:color="auto" w:fill="auto"/>
          <w:vAlign w:val="center"/>
        </w:tcPr>
        <w:p w:rsidR="006407E7" w:rsidRDefault="00F6533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rsidR="006407E7" w:rsidRDefault="00F65335">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407E7" w:rsidRDefault="00F65335">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-1175382</wp:posOffset>
          </wp:positionH>
          <wp:positionV relativeFrom="paragraph">
            <wp:posOffset>-1325242</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E7" w:rsidRDefault="006407E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6407E7" w:rsidRDefault="006407E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A209E"/>
    <w:multiLevelType w:val="multilevel"/>
    <w:tmpl w:val="295AEBF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7D1AC3"/>
    <w:multiLevelType w:val="multilevel"/>
    <w:tmpl w:val="E1A40E0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5AE5B9D"/>
    <w:multiLevelType w:val="multilevel"/>
    <w:tmpl w:val="AF108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E7"/>
    <w:rsid w:val="000142E4"/>
    <w:rsid w:val="00134F6E"/>
    <w:rsid w:val="001825C8"/>
    <w:rsid w:val="00416359"/>
    <w:rsid w:val="00536EB0"/>
    <w:rsid w:val="006407E7"/>
    <w:rsid w:val="0076401A"/>
    <w:rsid w:val="00AB75A8"/>
    <w:rsid w:val="00B40677"/>
    <w:rsid w:val="00F13413"/>
    <w:rsid w:val="00F505FD"/>
    <w:rsid w:val="00F51BFE"/>
    <w:rsid w:val="00F65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EBFE9-754D-485C-B40C-B21CD267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D45"/>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aV/PrHOKW05dDFaVvcOXD+OE7g==">AMUW2mVIiNVtySuYqXVVbE7gnupJ7U/zTqyP5hrCPvLtQJIe+62/sMAClAwLfhY5VDbnMW+Lg2rkKd2nhO9IEFkCaaOhnA3ar5qVD4I5wQ/USEf/D5j98GsW/YJN+Dh10dMlQ0axRVrUpsxa0wNPtrZxitBzhwrnuQ0BJVt7pBG45NXGKsCP4ptJd5wWNNX6cTmJe3bH2zcG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7250</Words>
  <Characters>39880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2023-01-27T17:04:00Z</cp:lastPrinted>
  <dcterms:created xsi:type="dcterms:W3CDTF">2023-02-01T18:57:00Z</dcterms:created>
  <dcterms:modified xsi:type="dcterms:W3CDTF">2023-02-01T18:57:00Z</dcterms:modified>
</cp:coreProperties>
</file>