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treinta de agosto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04344/INFOEM/IP/RR/2023</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una persona que no proporcionó nombre o seudónimo,</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w:t>
      </w:r>
      <w:r w:rsidDel="00000000" w:rsidR="00000000" w:rsidRPr="00000000">
        <w:rPr>
          <w:rFonts w:ascii="Palatino Linotype" w:cs="Palatino Linotype" w:eastAsia="Palatino Linotype" w:hAnsi="Palatino Linotype"/>
          <w:b w:val="1"/>
          <w:rtl w:val="0"/>
        </w:rPr>
        <w:t xml:space="preserve"> Sistema Municipal Para el Desarrollo Integral de la Familia de Zinacantepec,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dos de agosto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00023/DIFZINACAN/IP/2023,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“CUANTOS LUGARES TURISTICOS SON CONSIDERADOS PATRIMONIO CULTURAL DE LA HUMANIDAD POR LA UNESCO EN ZINACANTEPEC, ASI SABER ¿Cuáles son los Patrimonios de la Humanidad en México?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SAIMEX</w:t>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rPr>
      </w:pPr>
      <w:bookmarkStart w:colFirst="0" w:colLast="0" w:name="_heading=h.3dy6vkm" w:id="1"/>
      <w:bookmarkEnd w:id="1"/>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tres de agosto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“…SOLICITA INFORMACIÓN DE UNA DE LAS ÁREAS DEPENDIENTES DEL AYUNTAMIENTO DE ZINACANTEPEC, SUJETO OBLIGADO DIFERENTE A ESTE SISTEMA MUNICIPAL DIF DE ZINACANTEPEC, EN RAZÓN DE LO CUAL NO ES POSIBLE ENTREGAR LA INFORMACIÓN QUE SE REQUIERE PORQUE NO SE GENERA NI DETENTA. AUNADO A QUE DICHA INFORMACIÓN SEGURAMENTE SE LA PUEDE OTORGAR LA SECRETARIA DE CULTURA DEL GOBIERNO DE LA REPÚBLICA...” (sic)</w:t>
      </w:r>
      <w:r w:rsidDel="00000000" w:rsidR="00000000" w:rsidRPr="00000000">
        <w:rPr>
          <w:rtl w:val="0"/>
        </w:rPr>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el oficio ZIN/UT/SMDIF/116/2023 de fecha tres de agosto de dos mil veintitrés, signado por la Titular de la Unidad de Transparencia, mediante el cual manifiesta que la información solicitada no es competencia el Sujeto Obligado, con fundamento en la Ley que Crea los Organismos Públicos Descentralizadas de Asistencia Social de Carácter Municipal denominados “Sistemas Municipales para el Desarrollo Integral de la Familia”, asimismo, señala que dicha institución es un Organismo de carácter descentralizado, diferente a la Dirección de Cultura y Turismo que depende del Ayuntamiento de Zinacantepec, y diferente a la Secretaría de Cultura del Gobierno de la República, encontrándose imposibilitado el Sujeto Obligado para brindar la información requerida, al ser competencia de otro Sujeto Obligado.</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con la finalidad de colaborar con la persona solicitante para la consecución de la información que es de su interés, le sugiere dirigir su solicitud ante la Unidad de Transparencia del Ayuntamiento de Zinacantepec o bien a la Secretaría de Cultura del Gobierno de la República.</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tres de agosto de 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r w:rsidDel="00000000" w:rsidR="00000000" w:rsidRPr="00000000">
        <w:rPr>
          <w:rtl w:val="0"/>
        </w:rPr>
      </w:r>
    </w:p>
    <w:p w:rsidR="00000000" w:rsidDel="00000000" w:rsidP="00000000" w:rsidRDefault="00000000" w:rsidRPr="00000000" w14:paraId="0000000D">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0E">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 INFORMACIÓN” (sic)</w:t>
      </w:r>
    </w:p>
    <w:p w:rsidR="00000000" w:rsidDel="00000000" w:rsidP="00000000" w:rsidRDefault="00000000" w:rsidRPr="00000000" w14:paraId="0000000F">
      <w:pPr>
        <w:spacing w:line="360" w:lineRule="auto"/>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0">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 EL ACTA DE TRANSPARENCIA DE INCOMPETENCIA” (sic)</w:t>
      </w:r>
    </w:p>
    <w:p w:rsidR="00000000" w:rsidDel="00000000" w:rsidP="00000000" w:rsidRDefault="00000000" w:rsidRPr="00000000" w14:paraId="0000001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adjuntó archivos. </w:t>
      </w:r>
    </w:p>
    <w:p w:rsidR="00000000" w:rsidDel="00000000" w:rsidP="00000000" w:rsidRDefault="00000000" w:rsidRPr="00000000" w14:paraId="0000001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ocho de agosto de dos mil veintitrés,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ocho de agosto de dos mil veintitrés,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 SAIMEX, su informe justificado, mediante el cual, la Unidad de Transparencia ratifica la respuesta emitida en primera instancia, manifestando que la misma se realizó acorde con lo estipulado por el artículo 167 de la Ley de Transparencia y Acceso a la Información Pública del Estado de México y Municipios, derivado de que la información solicitada no es competencia del Sujeto Obligado, por lo que dentro de los tres días hábiles posteriores a la recepción de la solicitud, se le comunicó a la persona solicitante la incompetencia del Organismo para conocer y brindar la información solicitada, así como los Sujetos Obligados en los que pudiera recaer la misma, siendo estos el Ayuntamiento de Zinacantepec, y la Secretaría de Cultura del Gobierno de la República, reiterando que se cumplió en tiempo y forma con los mandamientos legales al momento de recibir una solicitud de clara incompetencia para dicho ente gubernamental</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analizados los documentos referidos, se hicieron del conocimiento de la persona solicitante con la finalidad de que manifestara lo que a su derecho estimara conveniente, siendo omisa en ejercer dicha prerrogativa.</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veinticuatro de agosto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8">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bookmarkStart w:colFirst="0" w:colLast="0" w:name="_heading=h.tyjcwt" w:id="4"/>
      <w:bookmarkEnd w:id="4"/>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w:t>
      </w:r>
      <w:r w:rsidDel="00000000" w:rsidR="00000000" w:rsidRPr="00000000">
        <w:rPr>
          <w:rFonts w:ascii="Palatino Linotype" w:cs="Palatino Linotype" w:eastAsia="Palatino Linotype" w:hAnsi="Palatino Linotype"/>
          <w:b w:val="1"/>
          <w:rtl w:val="0"/>
        </w:rPr>
        <w:t xml:space="preserve">tres de agosto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veintitrés,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tres de agosto de dos mil veintitrés, </w:t>
      </w:r>
      <w:r w:rsidDel="00000000" w:rsidR="00000000" w:rsidRPr="00000000">
        <w:rPr>
          <w:rFonts w:ascii="Palatino Linotype" w:cs="Palatino Linotype" w:eastAsia="Palatino Linotype" w:hAnsi="Palatino Linotype"/>
          <w:rtl w:val="0"/>
        </w:rPr>
        <w:t xml:space="preserve">esto es, el mismo día en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1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sz w:val="22"/>
          <w:szCs w:val="22"/>
          <w:rtl w:val="0"/>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000" w:rsidDel="00000000" w:rsidP="00000000" w:rsidRDefault="00000000" w:rsidRPr="00000000" w14:paraId="0000001E">
      <w:pPr>
        <w:tabs>
          <w:tab w:val="left" w:leader="none" w:pos="7938"/>
        </w:tabs>
        <w:spacing w:after="240" w:before="240" w:line="360" w:lineRule="auto"/>
        <w:jc w:val="both"/>
        <w:rPr>
          <w:rFonts w:ascii="Palatino Linotype" w:cs="Palatino Linotype" w:eastAsia="Palatino Linotype" w:hAnsi="Palatino Linotype"/>
        </w:rPr>
      </w:pPr>
      <w:bookmarkStart w:colFirst="0" w:colLast="0" w:name="_heading=h.3znysh7" w:id="5"/>
      <w:bookmarkEnd w:id="5"/>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nombre o seudónimo, </w:t>
      </w:r>
      <w:r w:rsidDel="00000000" w:rsidR="00000000" w:rsidRPr="00000000">
        <w:rPr>
          <w:rFonts w:ascii="Palatino Linotype" w:cs="Palatino Linotype" w:eastAsia="Palatino Linotype" w:hAnsi="Palatino Linotype"/>
          <w:rtl w:val="0"/>
        </w:rPr>
        <w:t xml:space="preserve">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0">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fracciones I y IV del ordenamiento legal citado, que a la letra dice: </w:t>
      </w:r>
    </w:p>
    <w:p w:rsidR="00000000" w:rsidDel="00000000" w:rsidP="00000000" w:rsidRDefault="00000000" w:rsidRPr="00000000" w14:paraId="0000002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4">
      <w:pPr>
        <w:spacing w:after="120" w:before="120" w:lineRule="auto"/>
        <w:ind w:left="1134"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La negativa a la información solicitada</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25">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6">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declaración de incompetencia por el sujeto obligado;”</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28">
      <w:pPr>
        <w:spacing w:after="240" w:before="240" w:line="360" w:lineRule="auto"/>
        <w:ind w:right="51"/>
        <w:jc w:val="both"/>
        <w:rPr>
          <w:rFonts w:ascii="Palatino Linotype" w:cs="Palatino Linotype" w:eastAsia="Palatino Linotype" w:hAnsi="Palatino Linotype"/>
        </w:rPr>
      </w:pPr>
      <w:bookmarkStart w:colFirst="0" w:colLast="0" w:name="_heading=h.2et92p0" w:id="6"/>
      <w:bookmarkEnd w:id="6"/>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29">
      <w:pPr>
        <w:numPr>
          <w:ilvl w:val="0"/>
          <w:numId w:val="3"/>
        </w:numPr>
        <w:pBdr>
          <w:top w:space="0" w:sz="0" w:val="nil"/>
          <w:left w:space="0" w:sz="0" w:val="nil"/>
          <w:bottom w:space="0" w:sz="0" w:val="nil"/>
          <w:right w:space="0" w:sz="0" w:val="nil"/>
          <w:between w:space="0" w:sz="0" w:val="nil"/>
        </w:pBdr>
        <w:spacing w:before="240" w:line="360" w:lineRule="auto"/>
        <w:ind w:left="644" w:right="49" w:hanging="36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Numero de lugares turísticos considerados patrimonio cultural de la humanidad por la UNESCO en Zinacantepec.</w:t>
      </w:r>
      <w:r w:rsidDel="00000000" w:rsidR="00000000" w:rsidRPr="00000000">
        <w:rPr>
          <w:rtl w:val="0"/>
        </w:rPr>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spacing w:after="240" w:line="360" w:lineRule="auto"/>
        <w:ind w:left="644" w:right="49" w:hanging="36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¿Cuáles son los Patrimonios de la Humanidad en México?</w:t>
      </w:r>
      <w:r w:rsidDel="00000000" w:rsidR="00000000" w:rsidRPr="00000000">
        <w:rPr>
          <w:rFonts w:ascii="Palatino Linotype" w:cs="Palatino Linotype" w:eastAsia="Palatino Linotype" w:hAnsi="Palatino Linotype"/>
          <w:b w:val="1"/>
          <w:rtl w:val="0"/>
        </w:rPr>
        <w:t xml:space="preserve">”</w:t>
      </w:r>
      <w:r w:rsidDel="00000000" w:rsidR="00000000" w:rsidRPr="00000000">
        <w:rPr>
          <w:rtl w:val="0"/>
        </w:rPr>
      </w:r>
    </w:p>
    <w:p w:rsidR="00000000" w:rsidDel="00000000" w:rsidP="00000000" w:rsidRDefault="00000000" w:rsidRPr="00000000" w14:paraId="0000002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Titular de la Unidad de Transparencia, hizo del conocimiento de la persona solicitante, que la información no es competencia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con fundamento en la Ley que Crea los Organismos Públicos Descentralizadas de Asistencia Social de Carácter Municipal denominados “Sistemas Municipales para el Desarrollo Integral de la Familia”, asimismo, señaló que dicha institución es un Organismo de carácter descentralizado, diferente a la Dirección de Cultura y Turismo que depende del Ayuntamiento de Zinacantepec, y diferente a la Secretaria de Cultura del Gobierno de la República, encontrándose imposibilitado el Sujeto Obligado para brindar la información requerida, al ser competencia de otro Sujeto Obligado.</w:t>
      </w:r>
    </w:p>
    <w:p w:rsidR="00000000" w:rsidDel="00000000" w:rsidP="00000000" w:rsidRDefault="00000000" w:rsidRPr="00000000" w14:paraId="0000002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con la finalidad de colaborar con la persona solicitante para la consecución de la información que es de su interés, le sugirió dirigir su solicitud ante la Unidad de Transparencia del Ayuntamiento de Zinacantepec o bien a la Secretaría de Cultura del Gobierno de la República.</w:t>
      </w:r>
    </w:p>
    <w:p w:rsidR="00000000" w:rsidDel="00000000" w:rsidP="00000000" w:rsidRDefault="00000000" w:rsidRPr="00000000" w14:paraId="0000002D">
      <w:pPr>
        <w:spacing w:after="240" w:before="240" w:line="360" w:lineRule="auto"/>
        <w:ind w:right="49"/>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Conocida la respuesta por la persona solicitante, al no estar conforme con los términos de la misma, interpuso el recurso de revisión que nos ocupa, mediante el cual manifestó como motivo de inconformidad que “</w:t>
      </w:r>
      <w:r w:rsidDel="00000000" w:rsidR="00000000" w:rsidRPr="00000000">
        <w:rPr>
          <w:rFonts w:ascii="Palatino Linotype" w:cs="Palatino Linotype" w:eastAsia="Palatino Linotype" w:hAnsi="Palatino Linotype"/>
          <w:i w:val="1"/>
          <w:rtl w:val="0"/>
        </w:rPr>
        <w:t xml:space="preserve">NO ENTREGA EL ACTA DE TRANSPARENCIA DE INCOMPETENCIA” (sic)</w:t>
      </w:r>
      <w:r w:rsidDel="00000000" w:rsidR="00000000" w:rsidRPr="00000000">
        <w:rPr>
          <w:rtl w:val="0"/>
        </w:rPr>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2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su informe justificado, mediante el cual ratificó en lo sustancial la respuesta emitida en primera instancia, reiterando que la información solicitada no es de su competencia, por lo que en términos del artículo 167 de la Ley de Transparencia y Acceso a la Información Pública del Estado de México y Municipios, informó a la persona solicitante dentro de los tres días hábiles posteriores a la recepción de la solicitud, dicha circunstancia, al advertirse la clara incompetencia. </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33">
      <w:pPr>
        <w:ind w:left="851" w:right="89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4">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35">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6">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37">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39">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3B">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3C">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3D">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3E">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3F">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4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42">
      <w:pPr>
        <w:numPr>
          <w:ilvl w:val="0"/>
          <w:numId w:val="1"/>
        </w:numPr>
        <w:spacing w:after="240" w:before="24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u w:val="single"/>
          <w:rtl w:val="0"/>
        </w:rPr>
        <w:t xml:space="preserve">De las atribuciones del Sujeto Obligado</w:t>
      </w:r>
      <w:r w:rsidDel="00000000" w:rsidR="00000000" w:rsidRPr="00000000">
        <w:rPr>
          <w:rtl w:val="0"/>
        </w:rPr>
      </w:r>
    </w:p>
    <w:p w:rsidR="00000000" w:rsidDel="00000000" w:rsidP="00000000" w:rsidRDefault="00000000" w:rsidRPr="00000000" w14:paraId="0000004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oportuno señalar que de conformidad con el artículo 101 del Reglamento Orgánico de Zinacantepec, el Sistema Municipal para el Desarrollo Integral de la Familia, SMDIF, se encarga de procurar mantener la armonía social entre el Municipio y la ciudadanía, velar por cumplir las necesidades de la población, con el fin de mantener y preservar la unión familiar, así como la atención a menores de edad, adultos mayores, personas con discapacidad y mujeres en condiciones de vulnerabilidad; en general, proporcionando asistencia social.</w:t>
      </w:r>
    </w:p>
    <w:p w:rsidR="00000000" w:rsidDel="00000000" w:rsidP="00000000" w:rsidRDefault="00000000" w:rsidRPr="00000000" w14:paraId="00000044">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el artículo 3 de la Ley que Crea los Organismos Públicos Descentralizadas de Asistencia Social de Carácter Municipal denominados “Sistemas Municipales para el Desarrollo Integral de la Familia”, le confiere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los siguientes objetivos:</w:t>
      </w:r>
    </w:p>
    <w:p w:rsidR="00000000" w:rsidDel="00000000" w:rsidP="00000000" w:rsidRDefault="00000000" w:rsidRPr="00000000" w14:paraId="0000004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Los organismos a que se refiere esta Ley tendrán los siguientes objetivos de asistencia social, protección de niñas, niños y adolescentes y beneficio colectivo: </w:t>
      </w:r>
    </w:p>
    <w:p w:rsidR="00000000" w:rsidDel="00000000" w:rsidP="00000000" w:rsidRDefault="00000000" w:rsidRPr="00000000" w14:paraId="0000004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Asegurar la atención permanente a la población marginada, brindando servicios integrales de asistencia social, enmarcados dentro de los Programas Básicos del Sistema para el Desarrollo Integral de la Familia en el Estado de México, conforme a las normas establecidas a nivel Nacional y Estatal; </w:t>
      </w:r>
    </w:p>
    <w:p w:rsidR="00000000" w:rsidDel="00000000" w:rsidP="00000000" w:rsidRDefault="00000000" w:rsidRPr="00000000" w14:paraId="0000004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Promover los mínimos de bienestar social y el desarrollo de la comunidad, para crear mejores condiciones de vida a los habitantes del Municipio;</w:t>
      </w:r>
    </w:p>
    <w:p w:rsidR="00000000" w:rsidDel="00000000" w:rsidP="00000000" w:rsidRDefault="00000000" w:rsidRPr="00000000" w14:paraId="0000004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Fomentar la educación escolar y extra-escolar e impulsar el sano crecimiento físico y mental de la niñez; </w:t>
      </w:r>
    </w:p>
    <w:p w:rsidR="00000000" w:rsidDel="00000000" w:rsidP="00000000" w:rsidRDefault="00000000" w:rsidRPr="00000000" w14:paraId="0000004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Coordinar las actividades que en materia de asistencia social realicen otras Instituciones públicas o privadas en el municipio; </w:t>
      </w:r>
    </w:p>
    <w:p w:rsidR="00000000" w:rsidDel="00000000" w:rsidP="00000000" w:rsidRDefault="00000000" w:rsidRPr="00000000" w14:paraId="0000004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Impulsar, promover o gestionar la creación de Instituciones o establecimientos de asistencia social, en beneficio de niñas, niños y adolescentes en estado de abandono, de adultos mayores y de personas con discapacidad sin recursos. </w:t>
      </w:r>
    </w:p>
    <w:p w:rsidR="00000000" w:rsidDel="00000000" w:rsidP="00000000" w:rsidRDefault="00000000" w:rsidRPr="00000000" w14:paraId="0000004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Prestar servicios jurídicos y de orientación social a niñas, niños adolescentes, adultos mayores y personas con discapacidad carentes de recursos económicos, así como a la familia para su integración y bienestar. </w:t>
      </w:r>
    </w:p>
    <w:p w:rsidR="00000000" w:rsidDel="00000000" w:rsidP="00000000" w:rsidRDefault="00000000" w:rsidRPr="00000000" w14:paraId="0000004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Proteger de manera integral los derechos de niñas, niños y adolescentes y restituirlos en caso de vulneración de los mismos, a través de las medidas especiales de protección que sean necesarias. </w:t>
      </w:r>
    </w:p>
    <w:p w:rsidR="00000000" w:rsidDel="00000000" w:rsidP="00000000" w:rsidRDefault="00000000" w:rsidRPr="00000000" w14:paraId="0000004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Procurar permanentemente la adecuación de los objetivos y programas del Sistema Municipal y los que lleve a cabo el Sistema para el Desarrollo Integral de la Familia del Estado de México, a través de acuerdos, convenios o cualquier figura jurídica, encaminados a la protección de la infancia y adolescencia y la obtención del bienestar social.</w:t>
      </w:r>
    </w:p>
    <w:p w:rsidR="00000000" w:rsidDel="00000000" w:rsidP="00000000" w:rsidRDefault="00000000" w:rsidRPr="00000000" w14:paraId="0000004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Impulsar acciones para promover el desarrollo humano integral de los adultos mayores, coadyuvando para que sus distintas capacidades sean valoradas y aprovechadas en el desarrollo comunitario, económico y social. </w:t>
      </w:r>
    </w:p>
    <w:p w:rsidR="00000000" w:rsidDel="00000000" w:rsidP="00000000" w:rsidRDefault="00000000" w:rsidRPr="00000000" w14:paraId="0000004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Las demás que le encomienden las leyes.”</w:t>
      </w:r>
    </w:p>
    <w:p w:rsidR="00000000" w:rsidDel="00000000" w:rsidP="00000000" w:rsidRDefault="00000000" w:rsidRPr="00000000" w14:paraId="0000005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Manual General de Organización, DIF Municipal de Zinacantepec, establece que el Organismo se integra por las siguientes unidades admirativas:</w:t>
      </w:r>
    </w:p>
    <w:p w:rsidR="00000000" w:rsidDel="00000000" w:rsidP="00000000" w:rsidRDefault="00000000" w:rsidRPr="00000000" w14:paraId="00000051">
      <w:pPr>
        <w:spacing w:after="240" w:before="240" w:line="360" w:lineRule="auto"/>
        <w:ind w:right="51"/>
        <w:jc w:val="center"/>
        <w:rPr>
          <w:rFonts w:ascii="Palatino Linotype" w:cs="Palatino Linotype" w:eastAsia="Palatino Linotype" w:hAnsi="Palatino Linotype"/>
        </w:rPr>
      </w:pPr>
      <w:r w:rsidDel="00000000" w:rsidR="00000000" w:rsidRPr="00000000">
        <w:rPr/>
        <w:drawing>
          <wp:inline distB="0" distT="0" distL="0" distR="0">
            <wp:extent cx="4320000" cy="2219700"/>
            <wp:effectExtent b="0" l="0" r="0" t="0"/>
            <wp:docPr id="941366511" name="image2.png"/>
            <a:graphic>
              <a:graphicData uri="http://schemas.openxmlformats.org/drawingml/2006/picture">
                <pic:pic>
                  <pic:nvPicPr>
                    <pic:cNvPr id="0" name="image2.png"/>
                    <pic:cNvPicPr preferRelativeResize="0"/>
                  </pic:nvPicPr>
                  <pic:blipFill>
                    <a:blip r:embed="rId8"/>
                    <a:srcRect b="36221" l="0" r="0" t="0"/>
                    <a:stretch>
                      <a:fillRect/>
                    </a:stretch>
                  </pic:blipFill>
                  <pic:spPr>
                    <a:xfrm>
                      <a:off x="0" y="0"/>
                      <a:ext cx="4320000" cy="2219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40" w:before="240" w:line="360" w:lineRule="auto"/>
        <w:jc w:val="center"/>
        <w:rPr>
          <w:rFonts w:ascii="Palatino Linotype" w:cs="Palatino Linotype" w:eastAsia="Palatino Linotype" w:hAnsi="Palatino Linotype"/>
        </w:rPr>
      </w:pPr>
      <w:r w:rsidDel="00000000" w:rsidR="00000000" w:rsidRPr="00000000">
        <w:rPr/>
        <w:drawing>
          <wp:inline distB="0" distT="0" distL="0" distR="0">
            <wp:extent cx="4320000" cy="1238459"/>
            <wp:effectExtent b="0" l="0" r="0" t="0"/>
            <wp:docPr id="941366513" name="image2.png"/>
            <a:graphic>
              <a:graphicData uri="http://schemas.openxmlformats.org/drawingml/2006/picture">
                <pic:pic>
                  <pic:nvPicPr>
                    <pic:cNvPr id="0" name="image2.png"/>
                    <pic:cNvPicPr preferRelativeResize="0"/>
                  </pic:nvPicPr>
                  <pic:blipFill>
                    <a:blip r:embed="rId8"/>
                    <a:srcRect b="-1280" l="0" r="0" t="65695"/>
                    <a:stretch>
                      <a:fillRect/>
                    </a:stretch>
                  </pic:blipFill>
                  <pic:spPr>
                    <a:xfrm>
                      <a:off x="0" y="0"/>
                      <a:ext cx="4320000" cy="1238459"/>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rPr>
      </w:pPr>
      <w:bookmarkStart w:colFirst="0" w:colLast="0" w:name="_heading=h.1fob9te" w:id="7"/>
      <w:bookmarkEnd w:id="7"/>
      <w:r w:rsidDel="00000000" w:rsidR="00000000" w:rsidRPr="00000000">
        <w:rPr>
          <w:rFonts w:ascii="Palatino Linotype" w:cs="Palatino Linotype" w:eastAsia="Palatino Linotype" w:hAnsi="Palatino Linotype"/>
          <w:rtl w:val="0"/>
        </w:rPr>
        <w:t xml:space="preserve">En este tenor, se advierte que efectivamente existe una evidente incompetencia por parte del Sistema Municipal Para el Desarrollo Integral de la Familia de Zinacantepec, como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satisfacer lo solicitado, lo anterior es así, toda vez que, en el caso particular, no se observa que cuente con alguna atribución de la cual pudiera desprenderse la información relacionada con bienes declarados patrimonio de la humanidad en el municipio, por la Organización de las Naciones Unidas para la Educación, la Ciencia y la Cultura, UNESCO, y mucho menos en la República Mexicana, pues la normatividad aplicable no le confiere alguna función que relacione con dicha información, así como tampoco cuenta con un área que pudiera administrar o poseer la misma, tal y como fue referido en la respuesta inicial por la Unidad de Transparencia, siendo otros Sujetos Obligados los que podrían contar con la información de mérito.</w:t>
      </w:r>
    </w:p>
    <w:p w:rsidR="00000000" w:rsidDel="00000000" w:rsidP="00000000" w:rsidRDefault="00000000" w:rsidRPr="00000000" w14:paraId="0000005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resulta aplicable el criterio 13/17 emitido por el Pleno del Instituto Nacional de Transparencia, Acceso a la Información y Protección de Datos Personales, el cual, para pronta referencia se reproduce a continuación:</w:t>
      </w:r>
    </w:p>
    <w:p w:rsidR="00000000" w:rsidDel="00000000" w:rsidP="00000000" w:rsidRDefault="00000000" w:rsidRPr="00000000" w14:paraId="00000055">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“Incompetencia. La incompetencia implica la ausencia de atribuciones del sujeto obligado para poseer la información solicitada</w:t>
      </w:r>
      <w:r w:rsidDel="00000000" w:rsidR="00000000" w:rsidRPr="00000000">
        <w:rPr>
          <w:rFonts w:ascii="Palatino Linotype" w:cs="Palatino Linotype" w:eastAsia="Palatino Linotype" w:hAnsi="Palatino Linotype"/>
          <w:i w:val="1"/>
          <w:sz w:val="22"/>
          <w:szCs w:val="22"/>
          <w:rtl w:val="0"/>
        </w:rPr>
        <w:t xml:space="preserve">; es decir, se trata de una cuestión de derecho, </w:t>
      </w:r>
      <w:r w:rsidDel="00000000" w:rsidR="00000000" w:rsidRPr="00000000">
        <w:rPr>
          <w:rFonts w:ascii="Palatino Linotype" w:cs="Palatino Linotype" w:eastAsia="Palatino Linotype" w:hAnsi="Palatino Linotype"/>
          <w:b w:val="1"/>
          <w:i w:val="1"/>
          <w:sz w:val="22"/>
          <w:szCs w:val="22"/>
          <w:rtl w:val="0"/>
        </w:rPr>
        <w:t xml:space="preserve">en tanto que no existan facultades para contar con lo requerido</w:t>
      </w:r>
      <w:r w:rsidDel="00000000" w:rsidR="00000000" w:rsidRPr="00000000">
        <w:rPr>
          <w:rFonts w:ascii="Palatino Linotype" w:cs="Palatino Linotype" w:eastAsia="Palatino Linotype" w:hAnsi="Palatino Linotype"/>
          <w:i w:val="1"/>
          <w:sz w:val="22"/>
          <w:szCs w:val="22"/>
          <w:rtl w:val="0"/>
        </w:rPr>
        <w:t xml:space="preserve">; por lo que la incompetencia es una cualidad atribuida al sujeto obligado que la declara.”</w:t>
      </w:r>
    </w:p>
    <w:p w:rsidR="00000000" w:rsidDel="00000000" w:rsidP="00000000" w:rsidRDefault="00000000" w:rsidRPr="00000000" w14:paraId="00000056">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after="240" w:before="240" w:line="360" w:lineRule="auto"/>
        <w:ind w:left="644"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u w:val="single"/>
          <w:rtl w:val="0"/>
        </w:rPr>
        <w:t xml:space="preserve">Delimitación del ámbito competencial relativo a información solicitada.</w:t>
      </w:r>
      <w:r w:rsidDel="00000000" w:rsidR="00000000" w:rsidRPr="00000000">
        <w:rPr>
          <w:rtl w:val="0"/>
        </w:rPr>
      </w:r>
    </w:p>
    <w:p w:rsidR="00000000" w:rsidDel="00000000" w:rsidP="00000000" w:rsidRDefault="00000000" w:rsidRPr="00000000" w14:paraId="00000058">
      <w:pPr>
        <w:spacing w:after="120" w:before="12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conviene referir que las Ciudades Patrimonio de la Humanidad son consideradas como símbolos culturales y referentes turísticos., por lo que los sitios que son considerados Patrimonio de la Humanidad en México, son lugares que han cumplido los requisitos necesarios marcados por la </w:t>
      </w:r>
      <w:r w:rsidDel="00000000" w:rsidR="00000000" w:rsidRPr="00000000">
        <w:rPr>
          <w:rFonts w:ascii="Palatino Linotype" w:cs="Palatino Linotype" w:eastAsia="Palatino Linotype" w:hAnsi="Palatino Linotype"/>
          <w:b w:val="1"/>
          <w:rtl w:val="0"/>
        </w:rPr>
        <w:t xml:space="preserve">Organización de las Naciones Unidas para la Educación, la Ciencia y la Cultura, UNESCO</w:t>
      </w:r>
      <w:r w:rsidDel="00000000" w:rsidR="00000000" w:rsidRPr="00000000">
        <w:rPr>
          <w:rFonts w:ascii="Palatino Linotype" w:cs="Palatino Linotype" w:eastAsia="Palatino Linotype" w:hAnsi="Palatino Linotype"/>
          <w:rtl w:val="0"/>
        </w:rPr>
        <w:t xml:space="preserve">, y que han sido nominados para el programa internacional Patrimonio de la Humanidad que administra el Comité del Patrimonio Mundial de la UNESCO debido a su importancia excepcional cultural o natural. </w:t>
      </w:r>
    </w:p>
    <w:p w:rsidR="00000000" w:rsidDel="00000000" w:rsidP="00000000" w:rsidRDefault="00000000" w:rsidRPr="00000000" w14:paraId="00000059">
      <w:pPr>
        <w:spacing w:after="120" w:before="120" w:line="360" w:lineRule="auto"/>
        <w:ind w:right="49"/>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El objetivo del Programa Patrimonio de la Humanidad es catalogar, preservar y dar a conocer sitios de importancia cultural o natural excepcional para la herencia común de la humanidad. </w:t>
      </w:r>
      <w:r w:rsidDel="00000000" w:rsidR="00000000" w:rsidRPr="00000000">
        <w:rPr>
          <w:rtl w:val="0"/>
        </w:rPr>
      </w:r>
    </w:p>
    <w:p w:rsidR="00000000" w:rsidDel="00000000" w:rsidP="00000000" w:rsidRDefault="00000000" w:rsidRPr="00000000" w14:paraId="0000005A">
      <w:pPr>
        <w:spacing w:after="120" w:before="12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II de la Constitución de la Organización de las Naciones Unidas para la Educación, la Ciencia y la Cultura, UNESCO, los Estados Miembros de las Naciones Unidas tienen derecho a formar parte de la Organización de las Naciones Unidas para la Educación, la Ciencia y la Cultura; cada Estado Miembro tiene derecho a designar a un Delegado Permanente ante la Organización.</w:t>
      </w:r>
    </w:p>
    <w:p w:rsidR="00000000" w:rsidDel="00000000" w:rsidP="00000000" w:rsidRDefault="00000000" w:rsidRPr="00000000" w14:paraId="0000005B">
      <w:pPr>
        <w:spacing w:after="120" w:before="12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Convención sobre la Protección del Patrimonio Mundial, Cultural y Natural adoptada por México el veintitrés del mes de noviembre del año de mil novecientos setenta y dos, y ratificada el veinticuatro del mes de enero del año de mil novecientos ochenta y cuatro, define el patrimonio Cultural y Natural en sus artículos 1 y 2, a saber:</w:t>
      </w:r>
    </w:p>
    <w:p w:rsidR="00000000" w:rsidDel="00000000" w:rsidP="00000000" w:rsidRDefault="00000000" w:rsidRPr="00000000" w14:paraId="0000005C">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Definiciones del Patrimonio Cultural y Natural</w:t>
      </w:r>
    </w:p>
    <w:p w:rsidR="00000000" w:rsidDel="00000000" w:rsidP="00000000" w:rsidRDefault="00000000" w:rsidRPr="00000000" w14:paraId="0000005D">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ARTICULO 1.</w:t>
      </w:r>
    </w:p>
    <w:p w:rsidR="00000000" w:rsidDel="00000000" w:rsidP="00000000" w:rsidRDefault="00000000" w:rsidRPr="00000000" w14:paraId="0000005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los efectos de la presente Convención se considerará "patrimonio cultural":</w:t>
      </w:r>
    </w:p>
    <w:p w:rsidR="00000000" w:rsidDel="00000000" w:rsidP="00000000" w:rsidRDefault="00000000" w:rsidRPr="00000000" w14:paraId="0000005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los monumentos: obras arquitectónicas, de escultura o de pintura monumentales, elementos o estructuras de carácter arqueológico, inscripciones, cavernas y grupos de elementos, que tengan un valor universal excepcional desde el punto de vista de la historia, del arte o de la ciencia,</w:t>
      </w:r>
    </w:p>
    <w:p w:rsidR="00000000" w:rsidDel="00000000" w:rsidP="00000000" w:rsidRDefault="00000000" w:rsidRPr="00000000" w14:paraId="0000006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los conjuntos: grupos de construcciones, aisladas o reunidas, cuya arquitectura, unidad e integración en el paisaje les dé un valor universal excepcional desde el punto de vista de la historia del arte o de la ciencia,</w:t>
      </w:r>
    </w:p>
    <w:p w:rsidR="00000000" w:rsidDel="00000000" w:rsidP="00000000" w:rsidRDefault="00000000" w:rsidRPr="00000000" w14:paraId="0000006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los lugares: obras del hombre u obras conjuntas del hombre y la naturaleza así como las zonas incluidos los lugares arqueológicos que tengan un valor universal excepcional desde el punto de vista histórico, estético, etnológico o antropológico.</w:t>
      </w:r>
    </w:p>
    <w:p w:rsidR="00000000" w:rsidDel="00000000" w:rsidP="00000000" w:rsidRDefault="00000000" w:rsidRPr="00000000" w14:paraId="00000062">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ARTICULO 2</w:t>
      </w:r>
    </w:p>
    <w:p w:rsidR="00000000" w:rsidDel="00000000" w:rsidP="00000000" w:rsidRDefault="00000000" w:rsidRPr="00000000" w14:paraId="0000006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los efectos de la presente Convención se considerarán "patrimonio natural":</w:t>
      </w:r>
    </w:p>
    <w:p w:rsidR="00000000" w:rsidDel="00000000" w:rsidP="00000000" w:rsidRDefault="00000000" w:rsidRPr="00000000" w14:paraId="0000006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los monumentos naturales constituidos por formaciones físicas y biológicas o por grupos de esas formaciones que tengan un valor universal excepcional desde el punto de vista estético o científico.</w:t>
      </w:r>
    </w:p>
    <w:p w:rsidR="00000000" w:rsidDel="00000000" w:rsidP="00000000" w:rsidRDefault="00000000" w:rsidRPr="00000000" w14:paraId="0000006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las formaciones geológicas y fisiográficas y las zonas estrictamente delimitadas que constituyan el hábitat de especies animal y vegetal amenazadas, que tengan un valor universal excepcional desde el punto de vista estético o científico,</w:t>
      </w:r>
    </w:p>
    <w:p w:rsidR="00000000" w:rsidDel="00000000" w:rsidP="00000000" w:rsidRDefault="00000000" w:rsidRPr="00000000" w14:paraId="0000006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los lugares naturales o las zonas naturales estrictamente delimitadas, que tengan un valor universal excepcional desde el punto de vista de la ciencia, de la conservación o de la belleza natural.</w:t>
      </w:r>
    </w:p>
    <w:p w:rsidR="00000000" w:rsidDel="00000000" w:rsidP="00000000" w:rsidRDefault="00000000" w:rsidRPr="00000000" w14:paraId="00000067">
      <w:pPr>
        <w:spacing w:after="120" w:before="12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 inscripción de un bien en la Lista del Patrimonio Mundial, la Convención sobre la Protección del Patrimonio Mundial, Cultural y Natural, establece en el artículo 11 lo siguiente:</w:t>
      </w:r>
    </w:p>
    <w:p w:rsidR="00000000" w:rsidDel="00000000" w:rsidP="00000000" w:rsidRDefault="00000000" w:rsidRPr="00000000" w14:paraId="00000068">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Articulo 11 </w:t>
      </w:r>
    </w:p>
    <w:p w:rsidR="00000000" w:rsidDel="00000000" w:rsidP="00000000" w:rsidRDefault="00000000" w:rsidRPr="00000000" w14:paraId="0000006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Cada uno de los Estados Partes en la presente Convención presentará al Comité del Patrimonio Mundial,</w:t>
      </w:r>
      <w:r w:rsidDel="00000000" w:rsidR="00000000" w:rsidRPr="00000000">
        <w:rPr>
          <w:rFonts w:ascii="Palatino Linotype" w:cs="Palatino Linotype" w:eastAsia="Palatino Linotype" w:hAnsi="Palatino Linotype"/>
          <w:i w:val="1"/>
          <w:sz w:val="22"/>
          <w:szCs w:val="22"/>
          <w:rtl w:val="0"/>
        </w:rPr>
        <w:t xml:space="preserve"> en la medida de lo posible, </w:t>
      </w:r>
      <w:r w:rsidDel="00000000" w:rsidR="00000000" w:rsidRPr="00000000">
        <w:rPr>
          <w:rFonts w:ascii="Palatino Linotype" w:cs="Palatino Linotype" w:eastAsia="Palatino Linotype" w:hAnsi="Palatino Linotype"/>
          <w:b w:val="1"/>
          <w:i w:val="1"/>
          <w:sz w:val="22"/>
          <w:szCs w:val="22"/>
          <w:rtl w:val="0"/>
        </w:rPr>
        <w:t xml:space="preserve">un inventario de los bienes del patrimonio cultural y natural situados en su territorio y aptos para ser incluidos en la lista de que trata el párrafo 2 de este artículo. </w:t>
      </w:r>
      <w:r w:rsidDel="00000000" w:rsidR="00000000" w:rsidRPr="00000000">
        <w:rPr>
          <w:rFonts w:ascii="Palatino Linotype" w:cs="Palatino Linotype" w:eastAsia="Palatino Linotype" w:hAnsi="Palatino Linotype"/>
          <w:i w:val="1"/>
          <w:sz w:val="22"/>
          <w:szCs w:val="22"/>
          <w:rtl w:val="0"/>
        </w:rPr>
        <w:t xml:space="preserve">Este inventario, que no se considerará exhaustivo, habrá de contener documentación sobre el lugar en que estén situados los bienes y sobre el interés que presenten.</w:t>
      </w:r>
    </w:p>
    <w:p w:rsidR="00000000" w:rsidDel="00000000" w:rsidP="00000000" w:rsidRDefault="00000000" w:rsidRPr="00000000" w14:paraId="0000006A">
      <w:pPr>
        <w:spacing w:after="120" w:before="120" w:lineRule="auto"/>
        <w:ind w:left="1134"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 base de los inventarios presentados por los Estados según lo dispuesto en el párrafo 1, </w:t>
      </w:r>
      <w:r w:rsidDel="00000000" w:rsidR="00000000" w:rsidRPr="00000000">
        <w:rPr>
          <w:rFonts w:ascii="Palatino Linotype" w:cs="Palatino Linotype" w:eastAsia="Palatino Linotype" w:hAnsi="Palatino Linotype"/>
          <w:b w:val="1"/>
          <w:i w:val="1"/>
          <w:sz w:val="22"/>
          <w:szCs w:val="22"/>
          <w:u w:val="single"/>
          <w:rtl w:val="0"/>
        </w:rPr>
        <w:t xml:space="preserve">el Comité establecerá, llevará al día y publicará, con el título de "Lista del patrimonio mundial", una lista de los bienes del patrimonio cultural y del patrimonio natural</w:t>
      </w:r>
      <w:r w:rsidDel="00000000" w:rsidR="00000000" w:rsidRPr="00000000">
        <w:rPr>
          <w:rFonts w:ascii="Palatino Linotype" w:cs="Palatino Linotype" w:eastAsia="Palatino Linotype" w:hAnsi="Palatino Linotype"/>
          <w:i w:val="1"/>
          <w:sz w:val="22"/>
          <w:szCs w:val="22"/>
          <w:rtl w:val="0"/>
        </w:rPr>
        <w:t xml:space="preserve">, tal </w:t>
      </w:r>
      <w:r w:rsidDel="00000000" w:rsidR="00000000" w:rsidRPr="00000000">
        <w:rPr>
          <w:rFonts w:ascii="Palatino Linotype" w:cs="Palatino Linotype" w:eastAsia="Palatino Linotype" w:hAnsi="Palatino Linotype"/>
          <w:b w:val="1"/>
          <w:i w:val="1"/>
          <w:sz w:val="22"/>
          <w:szCs w:val="22"/>
          <w:rtl w:val="0"/>
        </w:rPr>
        <w:t xml:space="preserve">como los definen los artículos 1 y 2 de la presente Convención</w:t>
      </w:r>
      <w:r w:rsidDel="00000000" w:rsidR="00000000" w:rsidRPr="00000000">
        <w:rPr>
          <w:rFonts w:ascii="Palatino Linotype" w:cs="Palatino Linotype" w:eastAsia="Palatino Linotype" w:hAnsi="Palatino Linotype"/>
          <w:i w:val="1"/>
          <w:sz w:val="22"/>
          <w:szCs w:val="22"/>
          <w:rtl w:val="0"/>
        </w:rPr>
        <w:t xml:space="preserve">, que considere que poseen un valor universal excepcional siguiendo los criterios que haya establecido. </w:t>
      </w:r>
      <w:r w:rsidDel="00000000" w:rsidR="00000000" w:rsidRPr="00000000">
        <w:rPr>
          <w:rFonts w:ascii="Palatino Linotype" w:cs="Palatino Linotype" w:eastAsia="Palatino Linotype" w:hAnsi="Palatino Linotype"/>
          <w:b w:val="1"/>
          <w:i w:val="1"/>
          <w:sz w:val="22"/>
          <w:szCs w:val="22"/>
          <w:u w:val="single"/>
          <w:rtl w:val="0"/>
        </w:rPr>
        <w:t xml:space="preserve">Una lista revisada puesta al día se distribuirá al menos cada dos años. </w:t>
      </w:r>
    </w:p>
    <w:p w:rsidR="00000000" w:rsidDel="00000000" w:rsidP="00000000" w:rsidRDefault="00000000" w:rsidRPr="00000000" w14:paraId="0000006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w:t>
      </w:r>
      <w:r w:rsidDel="00000000" w:rsidR="00000000" w:rsidRPr="00000000">
        <w:rPr>
          <w:rFonts w:ascii="Palatino Linotype" w:cs="Palatino Linotype" w:eastAsia="Palatino Linotype" w:hAnsi="Palatino Linotype"/>
          <w:i w:val="1"/>
          <w:sz w:val="22"/>
          <w:szCs w:val="22"/>
          <w:rtl w:val="0"/>
        </w:rPr>
        <w:t xml:space="preserve"> Será preciso el consentimiento del Estado interesado para inscribir un bien en la Lista del patrimonio mundial. La inscripción de un bien situado en un territorio que sea objeto de reivindicación de soberanía o de jurisdicción por parte de varios Estados no prejuzgará nada sobre los derechos de las partes en litigio.</w:t>
      </w:r>
    </w:p>
    <w:p w:rsidR="00000000" w:rsidDel="00000000" w:rsidP="00000000" w:rsidRDefault="00000000" w:rsidRPr="00000000" w14:paraId="0000006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4</w:t>
      </w:r>
      <w:r w:rsidDel="00000000" w:rsidR="00000000" w:rsidRPr="00000000">
        <w:rPr>
          <w:rFonts w:ascii="Palatino Linotype" w:cs="Palatino Linotype" w:eastAsia="Palatino Linotype" w:hAnsi="Palatino Linotype"/>
          <w:i w:val="1"/>
          <w:sz w:val="22"/>
          <w:szCs w:val="22"/>
          <w:rtl w:val="0"/>
        </w:rPr>
        <w:t xml:space="preserve">. El Comité establecerá, llevará al día y publicará, cada vez que las circunstancias lo exijan, con el nombre de "Lista del patrimonio mundial en peligro" una lista de los bienes que figuren en la Lista del patrimonio mundial, cuya protección exija grandes trabajos de conservación para los cuales se haya pedido ayuda en virtud de la presente Convención. Esta lista contendrá una estimación del costo de las operaciones. Sólo podrán figurar en esa lista los bienes del patrimonio cultural y natural que estén amenazados por peligros graves y precisos como la amenaza de desaparición debida a un deterioro acelerado, proyectos de grandes obras públicas o privadas, rápido desarrollo urbano y turístico, destrucción debida a cambios de utilización o de propiedad de tierra, alteraciones profundas debidas a una causa desconocida, abandono por cualquier motivo, conflicto armado que haya estallado o amenace estallar, catástrofes y cataclismos, incendios, terremotos, deslizamientos de terreno, erupciones volcánicas, modificaciones del nivel de las aguas, inundaciones y maremotos. El Comité podrá siempre, en caso de emergencia, efectuar una nueva inscripción en la Lista del patrimonio mundial en peligro y darle una difusión inmediata. </w:t>
      </w:r>
    </w:p>
    <w:p w:rsidR="00000000" w:rsidDel="00000000" w:rsidP="00000000" w:rsidRDefault="00000000" w:rsidRPr="00000000" w14:paraId="0000006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5.</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Comité definirá los criterios que servirán de base para la inscripción de un bien del patrimonio cultural y natural en una u otra de las listas de que tratan los párrafos 2 y 4 del presente artículo.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6.</w:t>
      </w:r>
      <w:r w:rsidDel="00000000" w:rsidR="00000000" w:rsidRPr="00000000">
        <w:rPr>
          <w:rFonts w:ascii="Palatino Linotype" w:cs="Palatino Linotype" w:eastAsia="Palatino Linotype" w:hAnsi="Palatino Linotype"/>
          <w:i w:val="1"/>
          <w:sz w:val="22"/>
          <w:szCs w:val="22"/>
          <w:rtl w:val="0"/>
        </w:rPr>
        <w:t xml:space="preserve"> Antes de denegar una petición de inscripción en una de las dos listas de que tratan los párrafos 2 y 4 del presente artículo, el Comité consultará con el Estado Parte en cuyo territorio esté situado el bien del patrimonio cultural o natural de que se trate. </w:t>
      </w:r>
    </w:p>
    <w:p w:rsidR="00000000" w:rsidDel="00000000" w:rsidP="00000000" w:rsidRDefault="00000000" w:rsidRPr="00000000" w14:paraId="0000006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7.</w:t>
      </w:r>
      <w:r w:rsidDel="00000000" w:rsidR="00000000" w:rsidRPr="00000000">
        <w:rPr>
          <w:rFonts w:ascii="Palatino Linotype" w:cs="Palatino Linotype" w:eastAsia="Palatino Linotype" w:hAnsi="Palatino Linotype"/>
          <w:i w:val="1"/>
          <w:sz w:val="22"/>
          <w:szCs w:val="22"/>
          <w:rtl w:val="0"/>
        </w:rPr>
        <w:t xml:space="preserve"> El Comité con el acuerdo de los Estados interesados, coordinará y estimulará los estudios y las investigaciones necesarios para constituir las listas a que se refieren los párrafos 2 y 4 del presente artículo.”</w:t>
      </w:r>
    </w:p>
    <w:p w:rsidR="00000000" w:rsidDel="00000000" w:rsidP="00000000" w:rsidRDefault="00000000" w:rsidRPr="00000000" w14:paraId="0000007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se señala que solo los países que han ratificado la Convención de Patrimonio Mundial, donde se comprometen a identificar, proteger, conservar y revalorizar su patrimonio cultural y natural, pueden proponer sus bienes o sitios para conseguir el reconocimiento de patrimonio mundial. </w:t>
      </w:r>
    </w:p>
    <w:p w:rsidR="00000000" w:rsidDel="00000000" w:rsidP="00000000" w:rsidRDefault="00000000" w:rsidRPr="00000000" w14:paraId="0000007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proceso consta de cuatro pasos:</w:t>
      </w:r>
    </w:p>
    <w:p w:rsidR="00000000" w:rsidDel="00000000" w:rsidP="00000000" w:rsidRDefault="00000000" w:rsidRPr="00000000" w14:paraId="00000072">
      <w:pPr>
        <w:spacing w:after="120" w:before="12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El Estado parte trabaja como herramienta de planificación y evaluación, una </w:t>
      </w:r>
      <w:r w:rsidDel="00000000" w:rsidR="00000000" w:rsidRPr="00000000">
        <w:rPr>
          <w:rFonts w:ascii="Palatino Linotype" w:cs="Palatino Linotype" w:eastAsia="Palatino Linotype" w:hAnsi="Palatino Linotype"/>
          <w:b w:val="1"/>
          <w:rtl w:val="0"/>
        </w:rPr>
        <w:t xml:space="preserve">Lista Indicativa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sus bienes culturales y naturales</w:t>
      </w:r>
      <w:r w:rsidDel="00000000" w:rsidR="00000000" w:rsidRPr="00000000">
        <w:rPr>
          <w:rFonts w:ascii="Palatino Linotype" w:cs="Palatino Linotype" w:eastAsia="Palatino Linotype" w:hAnsi="Palatino Linotype"/>
          <w:rtl w:val="0"/>
        </w:rPr>
        <w:t xml:space="preserve"> con probado valor universal excepcional, para ser incluidos en la Lista de Patrimonio Mundial de acuerdo con los criterios de la Convención.</w:t>
      </w:r>
    </w:p>
    <w:p w:rsidR="00000000" w:rsidDel="00000000" w:rsidP="00000000" w:rsidRDefault="00000000" w:rsidRPr="00000000" w14:paraId="00000073">
      <w:pPr>
        <w:spacing w:after="120" w:before="12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w:t>
      </w:r>
      <w:r w:rsidDel="00000000" w:rsidR="00000000" w:rsidRPr="00000000">
        <w:rPr>
          <w:rFonts w:ascii="Palatino Linotype" w:cs="Palatino Linotype" w:eastAsia="Palatino Linotype" w:hAnsi="Palatino Linotype"/>
          <w:b w:val="1"/>
          <w:rtl w:val="0"/>
        </w:rPr>
        <w:t xml:space="preserve">De su Lista Indicativa, el Estado parte seleccionará un bien y </w:t>
      </w:r>
      <w:r w:rsidDel="00000000" w:rsidR="00000000" w:rsidRPr="00000000">
        <w:rPr>
          <w:rFonts w:ascii="Palatino Linotype" w:cs="Palatino Linotype" w:eastAsia="Palatino Linotype" w:hAnsi="Palatino Linotype"/>
          <w:b w:val="1"/>
          <w:u w:val="single"/>
          <w:rtl w:val="0"/>
        </w:rPr>
        <w:t xml:space="preserve">desarrollará un expediente técnico</w:t>
      </w:r>
      <w:r w:rsidDel="00000000" w:rsidR="00000000" w:rsidRPr="00000000">
        <w:rPr>
          <w:rFonts w:ascii="Palatino Linotype" w:cs="Palatino Linotype" w:eastAsia="Palatino Linotype" w:hAnsi="Palatino Linotype"/>
          <w:b w:val="1"/>
          <w:rtl w:val="0"/>
        </w:rPr>
        <w:t xml:space="preserve"> cubriendo los ocho puntos o requerimientos señalados en el Formato de solicitud de inscripción,</w:t>
      </w:r>
      <w:r w:rsidDel="00000000" w:rsidR="00000000" w:rsidRPr="00000000">
        <w:rPr>
          <w:rFonts w:ascii="Palatino Linotype" w:cs="Palatino Linotype" w:eastAsia="Palatino Linotype" w:hAnsi="Palatino Linotype"/>
          <w:rtl w:val="0"/>
        </w:rPr>
        <w:t xml:space="preserve"> mismo que se entregará al Centro de Patrimonio Mundial.</w:t>
      </w:r>
    </w:p>
    <w:p w:rsidR="00000000" w:rsidDel="00000000" w:rsidP="00000000" w:rsidRDefault="00000000" w:rsidRPr="00000000" w14:paraId="00000074">
      <w:pPr>
        <w:spacing w:after="120" w:before="12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w:t>
      </w:r>
      <w:r w:rsidDel="00000000" w:rsidR="00000000" w:rsidRPr="00000000">
        <w:rPr>
          <w:rFonts w:ascii="Palatino Linotype" w:cs="Palatino Linotype" w:eastAsia="Palatino Linotype" w:hAnsi="Palatino Linotype"/>
          <w:b w:val="1"/>
          <w:rtl w:val="0"/>
        </w:rPr>
        <w:t xml:space="preserve">El Centro recibe y revisa si el expediente</w:t>
      </w:r>
      <w:r w:rsidDel="00000000" w:rsidR="00000000" w:rsidRPr="00000000">
        <w:rPr>
          <w:rFonts w:ascii="Palatino Linotype" w:cs="Palatino Linotype" w:eastAsia="Palatino Linotype" w:hAnsi="Palatino Linotype"/>
          <w:rtl w:val="0"/>
        </w:rPr>
        <w:t xml:space="preserve"> está completo o falta información adicional. Cumplido este primer requisito, envía la documentación a los órganos asesores.</w:t>
      </w:r>
    </w:p>
    <w:p w:rsidR="00000000" w:rsidDel="00000000" w:rsidP="00000000" w:rsidRDefault="00000000" w:rsidRPr="00000000" w14:paraId="00000075">
      <w:pPr>
        <w:spacing w:after="120" w:before="12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se trata de un </w:t>
      </w:r>
      <w:r w:rsidDel="00000000" w:rsidR="00000000" w:rsidRPr="00000000">
        <w:rPr>
          <w:rFonts w:ascii="Palatino Linotype" w:cs="Palatino Linotype" w:eastAsia="Palatino Linotype" w:hAnsi="Palatino Linotype"/>
          <w:b w:val="1"/>
          <w:rtl w:val="0"/>
        </w:rPr>
        <w:t xml:space="preserve">bien cultural su revisión corresponderá al Consejo Internacional de Monumentos y Sitios, ICOMOS</w:t>
      </w:r>
      <w:r w:rsidDel="00000000" w:rsidR="00000000" w:rsidRPr="00000000">
        <w:rPr>
          <w:rFonts w:ascii="Palatino Linotype" w:cs="Palatino Linotype" w:eastAsia="Palatino Linotype" w:hAnsi="Palatino Linotype"/>
          <w:rtl w:val="0"/>
        </w:rPr>
        <w:t xml:space="preserve">, quién enviará a algunos de sus expertos para evaluar y presentar un reporte técnico sobre el valor universal excepcional, el estado de conservación, la autenticidad e integridad del bien, su protección y gestión; finalmente supervisarán que los criterios de inscripción bajo los cuales se propuso el bien correspondan totalmente y remitirán al Comité sus recomendaciones.</w:t>
      </w:r>
    </w:p>
    <w:p w:rsidR="00000000" w:rsidDel="00000000" w:rsidP="00000000" w:rsidRDefault="00000000" w:rsidRPr="00000000" w14:paraId="00000076">
      <w:pPr>
        <w:spacing w:after="120" w:before="12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 los</w:t>
      </w:r>
      <w:r w:rsidDel="00000000" w:rsidR="00000000" w:rsidRPr="00000000">
        <w:rPr>
          <w:rFonts w:ascii="Palatino Linotype" w:cs="Palatino Linotype" w:eastAsia="Palatino Linotype" w:hAnsi="Palatino Linotype"/>
          <w:b w:val="1"/>
          <w:rtl w:val="0"/>
        </w:rPr>
        <w:t xml:space="preserve"> bienes naturales, la evaluación corresponde a la Unión Internacional para la Conservación de la Naturaleza, IUCN</w:t>
      </w:r>
      <w:r w:rsidDel="00000000" w:rsidR="00000000" w:rsidRPr="00000000">
        <w:rPr>
          <w:rFonts w:ascii="Palatino Linotype" w:cs="Palatino Linotype" w:eastAsia="Palatino Linotype" w:hAnsi="Palatino Linotype"/>
          <w:rtl w:val="0"/>
        </w:rPr>
        <w:t xml:space="preserve"> siguiendo los mismos pasos del ICOMOS. </w:t>
      </w:r>
    </w:p>
    <w:p w:rsidR="00000000" w:rsidDel="00000000" w:rsidP="00000000" w:rsidRDefault="00000000" w:rsidRPr="00000000" w14:paraId="00000077">
      <w:pPr>
        <w:spacing w:after="120" w:before="12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w:t>
      </w:r>
      <w:r w:rsidDel="00000000" w:rsidR="00000000" w:rsidRPr="00000000">
        <w:rPr>
          <w:rFonts w:ascii="Palatino Linotype" w:cs="Palatino Linotype" w:eastAsia="Palatino Linotype" w:hAnsi="Palatino Linotype"/>
          <w:b w:val="1"/>
          <w:rtl w:val="0"/>
        </w:rPr>
        <w:t xml:space="preserve">bienes mixtos o paisajes culturales son evaluados por ambos organismos</w:t>
      </w:r>
      <w:r w:rsidDel="00000000" w:rsidR="00000000" w:rsidRPr="00000000">
        <w:rPr>
          <w:rFonts w:ascii="Palatino Linotype" w:cs="Palatino Linotype" w:eastAsia="Palatino Linotype" w:hAnsi="Palatino Linotype"/>
          <w:rtl w:val="0"/>
        </w:rPr>
        <w:t xml:space="preserve"> asesores.</w:t>
      </w:r>
    </w:p>
    <w:p w:rsidR="00000000" w:rsidDel="00000000" w:rsidP="00000000" w:rsidRDefault="00000000" w:rsidRPr="00000000" w14:paraId="00000078">
      <w:pPr>
        <w:spacing w:after="120" w:before="12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El Comité del Patrimonio Mundial antes de tomar su decisión final, también puede solicitar información adicional del bien propuesto para decidir si este es aceptado, pospuesto, diferido o rechazado para integrar la Lista de Patrimonio Mundial.</w:t>
      </w:r>
    </w:p>
    <w:p w:rsidR="00000000" w:rsidDel="00000000" w:rsidP="00000000" w:rsidRDefault="00000000" w:rsidRPr="00000000" w14:paraId="00000079">
      <w:pPr>
        <w:spacing w:after="120" w:before="12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propuesta de nominación del bien o sitio que busca su reconocimiento como patrimonio mundial, debe enviarse al Centro de Patrimonio Mundial antes del 30 de septiembre de cada año, a fin de ser examinado y de verificar que incluya toda la información y documentación requerida. El expediente técnico completo deberá presentarse ante el mismo Secretariado antes del 1° de febrero de cada año para ser evaluado y considerada su inscripción un año después, durante la sesión del Comité que se lleva a cabo en los meses de junio o julio de cada año.</w:t>
      </w:r>
    </w:p>
    <w:p w:rsidR="00000000" w:rsidDel="00000000" w:rsidP="00000000" w:rsidRDefault="00000000" w:rsidRPr="00000000" w14:paraId="0000007A">
      <w:pPr>
        <w:spacing w:after="120" w:before="12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de nuestro país, la Comisión Mexicana de Cooperación con la UNESCO, CONALMEX, es la instancia de apoyo Técnico, consulta y seguimiento de la ejecución de los programas que establezca dicho organismo de las Naciones Unidas, relativos a la Educación, cultura y la divulgación científica.</w:t>
      </w:r>
    </w:p>
    <w:p w:rsidR="00000000" w:rsidDel="00000000" w:rsidP="00000000" w:rsidRDefault="00000000" w:rsidRPr="00000000" w14:paraId="0000007B">
      <w:pPr>
        <w:spacing w:after="120" w:before="12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señalar que el Instituto Nacional de Antropología e Historia, como un organismo que depende de la Secretaría de Cultura del Gobierno de México, de conformidad con el artículo 1 de la Ley Orgánica del Instituto Nacional de Antropología e Historia.</w:t>
      </w:r>
    </w:p>
    <w:p w:rsidR="00000000" w:rsidDel="00000000" w:rsidP="00000000" w:rsidRDefault="00000000" w:rsidRPr="00000000" w14:paraId="0000007C">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ARTICULO 1o</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Instituto Nacional de Antropología e Historia</w:t>
      </w:r>
      <w:r w:rsidDel="00000000" w:rsidR="00000000" w:rsidRPr="00000000">
        <w:rPr>
          <w:rFonts w:ascii="Palatino Linotype" w:cs="Palatino Linotype" w:eastAsia="Palatino Linotype" w:hAnsi="Palatino Linotype"/>
          <w:i w:val="1"/>
          <w:sz w:val="22"/>
          <w:szCs w:val="22"/>
          <w:rtl w:val="0"/>
        </w:rPr>
        <w:t xml:space="preserve"> tiene personalidad jurídica propia y </w:t>
      </w:r>
      <w:r w:rsidDel="00000000" w:rsidR="00000000" w:rsidRPr="00000000">
        <w:rPr>
          <w:rFonts w:ascii="Palatino Linotype" w:cs="Palatino Linotype" w:eastAsia="Palatino Linotype" w:hAnsi="Palatino Linotype"/>
          <w:b w:val="1"/>
          <w:i w:val="1"/>
          <w:sz w:val="22"/>
          <w:szCs w:val="22"/>
          <w:rtl w:val="0"/>
        </w:rPr>
        <w:t xml:space="preserve">depende de la Secretaría de Cultura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D">
      <w:pPr>
        <w:spacing w:after="120" w:before="12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spacing w:after="120" w:before="12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Instituto se auxilia, entre otras unidades administrativas, de la Dirección de Patrimonio Mundial, la cual tiene el compromiso de difundir la Convención de Patrimonio Mundial de la UNESCO, y, entre sus objetivos, se encuentran los siguientes:</w:t>
      </w:r>
    </w:p>
    <w:p w:rsidR="00000000" w:rsidDel="00000000" w:rsidP="00000000" w:rsidRDefault="00000000" w:rsidRPr="00000000" w14:paraId="0000007F">
      <w:pPr>
        <w:spacing w:after="120" w:before="120" w:line="360" w:lineRule="auto"/>
        <w:ind w:left="284" w:right="4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Gestión de Sitios de valor excepcional</w:t>
      </w:r>
    </w:p>
    <w:p w:rsidR="00000000" w:rsidDel="00000000" w:rsidP="00000000" w:rsidRDefault="00000000" w:rsidRPr="00000000" w14:paraId="00000080">
      <w:pPr>
        <w:spacing w:after="120" w:before="12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vislumbra que nuestro país como Estado Parte de la Convención de Patrimonio Mundial, continué la gestión de los sitios mexicanos de valor excepcional para su nominación en la Lista de Patrimonio Mundial, ya sea a través de la Comisión Mexicana de Cooperación con la UNESCO, CONALMEX, o bien, en las reuniones anuales que organiza el Comité de Patrimonio Mundial de la UNESCO.</w:t>
      </w:r>
    </w:p>
    <w:p w:rsidR="00000000" w:rsidDel="00000000" w:rsidP="00000000" w:rsidRDefault="00000000" w:rsidRPr="00000000" w14:paraId="00000081">
      <w:pPr>
        <w:spacing w:after="120" w:before="120" w:line="360" w:lineRule="auto"/>
        <w:ind w:left="284" w:right="4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medición del dinamismo sociocultural de los sitios</w:t>
      </w:r>
    </w:p>
    <w:p w:rsidR="00000000" w:rsidDel="00000000" w:rsidP="00000000" w:rsidRDefault="00000000" w:rsidRPr="00000000" w14:paraId="00000082">
      <w:pPr>
        <w:spacing w:after="120" w:before="12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elaboración de indicadores deberá estar orientando al manejo, uso y conservación óptima de los sitios inscritos en la Lista de Patrimonio Mundial. A ello, contribuirán los estudios precisos del dinamismo y transformaciones socioculturales de cada sitio, así como sus causas y posibles efectos.</w:t>
      </w:r>
    </w:p>
    <w:p w:rsidR="00000000" w:rsidDel="00000000" w:rsidP="00000000" w:rsidRDefault="00000000" w:rsidRPr="00000000" w14:paraId="00000083">
      <w:pPr>
        <w:spacing w:after="120" w:before="12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indicadores son la herramienta básica de apoyo para la elaboración de nuevas candidaturas de ingreso al listado mundial. De igual modo, su estudio y desarrollo constituyen el principal aporte metodológico para las evaluaciones certeras (monitoreo del estado de conservación) de los sitios, lo que permite una mejor elaboración de los Informes Periódicos.</w:t>
      </w:r>
    </w:p>
    <w:p w:rsidR="00000000" w:rsidDel="00000000" w:rsidP="00000000" w:rsidRDefault="00000000" w:rsidRPr="00000000" w14:paraId="00000084">
      <w:pPr>
        <w:spacing w:after="120" w:before="120" w:line="360" w:lineRule="auto"/>
        <w:ind w:left="284" w:right="4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Manejo de los sitios</w:t>
      </w:r>
    </w:p>
    <w:p w:rsidR="00000000" w:rsidDel="00000000" w:rsidP="00000000" w:rsidRDefault="00000000" w:rsidRPr="00000000" w14:paraId="00000085">
      <w:pPr>
        <w:spacing w:after="120" w:before="12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Promoción y elaboración de los Planes de Manejo y uso de los sitios patrimonio mundial. Para lo anterior, </w:t>
      </w:r>
      <w:r w:rsidDel="00000000" w:rsidR="00000000" w:rsidRPr="00000000">
        <w:rPr>
          <w:rFonts w:ascii="Palatino Linotype" w:cs="Palatino Linotype" w:eastAsia="Palatino Linotype" w:hAnsi="Palatino Linotype"/>
          <w:b w:val="1"/>
          <w:rtl w:val="0"/>
        </w:rPr>
        <w:t xml:space="preserve">la Dirección se coordinará con los diferentes actores federales, estatales y municipales</w:t>
      </w:r>
      <w:r w:rsidDel="00000000" w:rsidR="00000000" w:rsidRPr="00000000">
        <w:rPr>
          <w:rFonts w:ascii="Palatino Linotype" w:cs="Palatino Linotype" w:eastAsia="Palatino Linotype" w:hAnsi="Palatino Linotype"/>
          <w:rtl w:val="0"/>
        </w:rPr>
        <w:t xml:space="preserve">, con el fin de establecer la metodología específica para el manejo de las diferentes categorías, según sea el caso: Zona Arqueológica, Centro Histórico, Sitio Natural, Conjunto de Monumentos, Paisaje Cultural, Arte rupestre o Patrimonio Moderno.</w:t>
      </w:r>
    </w:p>
    <w:p w:rsidR="00000000" w:rsidDel="00000000" w:rsidP="00000000" w:rsidRDefault="00000000" w:rsidRPr="00000000" w14:paraId="00000086">
      <w:pPr>
        <w:spacing w:after="120" w:before="120" w:line="360" w:lineRule="auto"/>
        <w:ind w:left="284" w:right="4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Objetivo Estratégico para la implementación de la Convención del Patrimonio Mundial</w:t>
      </w:r>
    </w:p>
    <w:p w:rsidR="00000000" w:rsidDel="00000000" w:rsidP="00000000" w:rsidRDefault="00000000" w:rsidRPr="00000000" w14:paraId="00000087">
      <w:pPr>
        <w:spacing w:after="120" w:before="12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Dentro del Plan de Acción para el Patrimonio Mundial de América Latina, se espera cumplir con el fortalecimiento de los marcos nacionales legales e institucionales para la conservación y gestión del patrimonio, el establecimiento de cooperación interinstitucional e intersectorial, la integración de la conservación y gestión del patrimonio a planes de desarrollo y programas sectoriales y territoriales, y el reconocimiento del papel del patrimonio como un componente esencial en la vida colectiva de las comunidades. (Artículo 5 de la Convención).</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expuesto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no se advirtió que el Sistema Municipal Para el Desarrollo Integral de la Familia de Zinacantepec</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como lo adelantó la Unidad de Transparencia, </w:t>
      </w:r>
      <w:r w:rsidDel="00000000" w:rsidR="00000000" w:rsidRPr="00000000">
        <w:rPr>
          <w:rFonts w:ascii="Palatino Linotype" w:cs="Palatino Linotype" w:eastAsia="Palatino Linotype" w:hAnsi="Palatino Linotype"/>
          <w:b w:val="1"/>
          <w:u w:val="single"/>
          <w:rtl w:val="0"/>
        </w:rPr>
        <w:t xml:space="preserve">tenga injerencia en el proceso de inscripción de bienes de valor cultural y/o natural en la Lista de Patrimonio de la UNESCO,</w:t>
      </w:r>
      <w:r w:rsidDel="00000000" w:rsidR="00000000" w:rsidRPr="00000000">
        <w:rPr>
          <w:rFonts w:ascii="Palatino Linotype" w:cs="Palatino Linotype" w:eastAsia="Palatino Linotype" w:hAnsi="Palatino Linotype"/>
          <w:rtl w:val="0"/>
        </w:rPr>
        <w:t xml:space="preserve"> al no contar con atribuciones que le faculten para ello.</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no es procedente la entrega de información alguna para atender el punto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Del="00000000" w:rsidR="00000000" w:rsidRPr="00000000">
        <w:rPr>
          <w:rFonts w:ascii="Palatino Linotype" w:cs="Palatino Linotype" w:eastAsia="Palatino Linotype" w:hAnsi="Palatino Linotype"/>
          <w:i w:val="1"/>
          <w:rtl w:val="0"/>
        </w:rPr>
        <w:t xml:space="preserve"> contrario sensu</w:t>
      </w:r>
      <w:r w:rsidDel="00000000" w:rsidR="00000000" w:rsidRPr="00000000">
        <w:rPr>
          <w:rFonts w:ascii="Palatino Linotype" w:cs="Palatino Linotype" w:eastAsia="Palatino Linotype" w:hAnsi="Palatino Linotype"/>
          <w:rtl w:val="0"/>
        </w:rPr>
        <w:t xml:space="preserve"> significa que no se está obligado a proporcionar lo que no obre en sus archivos, en consecuencia,  el pronunciamiento vertido por la Unidad de Transparencia, es suficiente para tener por atendidos los requerimientos de información. </w:t>
      </w:r>
    </w:p>
    <w:p w:rsidR="00000000" w:rsidDel="00000000" w:rsidP="00000000" w:rsidRDefault="00000000" w:rsidRPr="00000000" w14:paraId="0000008A">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de recordar, respecto a la Declaración de Incompetencia la Ley de Transparencia y Acceso a la Información Pública del Estado de México, establece, en los artículos 49, fracción II y 167, lo siguiente: </w:t>
      </w:r>
    </w:p>
    <w:p w:rsidR="00000000" w:rsidDel="00000000" w:rsidP="00000000" w:rsidRDefault="00000000" w:rsidRPr="00000000" w14:paraId="0000008B">
      <w:pPr>
        <w:tabs>
          <w:tab w:val="left" w:leader="none" w:pos="1134"/>
        </w:tabs>
        <w:spacing w:line="360" w:lineRule="auto"/>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C">
      <w:pPr>
        <w:tabs>
          <w:tab w:val="left" w:leader="none" w:pos="1134"/>
          <w:tab w:val="left" w:leader="none" w:pos="1276"/>
        </w:tabs>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8D">
      <w:pPr>
        <w:tabs>
          <w:tab w:val="left" w:leader="none" w:pos="1134"/>
        </w:tabs>
        <w:spacing w:line="276"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8E">
      <w:pPr>
        <w:tabs>
          <w:tab w:val="left" w:leader="none" w:pos="1134"/>
        </w:tabs>
        <w:spacing w:line="276" w:lineRule="auto"/>
        <w:ind w:left="1134"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Calibri" w:cs="Calibri" w:eastAsia="Calibri" w:hAnsi="Calibri"/>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Confirmar, modificar o revocar</w:t>
      </w:r>
      <w:r w:rsidDel="00000000" w:rsidR="00000000" w:rsidRPr="00000000">
        <w:rPr>
          <w:rFonts w:ascii="Palatino Linotype" w:cs="Palatino Linotype" w:eastAsia="Palatino Linotype" w:hAnsi="Palatino Linotype"/>
          <w:i w:val="1"/>
          <w:sz w:val="22"/>
          <w:szCs w:val="22"/>
          <w:rtl w:val="0"/>
        </w:rPr>
        <w:t xml:space="preserve"> las determinaciones que en materia de ampliación del plazo de respuesta, clasificación de la información </w:t>
      </w:r>
      <w:r w:rsidDel="00000000" w:rsidR="00000000" w:rsidRPr="00000000">
        <w:rPr>
          <w:rFonts w:ascii="Palatino Linotype" w:cs="Palatino Linotype" w:eastAsia="Palatino Linotype" w:hAnsi="Palatino Linotype"/>
          <w:b w:val="1"/>
          <w:i w:val="1"/>
          <w:sz w:val="22"/>
          <w:szCs w:val="22"/>
          <w:rtl w:val="0"/>
        </w:rPr>
        <w:t xml:space="preserve">y declaración</w:t>
      </w:r>
      <w:r w:rsidDel="00000000" w:rsidR="00000000" w:rsidRPr="00000000">
        <w:rPr>
          <w:rFonts w:ascii="Palatino Linotype" w:cs="Palatino Linotype" w:eastAsia="Palatino Linotype" w:hAnsi="Palatino Linotype"/>
          <w:i w:val="1"/>
          <w:sz w:val="22"/>
          <w:szCs w:val="22"/>
          <w:rtl w:val="0"/>
        </w:rPr>
        <w:t xml:space="preserve"> de inexistencia o </w:t>
      </w:r>
      <w:r w:rsidDel="00000000" w:rsidR="00000000" w:rsidRPr="00000000">
        <w:rPr>
          <w:rFonts w:ascii="Palatino Linotype" w:cs="Palatino Linotype" w:eastAsia="Palatino Linotype" w:hAnsi="Palatino Linotype"/>
          <w:b w:val="1"/>
          <w:i w:val="1"/>
          <w:sz w:val="22"/>
          <w:szCs w:val="22"/>
          <w:rtl w:val="0"/>
        </w:rPr>
        <w:t xml:space="preserve">de incompetencia realicen los titulares de las áreas de los sujetos obligados;</w:t>
      </w:r>
      <w:r w:rsidDel="00000000" w:rsidR="00000000" w:rsidRPr="00000000">
        <w:rPr>
          <w:rtl w:val="0"/>
        </w:rPr>
      </w:r>
    </w:p>
    <w:p w:rsidR="00000000" w:rsidDel="00000000" w:rsidP="00000000" w:rsidRDefault="00000000" w:rsidRPr="00000000" w14:paraId="0000008F">
      <w:pPr>
        <w:tabs>
          <w:tab w:val="left" w:leader="none" w:pos="1134"/>
        </w:tabs>
        <w:spacing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0">
      <w:pPr>
        <w:tabs>
          <w:tab w:val="left" w:leader="none" w:pos="1134"/>
        </w:tabs>
        <w:spacing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las unidades de transparencia determinen la notoria incompetencia</w:t>
      </w:r>
      <w:r w:rsidDel="00000000" w:rsidR="00000000" w:rsidRPr="00000000">
        <w:rPr>
          <w:rFonts w:ascii="Palatino Linotype" w:cs="Palatino Linotype" w:eastAsia="Palatino Linotype" w:hAnsi="Palatino Linotype"/>
          <w:i w:val="1"/>
          <w:sz w:val="22"/>
          <w:szCs w:val="22"/>
          <w:rtl w:val="0"/>
        </w:rPr>
        <w:t xml:space="preserve"> por parte de los sujetos obligados,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2"/>
          <w:szCs w:val="22"/>
          <w:rtl w:val="0"/>
        </w:rPr>
        <w:t xml:space="preserve">deberán comunicarlo al solicitante, dentro de los tres días hábiles posteriores a la recepción de la solicitud</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en su caso orientar al solicitante, el o los sujetos obligados competentes.” (Sic)</w:t>
      </w:r>
    </w:p>
    <w:p w:rsidR="00000000" w:rsidDel="00000000" w:rsidP="00000000" w:rsidRDefault="00000000" w:rsidRPr="00000000" w14:paraId="00000091">
      <w:pPr>
        <w:tabs>
          <w:tab w:val="left" w:leader="none" w:pos="142"/>
          <w:tab w:val="left" w:leader="none" w:pos="284"/>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los preceptos citados se desprende que es atribución del Comité de Transparencia confirmar, modificar o revocar, en su caso, la declaración de incompetencia,</w:t>
      </w:r>
      <w:r w:rsidDel="00000000" w:rsidR="00000000" w:rsidRPr="00000000">
        <w:rPr>
          <w:rFonts w:ascii="Palatino Linotype" w:cs="Palatino Linotype" w:eastAsia="Palatino Linotype" w:hAnsi="Palatino Linotype"/>
          <w:b w:val="1"/>
          <w:rtl w:val="0"/>
        </w:rPr>
        <w:t xml:space="preserve"> en aquellos casos en los que no se trate de una notoria incompetencia. </w:t>
      </w:r>
    </w:p>
    <w:p w:rsidR="00000000" w:rsidDel="00000000" w:rsidP="00000000" w:rsidRDefault="00000000" w:rsidRPr="00000000" w14:paraId="00000092">
      <w:pPr>
        <w:tabs>
          <w:tab w:val="left" w:leader="none" w:pos="142"/>
          <w:tab w:val="left" w:leader="none" w:pos="284"/>
        </w:tabs>
        <w:spacing w:after="240" w:before="240" w:line="360" w:lineRule="auto"/>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Puesto que la Ley también prevé que dicho acuerdo no es necesario cuando la Unidad de Transparencia determine que la incompetencia es notoria dando un plazo de tres días hábiles para hacerlo del conocimiento del particular. En otras palabras, la Ley de la Materia confiere a las Unidades de Transparencia la posibilidad de notificar la incompetencia cuando ésta sea notoria, siendo innecesario que dicha circunstancia sea sometida a consideración de los integrantes del Comité de Transparencia </w:t>
      </w:r>
      <w:r w:rsidDel="00000000" w:rsidR="00000000" w:rsidRPr="00000000">
        <w:rPr>
          <w:rFonts w:ascii="Palatino Linotype" w:cs="Palatino Linotype" w:eastAsia="Palatino Linotype" w:hAnsi="Palatino Linotype"/>
          <w:u w:val="single"/>
          <w:rtl w:val="0"/>
        </w:rPr>
        <w:t xml:space="preserve">para su aprobación. </w:t>
      </w:r>
    </w:p>
    <w:p w:rsidR="00000000" w:rsidDel="00000000" w:rsidP="00000000" w:rsidRDefault="00000000" w:rsidRPr="00000000" w14:paraId="00000093">
      <w:pPr>
        <w:tabs>
          <w:tab w:val="left" w:leader="none" w:pos="142"/>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sustento de lo anterior, resulta aplicable el Criterio 20/20, emitido por el Instituto Nacional de Transparencia, Acceso a la Información, y Protección de Datos Personales, INAI, que lleva por rubro y texto los siguientes: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“Declaración de incompetencia por parte del Comité, cuando no sea notoria o manifiesta.</w:t>
      </w:r>
      <w:r w:rsidDel="00000000" w:rsidR="00000000" w:rsidRPr="00000000">
        <w:rPr>
          <w:rFonts w:ascii="Palatino Linotype" w:cs="Palatino Linotype" w:eastAsia="Palatino Linotype" w:hAnsi="Palatino Linotype"/>
          <w:i w:val="1"/>
          <w:sz w:val="22"/>
          <w:szCs w:val="22"/>
          <w:rtl w:val="0"/>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000000" w:rsidDel="00000000" w:rsidP="00000000" w:rsidRDefault="00000000" w:rsidRPr="00000000" w14:paraId="00000095">
      <w:pPr>
        <w:tabs>
          <w:tab w:val="left" w:leader="none" w:pos="142"/>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duda razonable sobre la administración del documento materia de la solicitud de información</w:t>
      </w:r>
      <w:r w:rsidDel="00000000" w:rsidR="00000000" w:rsidRPr="00000000">
        <w:rPr>
          <w:rFonts w:ascii="Palatino Linotype" w:cs="Palatino Linotype" w:eastAsia="Palatino Linotype" w:hAnsi="Palatino Linotype"/>
          <w:rtl w:val="0"/>
        </w:rPr>
        <w:t xml:space="preserve">, como se lee enseguida:</w:t>
      </w:r>
    </w:p>
    <w:p w:rsidR="00000000" w:rsidDel="00000000" w:rsidP="00000000" w:rsidRDefault="00000000" w:rsidRPr="00000000" w14:paraId="00000096">
      <w:pPr>
        <w:tabs>
          <w:tab w:val="left" w:leader="none" w:pos="1418"/>
        </w:tabs>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“DECLARATORIA DE INCOMPETENCIA DEL SUJETO OBLIGADO. SUPUESTO PARA CONFIRMARLA POR ACUERDO DEL COMITÉ DE TRANSPARENCIA. </w:t>
      </w:r>
      <w:r w:rsidDel="00000000" w:rsidR="00000000" w:rsidRPr="00000000">
        <w:rPr>
          <w:rFonts w:ascii="Palatino Linotype" w:cs="Palatino Linotype" w:eastAsia="Palatino Linotype" w:hAnsi="Palatino Linotype"/>
          <w:i w:val="1"/>
          <w:sz w:val="22"/>
          <w:szCs w:val="22"/>
          <w:rtl w:val="0"/>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Del="00000000" w:rsidR="00000000" w:rsidRPr="00000000">
        <w:rPr>
          <w:rFonts w:ascii="Palatino Linotype" w:cs="Palatino Linotype" w:eastAsia="Palatino Linotype" w:hAnsi="Palatino Linotype"/>
          <w:b w:val="1"/>
          <w:i w:val="1"/>
          <w:sz w:val="22"/>
          <w:szCs w:val="22"/>
          <w:rtl w:val="0"/>
        </w:rPr>
        <w:t xml:space="preserve">al ejercer el derecho de acceso a la información pública cabe la posibilidad de que existan atribuciones concurrentes entre dos o más Sujetos Obligados que </w:t>
      </w:r>
      <w:r w:rsidDel="00000000" w:rsidR="00000000" w:rsidRPr="00000000">
        <w:rPr>
          <w:rFonts w:ascii="Palatino Linotype" w:cs="Palatino Linotype" w:eastAsia="Palatino Linotype" w:hAnsi="Palatino Linotype"/>
          <w:b w:val="1"/>
          <w:i w:val="1"/>
          <w:sz w:val="22"/>
          <w:szCs w:val="22"/>
          <w:u w:val="single"/>
          <w:rtl w:val="0"/>
        </w:rPr>
        <w:t xml:space="preserve">impiden determinar dentro del término legal de tres días hábiles</w:t>
      </w:r>
      <w:r w:rsidDel="00000000" w:rsidR="00000000" w:rsidRPr="00000000">
        <w:rPr>
          <w:rFonts w:ascii="Palatino Linotype" w:cs="Palatino Linotype" w:eastAsia="Palatino Linotype" w:hAnsi="Palatino Linotype"/>
          <w:b w:val="1"/>
          <w:i w:val="1"/>
          <w:sz w:val="22"/>
          <w:szCs w:val="22"/>
          <w:rtl w:val="0"/>
        </w:rPr>
        <w:t xml:space="preserve">, si se posee o no la información por el Sujeto Obligado requerid</w:t>
      </w:r>
      <w:r w:rsidDel="00000000" w:rsidR="00000000" w:rsidRPr="00000000">
        <w:rPr>
          <w:rFonts w:ascii="Palatino Linotype" w:cs="Palatino Linotype" w:eastAsia="Palatino Linotype" w:hAnsi="Palatino Linotype"/>
          <w:i w:val="1"/>
          <w:sz w:val="22"/>
          <w:szCs w:val="22"/>
          <w:rtl w:val="0"/>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000000" w:rsidDel="00000000" w:rsidP="00000000" w:rsidRDefault="00000000" w:rsidRPr="00000000" w14:paraId="00000097">
      <w:pPr>
        <w:tabs>
          <w:tab w:val="left" w:leader="none" w:pos="1418"/>
        </w:tabs>
        <w:spacing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8">
      <w:pPr>
        <w:tabs>
          <w:tab w:val="left" w:leader="none" w:pos="142"/>
          <w:tab w:val="left" w:leader="none" w:pos="28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particular, de los registros que obran en el Sistema de Acceso a la Información Mexiquense, se tiene que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realizó su solicitud de información en fecha </w:t>
      </w:r>
      <w:r w:rsidDel="00000000" w:rsidR="00000000" w:rsidRPr="00000000">
        <w:rPr>
          <w:rFonts w:ascii="Palatino Linotype" w:cs="Palatino Linotype" w:eastAsia="Palatino Linotype" w:hAnsi="Palatino Linotype"/>
          <w:b w:val="1"/>
          <w:rtl w:val="0"/>
        </w:rPr>
        <w:t xml:space="preserve">dos de agosto de dos mil veintitrés</w:t>
      </w:r>
      <w:r w:rsidDel="00000000" w:rsidR="00000000" w:rsidRPr="00000000">
        <w:rPr>
          <w:rFonts w:ascii="Palatino Linotype" w:cs="Palatino Linotype" w:eastAsia="Palatino Linotype" w:hAnsi="Palatino Linotype"/>
          <w:rtl w:val="0"/>
        </w:rPr>
        <w:t xml:space="preserve">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declinó la competencia en fecha </w:t>
      </w:r>
      <w:r w:rsidDel="00000000" w:rsidR="00000000" w:rsidRPr="00000000">
        <w:rPr>
          <w:rFonts w:ascii="Palatino Linotype" w:cs="Palatino Linotype" w:eastAsia="Palatino Linotype" w:hAnsi="Palatino Linotype"/>
          <w:b w:val="1"/>
          <w:rtl w:val="0"/>
        </w:rPr>
        <w:t xml:space="preserve">tres de agosto de dos mil veintitrés</w:t>
      </w:r>
      <w:r w:rsidDel="00000000" w:rsidR="00000000" w:rsidRPr="00000000">
        <w:rPr>
          <w:rFonts w:ascii="Palatino Linotype" w:cs="Palatino Linotype" w:eastAsia="Palatino Linotype" w:hAnsi="Palatino Linotype"/>
          <w:rtl w:val="0"/>
        </w:rPr>
        <w:t xml:space="preserve">, es decir; </w:t>
      </w:r>
      <w:r w:rsidDel="00000000" w:rsidR="00000000" w:rsidRPr="00000000">
        <w:rPr>
          <w:rFonts w:ascii="Palatino Linotype" w:cs="Palatino Linotype" w:eastAsia="Palatino Linotype" w:hAnsi="Palatino Linotype"/>
          <w:b w:val="1"/>
          <w:rtl w:val="0"/>
        </w:rPr>
        <w:t xml:space="preserve">al siguiente día hábil</w:t>
      </w:r>
      <w:r w:rsidDel="00000000" w:rsidR="00000000" w:rsidRPr="00000000">
        <w:rPr>
          <w:rFonts w:ascii="Palatino Linotype" w:cs="Palatino Linotype" w:eastAsia="Palatino Linotype" w:hAnsi="Palatino Linotype"/>
          <w:rtl w:val="0"/>
        </w:rPr>
        <w:t xml:space="preserve"> en que se tuvo por registrada la solicitud de información.  </w:t>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orientó en su respuesta al particular, refiriendo  que una vez analizada la información solicitada, se determinó que esta podía estar en posesión del Ayuntamiento de Zinacantepec o la Secretaría de Cultura del Gobierno Federal.</w:t>
      </w:r>
    </w:p>
    <w:p w:rsidR="00000000" w:rsidDel="00000000" w:rsidP="00000000" w:rsidRDefault="00000000" w:rsidRPr="00000000" w14:paraId="0000009A">
      <w:pPr>
        <w:tabs>
          <w:tab w:val="left" w:leader="none" w:pos="993"/>
        </w:tabs>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anterior, es de vital importancia señalar que la facultad de orientación al particular para que formule su solicitud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competente es potestativa. </w:t>
      </w:r>
    </w:p>
    <w:p w:rsidR="00000000" w:rsidDel="00000000" w:rsidP="00000000" w:rsidRDefault="00000000" w:rsidRPr="00000000" w14:paraId="0000009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tales circunstancias, dado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informó la notoria incompetencia para atender favorablemente la solicitud, al día siguiente de haberse presentado, cobra relevancia artículo 167, párrafo primero de la Ley de Transparencia y Acceso a la Información Pública del Estado de México y Municipios, citado con antelación, toda vez que la declaración de incompetencia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encontró </w:t>
      </w:r>
      <w:r w:rsidDel="00000000" w:rsidR="00000000" w:rsidRPr="00000000">
        <w:rPr>
          <w:rFonts w:ascii="Palatino Linotype" w:cs="Palatino Linotype" w:eastAsia="Palatino Linotype" w:hAnsi="Palatino Linotype"/>
          <w:b w:val="1"/>
          <w:u w:val="single"/>
          <w:rtl w:val="0"/>
        </w:rPr>
        <w:t xml:space="preserve">dentro de los tres días siguientes a la presentación de la solicitud</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 conformidad con el párrafo primero del precepto legal en cita, se colige que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son infundados, por lo que resulta procedente </w:t>
      </w:r>
      <w:r w:rsidDel="00000000" w:rsidR="00000000" w:rsidRPr="00000000">
        <w:rPr>
          <w:rFonts w:ascii="Palatino Linotype" w:cs="Palatino Linotype" w:eastAsia="Palatino Linotype" w:hAnsi="Palatino Linotype"/>
          <w:i w:val="1"/>
          <w:rtl w:val="0"/>
        </w:rPr>
        <w:t xml:space="preserve">confirmar </w:t>
      </w:r>
      <w:r w:rsidDel="00000000" w:rsidR="00000000" w:rsidRPr="00000000">
        <w:rPr>
          <w:rFonts w:ascii="Palatino Linotype" w:cs="Palatino Linotype" w:eastAsia="Palatino Linotype" w:hAnsi="Palatino Linotype"/>
          <w:rtl w:val="0"/>
        </w:rPr>
        <w:t xml:space="preserve">la respuesta que se otorgó a la solicitud, dejando a salvo sus derechos para que, en caso de así considerarlo conveniente a sus intereses, pueda formular una solicitud ante el o los Sujetos Obligados competentes, pudiendo ser, de manera enunciativa, más no limitativa, la Secretaría de Cultura del Gobierno Federal, a través de la Dirección de Patrimonio Mundial del Instituto Nacional de Antropología e Historia. </w:t>
      </w:r>
    </w:p>
    <w:p w:rsidR="00000000" w:rsidDel="00000000" w:rsidP="00000000" w:rsidRDefault="00000000" w:rsidRPr="00000000" w14:paraId="0000009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toda vez que de conformidad con el artículo 11, párrafo segundo de la  Convención sobre la Protección del Patrimonio Mundial, Cultural y Natural, el Comité de Patrimonio Mundial cuenta con la obligación de publicar la Lista del Patrimonio Mundial, que contenga los bienes de patrimonio cultural y patrimonio natural, misma que debe ser actualizada por lo menos cada dos años, se hace del conocimiento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que dicha información puede ser consultada a través de la página oficial de la Unesco: </w:t>
      </w:r>
      <w:hyperlink r:id="rId9">
        <w:r w:rsidDel="00000000" w:rsidR="00000000" w:rsidRPr="00000000">
          <w:rPr>
            <w:rFonts w:ascii="Palatino Linotype" w:cs="Palatino Linotype" w:eastAsia="Palatino Linotype" w:hAnsi="Palatino Linotype"/>
            <w:u w:val="single"/>
            <w:rtl w:val="0"/>
          </w:rPr>
          <w:t xml:space="preserve">https://www.unesco.org/es</w:t>
        </w:r>
      </w:hyperlink>
      <w:r w:rsidDel="00000000" w:rsidR="00000000" w:rsidRPr="00000000">
        <w:rPr>
          <w:rFonts w:ascii="Palatino Linotype" w:cs="Palatino Linotype" w:eastAsia="Palatino Linotype" w:hAnsi="Palatino Linotype"/>
          <w:rtl w:val="0"/>
        </w:rPr>
        <w:t xml:space="preserve">, concretamente en la dirección electrónica: </w:t>
      </w:r>
      <w:hyperlink r:id="rId10">
        <w:r w:rsidDel="00000000" w:rsidR="00000000" w:rsidRPr="00000000">
          <w:rPr>
            <w:rFonts w:ascii="Palatino Linotype" w:cs="Palatino Linotype" w:eastAsia="Palatino Linotype" w:hAnsi="Palatino Linotype"/>
            <w:u w:val="single"/>
            <w:rtl w:val="0"/>
          </w:rPr>
          <w:t xml:space="preserve">https://whc.unesco.org/es/list/</w:t>
        </w:r>
      </w:hyperlink>
      <w:r w:rsidDel="00000000" w:rsidR="00000000" w:rsidRPr="00000000">
        <w:rPr>
          <w:rFonts w:ascii="Palatino Linotype" w:cs="Palatino Linotype" w:eastAsia="Palatino Linotype" w:hAnsi="Palatino Linotype"/>
          <w:rtl w:val="0"/>
        </w:rPr>
        <w:t xml:space="preserve">, a través de la cual la persona solicitante podrá conocer los bienes que se encuentran inscritos en la Lista del Patrimonio Mundial, entre los que se encuentran aquellos que se ubican en el territorio nacional.</w:t>
      </w:r>
    </w:p>
    <w:p w:rsidR="00000000" w:rsidDel="00000000" w:rsidP="00000000" w:rsidRDefault="00000000" w:rsidRPr="00000000" w14:paraId="0000009D">
      <w:pPr>
        <w:spacing w:after="240" w:before="240" w:line="360" w:lineRule="auto"/>
        <w:ind w:right="51"/>
        <w:jc w:val="both"/>
        <w:rPr>
          <w:rFonts w:ascii="Palatino Linotype" w:cs="Palatino Linotype" w:eastAsia="Palatino Linotype" w:hAnsi="Palatino Linotype"/>
        </w:rPr>
      </w:pPr>
      <w:bookmarkStart w:colFirst="0" w:colLast="0" w:name="_heading=h.lnxbz9" w:id="8"/>
      <w:bookmarkEnd w:id="8"/>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infundados, siendo procedente </w:t>
      </w:r>
      <w:r w:rsidDel="00000000" w:rsidR="00000000" w:rsidRPr="00000000">
        <w:rPr>
          <w:rFonts w:ascii="Palatino Linotype" w:cs="Palatino Linotype" w:eastAsia="Palatino Linotype" w:hAnsi="Palatino Linotype"/>
          <w:i w:val="1"/>
          <w:rtl w:val="0"/>
        </w:rPr>
        <w:t xml:space="preserve">Confirmar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 de la Ley de Transparencia y Acceso a la Información Pública del Estado de México y Municipios.</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bookmarkStart w:colFirst="0" w:colLast="0" w:name="_heading=h.17dp8vu" w:id="9"/>
      <w:bookmarkEnd w:id="9"/>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A0">
      <w:pPr>
        <w:spacing w:after="240" w:before="240" w:line="360" w:lineRule="auto"/>
        <w:jc w:val="both"/>
        <w:rPr>
          <w:rFonts w:ascii="Palatino Linotype" w:cs="Palatino Linotype" w:eastAsia="Palatino Linotype" w:hAnsi="Palatino Linotype"/>
        </w:rPr>
      </w:pPr>
      <w:bookmarkStart w:colFirst="0" w:colLast="0" w:name="_heading=h.26in1rg" w:id="10"/>
      <w:bookmarkEnd w:id="10"/>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Son </w:t>
      </w:r>
      <w:r w:rsidDel="00000000" w:rsidR="00000000" w:rsidRPr="00000000">
        <w:rPr>
          <w:rFonts w:ascii="Palatino Linotype" w:cs="Palatino Linotype" w:eastAsia="Palatino Linotype" w:hAnsi="Palatino Linotype"/>
          <w:b w:val="1"/>
          <w:rtl w:val="0"/>
        </w:rPr>
        <w:t xml:space="preserve">infundadas</w:t>
      </w:r>
      <w:r w:rsidDel="00000000" w:rsidR="00000000" w:rsidRPr="00000000">
        <w:rPr>
          <w:rFonts w:ascii="Palatino Linotype" w:cs="Palatino Linotype" w:eastAsia="Palatino Linotype" w:hAnsi="Palatino Linotype"/>
          <w:rtl w:val="0"/>
        </w:rPr>
        <w:t xml:space="preserv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04344/INFOEM/IP/RR/2023</w:t>
      </w:r>
      <w:r w:rsidDel="00000000" w:rsidR="00000000" w:rsidRPr="00000000">
        <w:rPr>
          <w:rFonts w:ascii="Palatino Linotype" w:cs="Palatino Linotype" w:eastAsia="Palatino Linotype" w:hAnsi="Palatino Linotype"/>
          <w:rtl w:val="0"/>
        </w:rPr>
        <w:t xml:space="preserve">, por lo que, en términos de los argumentos de derecho señalados en 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Confirma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su conocimiento, la presente resolución.</w:t>
      </w:r>
    </w:p>
    <w:p w:rsidR="00000000" w:rsidDel="00000000" w:rsidP="00000000" w:rsidRDefault="00000000" w:rsidRPr="00000000" w14:paraId="000000A2">
      <w:pPr>
        <w:spacing w:after="240" w:before="240" w:line="360" w:lineRule="auto"/>
        <w:jc w:val="both"/>
        <w:rPr>
          <w:rFonts w:ascii="Palatino Linotype" w:cs="Palatino Linotype" w:eastAsia="Palatino Linotype" w:hAnsi="Palatino Linotype"/>
        </w:rPr>
      </w:pPr>
      <w:bookmarkStart w:colFirst="0" w:colLast="0" w:name="_heading=h.4d34og8" w:id="11"/>
      <w:bookmarkEnd w:id="11"/>
      <w:r w:rsidDel="00000000" w:rsidR="00000000" w:rsidRPr="00000000">
        <w:rPr>
          <w:rFonts w:ascii="Palatino Linotype" w:cs="Palatino Linotype" w:eastAsia="Palatino Linotype" w:hAnsi="Palatino Linotype"/>
          <w:b w:val="1"/>
          <w:rtl w:val="0"/>
        </w:rPr>
        <w:t xml:space="preserve"> Tercero.  Notifíquese, a</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A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TRIGÉSIMO PRIMERA SESIÓN ORDINARIA, CELEBRADA EL TREINTA DE AGOSTO DE DOS MIL VEINTITRÉS, ANTE EL SECRETARIO TÉCNICO DEL PLENO ALEXIS TAPIA RAMÍREZ.</w:t>
      </w:r>
    </w:p>
    <w:p w:rsidR="00000000" w:rsidDel="00000000" w:rsidP="00000000" w:rsidRDefault="00000000" w:rsidRPr="00000000" w14:paraId="000000A4">
      <w:pPr>
        <w:spacing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5540375" cy="5892800"/>
                <wp:effectExtent b="0" l="0" r="0" t="0"/>
                <wp:wrapNone/>
                <wp:docPr id="941366509" name=""/>
                <a:graphic>
                  <a:graphicData uri="http://schemas.microsoft.com/office/word/2010/wordprocessingShape">
                    <wps:wsp>
                      <wps:cNvCnPr/>
                      <wps:spPr>
                        <a:xfrm>
                          <a:off x="2588513" y="846300"/>
                          <a:ext cx="5514975" cy="586740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5540375" cy="5892800"/>
                <wp:effectExtent b="0" l="0" r="0" t="0"/>
                <wp:wrapNone/>
                <wp:docPr id="941366509"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5540375" cy="5892800"/>
                        </a:xfrm>
                        <a:prstGeom prst="rect"/>
                        <a:ln/>
                      </pic:spPr>
                    </pic:pic>
                  </a:graphicData>
                </a:graphic>
              </wp:anchor>
            </w:drawing>
          </mc:Fallback>
        </mc:AlternateContent>
      </w:r>
    </w:p>
    <w:p w:rsidR="00000000" w:rsidDel="00000000" w:rsidP="00000000" w:rsidRDefault="00000000" w:rsidRPr="00000000" w14:paraId="000000A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spacing w:line="360" w:lineRule="auto"/>
        <w:jc w:val="both"/>
        <w:rPr>
          <w:rFonts w:ascii="Palatino Linotype" w:cs="Palatino Linotype" w:eastAsia="Palatino Linotype" w:hAnsi="Palatino Linotype"/>
        </w:rPr>
      </w:pPr>
      <w:bookmarkStart w:colFirst="0" w:colLast="0" w:name="_heading=h.3rdcrjn" w:id="12"/>
      <w:bookmarkEnd w:id="12"/>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rPr>
      </w:pPr>
      <w:bookmarkStart w:colFirst="0" w:colLast="0" w:name="_heading=h.1t3h5sf" w:id="13"/>
      <w:bookmarkEnd w:id="13"/>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F">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-1079497</wp:posOffset>
          </wp:positionH>
          <wp:positionV relativeFrom="paragraph">
            <wp:posOffset>-328927</wp:posOffset>
          </wp:positionV>
          <wp:extent cx="7809865" cy="10165715"/>
          <wp:effectExtent b="0" l="0" r="0" t="0"/>
          <wp:wrapNone/>
          <wp:docPr id="9413665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C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3">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04344/INFOEM/IP/RR/2023</w:t>
          </w:r>
        </w:p>
      </w:tc>
    </w:tr>
    <w:tr>
      <w:trPr>
        <w:cantSplit w:val="0"/>
        <w:trHeight w:val="130" w:hRule="atLeast"/>
        <w:tblHeader w:val="0"/>
      </w:trPr>
      <w:tc>
        <w:tcPr>
          <w:shd w:fill="auto" w:val="clear"/>
          <w:vAlign w:val="center"/>
        </w:tcPr>
        <w:p w:rsidR="00000000" w:rsidDel="00000000" w:rsidP="00000000" w:rsidRDefault="00000000" w:rsidRPr="00000000" w14:paraId="000000C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C5">
          <w:pPr>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0C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C7">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Zinacantepec</w:t>
          </w:r>
        </w:p>
      </w:tc>
    </w:tr>
    <w:tr>
      <w:trPr>
        <w:cantSplit w:val="0"/>
        <w:tblHeader w:val="0"/>
      </w:trPr>
      <w:tc>
        <w:tcPr>
          <w:shd w:fill="auto" w:val="clear"/>
          <w:vAlign w:val="center"/>
        </w:tcPr>
        <w:p w:rsidR="00000000" w:rsidDel="00000000" w:rsidP="00000000" w:rsidRDefault="00000000" w:rsidRPr="00000000" w14:paraId="000000C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C9">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-1080119</wp:posOffset>
          </wp:positionH>
          <wp:positionV relativeFrom="paragraph">
            <wp:posOffset>-488297</wp:posOffset>
          </wp:positionV>
          <wp:extent cx="7809865" cy="10165715"/>
          <wp:effectExtent b="0" l="0" r="0" t="0"/>
          <wp:wrapNone/>
          <wp:docPr id="9413665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C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E">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04344/INFOEM/IP/RR/2023</w:t>
          </w:r>
        </w:p>
      </w:tc>
    </w:tr>
    <w:tr>
      <w:trPr>
        <w:cantSplit w:val="0"/>
        <w:trHeight w:val="228" w:hRule="atLeast"/>
        <w:tblHeader w:val="0"/>
      </w:trPr>
      <w:tc>
        <w:tcPr>
          <w:shd w:fill="auto" w:val="clear"/>
          <w:vAlign w:val="center"/>
        </w:tcPr>
        <w:p w:rsidR="00000000" w:rsidDel="00000000" w:rsidP="00000000" w:rsidRDefault="00000000" w:rsidRPr="00000000" w14:paraId="000000C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D0">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Zinacantepec</w:t>
          </w:r>
        </w:p>
      </w:tc>
    </w:tr>
    <w:tr>
      <w:trPr>
        <w:cantSplit w:val="0"/>
        <w:tblHeader w:val="0"/>
      </w:trPr>
      <w:tc>
        <w:tcPr>
          <w:shd w:fill="auto" w:val="clear"/>
          <w:vAlign w:val="center"/>
        </w:tcPr>
        <w:p w:rsidR="00000000" w:rsidDel="00000000" w:rsidP="00000000" w:rsidRDefault="00000000" w:rsidRPr="00000000" w14:paraId="000000D1">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D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D3">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7"/>
      <w:numFmt w:val="bullet"/>
      <w:lvlText w:val="-"/>
      <w:lvlJc w:val="left"/>
      <w:pPr>
        <w:ind w:left="644" w:hanging="357"/>
      </w:pPr>
      <w:rPr>
        <w:rFonts w:ascii="Times New Roman" w:cs="Times New Roman" w:eastAsia="Times New Roman" w:hAnsi="Times New Roman"/>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w:cs="Noto Sans" w:eastAsia="Noto Sans" w:hAnsi="Noto Sans"/>
      </w:rPr>
    </w:lvl>
    <w:lvl w:ilvl="3">
      <w:start w:val="1"/>
      <w:numFmt w:val="bullet"/>
      <w:lvlText w:val="●"/>
      <w:lvlJc w:val="left"/>
      <w:pPr>
        <w:ind w:left="2804" w:hanging="360"/>
      </w:pPr>
      <w:rPr>
        <w:rFonts w:ascii="Noto Sans" w:cs="Noto Sans" w:eastAsia="Noto Sans" w:hAnsi="Noto San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w:cs="Noto Sans" w:eastAsia="Noto Sans" w:hAnsi="Noto Sans"/>
      </w:rPr>
    </w:lvl>
    <w:lvl w:ilvl="6">
      <w:start w:val="1"/>
      <w:numFmt w:val="bullet"/>
      <w:lvlText w:val="●"/>
      <w:lvlJc w:val="left"/>
      <w:pPr>
        <w:ind w:left="4964" w:hanging="360"/>
      </w:pPr>
      <w:rPr>
        <w:rFonts w:ascii="Noto Sans" w:cs="Noto Sans" w:eastAsia="Noto Sans" w:hAnsi="Noto San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w:cs="Noto Sans" w:eastAsia="Noto Sans" w:hAnsi="Noto Sans"/>
      </w:rPr>
    </w:lvl>
  </w:abstractNum>
  <w:abstractNum w:abstractNumId="3">
    <w:lvl w:ilvl="0">
      <w:start w:val="1"/>
      <w:numFmt w:val="decimal"/>
      <w:lvlText w:val="%1."/>
      <w:lvlJc w:val="left"/>
      <w:pPr>
        <w:ind w:left="644" w:hanging="358.99999999999994"/>
      </w:pPr>
      <w:rPr>
        <w:b w:val="1"/>
        <w:sz w:val="24"/>
        <w:szCs w:val="24"/>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left w:w="115.0" w:type="dxa"/>
        <w:right w:w="115.0" w:type="dxa"/>
      </w:tblCellMar>
    </w:tblPr>
  </w:style>
  <w:style w:type="table" w:styleId="1" w:customStyle="1">
    <w:name w:val="1"/>
    <w:basedOn w:val="TableNormal10"/>
    <w:tblPr>
      <w:tblStyleRowBandSize w:val="1"/>
      <w:tblStyleColBandSize w:val="1"/>
      <w:tblCellMar>
        <w:left w:w="115.0" w:type="dxa"/>
        <w:right w:w="115.0" w:type="dxa"/>
      </w:tblCellMar>
    </w:tblPr>
  </w:style>
  <w:style w:type="table" w:styleId="9" w:customStyle="1">
    <w:name w:val="9"/>
    <w:basedOn w:val="TableNormal20"/>
    <w:tblPr>
      <w:tblStyleRowBandSize w:val="1"/>
      <w:tblStyleColBandSize w:val="1"/>
      <w:tblCellMar>
        <w:left w:w="115.0" w:type="dxa"/>
        <w:right w:w="115.0" w:type="dxa"/>
      </w:tblCellMar>
    </w:tblPr>
  </w:style>
  <w:style w:type="table" w:styleId="8" w:customStyle="1">
    <w:name w:val="8"/>
    <w:basedOn w:val="TableNormal20"/>
    <w:tblPr>
      <w:tblStyleRowBandSize w:val="1"/>
      <w:tblStyleColBandSize w:val="1"/>
      <w:tblCellMar>
        <w:left w:w="115.0" w:type="dxa"/>
        <w:right w:w="115.0" w:type="dxa"/>
      </w:tblCellMar>
    </w:tblPr>
  </w:style>
  <w:style w:type="table" w:styleId="7" w:customStyle="1">
    <w:name w:val="7"/>
    <w:basedOn w:val="TableNormal30"/>
    <w:tblPr>
      <w:tblStyleRowBandSize w:val="1"/>
      <w:tblStyleColBandSize w:val="1"/>
      <w:tblCellMar>
        <w:left w:w="115.0" w:type="dxa"/>
        <w:right w:w="115.0" w:type="dxa"/>
      </w:tblCellMar>
    </w:tblPr>
  </w:style>
  <w:style w:type="table" w:styleId="6" w:customStyle="1">
    <w:name w:val="6"/>
    <w:basedOn w:val="TableNormal30"/>
    <w:tblPr>
      <w:tblStyleRowBandSize w:val="1"/>
      <w:tblStyleColBandSize w:val="1"/>
      <w:tblCellMar>
        <w:left w:w="115.0" w:type="dxa"/>
        <w:right w:w="115.0" w:type="dxa"/>
      </w:tblCellMar>
    </w:tblPr>
  </w:style>
  <w:style w:type="table" w:styleId="20" w:customStyle="1">
    <w:name w:val="20"/>
    <w:basedOn w:val="TableNormal40"/>
    <w:tblPr>
      <w:tblStyleRowBandSize w:val="1"/>
      <w:tblStyleColBandSize w:val="1"/>
      <w:tblCellMar>
        <w:left w:w="115.0" w:type="dxa"/>
        <w:right w:w="115.0" w:type="dxa"/>
      </w:tblCellMar>
    </w:tblPr>
  </w:style>
  <w:style w:type="table" w:styleId="19" w:customStyle="1">
    <w:name w:val="19"/>
    <w:basedOn w:val="TableNormal40"/>
    <w:tblPr>
      <w:tblStyleRowBandSize w:val="1"/>
      <w:tblStyleColBandSize w:val="1"/>
      <w:tblCellMar>
        <w:left w:w="115.0" w:type="dxa"/>
        <w:right w:w="115.0" w:type="dxa"/>
      </w:tblCellMar>
    </w:tblPr>
  </w:style>
  <w:style w:type="table" w:styleId="18" w:customStyle="1">
    <w:name w:val="18"/>
    <w:basedOn w:val="TableNormal5"/>
    <w:tblPr>
      <w:tblStyleRowBandSize w:val="1"/>
      <w:tblStyleColBandSize w:val="1"/>
      <w:tblCellMar>
        <w:left w:w="115.0" w:type="dxa"/>
        <w:right w:w="115.0" w:type="dxa"/>
      </w:tblCellMar>
    </w:tblPr>
  </w:style>
  <w:style w:type="table" w:styleId="17" w:customStyle="1">
    <w:name w:val="17"/>
    <w:basedOn w:val="TableNormal5"/>
    <w:tblPr>
      <w:tblStyleRowBandSize w:val="1"/>
      <w:tblStyleColBandSize w:val="1"/>
      <w:tblCellMar>
        <w:left w:w="115.0" w:type="dxa"/>
        <w:right w:w="115.0" w:type="dxa"/>
      </w:tblCellMar>
    </w:tblPr>
  </w:style>
  <w:style w:type="table" w:styleId="16" w:customStyle="1">
    <w:name w:val="16"/>
    <w:basedOn w:val="TableNormal6"/>
    <w:tblPr>
      <w:tblStyleRowBandSize w:val="1"/>
      <w:tblStyleColBandSize w:val="1"/>
      <w:tblCellMar>
        <w:left w:w="115.0" w:type="dxa"/>
        <w:right w:w="115.0" w:type="dxa"/>
      </w:tblCellMar>
    </w:tblPr>
  </w:style>
  <w:style w:type="table" w:styleId="15" w:customStyle="1">
    <w:name w:val="15"/>
    <w:basedOn w:val="TableNormal6"/>
    <w:tblPr>
      <w:tblStyleRowBandSize w:val="1"/>
      <w:tblStyleColBandSize w:val="1"/>
      <w:tblCellMar>
        <w:left w:w="115.0" w:type="dxa"/>
        <w:right w:w="115.0" w:type="dxa"/>
      </w:tblCellMar>
    </w:tblPr>
  </w:style>
  <w:style w:type="table" w:styleId="14" w:customStyle="1">
    <w:name w:val="14"/>
    <w:basedOn w:val="TableNormal7"/>
    <w:tblPr>
      <w:tblStyleRowBandSize w:val="1"/>
      <w:tblStyleColBandSize w:val="1"/>
      <w:tblCellMar>
        <w:left w:w="115.0" w:type="dxa"/>
        <w:right w:w="115.0" w:type="dxa"/>
      </w:tblCellMar>
    </w:tblPr>
  </w:style>
  <w:style w:type="table" w:styleId="13" w:customStyle="1">
    <w:name w:val="13"/>
    <w:basedOn w:val="TableNormal7"/>
    <w:tblPr>
      <w:tblStyleRowBandSize w:val="1"/>
      <w:tblStyleColBandSize w:val="1"/>
      <w:tblCellMar>
        <w:left w:w="115.0" w:type="dxa"/>
        <w:right w:w="115.0" w:type="dxa"/>
      </w:tblCellMar>
    </w:tblPr>
  </w:style>
  <w:style w:type="character" w:styleId="rse6dlih" w:customStyle="1">
    <w:name w:val="rse6dlih"/>
    <w:basedOn w:val="Fuentedeprrafopredeter"/>
    <w:rsid w:val="00190860"/>
  </w:style>
  <w:style w:type="table" w:styleId="12" w:customStyle="1">
    <w:name w:val="12"/>
    <w:basedOn w:val="TableNormal8"/>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1" w:customStyle="1">
    <w:name w:val="11"/>
    <w:basedOn w:val="TableNormal8"/>
    <w:tblPr>
      <w:tblStyleRowBandSize w:val="1"/>
      <w:tblStyleColBandSize w:val="1"/>
      <w:tblCellMar>
        <w:left w:w="115.0" w:type="dxa"/>
        <w:right w:w="115.0" w:type="dxa"/>
      </w:tblCellMar>
    </w:tblPr>
  </w:style>
  <w:style w:type="table" w:styleId="10" w:customStyle="1">
    <w:name w:val="10"/>
    <w:basedOn w:val="TableNormal8"/>
    <w:tblPr>
      <w:tblStyleRowBandSize w:val="1"/>
      <w:tblStyleColBandSize w:val="1"/>
      <w:tblCellMar>
        <w:left w:w="115.0" w:type="dxa"/>
        <w:right w:w="115.0" w:type="dxa"/>
      </w:tblCellMar>
    </w:tblPr>
  </w:style>
  <w:style w:type="table" w:styleId="24" w:customStyle="1">
    <w:name w:val="24"/>
    <w:basedOn w:val="TableNormal9"/>
    <w:tblPr>
      <w:tblStyleRowBandSize w:val="1"/>
      <w:tblStyleColBandSize w:val="1"/>
      <w:tblCellMar>
        <w:left w:w="115.0" w:type="dxa"/>
        <w:right w:w="115.0" w:type="dxa"/>
      </w:tblCellMar>
    </w:tblPr>
  </w:style>
  <w:style w:type="table" w:styleId="23" w:customStyle="1">
    <w:name w:val="23"/>
    <w:basedOn w:val="TableNormal9"/>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2" w:customStyle="1">
    <w:name w:val="22"/>
    <w:basedOn w:val="TableNormal9"/>
    <w:tblPr>
      <w:tblStyleRowBandSize w:val="1"/>
      <w:tblStyleColBandSize w:val="1"/>
      <w:tblCellMar>
        <w:left w:w="115.0" w:type="dxa"/>
        <w:right w:w="115.0" w:type="dxa"/>
      </w:tblCellMar>
    </w:tblPr>
  </w:style>
  <w:style w:type="table" w:styleId="21" w:customStyle="1">
    <w:name w:val="21"/>
    <w:basedOn w:val="TableNormal9"/>
    <w:tblPr>
      <w:tblStyleRowBandSize w:val="1"/>
      <w:tblStyleColBandSize w:val="1"/>
      <w:tblCellMar>
        <w:left w:w="115.0" w:type="dxa"/>
        <w:right w:w="115.0" w:type="dxa"/>
      </w:tblCellMar>
    </w:tblPr>
  </w:style>
  <w:style w:type="table" w:styleId="a" w:customStyle="1">
    <w:basedOn w:val="TableNormal4"/>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4"/>
    <w:tblPr>
      <w:tblStyleRowBandSize w:val="1"/>
      <w:tblStyleColBandSize w:val="1"/>
      <w:tblCellMar>
        <w:left w:w="115.0" w:type="dxa"/>
        <w:right w:w="115.0" w:type="dxa"/>
      </w:tblCellMar>
    </w:tblPr>
  </w:style>
  <w:style w:type="table" w:styleId="a2" w:customStyle="1">
    <w:basedOn w:val="TableNormal4"/>
    <w:tblPr>
      <w:tblStyleRowBandSize w:val="1"/>
      <w:tblStyleColBandSize w:val="1"/>
      <w:tblCellMar>
        <w:left w:w="115.0" w:type="dxa"/>
        <w:right w:w="115.0" w:type="dxa"/>
      </w:tblCellMar>
    </w:tblPr>
  </w:style>
  <w:style w:type="table" w:styleId="a3" w:customStyle="1">
    <w:basedOn w:val="TableNormal3"/>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3"/>
    <w:tblPr>
      <w:tblStyleRowBandSize w:val="1"/>
      <w:tblStyleColBandSize w:val="1"/>
      <w:tblCellMar>
        <w:left w:w="1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2"/>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B70D09"/>
    <w:rPr>
      <w:color w:val="605e5c"/>
      <w:shd w:color="auto" w:fill="e1dfdd" w:val="clear"/>
    </w:rPr>
  </w:style>
  <w:style w:type="table" w:styleId="a9" w:customStyle="1">
    <w:basedOn w:val="TableNormal1"/>
    <w:tblPr>
      <w:tblStyleRowBandSize w:val="1"/>
      <w:tblStyleColBandSize w:val="1"/>
      <w:tblCellMar>
        <w:left w:w="115.0" w:type="dxa"/>
        <w:right w:w="115.0" w:type="dxa"/>
      </w:tblCellMar>
    </w:tblPr>
  </w:style>
  <w:style w:type="table" w:styleId="aa" w:customStyle="1">
    <w:basedOn w:val="TableNormal1"/>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whc.unesco.org/es/list/" TargetMode="Externa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unesco.org/es"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PpQbHcJj2ngfB5zE8Jqw2xn1/A==">CgMxLjAyCGguZ2pkZ3hzMgloLjNkeTZ2a20yCWguMzBqMHpsbDIJaC4yczhleW8xMghoLnR5amN3dDIJaC4zem55c2g3MgloLjJldDkycDAyCWguMWZvYjl0ZTIIaC5sbnhiejkyCWguMTdkcDh2dTIJaC4yNmluMXJnMgloLjRkMzRvZzgyCWguM3JkY3JqbjIJaC4xdDNoNXNmOAByITFrTGVhcmxFc2I2cXAyV19Ka2JESzRiOEJlVDVpRVl0UQ==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2023-09-07T18:52:00Z</dcterms:created>
  <dc:creator>iMac</dc:creator>
</cp:coreProperties>
</file>