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6EAE7" w14:textId="485ADD65" w:rsidR="009A00EF" w:rsidRPr="00375A02" w:rsidRDefault="009A00EF" w:rsidP="009A00EF">
      <w:pPr>
        <w:spacing w:before="240" w:after="240" w:line="360" w:lineRule="auto"/>
        <w:contextualSpacing/>
        <w:jc w:val="both"/>
        <w:rPr>
          <w:rFonts w:ascii="Palatino Linotype" w:eastAsia="Palatino Linotype" w:hAnsi="Palatino Linotype" w:cs="Palatino Linotype"/>
          <w:sz w:val="24"/>
        </w:rPr>
      </w:pPr>
      <w:bookmarkStart w:id="0" w:name="_GoBack"/>
      <w:bookmarkEnd w:id="0"/>
      <w:r w:rsidRPr="00375A02">
        <w:rPr>
          <w:rFonts w:ascii="Palatino Linotype" w:eastAsia="Palatino Linotype" w:hAnsi="Palatino Linotype" w:cs="Palatino Linotype"/>
          <w:sz w:val="24"/>
        </w:rPr>
        <w:t xml:space="preserve">Resolución del Pleno del Instituto de Transparencia, Acceso a la Información Pública y Protección de Datos Personales del Estado de México y Municipios, con domicilio en Metepec, Estado de México, de fecha </w:t>
      </w:r>
      <w:r w:rsidR="0091055D" w:rsidRPr="00375A02">
        <w:rPr>
          <w:rFonts w:ascii="Palatino Linotype" w:eastAsia="Palatino Linotype" w:hAnsi="Palatino Linotype" w:cs="Palatino Linotype"/>
          <w:sz w:val="24"/>
        </w:rPr>
        <w:t>primero de marzo de dos mil veintitrés</w:t>
      </w:r>
      <w:r w:rsidRPr="00375A02">
        <w:rPr>
          <w:rFonts w:ascii="Palatino Linotype" w:eastAsia="Palatino Linotype" w:hAnsi="Palatino Linotype" w:cs="Palatino Linotype"/>
          <w:sz w:val="24"/>
        </w:rPr>
        <w:t>.</w:t>
      </w:r>
    </w:p>
    <w:p w14:paraId="599E7675" w14:textId="77777777" w:rsidR="009A00EF" w:rsidRPr="00375A02" w:rsidRDefault="009A00EF" w:rsidP="009A00EF">
      <w:pPr>
        <w:spacing w:before="240" w:after="240" w:line="360" w:lineRule="auto"/>
        <w:contextualSpacing/>
        <w:jc w:val="both"/>
        <w:rPr>
          <w:rFonts w:ascii="Palatino Linotype" w:eastAsia="Palatino Linotype" w:hAnsi="Palatino Linotype" w:cs="Palatino Linotype"/>
          <w:sz w:val="24"/>
        </w:rPr>
      </w:pPr>
    </w:p>
    <w:p w14:paraId="2F335ED7" w14:textId="1840AF72" w:rsidR="009A00EF" w:rsidRPr="00375A02" w:rsidRDefault="009A00EF" w:rsidP="009A00EF">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b/>
          <w:sz w:val="24"/>
        </w:rPr>
        <w:t xml:space="preserve">Visto </w:t>
      </w:r>
      <w:r w:rsidRPr="00375A02">
        <w:rPr>
          <w:rFonts w:ascii="Palatino Linotype" w:eastAsia="Palatino Linotype" w:hAnsi="Palatino Linotype" w:cs="Palatino Linotype"/>
          <w:sz w:val="24"/>
        </w:rPr>
        <w:t xml:space="preserve">el expediente relativo al recurso de revisión </w:t>
      </w:r>
      <w:r w:rsidRPr="00375A02">
        <w:rPr>
          <w:rFonts w:ascii="Palatino Linotype" w:eastAsia="Palatino Linotype" w:hAnsi="Palatino Linotype" w:cs="Palatino Linotype"/>
          <w:b/>
          <w:sz w:val="24"/>
        </w:rPr>
        <w:t>00169/INFOEM/IP/RR/2023</w:t>
      </w:r>
      <w:r w:rsidRPr="00375A02">
        <w:rPr>
          <w:rFonts w:ascii="Palatino Linotype" w:eastAsia="Palatino Linotype" w:hAnsi="Palatino Linotype" w:cs="Palatino Linotype"/>
          <w:sz w:val="24"/>
        </w:rPr>
        <w:t xml:space="preserve">, interpuesto por un particular de manera anónima, en lo sucesivo </w:t>
      </w:r>
      <w:r w:rsidRPr="00375A02">
        <w:rPr>
          <w:rFonts w:ascii="Palatino Linotype" w:eastAsia="Palatino Linotype" w:hAnsi="Palatino Linotype" w:cs="Palatino Linotype"/>
          <w:b/>
          <w:sz w:val="24"/>
        </w:rPr>
        <w:t>EL</w:t>
      </w:r>
      <w:r w:rsidRPr="00375A02">
        <w:rPr>
          <w:rFonts w:ascii="Palatino Linotype" w:eastAsia="Palatino Linotype" w:hAnsi="Palatino Linotype" w:cs="Palatino Linotype"/>
          <w:sz w:val="24"/>
        </w:rPr>
        <w:t xml:space="preserve"> </w:t>
      </w:r>
      <w:r w:rsidRPr="00375A02">
        <w:rPr>
          <w:rFonts w:ascii="Palatino Linotype" w:eastAsia="Palatino Linotype" w:hAnsi="Palatino Linotype" w:cs="Palatino Linotype"/>
          <w:b/>
          <w:sz w:val="24"/>
        </w:rPr>
        <w:t xml:space="preserve">RECURRENTE, </w:t>
      </w:r>
      <w:r w:rsidRPr="00375A02">
        <w:rPr>
          <w:rFonts w:ascii="Palatino Linotype" w:eastAsia="Palatino Linotype" w:hAnsi="Palatino Linotype" w:cs="Palatino Linotype"/>
          <w:sz w:val="24"/>
        </w:rPr>
        <w:t xml:space="preserve">en contra de la falta de respuesta a la solicitud de acceso a la información con número de folio </w:t>
      </w:r>
      <w:r w:rsidRPr="00375A02">
        <w:rPr>
          <w:rFonts w:ascii="Palatino Linotype" w:eastAsia="Palatino Linotype" w:hAnsi="Palatino Linotype" w:cs="Palatino Linotype"/>
          <w:b/>
          <w:sz w:val="24"/>
        </w:rPr>
        <w:t>01340/ZINACANT/IP/2022</w:t>
      </w:r>
      <w:r w:rsidRPr="00375A02">
        <w:rPr>
          <w:rFonts w:ascii="Palatino Linotype" w:eastAsia="Palatino Linotype" w:hAnsi="Palatino Linotype" w:cs="Palatino Linotype"/>
          <w:sz w:val="24"/>
        </w:rPr>
        <w:t>,</w:t>
      </w:r>
      <w:r w:rsidRPr="00375A02">
        <w:rPr>
          <w:rFonts w:ascii="Palatino Linotype" w:eastAsia="Palatino Linotype" w:hAnsi="Palatino Linotype" w:cs="Palatino Linotype"/>
          <w:b/>
          <w:sz w:val="24"/>
        </w:rPr>
        <w:t xml:space="preserve"> </w:t>
      </w:r>
      <w:r w:rsidRPr="00375A02">
        <w:rPr>
          <w:rFonts w:ascii="Palatino Linotype" w:eastAsia="Palatino Linotype" w:hAnsi="Palatino Linotype" w:cs="Palatino Linotype"/>
          <w:sz w:val="24"/>
        </w:rPr>
        <w:t xml:space="preserve">por parte del </w:t>
      </w:r>
      <w:r w:rsidRPr="00375A02">
        <w:rPr>
          <w:rFonts w:ascii="Palatino Linotype" w:eastAsia="Palatino Linotype" w:hAnsi="Palatino Linotype" w:cs="Palatino Linotype"/>
          <w:b/>
          <w:sz w:val="24"/>
        </w:rPr>
        <w:t>Ayuntamiento de Zinacantepec</w:t>
      </w:r>
      <w:r w:rsidRPr="00375A02">
        <w:rPr>
          <w:rFonts w:ascii="Palatino Linotype" w:eastAsia="Palatino Linotype" w:hAnsi="Palatino Linotype" w:cs="Palatino Linotype"/>
          <w:sz w:val="24"/>
        </w:rPr>
        <w:t xml:space="preserve"> en lo sucesivo el </w:t>
      </w:r>
      <w:r w:rsidRPr="00375A02">
        <w:rPr>
          <w:rFonts w:ascii="Palatino Linotype" w:eastAsia="Palatino Linotype" w:hAnsi="Palatino Linotype" w:cs="Palatino Linotype"/>
          <w:b/>
          <w:sz w:val="24"/>
        </w:rPr>
        <w:t xml:space="preserve">SUJETO OBLIGADO; </w:t>
      </w:r>
      <w:r w:rsidRPr="00375A02">
        <w:rPr>
          <w:rFonts w:ascii="Palatino Linotype" w:eastAsia="Palatino Linotype" w:hAnsi="Palatino Linotype" w:cs="Palatino Linotype"/>
          <w:sz w:val="24"/>
        </w:rPr>
        <w:t xml:space="preserve">se procede a dictar la presente resolución, con base en los siguientes. </w:t>
      </w:r>
    </w:p>
    <w:p w14:paraId="17056EFE" w14:textId="30A7E27B" w:rsidR="009A00EF" w:rsidRPr="00375A02" w:rsidRDefault="009A00EF"/>
    <w:p w14:paraId="5C433296" w14:textId="77777777" w:rsidR="009A00EF" w:rsidRPr="00375A02" w:rsidRDefault="009A00EF" w:rsidP="009A00EF">
      <w:p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4"/>
        </w:rPr>
      </w:pPr>
      <w:r w:rsidRPr="00375A02">
        <w:rPr>
          <w:rFonts w:ascii="Palatino Linotype" w:eastAsia="Palatino Linotype" w:hAnsi="Palatino Linotype" w:cs="Palatino Linotype"/>
          <w:b/>
          <w:sz w:val="24"/>
        </w:rPr>
        <w:t>A N T E C E D E N T E S:</w:t>
      </w:r>
    </w:p>
    <w:p w14:paraId="18F88381" w14:textId="7D257D6B" w:rsidR="009A00EF" w:rsidRPr="00375A02" w:rsidRDefault="009A00EF" w:rsidP="009A00EF">
      <w:pPr>
        <w:spacing w:before="240" w:after="240" w:line="360" w:lineRule="auto"/>
        <w:jc w:val="both"/>
        <w:rPr>
          <w:rFonts w:ascii="Palatino Linotype" w:eastAsia="Palatino Linotype" w:hAnsi="Palatino Linotype" w:cs="Palatino Linotype"/>
          <w:sz w:val="24"/>
        </w:rPr>
      </w:pPr>
      <w:r w:rsidRPr="00375A02">
        <w:rPr>
          <w:rFonts w:ascii="Palatino Linotype" w:eastAsia="Palatino Linotype" w:hAnsi="Palatino Linotype" w:cs="Palatino Linotype"/>
          <w:b/>
          <w:sz w:val="24"/>
        </w:rPr>
        <w:t xml:space="preserve">1. SOLICITUD DE ACCESO A LA INFORMACIÓN. </w:t>
      </w:r>
      <w:r w:rsidRPr="00375A02">
        <w:rPr>
          <w:rFonts w:ascii="Palatino Linotype" w:eastAsia="Palatino Linotype" w:hAnsi="Palatino Linotype" w:cs="Palatino Linotype"/>
          <w:sz w:val="24"/>
        </w:rPr>
        <w:t xml:space="preserve">Con fecha veinticinco de noviembre del dos mil veintidós, la parte </w:t>
      </w:r>
      <w:r w:rsidRPr="00375A02">
        <w:rPr>
          <w:rFonts w:ascii="Palatino Linotype" w:eastAsia="Palatino Linotype" w:hAnsi="Palatino Linotype" w:cs="Palatino Linotype"/>
          <w:b/>
          <w:sz w:val="24"/>
        </w:rPr>
        <w:t xml:space="preserve">RECURRENTE </w:t>
      </w:r>
      <w:r w:rsidRPr="00375A02">
        <w:rPr>
          <w:rFonts w:ascii="Palatino Linotype" w:eastAsia="Palatino Linotype" w:hAnsi="Palatino Linotype" w:cs="Palatino Linotype"/>
          <w:sz w:val="24"/>
        </w:rPr>
        <w:t xml:space="preserve">formuló solicitud de acceso a información pública al </w:t>
      </w:r>
      <w:r w:rsidRPr="00375A02">
        <w:rPr>
          <w:rFonts w:ascii="Palatino Linotype" w:eastAsia="Palatino Linotype" w:hAnsi="Palatino Linotype" w:cs="Palatino Linotype"/>
          <w:b/>
          <w:sz w:val="24"/>
        </w:rPr>
        <w:t>SUJETO OBLIGADO</w:t>
      </w:r>
      <w:r w:rsidRPr="00375A02">
        <w:rPr>
          <w:rFonts w:ascii="Palatino Linotype" w:eastAsia="Palatino Linotype" w:hAnsi="Palatino Linotype" w:cs="Palatino Linotype"/>
          <w:sz w:val="24"/>
        </w:rPr>
        <w:t xml:space="preserve"> a través del Sistema de Acceso a la Información Mexiquense, en adelante </w:t>
      </w:r>
      <w:r w:rsidRPr="00375A02">
        <w:rPr>
          <w:rFonts w:ascii="Palatino Linotype" w:eastAsia="Palatino Linotype" w:hAnsi="Palatino Linotype" w:cs="Palatino Linotype"/>
          <w:b/>
          <w:sz w:val="24"/>
        </w:rPr>
        <w:t>SAIMEX,</w:t>
      </w:r>
      <w:r w:rsidRPr="00375A02">
        <w:rPr>
          <w:rFonts w:ascii="Palatino Linotype" w:eastAsia="Palatino Linotype" w:hAnsi="Palatino Linotype" w:cs="Palatino Linotype"/>
          <w:sz w:val="24"/>
        </w:rPr>
        <w:t xml:space="preserve"> requiriéndole lo siguiente:</w:t>
      </w:r>
    </w:p>
    <w:p w14:paraId="10D9ABA1" w14:textId="09BD1A8F" w:rsidR="009A00EF" w:rsidRPr="00375A02" w:rsidRDefault="009A00EF" w:rsidP="009A00EF">
      <w:pPr>
        <w:pBdr>
          <w:top w:val="nil"/>
          <w:left w:val="nil"/>
          <w:bottom w:val="nil"/>
          <w:right w:val="nil"/>
          <w:between w:val="nil"/>
        </w:pBdr>
        <w:ind w:left="1077" w:right="1043"/>
        <w:jc w:val="both"/>
        <w:rPr>
          <w:rFonts w:ascii="Palatino Linotype" w:eastAsia="Palatino Linotype" w:hAnsi="Palatino Linotype" w:cs="Palatino Linotype"/>
          <w:i/>
        </w:rPr>
      </w:pPr>
      <w:r w:rsidRPr="00375A02">
        <w:rPr>
          <w:rFonts w:ascii="Palatino Linotype" w:eastAsia="Palatino Linotype" w:hAnsi="Palatino Linotype" w:cs="Palatino Linotype"/>
          <w:i/>
        </w:rPr>
        <w:t>“SOLICITO TODAS LAS FACTURAS DE PAGO POR CUALQUIER CONCEPTO DEL MES DE NOVIEMBRE DE 2022” (Sic)</w:t>
      </w:r>
    </w:p>
    <w:p w14:paraId="099A0912" w14:textId="77777777" w:rsidR="009A00EF" w:rsidRPr="00375A02" w:rsidRDefault="009A00EF" w:rsidP="009A00EF">
      <w:pPr>
        <w:spacing w:before="240" w:after="240" w:line="360" w:lineRule="auto"/>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t xml:space="preserve">Modalidad elegida para la entrega de la información: </w:t>
      </w:r>
      <w:r w:rsidRPr="00375A02">
        <w:rPr>
          <w:rFonts w:ascii="Palatino Linotype" w:eastAsia="Palatino Linotype" w:hAnsi="Palatino Linotype" w:cs="Palatino Linotype"/>
          <w:sz w:val="24"/>
          <w:szCs w:val="24"/>
        </w:rPr>
        <w:t>a través del SAIMEX.</w:t>
      </w:r>
    </w:p>
    <w:p w14:paraId="33A857F5" w14:textId="7A0433ED" w:rsidR="009A00EF" w:rsidRPr="00375A02" w:rsidRDefault="009A00EF"/>
    <w:p w14:paraId="23297BF6" w14:textId="3E6AD3E7" w:rsidR="009A00EF" w:rsidRPr="00375A02" w:rsidRDefault="009A00EF" w:rsidP="009A00EF">
      <w:pPr>
        <w:spacing w:before="240" w:after="240" w:line="360" w:lineRule="auto"/>
        <w:contextualSpacing/>
        <w:jc w:val="both"/>
        <w:rPr>
          <w:sz w:val="24"/>
        </w:rPr>
      </w:pPr>
      <w:r w:rsidRPr="00375A02">
        <w:rPr>
          <w:rFonts w:ascii="Palatino Linotype" w:eastAsia="Palatino Linotype" w:hAnsi="Palatino Linotype" w:cs="Palatino Linotype"/>
          <w:b/>
          <w:sz w:val="24"/>
        </w:rPr>
        <w:lastRenderedPageBreak/>
        <w:t xml:space="preserve">2. DE LA SOLICITUD DE ACLARACIÓN. </w:t>
      </w:r>
      <w:r w:rsidRPr="00375A02">
        <w:rPr>
          <w:rFonts w:ascii="Palatino Linotype" w:eastAsia="Palatino Linotype" w:hAnsi="Palatino Linotype" w:cs="Palatino Linotype"/>
          <w:sz w:val="24"/>
        </w:rPr>
        <w:t xml:space="preserve">Con fecha dos de diciembre del dos mil veintidós, </w:t>
      </w:r>
      <w:r w:rsidRPr="00375A02">
        <w:rPr>
          <w:rFonts w:ascii="Palatino Linotype" w:eastAsia="Palatino Linotype" w:hAnsi="Palatino Linotype" w:cs="Palatino Linotype"/>
          <w:b/>
          <w:sz w:val="24"/>
        </w:rPr>
        <w:t>EL SUJETO OBLIGADO</w:t>
      </w:r>
      <w:r w:rsidRPr="00375A02">
        <w:rPr>
          <w:rFonts w:ascii="Palatino Linotype" w:eastAsia="Palatino Linotype" w:hAnsi="Palatino Linotype" w:cs="Palatino Linotype"/>
          <w:sz w:val="24"/>
        </w:rPr>
        <w:t xml:space="preserve"> solicitó aclaración, a través del SAIMEX, a la solicitud de acceso a la información, de la siguiente manera:</w:t>
      </w:r>
      <w:r w:rsidRPr="00375A02">
        <w:rPr>
          <w:sz w:val="24"/>
        </w:rPr>
        <w:t xml:space="preserve"> </w:t>
      </w:r>
    </w:p>
    <w:p w14:paraId="09854C0F" w14:textId="77777777" w:rsidR="009A00EF" w:rsidRPr="00375A02" w:rsidRDefault="009A00EF" w:rsidP="009A00EF">
      <w:pPr>
        <w:spacing w:before="240" w:after="240" w:line="360" w:lineRule="auto"/>
        <w:contextualSpacing/>
        <w:jc w:val="both"/>
        <w:rPr>
          <w:rFonts w:ascii="Palatino Linotype" w:eastAsia="Palatino Linotype" w:hAnsi="Palatino Linotype" w:cs="Palatino Linotype"/>
          <w:b/>
          <w:sz w:val="24"/>
        </w:rPr>
      </w:pPr>
    </w:p>
    <w:p w14:paraId="6109C75B" w14:textId="77777777" w:rsidR="009A00EF" w:rsidRPr="00375A02" w:rsidRDefault="009A00EF" w:rsidP="009A00EF">
      <w:pPr>
        <w:spacing w:line="276" w:lineRule="auto"/>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i/>
        </w:rPr>
        <w:t>“Con fundamento en el articulo 159 de la Ley de Transparencia y Acceso a la Información Pública del Estado de México y Municipios, se le requiere para que dentro del plazo de diez días hábiles realice lo siguiente:</w:t>
      </w:r>
    </w:p>
    <w:p w14:paraId="4F31E678" w14:textId="77777777" w:rsidR="009A00EF" w:rsidRPr="00375A02" w:rsidRDefault="009A00EF" w:rsidP="009A00EF">
      <w:pPr>
        <w:spacing w:line="276" w:lineRule="auto"/>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8635F76" w14:textId="77777777" w:rsidR="009A00EF" w:rsidRPr="00375A02" w:rsidRDefault="009A00EF" w:rsidP="009A00EF">
      <w:pPr>
        <w:spacing w:line="276" w:lineRule="auto"/>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75211DA" w14:textId="77777777" w:rsidR="009A00EF" w:rsidRPr="00375A02" w:rsidRDefault="009A00EF" w:rsidP="009A00EF">
      <w:pPr>
        <w:spacing w:line="276" w:lineRule="auto"/>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i/>
        </w:rPr>
        <w:t>ATENTAMENTE</w:t>
      </w:r>
    </w:p>
    <w:p w14:paraId="5E8749DF" w14:textId="1283A5D3" w:rsidR="009A00EF" w:rsidRPr="00375A02" w:rsidRDefault="009A00EF" w:rsidP="009A00EF">
      <w:pPr>
        <w:spacing w:line="276" w:lineRule="auto"/>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i/>
        </w:rPr>
        <w:t>ING. JESUS EMMANUEL ENCASTIN RENDON”</w:t>
      </w:r>
    </w:p>
    <w:p w14:paraId="0E490AA1" w14:textId="25AAACBA" w:rsidR="009A00EF" w:rsidRPr="00375A02" w:rsidRDefault="009A00EF"/>
    <w:p w14:paraId="6A07C996" w14:textId="680A810E" w:rsidR="009A00EF" w:rsidRPr="00375A02" w:rsidRDefault="009A00EF" w:rsidP="009A00EF">
      <w:pPr>
        <w:spacing w:line="360" w:lineRule="auto"/>
        <w:jc w:val="both"/>
        <w:rPr>
          <w:rFonts w:ascii="Palatino Linotype" w:eastAsia="Palatino Linotype" w:hAnsi="Palatino Linotype" w:cs="Palatino Linotype"/>
          <w:b/>
          <w:sz w:val="24"/>
          <w:szCs w:val="24"/>
        </w:rPr>
      </w:pPr>
      <w:r w:rsidRPr="00375A02">
        <w:rPr>
          <w:rFonts w:ascii="Palatino Linotype" w:eastAsia="Palatino Linotype" w:hAnsi="Palatino Linotype" w:cs="Palatino Linotype"/>
          <w:b/>
          <w:sz w:val="24"/>
          <w:szCs w:val="24"/>
        </w:rPr>
        <w:t xml:space="preserve">3. DE LA RESPUESTA DE ACLARACIÓN. </w:t>
      </w:r>
      <w:r w:rsidRPr="00375A02">
        <w:rPr>
          <w:rFonts w:ascii="Palatino Linotype" w:eastAsia="Palatino Linotype" w:hAnsi="Palatino Linotype" w:cs="Palatino Linotype"/>
          <w:sz w:val="24"/>
          <w:szCs w:val="24"/>
        </w:rPr>
        <w:t>Con fecha dos de diciembre del dos mil veintidós, el particular dio atención a la solicitud de la aclaración, en el siguiente término:</w:t>
      </w:r>
    </w:p>
    <w:p w14:paraId="47CD61F3" w14:textId="33E99F87" w:rsidR="009A00EF" w:rsidRPr="00375A02" w:rsidRDefault="009A00EF" w:rsidP="009A00EF">
      <w:pPr>
        <w:spacing w:line="276" w:lineRule="auto"/>
        <w:ind w:left="567" w:right="616"/>
        <w:jc w:val="both"/>
        <w:rPr>
          <w:rFonts w:ascii="Palatino Linotype" w:eastAsia="Palatino Linotype" w:hAnsi="Palatino Linotype" w:cs="Palatino Linotype"/>
          <w:i/>
        </w:rPr>
      </w:pPr>
      <w:r w:rsidRPr="00375A02">
        <w:rPr>
          <w:rFonts w:ascii="Palatino Linotype" w:eastAsia="Palatino Linotype" w:hAnsi="Palatino Linotype" w:cs="Palatino Linotype"/>
          <w:i/>
        </w:rPr>
        <w:t xml:space="preserve"> “LA SOLICITUD ES MUY ESPECÍFICA” (Sic)</w:t>
      </w:r>
    </w:p>
    <w:p w14:paraId="3BED96EE" w14:textId="42623807" w:rsidR="009A00EF" w:rsidRPr="00375A02" w:rsidRDefault="009A00EF" w:rsidP="009A00EF">
      <w:pPr>
        <w:spacing w:before="240" w:after="240" w:line="360" w:lineRule="auto"/>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lastRenderedPageBreak/>
        <w:t xml:space="preserve">4. RESPUESTA. </w:t>
      </w:r>
      <w:r w:rsidRPr="00375A02">
        <w:rPr>
          <w:rFonts w:ascii="Palatino Linotype" w:eastAsia="Palatino Linotype" w:hAnsi="Palatino Linotype" w:cs="Palatino Linotype"/>
          <w:sz w:val="24"/>
          <w:szCs w:val="24"/>
        </w:rPr>
        <w:t xml:space="preserve">De las constancias que obran en </w:t>
      </w:r>
      <w:r w:rsidRPr="00375A02">
        <w:rPr>
          <w:rFonts w:ascii="Palatino Linotype" w:eastAsia="Palatino Linotype" w:hAnsi="Palatino Linotype" w:cs="Palatino Linotype"/>
          <w:b/>
          <w:sz w:val="24"/>
          <w:szCs w:val="24"/>
        </w:rPr>
        <w:t>SAIMEX</w:t>
      </w:r>
      <w:r w:rsidRPr="00375A02">
        <w:rPr>
          <w:rFonts w:ascii="Palatino Linotype" w:eastAsia="Palatino Linotype" w:hAnsi="Palatino Linotype" w:cs="Palatino Linotype"/>
          <w:sz w:val="24"/>
          <w:szCs w:val="24"/>
        </w:rPr>
        <w:t xml:space="preserve">, se observa que </w:t>
      </w:r>
      <w:r w:rsidRPr="00375A02">
        <w:rPr>
          <w:rFonts w:ascii="Palatino Linotype" w:eastAsia="Palatino Linotype" w:hAnsi="Palatino Linotype" w:cs="Palatino Linotype"/>
          <w:b/>
          <w:sz w:val="24"/>
          <w:szCs w:val="24"/>
        </w:rPr>
        <w:t xml:space="preserve">el SUJETO OBLIGADO </w:t>
      </w:r>
      <w:r w:rsidRPr="00375A02">
        <w:rPr>
          <w:rFonts w:ascii="Palatino Linotype" w:eastAsia="Palatino Linotype" w:hAnsi="Palatino Linotype" w:cs="Palatino Linotype"/>
          <w:sz w:val="24"/>
          <w:szCs w:val="24"/>
        </w:rPr>
        <w:t xml:space="preserve">no emitió respuesta a la solicitud de información formulada por la parte </w:t>
      </w:r>
      <w:r w:rsidRPr="00375A02">
        <w:rPr>
          <w:rFonts w:ascii="Palatino Linotype" w:eastAsia="Palatino Linotype" w:hAnsi="Palatino Linotype" w:cs="Palatino Linotype"/>
          <w:b/>
          <w:sz w:val="24"/>
          <w:szCs w:val="24"/>
        </w:rPr>
        <w:t>RECURRENTE</w:t>
      </w:r>
      <w:r w:rsidRPr="00375A02">
        <w:rPr>
          <w:rFonts w:ascii="Palatino Linotype" w:eastAsia="Palatino Linotype" w:hAnsi="Palatino Linotype" w:cs="Palatino Linotype"/>
          <w:sz w:val="24"/>
          <w:szCs w:val="24"/>
        </w:rPr>
        <w:t>.</w:t>
      </w:r>
    </w:p>
    <w:p w14:paraId="1FB125E7" w14:textId="4D0C2ECC" w:rsidR="009A00EF" w:rsidRPr="00375A02" w:rsidRDefault="009A00EF"/>
    <w:p w14:paraId="79F7FA1B" w14:textId="52C3B7BD" w:rsidR="009A00EF" w:rsidRPr="00375A02" w:rsidRDefault="009A00EF" w:rsidP="009A00EF">
      <w:pPr>
        <w:spacing w:after="240" w:line="360" w:lineRule="auto"/>
        <w:ind w:right="-234"/>
        <w:jc w:val="both"/>
        <w:rPr>
          <w:rFonts w:ascii="Palatino Linotype" w:eastAsia="Palatino Linotype" w:hAnsi="Palatino Linotype" w:cs="Palatino Linotype"/>
          <w:b/>
          <w:sz w:val="24"/>
          <w:szCs w:val="24"/>
        </w:rPr>
      </w:pPr>
      <w:r w:rsidRPr="00375A02">
        <w:rPr>
          <w:rFonts w:ascii="Palatino Linotype" w:eastAsia="Palatino Linotype" w:hAnsi="Palatino Linotype" w:cs="Palatino Linotype"/>
          <w:b/>
          <w:sz w:val="24"/>
          <w:szCs w:val="24"/>
        </w:rPr>
        <w:t xml:space="preserve">5. DEL RECURSO DE REVISIÓN. </w:t>
      </w:r>
      <w:r w:rsidRPr="00375A02">
        <w:rPr>
          <w:rFonts w:ascii="Palatino Linotype" w:eastAsia="Palatino Linotype" w:hAnsi="Palatino Linotype" w:cs="Palatino Linotype"/>
          <w:sz w:val="24"/>
          <w:szCs w:val="24"/>
        </w:rPr>
        <w:t xml:space="preserve">Inconforme con la </w:t>
      </w:r>
      <w:r w:rsidR="00C479AC" w:rsidRPr="00375A02">
        <w:rPr>
          <w:rFonts w:ascii="Palatino Linotype" w:eastAsia="Palatino Linotype" w:hAnsi="Palatino Linotype" w:cs="Palatino Linotype"/>
          <w:sz w:val="24"/>
          <w:szCs w:val="24"/>
        </w:rPr>
        <w:t xml:space="preserve">falta de </w:t>
      </w:r>
      <w:r w:rsidRPr="00375A02">
        <w:rPr>
          <w:rFonts w:ascii="Palatino Linotype" w:eastAsia="Palatino Linotype" w:hAnsi="Palatino Linotype" w:cs="Palatino Linotype"/>
          <w:sz w:val="24"/>
          <w:szCs w:val="24"/>
        </w:rPr>
        <w:t>respuesta</w:t>
      </w:r>
      <w:r w:rsidR="005A5181" w:rsidRPr="00375A02">
        <w:rPr>
          <w:rFonts w:ascii="Palatino Linotype" w:eastAsia="Palatino Linotype" w:hAnsi="Palatino Linotype" w:cs="Palatino Linotype"/>
          <w:sz w:val="24"/>
          <w:szCs w:val="24"/>
        </w:rPr>
        <w:t xml:space="preserve"> </w:t>
      </w:r>
      <w:r w:rsidRPr="00375A02">
        <w:rPr>
          <w:rFonts w:ascii="Palatino Linotype" w:eastAsia="Palatino Linotype" w:hAnsi="Palatino Linotype" w:cs="Palatino Linotype"/>
          <w:sz w:val="24"/>
          <w:szCs w:val="24"/>
        </w:rPr>
        <w:t>del</w:t>
      </w:r>
      <w:r w:rsidRPr="00375A02">
        <w:rPr>
          <w:rFonts w:ascii="Palatino Linotype" w:eastAsia="Palatino Linotype" w:hAnsi="Palatino Linotype" w:cs="Palatino Linotype"/>
          <w:b/>
          <w:sz w:val="24"/>
          <w:szCs w:val="24"/>
        </w:rPr>
        <w:t xml:space="preserve"> SUJETO OBLIGADO, </w:t>
      </w:r>
      <w:r w:rsidRPr="00375A02">
        <w:rPr>
          <w:rFonts w:ascii="Palatino Linotype" w:eastAsia="Palatino Linotype" w:hAnsi="Palatino Linotype" w:cs="Palatino Linotype"/>
          <w:sz w:val="24"/>
          <w:szCs w:val="24"/>
        </w:rPr>
        <w:t xml:space="preserve">en </w:t>
      </w:r>
      <w:r w:rsidR="00C479AC" w:rsidRPr="00375A02">
        <w:rPr>
          <w:rFonts w:ascii="Palatino Linotype" w:eastAsia="Palatino Linotype" w:hAnsi="Palatino Linotype" w:cs="Palatino Linotype"/>
          <w:sz w:val="24"/>
          <w:szCs w:val="24"/>
        </w:rPr>
        <w:t>fecha once de enero de dos mil veintitrés</w:t>
      </w:r>
      <w:r w:rsidRPr="00375A02">
        <w:rPr>
          <w:rFonts w:ascii="Palatino Linotype" w:eastAsia="Palatino Linotype" w:hAnsi="Palatino Linotype" w:cs="Palatino Linotype"/>
          <w:b/>
          <w:sz w:val="24"/>
          <w:szCs w:val="24"/>
        </w:rPr>
        <w:t xml:space="preserve">, EL RECURRENTE </w:t>
      </w:r>
      <w:r w:rsidRPr="00375A02">
        <w:rPr>
          <w:rFonts w:ascii="Palatino Linotype" w:eastAsia="Palatino Linotype" w:hAnsi="Palatino Linotype" w:cs="Palatino Linotype"/>
          <w:sz w:val="24"/>
          <w:szCs w:val="24"/>
        </w:rPr>
        <w:t>interpuso el recurso de revisión, el cual</w:t>
      </w:r>
      <w:r w:rsidR="00C479AC" w:rsidRPr="00375A02">
        <w:rPr>
          <w:rFonts w:ascii="Palatino Linotype" w:eastAsia="Palatino Linotype" w:hAnsi="Palatino Linotype" w:cs="Palatino Linotype"/>
          <w:strike/>
          <w:sz w:val="24"/>
          <w:szCs w:val="24"/>
        </w:rPr>
        <w:t xml:space="preserve"> </w:t>
      </w:r>
      <w:r w:rsidRPr="00375A02">
        <w:rPr>
          <w:rFonts w:ascii="Palatino Linotype" w:eastAsia="Palatino Linotype" w:hAnsi="Palatino Linotype" w:cs="Palatino Linotype"/>
          <w:sz w:val="24"/>
          <w:szCs w:val="24"/>
        </w:rPr>
        <w:t>fue registrado</w:t>
      </w:r>
      <w:r w:rsidRPr="00375A02">
        <w:rPr>
          <w:rFonts w:ascii="Palatino Linotype" w:eastAsia="Palatino Linotype" w:hAnsi="Palatino Linotype" w:cs="Palatino Linotype"/>
          <w:b/>
          <w:sz w:val="24"/>
          <w:szCs w:val="24"/>
        </w:rPr>
        <w:t xml:space="preserve"> </w:t>
      </w:r>
      <w:r w:rsidRPr="00375A02">
        <w:rPr>
          <w:rFonts w:ascii="Palatino Linotype" w:eastAsia="Palatino Linotype" w:hAnsi="Palatino Linotype" w:cs="Palatino Linotype"/>
          <w:sz w:val="24"/>
          <w:szCs w:val="24"/>
        </w:rPr>
        <w:t xml:space="preserve">en el sistema electrónico con el expediente número </w:t>
      </w:r>
      <w:r w:rsidRPr="00375A02">
        <w:rPr>
          <w:rFonts w:ascii="Palatino Linotype" w:eastAsia="Palatino Linotype" w:hAnsi="Palatino Linotype" w:cs="Palatino Linotype"/>
          <w:b/>
          <w:sz w:val="24"/>
          <w:szCs w:val="24"/>
        </w:rPr>
        <w:t>00169/INFOEM/IP/RR/202</w:t>
      </w:r>
      <w:r w:rsidR="00EF47A9" w:rsidRPr="00375A02">
        <w:rPr>
          <w:rFonts w:ascii="Palatino Linotype" w:eastAsia="Palatino Linotype" w:hAnsi="Palatino Linotype" w:cs="Palatino Linotype"/>
          <w:b/>
          <w:sz w:val="24"/>
          <w:szCs w:val="24"/>
        </w:rPr>
        <w:t>3</w:t>
      </w:r>
      <w:r w:rsidRPr="00375A02">
        <w:rPr>
          <w:rFonts w:ascii="Palatino Linotype" w:eastAsia="Palatino Linotype" w:hAnsi="Palatino Linotype" w:cs="Palatino Linotype"/>
          <w:sz w:val="24"/>
          <w:szCs w:val="24"/>
        </w:rPr>
        <w:t xml:space="preserve">, en el cual manifiesta, lo siguiente: </w:t>
      </w:r>
    </w:p>
    <w:p w14:paraId="3942D7A5" w14:textId="77777777" w:rsidR="009A00EF" w:rsidRPr="00375A02" w:rsidRDefault="009A00EF" w:rsidP="009A00EF">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375A02">
        <w:rPr>
          <w:rFonts w:ascii="Palatino Linotype" w:eastAsia="Palatino Linotype" w:hAnsi="Palatino Linotype" w:cs="Palatino Linotype"/>
          <w:b/>
          <w:i/>
          <w:sz w:val="24"/>
          <w:szCs w:val="24"/>
        </w:rPr>
        <w:t>Acto Impugnado:</w:t>
      </w:r>
    </w:p>
    <w:p w14:paraId="545795E7" w14:textId="10277847" w:rsidR="009A00EF" w:rsidRPr="00375A02" w:rsidRDefault="009A00EF" w:rsidP="009A00EF">
      <w:pPr>
        <w:tabs>
          <w:tab w:val="left" w:pos="8222"/>
        </w:tabs>
        <w:spacing w:before="240" w:after="240" w:line="276" w:lineRule="auto"/>
        <w:ind w:left="851" w:right="616"/>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r w:rsidR="00EF47A9" w:rsidRPr="00375A02">
        <w:rPr>
          <w:rFonts w:ascii="Palatino Linotype" w:eastAsia="Palatino Linotype" w:hAnsi="Palatino Linotype" w:cs="Palatino Linotype"/>
          <w:i/>
        </w:rPr>
        <w:t>NO ENTREGA INFORMACIÓN</w:t>
      </w:r>
      <w:r w:rsidRPr="00375A02">
        <w:rPr>
          <w:rFonts w:ascii="Palatino Linotype" w:eastAsia="Palatino Linotype" w:hAnsi="Palatino Linotype" w:cs="Palatino Linotype"/>
          <w:i/>
        </w:rPr>
        <w:t>” [sic]</w:t>
      </w:r>
    </w:p>
    <w:p w14:paraId="3F1EAB44" w14:textId="77777777" w:rsidR="009A00EF" w:rsidRPr="00375A02" w:rsidRDefault="009A00EF" w:rsidP="009A00EF">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375A02">
        <w:rPr>
          <w:rFonts w:ascii="Palatino Linotype" w:eastAsia="Palatino Linotype" w:hAnsi="Palatino Linotype" w:cs="Palatino Linotype"/>
          <w:b/>
          <w:i/>
          <w:sz w:val="24"/>
          <w:szCs w:val="24"/>
        </w:rPr>
        <w:t>Razones o Motivos de Inconformidad</w:t>
      </w:r>
      <w:r w:rsidRPr="00375A02">
        <w:rPr>
          <w:rFonts w:ascii="Palatino Linotype" w:eastAsia="Palatino Linotype" w:hAnsi="Palatino Linotype" w:cs="Palatino Linotype"/>
          <w:i/>
          <w:sz w:val="24"/>
          <w:szCs w:val="24"/>
        </w:rPr>
        <w:t>:</w:t>
      </w:r>
    </w:p>
    <w:p w14:paraId="169D1C35" w14:textId="62DE739A" w:rsidR="009A00EF" w:rsidRPr="00375A02" w:rsidRDefault="009A00EF" w:rsidP="009A00EF">
      <w:pPr>
        <w:spacing w:before="240" w:after="0" w:line="276" w:lineRule="auto"/>
        <w:ind w:left="851" w:right="616"/>
        <w:jc w:val="both"/>
        <w:rPr>
          <w:rFonts w:ascii="Palatino Linotype" w:eastAsia="Palatino Linotype" w:hAnsi="Palatino Linotype" w:cs="Palatino Linotype"/>
          <w:i/>
        </w:rPr>
      </w:pPr>
      <w:r w:rsidRPr="00375A02">
        <w:rPr>
          <w:rFonts w:ascii="Palatino Linotype" w:eastAsia="Palatino Linotype" w:hAnsi="Palatino Linotype" w:cs="Palatino Linotype"/>
          <w:i/>
          <w:sz w:val="24"/>
          <w:szCs w:val="24"/>
        </w:rPr>
        <w:t>“</w:t>
      </w:r>
      <w:r w:rsidR="00EF47A9" w:rsidRPr="00375A02">
        <w:rPr>
          <w:rFonts w:ascii="Palatino Linotype" w:eastAsia="Palatino Linotype" w:hAnsi="Palatino Linotype" w:cs="Palatino Linotype"/>
          <w:i/>
        </w:rPr>
        <w:t>NO ENTREGA INFORMACIÓN</w:t>
      </w:r>
      <w:r w:rsidRPr="00375A02">
        <w:rPr>
          <w:rFonts w:ascii="Palatino Linotype" w:eastAsia="Palatino Linotype" w:hAnsi="Palatino Linotype" w:cs="Palatino Linotype"/>
          <w:i/>
        </w:rPr>
        <w:t>” [sic]</w:t>
      </w:r>
    </w:p>
    <w:p w14:paraId="244FE231" w14:textId="77777777" w:rsidR="009A00EF" w:rsidRPr="00375A02" w:rsidRDefault="009A00EF" w:rsidP="009A00EF">
      <w:pPr>
        <w:spacing w:after="0" w:line="360" w:lineRule="auto"/>
        <w:jc w:val="both"/>
        <w:rPr>
          <w:rFonts w:ascii="Palatino Linotype" w:eastAsia="Palatino Linotype" w:hAnsi="Palatino Linotype" w:cs="Palatino Linotype"/>
          <w:b/>
          <w:sz w:val="24"/>
          <w:szCs w:val="24"/>
        </w:rPr>
      </w:pPr>
    </w:p>
    <w:p w14:paraId="3F595078" w14:textId="292F7158" w:rsidR="00EF47A9" w:rsidRPr="00375A02" w:rsidRDefault="00EF47A9" w:rsidP="00EF47A9">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t xml:space="preserve">6. TURNO. </w:t>
      </w:r>
      <w:r w:rsidRPr="00375A02">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75A02">
        <w:rPr>
          <w:rFonts w:ascii="Palatino Linotype" w:eastAsia="Palatino Linotype" w:hAnsi="Palatino Linotype" w:cs="Palatino Linotype"/>
          <w:b/>
          <w:sz w:val="24"/>
          <w:szCs w:val="24"/>
        </w:rPr>
        <w:t xml:space="preserve">Guadalupe Ramírez Peña, </w:t>
      </w:r>
      <w:r w:rsidRPr="00375A02">
        <w:rPr>
          <w:rFonts w:ascii="Palatino Linotype" w:eastAsia="Palatino Linotype" w:hAnsi="Palatino Linotype" w:cs="Palatino Linotype"/>
          <w:sz w:val="24"/>
          <w:szCs w:val="24"/>
        </w:rPr>
        <w:t>a efecto de que analizara sobre su admisión o su desechamiento.</w:t>
      </w:r>
    </w:p>
    <w:p w14:paraId="6070D685" w14:textId="77777777" w:rsidR="00EF47A9" w:rsidRPr="00375A02" w:rsidRDefault="00EF47A9" w:rsidP="00EF47A9"/>
    <w:p w14:paraId="63E29EBB" w14:textId="782048DB" w:rsidR="00EF47A9" w:rsidRPr="00375A02" w:rsidRDefault="00EF47A9" w:rsidP="00EF47A9">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t>7. ADMISIÓN DEL RECURSO DE REVISIÓN.</w:t>
      </w:r>
      <w:r w:rsidRPr="00375A02">
        <w:rPr>
          <w:rFonts w:ascii="Palatino Linotype" w:eastAsia="Palatino Linotype" w:hAnsi="Palatino Linotype" w:cs="Palatino Linotype"/>
          <w:sz w:val="24"/>
          <w:szCs w:val="24"/>
        </w:rPr>
        <w:t xml:space="preserve"> Con fecha</w:t>
      </w:r>
      <w:r w:rsidRPr="00375A02">
        <w:rPr>
          <w:rFonts w:ascii="Palatino Linotype" w:eastAsia="Palatino Linotype" w:hAnsi="Palatino Linotype" w:cs="Palatino Linotype"/>
          <w:b/>
          <w:sz w:val="24"/>
          <w:szCs w:val="24"/>
        </w:rPr>
        <w:t xml:space="preserve"> dieciséis de enero de dos mil veintitrés, </w:t>
      </w:r>
      <w:r w:rsidRPr="00375A02">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w:t>
      </w:r>
      <w:r w:rsidRPr="00375A02">
        <w:rPr>
          <w:rFonts w:ascii="Palatino Linotype" w:eastAsia="Palatino Linotype" w:hAnsi="Palatino Linotype" w:cs="Palatino Linotype"/>
          <w:sz w:val="24"/>
          <w:szCs w:val="24"/>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375A02">
        <w:rPr>
          <w:rFonts w:ascii="Palatino Linotype" w:eastAsia="Palatino Linotype" w:hAnsi="Palatino Linotype" w:cs="Palatino Linotype"/>
          <w:b/>
          <w:sz w:val="24"/>
          <w:szCs w:val="24"/>
        </w:rPr>
        <w:t xml:space="preserve">SUJETO OBLIGADO </w:t>
      </w:r>
      <w:r w:rsidRPr="00375A02">
        <w:rPr>
          <w:rFonts w:ascii="Palatino Linotype" w:eastAsia="Palatino Linotype" w:hAnsi="Palatino Linotype" w:cs="Palatino Linotype"/>
          <w:sz w:val="24"/>
          <w:szCs w:val="24"/>
        </w:rPr>
        <w:t>presentará su informe justificado.</w:t>
      </w:r>
    </w:p>
    <w:p w14:paraId="676C222C" w14:textId="07CB9E49" w:rsidR="009A00EF" w:rsidRPr="00375A02" w:rsidRDefault="009A00EF"/>
    <w:p w14:paraId="4C1E7539" w14:textId="4207561B" w:rsidR="00EF47A9" w:rsidRPr="00375A02" w:rsidRDefault="00EF47A9" w:rsidP="00EF47A9">
      <w:pPr>
        <w:spacing w:before="160" w:after="0" w:line="360" w:lineRule="auto"/>
        <w:ind w:right="49"/>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t>7. MANIFESTACIONES.</w:t>
      </w:r>
      <w:r w:rsidRPr="00375A02">
        <w:rPr>
          <w:rFonts w:ascii="Palatino Linotype" w:eastAsia="Palatino Linotype" w:hAnsi="Palatino Linotype" w:cs="Palatino Linotype"/>
          <w:sz w:val="24"/>
          <w:szCs w:val="24"/>
        </w:rPr>
        <w:t xml:space="preserve"> El diecinueve de enero de dos mil veintitrés se recibió, a través del Sistema de Acceso a la Información Mexiquense (SAIMEX), el Informe Justificado del </w:t>
      </w:r>
      <w:r w:rsidRPr="00375A02">
        <w:rPr>
          <w:rFonts w:ascii="Palatino Linotype" w:eastAsia="Palatino Linotype" w:hAnsi="Palatino Linotype" w:cs="Palatino Linotype"/>
          <w:b/>
          <w:sz w:val="24"/>
          <w:szCs w:val="24"/>
        </w:rPr>
        <w:t>SUJETO OBLIGADO</w:t>
      </w:r>
      <w:r w:rsidRPr="00375A02">
        <w:rPr>
          <w:rFonts w:ascii="Palatino Linotype" w:eastAsia="Palatino Linotype" w:hAnsi="Palatino Linotype" w:cs="Palatino Linotype"/>
          <w:sz w:val="24"/>
          <w:szCs w:val="24"/>
        </w:rPr>
        <w:t>,</w:t>
      </w:r>
      <w:r w:rsidRPr="00375A02">
        <w:rPr>
          <w:rFonts w:ascii="Palatino Linotype" w:eastAsia="Palatino Linotype" w:hAnsi="Palatino Linotype" w:cs="Palatino Linotype"/>
          <w:b/>
          <w:sz w:val="24"/>
          <w:szCs w:val="24"/>
        </w:rPr>
        <w:t xml:space="preserve"> </w:t>
      </w:r>
      <w:r w:rsidRPr="00375A02">
        <w:rPr>
          <w:rFonts w:ascii="Palatino Linotype" w:eastAsia="Palatino Linotype" w:hAnsi="Palatino Linotype" w:cs="Palatino Linotype"/>
          <w:sz w:val="24"/>
          <w:szCs w:val="24"/>
        </w:rPr>
        <w:t xml:space="preserve">a través del siguiente archivo electrónico: </w:t>
      </w:r>
    </w:p>
    <w:p w14:paraId="0ACEB417" w14:textId="01DEB937" w:rsidR="00EF47A9" w:rsidRPr="00375A02" w:rsidRDefault="00EF47A9" w:rsidP="00EF47A9">
      <w:pPr>
        <w:spacing w:before="160" w:after="0" w:line="360" w:lineRule="auto"/>
        <w:ind w:right="49"/>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bCs/>
          <w:i/>
          <w:iCs/>
          <w:sz w:val="24"/>
          <w:szCs w:val="24"/>
          <w:u w:val="single"/>
        </w:rPr>
        <w:t>“respuesta de solicitud 1340-22R.pdf”</w:t>
      </w:r>
      <w:r w:rsidRPr="00375A02">
        <w:rPr>
          <w:rFonts w:ascii="Palatino Linotype" w:eastAsia="Palatino Linotype" w:hAnsi="Palatino Linotype" w:cs="Palatino Linotype"/>
          <w:sz w:val="24"/>
          <w:szCs w:val="24"/>
        </w:rPr>
        <w:t xml:space="preserve">: Oficio signado por el Titular de la Unidad de Transparencia mediante el cual refiere que la </w:t>
      </w:r>
      <w:r w:rsidR="009E55CF" w:rsidRPr="00375A02">
        <w:rPr>
          <w:rFonts w:ascii="Palatino Linotype" w:eastAsia="Palatino Linotype" w:hAnsi="Palatino Linotype" w:cs="Palatino Linotype"/>
          <w:sz w:val="24"/>
          <w:szCs w:val="24"/>
        </w:rPr>
        <w:t>solicitud fue turnada al servidor público habilitado competente quien señaló que la información solicitada</w:t>
      </w:r>
      <w:r w:rsidRPr="00375A02">
        <w:rPr>
          <w:rFonts w:ascii="Palatino Linotype" w:eastAsia="Palatino Linotype" w:hAnsi="Palatino Linotype" w:cs="Palatino Linotype"/>
          <w:sz w:val="24"/>
          <w:szCs w:val="24"/>
        </w:rPr>
        <w:t xml:space="preserve"> puede </w:t>
      </w:r>
      <w:r w:rsidR="009E55CF" w:rsidRPr="00375A02">
        <w:rPr>
          <w:rFonts w:ascii="Palatino Linotype" w:eastAsia="Palatino Linotype" w:hAnsi="Palatino Linotype" w:cs="Palatino Linotype"/>
          <w:sz w:val="24"/>
          <w:szCs w:val="24"/>
        </w:rPr>
        <w:t>ser consultada</w:t>
      </w:r>
      <w:r w:rsidRPr="00375A02">
        <w:rPr>
          <w:rFonts w:ascii="Palatino Linotype" w:eastAsia="Palatino Linotype" w:hAnsi="Palatino Linotype" w:cs="Palatino Linotype"/>
          <w:sz w:val="24"/>
          <w:szCs w:val="24"/>
        </w:rPr>
        <w:t xml:space="preserve"> dentro del sistema de Información Pública de Oficio Mexiquense (IPOMEX), proporcionando la siguiente liga electrónica:</w:t>
      </w:r>
    </w:p>
    <w:p w14:paraId="2E7F3016" w14:textId="098BE758" w:rsidR="00EF47A9" w:rsidRPr="00375A02" w:rsidRDefault="00EF47A9" w:rsidP="009E55CF">
      <w:pPr>
        <w:spacing w:before="160" w:after="0" w:line="360" w:lineRule="auto"/>
        <w:ind w:right="49"/>
        <w:jc w:val="center"/>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https://www.ipomex.org.mx/ipo3/lgt/indice/ZINACANTEPEC/art_92_xxxv_a.web</w:t>
      </w:r>
      <w:r w:rsidRPr="00375A02">
        <w:rPr>
          <w:rFonts w:ascii="Palatino Linotype" w:eastAsia="Palatino Linotype" w:hAnsi="Palatino Linotype" w:cs="Palatino Linotype"/>
          <w:sz w:val="24"/>
          <w:szCs w:val="24"/>
        </w:rPr>
        <w:cr/>
      </w:r>
      <w:r w:rsidR="009E55CF" w:rsidRPr="00375A02">
        <w:rPr>
          <w:noProof/>
          <w:lang w:eastAsia="es-MX"/>
        </w:rPr>
        <w:drawing>
          <wp:inline distT="0" distB="0" distL="0" distR="0" wp14:anchorId="5736CC6C" wp14:editId="6C4D2093">
            <wp:extent cx="5105400" cy="1733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05400" cy="1733550"/>
                    </a:xfrm>
                    <a:prstGeom prst="rect">
                      <a:avLst/>
                    </a:prstGeom>
                  </pic:spPr>
                </pic:pic>
              </a:graphicData>
            </a:graphic>
          </wp:inline>
        </w:drawing>
      </w:r>
    </w:p>
    <w:p w14:paraId="1EFA2E02" w14:textId="1901DEF8" w:rsidR="00EF47A9" w:rsidRPr="00375A02" w:rsidRDefault="00EF47A9" w:rsidP="00EF47A9">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t xml:space="preserve">8. CIERRE DE INSTRUCCIÓN. </w:t>
      </w:r>
      <w:r w:rsidR="00C479AC" w:rsidRPr="00375A02">
        <w:rPr>
          <w:rFonts w:ascii="Palatino Linotype" w:eastAsia="Palatino Linotype" w:hAnsi="Palatino Linotype" w:cs="Palatino Linotype"/>
          <w:sz w:val="24"/>
          <w:szCs w:val="24"/>
        </w:rPr>
        <w:t>El veintidós de febrero de dos mil veintidós</w:t>
      </w:r>
      <w:r w:rsidRPr="00375A02">
        <w:rPr>
          <w:rFonts w:ascii="Palatino Linotype" w:eastAsia="Palatino Linotype" w:hAnsi="Palatino Linotype" w:cs="Palatino Linotype"/>
          <w:sz w:val="24"/>
          <w:szCs w:val="24"/>
        </w:rPr>
        <w:t xml:space="preserve">, al no existir diligencias pendientes por desahogar, se emitió el acuerdo por medio del cual se declaró cerrada la instrucción y se determinó pasar el expediente a resolución, en </w:t>
      </w:r>
      <w:r w:rsidRPr="00375A02">
        <w:rPr>
          <w:rFonts w:ascii="Palatino Linotype" w:eastAsia="Palatino Linotype" w:hAnsi="Palatino Linotype" w:cs="Palatino Linotype"/>
          <w:sz w:val="24"/>
          <w:szCs w:val="24"/>
        </w:rPr>
        <w:lastRenderedPageBreak/>
        <w:t>términos del artículo 185 fracción VI y VIII de la Ley de Transparencia y Acceso a la Información Pública del Estado de México y Municipios, iniciando el término legal para dictar resolución definitiva del asunto.</w:t>
      </w:r>
    </w:p>
    <w:p w14:paraId="7EC3B719" w14:textId="77777777" w:rsidR="00EF47A9" w:rsidRPr="00375A02" w:rsidRDefault="00EF47A9" w:rsidP="00EF47A9">
      <w:pPr>
        <w:spacing w:after="0" w:line="360" w:lineRule="auto"/>
        <w:jc w:val="both"/>
        <w:rPr>
          <w:rFonts w:ascii="Palatino Linotype" w:eastAsia="Palatino Linotype" w:hAnsi="Palatino Linotype" w:cs="Palatino Linotype"/>
          <w:sz w:val="24"/>
          <w:szCs w:val="24"/>
        </w:rPr>
      </w:pPr>
    </w:p>
    <w:p w14:paraId="35543903" w14:textId="77777777" w:rsidR="00EF47A9" w:rsidRPr="00375A02" w:rsidRDefault="00EF47A9" w:rsidP="00EF47A9">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986AF26" w14:textId="5B1A7E7F" w:rsidR="00EF47A9" w:rsidRPr="00375A02" w:rsidRDefault="00EF47A9" w:rsidP="00EF47A9">
      <w:pPr>
        <w:spacing w:before="160" w:after="0" w:line="360" w:lineRule="auto"/>
        <w:ind w:right="49"/>
        <w:jc w:val="both"/>
        <w:rPr>
          <w:rFonts w:ascii="Palatino Linotype" w:eastAsia="Palatino Linotype" w:hAnsi="Palatino Linotype" w:cs="Palatino Linotype"/>
          <w:sz w:val="24"/>
          <w:szCs w:val="24"/>
        </w:rPr>
      </w:pPr>
    </w:p>
    <w:p w14:paraId="4C7E16C8" w14:textId="77777777" w:rsidR="00EF47A9" w:rsidRPr="00375A02" w:rsidRDefault="00EF47A9" w:rsidP="00EF47A9">
      <w:pPr>
        <w:widowControl w:val="0"/>
        <w:spacing w:after="0" w:line="360" w:lineRule="auto"/>
        <w:jc w:val="center"/>
        <w:rPr>
          <w:rFonts w:ascii="Palatino Linotype" w:eastAsia="Palatino Linotype" w:hAnsi="Palatino Linotype" w:cs="Palatino Linotype"/>
          <w:b/>
          <w:sz w:val="24"/>
          <w:szCs w:val="24"/>
        </w:rPr>
      </w:pPr>
      <w:r w:rsidRPr="00375A02">
        <w:rPr>
          <w:rFonts w:ascii="Palatino Linotype" w:eastAsia="Palatino Linotype" w:hAnsi="Palatino Linotype" w:cs="Palatino Linotype"/>
          <w:b/>
          <w:sz w:val="24"/>
          <w:szCs w:val="24"/>
        </w:rPr>
        <w:t>C O N S I D E R A N D O S</w:t>
      </w:r>
    </w:p>
    <w:p w14:paraId="1C3CD5E5" w14:textId="77777777" w:rsidR="00EF47A9" w:rsidRPr="00375A02" w:rsidRDefault="00EF47A9" w:rsidP="00EF47A9">
      <w:pPr>
        <w:spacing w:after="0" w:line="360" w:lineRule="auto"/>
        <w:jc w:val="both"/>
        <w:rPr>
          <w:rFonts w:ascii="Palatino Linotype" w:eastAsia="Palatino Linotype" w:hAnsi="Palatino Linotype" w:cs="Palatino Linotype"/>
          <w:b/>
          <w:sz w:val="24"/>
          <w:szCs w:val="24"/>
        </w:rPr>
      </w:pPr>
    </w:p>
    <w:p w14:paraId="2273B89D" w14:textId="4968D1FA" w:rsidR="00EF47A9" w:rsidRPr="00375A02" w:rsidRDefault="00EF47A9" w:rsidP="00EF47A9">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t>PRIMERO. COMPETENCIA.</w:t>
      </w:r>
      <w:r w:rsidRPr="00375A0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3A62DB"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b/>
          <w:sz w:val="24"/>
        </w:rPr>
        <w:lastRenderedPageBreak/>
        <w:t xml:space="preserve">SEGUNDO. OPORTUNIDAD Y PROCEDIBILIDAD. </w:t>
      </w:r>
      <w:r w:rsidRPr="00375A02">
        <w:rPr>
          <w:rFonts w:ascii="Palatino Linotype" w:eastAsia="Palatino Linotype" w:hAnsi="Palatino Linotype" w:cs="Palatino Linotype"/>
          <w:sz w:val="24"/>
        </w:rPr>
        <w:t>Es de precisar que la</w:t>
      </w:r>
      <w:r w:rsidRPr="00375A02">
        <w:rPr>
          <w:rFonts w:ascii="Palatino Linotype" w:eastAsia="Palatino Linotype" w:hAnsi="Palatino Linotype" w:cs="Palatino Linotype"/>
          <w:b/>
          <w:sz w:val="24"/>
        </w:rPr>
        <w:t xml:space="preserve"> </w:t>
      </w:r>
      <w:r w:rsidRPr="00375A02">
        <w:rPr>
          <w:rFonts w:ascii="Palatino Linotype" w:eastAsia="Palatino Linotype" w:hAnsi="Palatino Linotype" w:cs="Palatino Linotype"/>
          <w:sz w:val="24"/>
        </w:rPr>
        <w:t xml:space="preserve">Ley de Transparencia y Acceso a la Información Pública del Estado de México y Municipios, describe el mecanismo de procedencia del recurso de revisión, como se dispone en los artículos 163 y 166, del tenor literal siguiente: </w:t>
      </w:r>
    </w:p>
    <w:p w14:paraId="37EF1299"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rPr>
      </w:pPr>
    </w:p>
    <w:p w14:paraId="69A94369" w14:textId="77777777" w:rsidR="00EF47A9" w:rsidRPr="00375A02" w:rsidRDefault="00EF47A9" w:rsidP="00EF47A9">
      <w:pPr>
        <w:spacing w:line="276" w:lineRule="auto"/>
        <w:ind w:left="851" w:right="851"/>
        <w:contextualSpacing/>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r w:rsidRPr="00375A02">
        <w:rPr>
          <w:rFonts w:ascii="Palatino Linotype" w:eastAsia="Palatino Linotype" w:hAnsi="Palatino Linotype" w:cs="Palatino Linotype"/>
          <w:b/>
          <w:i/>
        </w:rPr>
        <w:t xml:space="preserve">Artículo 163. </w:t>
      </w:r>
      <w:r w:rsidRPr="00375A02">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1D8BF18E" w14:textId="77777777" w:rsidR="00EF47A9" w:rsidRPr="00375A02" w:rsidRDefault="00EF47A9" w:rsidP="00EF47A9">
      <w:pPr>
        <w:spacing w:line="276" w:lineRule="auto"/>
        <w:ind w:left="851" w:right="851"/>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p>
    <w:p w14:paraId="1CBEA955" w14:textId="77777777" w:rsidR="00EF47A9" w:rsidRPr="00375A02" w:rsidRDefault="00EF47A9" w:rsidP="00EF47A9">
      <w:pPr>
        <w:spacing w:line="276" w:lineRule="auto"/>
        <w:ind w:left="851" w:right="851"/>
        <w:jc w:val="both"/>
        <w:rPr>
          <w:rFonts w:ascii="Palatino Linotype" w:eastAsia="Palatino Linotype" w:hAnsi="Palatino Linotype" w:cs="Palatino Linotype"/>
          <w:i/>
        </w:rPr>
      </w:pPr>
      <w:r w:rsidRPr="00375A02">
        <w:rPr>
          <w:rFonts w:ascii="Palatino Linotype" w:eastAsia="Palatino Linotype" w:hAnsi="Palatino Linotype" w:cs="Palatino Linotype"/>
          <w:b/>
          <w:i/>
        </w:rPr>
        <w:t>Artículo 166.-</w:t>
      </w:r>
      <w:r w:rsidRPr="00375A02">
        <w:rPr>
          <w:rFonts w:ascii="Palatino Linotype" w:eastAsia="Palatino Linotype" w:hAnsi="Palatino Linotype" w:cs="Palatino Linotype"/>
          <w:i/>
        </w:rPr>
        <w:t xml:space="preserve"> (…)</w:t>
      </w:r>
    </w:p>
    <w:p w14:paraId="5972E610" w14:textId="77777777" w:rsidR="00EF47A9" w:rsidRPr="00375A02" w:rsidRDefault="00EF47A9" w:rsidP="00EF47A9">
      <w:pPr>
        <w:spacing w:line="276" w:lineRule="auto"/>
        <w:ind w:left="851" w:right="851"/>
        <w:contextualSpacing/>
        <w:jc w:val="both"/>
        <w:rPr>
          <w:rFonts w:ascii="Palatino Linotype" w:eastAsia="Palatino Linotype" w:hAnsi="Palatino Linotype" w:cs="Palatino Linotype"/>
          <w:i/>
        </w:rPr>
      </w:pPr>
      <w:r w:rsidRPr="00375A02">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14:paraId="27F0D8E4" w14:textId="77777777" w:rsidR="00EF47A9" w:rsidRPr="00375A02" w:rsidRDefault="00EF47A9" w:rsidP="00EF47A9">
      <w:pPr>
        <w:spacing w:line="360" w:lineRule="auto"/>
        <w:ind w:left="851" w:right="851"/>
        <w:contextualSpacing/>
        <w:jc w:val="both"/>
        <w:rPr>
          <w:rFonts w:ascii="Palatino Linotype" w:eastAsia="Palatino Linotype" w:hAnsi="Palatino Linotype" w:cs="Palatino Linotype"/>
          <w:i/>
        </w:rPr>
      </w:pPr>
    </w:p>
    <w:p w14:paraId="5DBD7DF0"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14:paraId="49955B98"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p>
    <w:p w14:paraId="01E7B648"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35A7BBA" w14:textId="5AB0B724"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lastRenderedPageBreak/>
        <w:t>Por su parte, el artículo 178 del citado ordenamiento, establece:</w:t>
      </w:r>
    </w:p>
    <w:p w14:paraId="01495FDF" w14:textId="77777777" w:rsidR="00EF47A9" w:rsidRPr="00375A02" w:rsidRDefault="00EF47A9" w:rsidP="00EF47A9">
      <w:pPr>
        <w:ind w:left="851" w:right="851"/>
        <w:jc w:val="both"/>
        <w:rPr>
          <w:rFonts w:ascii="Palatino Linotype" w:eastAsia="Palatino Linotype" w:hAnsi="Palatino Linotype" w:cs="Palatino Linotype"/>
          <w:b/>
          <w:i/>
        </w:rPr>
      </w:pPr>
      <w:r w:rsidRPr="00375A02">
        <w:rPr>
          <w:rFonts w:ascii="Palatino Linotype" w:eastAsia="Palatino Linotype" w:hAnsi="Palatino Linotype" w:cs="Palatino Linotype"/>
          <w:i/>
        </w:rPr>
        <w:t>“</w:t>
      </w:r>
      <w:r w:rsidRPr="00375A02">
        <w:rPr>
          <w:rFonts w:ascii="Palatino Linotype" w:eastAsia="Palatino Linotype" w:hAnsi="Palatino Linotype" w:cs="Palatino Linotype"/>
          <w:b/>
          <w:i/>
        </w:rPr>
        <w:t xml:space="preserve">Artículo 178. </w:t>
      </w:r>
      <w:r w:rsidRPr="00375A02">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75A02">
        <w:rPr>
          <w:rFonts w:ascii="Palatino Linotype" w:eastAsia="Palatino Linotype" w:hAnsi="Palatino Linotype" w:cs="Palatino Linotype"/>
          <w:b/>
          <w:i/>
        </w:rPr>
        <w:t>.</w:t>
      </w:r>
    </w:p>
    <w:p w14:paraId="76EFA48E" w14:textId="77777777" w:rsidR="00EF47A9" w:rsidRPr="00375A02" w:rsidRDefault="00EF47A9" w:rsidP="00EF47A9">
      <w:pPr>
        <w:ind w:left="851" w:right="851"/>
        <w:jc w:val="both"/>
        <w:rPr>
          <w:rFonts w:ascii="Palatino Linotype" w:eastAsia="Palatino Linotype" w:hAnsi="Palatino Linotype" w:cs="Palatino Linotype"/>
          <w:i/>
          <w:sz w:val="24"/>
          <w:szCs w:val="24"/>
        </w:rPr>
      </w:pPr>
      <w:r w:rsidRPr="00375A02">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288E4C7" w14:textId="77777777" w:rsidR="00EF47A9" w:rsidRPr="00375A02" w:rsidRDefault="00EF47A9" w:rsidP="00EF47A9">
      <w:pPr>
        <w:spacing w:line="360" w:lineRule="auto"/>
        <w:ind w:left="851" w:right="851"/>
        <w:contextualSpacing/>
        <w:jc w:val="both"/>
        <w:rPr>
          <w:rFonts w:ascii="Palatino Linotype" w:eastAsia="Palatino Linotype" w:hAnsi="Palatino Linotype" w:cs="Palatino Linotype"/>
          <w:i/>
          <w:sz w:val="24"/>
        </w:rPr>
      </w:pPr>
    </w:p>
    <w:p w14:paraId="38BDA226"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De lo anterior, se advierte que el recurso de revisión se ha de interponer dentro del plazo de quince días hábiles, a partir de la fecha en que el </w:t>
      </w:r>
      <w:r w:rsidRPr="00375A02">
        <w:rPr>
          <w:rFonts w:ascii="Palatino Linotype" w:eastAsia="Palatino Linotype" w:hAnsi="Palatino Linotype" w:cs="Palatino Linotype"/>
          <w:b/>
          <w:sz w:val="24"/>
        </w:rPr>
        <w:t xml:space="preserve">SUJETO OBLIGADO </w:t>
      </w:r>
      <w:r w:rsidRPr="00375A02">
        <w:rPr>
          <w:rFonts w:ascii="Palatino Linotype" w:eastAsia="Palatino Linotype" w:hAnsi="Palatino Linotype" w:cs="Palatino Linotype"/>
          <w:sz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5E026F4F"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p>
    <w:p w14:paraId="1E750BEF"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La negativa ficta constituye una presunción legal, en el entendido de que donde no hubo respuesta por parte del </w:t>
      </w:r>
      <w:r w:rsidRPr="00375A02">
        <w:rPr>
          <w:rFonts w:ascii="Palatino Linotype" w:eastAsia="Palatino Linotype" w:hAnsi="Palatino Linotype" w:cs="Palatino Linotype"/>
          <w:b/>
          <w:sz w:val="24"/>
        </w:rPr>
        <w:t xml:space="preserve">SUJETO OBLIGADO </w:t>
      </w:r>
      <w:r w:rsidRPr="00375A02">
        <w:rPr>
          <w:rFonts w:ascii="Palatino Linotype" w:eastAsia="Palatino Linotype" w:hAnsi="Palatino Linotype" w:cs="Palatino Linotype"/>
          <w:sz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B578853"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375A02">
        <w:rPr>
          <w:rFonts w:ascii="Palatino Linotype" w:eastAsia="Palatino Linotype" w:hAnsi="Palatino Linotype" w:cs="Palatino Linotype"/>
          <w:b/>
          <w:sz w:val="24"/>
        </w:rPr>
        <w:t>SUJETO OBLIGADO</w:t>
      </w:r>
      <w:r w:rsidRPr="00375A02">
        <w:rPr>
          <w:rFonts w:ascii="Palatino Linotype" w:eastAsia="Palatino Linotype" w:hAnsi="Palatino Linotype" w:cs="Palatino Linotype"/>
          <w:sz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381589FB"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p>
    <w:p w14:paraId="2D5B3402"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Por lo tanto, con la finalidad de no reducir ni limitar el derecho de acceso a la información y concederle una protección más eficaz al solicitante para impugnar el silencio del </w:t>
      </w:r>
      <w:r w:rsidRPr="00375A02">
        <w:rPr>
          <w:rFonts w:ascii="Palatino Linotype" w:eastAsia="Palatino Linotype" w:hAnsi="Palatino Linotype" w:cs="Palatino Linotype"/>
          <w:b/>
          <w:sz w:val="24"/>
        </w:rPr>
        <w:t>SUJETO OBLIGADO</w:t>
      </w:r>
      <w:r w:rsidRPr="00375A02">
        <w:rPr>
          <w:rFonts w:ascii="Palatino Linotype" w:eastAsia="Palatino Linotype" w:hAnsi="Palatino Linotype" w:cs="Palatino Linotype"/>
          <w:sz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EE6F1B1" w14:textId="77777777" w:rsidR="00EF47A9" w:rsidRPr="00375A02" w:rsidRDefault="00EF47A9" w:rsidP="00EF47A9">
      <w:pPr>
        <w:spacing w:before="240" w:after="240" w:line="360" w:lineRule="auto"/>
        <w:contextualSpacing/>
        <w:jc w:val="both"/>
        <w:rPr>
          <w:rFonts w:ascii="Palatino Linotype" w:eastAsia="Palatino Linotype" w:hAnsi="Palatino Linotype" w:cs="Palatino Linotype"/>
          <w:sz w:val="24"/>
        </w:rPr>
      </w:pPr>
    </w:p>
    <w:p w14:paraId="1CD2D949" w14:textId="77777777" w:rsidR="00EF47A9" w:rsidRPr="00375A02" w:rsidRDefault="00EF47A9" w:rsidP="000A1CC5">
      <w:pPr>
        <w:spacing w:line="276" w:lineRule="auto"/>
        <w:ind w:left="851" w:right="851"/>
        <w:jc w:val="both"/>
        <w:rPr>
          <w:rFonts w:ascii="Palatino Linotype" w:eastAsia="Palatino Linotype" w:hAnsi="Palatino Linotype" w:cs="Palatino Linotype"/>
          <w:i/>
        </w:rPr>
      </w:pPr>
      <w:r w:rsidRPr="00375A02">
        <w:rPr>
          <w:rFonts w:ascii="Palatino Linotype" w:eastAsia="Palatino Linotype" w:hAnsi="Palatino Linotype" w:cs="Palatino Linotype"/>
          <w:b/>
          <w:i/>
        </w:rPr>
        <w:t>“CRITERIO 0001-15. NEGATIVA FICTA. PLAZO PARA INTERPONER EL RECURSO DE REVISIÓN TRATÁNDOSE DE</w:t>
      </w:r>
      <w:r w:rsidRPr="00375A02">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w:t>
      </w:r>
      <w:r w:rsidRPr="00375A02">
        <w:rPr>
          <w:rFonts w:ascii="Palatino Linotype" w:eastAsia="Palatino Linotype" w:hAnsi="Palatino Linotype" w:cs="Palatino Linotype"/>
          <w:i/>
        </w:rPr>
        <w:lastRenderedPageBreak/>
        <w:t>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5FE69205" w14:textId="77777777" w:rsidR="00EF47A9" w:rsidRPr="00375A02" w:rsidRDefault="00EF47A9" w:rsidP="00EF47A9">
      <w:pPr>
        <w:pBdr>
          <w:top w:val="nil"/>
          <w:left w:val="nil"/>
          <w:bottom w:val="nil"/>
          <w:right w:val="nil"/>
          <w:between w:val="nil"/>
        </w:pBdr>
        <w:spacing w:line="360" w:lineRule="auto"/>
        <w:ind w:right="-147"/>
        <w:contextualSpacing/>
        <w:jc w:val="both"/>
        <w:rPr>
          <w:rFonts w:ascii="Palatino Linotype" w:eastAsia="Palatino Linotype" w:hAnsi="Palatino Linotype" w:cs="Palatino Linotype"/>
          <w:sz w:val="24"/>
        </w:rPr>
      </w:pPr>
    </w:p>
    <w:p w14:paraId="42338F13" w14:textId="77777777" w:rsidR="006D0F66" w:rsidRPr="00375A02" w:rsidRDefault="006D0F66" w:rsidP="006D0F66">
      <w:pPr>
        <w:tabs>
          <w:tab w:val="left" w:pos="7938"/>
        </w:tabs>
        <w:spacing w:before="240" w:after="240" w:line="360" w:lineRule="auto"/>
        <w:jc w:val="both"/>
        <w:rPr>
          <w:rFonts w:ascii="Palatino Linotype" w:eastAsia="Palatino Linotype" w:hAnsi="Palatino Linotype" w:cs="Palatino Linotype"/>
          <w:b/>
          <w:sz w:val="24"/>
          <w:szCs w:val="24"/>
        </w:rPr>
      </w:pPr>
      <w:r w:rsidRPr="00375A02">
        <w:rPr>
          <w:rFonts w:ascii="Palatino Linotype" w:eastAsia="Palatino Linotype" w:hAnsi="Palatino Linotype" w:cs="Palatino Linotype"/>
          <w:sz w:val="24"/>
          <w:szCs w:val="24"/>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375A02">
        <w:rPr>
          <w:rFonts w:ascii="Palatino Linotype" w:eastAsia="Palatino Linotype" w:hAnsi="Palatino Linotype" w:cs="Palatino Linotype"/>
          <w:b/>
          <w:sz w:val="24"/>
          <w:szCs w:val="24"/>
        </w:rPr>
        <w:t>SAIMEX.</w:t>
      </w:r>
    </w:p>
    <w:p w14:paraId="4F049B54" w14:textId="77777777" w:rsidR="006D0F66" w:rsidRPr="00375A02" w:rsidRDefault="006D0F66" w:rsidP="006D0F66">
      <w:pPr>
        <w:spacing w:before="240" w:after="24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A efecto de sustentar lo anterior, es de suma importancia mencionar que si bien la persona solicitante </w:t>
      </w:r>
      <w:r w:rsidRPr="00375A02">
        <w:rPr>
          <w:rFonts w:ascii="Palatino Linotype" w:eastAsia="Palatino Linotype" w:hAnsi="Palatino Linotype" w:cs="Palatino Linotype"/>
          <w:b/>
          <w:sz w:val="24"/>
          <w:szCs w:val="24"/>
        </w:rPr>
        <w:t xml:space="preserve">no proporcionó nombre </w:t>
      </w:r>
      <w:r w:rsidRPr="00375A02">
        <w:rPr>
          <w:rFonts w:ascii="Palatino Linotype" w:eastAsia="Palatino Linotype" w:hAnsi="Palatino Linotype" w:cs="Palatino Linotype"/>
          <w:sz w:val="24"/>
          <w:szCs w:val="24"/>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EC7B922" w14:textId="77777777" w:rsidR="006D0F66" w:rsidRPr="00375A02" w:rsidRDefault="006D0F66" w:rsidP="006D0F66">
      <w:pPr>
        <w:spacing w:before="120" w:after="120"/>
        <w:ind w:left="851" w:right="902"/>
        <w:jc w:val="both"/>
        <w:rPr>
          <w:rFonts w:ascii="Palatino Linotype" w:eastAsia="Palatino Linotype" w:hAnsi="Palatino Linotype" w:cs="Palatino Linotype"/>
        </w:rPr>
      </w:pPr>
      <w:r w:rsidRPr="00375A02">
        <w:rPr>
          <w:rFonts w:ascii="Palatino Linotype" w:eastAsia="Palatino Linotype" w:hAnsi="Palatino Linotype" w:cs="Palatino Linotype"/>
          <w:i/>
        </w:rPr>
        <w:lastRenderedPageBreak/>
        <w:t>"</w:t>
      </w:r>
      <w:r w:rsidRPr="00375A02">
        <w:rPr>
          <w:rFonts w:ascii="Palatino Linotype" w:eastAsia="Palatino Linotype" w:hAnsi="Palatino Linotype" w:cs="Palatino Linotype"/>
          <w:b/>
          <w:i/>
        </w:rPr>
        <w:t>Las solicitudes anónimas</w:t>
      </w:r>
      <w:r w:rsidRPr="00375A02">
        <w:rPr>
          <w:rFonts w:ascii="Palatino Linotype" w:eastAsia="Palatino Linotype" w:hAnsi="Palatino Linotype" w:cs="Palatino Linotype"/>
          <w:i/>
        </w:rPr>
        <w:t xml:space="preserve">, con nombre incompleto o seudónimo </w:t>
      </w:r>
      <w:r w:rsidRPr="00375A02">
        <w:rPr>
          <w:rFonts w:ascii="Palatino Linotype" w:eastAsia="Palatino Linotype" w:hAnsi="Palatino Linotype" w:cs="Palatino Linotype"/>
          <w:b/>
          <w:i/>
        </w:rPr>
        <w:t>serán procedentes para su trámite por parte del sujeto obligado ante quien se presente</w:t>
      </w:r>
      <w:r w:rsidRPr="00375A02">
        <w:rPr>
          <w:rFonts w:ascii="Palatino Linotype" w:eastAsia="Palatino Linotype" w:hAnsi="Palatino Linotype" w:cs="Palatino Linotype"/>
          <w:i/>
        </w:rPr>
        <w:t>. No podrá requerirse información adicional con motivo del nombre proporcionado por el solicitante."</w:t>
      </w:r>
    </w:p>
    <w:p w14:paraId="4F164277" w14:textId="77777777" w:rsidR="006D0F66" w:rsidRPr="00375A02" w:rsidRDefault="006D0F66" w:rsidP="00E87856">
      <w:pPr>
        <w:spacing w:before="240" w:after="240" w:line="360" w:lineRule="auto"/>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375A02">
        <w:rPr>
          <w:rFonts w:ascii="Palatino Linotype" w:eastAsia="Palatino Linotype" w:hAnsi="Palatino Linotype" w:cs="Palatino Linotype"/>
          <w:b/>
          <w:sz w:val="24"/>
          <w:szCs w:val="24"/>
        </w:rPr>
        <w:t>Recurrente</w:t>
      </w:r>
      <w:r w:rsidRPr="00375A02">
        <w:rPr>
          <w:rFonts w:ascii="Palatino Linotype" w:eastAsia="Palatino Linotype" w:hAnsi="Palatino Linotype" w:cs="Palatino Linotype"/>
          <w:sz w:val="24"/>
          <w:szCs w:val="24"/>
        </w:rPr>
        <w:t>, por lo que, en el presente caso, al haber sido presentado el recurso de revisión vía SAIMEX, dicho requisito resulta innecesario.</w:t>
      </w:r>
    </w:p>
    <w:p w14:paraId="6A6039FF" w14:textId="77777777" w:rsidR="00E87856" w:rsidRPr="00375A02" w:rsidRDefault="00E87856" w:rsidP="00E87856">
      <w:pPr>
        <w:spacing w:before="240" w:after="240" w:line="360" w:lineRule="auto"/>
        <w:contextualSpacing/>
        <w:jc w:val="both"/>
        <w:rPr>
          <w:rFonts w:ascii="Palatino Linotype" w:eastAsia="Palatino Linotype" w:hAnsi="Palatino Linotype" w:cs="Palatino Linotype"/>
          <w:sz w:val="24"/>
          <w:szCs w:val="24"/>
        </w:rPr>
      </w:pPr>
    </w:p>
    <w:p w14:paraId="1C2267A5" w14:textId="77777777" w:rsidR="00EF47A9" w:rsidRPr="00375A02" w:rsidRDefault="00EF47A9" w:rsidP="00E87856">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Ahora bien, resulta procedente la interposición del recurso de revisión, según lo aducido por </w:t>
      </w:r>
      <w:r w:rsidRPr="00375A02">
        <w:rPr>
          <w:rFonts w:ascii="Palatino Linotype" w:eastAsia="Palatino Linotype" w:hAnsi="Palatino Linotype" w:cs="Palatino Linotype"/>
          <w:b/>
          <w:sz w:val="24"/>
        </w:rPr>
        <w:t>LA PARTE</w:t>
      </w:r>
      <w:r w:rsidRPr="00375A02">
        <w:rPr>
          <w:rFonts w:ascii="Palatino Linotype" w:eastAsia="Palatino Linotype" w:hAnsi="Palatino Linotype" w:cs="Palatino Linotype"/>
          <w:sz w:val="24"/>
        </w:rPr>
        <w:t xml:space="preserve"> </w:t>
      </w:r>
      <w:r w:rsidRPr="00375A02">
        <w:rPr>
          <w:rFonts w:ascii="Palatino Linotype" w:eastAsia="Palatino Linotype" w:hAnsi="Palatino Linotype" w:cs="Palatino Linotype"/>
          <w:b/>
          <w:sz w:val="24"/>
        </w:rPr>
        <w:t>RECURRENTE</w:t>
      </w:r>
      <w:r w:rsidRPr="00375A02">
        <w:rPr>
          <w:rFonts w:ascii="Palatino Linotype" w:eastAsia="Palatino Linotype" w:hAnsi="Palatino Linotype" w:cs="Palatino Linotype"/>
          <w:sz w:val="24"/>
        </w:rPr>
        <w:t>, en términos del artículo 179, fracción VII del ordenamiento legal de la materia, que a la letra dice:</w:t>
      </w:r>
    </w:p>
    <w:p w14:paraId="6EEED56B" w14:textId="77777777" w:rsidR="00EF47A9" w:rsidRPr="00375A02" w:rsidRDefault="00EF47A9" w:rsidP="00EF47A9">
      <w:pPr>
        <w:spacing w:before="240" w:after="240" w:line="360" w:lineRule="auto"/>
        <w:contextualSpacing/>
        <w:jc w:val="both"/>
        <w:rPr>
          <w:rFonts w:ascii="Quattrocento Sans" w:eastAsia="Quattrocento Sans" w:hAnsi="Quattrocento Sans" w:cs="Quattrocento Sans"/>
        </w:rPr>
      </w:pPr>
    </w:p>
    <w:p w14:paraId="5B7E57B7" w14:textId="77777777" w:rsidR="00EF47A9" w:rsidRPr="00375A02" w:rsidRDefault="00EF47A9" w:rsidP="00EF47A9">
      <w:pPr>
        <w:spacing w:before="240" w:after="240" w:line="276" w:lineRule="auto"/>
        <w:ind w:left="993" w:right="1041"/>
        <w:contextualSpacing/>
        <w:jc w:val="both"/>
        <w:rPr>
          <w:rFonts w:ascii="Palatino Linotype" w:eastAsia="Palatino Linotype" w:hAnsi="Palatino Linotype" w:cs="Palatino Linotype"/>
        </w:rPr>
      </w:pPr>
      <w:r w:rsidRPr="00375A02">
        <w:rPr>
          <w:rFonts w:ascii="Palatino Linotype" w:eastAsia="Palatino Linotype" w:hAnsi="Palatino Linotype" w:cs="Palatino Linotype"/>
          <w:i/>
        </w:rPr>
        <w:t>“</w:t>
      </w:r>
      <w:r w:rsidRPr="00375A02">
        <w:rPr>
          <w:rFonts w:ascii="Palatino Linotype" w:eastAsia="Palatino Linotype" w:hAnsi="Palatino Linotype" w:cs="Palatino Linotype"/>
          <w:b/>
        </w:rPr>
        <w:t>Artículo 179.</w:t>
      </w:r>
      <w:r w:rsidRPr="00375A02">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375A02">
        <w:rPr>
          <w:rFonts w:ascii="Palatino Linotype" w:eastAsia="Palatino Linotype" w:hAnsi="Palatino Linotype" w:cs="Palatino Linotype"/>
        </w:rPr>
        <w:t> </w:t>
      </w:r>
    </w:p>
    <w:p w14:paraId="18F7EC69" w14:textId="77777777" w:rsidR="00EF47A9" w:rsidRPr="00375A02" w:rsidRDefault="00EF47A9" w:rsidP="00EF47A9">
      <w:pPr>
        <w:spacing w:before="240" w:after="240" w:line="276" w:lineRule="auto"/>
        <w:ind w:left="993" w:right="1041"/>
        <w:contextualSpacing/>
        <w:jc w:val="both"/>
        <w:rPr>
          <w:rFonts w:ascii="Palatino Linotype" w:eastAsia="Palatino Linotype" w:hAnsi="Palatino Linotype" w:cs="Palatino Linotype"/>
        </w:rPr>
      </w:pPr>
    </w:p>
    <w:p w14:paraId="0CBE5A72" w14:textId="50868FA4" w:rsidR="006D0F66" w:rsidRPr="00375A02" w:rsidRDefault="00EF47A9" w:rsidP="006D0F66">
      <w:pPr>
        <w:numPr>
          <w:ilvl w:val="0"/>
          <w:numId w:val="2"/>
        </w:numPr>
        <w:spacing w:before="240" w:after="240" w:line="276" w:lineRule="auto"/>
        <w:ind w:right="1041" w:hanging="87"/>
        <w:jc w:val="both"/>
        <w:rPr>
          <w:rFonts w:ascii="Palatino Linotype" w:eastAsia="Palatino Linotype" w:hAnsi="Palatino Linotype" w:cs="Palatino Linotype"/>
          <w:i/>
        </w:rPr>
      </w:pPr>
      <w:r w:rsidRPr="00375A02">
        <w:rPr>
          <w:rFonts w:ascii="Palatino Linotype" w:eastAsia="Palatino Linotype" w:hAnsi="Palatino Linotype" w:cs="Palatino Linotype"/>
          <w:i/>
        </w:rPr>
        <w:t>La falta de respuesta a una solicitud de acceso a la información…(Sic)</w:t>
      </w:r>
    </w:p>
    <w:p w14:paraId="47D8EF6B" w14:textId="77777777" w:rsidR="006D0F66" w:rsidRPr="00375A02" w:rsidRDefault="006D0F66" w:rsidP="006D0F66">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El precepto legal citado, establece como supuesto de procedencia del recurso de revisión, en aquellos casos en que la parte </w:t>
      </w:r>
      <w:r w:rsidRPr="00375A02">
        <w:rPr>
          <w:rFonts w:ascii="Palatino Linotype" w:eastAsia="Palatino Linotype" w:hAnsi="Palatino Linotype" w:cs="Palatino Linotype"/>
          <w:b/>
          <w:sz w:val="24"/>
          <w:szCs w:val="24"/>
        </w:rPr>
        <w:t xml:space="preserve">Recurrente </w:t>
      </w:r>
      <w:r w:rsidRPr="00375A02">
        <w:rPr>
          <w:rFonts w:ascii="Palatino Linotype" w:eastAsia="Palatino Linotype" w:hAnsi="Palatino Linotype" w:cs="Palatino Linotype"/>
          <w:sz w:val="24"/>
          <w:szCs w:val="24"/>
        </w:rPr>
        <w:t xml:space="preserve">estime negado el acceso a la información por la falta de respuesta a una solicitud por el Sujeto Obligado, en este asunto se actualiza la hipótesis jurídica citada, en atención a que la parte </w:t>
      </w:r>
      <w:r w:rsidRPr="00375A02">
        <w:rPr>
          <w:rFonts w:ascii="Palatino Linotype" w:eastAsia="Palatino Linotype" w:hAnsi="Palatino Linotype" w:cs="Palatino Linotype"/>
          <w:b/>
          <w:sz w:val="24"/>
          <w:szCs w:val="24"/>
        </w:rPr>
        <w:t>Recurrente</w:t>
      </w:r>
      <w:r w:rsidRPr="00375A02">
        <w:rPr>
          <w:rFonts w:ascii="Palatino Linotype" w:eastAsia="Palatino Linotype" w:hAnsi="Palatino Linotype" w:cs="Palatino Linotype"/>
          <w:sz w:val="24"/>
          <w:szCs w:val="24"/>
        </w:rPr>
        <w:t xml:space="preserve"> combate falta de respuesta por el </w:t>
      </w:r>
      <w:r w:rsidRPr="00375A02">
        <w:rPr>
          <w:rFonts w:ascii="Palatino Linotype" w:eastAsia="Palatino Linotype" w:hAnsi="Palatino Linotype" w:cs="Palatino Linotype"/>
          <w:b/>
          <w:sz w:val="24"/>
          <w:szCs w:val="24"/>
        </w:rPr>
        <w:t>Sujeto Obligado</w:t>
      </w:r>
      <w:r w:rsidRPr="00375A02">
        <w:rPr>
          <w:rFonts w:ascii="Palatino Linotype" w:eastAsia="Palatino Linotype" w:hAnsi="Palatino Linotype" w:cs="Palatino Linotype"/>
          <w:sz w:val="24"/>
          <w:szCs w:val="24"/>
        </w:rPr>
        <w:t xml:space="preserve"> y expresa motivos de inconformidad en contra de dicha circunstancia.</w:t>
      </w:r>
    </w:p>
    <w:p w14:paraId="292811AA" w14:textId="00CB8B7A" w:rsidR="00EF47A9" w:rsidRPr="00375A02" w:rsidRDefault="00EF47A9" w:rsidP="00EF47A9">
      <w:pPr>
        <w:spacing w:after="0" w:line="360" w:lineRule="auto"/>
        <w:jc w:val="both"/>
        <w:rPr>
          <w:rFonts w:ascii="Palatino Linotype" w:eastAsia="Palatino Linotype" w:hAnsi="Palatino Linotype" w:cs="Palatino Linotype"/>
          <w:sz w:val="24"/>
          <w:szCs w:val="24"/>
        </w:rPr>
      </w:pPr>
    </w:p>
    <w:p w14:paraId="35054ACB" w14:textId="670C1114" w:rsidR="002779A6" w:rsidRPr="00375A02" w:rsidRDefault="002779A6" w:rsidP="006D0F66">
      <w:pPr>
        <w:tabs>
          <w:tab w:val="left" w:pos="8647"/>
        </w:tabs>
        <w:spacing w:before="240" w:after="240" w:line="360" w:lineRule="auto"/>
        <w:jc w:val="both"/>
        <w:rPr>
          <w:rFonts w:ascii="Palatino Linotype" w:eastAsia="Palatino Linotype" w:hAnsi="Palatino Linotype" w:cs="Palatino Linotype"/>
          <w:b/>
          <w:sz w:val="24"/>
          <w:szCs w:val="24"/>
        </w:rPr>
      </w:pPr>
      <w:r w:rsidRPr="00375A02">
        <w:rPr>
          <w:rFonts w:ascii="Palatino Linotype" w:eastAsia="Palatino Linotype" w:hAnsi="Palatino Linotype" w:cs="Palatino Linotype"/>
          <w:b/>
          <w:sz w:val="24"/>
          <w:szCs w:val="24"/>
        </w:rPr>
        <w:lastRenderedPageBreak/>
        <w:t xml:space="preserve">TERCERO. MATERIA DE LA REVISIÓN. </w:t>
      </w:r>
      <w:r w:rsidR="006D0F66" w:rsidRPr="00375A02">
        <w:rPr>
          <w:rFonts w:ascii="Palatino Linotype" w:eastAsia="Palatino Linotype" w:hAnsi="Palatino Linotype" w:cs="Palatino Linotype"/>
          <w:sz w:val="24"/>
          <w:szCs w:val="24"/>
        </w:rPr>
        <w:t xml:space="preserve">Este Organismo Garante procede del análisis de los agravios hechos valer por la parte </w:t>
      </w:r>
      <w:r w:rsidR="006D0F66" w:rsidRPr="00375A02">
        <w:rPr>
          <w:rFonts w:ascii="Palatino Linotype" w:eastAsia="Palatino Linotype" w:hAnsi="Palatino Linotype" w:cs="Palatino Linotype"/>
          <w:b/>
          <w:sz w:val="24"/>
          <w:szCs w:val="24"/>
        </w:rPr>
        <w:t>Recurrente</w:t>
      </w:r>
      <w:r w:rsidR="006D0F66" w:rsidRPr="00375A02">
        <w:rPr>
          <w:rFonts w:ascii="Palatino Linotype" w:eastAsia="Palatino Linotype" w:hAnsi="Palatino Linotype" w:cs="Palatino Linotype"/>
          <w:sz w:val="24"/>
          <w:szCs w:val="24"/>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0B53762E" w14:textId="692261AE" w:rsidR="0014160E" w:rsidRPr="00375A02" w:rsidRDefault="002779A6" w:rsidP="0014160E">
      <w:pPr>
        <w:spacing w:after="0" w:line="360" w:lineRule="auto"/>
        <w:jc w:val="both"/>
        <w:rPr>
          <w:rFonts w:ascii="Palatino Linotype" w:eastAsia="Palatino Linotype" w:hAnsi="Palatino Linotype" w:cs="Palatino Linotype"/>
          <w:b/>
          <w:sz w:val="24"/>
          <w:szCs w:val="24"/>
        </w:rPr>
      </w:pPr>
      <w:r w:rsidRPr="00375A02">
        <w:rPr>
          <w:rFonts w:ascii="Palatino Linotype" w:eastAsia="Palatino Linotype" w:hAnsi="Palatino Linotype" w:cs="Palatino Linotype"/>
          <w:b/>
          <w:sz w:val="24"/>
          <w:szCs w:val="24"/>
        </w:rPr>
        <w:t xml:space="preserve">CUARTO. ESTUDIO Y RESOLUCIÓN DEL ASUNTO.  </w:t>
      </w:r>
      <w:r w:rsidR="0014160E" w:rsidRPr="00375A02">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0014160E" w:rsidRPr="00375A02">
        <w:rPr>
          <w:rFonts w:ascii="Palatino Linotype" w:eastAsia="Palatino Linotype" w:hAnsi="Palatino Linotype" w:cs="Palatino Linotype"/>
          <w:b/>
          <w:sz w:val="24"/>
          <w:szCs w:val="24"/>
        </w:rPr>
        <w:t xml:space="preserve">Sujeto Obligado </w:t>
      </w:r>
      <w:r w:rsidR="0014160E" w:rsidRPr="00375A02">
        <w:rPr>
          <w:rFonts w:ascii="Palatino Linotype" w:eastAsia="Palatino Linotype" w:hAnsi="Palatino Linotype" w:cs="Palatino Linotype"/>
          <w:sz w:val="24"/>
          <w:szCs w:val="24"/>
        </w:rPr>
        <w:t xml:space="preserve">no dio respuesta a la solicitud de información planteada por la parte </w:t>
      </w:r>
      <w:r w:rsidR="0014160E" w:rsidRPr="00375A02">
        <w:rPr>
          <w:rFonts w:ascii="Palatino Linotype" w:eastAsia="Palatino Linotype" w:hAnsi="Palatino Linotype" w:cs="Palatino Linotype"/>
          <w:b/>
          <w:sz w:val="24"/>
          <w:szCs w:val="24"/>
        </w:rPr>
        <w:t>Recurrente</w:t>
      </w:r>
      <w:r w:rsidR="0014160E" w:rsidRPr="00375A02">
        <w:rPr>
          <w:rFonts w:ascii="Palatino Linotype" w:eastAsia="Palatino Linotype" w:hAnsi="Palatino Linotype" w:cs="Palatino Linotype"/>
          <w:sz w:val="24"/>
          <w:szCs w:val="24"/>
        </w:rPr>
        <w:t xml:space="preserve">, lo que se traduce como la configuración de la </w:t>
      </w:r>
      <w:r w:rsidR="0014160E" w:rsidRPr="00375A02">
        <w:rPr>
          <w:rFonts w:ascii="Palatino Linotype" w:eastAsia="Palatino Linotype" w:hAnsi="Palatino Linotype" w:cs="Palatino Linotype"/>
          <w:b/>
          <w:sz w:val="24"/>
          <w:szCs w:val="24"/>
        </w:rPr>
        <w:t>Negativa Ficta</w:t>
      </w:r>
      <w:r w:rsidR="0014160E" w:rsidRPr="00375A02">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el </w:t>
      </w:r>
      <w:r w:rsidR="0014160E" w:rsidRPr="00375A02">
        <w:rPr>
          <w:rFonts w:ascii="Palatino Linotype" w:eastAsia="Palatino Linotype" w:hAnsi="Palatino Linotype" w:cs="Palatino Linotype"/>
          <w:b/>
          <w:sz w:val="24"/>
          <w:szCs w:val="24"/>
        </w:rPr>
        <w:t>Sujeto Obligado</w:t>
      </w:r>
      <w:r w:rsidR="0014160E" w:rsidRPr="00375A02">
        <w:rPr>
          <w:rFonts w:ascii="Palatino Linotype" w:eastAsia="Palatino Linotype" w:hAnsi="Palatino Linotype" w:cs="Palatino Linotype"/>
          <w:sz w:val="24"/>
          <w:szCs w:val="24"/>
        </w:rPr>
        <w:t xml:space="preserve"> no emitió respuesta a la solicitud de información, dentro del plazo legal previsto para ello.</w:t>
      </w:r>
    </w:p>
    <w:p w14:paraId="1BE98866" w14:textId="043C9770" w:rsidR="0014160E" w:rsidRPr="00375A02" w:rsidRDefault="0014160E" w:rsidP="0014160E">
      <w:pPr>
        <w:spacing w:before="240" w:after="24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las solicitudes formuladas por la parte </w:t>
      </w:r>
      <w:r w:rsidR="00C479AC" w:rsidRPr="00375A02">
        <w:rPr>
          <w:rFonts w:ascii="Palatino Linotype" w:eastAsia="Palatino Linotype" w:hAnsi="Palatino Linotype" w:cs="Palatino Linotype"/>
          <w:b/>
          <w:sz w:val="24"/>
          <w:szCs w:val="24"/>
        </w:rPr>
        <w:t>RECURRENTE</w:t>
      </w:r>
      <w:r w:rsidRPr="00375A02">
        <w:rPr>
          <w:rFonts w:ascii="Palatino Linotype" w:eastAsia="Palatino Linotype" w:hAnsi="Palatino Linotype" w:cs="Palatino Linotype"/>
          <w:sz w:val="24"/>
          <w:szCs w:val="24"/>
        </w:rPr>
        <w:t>,</w:t>
      </w:r>
      <w:r w:rsidRPr="00375A02">
        <w:rPr>
          <w:rFonts w:ascii="Palatino Linotype" w:eastAsia="Palatino Linotype" w:hAnsi="Palatino Linotype" w:cs="Palatino Linotype"/>
          <w:b/>
          <w:sz w:val="24"/>
          <w:szCs w:val="24"/>
        </w:rPr>
        <w:t xml:space="preserve"> </w:t>
      </w:r>
      <w:r w:rsidRPr="00375A02">
        <w:rPr>
          <w:rFonts w:ascii="Palatino Linotype" w:eastAsia="Palatino Linotype" w:hAnsi="Palatino Linotype" w:cs="Palatino Linotype"/>
          <w:sz w:val="24"/>
          <w:szCs w:val="24"/>
        </w:rPr>
        <w:t xml:space="preserve">se advierte que requirió al </w:t>
      </w:r>
      <w:r w:rsidR="00C479AC" w:rsidRPr="00375A02">
        <w:rPr>
          <w:rFonts w:ascii="Palatino Linotype" w:eastAsia="Palatino Linotype" w:hAnsi="Palatino Linotype" w:cs="Palatino Linotype"/>
          <w:b/>
          <w:sz w:val="24"/>
          <w:szCs w:val="24"/>
        </w:rPr>
        <w:t>SUJETO OBLIGADO</w:t>
      </w:r>
      <w:r w:rsidR="00C479AC" w:rsidRPr="00375A02">
        <w:rPr>
          <w:rFonts w:ascii="Palatino Linotype" w:eastAsia="Palatino Linotype" w:hAnsi="Palatino Linotype" w:cs="Palatino Linotype"/>
          <w:sz w:val="24"/>
          <w:szCs w:val="24"/>
        </w:rPr>
        <w:t xml:space="preserve"> </w:t>
      </w:r>
      <w:r w:rsidRPr="00375A02">
        <w:rPr>
          <w:rFonts w:ascii="Palatino Linotype" w:eastAsia="Palatino Linotype" w:hAnsi="Palatino Linotype" w:cs="Palatino Linotype"/>
          <w:sz w:val="24"/>
          <w:szCs w:val="24"/>
        </w:rPr>
        <w:t>le proporcionara, información consistente en lo siguiente:</w:t>
      </w:r>
    </w:p>
    <w:p w14:paraId="5EF9A1D7" w14:textId="20C6DE89" w:rsidR="00C479AC" w:rsidRPr="00375A02" w:rsidRDefault="00C479AC" w:rsidP="00C479AC">
      <w:pPr>
        <w:pStyle w:val="Prrafodelista"/>
        <w:numPr>
          <w:ilvl w:val="0"/>
          <w:numId w:val="5"/>
        </w:numPr>
        <w:spacing w:before="240" w:after="24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Todas las facturas de pago por cualquier concepto del mes de noviembre de 2022.</w:t>
      </w:r>
    </w:p>
    <w:p w14:paraId="0BCB24E7" w14:textId="77777777" w:rsidR="0014160E" w:rsidRPr="00375A02" w:rsidRDefault="0014160E" w:rsidP="002779A6">
      <w:pPr>
        <w:spacing w:after="0" w:line="360" w:lineRule="auto"/>
        <w:jc w:val="both"/>
        <w:rPr>
          <w:rFonts w:ascii="Palatino Linotype" w:eastAsia="Palatino Linotype" w:hAnsi="Palatino Linotype" w:cs="Palatino Linotype"/>
          <w:b/>
          <w:sz w:val="24"/>
          <w:szCs w:val="24"/>
        </w:rPr>
      </w:pPr>
    </w:p>
    <w:p w14:paraId="27132706" w14:textId="6E94BB84" w:rsidR="002779A6" w:rsidRPr="00375A02" w:rsidRDefault="002779A6" w:rsidP="002779A6">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lastRenderedPageBreak/>
        <w:t xml:space="preserve">Como se puede observar en los antecedentes de la presente resolución, el </w:t>
      </w:r>
      <w:r w:rsidRPr="00375A02">
        <w:rPr>
          <w:rFonts w:ascii="Palatino Linotype" w:eastAsia="Palatino Linotype" w:hAnsi="Palatino Linotype" w:cs="Palatino Linotype"/>
          <w:b/>
          <w:sz w:val="24"/>
          <w:szCs w:val="24"/>
        </w:rPr>
        <w:t>SUJETO OBLIGADO</w:t>
      </w:r>
      <w:r w:rsidRPr="00375A02">
        <w:rPr>
          <w:rFonts w:ascii="Palatino Linotype" w:eastAsia="Palatino Linotype" w:hAnsi="Palatino Linotype" w:cs="Palatino Linotype"/>
          <w:sz w:val="24"/>
          <w:szCs w:val="24"/>
        </w:rPr>
        <w:t xml:space="preserve"> fue omiso en emitir respuesta a la solicitud de información; sin embargo, con posterioridad mediante informe justificado remite un documento a través del cual dio respuesta a la solicitud de acceso a la información signado por el Titular de la Unidad de Transparencia.</w:t>
      </w:r>
    </w:p>
    <w:p w14:paraId="1BB27268" w14:textId="7F33C885" w:rsidR="002779A6" w:rsidRPr="00375A02" w:rsidRDefault="002779A6" w:rsidP="00EF47A9">
      <w:pPr>
        <w:spacing w:after="0" w:line="360" w:lineRule="auto"/>
        <w:jc w:val="both"/>
        <w:rPr>
          <w:rFonts w:ascii="Palatino Linotype" w:eastAsia="Palatino Linotype" w:hAnsi="Palatino Linotype" w:cs="Palatino Linotype"/>
          <w:sz w:val="24"/>
          <w:szCs w:val="24"/>
        </w:rPr>
      </w:pPr>
    </w:p>
    <w:p w14:paraId="3B3DE115" w14:textId="45488D01" w:rsidR="002779A6" w:rsidRPr="00375A02" w:rsidRDefault="002779A6" w:rsidP="002779A6">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En este sentido, existe un cambio o modificación en la acción del </w:t>
      </w:r>
      <w:r w:rsidRPr="00375A02">
        <w:rPr>
          <w:rFonts w:ascii="Palatino Linotype" w:eastAsia="Palatino Linotype" w:hAnsi="Palatino Linotype" w:cs="Palatino Linotype"/>
          <w:b/>
          <w:sz w:val="24"/>
          <w:szCs w:val="24"/>
        </w:rPr>
        <w:t>SUJETO OBLIGADO</w:t>
      </w:r>
      <w:r w:rsidRPr="00375A02">
        <w:rPr>
          <w:rFonts w:ascii="Palatino Linotype" w:eastAsia="Palatino Linotype" w:hAnsi="Palatino Linotype" w:cs="Palatino Linotype"/>
          <w:sz w:val="24"/>
          <w:szCs w:val="24"/>
        </w:rPr>
        <w:t xml:space="preserve">, en donde de una negativa de información, se traslada a una situación por medio de la cual se </w:t>
      </w:r>
      <w:r w:rsidR="009A1121" w:rsidRPr="00375A02">
        <w:rPr>
          <w:rFonts w:ascii="Palatino Linotype" w:eastAsia="Palatino Linotype" w:hAnsi="Palatino Linotype" w:cs="Palatino Linotype"/>
          <w:sz w:val="24"/>
          <w:szCs w:val="24"/>
        </w:rPr>
        <w:t>pretende poner a disposición de la parte</w:t>
      </w:r>
      <w:r w:rsidRPr="00375A02">
        <w:rPr>
          <w:rFonts w:ascii="Palatino Linotype" w:eastAsia="Palatino Linotype" w:hAnsi="Palatino Linotype" w:cs="Palatino Linotype"/>
          <w:sz w:val="24"/>
          <w:szCs w:val="24"/>
        </w:rPr>
        <w:t xml:space="preserve"> </w:t>
      </w:r>
      <w:r w:rsidRPr="00375A02">
        <w:rPr>
          <w:rFonts w:ascii="Palatino Linotype" w:eastAsia="Palatino Linotype" w:hAnsi="Palatino Linotype" w:cs="Palatino Linotype"/>
          <w:b/>
          <w:sz w:val="24"/>
          <w:szCs w:val="24"/>
        </w:rPr>
        <w:t>RECURRENTE</w:t>
      </w:r>
      <w:r w:rsidRPr="00375A02">
        <w:rPr>
          <w:rFonts w:ascii="Palatino Linotype" w:eastAsia="Palatino Linotype" w:hAnsi="Palatino Linotype" w:cs="Palatino Linotype"/>
          <w:sz w:val="24"/>
          <w:szCs w:val="24"/>
        </w:rPr>
        <w:t xml:space="preserve"> la información requerida.</w:t>
      </w:r>
    </w:p>
    <w:p w14:paraId="4FF0C592" w14:textId="77777777" w:rsidR="002779A6" w:rsidRPr="00375A02" w:rsidRDefault="002779A6" w:rsidP="002779A6">
      <w:pPr>
        <w:spacing w:after="0" w:line="360" w:lineRule="auto"/>
        <w:jc w:val="both"/>
        <w:rPr>
          <w:rFonts w:ascii="Palatino Linotype" w:eastAsia="Palatino Linotype" w:hAnsi="Palatino Linotype" w:cs="Palatino Linotype"/>
          <w:sz w:val="24"/>
          <w:szCs w:val="24"/>
        </w:rPr>
      </w:pPr>
    </w:p>
    <w:p w14:paraId="20F1D0BF" w14:textId="238A6028" w:rsidR="002779A6" w:rsidRPr="00375A02" w:rsidRDefault="002779A6" w:rsidP="002779A6">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En razón de ello, con el fin de no d</w:t>
      </w:r>
      <w:r w:rsidR="009A1121" w:rsidRPr="00375A02">
        <w:rPr>
          <w:rFonts w:ascii="Palatino Linotype" w:eastAsia="Palatino Linotype" w:hAnsi="Palatino Linotype" w:cs="Palatino Linotype"/>
          <w:sz w:val="24"/>
          <w:szCs w:val="24"/>
        </w:rPr>
        <w:t>ejar en estado de indefensión a la parte</w:t>
      </w:r>
      <w:r w:rsidRPr="00375A02">
        <w:rPr>
          <w:rFonts w:ascii="Palatino Linotype" w:eastAsia="Palatino Linotype" w:hAnsi="Palatino Linotype" w:cs="Palatino Linotype"/>
          <w:sz w:val="24"/>
          <w:szCs w:val="24"/>
        </w:rPr>
        <w:t xml:space="preserve"> </w:t>
      </w:r>
      <w:r w:rsidRPr="00375A02">
        <w:rPr>
          <w:rFonts w:ascii="Palatino Linotype" w:eastAsia="Palatino Linotype" w:hAnsi="Palatino Linotype" w:cs="Palatino Linotype"/>
          <w:b/>
          <w:sz w:val="24"/>
          <w:szCs w:val="24"/>
        </w:rPr>
        <w:t>RECURRENT</w:t>
      </w:r>
      <w:r w:rsidRPr="00375A02">
        <w:rPr>
          <w:rFonts w:ascii="Palatino Linotype" w:eastAsia="Palatino Linotype" w:hAnsi="Palatino Linotype" w:cs="Palatino Linotype"/>
          <w:sz w:val="24"/>
          <w:szCs w:val="24"/>
        </w:rPr>
        <w:t>E, resulta oportuno analizar y determinar si la información proporcionada vía manifestaciones, satisface el alcance y contenido del derecho de acceso a la información en términos del artículo 4 de la Ley en la Materia, 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7E1EF86" w14:textId="77777777" w:rsidR="002779A6" w:rsidRPr="00375A02" w:rsidRDefault="002779A6" w:rsidP="002779A6">
      <w:pPr>
        <w:spacing w:after="0"/>
        <w:ind w:left="709" w:right="760"/>
        <w:jc w:val="both"/>
        <w:rPr>
          <w:rFonts w:ascii="Palatino Linotype" w:eastAsia="Palatino Linotype" w:hAnsi="Palatino Linotype" w:cs="Palatino Linotype"/>
          <w:i/>
        </w:rPr>
      </w:pPr>
      <w:r w:rsidRPr="00375A02">
        <w:rPr>
          <w:rFonts w:ascii="Palatino Linotype" w:eastAsia="Palatino Linotype" w:hAnsi="Palatino Linotype" w:cs="Palatino Linotype"/>
          <w:i/>
        </w:rPr>
        <w:lastRenderedPageBreak/>
        <w:t>“</w:t>
      </w:r>
      <w:r w:rsidRPr="00375A02">
        <w:rPr>
          <w:rFonts w:ascii="Palatino Linotype" w:eastAsia="Palatino Linotype" w:hAnsi="Palatino Linotype" w:cs="Palatino Linotype"/>
          <w:b/>
          <w:i/>
        </w:rPr>
        <w:t>Artículo 4</w:t>
      </w:r>
      <w:r w:rsidRPr="00375A0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1AED41A" w14:textId="77777777" w:rsidR="002779A6" w:rsidRPr="00375A02" w:rsidRDefault="002779A6" w:rsidP="002779A6">
      <w:pPr>
        <w:spacing w:after="0"/>
        <w:ind w:left="709" w:right="760"/>
        <w:jc w:val="both"/>
        <w:rPr>
          <w:rFonts w:ascii="Palatino Linotype" w:eastAsia="Palatino Linotype" w:hAnsi="Palatino Linotype" w:cs="Palatino Linotype"/>
          <w:b/>
          <w:i/>
        </w:rPr>
      </w:pPr>
      <w:r w:rsidRPr="00375A02">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B0BBCFE" w14:textId="77777777" w:rsidR="002779A6" w:rsidRPr="00375A02" w:rsidRDefault="002779A6" w:rsidP="002779A6">
      <w:pPr>
        <w:spacing w:after="0"/>
        <w:ind w:left="709" w:right="760"/>
        <w:jc w:val="both"/>
        <w:rPr>
          <w:rFonts w:ascii="Palatino Linotype" w:eastAsia="Palatino Linotype" w:hAnsi="Palatino Linotype" w:cs="Palatino Linotype"/>
          <w:i/>
        </w:rPr>
      </w:pPr>
      <w:r w:rsidRPr="00375A02">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 (Sic)</w:t>
      </w:r>
    </w:p>
    <w:p w14:paraId="2C5E240E" w14:textId="77777777" w:rsidR="002779A6" w:rsidRPr="00375A02" w:rsidRDefault="002779A6" w:rsidP="002779A6">
      <w:pPr>
        <w:spacing w:after="0" w:line="360" w:lineRule="auto"/>
        <w:jc w:val="both"/>
        <w:rPr>
          <w:rFonts w:ascii="Palatino Linotype" w:eastAsia="Palatino Linotype" w:hAnsi="Palatino Linotype" w:cs="Palatino Linotype"/>
        </w:rPr>
      </w:pPr>
    </w:p>
    <w:p w14:paraId="329A0760" w14:textId="77777777" w:rsidR="002779A6" w:rsidRPr="00375A02" w:rsidRDefault="002779A6" w:rsidP="002779A6">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375A02">
        <w:rPr>
          <w:rFonts w:ascii="Palatino Linotype" w:eastAsia="Palatino Linotype" w:hAnsi="Palatino Linotype" w:cs="Palatino Linotype"/>
          <w:b/>
          <w:sz w:val="24"/>
          <w:szCs w:val="24"/>
        </w:rPr>
        <w:t>artículo 12</w:t>
      </w:r>
      <w:r w:rsidRPr="00375A02">
        <w:rPr>
          <w:rFonts w:ascii="Palatino Linotype" w:eastAsia="Palatino Linotype" w:hAnsi="Palatino Linotype" w:cs="Palatino Linotype"/>
          <w:sz w:val="24"/>
          <w:szCs w:val="24"/>
        </w:rPr>
        <w:t xml:space="preserve"> de la Ley de Transparencia y Acceso a la Información Pública del Estado de México y Municipios, el cual a la letra dice:</w:t>
      </w:r>
    </w:p>
    <w:p w14:paraId="5A19C2FE" w14:textId="77777777" w:rsidR="002779A6" w:rsidRPr="00375A02" w:rsidRDefault="002779A6" w:rsidP="002779A6">
      <w:pPr>
        <w:spacing w:after="0" w:line="360" w:lineRule="auto"/>
        <w:jc w:val="both"/>
        <w:rPr>
          <w:rFonts w:ascii="Palatino Linotype" w:eastAsia="Palatino Linotype" w:hAnsi="Palatino Linotype" w:cs="Palatino Linotype"/>
        </w:rPr>
      </w:pPr>
    </w:p>
    <w:p w14:paraId="295A714D" w14:textId="77777777" w:rsidR="002779A6" w:rsidRPr="00375A02" w:rsidRDefault="002779A6" w:rsidP="002779A6">
      <w:pPr>
        <w:spacing w:after="0"/>
        <w:ind w:left="567" w:right="758"/>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r w:rsidRPr="00375A02">
        <w:rPr>
          <w:rFonts w:ascii="Palatino Linotype" w:eastAsia="Palatino Linotype" w:hAnsi="Palatino Linotype" w:cs="Palatino Linotype"/>
          <w:b/>
          <w:i/>
        </w:rPr>
        <w:t>Artículo 12</w:t>
      </w:r>
      <w:r w:rsidRPr="00375A0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DB96773" w14:textId="77777777" w:rsidR="002779A6" w:rsidRPr="00375A02" w:rsidRDefault="002779A6" w:rsidP="002779A6">
      <w:pPr>
        <w:spacing w:after="0"/>
        <w:ind w:left="567" w:right="758"/>
        <w:jc w:val="both"/>
        <w:rPr>
          <w:rFonts w:ascii="Palatino Linotype" w:eastAsia="Palatino Linotype" w:hAnsi="Palatino Linotype" w:cs="Palatino Linotype"/>
          <w:i/>
        </w:rPr>
      </w:pPr>
      <w:r w:rsidRPr="00375A02">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CC25D67" w14:textId="77777777" w:rsidR="002779A6" w:rsidRPr="00375A02" w:rsidRDefault="002779A6" w:rsidP="002779A6">
      <w:pPr>
        <w:spacing w:line="360" w:lineRule="auto"/>
        <w:jc w:val="both"/>
        <w:rPr>
          <w:rFonts w:ascii="Palatino Linotype" w:eastAsia="Palatino Linotype" w:hAnsi="Palatino Linotype" w:cs="Palatino Linotype"/>
        </w:rPr>
      </w:pPr>
    </w:p>
    <w:p w14:paraId="6785FBDA" w14:textId="77777777" w:rsidR="002779A6" w:rsidRPr="00375A02" w:rsidRDefault="002779A6" w:rsidP="002779A6">
      <w:pPr>
        <w:spacing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lastRenderedPageBreak/>
        <w:t>Es decir, que el derecho de acceso a la información pública se satisface en aquellos casos en que se entregue documento en que conste la información requerida, toda vez que, los Sujetos Obligados</w:t>
      </w:r>
      <w:r w:rsidRPr="00375A02">
        <w:rPr>
          <w:rFonts w:ascii="Palatino Linotype" w:eastAsia="Palatino Linotype" w:hAnsi="Palatino Linotype" w:cs="Palatino Linotype"/>
          <w:b/>
          <w:sz w:val="24"/>
          <w:szCs w:val="24"/>
        </w:rPr>
        <w:t xml:space="preserve"> </w:t>
      </w:r>
      <w:r w:rsidRPr="00375A02">
        <w:rPr>
          <w:rFonts w:ascii="Palatino Linotype" w:eastAsia="Palatino Linotype" w:hAnsi="Palatino Linotype" w:cs="Palatino Linotype"/>
          <w:sz w:val="24"/>
          <w:szCs w:val="24"/>
        </w:rPr>
        <w:t xml:space="preserve">no tienen el deber de generar, poseer o administrar la información pública con el grado de detalle solicitado; esto es, que no tienen el deber de generar un documento </w:t>
      </w:r>
      <w:r w:rsidRPr="00375A02">
        <w:rPr>
          <w:rFonts w:ascii="Palatino Linotype" w:eastAsia="Palatino Linotype" w:hAnsi="Palatino Linotype" w:cs="Palatino Linotype"/>
          <w:i/>
          <w:sz w:val="24"/>
          <w:szCs w:val="24"/>
        </w:rPr>
        <w:t>ad hoc</w:t>
      </w:r>
      <w:r w:rsidRPr="00375A02">
        <w:rPr>
          <w:rFonts w:ascii="Palatino Linotype" w:eastAsia="Palatino Linotype" w:hAnsi="Palatino Linotype" w:cs="Palatino Linotype"/>
          <w:sz w:val="24"/>
          <w:szCs w:val="24"/>
        </w:rPr>
        <w:t>, para satisfacer el derecho de acceso a la información pública, como así lo establece los criterios 09/10 y 03/17 emitidos por el Instituto Nacional de Transparencia, Acceso a la Información Pública y Protección de Datos Personales, los cuales señalan lo siguiente:</w:t>
      </w:r>
    </w:p>
    <w:p w14:paraId="64537A43" w14:textId="77777777" w:rsidR="002779A6" w:rsidRPr="00375A02" w:rsidRDefault="002779A6" w:rsidP="002779A6">
      <w:pPr>
        <w:spacing w:before="120" w:after="240"/>
        <w:ind w:left="1134" w:right="902"/>
        <w:jc w:val="both"/>
        <w:rPr>
          <w:rFonts w:ascii="Palatino Linotype" w:eastAsia="Palatino Linotype" w:hAnsi="Palatino Linotype" w:cs="Palatino Linotype"/>
          <w:b/>
          <w:i/>
        </w:rPr>
      </w:pPr>
      <w:r w:rsidRPr="00375A02">
        <w:rPr>
          <w:rFonts w:ascii="Palatino Linotype" w:eastAsia="Palatino Linotype" w:hAnsi="Palatino Linotype" w:cs="Palatino Linotype"/>
          <w:b/>
          <w:i/>
        </w:rPr>
        <w:t>09/10</w:t>
      </w:r>
    </w:p>
    <w:p w14:paraId="71863940" w14:textId="77777777" w:rsidR="002779A6" w:rsidRPr="00375A02" w:rsidRDefault="002779A6" w:rsidP="002779A6">
      <w:pPr>
        <w:spacing w:before="120" w:after="240"/>
        <w:ind w:left="1134" w:right="902"/>
        <w:jc w:val="both"/>
        <w:rPr>
          <w:rFonts w:ascii="Palatino Linotype" w:eastAsia="Palatino Linotype" w:hAnsi="Palatino Linotype" w:cs="Palatino Linotype"/>
          <w:b/>
          <w:i/>
        </w:rPr>
      </w:pPr>
      <w:r w:rsidRPr="00375A02">
        <w:rPr>
          <w:rFonts w:ascii="Palatino Linotype" w:eastAsia="Palatino Linotype" w:hAnsi="Palatino Linotype" w:cs="Palatino Linotype"/>
          <w:b/>
          <w:i/>
        </w:rPr>
        <w:t>"LAS DEPENDENCIAS Y ENTIDADES NO ESTÁN OBLIGADAS A GENERAR DOCUMENTOS AD HOC PARA RESPONDER UNA SOLICITUD DE ACC ESO A LA INFORMACIÓN.</w:t>
      </w:r>
    </w:p>
    <w:p w14:paraId="454F2F15" w14:textId="77777777" w:rsidR="002779A6" w:rsidRPr="00375A02" w:rsidRDefault="002779A6" w:rsidP="002779A6">
      <w:pPr>
        <w:spacing w:before="120" w:after="24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09CE0296" w14:textId="77777777" w:rsidR="002779A6" w:rsidRPr="00375A02" w:rsidRDefault="002779A6" w:rsidP="002779A6">
      <w:pPr>
        <w:spacing w:before="120" w:after="240"/>
        <w:ind w:left="1134" w:right="902"/>
        <w:jc w:val="both"/>
        <w:rPr>
          <w:rFonts w:ascii="Palatino Linotype" w:eastAsia="Palatino Linotype" w:hAnsi="Palatino Linotype" w:cs="Palatino Linotype"/>
          <w:b/>
          <w:i/>
        </w:rPr>
      </w:pPr>
      <w:r w:rsidRPr="00375A02">
        <w:rPr>
          <w:rFonts w:ascii="Palatino Linotype" w:eastAsia="Palatino Linotype" w:hAnsi="Palatino Linotype" w:cs="Palatino Linotype"/>
          <w:b/>
          <w:i/>
        </w:rPr>
        <w:t>03/17</w:t>
      </w:r>
    </w:p>
    <w:p w14:paraId="3F45F2AF" w14:textId="77777777" w:rsidR="002779A6" w:rsidRPr="00375A02" w:rsidRDefault="002779A6" w:rsidP="002779A6">
      <w:pPr>
        <w:spacing w:before="120" w:after="240"/>
        <w:ind w:left="1134" w:right="902"/>
        <w:jc w:val="both"/>
        <w:rPr>
          <w:rFonts w:ascii="Palatino Linotype" w:eastAsia="Palatino Linotype" w:hAnsi="Palatino Linotype" w:cs="Palatino Linotype"/>
          <w:b/>
          <w:i/>
        </w:rPr>
      </w:pPr>
      <w:r w:rsidRPr="00375A02">
        <w:rPr>
          <w:rFonts w:ascii="Palatino Linotype" w:eastAsia="Palatino Linotype" w:hAnsi="Palatino Linotype" w:cs="Palatino Linotype"/>
          <w:b/>
          <w:i/>
        </w:rPr>
        <w:t>“NO EXISTE OBLIGACIÓN DE ELABORAR DOCUM ENTOS AD HOC PARA ATENDER LAS SOLICITUDES DE ACCESO A LA INFORM ACIÓN.</w:t>
      </w:r>
    </w:p>
    <w:p w14:paraId="797BF445" w14:textId="77777777" w:rsidR="002779A6" w:rsidRPr="00375A02" w:rsidRDefault="002779A6" w:rsidP="002779A6">
      <w:pPr>
        <w:spacing w:before="120" w:after="24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w:t>
      </w:r>
      <w:r w:rsidRPr="00375A02">
        <w:rPr>
          <w:rFonts w:ascii="Palatino Linotype" w:eastAsia="Palatino Linotype" w:hAnsi="Palatino Linotype" w:cs="Palatino Linotype"/>
          <w:i/>
        </w:rPr>
        <w:lastRenderedPageBreak/>
        <w:t>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356ECF6" w14:textId="77777777" w:rsidR="002779A6" w:rsidRPr="00375A02" w:rsidRDefault="002779A6" w:rsidP="00C479AC">
      <w:pPr>
        <w:spacing w:after="0" w:line="360" w:lineRule="auto"/>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329BEB" w14:textId="77777777" w:rsidR="009A1121" w:rsidRPr="00375A02" w:rsidRDefault="009A1121" w:rsidP="00C479AC">
      <w:pPr>
        <w:spacing w:after="0" w:line="360" w:lineRule="auto"/>
        <w:contextualSpacing/>
        <w:jc w:val="both"/>
        <w:rPr>
          <w:rFonts w:ascii="Palatino Linotype" w:eastAsia="Palatino Linotype" w:hAnsi="Palatino Linotype" w:cs="Palatino Linotype"/>
          <w:sz w:val="24"/>
          <w:szCs w:val="24"/>
        </w:rPr>
      </w:pPr>
    </w:p>
    <w:p w14:paraId="58CD5070" w14:textId="77777777" w:rsidR="002779A6" w:rsidRPr="00375A02" w:rsidRDefault="002779A6" w:rsidP="00C479AC">
      <w:pPr>
        <w:spacing w:after="0" w:line="360" w:lineRule="auto"/>
        <w:ind w:right="49"/>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793C5EF" w14:textId="77777777" w:rsidR="002779A6" w:rsidRPr="00375A02" w:rsidRDefault="002779A6" w:rsidP="00C479AC">
      <w:pPr>
        <w:spacing w:after="0" w:line="360" w:lineRule="auto"/>
        <w:ind w:right="49"/>
        <w:contextualSpacing/>
        <w:jc w:val="both"/>
        <w:rPr>
          <w:rFonts w:ascii="Palatino Linotype" w:eastAsia="Palatino Linotype" w:hAnsi="Palatino Linotype" w:cs="Palatino Linotype"/>
          <w:sz w:val="24"/>
          <w:szCs w:val="24"/>
        </w:rPr>
      </w:pPr>
    </w:p>
    <w:p w14:paraId="5B1D3538" w14:textId="77777777" w:rsidR="002779A6" w:rsidRPr="00375A02" w:rsidRDefault="002779A6" w:rsidP="00C479AC">
      <w:pPr>
        <w:spacing w:after="0" w:line="360" w:lineRule="auto"/>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375A02">
        <w:rPr>
          <w:rFonts w:ascii="Palatino Linotype" w:eastAsia="Palatino Linotype" w:hAnsi="Palatino Linotype" w:cs="Palatino Linotype"/>
          <w:sz w:val="24"/>
          <w:szCs w:val="24"/>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F0354C1" w14:textId="77777777" w:rsidR="002779A6" w:rsidRPr="00375A02" w:rsidRDefault="002779A6" w:rsidP="002779A6">
      <w:pPr>
        <w:ind w:left="1134" w:right="899"/>
        <w:jc w:val="both"/>
        <w:rPr>
          <w:rFonts w:ascii="Palatino Linotype" w:eastAsia="Palatino Linotype" w:hAnsi="Palatino Linotype" w:cs="Palatino Linotype"/>
          <w:i/>
        </w:rPr>
      </w:pPr>
    </w:p>
    <w:p w14:paraId="7DD7447B" w14:textId="77777777" w:rsidR="002779A6" w:rsidRPr="00375A02" w:rsidRDefault="002779A6" w:rsidP="002779A6">
      <w:pPr>
        <w:ind w:left="1134" w:right="899"/>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r w:rsidRPr="00375A02">
        <w:rPr>
          <w:rFonts w:ascii="Palatino Linotype" w:eastAsia="Palatino Linotype" w:hAnsi="Palatino Linotype" w:cs="Palatino Linotype"/>
          <w:b/>
          <w:i/>
        </w:rPr>
        <w:t xml:space="preserve">Artículo 3. </w:t>
      </w:r>
      <w:r w:rsidRPr="00375A02">
        <w:rPr>
          <w:rFonts w:ascii="Palatino Linotype" w:eastAsia="Palatino Linotype" w:hAnsi="Palatino Linotype" w:cs="Palatino Linotype"/>
          <w:i/>
        </w:rPr>
        <w:t>Para los efectos de la presente Ley se entenderá por:</w:t>
      </w:r>
    </w:p>
    <w:p w14:paraId="466B10C1" w14:textId="77777777" w:rsidR="002779A6" w:rsidRPr="00375A02" w:rsidRDefault="002779A6" w:rsidP="002779A6">
      <w:pPr>
        <w:ind w:left="1134" w:right="899"/>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p>
    <w:p w14:paraId="146E8F83" w14:textId="77777777" w:rsidR="002779A6" w:rsidRPr="00375A02" w:rsidRDefault="002779A6" w:rsidP="002779A6">
      <w:pPr>
        <w:ind w:left="1134" w:right="899"/>
        <w:jc w:val="both"/>
        <w:rPr>
          <w:rFonts w:ascii="Palatino Linotype" w:eastAsia="Palatino Linotype" w:hAnsi="Palatino Linotype" w:cs="Palatino Linotype"/>
          <w:i/>
        </w:rPr>
      </w:pPr>
      <w:r w:rsidRPr="00375A02">
        <w:rPr>
          <w:rFonts w:ascii="Palatino Linotype" w:eastAsia="Palatino Linotype" w:hAnsi="Palatino Linotype" w:cs="Palatino Linotype"/>
          <w:b/>
          <w:i/>
        </w:rPr>
        <w:t>XI. Documento:</w:t>
      </w:r>
      <w:r w:rsidRPr="00375A02">
        <w:rPr>
          <w:rFonts w:ascii="Palatino Linotype" w:eastAsia="Palatino Linotype" w:hAnsi="Palatino Linotype" w:cs="Palatino Linotype"/>
          <w:i/>
        </w:rPr>
        <w:t xml:space="preserve"> Los expedientes, reportes, estudios, </w:t>
      </w:r>
      <w:r w:rsidRPr="00375A02">
        <w:rPr>
          <w:rFonts w:ascii="Palatino Linotype" w:eastAsia="Palatino Linotype" w:hAnsi="Palatino Linotype" w:cs="Palatino Linotype"/>
          <w:b/>
          <w:i/>
        </w:rPr>
        <w:t>actas,</w:t>
      </w:r>
      <w:r w:rsidRPr="00375A02">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75A02">
        <w:rPr>
          <w:rFonts w:ascii="Palatino Linotype" w:eastAsia="Palatino Linotype" w:hAnsi="Palatino Linotype" w:cs="Palatino Linotype"/>
          <w:b/>
          <w:i/>
        </w:rPr>
        <w:t>…</w:t>
      </w:r>
      <w:r w:rsidRPr="00375A02">
        <w:rPr>
          <w:rFonts w:ascii="Palatino Linotype" w:eastAsia="Palatino Linotype" w:hAnsi="Palatino Linotype" w:cs="Palatino Linotype"/>
          <w:i/>
        </w:rPr>
        <w:t>”(Sic)</w:t>
      </w:r>
    </w:p>
    <w:p w14:paraId="70844E6F" w14:textId="77777777" w:rsidR="002779A6" w:rsidRPr="00375A02" w:rsidRDefault="002779A6" w:rsidP="002779A6">
      <w:pPr>
        <w:ind w:left="851" w:right="899"/>
        <w:jc w:val="both"/>
        <w:rPr>
          <w:rFonts w:ascii="Palatino Linotype" w:eastAsia="Palatino Linotype" w:hAnsi="Palatino Linotype" w:cs="Palatino Linotype"/>
          <w:i/>
        </w:rPr>
      </w:pPr>
    </w:p>
    <w:p w14:paraId="1EC1DADB" w14:textId="77777777" w:rsidR="002779A6" w:rsidRPr="00375A02" w:rsidRDefault="002779A6" w:rsidP="002779A6">
      <w:pPr>
        <w:spacing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DF5D802" w14:textId="77777777" w:rsidR="002779A6" w:rsidRPr="00375A02" w:rsidRDefault="002779A6" w:rsidP="002779A6">
      <w:pPr>
        <w:ind w:left="1134" w:right="899"/>
        <w:jc w:val="both"/>
        <w:rPr>
          <w:rFonts w:ascii="Palatino Linotype" w:eastAsia="Palatino Linotype" w:hAnsi="Palatino Linotype" w:cs="Palatino Linotype"/>
          <w:b/>
          <w:i/>
        </w:rPr>
      </w:pPr>
      <w:r w:rsidRPr="00375A02">
        <w:rPr>
          <w:rFonts w:ascii="Palatino Linotype" w:eastAsia="Palatino Linotype" w:hAnsi="Palatino Linotype" w:cs="Palatino Linotype"/>
          <w:b/>
        </w:rPr>
        <w:t>“</w:t>
      </w:r>
      <w:r w:rsidRPr="00375A02">
        <w:rPr>
          <w:rFonts w:ascii="Palatino Linotype" w:eastAsia="Palatino Linotype" w:hAnsi="Palatino Linotype" w:cs="Palatino Linotype"/>
          <w:b/>
          <w:i/>
        </w:rPr>
        <w:t>CRITERIO 0002-11</w:t>
      </w:r>
    </w:p>
    <w:p w14:paraId="2B6C6D0A" w14:textId="77777777" w:rsidR="002779A6" w:rsidRPr="00375A02" w:rsidRDefault="002779A6" w:rsidP="002779A6">
      <w:pPr>
        <w:ind w:left="1134" w:right="899"/>
        <w:jc w:val="both"/>
        <w:rPr>
          <w:rFonts w:ascii="Palatino Linotype" w:eastAsia="Palatino Linotype" w:hAnsi="Palatino Linotype" w:cs="Palatino Linotype"/>
          <w:i/>
        </w:rPr>
      </w:pPr>
      <w:r w:rsidRPr="00375A0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75A02">
        <w:rPr>
          <w:rFonts w:ascii="Palatino Linotype" w:eastAsia="Palatino Linotype" w:hAnsi="Palatino Linotype" w:cs="Palatino Linotype"/>
          <w:i/>
        </w:rPr>
        <w:t xml:space="preserve"> De conformidad con los artículos antes referidos, el derecho de acceso a la </w:t>
      </w:r>
      <w:r w:rsidRPr="00375A02">
        <w:rPr>
          <w:rFonts w:ascii="Palatino Linotype" w:eastAsia="Palatino Linotype" w:hAnsi="Palatino Linotype" w:cs="Palatino Linotype"/>
          <w:i/>
        </w:rPr>
        <w:lastRenderedPageBreak/>
        <w:t>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9FE7D4" w14:textId="77777777" w:rsidR="002779A6" w:rsidRPr="00375A02" w:rsidRDefault="002779A6" w:rsidP="002779A6">
      <w:pPr>
        <w:ind w:left="1134" w:right="899"/>
        <w:jc w:val="both"/>
        <w:rPr>
          <w:rFonts w:ascii="Palatino Linotype" w:eastAsia="Palatino Linotype" w:hAnsi="Palatino Linotype" w:cs="Palatino Linotype"/>
          <w:i/>
        </w:rPr>
      </w:pPr>
      <w:r w:rsidRPr="00375A02">
        <w:rPr>
          <w:rFonts w:ascii="Palatino Linotype" w:eastAsia="Palatino Linotype" w:hAnsi="Palatino Linotype" w:cs="Palatino Linotype"/>
          <w:i/>
        </w:rPr>
        <w:t>En consecuencia el acceso a la información se refiere a que se cumplan cualquiera de los siguientes tres supuestos:</w:t>
      </w:r>
    </w:p>
    <w:p w14:paraId="068DAFFF" w14:textId="77777777" w:rsidR="002779A6" w:rsidRPr="00375A02" w:rsidRDefault="002779A6" w:rsidP="002779A6">
      <w:pPr>
        <w:ind w:left="1134" w:right="899"/>
        <w:jc w:val="both"/>
        <w:rPr>
          <w:rFonts w:ascii="Palatino Linotype" w:eastAsia="Palatino Linotype" w:hAnsi="Palatino Linotype" w:cs="Palatino Linotype"/>
          <w:b/>
          <w:i/>
        </w:rPr>
      </w:pPr>
      <w:r w:rsidRPr="00375A02">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04A58668" w14:textId="77777777" w:rsidR="002779A6" w:rsidRPr="00375A02" w:rsidRDefault="002779A6" w:rsidP="002779A6">
      <w:pPr>
        <w:ind w:left="1134" w:right="899"/>
        <w:jc w:val="both"/>
        <w:rPr>
          <w:rFonts w:ascii="Palatino Linotype" w:eastAsia="Palatino Linotype" w:hAnsi="Palatino Linotype" w:cs="Palatino Linotype"/>
          <w:i/>
        </w:rPr>
      </w:pPr>
      <w:r w:rsidRPr="00375A02">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D22032B" w14:textId="77777777" w:rsidR="002779A6" w:rsidRPr="00375A02" w:rsidRDefault="002779A6" w:rsidP="002779A6">
      <w:pPr>
        <w:ind w:left="1134" w:right="899"/>
        <w:jc w:val="both"/>
        <w:rPr>
          <w:rFonts w:ascii="Palatino Linotype" w:eastAsia="Palatino Linotype" w:hAnsi="Palatino Linotype" w:cs="Palatino Linotype"/>
          <w:i/>
        </w:rPr>
      </w:pPr>
      <w:r w:rsidRPr="00375A02">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Obligados.”(Sic)</w:t>
      </w:r>
    </w:p>
    <w:p w14:paraId="7CE07C15" w14:textId="77777777" w:rsidR="002779A6" w:rsidRPr="00375A02" w:rsidRDefault="002779A6" w:rsidP="002779A6">
      <w:pPr>
        <w:ind w:left="1134" w:right="1041"/>
        <w:jc w:val="both"/>
        <w:rPr>
          <w:rFonts w:ascii="Palatino Linotype" w:eastAsia="Palatino Linotype" w:hAnsi="Palatino Linotype" w:cs="Palatino Linotype"/>
        </w:rPr>
      </w:pPr>
    </w:p>
    <w:p w14:paraId="4B052E4F" w14:textId="77777777" w:rsidR="002779A6" w:rsidRPr="00375A02" w:rsidRDefault="002779A6" w:rsidP="00C479AC">
      <w:pPr>
        <w:spacing w:before="160" w:after="0" w:line="360" w:lineRule="auto"/>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De ahí que el </w:t>
      </w:r>
      <w:r w:rsidRPr="00375A02">
        <w:rPr>
          <w:rFonts w:ascii="Palatino Linotype" w:eastAsia="Palatino Linotype" w:hAnsi="Palatino Linotype" w:cs="Palatino Linotype"/>
          <w:b/>
          <w:sz w:val="24"/>
          <w:szCs w:val="24"/>
        </w:rPr>
        <w:t>SUJETO OBLIGADO</w:t>
      </w:r>
      <w:r w:rsidRPr="00375A02">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375A02">
        <w:rPr>
          <w:rFonts w:ascii="Palatino Linotype" w:eastAsia="Palatino Linotype" w:hAnsi="Palatino Linotype" w:cs="Palatino Linotype"/>
          <w:sz w:val="24"/>
          <w:szCs w:val="24"/>
          <w:vertAlign w:val="superscript"/>
        </w:rPr>
        <w:footnoteReference w:id="1"/>
      </w:r>
      <w:r w:rsidRPr="00375A02">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w:t>
      </w:r>
      <w:r w:rsidRPr="00375A02">
        <w:rPr>
          <w:rFonts w:ascii="Palatino Linotype" w:eastAsia="Palatino Linotype" w:hAnsi="Palatino Linotype" w:cs="Palatino Linotype"/>
          <w:sz w:val="24"/>
          <w:szCs w:val="24"/>
        </w:rPr>
        <w:lastRenderedPageBreak/>
        <w:t>interés individual, y cuya divulgación resulta útil para que el público comprenda las actividades que llevan a cabo los Sujetos Obligados</w:t>
      </w:r>
      <w:r w:rsidRPr="00375A02">
        <w:rPr>
          <w:rFonts w:ascii="Palatino Linotype" w:eastAsia="Palatino Linotype" w:hAnsi="Palatino Linotype" w:cs="Palatino Linotype"/>
          <w:sz w:val="24"/>
          <w:szCs w:val="24"/>
          <w:vertAlign w:val="superscript"/>
        </w:rPr>
        <w:footnoteReference w:id="2"/>
      </w:r>
      <w:r w:rsidRPr="00375A02">
        <w:rPr>
          <w:rFonts w:ascii="Palatino Linotype" w:eastAsia="Palatino Linotype" w:hAnsi="Palatino Linotype" w:cs="Palatino Linotype"/>
          <w:sz w:val="24"/>
          <w:szCs w:val="24"/>
        </w:rPr>
        <w:t>.</w:t>
      </w:r>
    </w:p>
    <w:p w14:paraId="722571A7" w14:textId="77777777" w:rsidR="00C479AC" w:rsidRPr="00375A02" w:rsidRDefault="00C479AC" w:rsidP="00C479AC">
      <w:pPr>
        <w:spacing w:before="160" w:after="0" w:line="360" w:lineRule="auto"/>
        <w:contextualSpacing/>
        <w:jc w:val="both"/>
        <w:rPr>
          <w:rFonts w:ascii="Palatino Linotype" w:eastAsia="Palatino Linotype" w:hAnsi="Palatino Linotype" w:cs="Palatino Linotype"/>
          <w:sz w:val="24"/>
          <w:szCs w:val="24"/>
        </w:rPr>
      </w:pPr>
    </w:p>
    <w:p w14:paraId="27120A73" w14:textId="194B443D" w:rsidR="008A2C54" w:rsidRPr="00375A02" w:rsidRDefault="00F52E7D" w:rsidP="00C479AC">
      <w:pPr>
        <w:spacing w:before="240" w:after="240" w:line="360" w:lineRule="auto"/>
        <w:ind w:right="51"/>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Ahora bien, tomando en consideración el pronunciamiento vertido por la Unidad de Transparencia en la etapa de manifestaciones, debemos traer a colación el artículo 161</w:t>
      </w:r>
      <w:r w:rsidRPr="00375A02">
        <w:rPr>
          <w:rFonts w:ascii="Palatino Linotype" w:eastAsia="Palatino Linotype" w:hAnsi="Palatino Linotype" w:cs="Palatino Linotype"/>
          <w:sz w:val="24"/>
          <w:szCs w:val="24"/>
          <w:vertAlign w:val="superscript"/>
        </w:rPr>
        <w:footnoteReference w:id="3"/>
      </w:r>
      <w:r w:rsidRPr="00375A02">
        <w:rPr>
          <w:rFonts w:ascii="Palatino Linotype" w:eastAsia="Palatino Linotype" w:hAnsi="Palatino Linotype" w:cs="Palatino Linotype"/>
          <w:sz w:val="24"/>
          <w:szCs w:val="24"/>
        </w:rPr>
        <w:t xml:space="preserve"> de la Ley de Transparencia y Acceso a la Información Pública del Estado de México y Municipios</w:t>
      </w:r>
      <w:r w:rsidRPr="00375A02">
        <w:rPr>
          <w:rFonts w:ascii="Palatino Linotype" w:eastAsia="Palatino Linotype" w:hAnsi="Palatino Linotype" w:cs="Palatino Linotype"/>
          <w:i/>
          <w:sz w:val="24"/>
          <w:szCs w:val="24"/>
        </w:rPr>
        <w:t xml:space="preserve">, </w:t>
      </w:r>
      <w:r w:rsidRPr="00375A02">
        <w:rPr>
          <w:rFonts w:ascii="Palatino Linotype" w:eastAsia="Palatino Linotype" w:hAnsi="Palatino Linotype" w:cs="Palatino Linotype"/>
          <w:sz w:val="24"/>
          <w:szCs w:val="24"/>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1860F01" w14:textId="77777777" w:rsidR="00C479AC" w:rsidRPr="00375A02" w:rsidRDefault="00C479AC" w:rsidP="00C479AC">
      <w:pPr>
        <w:spacing w:before="240" w:after="240" w:line="360" w:lineRule="auto"/>
        <w:ind w:right="51"/>
        <w:contextualSpacing/>
        <w:jc w:val="both"/>
        <w:rPr>
          <w:rFonts w:ascii="Palatino Linotype" w:eastAsia="Palatino Linotype" w:hAnsi="Palatino Linotype" w:cs="Palatino Linotype"/>
          <w:sz w:val="24"/>
          <w:szCs w:val="24"/>
        </w:rPr>
      </w:pPr>
    </w:p>
    <w:p w14:paraId="7A27A7A8" w14:textId="77777777" w:rsidR="008A2C54" w:rsidRPr="00375A02" w:rsidRDefault="008A2C54" w:rsidP="008A2C54">
      <w:pPr>
        <w:spacing w:before="240" w:after="240" w:line="360" w:lineRule="auto"/>
        <w:ind w:left="284" w:right="49"/>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a) La fuente</w:t>
      </w:r>
    </w:p>
    <w:p w14:paraId="5E57C367" w14:textId="77777777" w:rsidR="008A2C54" w:rsidRPr="00375A02" w:rsidRDefault="008A2C54" w:rsidP="008A2C54">
      <w:pPr>
        <w:spacing w:before="240" w:after="240" w:line="360" w:lineRule="auto"/>
        <w:ind w:left="284" w:right="49"/>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b) El lugar y</w:t>
      </w:r>
    </w:p>
    <w:p w14:paraId="67F02B7E" w14:textId="77777777" w:rsidR="008A2C54" w:rsidRPr="00375A02" w:rsidRDefault="008A2C54" w:rsidP="008A2C54">
      <w:pPr>
        <w:spacing w:before="240" w:after="240" w:line="360" w:lineRule="auto"/>
        <w:ind w:left="284" w:right="49"/>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c) La forma</w:t>
      </w:r>
    </w:p>
    <w:p w14:paraId="03C18241" w14:textId="77777777" w:rsidR="008A2C54" w:rsidRPr="00375A02" w:rsidRDefault="008A2C54" w:rsidP="008A2C54">
      <w:pPr>
        <w:spacing w:before="240" w:after="240" w:line="360" w:lineRule="auto"/>
        <w:ind w:left="284" w:right="49"/>
        <w:contextualSpacing/>
        <w:jc w:val="both"/>
        <w:rPr>
          <w:rFonts w:ascii="Palatino Linotype" w:eastAsia="Palatino Linotype" w:hAnsi="Palatino Linotype" w:cs="Palatino Linotype"/>
          <w:sz w:val="24"/>
          <w:szCs w:val="24"/>
        </w:rPr>
      </w:pPr>
    </w:p>
    <w:p w14:paraId="31AEA64B" w14:textId="77777777" w:rsidR="008A2C54" w:rsidRPr="00375A02" w:rsidRDefault="008A2C54" w:rsidP="008A2C54">
      <w:pPr>
        <w:spacing w:before="240" w:after="240" w:line="360" w:lineRule="auto"/>
        <w:ind w:right="51"/>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Asimismo, se establece que la fuente de la información deberá ser:</w:t>
      </w:r>
    </w:p>
    <w:p w14:paraId="142E6B4F" w14:textId="77777777" w:rsidR="008A2C54" w:rsidRPr="00375A02" w:rsidRDefault="008A2C54" w:rsidP="008A2C54">
      <w:pPr>
        <w:spacing w:before="240" w:after="240" w:line="360" w:lineRule="auto"/>
        <w:ind w:right="51"/>
        <w:contextualSpacing/>
        <w:jc w:val="both"/>
        <w:rPr>
          <w:rFonts w:ascii="Palatino Linotype" w:eastAsia="Palatino Linotype" w:hAnsi="Palatino Linotype" w:cs="Palatino Linotype"/>
          <w:sz w:val="24"/>
          <w:szCs w:val="24"/>
        </w:rPr>
      </w:pPr>
    </w:p>
    <w:p w14:paraId="53D763EE" w14:textId="77777777" w:rsidR="008A2C54" w:rsidRPr="00375A02" w:rsidRDefault="008A2C54" w:rsidP="008A2C54">
      <w:pPr>
        <w:spacing w:before="240" w:after="240" w:line="360" w:lineRule="auto"/>
        <w:ind w:left="284" w:right="51"/>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a) Precisa</w:t>
      </w:r>
    </w:p>
    <w:p w14:paraId="09217E13" w14:textId="77777777" w:rsidR="008A2C54" w:rsidRPr="00375A02" w:rsidRDefault="008A2C54" w:rsidP="008A2C54">
      <w:pPr>
        <w:spacing w:before="240" w:after="240" w:line="360" w:lineRule="auto"/>
        <w:ind w:left="284" w:right="51"/>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b) Concreta</w:t>
      </w:r>
    </w:p>
    <w:p w14:paraId="64EE65DC" w14:textId="77777777" w:rsidR="008A2C54" w:rsidRPr="00375A02" w:rsidRDefault="008A2C54" w:rsidP="008A2C54">
      <w:pPr>
        <w:spacing w:before="240" w:after="240" w:line="360" w:lineRule="auto"/>
        <w:ind w:left="284" w:right="51"/>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c) Y no debe implicar que el solicitante realice una búsqueda en toda la información que se encuentre disponible.</w:t>
      </w:r>
    </w:p>
    <w:p w14:paraId="28C6834A" w14:textId="77777777" w:rsidR="008A2C54" w:rsidRPr="00375A02" w:rsidRDefault="008A2C54" w:rsidP="008A2C54">
      <w:pPr>
        <w:spacing w:before="240" w:after="240" w:line="360" w:lineRule="auto"/>
        <w:ind w:left="284" w:right="51"/>
        <w:contextualSpacing/>
        <w:jc w:val="both"/>
        <w:rPr>
          <w:rFonts w:ascii="Palatino Linotype" w:eastAsia="Palatino Linotype" w:hAnsi="Palatino Linotype" w:cs="Palatino Linotype"/>
          <w:sz w:val="24"/>
          <w:szCs w:val="24"/>
        </w:rPr>
      </w:pPr>
    </w:p>
    <w:p w14:paraId="62A7639B" w14:textId="77777777" w:rsidR="008A2C54" w:rsidRPr="00375A02" w:rsidRDefault="008A2C54" w:rsidP="008A2C54">
      <w:pPr>
        <w:spacing w:before="240" w:after="240" w:line="360" w:lineRule="auto"/>
        <w:ind w:right="51"/>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Imperativos legales que establecen el procedimiento que debe seguir el </w:t>
      </w:r>
      <w:r w:rsidRPr="00375A02">
        <w:rPr>
          <w:rFonts w:ascii="Palatino Linotype" w:eastAsia="Palatino Linotype" w:hAnsi="Palatino Linotype" w:cs="Palatino Linotype"/>
          <w:b/>
          <w:sz w:val="24"/>
          <w:szCs w:val="24"/>
        </w:rPr>
        <w:t>SUJETO OBLIGADO</w:t>
      </w:r>
      <w:r w:rsidRPr="00375A02">
        <w:rPr>
          <w:rFonts w:ascii="Palatino Linotype" w:eastAsia="Palatino Linotype" w:hAnsi="Palatino Linotype" w:cs="Palatino Linotype"/>
          <w:sz w:val="24"/>
          <w:szCs w:val="24"/>
        </w:rPr>
        <w:t xml:space="preserve"> para que pueda tomarse como válida su orientación sobre la forma en que puede consultar la información requerida.</w:t>
      </w:r>
    </w:p>
    <w:p w14:paraId="4AA51437" w14:textId="77777777" w:rsidR="008A2C54" w:rsidRPr="00375A02" w:rsidRDefault="008A2C54" w:rsidP="008A2C54">
      <w:pPr>
        <w:spacing w:before="240" w:after="240" w:line="360" w:lineRule="auto"/>
        <w:ind w:right="51"/>
        <w:contextualSpacing/>
        <w:jc w:val="both"/>
        <w:rPr>
          <w:rFonts w:ascii="Palatino Linotype" w:eastAsia="Palatino Linotype" w:hAnsi="Palatino Linotype" w:cs="Palatino Linotype"/>
          <w:sz w:val="24"/>
          <w:szCs w:val="24"/>
        </w:rPr>
      </w:pPr>
    </w:p>
    <w:p w14:paraId="3A0552D4" w14:textId="0CE5904D" w:rsidR="008A2C54" w:rsidRPr="00375A02" w:rsidRDefault="008A2C54" w:rsidP="008A2C54">
      <w:pPr>
        <w:spacing w:before="120" w:after="120" w:line="360" w:lineRule="auto"/>
        <w:ind w:right="49"/>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Así, en el presente caso, el </w:t>
      </w:r>
      <w:r w:rsidRPr="00375A02">
        <w:rPr>
          <w:rFonts w:ascii="Palatino Linotype" w:eastAsia="Palatino Linotype" w:hAnsi="Palatino Linotype" w:cs="Palatino Linotype"/>
          <w:b/>
          <w:sz w:val="24"/>
          <w:szCs w:val="24"/>
        </w:rPr>
        <w:t xml:space="preserve">SUJETO OBLIGADO </w:t>
      </w:r>
      <w:r w:rsidRPr="00375A02">
        <w:rPr>
          <w:rFonts w:ascii="Palatino Linotype" w:eastAsia="Palatino Linotype" w:hAnsi="Palatino Linotype" w:cs="Palatino Linotype"/>
          <w:sz w:val="24"/>
          <w:szCs w:val="24"/>
        </w:rPr>
        <w:t xml:space="preserve">señala que la información está disponible en la siguiente liga electrónica </w:t>
      </w:r>
      <w:r w:rsidRPr="00375A02">
        <w:rPr>
          <w:rStyle w:val="Hipervnculo"/>
          <w:rFonts w:ascii="Palatino Linotype" w:eastAsia="Palatino Linotype" w:hAnsi="Palatino Linotype" w:cs="Palatino Linotype"/>
          <w:color w:val="auto"/>
          <w:sz w:val="24"/>
          <w:szCs w:val="24"/>
        </w:rPr>
        <w:t>https://www.ipomex.org.mx/ipo3/lgt/indice/ZINACANTEPEC/art_92_xxxv_a.web</w:t>
      </w:r>
      <w:r w:rsidRPr="00375A02">
        <w:rPr>
          <w:rFonts w:ascii="Palatino Linotype" w:eastAsia="Palatino Linotype" w:hAnsi="Palatino Linotype" w:cs="Palatino Linotype"/>
          <w:sz w:val="24"/>
          <w:szCs w:val="24"/>
        </w:rPr>
        <w:t xml:space="preserve">, por lo que este Organismo Garante procedió a consultar la información disponible en dicho portal, en el cual se observa lo siguiente: </w:t>
      </w:r>
    </w:p>
    <w:p w14:paraId="17C98DFC" w14:textId="77777777" w:rsidR="008A2C54" w:rsidRPr="00375A02" w:rsidRDefault="008A2C54" w:rsidP="008A2C54">
      <w:pPr>
        <w:spacing w:before="120" w:after="120" w:line="360" w:lineRule="auto"/>
        <w:ind w:right="49"/>
        <w:jc w:val="both"/>
        <w:rPr>
          <w:noProof/>
        </w:rPr>
      </w:pPr>
    </w:p>
    <w:p w14:paraId="5DDD89C7" w14:textId="730B690A" w:rsidR="008A2C54" w:rsidRPr="00375A02" w:rsidRDefault="008A2C54" w:rsidP="008A2C54">
      <w:pPr>
        <w:spacing w:before="120" w:after="120" w:line="360" w:lineRule="auto"/>
        <w:ind w:right="49"/>
        <w:jc w:val="both"/>
        <w:rPr>
          <w:rFonts w:ascii="Palatino Linotype" w:eastAsia="Palatino Linotype" w:hAnsi="Palatino Linotype" w:cs="Palatino Linotype"/>
          <w:sz w:val="24"/>
          <w:szCs w:val="24"/>
          <w:u w:val="single"/>
        </w:rPr>
      </w:pPr>
      <w:r w:rsidRPr="00375A02">
        <w:rPr>
          <w:noProof/>
          <w:lang w:eastAsia="es-MX"/>
        </w:rPr>
        <w:lastRenderedPageBreak/>
        <w:drawing>
          <wp:inline distT="0" distB="0" distL="0" distR="0" wp14:anchorId="776A6A67" wp14:editId="3E281A42">
            <wp:extent cx="5600700" cy="3923485"/>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80" t="35319" r="43482" b="25136"/>
                    <a:stretch/>
                  </pic:blipFill>
                  <pic:spPr bwMode="auto">
                    <a:xfrm>
                      <a:off x="0" y="0"/>
                      <a:ext cx="5610060" cy="3930042"/>
                    </a:xfrm>
                    <a:prstGeom prst="rect">
                      <a:avLst/>
                    </a:prstGeom>
                    <a:ln>
                      <a:noFill/>
                    </a:ln>
                    <a:extLst>
                      <a:ext uri="{53640926-AAD7-44D8-BBD7-CCE9431645EC}">
                        <a14:shadowObscured xmlns:a14="http://schemas.microsoft.com/office/drawing/2010/main"/>
                      </a:ext>
                    </a:extLst>
                  </pic:spPr>
                </pic:pic>
              </a:graphicData>
            </a:graphic>
          </wp:inline>
        </w:drawing>
      </w:r>
    </w:p>
    <w:p w14:paraId="1C798938" w14:textId="77777777" w:rsidR="00B05A2C" w:rsidRPr="00375A02" w:rsidRDefault="008A2C54" w:rsidP="00B05A2C">
      <w:pPr>
        <w:spacing w:before="240" w:after="240" w:line="360" w:lineRule="auto"/>
        <w:ind w:right="51"/>
        <w:jc w:val="both"/>
        <w:rPr>
          <w:rFonts w:ascii="Palatino Linotype" w:eastAsia="Palatino Linotype" w:hAnsi="Palatino Linotype" w:cs="Palatino Linotype"/>
        </w:rPr>
      </w:pPr>
      <w:r w:rsidRPr="00375A02">
        <w:rPr>
          <w:rFonts w:ascii="Palatino Linotype" w:hAnsi="Palatino Linotype"/>
          <w:sz w:val="24"/>
          <w:szCs w:val="24"/>
        </w:rPr>
        <w:t xml:space="preserve">Como se advierte, la dirección electrónica proporcionada dirige </w:t>
      </w:r>
      <w:r w:rsidR="00B05A2C" w:rsidRPr="00375A02">
        <w:rPr>
          <w:rFonts w:ascii="Palatino Linotype" w:hAnsi="Palatino Linotype"/>
          <w:sz w:val="24"/>
          <w:szCs w:val="24"/>
        </w:rPr>
        <w:t xml:space="preserve">al IPOMEX fracción XXXV </w:t>
      </w:r>
      <w:r w:rsidR="00B05A2C" w:rsidRPr="00375A02">
        <w:rPr>
          <w:rFonts w:ascii="Palatino Linotype" w:eastAsia="Palatino Linotype" w:hAnsi="Palatino Linotype" w:cs="Palatino Linotype"/>
        </w:rPr>
        <w:t>de la Ley de Transparencia y Acceso a la Información Pública del Estado de México y Municipios, consistente en lo siguiente:</w:t>
      </w:r>
    </w:p>
    <w:p w14:paraId="7D91DBD8" w14:textId="77777777" w:rsidR="00B05A2C" w:rsidRPr="00375A02" w:rsidRDefault="00B05A2C" w:rsidP="00B05A2C">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r w:rsidRPr="00375A02">
        <w:rPr>
          <w:rFonts w:ascii="Palatino Linotype" w:eastAsia="Palatino Linotype" w:hAnsi="Palatino Linotype" w:cs="Palatino Linotype"/>
          <w:b/>
          <w:i/>
        </w:rPr>
        <w:t>Artículo 92.</w:t>
      </w:r>
      <w:r w:rsidRPr="00375A02">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FABD7A4" w14:textId="77777777" w:rsidR="00B05A2C" w:rsidRPr="00375A02" w:rsidRDefault="00B05A2C" w:rsidP="00B05A2C">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p>
    <w:p w14:paraId="5E7C9740" w14:textId="77777777" w:rsidR="00B05A2C" w:rsidRPr="00375A02" w:rsidRDefault="00B05A2C" w:rsidP="00B05A2C">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XXXV</w:t>
      </w:r>
      <w:r w:rsidRPr="00375A02">
        <w:rPr>
          <w:rFonts w:ascii="Palatino Linotype" w:eastAsia="Palatino Linotype" w:hAnsi="Palatino Linotype" w:cs="Palatino Linotype"/>
          <w:i/>
        </w:rPr>
        <w:t>. Informes de avances programáticos o presupuestales, balances generales y estado financiero;”</w:t>
      </w:r>
    </w:p>
    <w:p w14:paraId="6CC368EF" w14:textId="77777777" w:rsidR="00B05A2C" w:rsidRPr="00375A02" w:rsidRDefault="00B05A2C" w:rsidP="00C479AC">
      <w:pPr>
        <w:spacing w:before="240" w:after="240" w:line="360" w:lineRule="auto"/>
        <w:ind w:right="51"/>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lastRenderedPageBreak/>
        <w:t xml:space="preserve">Para dar cumplimiento a dicha obligación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 señalan que los Sujetos Obligados deberán publicar y actualizar la información financiera registrada en su Sistema de Contabilidad Gubernamental (SCG), en cumplimiento de la Ley General de Contabilidad Gubernamental, el Acuerdo por el que se emite el Marco Conceptual de Contabilidad Gubernamental publicado en el DOF el 20 de agosto de 2009 y demás normatividad aplicable. </w:t>
      </w:r>
    </w:p>
    <w:p w14:paraId="28F0D046" w14:textId="77777777" w:rsidR="00C479AC" w:rsidRPr="00375A02" w:rsidRDefault="00C479AC" w:rsidP="00C479AC">
      <w:pPr>
        <w:spacing w:before="240" w:after="240" w:line="360" w:lineRule="auto"/>
        <w:ind w:right="51"/>
        <w:contextualSpacing/>
        <w:jc w:val="both"/>
        <w:rPr>
          <w:rFonts w:ascii="Palatino Linotype" w:eastAsia="Palatino Linotype" w:hAnsi="Palatino Linotype" w:cs="Palatino Linotype"/>
          <w:sz w:val="24"/>
        </w:rPr>
      </w:pPr>
    </w:p>
    <w:p w14:paraId="1F9D8E3D" w14:textId="77777777" w:rsidR="00B05A2C" w:rsidRPr="00375A02" w:rsidRDefault="00B05A2C" w:rsidP="00C479AC">
      <w:pPr>
        <w:spacing w:before="240" w:after="240" w:line="360" w:lineRule="auto"/>
        <w:ind w:right="51"/>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Tal como lo establece el artículo 46 de la Ley General de Contabilidad Gubernamental, la Federación, los sistemas contables de los poderes Ejecutivo, Legislativo y Judicial, las entidades de la Administración Pública Paraestatal y los órganos autónomos generarán de manera periódica la información financiera establecida en el artículo referido. </w:t>
      </w:r>
    </w:p>
    <w:p w14:paraId="3972E4CC" w14:textId="77777777" w:rsidR="00C479AC" w:rsidRPr="00375A02" w:rsidRDefault="00C479AC" w:rsidP="00C479AC">
      <w:pPr>
        <w:spacing w:before="240" w:after="240" w:line="360" w:lineRule="auto"/>
        <w:ind w:right="51"/>
        <w:contextualSpacing/>
        <w:jc w:val="both"/>
        <w:rPr>
          <w:rFonts w:ascii="Palatino Linotype" w:eastAsia="Palatino Linotype" w:hAnsi="Palatino Linotype" w:cs="Palatino Linotype"/>
          <w:sz w:val="24"/>
        </w:rPr>
      </w:pPr>
    </w:p>
    <w:p w14:paraId="7A6685E9" w14:textId="77777777" w:rsidR="00B05A2C" w:rsidRPr="00375A02" w:rsidRDefault="00B05A2C" w:rsidP="00C479AC">
      <w:pPr>
        <w:spacing w:before="240" w:after="240" w:line="360" w:lineRule="auto"/>
        <w:ind w:right="51"/>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Asimismo, de conformidad con el artículo 47 de la Ley General de Contabilidad Gubernamental, las entidades federativas, los sistemas contables de los poderes Ejecutivo, Legislativo y Judicial, las entidades de la administración pública paraestatal y los órganos autónomos deberán producir, en la medida que corresponda, la información referida en el artículo 46 de esta Ley, con excepción de la fracción I, inciso i) de dicho artículo.</w:t>
      </w:r>
    </w:p>
    <w:p w14:paraId="4A2C2DFC" w14:textId="77777777" w:rsidR="00B05A2C" w:rsidRPr="00375A02" w:rsidRDefault="00B05A2C" w:rsidP="00C479AC">
      <w:pPr>
        <w:spacing w:before="240" w:after="240" w:line="360" w:lineRule="auto"/>
        <w:ind w:right="51"/>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lastRenderedPageBreak/>
        <w:t>En ese sentido, cada sujeto obligado publicará la información sobre los estados financieros contables, presupuestales y programáticos conforme a las normas, estructura, formatos y contenido de la información, que para tal efecto estableció el Consejo de Armonización Contable y que en su momento entregó a la Secretaría de Hacienda y Crédito Público (SHCP), las secretarías de finanzas o sus equivalentes en las entidades federativas, así como las tesorerías de los municipios y sus análogas en las demarcaciones territoriales de la Ciudad de México, de conformidad con el artículo 51 de la Ley General de Contabilidad Gubernamental.</w:t>
      </w:r>
    </w:p>
    <w:p w14:paraId="0B8276CF" w14:textId="77777777" w:rsidR="00C479AC" w:rsidRPr="00375A02" w:rsidRDefault="00C479AC" w:rsidP="00C479AC">
      <w:pPr>
        <w:spacing w:before="240" w:after="240" w:line="360" w:lineRule="auto"/>
        <w:ind w:right="51"/>
        <w:contextualSpacing/>
        <w:jc w:val="both"/>
        <w:rPr>
          <w:rFonts w:ascii="Palatino Linotype" w:eastAsia="Palatino Linotype" w:hAnsi="Palatino Linotype" w:cs="Palatino Linotype"/>
          <w:sz w:val="24"/>
        </w:rPr>
      </w:pPr>
    </w:p>
    <w:p w14:paraId="1BECFD95" w14:textId="77777777" w:rsidR="00B05A2C" w:rsidRPr="00375A02" w:rsidRDefault="00B05A2C" w:rsidP="00C479AC">
      <w:pPr>
        <w:spacing w:before="240" w:after="240" w:line="360" w:lineRule="auto"/>
        <w:ind w:right="51"/>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Por su parte, la SHCP, las secretarías de finanzas o análogas de las entidades federativas, así como las tesorerías de los municipios y sus equivalentes en las demarcaciones territoriales de la Ciudad de México, además de la información consolidada que, en ejercicio de sus atribuciones deben generar y publicar, incluirán en su respectiva página de Internet los enlaces electrónicos que permitan acceder a la información financiera de todos los sujetos obligados que conforman el correspondiente orden de gobierno, como lo establece el artículo 57 de la Ley General de Contabilidad Gubernamental. </w:t>
      </w:r>
    </w:p>
    <w:p w14:paraId="2714A6DC" w14:textId="77777777" w:rsidR="00C479AC" w:rsidRPr="00375A02" w:rsidRDefault="00C479AC" w:rsidP="00C479AC">
      <w:pPr>
        <w:spacing w:before="240" w:after="240" w:line="360" w:lineRule="auto"/>
        <w:ind w:right="51"/>
        <w:contextualSpacing/>
        <w:jc w:val="both"/>
        <w:rPr>
          <w:rFonts w:ascii="Palatino Linotype" w:eastAsia="Palatino Linotype" w:hAnsi="Palatino Linotype" w:cs="Palatino Linotype"/>
          <w:sz w:val="24"/>
        </w:rPr>
      </w:pPr>
    </w:p>
    <w:p w14:paraId="6DC8F938" w14:textId="77777777" w:rsidR="00B05A2C" w:rsidRPr="00375A02" w:rsidRDefault="00B05A2C" w:rsidP="00C479AC">
      <w:pPr>
        <w:spacing w:before="240" w:after="240" w:line="360" w:lineRule="auto"/>
        <w:ind w:right="51"/>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La información deberá publicarse y actualizarse trimestralmente a más tardar 30 días naturales después de concluido el trimestre y se deberá conservar publicada en el sitio de Internet la información relativa a los últimos seis ejercicios, tal como está establecido en los artículos 51 y 58, respectivamente, de la Ley General de Contabilidad Gubernamental.</w:t>
      </w:r>
    </w:p>
    <w:p w14:paraId="520DCD1B" w14:textId="77777777" w:rsidR="00B05A2C" w:rsidRPr="00375A02" w:rsidRDefault="00B05A2C" w:rsidP="00C479AC">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lastRenderedPageBreak/>
        <w:t>Asimismo, los Lineamientos establecen los siguientes formatos para la publicación de la información:</w:t>
      </w:r>
    </w:p>
    <w:p w14:paraId="76827712" w14:textId="77777777" w:rsidR="00B05A2C" w:rsidRPr="00375A02" w:rsidRDefault="00B05A2C" w:rsidP="00B05A2C">
      <w:pPr>
        <w:spacing w:before="240" w:after="240" w:line="360" w:lineRule="auto"/>
        <w:ind w:right="51"/>
        <w:jc w:val="center"/>
        <w:rPr>
          <w:rFonts w:ascii="Palatino Linotype" w:eastAsia="Palatino Linotype" w:hAnsi="Palatino Linotype" w:cs="Palatino Linotype"/>
        </w:rPr>
      </w:pPr>
      <w:r w:rsidRPr="00375A02">
        <w:rPr>
          <w:rFonts w:ascii="Palatino Linotype" w:eastAsia="Palatino Linotype" w:hAnsi="Palatino Linotype" w:cs="Palatino Linotype"/>
          <w:noProof/>
          <w:lang w:eastAsia="es-MX"/>
        </w:rPr>
        <w:drawing>
          <wp:inline distT="0" distB="0" distL="0" distR="0" wp14:anchorId="7D6AA0A9" wp14:editId="7EA26FFF">
            <wp:extent cx="4680000" cy="3257725"/>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680000" cy="3257725"/>
                    </a:xfrm>
                    <a:prstGeom prst="rect">
                      <a:avLst/>
                    </a:prstGeom>
                    <a:ln/>
                  </pic:spPr>
                </pic:pic>
              </a:graphicData>
            </a:graphic>
          </wp:inline>
        </w:drawing>
      </w:r>
    </w:p>
    <w:p w14:paraId="061EEDD2" w14:textId="77777777" w:rsidR="00B05A2C" w:rsidRPr="00375A02" w:rsidRDefault="00B05A2C" w:rsidP="00B05A2C">
      <w:pPr>
        <w:spacing w:before="240" w:after="240" w:line="360" w:lineRule="auto"/>
        <w:ind w:right="51"/>
        <w:jc w:val="both"/>
        <w:rPr>
          <w:rFonts w:ascii="Palatino Linotype" w:eastAsia="Palatino Linotype" w:hAnsi="Palatino Linotype" w:cs="Palatino Linotype"/>
        </w:rPr>
      </w:pPr>
    </w:p>
    <w:p w14:paraId="6B964390" w14:textId="77777777" w:rsidR="00B05A2C" w:rsidRPr="00375A02" w:rsidRDefault="00B05A2C" w:rsidP="00B05A2C">
      <w:pPr>
        <w:spacing w:before="240" w:after="240" w:line="360" w:lineRule="auto"/>
        <w:ind w:right="51"/>
        <w:jc w:val="center"/>
        <w:rPr>
          <w:rFonts w:ascii="Palatino Linotype" w:eastAsia="Palatino Linotype" w:hAnsi="Palatino Linotype" w:cs="Palatino Linotype"/>
        </w:rPr>
      </w:pPr>
      <w:r w:rsidRPr="00375A02">
        <w:rPr>
          <w:rFonts w:ascii="Palatino Linotype" w:eastAsia="Palatino Linotype" w:hAnsi="Palatino Linotype" w:cs="Palatino Linotype"/>
          <w:noProof/>
          <w:lang w:eastAsia="es-MX"/>
        </w:rPr>
        <w:drawing>
          <wp:inline distT="0" distB="0" distL="0" distR="0" wp14:anchorId="38AF8C8A" wp14:editId="41AF4A32">
            <wp:extent cx="4680000" cy="191467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61811"/>
                    <a:stretch>
                      <a:fillRect/>
                    </a:stretch>
                  </pic:blipFill>
                  <pic:spPr>
                    <a:xfrm>
                      <a:off x="0" y="0"/>
                      <a:ext cx="4680000" cy="1914675"/>
                    </a:xfrm>
                    <a:prstGeom prst="rect">
                      <a:avLst/>
                    </a:prstGeom>
                    <a:ln/>
                  </pic:spPr>
                </pic:pic>
              </a:graphicData>
            </a:graphic>
          </wp:inline>
        </w:drawing>
      </w:r>
      <w:r w:rsidRPr="00375A02">
        <w:rPr>
          <w:rFonts w:ascii="Palatino Linotype" w:eastAsia="Palatino Linotype" w:hAnsi="Palatino Linotype" w:cs="Palatino Linotype"/>
          <w:noProof/>
          <w:lang w:eastAsia="es-MX"/>
        </w:rPr>
        <w:drawing>
          <wp:inline distT="0" distB="0" distL="0" distR="0" wp14:anchorId="7CBE459D" wp14:editId="2A8195FE">
            <wp:extent cx="4680000" cy="619216"/>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t="88163" b="-513"/>
                    <a:stretch>
                      <a:fillRect/>
                    </a:stretch>
                  </pic:blipFill>
                  <pic:spPr>
                    <a:xfrm>
                      <a:off x="0" y="0"/>
                      <a:ext cx="4680000" cy="619216"/>
                    </a:xfrm>
                    <a:prstGeom prst="rect">
                      <a:avLst/>
                    </a:prstGeom>
                    <a:ln/>
                  </pic:spPr>
                </pic:pic>
              </a:graphicData>
            </a:graphic>
          </wp:inline>
        </w:drawing>
      </w:r>
    </w:p>
    <w:p w14:paraId="74C30742" w14:textId="5A8C2E3D" w:rsidR="005F7D5F" w:rsidRPr="00375A02" w:rsidRDefault="00B05A2C" w:rsidP="00C479AC">
      <w:pPr>
        <w:spacing w:before="240" w:after="240" w:line="360" w:lineRule="auto"/>
        <w:ind w:right="51"/>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lastRenderedPageBreak/>
        <w:t xml:space="preserve">Como se advierte, si bien la información contenida en el portal IPOMEX se relaciona con la información financiera del </w:t>
      </w:r>
      <w:r w:rsidR="00E87856" w:rsidRPr="00375A02">
        <w:rPr>
          <w:rFonts w:ascii="Palatino Linotype" w:eastAsia="Palatino Linotype" w:hAnsi="Palatino Linotype" w:cs="Palatino Linotype"/>
          <w:b/>
          <w:sz w:val="24"/>
        </w:rPr>
        <w:t>SUJETO OBLIGADO</w:t>
      </w:r>
      <w:r w:rsidRPr="00375A02">
        <w:rPr>
          <w:rFonts w:ascii="Palatino Linotype" w:eastAsia="Palatino Linotype" w:hAnsi="Palatino Linotype" w:cs="Palatino Linotype"/>
          <w:b/>
          <w:sz w:val="24"/>
        </w:rPr>
        <w:t xml:space="preserve">, no debe perderse de vista que la pretensión de la persona es conocer las facturas, </w:t>
      </w:r>
      <w:r w:rsidRPr="00375A02">
        <w:rPr>
          <w:rFonts w:ascii="Palatino Linotype" w:eastAsia="Palatino Linotype" w:hAnsi="Palatino Linotype" w:cs="Palatino Linotype"/>
          <w:sz w:val="24"/>
        </w:rPr>
        <w:t>mientras que la información contenida en el portal corresponde con los avances los estados financieros contables, presupuestales y programáticos conforme a las normas, estructura, formatos y contenido de la información establecidos, siendo evidente que la información solicitada no se localiza a tal grado de detalle en dicha obligación de transparencia.</w:t>
      </w:r>
    </w:p>
    <w:p w14:paraId="3D1C7D23" w14:textId="77777777" w:rsidR="00E87856" w:rsidRPr="00375A02" w:rsidRDefault="00E87856" w:rsidP="00C479AC">
      <w:pPr>
        <w:spacing w:before="240" w:after="240" w:line="360" w:lineRule="auto"/>
        <w:ind w:right="51"/>
        <w:contextualSpacing/>
        <w:jc w:val="both"/>
        <w:rPr>
          <w:rFonts w:ascii="Palatino Linotype" w:eastAsia="Palatino Linotype" w:hAnsi="Palatino Linotype" w:cs="Palatino Linotype"/>
          <w:sz w:val="24"/>
        </w:rPr>
      </w:pPr>
    </w:p>
    <w:p w14:paraId="328A3121" w14:textId="1A6EE0E0" w:rsidR="005F7D5F" w:rsidRPr="00375A02" w:rsidRDefault="005F7D5F" w:rsidP="00C479AC">
      <w:pPr>
        <w:spacing w:before="240" w:after="240" w:line="360" w:lineRule="auto"/>
        <w:ind w:right="51"/>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Sin perder de vista además, que </w:t>
      </w:r>
      <w:r w:rsidR="00E87856" w:rsidRPr="00375A02">
        <w:rPr>
          <w:rFonts w:ascii="Palatino Linotype" w:eastAsia="Palatino Linotype" w:hAnsi="Palatino Linotype" w:cs="Palatino Linotype"/>
          <w:b/>
          <w:sz w:val="24"/>
        </w:rPr>
        <w:t xml:space="preserve">EL SUJETO OBLIGADO </w:t>
      </w:r>
      <w:r w:rsidRPr="00375A02">
        <w:rPr>
          <w:rFonts w:ascii="Palatino Linotype" w:eastAsia="Palatino Linotype" w:hAnsi="Palatino Linotype" w:cs="Palatino Linotype"/>
          <w:sz w:val="24"/>
        </w:rPr>
        <w:t>se limitó a proporcionar la dirección electrónica sin exponer de manera clara y precisa, la forma en la que la persona solicitante podría llevar a cabo la consulta, en caso de que la información se encontrara alojada en el portal IPOMEX, por lo que no se atendió a lo previsto en el artículo 161 de la Ley de la materia citado con antelación.</w:t>
      </w:r>
    </w:p>
    <w:p w14:paraId="08F96DC7" w14:textId="77777777" w:rsidR="00E87856" w:rsidRPr="00375A02" w:rsidRDefault="00E87856" w:rsidP="00C479AC">
      <w:pPr>
        <w:spacing w:before="240" w:after="240" w:line="360" w:lineRule="auto"/>
        <w:ind w:right="51"/>
        <w:contextualSpacing/>
        <w:jc w:val="both"/>
        <w:rPr>
          <w:rFonts w:ascii="Palatino Linotype" w:eastAsia="Palatino Linotype" w:hAnsi="Palatino Linotype" w:cs="Palatino Linotype"/>
          <w:sz w:val="24"/>
        </w:rPr>
      </w:pPr>
    </w:p>
    <w:p w14:paraId="6B8D34D6" w14:textId="77777777" w:rsidR="005F7D5F" w:rsidRPr="00375A02" w:rsidRDefault="005F7D5F" w:rsidP="00C479AC">
      <w:pPr>
        <w:spacing w:before="240" w:after="240" w:line="360" w:lineRule="auto"/>
        <w:ind w:right="49"/>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Ahora bien, resulta de suma importancia invocar el contenido de los artículos 162, 163, 164 y 165 de la Ley de Transparencia y Acceso a la Información Pública del Estado de México y Municipios, que rezan así:</w:t>
      </w:r>
    </w:p>
    <w:p w14:paraId="63F51866" w14:textId="77777777" w:rsidR="00E87856" w:rsidRPr="00375A02" w:rsidRDefault="00E87856" w:rsidP="00C479AC">
      <w:pPr>
        <w:spacing w:before="240" w:after="240" w:line="360" w:lineRule="auto"/>
        <w:ind w:right="49"/>
        <w:contextualSpacing/>
        <w:jc w:val="both"/>
        <w:rPr>
          <w:rFonts w:ascii="Palatino Linotype" w:eastAsia="Palatino Linotype" w:hAnsi="Palatino Linotype" w:cs="Palatino Linotype"/>
          <w:sz w:val="24"/>
        </w:rPr>
      </w:pPr>
    </w:p>
    <w:p w14:paraId="2330D3A1" w14:textId="77777777" w:rsidR="005F7D5F" w:rsidRPr="00375A02" w:rsidRDefault="005F7D5F" w:rsidP="005F7D5F">
      <w:pPr>
        <w:spacing w:after="120"/>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b/>
          <w:i/>
        </w:rPr>
        <w:t>“Artículo 162.</w:t>
      </w:r>
      <w:r w:rsidRPr="00375A02">
        <w:rPr>
          <w:rFonts w:ascii="Palatino Linotype" w:eastAsia="Palatino Linotype" w:hAnsi="Palatino Linotype" w:cs="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33391E5" w14:textId="77777777" w:rsidR="005F7D5F" w:rsidRPr="00375A02" w:rsidRDefault="005F7D5F" w:rsidP="005F7D5F">
      <w:pPr>
        <w:spacing w:after="120"/>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b/>
          <w:i/>
        </w:rPr>
        <w:lastRenderedPageBreak/>
        <w:t>Artículo 163.</w:t>
      </w:r>
      <w:r w:rsidRPr="00375A02">
        <w:rPr>
          <w:rFonts w:ascii="Palatino Linotype" w:eastAsia="Palatino Linotype" w:hAnsi="Palatino Linotype" w:cs="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0C70BFD5" w14:textId="77777777" w:rsidR="005F7D5F" w:rsidRPr="00375A02" w:rsidRDefault="005F7D5F" w:rsidP="005F7D5F">
      <w:pPr>
        <w:spacing w:after="120"/>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7C0659" w14:textId="77777777" w:rsidR="005F7D5F" w:rsidRPr="00375A02" w:rsidRDefault="005F7D5F" w:rsidP="005F7D5F">
      <w:pPr>
        <w:spacing w:after="120"/>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b/>
          <w:i/>
        </w:rPr>
        <w:t>Artículo 164.</w:t>
      </w:r>
      <w:r w:rsidRPr="00375A02">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D0C7879" w14:textId="77777777" w:rsidR="005F7D5F" w:rsidRPr="00375A02" w:rsidRDefault="005F7D5F" w:rsidP="005F7D5F">
      <w:pPr>
        <w:spacing w:after="120"/>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i/>
        </w:rPr>
        <w:t xml:space="preserve">En cualquier caso, se deberá fundar y motivar la necesidad de ofrecer otras modalidades.  </w:t>
      </w:r>
    </w:p>
    <w:p w14:paraId="02768244" w14:textId="77777777" w:rsidR="005F7D5F" w:rsidRPr="00375A02" w:rsidRDefault="005F7D5F" w:rsidP="005F7D5F">
      <w:pPr>
        <w:spacing w:after="120"/>
        <w:ind w:left="851" w:right="900"/>
        <w:jc w:val="both"/>
        <w:rPr>
          <w:rFonts w:ascii="Palatino Linotype" w:eastAsia="Palatino Linotype" w:hAnsi="Palatino Linotype" w:cs="Palatino Linotype"/>
          <w:i/>
        </w:rPr>
      </w:pPr>
      <w:r w:rsidRPr="00375A02">
        <w:rPr>
          <w:rFonts w:ascii="Palatino Linotype" w:eastAsia="Palatino Linotype" w:hAnsi="Palatino Linotype" w:cs="Palatino Linotype"/>
          <w:b/>
          <w:i/>
        </w:rPr>
        <w:t>Artículo 165.</w:t>
      </w:r>
      <w:r w:rsidRPr="00375A02">
        <w:rPr>
          <w:rFonts w:ascii="Palatino Linotype" w:eastAsia="Palatino Linotype" w:hAnsi="Palatino Linotype" w:cs="Palatino Linotype"/>
          <w:i/>
        </w:rPr>
        <w:t xml:space="preserve"> Los sujetos obligados establecerán la forma y términos en que darán trámite interno a las solicitudes en materia de acceso a la información…”</w:t>
      </w:r>
    </w:p>
    <w:p w14:paraId="1770290C" w14:textId="77777777" w:rsidR="005F7D5F" w:rsidRPr="00375A02" w:rsidRDefault="005F7D5F" w:rsidP="00E87856">
      <w:pPr>
        <w:spacing w:before="240" w:after="240" w:line="360" w:lineRule="auto"/>
        <w:ind w:right="49"/>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154C9B55" w14:textId="77777777" w:rsidR="00E87856" w:rsidRPr="00375A02" w:rsidRDefault="00E87856" w:rsidP="00E87856">
      <w:pPr>
        <w:spacing w:before="240" w:after="240" w:line="360" w:lineRule="auto"/>
        <w:ind w:right="49"/>
        <w:contextualSpacing/>
        <w:jc w:val="both"/>
        <w:rPr>
          <w:rFonts w:ascii="Palatino Linotype" w:eastAsia="Palatino Linotype" w:hAnsi="Palatino Linotype" w:cs="Palatino Linotype"/>
          <w:sz w:val="24"/>
          <w:szCs w:val="24"/>
        </w:rPr>
      </w:pPr>
    </w:p>
    <w:p w14:paraId="44E369A2" w14:textId="77777777" w:rsidR="005F7D5F" w:rsidRPr="00375A02" w:rsidRDefault="005F7D5F" w:rsidP="00E87856">
      <w:pPr>
        <w:spacing w:before="240" w:after="240" w:line="360" w:lineRule="auto"/>
        <w:ind w:right="49"/>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63584623" w14:textId="77777777" w:rsidR="005F7D5F" w:rsidRPr="00375A02" w:rsidRDefault="005F7D5F" w:rsidP="00E87856">
      <w:pPr>
        <w:spacing w:before="240" w:after="240" w:line="360" w:lineRule="auto"/>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lastRenderedPageBreak/>
        <w:t>En el caso concreto, derivado de las constancias que obran en el expediente electrónico, no se advierte que el Titular de la Unidad de Transparencia hubiera turnado la solicitud de información a las áreas competentes para contar con la información solicitada, como pudiera ser la Tesorería Municipal o la Dirección de Administración, siendo la primera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mientras que la segunda tiene a su cargo, entre otras atribuciones las de vigilar el cumplimiento de los lineamientos sobre los procesos de selección, adquisición y mantenimiento del mobiliario y recursos materiales; proveer de insumos, bienes y servicios generales que requieran las distintas áreas que conforman la Administración Pública Municipal, para su buen funcionamiento; y llevar a cabo las adquisiciones de bienes, arrendamiento de bienes muebles y la contratación de servicios que requieran las distintas áreas, ajustándose en su caso las disposiciones legales de la materia.</w:t>
      </w:r>
    </w:p>
    <w:p w14:paraId="36EFC773" w14:textId="77777777" w:rsidR="00E87856" w:rsidRPr="00375A02" w:rsidRDefault="00E87856" w:rsidP="00E87856">
      <w:pPr>
        <w:spacing w:before="240" w:after="240" w:line="360" w:lineRule="auto"/>
        <w:contextualSpacing/>
        <w:jc w:val="both"/>
        <w:rPr>
          <w:rFonts w:ascii="Palatino Linotype" w:eastAsia="Palatino Linotype" w:hAnsi="Palatino Linotype" w:cs="Palatino Linotype"/>
          <w:sz w:val="24"/>
          <w:szCs w:val="24"/>
        </w:rPr>
      </w:pPr>
    </w:p>
    <w:p w14:paraId="50251BCF" w14:textId="37C70FEF" w:rsidR="00A134AC" w:rsidRPr="00375A02" w:rsidRDefault="00A134AC" w:rsidP="00E87856">
      <w:pPr>
        <w:widowControl w:val="0"/>
        <w:autoSpaceDE w:val="0"/>
        <w:autoSpaceDN w:val="0"/>
        <w:adjustRightInd w:val="0"/>
        <w:spacing w:before="240" w:after="240" w:line="360" w:lineRule="auto"/>
        <w:contextualSpacing/>
        <w:jc w:val="both"/>
        <w:rPr>
          <w:rFonts w:ascii="Palatino Linotype" w:eastAsia="Palatino Linotype" w:hAnsi="Palatino Linotype" w:cs="Palatino Linotype"/>
          <w:bCs/>
          <w:sz w:val="24"/>
          <w:szCs w:val="24"/>
        </w:rPr>
      </w:pPr>
      <w:r w:rsidRPr="00375A02">
        <w:rPr>
          <w:rFonts w:ascii="Palatino Linotype" w:eastAsia="Palatino Linotype" w:hAnsi="Palatino Linotype" w:cs="Palatino Linotype"/>
          <w:sz w:val="24"/>
          <w:szCs w:val="24"/>
        </w:rPr>
        <w:t xml:space="preserve">Aunado a ello </w:t>
      </w:r>
      <w:r w:rsidRPr="00375A02">
        <w:rPr>
          <w:rFonts w:ascii="Palatino Linotype" w:eastAsia="Palatino Linotype" w:hAnsi="Palatino Linotype" w:cs="Palatino Linotype"/>
          <w:bCs/>
          <w:sz w:val="24"/>
          <w:szCs w:val="24"/>
        </w:rPr>
        <w:t xml:space="preserve">los artículos </w:t>
      </w:r>
      <w:r w:rsidRPr="00375A02">
        <w:rPr>
          <w:rFonts w:ascii="Palatino Linotype" w:hAnsi="Palatino Linotype" w:cs="Arial"/>
          <w:sz w:val="24"/>
          <w:szCs w:val="24"/>
        </w:rPr>
        <w:t>342, 343, 344 y 345 del Código Financiero del Estado de México y Municipios mismos que disponen el sistema y las políticas que deben seguirse para llevar el registro contable y presupuestal de las operaciones financieras, en los siguientes términos:</w:t>
      </w:r>
    </w:p>
    <w:p w14:paraId="3AA8C604" w14:textId="77777777" w:rsidR="00A134AC" w:rsidRPr="00375A02" w:rsidRDefault="00A134AC" w:rsidP="00A134AC">
      <w:pPr>
        <w:widowControl w:val="0"/>
        <w:autoSpaceDE w:val="0"/>
        <w:autoSpaceDN w:val="0"/>
        <w:adjustRightInd w:val="0"/>
        <w:spacing w:before="240" w:after="240" w:line="360" w:lineRule="auto"/>
        <w:contextualSpacing/>
        <w:jc w:val="both"/>
        <w:rPr>
          <w:rFonts w:ascii="Palatino Linotype" w:hAnsi="Palatino Linotype" w:cs="Arial"/>
          <w:sz w:val="24"/>
          <w:szCs w:val="24"/>
        </w:rPr>
      </w:pPr>
    </w:p>
    <w:p w14:paraId="77C15DEB" w14:textId="77777777" w:rsidR="00A134AC" w:rsidRPr="00375A02" w:rsidRDefault="00A134AC" w:rsidP="00A134AC">
      <w:pPr>
        <w:spacing w:before="120" w:after="120"/>
        <w:ind w:left="851" w:right="850"/>
        <w:jc w:val="both"/>
        <w:rPr>
          <w:rFonts w:ascii="Palatino Linotype" w:hAnsi="Palatino Linotype"/>
          <w:i/>
        </w:rPr>
      </w:pPr>
      <w:r w:rsidRPr="00375A02">
        <w:rPr>
          <w:rFonts w:ascii="Palatino Linotype" w:hAnsi="Palatino Linotype" w:cs="Arial"/>
          <w:bCs/>
          <w:i/>
        </w:rPr>
        <w:lastRenderedPageBreak/>
        <w:t>“</w:t>
      </w:r>
      <w:r w:rsidRPr="00375A02">
        <w:rPr>
          <w:rFonts w:ascii="Palatino Linotype" w:hAnsi="Palatino Linotype"/>
          <w:b/>
          <w:i/>
        </w:rPr>
        <w:t>Artículo 342.-</w:t>
      </w:r>
      <w:r w:rsidRPr="00375A02">
        <w:rPr>
          <w:rFonts w:ascii="Palatino Linotype" w:hAnsi="Palatino Linotype"/>
          <w:i/>
        </w:rPr>
        <w:t xml:space="preserve"> El registro contable del efecto patrimonial y presupuestal de las operaciones financieras, se realizará conforme al sistema y a las disposiciones que se aprueben en materia de </w:t>
      </w:r>
      <w:r w:rsidRPr="00375A02">
        <w:rPr>
          <w:rFonts w:ascii="Palatino Linotype" w:hAnsi="Palatino Linotype" w:cs="Arial"/>
          <w:i/>
        </w:rPr>
        <w:t>planeación</w:t>
      </w:r>
      <w:r w:rsidRPr="00375A02">
        <w:rPr>
          <w:rFonts w:ascii="Palatino Linotype" w:hAnsi="Palatino Linotype"/>
          <w:i/>
        </w:rPr>
        <w:t xml:space="preserve">, programación, presupuestación, evaluación y </w:t>
      </w:r>
      <w:r w:rsidRPr="00375A02">
        <w:rPr>
          <w:rFonts w:ascii="Palatino Linotype" w:hAnsi="Palatino Linotype" w:cs="Arial"/>
          <w:i/>
        </w:rPr>
        <w:t>contabilidad</w:t>
      </w:r>
      <w:r w:rsidRPr="00375A02">
        <w:rPr>
          <w:rFonts w:ascii="Palatino Linotype" w:hAnsi="Palatino Linotype"/>
          <w:i/>
        </w:rPr>
        <w:t xml:space="preserve"> gubernamental. </w:t>
      </w:r>
    </w:p>
    <w:p w14:paraId="503CF1BD" w14:textId="77777777" w:rsidR="00A134AC" w:rsidRPr="00375A02" w:rsidRDefault="00A134AC" w:rsidP="00A134AC">
      <w:pPr>
        <w:spacing w:before="120" w:after="120"/>
        <w:ind w:left="851" w:right="850"/>
        <w:jc w:val="both"/>
        <w:rPr>
          <w:rFonts w:ascii="Palatino Linotype" w:hAnsi="Palatino Linotype"/>
          <w:b/>
          <w:i/>
        </w:rPr>
      </w:pPr>
      <w:r w:rsidRPr="00375A02">
        <w:rPr>
          <w:rFonts w:ascii="Palatino Linotype" w:hAnsi="Palatino Linotype" w:cs="Arial"/>
          <w:b/>
          <w:bCs/>
          <w:i/>
        </w:rPr>
        <w:t>…</w:t>
      </w:r>
    </w:p>
    <w:p w14:paraId="4D12B2C1" w14:textId="77777777" w:rsidR="00A134AC" w:rsidRPr="00375A02" w:rsidRDefault="00A134AC" w:rsidP="00A134AC">
      <w:pPr>
        <w:spacing w:before="120" w:after="120"/>
        <w:ind w:left="851" w:right="850"/>
        <w:jc w:val="both"/>
        <w:rPr>
          <w:rFonts w:ascii="Palatino Linotype" w:hAnsi="Palatino Linotype"/>
          <w:i/>
        </w:rPr>
      </w:pPr>
      <w:r w:rsidRPr="00375A02">
        <w:rPr>
          <w:rFonts w:ascii="Palatino Linotype" w:hAnsi="Palatino Linotype"/>
          <w:b/>
          <w:i/>
        </w:rPr>
        <w:t>Artículo 343.-</w:t>
      </w:r>
      <w:r w:rsidRPr="00375A02">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16080CF" w14:textId="77777777" w:rsidR="00A134AC" w:rsidRPr="00375A02" w:rsidRDefault="00A134AC" w:rsidP="00A134AC">
      <w:pPr>
        <w:spacing w:before="120" w:after="120"/>
        <w:ind w:left="851" w:right="850"/>
        <w:jc w:val="both"/>
        <w:rPr>
          <w:rFonts w:ascii="Palatino Linotype" w:hAnsi="Palatino Linotype"/>
          <w:i/>
        </w:rPr>
      </w:pPr>
      <w:r w:rsidRPr="00375A02">
        <w:rPr>
          <w:rFonts w:ascii="Palatino Linotype" w:hAnsi="Palatino Linotype"/>
          <w:i/>
        </w:rPr>
        <w:t xml:space="preserve">El sistema de contabilidad sobre base acumulativa total se sustentará en los postulados básicos y el marco conceptual de la contabilidad gubernamental. </w:t>
      </w:r>
    </w:p>
    <w:p w14:paraId="4E3A7837" w14:textId="77777777" w:rsidR="00A134AC" w:rsidRPr="00375A02" w:rsidRDefault="00A134AC" w:rsidP="00A134AC">
      <w:pPr>
        <w:spacing w:before="120" w:after="120"/>
        <w:ind w:left="851" w:right="850"/>
        <w:jc w:val="both"/>
        <w:rPr>
          <w:rFonts w:ascii="Palatino Linotype" w:hAnsi="Palatino Linotype"/>
          <w:i/>
        </w:rPr>
      </w:pPr>
      <w:r w:rsidRPr="00375A02">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75A02">
        <w:rPr>
          <w:rFonts w:ascii="Palatino Linotype" w:hAnsi="Palatino Linotype"/>
          <w:i/>
        </w:rPr>
        <w:t xml:space="preserve">en el caso de los Municipios se hará por la Tesorería. </w:t>
      </w:r>
    </w:p>
    <w:p w14:paraId="3422A8DA" w14:textId="77777777" w:rsidR="00A134AC" w:rsidRPr="00375A02" w:rsidRDefault="00A134AC" w:rsidP="00A134AC">
      <w:pPr>
        <w:autoSpaceDE w:val="0"/>
        <w:autoSpaceDN w:val="0"/>
        <w:adjustRightInd w:val="0"/>
        <w:spacing w:before="120" w:after="120"/>
        <w:ind w:left="851" w:right="51"/>
        <w:jc w:val="both"/>
        <w:rPr>
          <w:rFonts w:ascii="Palatino Linotype" w:hAnsi="Palatino Linotype"/>
          <w:i/>
        </w:rPr>
      </w:pPr>
      <w:r w:rsidRPr="00375A02">
        <w:rPr>
          <w:rFonts w:ascii="Palatino Linotype" w:hAnsi="Palatino Linotype"/>
          <w:i/>
        </w:rPr>
        <w:t xml:space="preserve">Derogado. </w:t>
      </w:r>
    </w:p>
    <w:p w14:paraId="30B488FD" w14:textId="77777777" w:rsidR="00A134AC" w:rsidRPr="00375A02" w:rsidRDefault="00A134AC" w:rsidP="00A134AC">
      <w:pPr>
        <w:spacing w:before="120" w:after="120"/>
        <w:ind w:left="851" w:right="850"/>
        <w:jc w:val="both"/>
        <w:rPr>
          <w:rFonts w:ascii="Palatino Linotype" w:hAnsi="Palatino Linotype"/>
          <w:i/>
        </w:rPr>
      </w:pPr>
      <w:r w:rsidRPr="00375A02">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375A02">
        <w:rPr>
          <w:rFonts w:ascii="Palatino Linotype" w:hAnsi="Palatino Linotype"/>
          <w:i/>
        </w:rPr>
        <w:t xml:space="preserve"> a partir del ejercicio presupuestal siguiente al que corresponda, en el caso de los municipios se hará por la Tesorería. </w:t>
      </w:r>
    </w:p>
    <w:p w14:paraId="18F82AED" w14:textId="77777777" w:rsidR="00A134AC" w:rsidRPr="00375A02" w:rsidRDefault="00A134AC" w:rsidP="00A134AC">
      <w:pPr>
        <w:autoSpaceDE w:val="0"/>
        <w:autoSpaceDN w:val="0"/>
        <w:adjustRightInd w:val="0"/>
        <w:spacing w:before="120" w:after="120"/>
        <w:ind w:left="851" w:right="51"/>
        <w:jc w:val="both"/>
        <w:rPr>
          <w:rFonts w:ascii="Palatino Linotype" w:hAnsi="Palatino Linotype"/>
          <w:i/>
        </w:rPr>
      </w:pPr>
      <w:r w:rsidRPr="00375A02">
        <w:rPr>
          <w:rFonts w:ascii="Palatino Linotype" w:hAnsi="Palatino Linotype"/>
          <w:i/>
        </w:rPr>
        <w:t>…</w:t>
      </w:r>
    </w:p>
    <w:p w14:paraId="039397D9" w14:textId="77777777" w:rsidR="00A134AC" w:rsidRPr="00375A02" w:rsidRDefault="00A134AC" w:rsidP="00A134AC">
      <w:pPr>
        <w:spacing w:before="120" w:after="120"/>
        <w:ind w:left="851" w:right="850"/>
        <w:jc w:val="both"/>
        <w:rPr>
          <w:rFonts w:ascii="Palatino Linotype" w:hAnsi="Palatino Linotype"/>
          <w:i/>
        </w:rPr>
      </w:pPr>
      <w:r w:rsidRPr="00375A02">
        <w:rPr>
          <w:rFonts w:ascii="Palatino Linotype" w:hAnsi="Palatino Linotype"/>
          <w:b/>
          <w:i/>
        </w:rPr>
        <w:t>Artículo 345.-</w:t>
      </w:r>
      <w:r w:rsidRPr="00375A02">
        <w:rPr>
          <w:rFonts w:ascii="Palatino Linotype" w:hAnsi="Palatino Linotype"/>
          <w:i/>
        </w:rPr>
        <w:t xml:space="preserve"> </w:t>
      </w:r>
      <w:r w:rsidRPr="00375A02">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375A02">
        <w:rPr>
          <w:rFonts w:ascii="Palatino Linotype" w:hAnsi="Palatino Linotype"/>
          <w:i/>
        </w:rPr>
        <w:t xml:space="preserve">, la remitirán en un plazo que no excederá de seis meses al Archivo Contable Gubernamental. </w:t>
      </w:r>
      <w:r w:rsidRPr="00375A02">
        <w:rPr>
          <w:rFonts w:ascii="Palatino Linotype" w:hAnsi="Palatino Linotype"/>
          <w:b/>
          <w:i/>
        </w:rPr>
        <w:t xml:space="preserve">Tratándose de los </w:t>
      </w:r>
      <w:r w:rsidRPr="00375A02">
        <w:rPr>
          <w:rFonts w:ascii="Palatino Linotype" w:hAnsi="Palatino Linotype"/>
          <w:b/>
          <w:i/>
        </w:rPr>
        <w:lastRenderedPageBreak/>
        <w:t>comprobantes fiscales digitales, estos deberán estar agregados en forma electrónica en cada póliza de registro contable</w:t>
      </w:r>
      <w:r w:rsidRPr="00375A02">
        <w:rPr>
          <w:rFonts w:ascii="Palatino Linotype" w:hAnsi="Palatino Linotype"/>
          <w:i/>
        </w:rPr>
        <w:t xml:space="preserve">. </w:t>
      </w:r>
    </w:p>
    <w:p w14:paraId="503519D3" w14:textId="77777777" w:rsidR="00A134AC" w:rsidRPr="00375A02" w:rsidRDefault="00A134AC" w:rsidP="00A134AC">
      <w:pPr>
        <w:spacing w:before="120" w:after="120"/>
        <w:ind w:left="851" w:right="850"/>
        <w:jc w:val="both"/>
        <w:rPr>
          <w:rFonts w:ascii="Palatino Linotype" w:hAnsi="Palatino Linotype" w:cs="Arial"/>
          <w:bCs/>
          <w:i/>
        </w:rPr>
      </w:pPr>
      <w:r w:rsidRPr="00375A02">
        <w:rPr>
          <w:rFonts w:ascii="Palatino Linotype" w:hAnsi="Palatino Linotype"/>
          <w:i/>
        </w:rPr>
        <w:t>El plazo señalado en el párrafo anterior, empezará a contar a partir de la publicación en el Periódico Oficial, del decreto correspondiente.</w:t>
      </w:r>
      <w:r w:rsidRPr="00375A02">
        <w:rPr>
          <w:rFonts w:ascii="Palatino Linotype" w:hAnsi="Palatino Linotype" w:cs="Arial"/>
          <w:bCs/>
          <w:i/>
        </w:rPr>
        <w:t xml:space="preserve"> “</w:t>
      </w:r>
      <w:r w:rsidRPr="00375A02">
        <w:rPr>
          <w:rFonts w:ascii="Palatino Linotype" w:hAnsi="Palatino Linotype" w:cs="Arial"/>
          <w:i/>
        </w:rPr>
        <w:t>(Sic)</w:t>
      </w:r>
      <w:r w:rsidRPr="00375A02">
        <w:rPr>
          <w:rFonts w:ascii="Palatino Linotype" w:hAnsi="Palatino Linotype" w:cs="Arial"/>
          <w:bCs/>
          <w:i/>
        </w:rPr>
        <w:t xml:space="preserve"> </w:t>
      </w:r>
    </w:p>
    <w:p w14:paraId="202CA41F" w14:textId="77777777" w:rsidR="00A134AC" w:rsidRPr="00375A02" w:rsidRDefault="00A134AC" w:rsidP="00A134AC">
      <w:pPr>
        <w:spacing w:before="240" w:after="240" w:line="360" w:lineRule="auto"/>
        <w:contextualSpacing/>
        <w:jc w:val="both"/>
        <w:rPr>
          <w:rFonts w:ascii="Palatino Linotype" w:hAnsi="Palatino Linotype" w:cs="Arial"/>
          <w:sz w:val="24"/>
          <w:szCs w:val="24"/>
        </w:rPr>
      </w:pPr>
    </w:p>
    <w:p w14:paraId="6BA10563" w14:textId="77777777" w:rsidR="00A134AC" w:rsidRPr="00375A02" w:rsidRDefault="00A134AC" w:rsidP="00A134AC">
      <w:pPr>
        <w:spacing w:before="240" w:after="240" w:line="360" w:lineRule="auto"/>
        <w:contextualSpacing/>
        <w:jc w:val="both"/>
        <w:rPr>
          <w:rFonts w:ascii="Palatino Linotype" w:hAnsi="Palatino Linotype" w:cs="Arial"/>
          <w:bCs/>
          <w:sz w:val="24"/>
          <w:szCs w:val="24"/>
        </w:rPr>
      </w:pPr>
      <w:r w:rsidRPr="00375A02">
        <w:rPr>
          <w:rFonts w:ascii="Palatino Linotype" w:hAnsi="Palatino Linotype" w:cs="Arial"/>
          <w:sz w:val="24"/>
          <w:szCs w:val="24"/>
        </w:rPr>
        <w:t>De una interpretación sistemática de los artículos transcritos, se desprende primeramente que el</w:t>
      </w:r>
      <w:r w:rsidRPr="00375A02">
        <w:rPr>
          <w:rFonts w:ascii="Palatino Linotype" w:hAnsi="Palatino Linotype" w:cs="Arial"/>
          <w:bCs/>
          <w:sz w:val="24"/>
          <w:szCs w:val="24"/>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1B5895C9" w14:textId="77777777" w:rsidR="00A134AC" w:rsidRPr="00375A02" w:rsidRDefault="00A134AC" w:rsidP="00A134AC">
      <w:pPr>
        <w:spacing w:before="240" w:after="240" w:line="360" w:lineRule="auto"/>
        <w:contextualSpacing/>
        <w:jc w:val="both"/>
        <w:rPr>
          <w:rFonts w:ascii="Palatino Linotype" w:hAnsi="Palatino Linotype" w:cs="Arial"/>
          <w:bCs/>
          <w:sz w:val="24"/>
          <w:szCs w:val="24"/>
        </w:rPr>
      </w:pPr>
    </w:p>
    <w:p w14:paraId="08FA75E2" w14:textId="492178F9" w:rsidR="00E04D28" w:rsidRPr="00375A02" w:rsidRDefault="00E04D28" w:rsidP="00E04D28">
      <w:pPr>
        <w:spacing w:line="360" w:lineRule="auto"/>
        <w:contextualSpacing/>
        <w:jc w:val="both"/>
        <w:rPr>
          <w:rFonts w:ascii="Palatino Linotype" w:hAnsi="Palatino Linotype"/>
          <w:sz w:val="28"/>
          <w:szCs w:val="24"/>
        </w:rPr>
      </w:pPr>
      <w:r w:rsidRPr="00375A02">
        <w:rPr>
          <w:rFonts w:ascii="Palatino Linotype" w:hAnsi="Palatino Linotype" w:cs="Arial"/>
          <w:sz w:val="24"/>
          <w:lang w:val="es-ES"/>
        </w:rPr>
        <w:t>Asimismo, e</w:t>
      </w:r>
      <w:r w:rsidRPr="00375A02">
        <w:rPr>
          <w:rFonts w:ascii="Palatino Linotype" w:hAnsi="Palatino Linotype" w:cs="Arial"/>
          <w:sz w:val="24"/>
        </w:rPr>
        <w:t>s conveniente citar los artículos 31, fracción XVIII y 95, fracciones I y IV de la Ley Orgánica Municipal del Estado de México, que establecen:</w:t>
      </w:r>
    </w:p>
    <w:p w14:paraId="0B892743" w14:textId="77777777" w:rsidR="00E04D28" w:rsidRPr="00375A02" w:rsidRDefault="00E04D28" w:rsidP="00E04D28">
      <w:pPr>
        <w:ind w:left="851" w:right="901"/>
        <w:jc w:val="both"/>
        <w:rPr>
          <w:rFonts w:ascii="Palatino Linotype" w:hAnsi="Palatino Linotype" w:cs="Arial"/>
          <w:i/>
        </w:rPr>
      </w:pPr>
    </w:p>
    <w:p w14:paraId="27B3E5BF" w14:textId="77777777" w:rsidR="00E04D28" w:rsidRPr="00375A02" w:rsidRDefault="00E04D28" w:rsidP="00E04D28">
      <w:pPr>
        <w:ind w:left="851" w:right="901"/>
        <w:jc w:val="both"/>
        <w:rPr>
          <w:rFonts w:ascii="Palatino Linotype" w:hAnsi="Palatino Linotype" w:cs="Arial"/>
          <w:i/>
        </w:rPr>
      </w:pPr>
      <w:r w:rsidRPr="00375A02">
        <w:rPr>
          <w:rFonts w:ascii="Palatino Linotype" w:hAnsi="Palatino Linotype" w:cs="Arial"/>
          <w:i/>
        </w:rPr>
        <w:t>“</w:t>
      </w:r>
      <w:r w:rsidRPr="00375A02">
        <w:rPr>
          <w:rFonts w:ascii="Palatino Linotype" w:hAnsi="Palatino Linotype" w:cs="Arial"/>
          <w:b/>
          <w:i/>
        </w:rPr>
        <w:t>Artículo 31.-</w:t>
      </w:r>
      <w:r w:rsidRPr="00375A02">
        <w:rPr>
          <w:rFonts w:ascii="Palatino Linotype" w:hAnsi="Palatino Linotype" w:cs="Arial"/>
          <w:i/>
        </w:rPr>
        <w:t xml:space="preserve"> Son atribuciones de los ayuntamientos:</w:t>
      </w:r>
    </w:p>
    <w:p w14:paraId="3B8190E7" w14:textId="77777777" w:rsidR="00E04D28" w:rsidRPr="00375A02" w:rsidRDefault="00E04D28" w:rsidP="00E04D28">
      <w:pPr>
        <w:ind w:left="851" w:right="901"/>
        <w:jc w:val="both"/>
        <w:rPr>
          <w:rFonts w:ascii="Palatino Linotype" w:hAnsi="Palatino Linotype" w:cs="Arial"/>
          <w:i/>
        </w:rPr>
      </w:pPr>
      <w:r w:rsidRPr="00375A02">
        <w:rPr>
          <w:rFonts w:ascii="Palatino Linotype" w:hAnsi="Palatino Linotype" w:cs="Arial"/>
          <w:i/>
        </w:rPr>
        <w:t>…</w:t>
      </w:r>
    </w:p>
    <w:p w14:paraId="74A0B074" w14:textId="77777777" w:rsidR="00E04D28" w:rsidRPr="00375A02" w:rsidRDefault="00E04D28" w:rsidP="00E04D28">
      <w:pPr>
        <w:ind w:left="851" w:right="901"/>
        <w:jc w:val="both"/>
        <w:rPr>
          <w:rFonts w:ascii="Palatino Linotype" w:hAnsi="Palatino Linotype" w:cs="Arial"/>
          <w:i/>
        </w:rPr>
      </w:pPr>
      <w:r w:rsidRPr="00375A02">
        <w:rPr>
          <w:rFonts w:ascii="Palatino Linotype" w:hAnsi="Palatino Linotype" w:cs="Arial"/>
          <w:b/>
          <w:i/>
        </w:rPr>
        <w:t>XVIII.</w:t>
      </w:r>
      <w:r w:rsidRPr="00375A02">
        <w:rPr>
          <w:rFonts w:ascii="Palatino Linotype" w:hAnsi="Palatino Linotype" w:cs="Arial"/>
          <w:i/>
        </w:rPr>
        <w:t xml:space="preserve"> </w:t>
      </w:r>
      <w:r w:rsidRPr="00375A02">
        <w:rPr>
          <w:rFonts w:ascii="Palatino Linotype" w:hAnsi="Palatino Linotype" w:cs="Arial"/>
          <w:b/>
          <w:i/>
        </w:rPr>
        <w:t>Administrar su hacienda</w:t>
      </w:r>
      <w:r w:rsidRPr="00375A02">
        <w:rPr>
          <w:rFonts w:ascii="Palatino Linotype" w:hAnsi="Palatino Linotype" w:cs="Arial"/>
          <w:i/>
        </w:rPr>
        <w:t xml:space="preserve"> en términos de ley, y controlar a través del presidente y síndico la aplicación del presupuesto de egresos del municipio;</w:t>
      </w:r>
    </w:p>
    <w:p w14:paraId="539E375E" w14:textId="77777777" w:rsidR="00E04D28" w:rsidRPr="00375A02" w:rsidRDefault="00E04D28" w:rsidP="00E04D28">
      <w:pPr>
        <w:ind w:left="851" w:right="901"/>
        <w:jc w:val="both"/>
        <w:rPr>
          <w:rFonts w:ascii="Palatino Linotype" w:hAnsi="Palatino Linotype" w:cs="Arial"/>
          <w:i/>
        </w:rPr>
      </w:pPr>
      <w:r w:rsidRPr="00375A02">
        <w:rPr>
          <w:rFonts w:ascii="Palatino Linotype" w:hAnsi="Palatino Linotype" w:cs="Arial"/>
          <w:i/>
        </w:rPr>
        <w:t>…</w:t>
      </w:r>
    </w:p>
    <w:p w14:paraId="77BEFA45" w14:textId="77777777" w:rsidR="00E04D28" w:rsidRPr="00375A02" w:rsidRDefault="00E04D28" w:rsidP="00E04D28">
      <w:pPr>
        <w:ind w:left="851" w:right="901"/>
        <w:jc w:val="both"/>
        <w:rPr>
          <w:rFonts w:ascii="Palatino Linotype" w:hAnsi="Palatino Linotype" w:cs="Arial"/>
          <w:i/>
        </w:rPr>
      </w:pPr>
      <w:r w:rsidRPr="00375A02">
        <w:rPr>
          <w:rFonts w:ascii="Palatino Linotype" w:hAnsi="Palatino Linotype" w:cs="Arial"/>
          <w:b/>
          <w:i/>
        </w:rPr>
        <w:t>Artículo 95.-</w:t>
      </w:r>
      <w:r w:rsidRPr="00375A02">
        <w:rPr>
          <w:rFonts w:ascii="Palatino Linotype" w:hAnsi="Palatino Linotype" w:cs="Arial"/>
          <w:i/>
        </w:rPr>
        <w:t xml:space="preserve"> Son atribuciones del tesorero municipal:</w:t>
      </w:r>
    </w:p>
    <w:p w14:paraId="74942332" w14:textId="77777777" w:rsidR="00E04D28" w:rsidRPr="00375A02" w:rsidRDefault="00E04D28" w:rsidP="00E04D28">
      <w:pPr>
        <w:ind w:left="851" w:right="901"/>
        <w:jc w:val="both"/>
        <w:rPr>
          <w:rFonts w:ascii="Palatino Linotype" w:hAnsi="Palatino Linotype" w:cs="Arial"/>
          <w:i/>
        </w:rPr>
      </w:pPr>
      <w:r w:rsidRPr="00375A02">
        <w:rPr>
          <w:rFonts w:ascii="Palatino Linotype" w:hAnsi="Palatino Linotype" w:cs="Arial"/>
          <w:b/>
          <w:i/>
        </w:rPr>
        <w:t>I.</w:t>
      </w:r>
      <w:r w:rsidRPr="00375A02">
        <w:rPr>
          <w:rFonts w:ascii="Palatino Linotype" w:hAnsi="Palatino Linotype" w:cs="Arial"/>
          <w:i/>
        </w:rPr>
        <w:t xml:space="preserve"> </w:t>
      </w:r>
      <w:r w:rsidRPr="00375A02">
        <w:rPr>
          <w:rFonts w:ascii="Palatino Linotype" w:hAnsi="Palatino Linotype" w:cs="Arial"/>
          <w:b/>
          <w:i/>
        </w:rPr>
        <w:t>Administrar la hacienda pública municipal</w:t>
      </w:r>
      <w:r w:rsidRPr="00375A02">
        <w:rPr>
          <w:rFonts w:ascii="Palatino Linotype" w:hAnsi="Palatino Linotype" w:cs="Arial"/>
          <w:i/>
        </w:rPr>
        <w:t>, de conformidad con las disposiciones legales aplicables;</w:t>
      </w:r>
    </w:p>
    <w:p w14:paraId="7217385C" w14:textId="77777777" w:rsidR="00E04D28" w:rsidRPr="00375A02" w:rsidRDefault="00E04D28" w:rsidP="00E04D28">
      <w:pPr>
        <w:ind w:left="851" w:right="901"/>
        <w:jc w:val="both"/>
        <w:rPr>
          <w:rFonts w:ascii="Palatino Linotype" w:hAnsi="Palatino Linotype" w:cs="Arial"/>
          <w:i/>
        </w:rPr>
      </w:pPr>
      <w:r w:rsidRPr="00375A02">
        <w:rPr>
          <w:rFonts w:ascii="Palatino Linotype" w:hAnsi="Palatino Linotype" w:cs="Arial"/>
          <w:i/>
        </w:rPr>
        <w:t>…</w:t>
      </w:r>
    </w:p>
    <w:p w14:paraId="7FDA23B8" w14:textId="77777777" w:rsidR="00E04D28" w:rsidRPr="00375A02" w:rsidRDefault="00E04D28" w:rsidP="00E04D28">
      <w:pPr>
        <w:ind w:left="851" w:right="901"/>
        <w:jc w:val="both"/>
        <w:rPr>
          <w:rFonts w:ascii="Palatino Linotype" w:hAnsi="Palatino Linotype" w:cs="Arial"/>
          <w:i/>
        </w:rPr>
      </w:pPr>
      <w:r w:rsidRPr="00375A02">
        <w:rPr>
          <w:rFonts w:ascii="Palatino Linotype" w:hAnsi="Palatino Linotype" w:cs="Arial"/>
          <w:b/>
          <w:i/>
        </w:rPr>
        <w:t>IV.</w:t>
      </w:r>
      <w:r w:rsidRPr="00375A02">
        <w:rPr>
          <w:rFonts w:ascii="Palatino Linotype" w:hAnsi="Palatino Linotype" w:cs="Arial"/>
          <w:i/>
        </w:rPr>
        <w:t xml:space="preserve"> </w:t>
      </w:r>
      <w:r w:rsidRPr="00375A02">
        <w:rPr>
          <w:rFonts w:ascii="Palatino Linotype" w:hAnsi="Palatino Linotype" w:cs="Arial"/>
          <w:b/>
          <w:i/>
        </w:rPr>
        <w:t>Llevar los registros contables, financieros y administrativos</w:t>
      </w:r>
      <w:r w:rsidRPr="00375A02">
        <w:rPr>
          <w:rFonts w:ascii="Palatino Linotype" w:hAnsi="Palatino Linotype" w:cs="Arial"/>
          <w:i/>
        </w:rPr>
        <w:t xml:space="preserve"> de los ingresos, </w:t>
      </w:r>
      <w:r w:rsidRPr="00375A02">
        <w:rPr>
          <w:rFonts w:ascii="Palatino Linotype" w:hAnsi="Palatino Linotype" w:cs="Arial"/>
          <w:b/>
          <w:i/>
        </w:rPr>
        <w:t>egresos</w:t>
      </w:r>
      <w:r w:rsidRPr="00375A02">
        <w:rPr>
          <w:rFonts w:ascii="Palatino Linotype" w:hAnsi="Palatino Linotype" w:cs="Arial"/>
          <w:i/>
        </w:rPr>
        <w:t>, e inventarios;”</w:t>
      </w:r>
    </w:p>
    <w:p w14:paraId="6E994540" w14:textId="77777777" w:rsidR="00E04D28" w:rsidRPr="00375A02" w:rsidRDefault="00E04D28" w:rsidP="00E04D28">
      <w:pPr>
        <w:ind w:left="851" w:right="901"/>
        <w:jc w:val="both"/>
        <w:rPr>
          <w:rFonts w:ascii="Palatino Linotype" w:hAnsi="Palatino Linotype" w:cs="Arial"/>
          <w:i/>
        </w:rPr>
      </w:pPr>
      <w:r w:rsidRPr="00375A02">
        <w:rPr>
          <w:rFonts w:ascii="Palatino Linotype" w:hAnsi="Palatino Linotype" w:cs="Arial"/>
          <w:i/>
        </w:rPr>
        <w:t>(Énfasis añadido)</w:t>
      </w:r>
    </w:p>
    <w:p w14:paraId="7D1ECB1A" w14:textId="77777777" w:rsidR="00E04D28" w:rsidRPr="00375A02" w:rsidRDefault="00E04D28" w:rsidP="00E04D28">
      <w:pPr>
        <w:spacing w:line="360" w:lineRule="auto"/>
        <w:contextualSpacing/>
        <w:jc w:val="both"/>
        <w:rPr>
          <w:rFonts w:ascii="Palatino Linotype" w:hAnsi="Palatino Linotype" w:cs="Arial"/>
          <w:sz w:val="24"/>
          <w:szCs w:val="24"/>
        </w:rPr>
      </w:pPr>
      <w:r w:rsidRPr="00375A02">
        <w:rPr>
          <w:rFonts w:ascii="Palatino Linotype" w:hAnsi="Palatino Linotype" w:cs="Arial"/>
          <w:sz w:val="24"/>
          <w:szCs w:val="24"/>
        </w:rPr>
        <w:lastRenderedPageBreak/>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45B21314" w14:textId="77777777" w:rsidR="00E04D28" w:rsidRPr="00375A02" w:rsidRDefault="00E04D28" w:rsidP="00A134AC">
      <w:pPr>
        <w:spacing w:before="240" w:after="240" w:line="360" w:lineRule="auto"/>
        <w:contextualSpacing/>
        <w:jc w:val="both"/>
        <w:rPr>
          <w:rFonts w:ascii="Palatino Linotype" w:hAnsi="Palatino Linotype" w:cs="Arial"/>
          <w:bCs/>
          <w:sz w:val="24"/>
          <w:szCs w:val="24"/>
        </w:rPr>
      </w:pPr>
    </w:p>
    <w:p w14:paraId="51CABA40" w14:textId="77777777" w:rsidR="00A134AC" w:rsidRPr="00375A02" w:rsidRDefault="00A134AC" w:rsidP="00A134AC">
      <w:pPr>
        <w:autoSpaceDE w:val="0"/>
        <w:autoSpaceDN w:val="0"/>
        <w:adjustRightInd w:val="0"/>
        <w:spacing w:before="240" w:after="240" w:line="360" w:lineRule="auto"/>
        <w:ind w:right="-232"/>
        <w:contextualSpacing/>
        <w:jc w:val="both"/>
        <w:rPr>
          <w:rFonts w:ascii="Palatino Linotype" w:hAnsi="Palatino Linotype"/>
          <w:sz w:val="24"/>
          <w:szCs w:val="24"/>
        </w:rPr>
      </w:pPr>
      <w:r w:rsidRPr="00375A02">
        <w:rPr>
          <w:rFonts w:ascii="Palatino Linotype" w:hAnsi="Palatino Linotype" w:cs="Arial"/>
          <w:sz w:val="24"/>
          <w:szCs w:val="24"/>
        </w:rPr>
        <w:t>En ese sentido, debe decirse que las facturas emitidas en favor de los proveedores, contratistas o prestadores de servicios, la cual se encuentra definida en e</w:t>
      </w:r>
      <w:r w:rsidRPr="00375A02">
        <w:rPr>
          <w:rFonts w:ascii="Palatino Linotype" w:hAnsi="Palatino Linotype"/>
          <w:sz w:val="24"/>
          <w:szCs w:val="24"/>
        </w:rPr>
        <w:t>l Glosario de Términos Hacendarios que emite el Instituto Hacendario del Estado de México, como:</w:t>
      </w:r>
    </w:p>
    <w:p w14:paraId="695815AB" w14:textId="77777777" w:rsidR="00A134AC" w:rsidRPr="00375A02" w:rsidRDefault="00A134AC" w:rsidP="00A134AC">
      <w:pPr>
        <w:autoSpaceDE w:val="0"/>
        <w:autoSpaceDN w:val="0"/>
        <w:adjustRightInd w:val="0"/>
        <w:spacing w:before="240" w:after="240" w:line="360" w:lineRule="auto"/>
        <w:ind w:right="-232"/>
        <w:contextualSpacing/>
        <w:jc w:val="both"/>
        <w:rPr>
          <w:rFonts w:ascii="Palatino Linotype" w:hAnsi="Palatino Linotype"/>
          <w:sz w:val="24"/>
          <w:szCs w:val="24"/>
        </w:rPr>
      </w:pPr>
    </w:p>
    <w:p w14:paraId="73443AF4" w14:textId="77777777" w:rsidR="00A134AC" w:rsidRPr="00375A02" w:rsidRDefault="00A134AC" w:rsidP="00A134AC">
      <w:pPr>
        <w:autoSpaceDE w:val="0"/>
        <w:autoSpaceDN w:val="0"/>
        <w:adjustRightInd w:val="0"/>
        <w:spacing w:before="120" w:after="120"/>
        <w:ind w:left="851" w:right="902"/>
        <w:jc w:val="both"/>
        <w:rPr>
          <w:rFonts w:ascii="Palatino Linotype" w:hAnsi="Palatino Linotype" w:cs="Arial"/>
          <w:b/>
          <w:i/>
        </w:rPr>
      </w:pPr>
      <w:r w:rsidRPr="00375A02">
        <w:rPr>
          <w:rFonts w:ascii="Palatino Linotype" w:hAnsi="Palatino Linotype" w:cs="Arial"/>
          <w:i/>
        </w:rPr>
        <w:t>“</w:t>
      </w:r>
      <w:r w:rsidRPr="00375A02">
        <w:rPr>
          <w:rFonts w:ascii="Palatino Linotype" w:hAnsi="Palatino Linotype" w:cs="Arial"/>
          <w:b/>
          <w:i/>
        </w:rPr>
        <w:t>FACTURA</w:t>
      </w:r>
    </w:p>
    <w:p w14:paraId="1B9689D2" w14:textId="77777777" w:rsidR="00A134AC" w:rsidRPr="00375A02" w:rsidRDefault="00A134AC" w:rsidP="00A134AC">
      <w:pPr>
        <w:autoSpaceDE w:val="0"/>
        <w:autoSpaceDN w:val="0"/>
        <w:adjustRightInd w:val="0"/>
        <w:spacing w:before="120" w:after="120"/>
        <w:ind w:left="851" w:right="902"/>
        <w:jc w:val="both"/>
        <w:rPr>
          <w:rFonts w:ascii="Palatino Linotype" w:hAnsi="Palatino Linotype" w:cs="Arial"/>
          <w:i/>
        </w:rPr>
      </w:pPr>
      <w:r w:rsidRPr="00375A02">
        <w:rPr>
          <w:rFonts w:ascii="Palatino Linotype" w:hAnsi="Palatino Linotype" w:cs="Arial"/>
          <w:i/>
        </w:rPr>
        <w:t>Es el documento fiscal que emite la persona física o moral para comprobar la venta o adquisición de un bien y/o servicio.” (Sic)</w:t>
      </w:r>
    </w:p>
    <w:p w14:paraId="7931F568" w14:textId="77777777" w:rsidR="00A134AC" w:rsidRPr="00375A02" w:rsidRDefault="00A134AC" w:rsidP="00A134AC">
      <w:pPr>
        <w:autoSpaceDE w:val="0"/>
        <w:autoSpaceDN w:val="0"/>
        <w:adjustRightInd w:val="0"/>
        <w:spacing w:before="120" w:after="120"/>
        <w:ind w:left="851" w:right="902"/>
        <w:jc w:val="both"/>
        <w:rPr>
          <w:rFonts w:ascii="Palatino Linotype" w:hAnsi="Palatino Linotype" w:cs="Arial"/>
          <w:i/>
        </w:rPr>
      </w:pPr>
    </w:p>
    <w:p w14:paraId="0CA098DC" w14:textId="77777777" w:rsidR="00A134AC" w:rsidRPr="00375A02" w:rsidRDefault="00A134AC" w:rsidP="00A134AC">
      <w:pPr>
        <w:spacing w:before="240" w:after="240" w:line="360" w:lineRule="auto"/>
        <w:contextualSpacing/>
        <w:jc w:val="both"/>
        <w:rPr>
          <w:rFonts w:ascii="Palatino Linotype" w:hAnsi="Palatino Linotype" w:cs="Arial"/>
          <w:sz w:val="24"/>
          <w:szCs w:val="24"/>
        </w:rPr>
      </w:pPr>
      <w:r w:rsidRPr="00375A02">
        <w:rPr>
          <w:rFonts w:ascii="Palatino Linotype" w:hAnsi="Palatino Linotype" w:cs="Arial"/>
          <w:sz w:val="24"/>
          <w:szCs w:val="24"/>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0814EFFD" w14:textId="77777777" w:rsidR="00A134AC" w:rsidRPr="00375A02" w:rsidRDefault="00A134AC" w:rsidP="00A134AC">
      <w:pPr>
        <w:spacing w:before="240" w:after="240" w:line="360" w:lineRule="auto"/>
        <w:contextualSpacing/>
        <w:jc w:val="both"/>
        <w:rPr>
          <w:rFonts w:ascii="Palatino Linotype" w:hAnsi="Palatino Linotype" w:cs="Arial"/>
          <w:sz w:val="24"/>
          <w:szCs w:val="24"/>
        </w:rPr>
      </w:pPr>
    </w:p>
    <w:p w14:paraId="26477C00" w14:textId="77777777" w:rsidR="00A134AC" w:rsidRPr="00375A02" w:rsidRDefault="00A134AC" w:rsidP="00A134AC">
      <w:pPr>
        <w:spacing w:before="240" w:after="240" w:line="360" w:lineRule="auto"/>
        <w:contextualSpacing/>
        <w:jc w:val="both"/>
        <w:rPr>
          <w:rFonts w:ascii="Palatino Linotype" w:hAnsi="Palatino Linotype" w:cs="Arial"/>
          <w:sz w:val="24"/>
          <w:szCs w:val="24"/>
        </w:rPr>
      </w:pPr>
      <w:r w:rsidRPr="00375A02">
        <w:rPr>
          <w:rFonts w:ascii="Palatino Linotype" w:hAnsi="Palatino Linotype" w:cs="Arial"/>
          <w:sz w:val="24"/>
          <w:szCs w:val="24"/>
        </w:rPr>
        <w:t xml:space="preserve">Al respecto, si bien es cierto que el Código Financiero del Estado de México y Municipios establece la obligación de los Municipios para llevar los registros </w:t>
      </w:r>
      <w:r w:rsidRPr="00375A02">
        <w:rPr>
          <w:rFonts w:ascii="Palatino Linotype" w:hAnsi="Palatino Linotype" w:cs="Arial"/>
          <w:sz w:val="24"/>
          <w:szCs w:val="24"/>
        </w:rPr>
        <w:lastRenderedPageBreak/>
        <w:t xml:space="preserve">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F6CE398" w14:textId="77777777" w:rsidR="00A134AC" w:rsidRPr="00375A02" w:rsidRDefault="00A134AC" w:rsidP="00A134AC">
      <w:pPr>
        <w:spacing w:before="240" w:after="240" w:line="360" w:lineRule="auto"/>
        <w:contextualSpacing/>
        <w:jc w:val="both"/>
        <w:rPr>
          <w:rFonts w:ascii="Palatino Linotype" w:hAnsi="Palatino Linotype" w:cs="Arial"/>
          <w:sz w:val="24"/>
          <w:szCs w:val="24"/>
        </w:rPr>
      </w:pPr>
    </w:p>
    <w:p w14:paraId="2F63FEA9" w14:textId="77777777" w:rsidR="00A134AC" w:rsidRPr="00375A02" w:rsidRDefault="00A134AC" w:rsidP="00A134AC">
      <w:pPr>
        <w:spacing w:before="120" w:after="120"/>
        <w:ind w:firstLine="708"/>
        <w:jc w:val="both"/>
        <w:rPr>
          <w:rFonts w:ascii="Palatino Linotype" w:hAnsi="Palatino Linotype" w:cs="Arial"/>
          <w:b/>
          <w:i/>
        </w:rPr>
      </w:pPr>
      <w:r w:rsidRPr="00375A02">
        <w:rPr>
          <w:rFonts w:ascii="Palatino Linotype" w:hAnsi="Palatino Linotype" w:cs="Arial"/>
          <w:b/>
          <w:i/>
        </w:rPr>
        <w:t xml:space="preserve">“REGISTRO CONTABLE </w:t>
      </w:r>
    </w:p>
    <w:p w14:paraId="2A2D54F7" w14:textId="77777777" w:rsidR="00A134AC" w:rsidRPr="00375A02" w:rsidRDefault="00A134AC" w:rsidP="00A134AC">
      <w:pPr>
        <w:spacing w:before="120" w:after="120"/>
        <w:ind w:left="851" w:right="899"/>
        <w:jc w:val="both"/>
        <w:rPr>
          <w:rFonts w:ascii="Palatino Linotype" w:hAnsi="Palatino Linotype" w:cs="Arial"/>
          <w:i/>
        </w:rPr>
      </w:pPr>
      <w:r w:rsidRPr="00375A02">
        <w:rPr>
          <w:rFonts w:ascii="Palatino Linotype" w:hAnsi="Palatino Linotype" w:cs="Arial"/>
          <w:i/>
        </w:rPr>
        <w:t>Asiento que se realiza en los libros de contabilidad de las actividades relacionadas con el ingreso y egresos de un ente económico.” (Sic)</w:t>
      </w:r>
    </w:p>
    <w:p w14:paraId="28214AB8" w14:textId="77777777" w:rsidR="00A134AC" w:rsidRPr="00375A02" w:rsidRDefault="00A134AC" w:rsidP="00A134AC">
      <w:pPr>
        <w:spacing w:before="120" w:after="120"/>
        <w:ind w:right="899" w:firstLine="708"/>
        <w:jc w:val="both"/>
        <w:rPr>
          <w:rFonts w:ascii="Palatino Linotype" w:hAnsi="Palatino Linotype" w:cs="Arial"/>
          <w:b/>
          <w:i/>
        </w:rPr>
      </w:pPr>
      <w:r w:rsidRPr="00375A02">
        <w:rPr>
          <w:rFonts w:ascii="Palatino Linotype" w:hAnsi="Palatino Linotype" w:cs="Arial"/>
          <w:b/>
          <w:i/>
        </w:rPr>
        <w:t>“REGISTRO PRESUPUESTARIO</w:t>
      </w:r>
    </w:p>
    <w:p w14:paraId="203C3728" w14:textId="77777777" w:rsidR="00A134AC" w:rsidRPr="00375A02" w:rsidRDefault="00A134AC" w:rsidP="00A134AC">
      <w:pPr>
        <w:spacing w:before="120" w:after="120"/>
        <w:ind w:left="708" w:right="899"/>
        <w:jc w:val="both"/>
        <w:rPr>
          <w:rFonts w:ascii="Palatino Linotype" w:hAnsi="Palatino Linotype" w:cs="Arial"/>
          <w:i/>
        </w:rPr>
      </w:pPr>
      <w:r w:rsidRPr="00375A02">
        <w:rPr>
          <w:rFonts w:ascii="Palatino Linotype" w:hAnsi="Palatino Linotype" w:cs="Arial"/>
          <w:i/>
        </w:rPr>
        <w:t>Asiento contable de las erogaciones realizadas por las dependencias y entidades con relación a la asignación, modificación y ejercicio de los recursos presupuestarios que se les hayan autorizado.” (Sic)</w:t>
      </w:r>
    </w:p>
    <w:p w14:paraId="411CC9DB" w14:textId="77777777" w:rsidR="00A134AC" w:rsidRPr="00375A02" w:rsidRDefault="00A134AC" w:rsidP="00A134AC">
      <w:pPr>
        <w:spacing w:before="240" w:after="240" w:line="360" w:lineRule="auto"/>
        <w:contextualSpacing/>
        <w:jc w:val="both"/>
        <w:rPr>
          <w:rFonts w:ascii="Palatino Linotype" w:hAnsi="Palatino Linotype" w:cs="Arial"/>
          <w:bCs/>
          <w:sz w:val="24"/>
          <w:szCs w:val="24"/>
        </w:rPr>
      </w:pPr>
    </w:p>
    <w:p w14:paraId="3F6ECC5F" w14:textId="77777777" w:rsidR="00FA4705" w:rsidRPr="00375A02" w:rsidRDefault="00FA4705" w:rsidP="00E87856">
      <w:pPr>
        <w:spacing w:before="240" w:after="240" w:line="360" w:lineRule="auto"/>
        <w:ind w:right="51"/>
        <w:contextualSpacing/>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42C4E8A4" w14:textId="77777777" w:rsidR="00E87856" w:rsidRPr="00375A02" w:rsidRDefault="00E87856" w:rsidP="00E87856">
      <w:pPr>
        <w:spacing w:before="240" w:after="240" w:line="360" w:lineRule="auto"/>
        <w:ind w:right="51"/>
        <w:contextualSpacing/>
        <w:jc w:val="both"/>
        <w:rPr>
          <w:rFonts w:ascii="Palatino Linotype" w:eastAsia="Palatino Linotype" w:hAnsi="Palatino Linotype" w:cs="Palatino Linotype"/>
          <w:sz w:val="24"/>
          <w:szCs w:val="24"/>
        </w:rPr>
      </w:pPr>
    </w:p>
    <w:p w14:paraId="0878A59D" w14:textId="77777777" w:rsidR="00A134AC" w:rsidRPr="00375A02" w:rsidRDefault="00A134AC" w:rsidP="00E87856">
      <w:pPr>
        <w:spacing w:before="240" w:after="240" w:line="360" w:lineRule="auto"/>
        <w:contextualSpacing/>
        <w:jc w:val="both"/>
        <w:rPr>
          <w:rFonts w:ascii="Palatino Linotype" w:hAnsi="Palatino Linotype" w:cs="Arial"/>
          <w:bCs/>
          <w:sz w:val="24"/>
          <w:szCs w:val="24"/>
        </w:rPr>
      </w:pPr>
      <w:r w:rsidRPr="00375A02">
        <w:rPr>
          <w:rFonts w:ascii="Palatino Linotype" w:hAnsi="Palatino Linotype" w:cs="Arial"/>
          <w:bCs/>
          <w:sz w:val="24"/>
          <w:szCs w:val="24"/>
        </w:rPr>
        <w:lastRenderedPageBreak/>
        <w:t>Por otra parte, se establece que el sistema de contabilidad sobre base acumulativa total se sustentará en los principios de contabilidad gubernamental.</w:t>
      </w:r>
    </w:p>
    <w:p w14:paraId="4E02723B" w14:textId="77777777" w:rsidR="00FA4705" w:rsidRPr="00375A02" w:rsidRDefault="00FA4705" w:rsidP="00E87856">
      <w:pPr>
        <w:spacing w:before="240" w:after="240" w:line="360" w:lineRule="auto"/>
        <w:contextualSpacing/>
        <w:jc w:val="both"/>
        <w:rPr>
          <w:rFonts w:ascii="Palatino Linotype" w:hAnsi="Palatino Linotype" w:cs="Arial"/>
          <w:bCs/>
          <w:sz w:val="24"/>
          <w:szCs w:val="24"/>
        </w:rPr>
      </w:pPr>
    </w:p>
    <w:p w14:paraId="2950CAB5" w14:textId="77777777" w:rsidR="00A134AC" w:rsidRPr="00375A02" w:rsidRDefault="00A134AC" w:rsidP="00E87856">
      <w:pPr>
        <w:spacing w:before="240" w:after="240" w:line="360" w:lineRule="auto"/>
        <w:contextualSpacing/>
        <w:jc w:val="both"/>
        <w:rPr>
          <w:rFonts w:ascii="Palatino Linotype" w:hAnsi="Palatino Linotype" w:cs="Arial"/>
          <w:bCs/>
          <w:sz w:val="24"/>
          <w:szCs w:val="24"/>
        </w:rPr>
      </w:pPr>
      <w:r w:rsidRPr="00375A02">
        <w:rPr>
          <w:rFonts w:ascii="Palatino Linotype" w:hAnsi="Palatino Linotype" w:cs="Arial"/>
          <w:bCs/>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8A32B16" w14:textId="77777777" w:rsidR="00FA4705" w:rsidRPr="00375A02" w:rsidRDefault="00FA4705" w:rsidP="00E87856">
      <w:pPr>
        <w:autoSpaceDE w:val="0"/>
        <w:autoSpaceDN w:val="0"/>
        <w:adjustRightInd w:val="0"/>
        <w:spacing w:before="240" w:after="240" w:line="360" w:lineRule="auto"/>
        <w:contextualSpacing/>
        <w:jc w:val="both"/>
        <w:rPr>
          <w:rFonts w:ascii="Palatino Linotype" w:hAnsi="Palatino Linotype" w:cs="Arial"/>
          <w:sz w:val="24"/>
          <w:szCs w:val="24"/>
        </w:rPr>
      </w:pPr>
    </w:p>
    <w:p w14:paraId="1B7D4066" w14:textId="77777777" w:rsidR="00A134AC" w:rsidRPr="00375A02" w:rsidRDefault="00A134AC" w:rsidP="00E87856">
      <w:pPr>
        <w:autoSpaceDE w:val="0"/>
        <w:autoSpaceDN w:val="0"/>
        <w:adjustRightInd w:val="0"/>
        <w:spacing w:before="240" w:after="240" w:line="360" w:lineRule="auto"/>
        <w:contextualSpacing/>
        <w:jc w:val="both"/>
        <w:rPr>
          <w:rFonts w:ascii="Palatino Linotype" w:hAnsi="Palatino Linotype" w:cs="Arial"/>
          <w:sz w:val="24"/>
          <w:szCs w:val="24"/>
        </w:rPr>
      </w:pPr>
      <w:r w:rsidRPr="00375A02">
        <w:rPr>
          <w:rFonts w:ascii="Palatino Linotype" w:hAnsi="Palatino Linotype" w:cs="Arial"/>
          <w:sz w:val="24"/>
          <w:szCs w:val="24"/>
        </w:rPr>
        <w:t xml:space="preserve">Correlativo a lo anterior, es preciso referir una definición de </w:t>
      </w:r>
      <w:r w:rsidRPr="00375A02">
        <w:rPr>
          <w:rFonts w:ascii="Palatino Linotype" w:hAnsi="Palatino Linotype" w:cs="Arial"/>
          <w:i/>
          <w:sz w:val="24"/>
          <w:szCs w:val="24"/>
        </w:rPr>
        <w:t>póliza contable</w:t>
      </w:r>
      <w:r w:rsidRPr="00375A02">
        <w:rPr>
          <w:rFonts w:ascii="Palatino Linotype" w:hAnsi="Palatino Linotype" w:cs="Arial"/>
          <w:sz w:val="24"/>
          <w:szCs w:val="24"/>
        </w:rPr>
        <w:t xml:space="preserve">, la cual, primeramente, no está definida en el Código Financiero del Estado de México y Municipios; no obstante, los ya mencionados Glosarios la definen como: </w:t>
      </w:r>
    </w:p>
    <w:p w14:paraId="2F1C36D6" w14:textId="77777777" w:rsidR="00A134AC" w:rsidRPr="00375A02" w:rsidRDefault="00A134AC" w:rsidP="00A134AC">
      <w:pPr>
        <w:autoSpaceDE w:val="0"/>
        <w:autoSpaceDN w:val="0"/>
        <w:adjustRightInd w:val="0"/>
        <w:spacing w:before="240" w:after="240" w:line="360" w:lineRule="auto"/>
        <w:contextualSpacing/>
        <w:jc w:val="both"/>
        <w:rPr>
          <w:rFonts w:ascii="Palatino Linotype" w:hAnsi="Palatino Linotype" w:cs="Arial"/>
          <w:sz w:val="24"/>
          <w:szCs w:val="24"/>
        </w:rPr>
      </w:pPr>
    </w:p>
    <w:p w14:paraId="687088E8" w14:textId="77777777" w:rsidR="00A134AC" w:rsidRPr="00375A02" w:rsidRDefault="00A134AC" w:rsidP="00A134AC">
      <w:pPr>
        <w:spacing w:before="120" w:after="120"/>
        <w:ind w:left="851" w:right="899"/>
        <w:jc w:val="both"/>
        <w:rPr>
          <w:rFonts w:ascii="Palatino Linotype" w:hAnsi="Palatino Linotype" w:cs="Arial"/>
          <w:b/>
          <w:i/>
        </w:rPr>
      </w:pPr>
      <w:r w:rsidRPr="00375A02">
        <w:rPr>
          <w:rFonts w:ascii="Palatino Linotype" w:hAnsi="Palatino Linotype" w:cs="Arial"/>
          <w:i/>
        </w:rPr>
        <w:t>“</w:t>
      </w:r>
      <w:r w:rsidRPr="00375A02">
        <w:rPr>
          <w:rFonts w:ascii="Palatino Linotype" w:hAnsi="Palatino Linotype" w:cs="Arial"/>
          <w:b/>
          <w:i/>
        </w:rPr>
        <w:t>PÓLIZA CONTABLE</w:t>
      </w:r>
    </w:p>
    <w:p w14:paraId="40410BF7" w14:textId="77777777" w:rsidR="00A134AC" w:rsidRPr="00375A02" w:rsidRDefault="00A134AC" w:rsidP="00A134AC">
      <w:pPr>
        <w:spacing w:before="120" w:after="120"/>
        <w:ind w:left="851" w:right="899"/>
        <w:jc w:val="both"/>
        <w:rPr>
          <w:rFonts w:ascii="Palatino Linotype" w:hAnsi="Palatino Linotype" w:cs="Arial"/>
          <w:i/>
        </w:rPr>
      </w:pPr>
      <w:r w:rsidRPr="00375A02">
        <w:rPr>
          <w:rFonts w:ascii="Palatino Linotype" w:hAnsi="Palatino Linotype" w:cs="Arial"/>
          <w:i/>
        </w:rPr>
        <w:t>Documento en el cual se asientan en forma individual todas y cada una de las operaciones desarrolladas por una institución, así como la información necesaria para la identificación de dichas operaciones.” (sic)</w:t>
      </w:r>
    </w:p>
    <w:p w14:paraId="1A74DAD9" w14:textId="77777777" w:rsidR="00A134AC" w:rsidRPr="00375A02" w:rsidRDefault="00A134AC" w:rsidP="00A134AC">
      <w:pPr>
        <w:spacing w:before="120" w:after="120"/>
        <w:ind w:left="851" w:right="899"/>
        <w:jc w:val="both"/>
        <w:rPr>
          <w:rFonts w:ascii="Palatino Linotype" w:hAnsi="Palatino Linotype" w:cs="Arial"/>
          <w:i/>
        </w:rPr>
      </w:pPr>
    </w:p>
    <w:p w14:paraId="0FFC81B0" w14:textId="42187252" w:rsidR="00A134AC" w:rsidRPr="00375A02" w:rsidRDefault="00A134AC" w:rsidP="00A134AC">
      <w:pPr>
        <w:spacing w:before="240" w:after="240" w:line="360" w:lineRule="auto"/>
        <w:contextualSpacing/>
        <w:jc w:val="both"/>
        <w:rPr>
          <w:rFonts w:ascii="Palatino Linotype" w:hAnsi="Palatino Linotype" w:cs="Arial"/>
          <w:sz w:val="24"/>
          <w:szCs w:val="24"/>
        </w:rPr>
      </w:pPr>
      <w:r w:rsidRPr="00375A02">
        <w:rPr>
          <w:rFonts w:ascii="Palatino Linotype" w:hAnsi="Palatino Linotype" w:cs="Arial"/>
          <w:sz w:val="24"/>
          <w:szCs w:val="24"/>
        </w:rPr>
        <w:t xml:space="preserve">Así, se advierte que la </w:t>
      </w:r>
      <w:r w:rsidRPr="00375A02">
        <w:rPr>
          <w:rFonts w:ascii="Palatino Linotype" w:hAnsi="Palatino Linotype" w:cs="Arial"/>
          <w:i/>
          <w:sz w:val="24"/>
          <w:szCs w:val="24"/>
        </w:rPr>
        <w:t>póliza contable</w:t>
      </w:r>
      <w:r w:rsidRPr="00375A02">
        <w:rPr>
          <w:rFonts w:ascii="Palatino Linotype" w:hAnsi="Palatino Linotype" w:cs="Arial"/>
          <w:sz w:val="24"/>
          <w:szCs w:val="24"/>
        </w:rPr>
        <w:t xml:space="preserve"> constituye un registro contable y presupuestal con el que cuentan los Municipios para el registro de sus operaciones relacionadas con sus ingresos y egresos y </w:t>
      </w:r>
      <w:r w:rsidRPr="00375A02">
        <w:rPr>
          <w:rFonts w:ascii="Palatino Linotype" w:hAnsi="Palatino Linotype" w:cs="Arial"/>
          <w:b/>
          <w:sz w:val="24"/>
          <w:szCs w:val="24"/>
          <w:u w:val="single"/>
        </w:rPr>
        <w:t>se anexan los documentos o comprobantes que justifiquen las anotaciones y cantidades en ellas registradas</w:t>
      </w:r>
      <w:r w:rsidRPr="00375A02">
        <w:rPr>
          <w:rFonts w:ascii="Palatino Linotype" w:hAnsi="Palatino Linotype" w:cs="Arial"/>
          <w:sz w:val="24"/>
          <w:szCs w:val="24"/>
        </w:rPr>
        <w:t>, lo que permite la identificac</w:t>
      </w:r>
      <w:r w:rsidR="00E87856" w:rsidRPr="00375A02">
        <w:rPr>
          <w:rFonts w:ascii="Palatino Linotype" w:hAnsi="Palatino Linotype" w:cs="Arial"/>
          <w:sz w:val="24"/>
          <w:szCs w:val="24"/>
        </w:rPr>
        <w:t>ión plena de dichas operaciones como lo son las facturas.</w:t>
      </w:r>
    </w:p>
    <w:p w14:paraId="54F7711A" w14:textId="413E7D0C" w:rsidR="00A134AC" w:rsidRPr="00375A02" w:rsidRDefault="00A134AC" w:rsidP="00EF47A9">
      <w:pPr>
        <w:spacing w:after="0" w:line="360" w:lineRule="auto"/>
        <w:jc w:val="both"/>
        <w:rPr>
          <w:rFonts w:ascii="Palatino Linotype" w:eastAsia="Palatino Linotype" w:hAnsi="Palatino Linotype" w:cs="Palatino Linotype"/>
          <w:sz w:val="24"/>
          <w:szCs w:val="24"/>
        </w:rPr>
      </w:pPr>
    </w:p>
    <w:p w14:paraId="3A97D262" w14:textId="77777777" w:rsidR="00A134AC" w:rsidRPr="00375A02" w:rsidRDefault="00A134AC" w:rsidP="00A134AC">
      <w:pPr>
        <w:spacing w:before="240" w:after="240" w:line="360" w:lineRule="auto"/>
        <w:contextualSpacing/>
        <w:jc w:val="both"/>
        <w:rPr>
          <w:rFonts w:ascii="Palatino Linotype" w:hAnsi="Palatino Linotype" w:cs="Arial"/>
          <w:sz w:val="24"/>
          <w:szCs w:val="24"/>
        </w:rPr>
      </w:pPr>
      <w:r w:rsidRPr="00375A02">
        <w:rPr>
          <w:rFonts w:ascii="Palatino Linotype" w:hAnsi="Palatino Linotype" w:cs="Arial"/>
          <w:sz w:val="24"/>
          <w:szCs w:val="24"/>
        </w:rPr>
        <w:t xml:space="preserve">En este sentido, existen diversos tipos de pólizas contables de acuerdo a las operaciones realizadas, dentro de las cuales, encontramos las llamadas </w:t>
      </w:r>
      <w:r w:rsidRPr="00375A02">
        <w:rPr>
          <w:rFonts w:ascii="Palatino Linotype" w:hAnsi="Palatino Linotype" w:cs="Arial"/>
          <w:i/>
          <w:sz w:val="24"/>
          <w:szCs w:val="24"/>
        </w:rPr>
        <w:t xml:space="preserve">pólizas de </w:t>
      </w:r>
      <w:r w:rsidRPr="00375A02">
        <w:rPr>
          <w:rFonts w:ascii="Palatino Linotype" w:hAnsi="Palatino Linotype" w:cs="Arial"/>
          <w:i/>
          <w:sz w:val="24"/>
          <w:szCs w:val="24"/>
        </w:rPr>
        <w:lastRenderedPageBreak/>
        <w:t>egresos</w:t>
      </w:r>
      <w:r w:rsidRPr="00375A02">
        <w:rPr>
          <w:rFonts w:ascii="Palatino Linotype" w:hAnsi="Palatino Linotype" w:cs="Arial"/>
          <w:sz w:val="24"/>
          <w:szCs w:val="24"/>
        </w:rPr>
        <w:t xml:space="preserve">, son aquellas en las cuales se anotan diariamente las operaciones que representan gastos, es decir, salidas de dinero para el </w:t>
      </w:r>
      <w:r w:rsidRPr="00375A02">
        <w:rPr>
          <w:rFonts w:ascii="Palatino Linotype" w:hAnsi="Palatino Linotype" w:cs="Arial"/>
          <w:b/>
          <w:sz w:val="24"/>
          <w:szCs w:val="24"/>
        </w:rPr>
        <w:t>SUJETO OBLIGADO</w:t>
      </w:r>
      <w:r w:rsidRPr="00375A02">
        <w:rPr>
          <w:rFonts w:ascii="Palatino Linotype" w:hAnsi="Palatino Linotype" w:cs="Arial"/>
          <w:sz w:val="24"/>
          <w:szCs w:val="24"/>
        </w:rPr>
        <w:t xml:space="preserve">, las que, además, deben encontrarse acompañadas de las documentales que sirven de soporte de dicho movimiento. </w:t>
      </w:r>
    </w:p>
    <w:p w14:paraId="6D6EC4AD" w14:textId="77777777" w:rsidR="00A134AC" w:rsidRPr="00375A02" w:rsidRDefault="00A134AC" w:rsidP="00A134AC">
      <w:pPr>
        <w:spacing w:before="240" w:after="240" w:line="360" w:lineRule="auto"/>
        <w:contextualSpacing/>
        <w:jc w:val="both"/>
        <w:rPr>
          <w:rFonts w:ascii="Palatino Linotype" w:hAnsi="Palatino Linotype" w:cs="Arial"/>
          <w:sz w:val="24"/>
          <w:szCs w:val="24"/>
        </w:rPr>
      </w:pPr>
    </w:p>
    <w:p w14:paraId="4D7C2133" w14:textId="59F82DD4" w:rsidR="00A134AC" w:rsidRPr="00375A02" w:rsidRDefault="00A134AC" w:rsidP="00A134AC">
      <w:pPr>
        <w:autoSpaceDE w:val="0"/>
        <w:autoSpaceDN w:val="0"/>
        <w:adjustRightInd w:val="0"/>
        <w:spacing w:line="360" w:lineRule="auto"/>
        <w:ind w:right="50"/>
        <w:contextualSpacing/>
        <w:jc w:val="both"/>
        <w:rPr>
          <w:rFonts w:ascii="Palatino Linotype" w:hAnsi="Palatino Linotype" w:cs="Arial"/>
          <w:bCs/>
          <w:sz w:val="24"/>
          <w:szCs w:val="24"/>
        </w:rPr>
      </w:pPr>
      <w:r w:rsidRPr="00375A02">
        <w:rPr>
          <w:rFonts w:ascii="Palatino Linotype" w:hAnsi="Palatino Linotype" w:cs="Arial"/>
          <w:bCs/>
          <w:sz w:val="24"/>
          <w:szCs w:val="24"/>
        </w:rPr>
        <w:t xml:space="preserve">De este modo, </w:t>
      </w:r>
      <w:r w:rsidRPr="00375A02">
        <w:rPr>
          <w:rFonts w:ascii="Palatino Linotype" w:hAnsi="Palatino Linotype" w:cs="Arial"/>
          <w:b/>
          <w:bCs/>
          <w:sz w:val="24"/>
          <w:szCs w:val="24"/>
        </w:rPr>
        <w:t>EL SUJETO OBLIGADO</w:t>
      </w:r>
      <w:r w:rsidRPr="00375A02">
        <w:rPr>
          <w:rFonts w:ascii="Palatino Linotype" w:hAnsi="Palatino Linotype" w:cs="Arial"/>
          <w:bCs/>
          <w:sz w:val="24"/>
          <w:szCs w:val="24"/>
        </w:rPr>
        <w:t xml:space="preserve"> debe tener registro de la expedición de las pólizas de egresos; ya que con tales documentales acredita y soporta el gasto realizado, es decir se hace del conocimiento de los particulares el uso y destino de los recursos públicos. </w:t>
      </w:r>
      <w:r w:rsidR="00706166" w:rsidRPr="00375A02">
        <w:rPr>
          <w:rFonts w:ascii="Palatino Linotype" w:hAnsi="Palatino Linotype" w:cs="Arial"/>
          <w:bCs/>
          <w:sz w:val="24"/>
          <w:szCs w:val="24"/>
        </w:rPr>
        <w:t xml:space="preserve"> </w:t>
      </w:r>
    </w:p>
    <w:p w14:paraId="2E128136" w14:textId="77777777" w:rsidR="00A134AC" w:rsidRPr="00375A02" w:rsidRDefault="00A134AC" w:rsidP="00A134AC">
      <w:pPr>
        <w:autoSpaceDE w:val="0"/>
        <w:autoSpaceDN w:val="0"/>
        <w:adjustRightInd w:val="0"/>
        <w:spacing w:line="360" w:lineRule="auto"/>
        <w:ind w:right="50"/>
        <w:contextualSpacing/>
        <w:jc w:val="both"/>
        <w:rPr>
          <w:rFonts w:ascii="Palatino Linotype" w:hAnsi="Palatino Linotype" w:cs="Arial"/>
          <w:bCs/>
          <w:sz w:val="24"/>
          <w:szCs w:val="24"/>
        </w:rPr>
      </w:pPr>
    </w:p>
    <w:p w14:paraId="16F3CCBC" w14:textId="77777777" w:rsidR="00A134AC" w:rsidRPr="00375A02" w:rsidRDefault="00A134AC" w:rsidP="00A134AC">
      <w:pPr>
        <w:autoSpaceDE w:val="0"/>
        <w:autoSpaceDN w:val="0"/>
        <w:adjustRightInd w:val="0"/>
        <w:spacing w:line="360" w:lineRule="auto"/>
        <w:ind w:right="50"/>
        <w:contextualSpacing/>
        <w:jc w:val="both"/>
        <w:rPr>
          <w:rFonts w:ascii="Palatino Linotype" w:hAnsi="Palatino Linotype" w:cs="Arial"/>
          <w:bCs/>
          <w:sz w:val="24"/>
          <w:szCs w:val="24"/>
        </w:rPr>
      </w:pPr>
      <w:r w:rsidRPr="00375A02">
        <w:rPr>
          <w:rFonts w:ascii="Palatino Linotype" w:hAnsi="Palatino Linotype" w:cs="Arial"/>
          <w:bCs/>
          <w:sz w:val="24"/>
          <w:szCs w:val="24"/>
        </w:rPr>
        <w:t xml:space="preserve">De igual forma, es de suma importancia destacar que el penúltimo párrafo, del artículo 23 de la </w:t>
      </w:r>
      <w:r w:rsidRPr="00375A02">
        <w:rPr>
          <w:rFonts w:ascii="Palatino Linotype" w:hAnsi="Palatino Linotype" w:cs="Arial"/>
          <w:sz w:val="24"/>
          <w:szCs w:val="24"/>
        </w:rPr>
        <w:t>Ley de Transparencia y Acceso a la Información Pública del Estado de México y Municipios</w:t>
      </w:r>
      <w:r w:rsidRPr="00375A02">
        <w:rPr>
          <w:rFonts w:ascii="Palatino Linotype" w:hAnsi="Palatino Linotype" w:cs="Arial"/>
          <w:bCs/>
          <w:sz w:val="24"/>
          <w:szCs w:val="24"/>
        </w:rPr>
        <w:t xml:space="preserve">,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22021327" w14:textId="77777777" w:rsidR="00A134AC" w:rsidRPr="00375A02" w:rsidRDefault="00A134AC" w:rsidP="00A134AC">
      <w:pPr>
        <w:autoSpaceDE w:val="0"/>
        <w:autoSpaceDN w:val="0"/>
        <w:adjustRightInd w:val="0"/>
        <w:ind w:right="50"/>
        <w:jc w:val="both"/>
        <w:rPr>
          <w:rFonts w:ascii="Palatino Linotype" w:hAnsi="Palatino Linotype" w:cs="Arial"/>
          <w:bCs/>
        </w:rPr>
      </w:pPr>
    </w:p>
    <w:p w14:paraId="44A58440" w14:textId="77777777" w:rsidR="00A134AC" w:rsidRPr="00375A02" w:rsidRDefault="00A134AC" w:rsidP="00A134AC">
      <w:pPr>
        <w:ind w:left="851" w:right="901"/>
        <w:jc w:val="both"/>
        <w:rPr>
          <w:rFonts w:ascii="Palatino Linotype" w:eastAsia="Arial Unicode MS" w:hAnsi="Palatino Linotype" w:cs="Arial"/>
          <w:b/>
          <w:i/>
        </w:rPr>
      </w:pPr>
      <w:r w:rsidRPr="00375A02">
        <w:rPr>
          <w:rFonts w:ascii="Palatino Linotype" w:eastAsia="Arial Unicode MS" w:hAnsi="Palatino Linotype" w:cs="Arial"/>
          <w:b/>
          <w:i/>
        </w:rPr>
        <w:t>“Artículo 23…</w:t>
      </w:r>
    </w:p>
    <w:p w14:paraId="1CCF7739" w14:textId="77777777" w:rsidR="00A134AC" w:rsidRPr="00375A02" w:rsidRDefault="00A134AC" w:rsidP="00A134AC">
      <w:pPr>
        <w:ind w:left="851" w:right="901"/>
        <w:jc w:val="both"/>
        <w:rPr>
          <w:rFonts w:ascii="Palatino Linotype" w:eastAsia="Arial Unicode MS" w:hAnsi="Palatino Linotype" w:cs="Arial"/>
          <w:i/>
        </w:rPr>
      </w:pPr>
    </w:p>
    <w:p w14:paraId="5E1D95BB" w14:textId="77777777" w:rsidR="00A134AC" w:rsidRPr="00375A02" w:rsidRDefault="00A134AC" w:rsidP="00A134AC">
      <w:pPr>
        <w:ind w:left="851" w:right="901"/>
        <w:jc w:val="both"/>
        <w:rPr>
          <w:rFonts w:ascii="Palatino Linotype" w:hAnsi="Palatino Linotype" w:cs="Arial"/>
          <w:i/>
        </w:rPr>
      </w:pPr>
      <w:r w:rsidRPr="00375A02">
        <w:rPr>
          <w:rFonts w:ascii="Palatino Linotype" w:eastAsia="Arial Unicode MS"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0060079" w14:textId="77777777" w:rsidR="00A134AC" w:rsidRPr="00375A02" w:rsidRDefault="00A134AC" w:rsidP="00A134AC">
      <w:pPr>
        <w:ind w:left="851" w:right="850"/>
        <w:jc w:val="both"/>
        <w:rPr>
          <w:rFonts w:ascii="Palatino Linotype" w:hAnsi="Palatino Linotype" w:cs="Arial"/>
          <w:i/>
        </w:rPr>
      </w:pPr>
      <w:r w:rsidRPr="00375A02">
        <w:rPr>
          <w:rFonts w:ascii="Palatino Linotype" w:hAnsi="Palatino Linotype" w:cs="Arial"/>
          <w:i/>
        </w:rPr>
        <w:lastRenderedPageBreak/>
        <w:t xml:space="preserve"> (…)”</w:t>
      </w:r>
    </w:p>
    <w:p w14:paraId="714CFE1E" w14:textId="707D3199" w:rsidR="00A134AC" w:rsidRPr="00375A02" w:rsidRDefault="00A134AC" w:rsidP="00A134AC">
      <w:pPr>
        <w:autoSpaceDE w:val="0"/>
        <w:autoSpaceDN w:val="0"/>
        <w:adjustRightInd w:val="0"/>
        <w:spacing w:line="360" w:lineRule="auto"/>
        <w:contextualSpacing/>
        <w:jc w:val="both"/>
        <w:rPr>
          <w:rFonts w:ascii="Palatino Linotype" w:eastAsia="Arial Unicode MS" w:hAnsi="Palatino Linotype" w:cs="Arial"/>
          <w:sz w:val="24"/>
          <w:szCs w:val="24"/>
        </w:rPr>
      </w:pPr>
      <w:r w:rsidRPr="00375A02">
        <w:rPr>
          <w:rFonts w:ascii="Palatino Linotype" w:eastAsia="Arial Unicode MS" w:hAnsi="Palatino Linotype" w:cs="Arial"/>
          <w:sz w:val="24"/>
          <w:szCs w:val="24"/>
        </w:rPr>
        <w:t xml:space="preserve">En esta tesitura, se concluye que todos los datos en que consten gastos efectuados por </w:t>
      </w:r>
      <w:r w:rsidRPr="00375A02">
        <w:rPr>
          <w:rFonts w:ascii="Palatino Linotype" w:eastAsia="Arial Unicode MS" w:hAnsi="Palatino Linotype" w:cs="Arial"/>
          <w:b/>
          <w:sz w:val="24"/>
          <w:szCs w:val="24"/>
        </w:rPr>
        <w:t>EL SUJETO OBLIGADO</w:t>
      </w:r>
      <w:r w:rsidRPr="00375A02">
        <w:rPr>
          <w:rFonts w:ascii="Palatino Linotype" w:eastAsia="Arial Unicode MS" w:hAnsi="Palatino Linotype" w:cs="Arial"/>
          <w:sz w:val="24"/>
          <w:szCs w:val="24"/>
        </w:rPr>
        <w:t>, es información pública; por ende</w:t>
      </w:r>
      <w:r w:rsidR="00E87856" w:rsidRPr="00375A02">
        <w:rPr>
          <w:rFonts w:ascii="Palatino Linotype" w:eastAsia="Arial Unicode MS" w:hAnsi="Palatino Linotype" w:cs="Arial"/>
          <w:sz w:val="24"/>
          <w:szCs w:val="24"/>
        </w:rPr>
        <w:t>, los pagos realizados mediante facturas</w:t>
      </w:r>
      <w:r w:rsidRPr="00375A02">
        <w:rPr>
          <w:rFonts w:ascii="Palatino Linotype" w:eastAsia="Arial Unicode MS" w:hAnsi="Palatino Linotype" w:cs="Arial"/>
          <w:sz w:val="24"/>
          <w:szCs w:val="24"/>
        </w:rPr>
        <w:t xml:space="preserve"> son públicas y susceptibles de ser entregados si son solicitados en ejercicio del derecho de acceso a la información pública. </w:t>
      </w:r>
    </w:p>
    <w:p w14:paraId="31BDAEC6" w14:textId="77777777" w:rsidR="00A134AC" w:rsidRPr="00375A02" w:rsidRDefault="00A134AC" w:rsidP="00A134AC">
      <w:pPr>
        <w:autoSpaceDE w:val="0"/>
        <w:autoSpaceDN w:val="0"/>
        <w:adjustRightInd w:val="0"/>
        <w:spacing w:line="360" w:lineRule="auto"/>
        <w:contextualSpacing/>
        <w:jc w:val="both"/>
        <w:rPr>
          <w:rFonts w:ascii="Palatino Linotype" w:eastAsia="Arial Unicode MS" w:hAnsi="Palatino Linotype" w:cs="Arial"/>
          <w:sz w:val="24"/>
          <w:szCs w:val="24"/>
        </w:rPr>
      </w:pPr>
    </w:p>
    <w:p w14:paraId="54E6AEBB" w14:textId="77777777" w:rsidR="00A134AC" w:rsidRPr="00375A02" w:rsidRDefault="00A134AC" w:rsidP="00A134AC">
      <w:pPr>
        <w:autoSpaceDE w:val="0"/>
        <w:autoSpaceDN w:val="0"/>
        <w:adjustRightInd w:val="0"/>
        <w:spacing w:line="360" w:lineRule="auto"/>
        <w:contextualSpacing/>
        <w:jc w:val="both"/>
        <w:rPr>
          <w:rFonts w:ascii="Palatino Linotype" w:hAnsi="Palatino Linotype" w:cs="Arial"/>
          <w:sz w:val="24"/>
          <w:szCs w:val="24"/>
        </w:rPr>
      </w:pPr>
      <w:r w:rsidRPr="00375A02">
        <w:rPr>
          <w:rFonts w:ascii="Palatino Linotype" w:hAnsi="Palatino Linotype" w:cs="Arial"/>
          <w:sz w:val="24"/>
          <w:szCs w:val="24"/>
        </w:rPr>
        <w:t xml:space="preserve">Como ya se mencionó anteriormente </w:t>
      </w:r>
      <w:r w:rsidRPr="00375A02">
        <w:rPr>
          <w:rFonts w:ascii="Palatino Linotype" w:hAnsi="Palatino Linotype" w:cs="Arial"/>
          <w:b/>
          <w:sz w:val="24"/>
          <w:szCs w:val="24"/>
        </w:rPr>
        <w:t xml:space="preserve">EL SUJETO OBLIGADO </w:t>
      </w:r>
      <w:r w:rsidRPr="00375A02">
        <w:rPr>
          <w:rFonts w:ascii="Palatino Linotype" w:hAnsi="Palatino Linotype" w:cs="Arial"/>
          <w:sz w:val="24"/>
          <w:szCs w:val="24"/>
        </w:rPr>
        <w:t xml:space="preserve">tiene la obligatoriedad de registrar </w:t>
      </w:r>
      <w:r w:rsidRPr="00375A02">
        <w:rPr>
          <w:rFonts w:ascii="Palatino Linotype" w:hAnsi="Palatino Linotype" w:cs="Arial"/>
          <w:bCs/>
          <w:sz w:val="24"/>
          <w:szCs w:val="24"/>
        </w:rPr>
        <w:t>contablemente el efecto patrimonial y presupuestal de las operaciones financieras que realizan, en el momento en que ocurran</w:t>
      </w:r>
      <w:r w:rsidRPr="00375A02">
        <w:rPr>
          <w:rFonts w:ascii="Palatino Linotype" w:hAnsi="Palatino Linotype" w:cs="Arial"/>
          <w:sz w:val="24"/>
          <w:szCs w:val="24"/>
        </w:rPr>
        <w:t>.</w:t>
      </w:r>
    </w:p>
    <w:p w14:paraId="30CA1CBE" w14:textId="77777777" w:rsidR="00A134AC" w:rsidRPr="00375A02" w:rsidRDefault="00A134AC" w:rsidP="00A134AC">
      <w:pPr>
        <w:autoSpaceDE w:val="0"/>
        <w:autoSpaceDN w:val="0"/>
        <w:adjustRightInd w:val="0"/>
        <w:spacing w:line="360" w:lineRule="auto"/>
        <w:contextualSpacing/>
        <w:jc w:val="both"/>
        <w:rPr>
          <w:rFonts w:ascii="Palatino Linotype" w:hAnsi="Palatino Linotype" w:cs="Arial"/>
          <w:sz w:val="24"/>
          <w:szCs w:val="24"/>
        </w:rPr>
      </w:pPr>
    </w:p>
    <w:p w14:paraId="54BD7293" w14:textId="77777777" w:rsidR="00A134AC" w:rsidRPr="00375A02" w:rsidRDefault="00A134AC" w:rsidP="00E87856">
      <w:pPr>
        <w:widowControl w:val="0"/>
        <w:autoSpaceDE w:val="0"/>
        <w:autoSpaceDN w:val="0"/>
        <w:adjustRightInd w:val="0"/>
        <w:spacing w:before="240" w:after="240" w:line="360" w:lineRule="auto"/>
        <w:contextualSpacing/>
        <w:jc w:val="both"/>
        <w:rPr>
          <w:rFonts w:ascii="Palatino Linotype" w:eastAsia="Palatino Linotype" w:hAnsi="Palatino Linotype" w:cs="Palatino Linotype"/>
          <w:bCs/>
          <w:sz w:val="24"/>
          <w:szCs w:val="24"/>
        </w:rPr>
      </w:pPr>
      <w:r w:rsidRPr="00375A02">
        <w:rPr>
          <w:rFonts w:ascii="Palatino Linotype" w:hAnsi="Palatino Linotype" w:cs="Arial"/>
          <w:sz w:val="24"/>
          <w:szCs w:val="24"/>
        </w:rPr>
        <w:t xml:space="preserve">En consecuencia, podemos concluir que </w:t>
      </w:r>
      <w:r w:rsidRPr="00375A02">
        <w:rPr>
          <w:rFonts w:ascii="Palatino Linotype" w:hAnsi="Palatino Linotype" w:cs="Arial"/>
          <w:b/>
          <w:sz w:val="24"/>
          <w:szCs w:val="24"/>
        </w:rPr>
        <w:t xml:space="preserve">EL SUJETO OBLIGADO </w:t>
      </w:r>
      <w:r w:rsidRPr="00375A02">
        <w:rPr>
          <w:rFonts w:ascii="Palatino Linotype" w:hAnsi="Palatino Linotype" w:cs="Arial"/>
          <w:sz w:val="24"/>
          <w:szCs w:val="24"/>
        </w:rPr>
        <w:t xml:space="preserve">se encuentra en posibilidad de atender lo solicitado. </w:t>
      </w:r>
    </w:p>
    <w:p w14:paraId="155009E2" w14:textId="0A9753F1" w:rsidR="00A134AC" w:rsidRPr="00375A02" w:rsidRDefault="00A134AC" w:rsidP="00E87856">
      <w:pPr>
        <w:spacing w:after="0" w:line="360" w:lineRule="auto"/>
        <w:contextualSpacing/>
        <w:jc w:val="both"/>
        <w:rPr>
          <w:rFonts w:ascii="Palatino Linotype" w:eastAsia="Palatino Linotype" w:hAnsi="Palatino Linotype" w:cs="Palatino Linotype"/>
          <w:sz w:val="24"/>
          <w:szCs w:val="24"/>
        </w:rPr>
      </w:pPr>
    </w:p>
    <w:p w14:paraId="19CC9FE2" w14:textId="77777777" w:rsidR="00A134AC" w:rsidRPr="00375A02" w:rsidRDefault="00A134AC" w:rsidP="00E87856">
      <w:pPr>
        <w:widowControl w:val="0"/>
        <w:autoSpaceDE w:val="0"/>
        <w:autoSpaceDN w:val="0"/>
        <w:adjustRightInd w:val="0"/>
        <w:spacing w:before="240" w:after="240" w:line="360" w:lineRule="auto"/>
        <w:contextualSpacing/>
        <w:jc w:val="both"/>
        <w:rPr>
          <w:rFonts w:ascii="Palatino Linotype" w:eastAsia="Palatino Linotype" w:hAnsi="Palatino Linotype" w:cs="Palatino Linotype"/>
          <w:bCs/>
          <w:sz w:val="24"/>
          <w:szCs w:val="24"/>
        </w:rPr>
      </w:pPr>
      <w:r w:rsidRPr="00375A02">
        <w:rPr>
          <w:rFonts w:ascii="Palatino Linotype" w:eastAsia="Palatino Linotype" w:hAnsi="Palatino Linotype" w:cs="Palatino Linotype"/>
          <w:bCs/>
          <w:sz w:val="24"/>
          <w:szCs w:val="24"/>
        </w:rPr>
        <w:t>Por lo que resulta procedente ORDENAR haga entrega facturas de pago por cualquier concepto del mes de noviembre de 2022, en términos del considerando quinto.</w:t>
      </w:r>
    </w:p>
    <w:p w14:paraId="57942F77" w14:textId="77777777" w:rsidR="00A134AC" w:rsidRPr="00375A02" w:rsidRDefault="00A134AC" w:rsidP="00E87856">
      <w:pPr>
        <w:widowControl w:val="0"/>
        <w:autoSpaceDE w:val="0"/>
        <w:autoSpaceDN w:val="0"/>
        <w:adjustRightInd w:val="0"/>
        <w:spacing w:before="240" w:after="240" w:line="360" w:lineRule="auto"/>
        <w:contextualSpacing/>
        <w:jc w:val="both"/>
        <w:rPr>
          <w:rFonts w:ascii="Palatino Linotype" w:eastAsia="Palatino Linotype" w:hAnsi="Palatino Linotype" w:cs="Palatino Linotype"/>
          <w:bCs/>
          <w:sz w:val="28"/>
          <w:szCs w:val="24"/>
        </w:rPr>
      </w:pPr>
    </w:p>
    <w:p w14:paraId="513E7365" w14:textId="6A2C36C2" w:rsidR="00B47465" w:rsidRPr="00375A02" w:rsidRDefault="00B47465" w:rsidP="00E87856">
      <w:pPr>
        <w:spacing w:before="280" w:after="280" w:line="360" w:lineRule="auto"/>
        <w:ind w:right="40"/>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Finalmente, es de señalar que, como ya se mencionó </w:t>
      </w:r>
      <w:r w:rsidR="00E87856" w:rsidRPr="00375A02">
        <w:rPr>
          <w:rFonts w:ascii="Palatino Linotype" w:eastAsia="Palatino Linotype" w:hAnsi="Palatino Linotype" w:cs="Palatino Linotype"/>
          <w:b/>
          <w:sz w:val="24"/>
        </w:rPr>
        <w:t>EL SUJETO OBLIGADO</w:t>
      </w:r>
      <w:r w:rsidRPr="00375A02">
        <w:rPr>
          <w:rFonts w:ascii="Palatino Linotype" w:eastAsia="Palatino Linotype" w:hAnsi="Palatino Linotype" w:cs="Palatino Linotype"/>
          <w:sz w:val="24"/>
        </w:rPr>
        <w:t xml:space="preserve">, omitió proporcionar la respuesta a la solicitud de acceso a la información pública, en el término contemplado en el ya citado artículo 163 de la Ley de la materia, razón por la que </w:t>
      </w:r>
      <w:r w:rsidRPr="00375A02">
        <w:rPr>
          <w:rFonts w:ascii="Palatino Linotype" w:eastAsia="Palatino Linotype" w:hAnsi="Palatino Linotype" w:cs="Palatino Linotype"/>
          <w:b/>
          <w:sz w:val="24"/>
        </w:rPr>
        <w:t>se ordena dar vista al Titular de la Contraloría Interna y Órgano de Control y Vigilancia de este Instituto</w:t>
      </w:r>
      <w:r w:rsidRPr="00375A02">
        <w:rPr>
          <w:rFonts w:ascii="Palatino Linotype" w:eastAsia="Palatino Linotype" w:hAnsi="Palatino Linotype" w:cs="Palatino Linotype"/>
          <w:sz w:val="24"/>
        </w:rPr>
        <w:t xml:space="preserve">, para que resuelva lo conducente y determine en su caso el grado de responsabilidad en el incumplimiento de las obligaciones </w:t>
      </w:r>
      <w:r w:rsidRPr="00375A02">
        <w:rPr>
          <w:rFonts w:ascii="Palatino Linotype" w:eastAsia="Palatino Linotype" w:hAnsi="Palatino Linotype" w:cs="Palatino Linotype"/>
          <w:sz w:val="24"/>
        </w:rPr>
        <w:lastRenderedPageBreak/>
        <w:t>establecidas en la misma, en términos del artículo 190 de la Ley de Transparencia y Acceso a la Información Pública del Estado de México y Municipios.</w:t>
      </w:r>
    </w:p>
    <w:p w14:paraId="74C80A60" w14:textId="77777777" w:rsidR="00E87856" w:rsidRPr="00375A02" w:rsidRDefault="00E87856" w:rsidP="00E87856">
      <w:pPr>
        <w:spacing w:before="280" w:after="280" w:line="360" w:lineRule="auto"/>
        <w:ind w:right="40"/>
        <w:contextualSpacing/>
        <w:jc w:val="both"/>
        <w:rPr>
          <w:rFonts w:ascii="Palatino Linotype" w:eastAsia="Palatino Linotype" w:hAnsi="Palatino Linotype" w:cs="Palatino Linotype"/>
          <w:sz w:val="24"/>
        </w:rPr>
      </w:pPr>
    </w:p>
    <w:p w14:paraId="63DDB79D" w14:textId="7D910452" w:rsidR="00B47465" w:rsidRPr="00375A02" w:rsidRDefault="00B47465" w:rsidP="00E87856">
      <w:pPr>
        <w:spacing w:before="240" w:after="240" w:line="360" w:lineRule="auto"/>
        <w:ind w:right="51"/>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De lo hasta aquí expuesto, se concluye que los motivos de inconformidad de la parte </w:t>
      </w:r>
      <w:r w:rsidR="00E87856" w:rsidRPr="00375A02">
        <w:rPr>
          <w:rFonts w:ascii="Palatino Linotype" w:eastAsia="Palatino Linotype" w:hAnsi="Palatino Linotype" w:cs="Palatino Linotype"/>
          <w:b/>
          <w:sz w:val="24"/>
        </w:rPr>
        <w:t>RECURRENTE</w:t>
      </w:r>
      <w:r w:rsidRPr="00375A02">
        <w:rPr>
          <w:rFonts w:ascii="Palatino Linotype" w:eastAsia="Palatino Linotype" w:hAnsi="Palatino Linotype" w:cs="Palatino Linotype"/>
          <w:b/>
          <w:sz w:val="24"/>
        </w:rPr>
        <w:t xml:space="preserve"> </w:t>
      </w:r>
      <w:r w:rsidRPr="00375A02">
        <w:rPr>
          <w:rFonts w:ascii="Palatino Linotype" w:eastAsia="Palatino Linotype" w:hAnsi="Palatino Linotype" w:cs="Palatino Linotype"/>
          <w:sz w:val="24"/>
        </w:rPr>
        <w:t xml:space="preserve">devienen fundados, siendo procedente </w:t>
      </w:r>
      <w:r w:rsidRPr="00375A02">
        <w:rPr>
          <w:rFonts w:ascii="Palatino Linotype" w:eastAsia="Palatino Linotype" w:hAnsi="Palatino Linotype" w:cs="Palatino Linotype"/>
          <w:i/>
          <w:sz w:val="24"/>
        </w:rPr>
        <w:t xml:space="preserve">Ordenar </w:t>
      </w:r>
      <w:r w:rsidRPr="00375A02">
        <w:rPr>
          <w:rFonts w:ascii="Palatino Linotype" w:eastAsia="Palatino Linotype" w:hAnsi="Palatino Linotype" w:cs="Palatino Linotype"/>
          <w:sz w:val="24"/>
        </w:rPr>
        <w:t xml:space="preserve">al </w:t>
      </w:r>
      <w:r w:rsidR="00E87856" w:rsidRPr="00375A02">
        <w:rPr>
          <w:rFonts w:ascii="Palatino Linotype" w:eastAsia="Palatino Linotype" w:hAnsi="Palatino Linotype" w:cs="Palatino Linotype"/>
          <w:b/>
          <w:sz w:val="24"/>
        </w:rPr>
        <w:t xml:space="preserve">SUJETO OBLIGADO </w:t>
      </w:r>
      <w:r w:rsidRPr="00375A02">
        <w:rPr>
          <w:rFonts w:ascii="Palatino Linotype" w:eastAsia="Palatino Linotype" w:hAnsi="Palatino Linotype" w:cs="Palatino Linotype"/>
          <w:sz w:val="24"/>
        </w:rPr>
        <w:t>la entrega de la información</w:t>
      </w:r>
      <w:r w:rsidRPr="00375A02">
        <w:rPr>
          <w:rFonts w:ascii="Palatino Linotype" w:eastAsia="Palatino Linotype" w:hAnsi="Palatino Linotype" w:cs="Palatino Linotype"/>
          <w:b/>
          <w:sz w:val="24"/>
        </w:rPr>
        <w:t xml:space="preserve"> </w:t>
      </w:r>
      <w:r w:rsidRPr="00375A02">
        <w:rPr>
          <w:rFonts w:ascii="Palatino Linotype" w:eastAsia="Palatino Linotype" w:hAnsi="Palatino Linotype" w:cs="Palatino Linotype"/>
          <w:sz w:val="24"/>
        </w:rPr>
        <w:t>en términos del artículo 186 fracción IV de la Ley de Transparencia y Acceso a la Información Pública del Estado de México y Municipios.</w:t>
      </w:r>
    </w:p>
    <w:p w14:paraId="50A47C39" w14:textId="77777777" w:rsidR="00B47465" w:rsidRPr="00375A02" w:rsidRDefault="00B47465" w:rsidP="00A134AC">
      <w:pPr>
        <w:widowControl w:val="0"/>
        <w:autoSpaceDE w:val="0"/>
        <w:autoSpaceDN w:val="0"/>
        <w:adjustRightInd w:val="0"/>
        <w:spacing w:before="240" w:after="240" w:line="360" w:lineRule="auto"/>
        <w:contextualSpacing/>
        <w:jc w:val="both"/>
        <w:rPr>
          <w:rFonts w:ascii="Palatino Linotype" w:eastAsia="Palatino Linotype" w:hAnsi="Palatino Linotype" w:cs="Palatino Linotype"/>
          <w:bCs/>
          <w:sz w:val="24"/>
          <w:szCs w:val="24"/>
        </w:rPr>
      </w:pPr>
    </w:p>
    <w:p w14:paraId="632BFF02" w14:textId="419BAC42" w:rsidR="00B47465" w:rsidRPr="00375A02" w:rsidRDefault="00A134AC" w:rsidP="00E87856">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b/>
          <w:sz w:val="24"/>
          <w:szCs w:val="24"/>
        </w:rPr>
        <w:t xml:space="preserve">QUINTO. VERSIÓN PÚBLICA. </w:t>
      </w:r>
      <w:r w:rsidR="00B47465" w:rsidRPr="00375A02">
        <w:rPr>
          <w:rFonts w:ascii="Palatino Linotype" w:eastAsia="Palatino Linotype" w:hAnsi="Palatino Linotype" w:cs="Palatino Linotype"/>
          <w:sz w:val="24"/>
        </w:rPr>
        <w:t>Debe señalarse que de ser el caso en que los documentos que vayan a ser entregados por el</w:t>
      </w:r>
      <w:r w:rsidR="00B47465" w:rsidRPr="00375A02">
        <w:rPr>
          <w:rFonts w:ascii="Palatino Linotype" w:eastAsia="Palatino Linotype" w:hAnsi="Palatino Linotype" w:cs="Palatino Linotype"/>
          <w:b/>
          <w:sz w:val="24"/>
        </w:rPr>
        <w:t xml:space="preserve"> </w:t>
      </w:r>
      <w:r w:rsidR="00B47465" w:rsidRPr="00375A02">
        <w:rPr>
          <w:rFonts w:ascii="Palatino Linotype" w:eastAsia="Palatino Linotype" w:hAnsi="Palatino Linotype" w:cs="Palatino Linotype"/>
          <w:sz w:val="24"/>
        </w:rPr>
        <w:t xml:space="preserve">sujeto obligado, para dar cumplimiento a la presente resolución, contengan datos que deban ser clasificados, </w:t>
      </w:r>
      <w:r w:rsidR="00E87856" w:rsidRPr="00375A02">
        <w:rPr>
          <w:rFonts w:ascii="Palatino Linotype" w:eastAsia="Palatino Linotype" w:hAnsi="Palatino Linotype" w:cs="Palatino Linotype"/>
          <w:b/>
          <w:sz w:val="24"/>
        </w:rPr>
        <w:t>EL SUJETO OBLIGADO</w:t>
      </w:r>
      <w:r w:rsidR="00E87856" w:rsidRPr="00375A02">
        <w:rPr>
          <w:rFonts w:ascii="Palatino Linotype" w:eastAsia="Palatino Linotype" w:hAnsi="Palatino Linotype" w:cs="Palatino Linotype"/>
          <w:sz w:val="24"/>
        </w:rPr>
        <w:t xml:space="preserve"> </w:t>
      </w:r>
      <w:r w:rsidR="00B47465" w:rsidRPr="00375A02">
        <w:rPr>
          <w:rFonts w:ascii="Palatino Linotype" w:eastAsia="Palatino Linotype" w:hAnsi="Palatino Linotype" w:cs="Palatino Linotype"/>
          <w:sz w:val="24"/>
        </w:rPr>
        <w:t>deberá hacer la elaboración de la versión pública de tales documentos a fin de satisfacer el derecho de acceso a la información pública del recurrente sin menoscabo al derecho a la protección de los datos personales de terceros.</w:t>
      </w:r>
    </w:p>
    <w:p w14:paraId="7795217A" w14:textId="77777777" w:rsidR="00E87856" w:rsidRPr="00375A02" w:rsidRDefault="00E87856" w:rsidP="00E87856">
      <w:pPr>
        <w:spacing w:before="240" w:after="240" w:line="360" w:lineRule="auto"/>
        <w:contextualSpacing/>
        <w:jc w:val="both"/>
        <w:rPr>
          <w:rFonts w:ascii="Palatino Linotype" w:eastAsia="Palatino Linotype" w:hAnsi="Palatino Linotype" w:cs="Palatino Linotype"/>
          <w:sz w:val="24"/>
        </w:rPr>
      </w:pPr>
    </w:p>
    <w:p w14:paraId="29E2EC1C" w14:textId="77777777" w:rsidR="00B47465" w:rsidRPr="00375A02" w:rsidRDefault="00B47465" w:rsidP="00E87856">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C2C3C24" w14:textId="77777777" w:rsidR="00E87856" w:rsidRPr="00375A02" w:rsidRDefault="00E87856" w:rsidP="00E87856">
      <w:pPr>
        <w:spacing w:before="240" w:after="240" w:line="360" w:lineRule="auto"/>
        <w:contextualSpacing/>
        <w:jc w:val="both"/>
        <w:rPr>
          <w:rFonts w:ascii="Palatino Linotype" w:eastAsia="Palatino Linotype" w:hAnsi="Palatino Linotype" w:cs="Palatino Linotype"/>
          <w:sz w:val="24"/>
        </w:rPr>
      </w:pPr>
    </w:p>
    <w:p w14:paraId="0188B5BC"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r w:rsidRPr="00375A02">
        <w:rPr>
          <w:rFonts w:ascii="Palatino Linotype" w:eastAsia="Palatino Linotype" w:hAnsi="Palatino Linotype" w:cs="Palatino Linotype"/>
          <w:b/>
          <w:i/>
        </w:rPr>
        <w:t>Artículo 3</w:t>
      </w:r>
      <w:r w:rsidRPr="00375A02">
        <w:rPr>
          <w:rFonts w:ascii="Palatino Linotype" w:eastAsia="Palatino Linotype" w:hAnsi="Palatino Linotype" w:cs="Palatino Linotype"/>
          <w:i/>
        </w:rPr>
        <w:t>. Para los efectos de la presente Ley se entenderá por:</w:t>
      </w:r>
    </w:p>
    <w:p w14:paraId="74B08C50"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p>
    <w:p w14:paraId="3403E0E9"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lastRenderedPageBreak/>
        <w:t>IX. Datos personales</w:t>
      </w:r>
      <w:r w:rsidRPr="00375A02">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3D815CD"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XX. Información clasificada</w:t>
      </w:r>
      <w:r w:rsidRPr="00375A02">
        <w:rPr>
          <w:rFonts w:ascii="Palatino Linotype" w:eastAsia="Palatino Linotype" w:hAnsi="Palatino Linotype" w:cs="Palatino Linotype"/>
          <w:i/>
        </w:rPr>
        <w:t>: Aquella considerada por la presente Ley como reservada o confidencial;</w:t>
      </w:r>
    </w:p>
    <w:p w14:paraId="63C91411"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 xml:space="preserve">XXI. Información confidencial: </w:t>
      </w:r>
      <w:r w:rsidRPr="00375A02">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13ABAA"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XLV. Versión pública:</w:t>
      </w:r>
      <w:r w:rsidRPr="00375A02">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1AD6A47"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p>
    <w:p w14:paraId="24D3179C"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Artículo 91.</w:t>
      </w:r>
      <w:r w:rsidRPr="00375A02">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13D9237"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Artículo 132.</w:t>
      </w:r>
      <w:r w:rsidRPr="00375A02">
        <w:rPr>
          <w:rFonts w:ascii="Palatino Linotype" w:eastAsia="Palatino Linotype" w:hAnsi="Palatino Linotype" w:cs="Palatino Linotype"/>
          <w:i/>
        </w:rPr>
        <w:t xml:space="preserve"> La clasificación de la información se llevará a cabo en el momento en que:</w:t>
      </w:r>
    </w:p>
    <w:p w14:paraId="421F19F4"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I</w:t>
      </w:r>
      <w:r w:rsidRPr="00375A02">
        <w:rPr>
          <w:rFonts w:ascii="Palatino Linotype" w:eastAsia="Palatino Linotype" w:hAnsi="Palatino Linotype" w:cs="Palatino Linotype"/>
          <w:i/>
        </w:rPr>
        <w:t>. Se reciba una solicitud de acceso a la información;</w:t>
      </w:r>
    </w:p>
    <w:p w14:paraId="3E33748A"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II.</w:t>
      </w:r>
      <w:r w:rsidRPr="00375A02">
        <w:rPr>
          <w:rFonts w:ascii="Palatino Linotype" w:eastAsia="Palatino Linotype" w:hAnsi="Palatino Linotype" w:cs="Palatino Linotype"/>
          <w:i/>
        </w:rPr>
        <w:t xml:space="preserve"> Se determine mediante resolución de autoridad competente; o</w:t>
      </w:r>
    </w:p>
    <w:p w14:paraId="570AB63C"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III.</w:t>
      </w:r>
      <w:r w:rsidRPr="00375A02">
        <w:rPr>
          <w:rFonts w:ascii="Palatino Linotype" w:eastAsia="Palatino Linotype" w:hAnsi="Palatino Linotype" w:cs="Palatino Linotype"/>
          <w:i/>
        </w:rPr>
        <w:t xml:space="preserve"> Se generen versiones públicas para dar cumplimiento a las obligaciones de transparencia previstas en esta Ley.</w:t>
      </w:r>
    </w:p>
    <w:p w14:paraId="50FE0F69"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w:t>
      </w:r>
    </w:p>
    <w:p w14:paraId="3DA21366"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Artículo 143</w:t>
      </w:r>
      <w:r w:rsidRPr="00375A02">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DCF0B3F"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I.</w:t>
      </w:r>
      <w:r w:rsidRPr="00375A02">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5AEF2589"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II.</w:t>
      </w:r>
      <w:r w:rsidRPr="00375A02">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37FD4B5"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lastRenderedPageBreak/>
        <w:t>III.</w:t>
      </w:r>
      <w:r w:rsidRPr="00375A02">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7A0FF8B8"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1C5AA4C"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8A51934" w14:textId="77777777" w:rsidR="00E87856" w:rsidRPr="00375A02" w:rsidRDefault="00E87856" w:rsidP="00B47465">
      <w:pPr>
        <w:spacing w:before="120" w:after="120"/>
        <w:ind w:left="851" w:right="902"/>
        <w:jc w:val="both"/>
        <w:rPr>
          <w:rFonts w:ascii="Palatino Linotype" w:eastAsia="Palatino Linotype" w:hAnsi="Palatino Linotype" w:cs="Palatino Linotype"/>
          <w:i/>
        </w:rPr>
      </w:pPr>
    </w:p>
    <w:p w14:paraId="2722FE67" w14:textId="77777777" w:rsidR="00B47465" w:rsidRPr="00375A02" w:rsidRDefault="00B47465" w:rsidP="00E87856">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5B2EF2" w14:textId="77777777" w:rsidR="00E87856" w:rsidRPr="00375A02" w:rsidRDefault="00E87856" w:rsidP="00E87856">
      <w:pPr>
        <w:spacing w:before="240" w:after="240" w:line="360" w:lineRule="auto"/>
        <w:contextualSpacing/>
        <w:jc w:val="both"/>
        <w:rPr>
          <w:rFonts w:ascii="Palatino Linotype" w:eastAsia="Palatino Linotype" w:hAnsi="Palatino Linotype" w:cs="Palatino Linotype"/>
          <w:sz w:val="24"/>
        </w:rPr>
      </w:pPr>
    </w:p>
    <w:p w14:paraId="04867244" w14:textId="77777777" w:rsidR="00B47465" w:rsidRPr="00375A02" w:rsidRDefault="00B47465" w:rsidP="00E87856">
      <w:pPr>
        <w:spacing w:before="240" w:after="240" w:line="360" w:lineRule="auto"/>
        <w:contextualSpacing/>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Entorno a lo que aquí nos interesa, los Lineamientos Quincuagésimo sexto, Quincuagésimo séptimo y Quincuagésimo octavo, establecen lo siguiente:</w:t>
      </w:r>
    </w:p>
    <w:p w14:paraId="4924ED01" w14:textId="77777777" w:rsidR="00E87856" w:rsidRPr="00375A02" w:rsidRDefault="00E87856" w:rsidP="00E87856">
      <w:pPr>
        <w:spacing w:before="240" w:after="240" w:line="360" w:lineRule="auto"/>
        <w:contextualSpacing/>
        <w:jc w:val="both"/>
        <w:rPr>
          <w:rFonts w:ascii="Palatino Linotype" w:eastAsia="Palatino Linotype" w:hAnsi="Palatino Linotype" w:cs="Palatino Linotype"/>
          <w:sz w:val="24"/>
        </w:rPr>
      </w:pPr>
    </w:p>
    <w:p w14:paraId="34DA3AB3"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“Quincuagésimo sexto</w:t>
      </w:r>
      <w:r w:rsidRPr="00375A02">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30AAE02"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lastRenderedPageBreak/>
        <w:t>Quincuagésimo séptimo</w:t>
      </w:r>
      <w:r w:rsidRPr="00375A02">
        <w:rPr>
          <w:rFonts w:ascii="Palatino Linotype" w:eastAsia="Palatino Linotype" w:hAnsi="Palatino Linotype" w:cs="Palatino Linotype"/>
          <w:i/>
        </w:rPr>
        <w:t xml:space="preserve">. Se considera, en principio, como información pública y no podrá omitirse de las versiones públicas la siguiente: </w:t>
      </w:r>
    </w:p>
    <w:p w14:paraId="3BC2596B"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I.</w:t>
      </w:r>
      <w:r w:rsidRPr="00375A02">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29ED3DC8"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II.</w:t>
      </w:r>
      <w:r w:rsidRPr="00375A02">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0D67E851" w14:textId="77777777" w:rsidR="00B47465" w:rsidRPr="00375A02" w:rsidRDefault="00B47465" w:rsidP="00B47465">
      <w:pPr>
        <w:spacing w:before="120" w:after="120"/>
        <w:ind w:left="1134"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III.</w:t>
      </w:r>
      <w:r w:rsidRPr="00375A02">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664829EA"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797CE293" w14:textId="77777777" w:rsidR="00B47465" w:rsidRPr="00375A02" w:rsidRDefault="00B47465" w:rsidP="00B47465">
      <w:pPr>
        <w:spacing w:before="120" w:after="120"/>
        <w:ind w:left="851" w:right="902"/>
        <w:jc w:val="both"/>
        <w:rPr>
          <w:rFonts w:ascii="Palatino Linotype" w:eastAsia="Palatino Linotype" w:hAnsi="Palatino Linotype" w:cs="Palatino Linotype"/>
          <w:i/>
        </w:rPr>
      </w:pPr>
      <w:r w:rsidRPr="00375A02">
        <w:rPr>
          <w:rFonts w:ascii="Palatino Linotype" w:eastAsia="Palatino Linotype" w:hAnsi="Palatino Linotype" w:cs="Palatino Linotype"/>
          <w:b/>
          <w:i/>
        </w:rPr>
        <w:t>Quincuagésimo octavo</w:t>
      </w:r>
      <w:r w:rsidRPr="00375A02">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470D292C" w14:textId="5CC1CE26" w:rsidR="00B47465" w:rsidRPr="00375A02" w:rsidRDefault="00B47465" w:rsidP="00B47465">
      <w:pPr>
        <w:spacing w:before="240" w:after="240" w:line="360" w:lineRule="auto"/>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E87856" w:rsidRPr="00375A02">
        <w:rPr>
          <w:rFonts w:ascii="Palatino Linotype" w:eastAsia="Palatino Linotype" w:hAnsi="Palatino Linotype" w:cs="Palatino Linotype"/>
          <w:b/>
          <w:sz w:val="24"/>
        </w:rPr>
        <w:t>SUJETO OBLIGADO</w:t>
      </w:r>
      <w:r w:rsidR="00E87856" w:rsidRPr="00375A02">
        <w:rPr>
          <w:rFonts w:ascii="Palatino Linotype" w:eastAsia="Palatino Linotype" w:hAnsi="Palatino Linotype" w:cs="Palatino Linotype"/>
          <w:sz w:val="24"/>
        </w:rPr>
        <w:t xml:space="preserve"> </w:t>
      </w:r>
      <w:r w:rsidRPr="00375A02">
        <w:rPr>
          <w:rFonts w:ascii="Palatino Linotype" w:eastAsia="Palatino Linotype" w:hAnsi="Palatino Linotype" w:cs="Palatino Linotype"/>
          <w:sz w:val="24"/>
        </w:rPr>
        <w:t>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EF15BEB" w14:textId="77777777" w:rsidR="00B47465" w:rsidRPr="00375A02" w:rsidRDefault="00B47465" w:rsidP="00B47465">
      <w:pPr>
        <w:spacing w:before="240" w:after="240" w:line="360" w:lineRule="auto"/>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lastRenderedPageBreak/>
        <w:t>En relación directa con ello, los Lineamientos en estudio establecen los formatos para la clasificación parcial y total de los documentos, que atienden a lo siguiente:</w:t>
      </w:r>
    </w:p>
    <w:tbl>
      <w:tblPr>
        <w:tblW w:w="8828" w:type="dxa"/>
        <w:tblInd w:w="-113" w:type="dxa"/>
        <w:tblLayout w:type="fixed"/>
        <w:tblLook w:val="04A0" w:firstRow="1" w:lastRow="0" w:firstColumn="1" w:lastColumn="0" w:noHBand="0" w:noVBand="1"/>
      </w:tblPr>
      <w:tblGrid>
        <w:gridCol w:w="993"/>
        <w:gridCol w:w="3421"/>
        <w:gridCol w:w="968"/>
        <w:gridCol w:w="3446"/>
      </w:tblGrid>
      <w:tr w:rsidR="00375A02" w:rsidRPr="00375A02" w14:paraId="1E699665" w14:textId="77777777" w:rsidTr="0042382E">
        <w:tc>
          <w:tcPr>
            <w:tcW w:w="4414" w:type="dxa"/>
            <w:gridSpan w:val="2"/>
          </w:tcPr>
          <w:p w14:paraId="477434E3" w14:textId="77777777" w:rsidR="00255BCE" w:rsidRPr="00375A02" w:rsidRDefault="00255BCE" w:rsidP="0042382E">
            <w:pPr>
              <w:jc w:val="center"/>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Parcial</w:t>
            </w:r>
          </w:p>
        </w:tc>
        <w:tc>
          <w:tcPr>
            <w:tcW w:w="4414" w:type="dxa"/>
            <w:gridSpan w:val="2"/>
          </w:tcPr>
          <w:p w14:paraId="501DB305" w14:textId="77777777" w:rsidR="00255BCE" w:rsidRPr="00375A02" w:rsidRDefault="00255BCE" w:rsidP="0042382E">
            <w:pPr>
              <w:jc w:val="center"/>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Total</w:t>
            </w:r>
          </w:p>
        </w:tc>
      </w:tr>
      <w:tr w:rsidR="00375A02" w:rsidRPr="00375A02" w14:paraId="32974281" w14:textId="77777777" w:rsidTr="0042382E">
        <w:tc>
          <w:tcPr>
            <w:tcW w:w="993" w:type="dxa"/>
          </w:tcPr>
          <w:p w14:paraId="53BB506B" w14:textId="77777777" w:rsidR="00255BCE" w:rsidRPr="00375A02" w:rsidRDefault="00255BCE" w:rsidP="0042382E">
            <w:pPr>
              <w:jc w:val="center"/>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Concepto</w:t>
            </w:r>
          </w:p>
        </w:tc>
        <w:tc>
          <w:tcPr>
            <w:tcW w:w="3421" w:type="dxa"/>
          </w:tcPr>
          <w:p w14:paraId="54090DC2" w14:textId="77777777" w:rsidR="00255BCE" w:rsidRPr="00375A02" w:rsidRDefault="00255BCE" w:rsidP="0042382E">
            <w:pPr>
              <w:jc w:val="center"/>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Dónde</w:t>
            </w:r>
          </w:p>
        </w:tc>
        <w:tc>
          <w:tcPr>
            <w:tcW w:w="968" w:type="dxa"/>
          </w:tcPr>
          <w:p w14:paraId="7A61B319" w14:textId="77777777" w:rsidR="00255BCE" w:rsidRPr="00375A02" w:rsidRDefault="00255BCE" w:rsidP="0042382E">
            <w:pPr>
              <w:jc w:val="center"/>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Concepto</w:t>
            </w:r>
          </w:p>
        </w:tc>
        <w:tc>
          <w:tcPr>
            <w:tcW w:w="3446" w:type="dxa"/>
          </w:tcPr>
          <w:p w14:paraId="1120CE4E" w14:textId="77777777" w:rsidR="00255BCE" w:rsidRPr="00375A02" w:rsidRDefault="00255BCE" w:rsidP="0042382E">
            <w:pPr>
              <w:jc w:val="center"/>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Dónde</w:t>
            </w:r>
          </w:p>
        </w:tc>
      </w:tr>
      <w:tr w:rsidR="00375A02" w:rsidRPr="00375A02" w14:paraId="5E577C80" w14:textId="77777777" w:rsidTr="0042382E">
        <w:tc>
          <w:tcPr>
            <w:tcW w:w="8828" w:type="dxa"/>
            <w:gridSpan w:val="4"/>
          </w:tcPr>
          <w:p w14:paraId="6FDF233B" w14:textId="77777777" w:rsidR="00255BCE" w:rsidRPr="00375A02" w:rsidRDefault="00255BCE" w:rsidP="0042382E">
            <w:pPr>
              <w:jc w:val="center"/>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Sello oficial o logotipo del sujeto obligado</w:t>
            </w:r>
          </w:p>
        </w:tc>
      </w:tr>
      <w:tr w:rsidR="00375A02" w:rsidRPr="00375A02" w14:paraId="6CEA4DEA" w14:textId="77777777" w:rsidTr="0042382E">
        <w:tc>
          <w:tcPr>
            <w:tcW w:w="993" w:type="dxa"/>
          </w:tcPr>
          <w:p w14:paraId="5D503442"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Fecha de clasificación</w:t>
            </w:r>
          </w:p>
        </w:tc>
        <w:tc>
          <w:tcPr>
            <w:tcW w:w="3421" w:type="dxa"/>
          </w:tcPr>
          <w:p w14:paraId="68F1A82F"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19CDF59C"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Fecha de clasificación</w:t>
            </w:r>
          </w:p>
        </w:tc>
        <w:tc>
          <w:tcPr>
            <w:tcW w:w="3446" w:type="dxa"/>
          </w:tcPr>
          <w:p w14:paraId="0D540FAE"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375A02" w:rsidRPr="00375A02" w14:paraId="64519792" w14:textId="77777777" w:rsidTr="0042382E">
        <w:tc>
          <w:tcPr>
            <w:tcW w:w="993" w:type="dxa"/>
          </w:tcPr>
          <w:p w14:paraId="73BC03B0"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Área</w:t>
            </w:r>
          </w:p>
        </w:tc>
        <w:tc>
          <w:tcPr>
            <w:tcW w:w="3421" w:type="dxa"/>
          </w:tcPr>
          <w:p w14:paraId="0EE6768B"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señalará el nombre del área del cual es titular quien clasifica.</w:t>
            </w:r>
          </w:p>
        </w:tc>
        <w:tc>
          <w:tcPr>
            <w:tcW w:w="968" w:type="dxa"/>
          </w:tcPr>
          <w:p w14:paraId="3A5E72DC"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Área</w:t>
            </w:r>
          </w:p>
        </w:tc>
        <w:tc>
          <w:tcPr>
            <w:tcW w:w="3446" w:type="dxa"/>
          </w:tcPr>
          <w:p w14:paraId="54693CE2"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señalará el nombre del área de la cual es el titular quien clasifica.</w:t>
            </w:r>
          </w:p>
        </w:tc>
      </w:tr>
      <w:tr w:rsidR="00375A02" w:rsidRPr="00375A02" w14:paraId="112E909C" w14:textId="77777777" w:rsidTr="0042382E">
        <w:tc>
          <w:tcPr>
            <w:tcW w:w="993" w:type="dxa"/>
          </w:tcPr>
          <w:p w14:paraId="2930A457"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Información reservada</w:t>
            </w:r>
          </w:p>
        </w:tc>
        <w:tc>
          <w:tcPr>
            <w:tcW w:w="3421" w:type="dxa"/>
          </w:tcPr>
          <w:p w14:paraId="4A1D7173"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6962C6E"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Reservado</w:t>
            </w:r>
          </w:p>
        </w:tc>
        <w:tc>
          <w:tcPr>
            <w:tcW w:w="3446" w:type="dxa"/>
          </w:tcPr>
          <w:p w14:paraId="2A336821"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Leyenda de información RESERVADA.</w:t>
            </w:r>
          </w:p>
        </w:tc>
      </w:tr>
      <w:tr w:rsidR="00375A02" w:rsidRPr="00375A02" w14:paraId="1EF5434C" w14:textId="77777777" w:rsidTr="0042382E">
        <w:tc>
          <w:tcPr>
            <w:tcW w:w="993" w:type="dxa"/>
          </w:tcPr>
          <w:p w14:paraId="426E6340"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Fundamento legal</w:t>
            </w:r>
          </w:p>
        </w:tc>
        <w:tc>
          <w:tcPr>
            <w:tcW w:w="3421" w:type="dxa"/>
          </w:tcPr>
          <w:p w14:paraId="1FE25908"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497E4606"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Periodo de reserva</w:t>
            </w:r>
          </w:p>
        </w:tc>
        <w:tc>
          <w:tcPr>
            <w:tcW w:w="3446" w:type="dxa"/>
          </w:tcPr>
          <w:p w14:paraId="0C511DEA"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375A02" w:rsidRPr="00375A02" w14:paraId="5B503587" w14:textId="77777777" w:rsidTr="0042382E">
        <w:tc>
          <w:tcPr>
            <w:tcW w:w="993" w:type="dxa"/>
          </w:tcPr>
          <w:p w14:paraId="4223714F"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Ampliación del periodo de reserva</w:t>
            </w:r>
          </w:p>
        </w:tc>
        <w:tc>
          <w:tcPr>
            <w:tcW w:w="3421" w:type="dxa"/>
          </w:tcPr>
          <w:p w14:paraId="64BEAE1A"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22A0373"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Fundamento legal</w:t>
            </w:r>
          </w:p>
        </w:tc>
        <w:tc>
          <w:tcPr>
            <w:tcW w:w="3446" w:type="dxa"/>
          </w:tcPr>
          <w:p w14:paraId="20D30AC0"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375A02" w:rsidRPr="00375A02" w14:paraId="2D07C425" w14:textId="77777777" w:rsidTr="0042382E">
        <w:tc>
          <w:tcPr>
            <w:tcW w:w="993" w:type="dxa"/>
          </w:tcPr>
          <w:p w14:paraId="2F225B5A"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Confidencial</w:t>
            </w:r>
          </w:p>
        </w:tc>
        <w:tc>
          <w:tcPr>
            <w:tcW w:w="3421" w:type="dxa"/>
          </w:tcPr>
          <w:p w14:paraId="54176755"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0E40757"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Ampliación del periodo de reserva</w:t>
            </w:r>
          </w:p>
        </w:tc>
        <w:tc>
          <w:tcPr>
            <w:tcW w:w="3446" w:type="dxa"/>
          </w:tcPr>
          <w:p w14:paraId="66FA57D0"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375A02" w:rsidRPr="00375A02" w14:paraId="3AC6A29B" w14:textId="77777777" w:rsidTr="0042382E">
        <w:tc>
          <w:tcPr>
            <w:tcW w:w="993" w:type="dxa"/>
          </w:tcPr>
          <w:p w14:paraId="1DFC8367"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Fundamento legal</w:t>
            </w:r>
          </w:p>
        </w:tc>
        <w:tc>
          <w:tcPr>
            <w:tcW w:w="3421" w:type="dxa"/>
          </w:tcPr>
          <w:p w14:paraId="7B49D697"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ABA4655"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Confidencial</w:t>
            </w:r>
          </w:p>
        </w:tc>
        <w:tc>
          <w:tcPr>
            <w:tcW w:w="3446" w:type="dxa"/>
          </w:tcPr>
          <w:p w14:paraId="3728FEE0"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Leyenda de información CONFIDENCIAL.</w:t>
            </w:r>
          </w:p>
        </w:tc>
      </w:tr>
      <w:tr w:rsidR="00375A02" w:rsidRPr="00375A02" w14:paraId="527F25D1" w14:textId="77777777" w:rsidTr="0042382E">
        <w:tc>
          <w:tcPr>
            <w:tcW w:w="993" w:type="dxa"/>
          </w:tcPr>
          <w:p w14:paraId="7158D5DE"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Rúbrica del titular del área</w:t>
            </w:r>
          </w:p>
        </w:tc>
        <w:tc>
          <w:tcPr>
            <w:tcW w:w="3421" w:type="dxa"/>
          </w:tcPr>
          <w:p w14:paraId="7811A360"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Rúbrica autógrafa de quien clasifica.</w:t>
            </w:r>
          </w:p>
        </w:tc>
        <w:tc>
          <w:tcPr>
            <w:tcW w:w="968" w:type="dxa"/>
          </w:tcPr>
          <w:p w14:paraId="57B59249"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Fundamento legal</w:t>
            </w:r>
          </w:p>
        </w:tc>
        <w:tc>
          <w:tcPr>
            <w:tcW w:w="3446" w:type="dxa"/>
          </w:tcPr>
          <w:p w14:paraId="6BB9D076"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375A02" w:rsidRPr="00375A02" w14:paraId="3AE6FFB8" w14:textId="77777777" w:rsidTr="0042382E">
        <w:tc>
          <w:tcPr>
            <w:tcW w:w="993" w:type="dxa"/>
          </w:tcPr>
          <w:p w14:paraId="72DAB2F1"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Fecha de desclasificación</w:t>
            </w:r>
          </w:p>
        </w:tc>
        <w:tc>
          <w:tcPr>
            <w:tcW w:w="3421" w:type="dxa"/>
          </w:tcPr>
          <w:p w14:paraId="4B0FB698"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anotará la fecha en que se desclasifica el documento.</w:t>
            </w:r>
          </w:p>
        </w:tc>
        <w:tc>
          <w:tcPr>
            <w:tcW w:w="968" w:type="dxa"/>
          </w:tcPr>
          <w:p w14:paraId="34DCC68D"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Rúbrica del titular del área</w:t>
            </w:r>
          </w:p>
        </w:tc>
        <w:tc>
          <w:tcPr>
            <w:tcW w:w="3446" w:type="dxa"/>
          </w:tcPr>
          <w:p w14:paraId="14B9E731"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Rúbrica autógrafa de quien clasifica.</w:t>
            </w:r>
          </w:p>
        </w:tc>
      </w:tr>
      <w:tr w:rsidR="00375A02" w:rsidRPr="00375A02" w14:paraId="0FA1126A" w14:textId="77777777" w:rsidTr="0042382E">
        <w:tc>
          <w:tcPr>
            <w:tcW w:w="993" w:type="dxa"/>
          </w:tcPr>
          <w:p w14:paraId="4AED032B"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Rúbrica y cargo del servidor público</w:t>
            </w:r>
          </w:p>
        </w:tc>
        <w:tc>
          <w:tcPr>
            <w:tcW w:w="3421" w:type="dxa"/>
          </w:tcPr>
          <w:p w14:paraId="019F73D9"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Rúbrica autógrafa de quien desclasifica.</w:t>
            </w:r>
          </w:p>
        </w:tc>
        <w:tc>
          <w:tcPr>
            <w:tcW w:w="968" w:type="dxa"/>
          </w:tcPr>
          <w:p w14:paraId="5D2BFC89"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Fecha de desclasificación</w:t>
            </w:r>
          </w:p>
        </w:tc>
        <w:tc>
          <w:tcPr>
            <w:tcW w:w="3446" w:type="dxa"/>
          </w:tcPr>
          <w:p w14:paraId="7B83F027"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Se anotará la fecha en que se desclasifica.</w:t>
            </w:r>
          </w:p>
        </w:tc>
      </w:tr>
      <w:tr w:rsidR="00375A02" w:rsidRPr="00375A02" w14:paraId="535055EF" w14:textId="77777777" w:rsidTr="0042382E">
        <w:tc>
          <w:tcPr>
            <w:tcW w:w="993" w:type="dxa"/>
          </w:tcPr>
          <w:p w14:paraId="314C24EE" w14:textId="77777777" w:rsidR="00255BCE" w:rsidRPr="00375A02" w:rsidRDefault="00255BCE" w:rsidP="0042382E">
            <w:pPr>
              <w:jc w:val="both"/>
              <w:rPr>
                <w:rFonts w:ascii="Palatino Linotype" w:eastAsia="Palatino Linotype" w:hAnsi="Palatino Linotype" w:cs="Palatino Linotype"/>
                <w:sz w:val="12"/>
                <w:szCs w:val="12"/>
              </w:rPr>
            </w:pPr>
          </w:p>
        </w:tc>
        <w:tc>
          <w:tcPr>
            <w:tcW w:w="3421" w:type="dxa"/>
          </w:tcPr>
          <w:p w14:paraId="51318FAF" w14:textId="77777777" w:rsidR="00255BCE" w:rsidRPr="00375A02" w:rsidRDefault="00255BCE" w:rsidP="0042382E">
            <w:pPr>
              <w:jc w:val="both"/>
              <w:rPr>
                <w:rFonts w:ascii="Palatino Linotype" w:eastAsia="Palatino Linotype" w:hAnsi="Palatino Linotype" w:cs="Palatino Linotype"/>
                <w:sz w:val="12"/>
                <w:szCs w:val="12"/>
              </w:rPr>
            </w:pPr>
          </w:p>
        </w:tc>
        <w:tc>
          <w:tcPr>
            <w:tcW w:w="968" w:type="dxa"/>
          </w:tcPr>
          <w:p w14:paraId="75620284"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Partes o secciones reservadas o confidenciales</w:t>
            </w:r>
          </w:p>
        </w:tc>
        <w:tc>
          <w:tcPr>
            <w:tcW w:w="3446" w:type="dxa"/>
          </w:tcPr>
          <w:p w14:paraId="4C0768E7"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375A02" w:rsidRPr="00375A02" w14:paraId="3B92CFEA" w14:textId="77777777" w:rsidTr="0042382E">
        <w:tc>
          <w:tcPr>
            <w:tcW w:w="993" w:type="dxa"/>
          </w:tcPr>
          <w:p w14:paraId="4BFDA0DE" w14:textId="77777777" w:rsidR="00255BCE" w:rsidRPr="00375A02" w:rsidRDefault="00255BCE" w:rsidP="0042382E">
            <w:pPr>
              <w:jc w:val="both"/>
              <w:rPr>
                <w:rFonts w:ascii="Palatino Linotype" w:eastAsia="Palatino Linotype" w:hAnsi="Palatino Linotype" w:cs="Palatino Linotype"/>
                <w:sz w:val="12"/>
                <w:szCs w:val="12"/>
              </w:rPr>
            </w:pPr>
          </w:p>
        </w:tc>
        <w:tc>
          <w:tcPr>
            <w:tcW w:w="3421" w:type="dxa"/>
          </w:tcPr>
          <w:p w14:paraId="5C1145D4" w14:textId="77777777" w:rsidR="00255BCE" w:rsidRPr="00375A02" w:rsidRDefault="00255BCE" w:rsidP="0042382E">
            <w:pPr>
              <w:jc w:val="both"/>
              <w:rPr>
                <w:rFonts w:ascii="Palatino Linotype" w:eastAsia="Palatino Linotype" w:hAnsi="Palatino Linotype" w:cs="Palatino Linotype"/>
                <w:sz w:val="12"/>
                <w:szCs w:val="12"/>
              </w:rPr>
            </w:pPr>
          </w:p>
        </w:tc>
        <w:tc>
          <w:tcPr>
            <w:tcW w:w="968" w:type="dxa"/>
          </w:tcPr>
          <w:p w14:paraId="1DB0C669" w14:textId="77777777" w:rsidR="00255BCE" w:rsidRPr="00375A02" w:rsidRDefault="00255BCE" w:rsidP="0042382E">
            <w:pPr>
              <w:jc w:val="both"/>
              <w:rPr>
                <w:rFonts w:ascii="Palatino Linotype" w:eastAsia="Palatino Linotype" w:hAnsi="Palatino Linotype" w:cs="Palatino Linotype"/>
                <w:b/>
                <w:sz w:val="12"/>
                <w:szCs w:val="12"/>
              </w:rPr>
            </w:pPr>
            <w:r w:rsidRPr="00375A02">
              <w:rPr>
                <w:rFonts w:ascii="Palatino Linotype" w:eastAsia="Palatino Linotype" w:hAnsi="Palatino Linotype" w:cs="Palatino Linotype"/>
                <w:b/>
                <w:sz w:val="12"/>
                <w:szCs w:val="12"/>
              </w:rPr>
              <w:t xml:space="preserve">Rúbrica y cargo del </w:t>
            </w:r>
            <w:r w:rsidRPr="00375A02">
              <w:rPr>
                <w:rFonts w:ascii="Palatino Linotype" w:eastAsia="Palatino Linotype" w:hAnsi="Palatino Linotype" w:cs="Palatino Linotype"/>
                <w:b/>
                <w:sz w:val="12"/>
                <w:szCs w:val="12"/>
              </w:rPr>
              <w:lastRenderedPageBreak/>
              <w:t>servidor público</w:t>
            </w:r>
          </w:p>
        </w:tc>
        <w:tc>
          <w:tcPr>
            <w:tcW w:w="3446" w:type="dxa"/>
          </w:tcPr>
          <w:p w14:paraId="21B86F4E" w14:textId="77777777" w:rsidR="00255BCE" w:rsidRPr="00375A02" w:rsidRDefault="00255BCE" w:rsidP="0042382E">
            <w:pPr>
              <w:jc w:val="both"/>
              <w:rPr>
                <w:rFonts w:ascii="Palatino Linotype" w:eastAsia="Palatino Linotype" w:hAnsi="Palatino Linotype" w:cs="Palatino Linotype"/>
                <w:sz w:val="12"/>
                <w:szCs w:val="12"/>
              </w:rPr>
            </w:pPr>
            <w:r w:rsidRPr="00375A02">
              <w:rPr>
                <w:rFonts w:ascii="Palatino Linotype" w:eastAsia="Palatino Linotype" w:hAnsi="Palatino Linotype" w:cs="Palatino Linotype"/>
                <w:sz w:val="12"/>
                <w:szCs w:val="12"/>
              </w:rPr>
              <w:lastRenderedPageBreak/>
              <w:t>Rúbrica autógrafa de quien desclasifica.</w:t>
            </w:r>
          </w:p>
        </w:tc>
      </w:tr>
    </w:tbl>
    <w:p w14:paraId="5EC254B0" w14:textId="77777777" w:rsidR="00B47465" w:rsidRPr="00375A02" w:rsidRDefault="00B47465" w:rsidP="00B47465">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rPr>
      </w:pPr>
      <w:r w:rsidRPr="00375A02">
        <w:rPr>
          <w:rFonts w:ascii="Palatino Linotype" w:eastAsia="Palatino Linotype" w:hAnsi="Palatino Linotype" w:cs="Palatino Linotype"/>
          <w:sz w:val="24"/>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7D50CE3" w14:textId="77777777" w:rsidR="00333601" w:rsidRPr="00375A02" w:rsidRDefault="00333601" w:rsidP="00333601">
      <w:pPr>
        <w:spacing w:after="0" w:line="360" w:lineRule="auto"/>
        <w:jc w:val="center"/>
        <w:rPr>
          <w:rFonts w:ascii="Palatino Linotype" w:eastAsia="Palatino Linotype" w:hAnsi="Palatino Linotype" w:cs="Palatino Linotype"/>
          <w:b/>
          <w:sz w:val="24"/>
          <w:szCs w:val="24"/>
        </w:rPr>
      </w:pPr>
      <w:r w:rsidRPr="00375A02">
        <w:rPr>
          <w:rFonts w:ascii="Palatino Linotype" w:eastAsia="Palatino Linotype" w:hAnsi="Palatino Linotype" w:cs="Palatino Linotype"/>
          <w:b/>
          <w:sz w:val="24"/>
          <w:szCs w:val="24"/>
        </w:rPr>
        <w:t>RESUELVE:</w:t>
      </w:r>
    </w:p>
    <w:p w14:paraId="335C1F7B" w14:textId="77777777" w:rsidR="00333601" w:rsidRPr="00375A02" w:rsidRDefault="00333601" w:rsidP="00333601">
      <w:pPr>
        <w:spacing w:after="0" w:line="360" w:lineRule="auto"/>
        <w:jc w:val="center"/>
        <w:rPr>
          <w:rFonts w:ascii="Palatino Linotype" w:eastAsia="Palatino Linotype" w:hAnsi="Palatino Linotype" w:cs="Palatino Linotype"/>
          <w:b/>
          <w:sz w:val="24"/>
          <w:szCs w:val="24"/>
        </w:rPr>
      </w:pPr>
    </w:p>
    <w:p w14:paraId="7030824E" w14:textId="5070BE53" w:rsidR="00333601" w:rsidRPr="00375A02" w:rsidRDefault="00333601" w:rsidP="00333601">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t>PRIMERO.</w:t>
      </w:r>
      <w:r w:rsidRPr="00375A02">
        <w:rPr>
          <w:rFonts w:ascii="Palatino Linotype" w:eastAsia="Palatino Linotype" w:hAnsi="Palatino Linotype" w:cs="Palatino Linotype"/>
          <w:sz w:val="24"/>
          <w:szCs w:val="24"/>
        </w:rPr>
        <w:t xml:space="preserve"> Resultan fundados los motivos de inconformidad hechos valer por la parte Recurrente en el Recurso de Revisión </w:t>
      </w:r>
      <w:r w:rsidRPr="00375A02">
        <w:rPr>
          <w:rFonts w:ascii="Palatino Linotype" w:eastAsia="Palatino Linotype" w:hAnsi="Palatino Linotype" w:cs="Palatino Linotype"/>
          <w:b/>
          <w:sz w:val="24"/>
          <w:szCs w:val="24"/>
        </w:rPr>
        <w:t>00169/INFOEM/IP/RR/202</w:t>
      </w:r>
      <w:r w:rsidR="00E87856" w:rsidRPr="00375A02">
        <w:rPr>
          <w:rFonts w:ascii="Palatino Linotype" w:eastAsia="Palatino Linotype" w:hAnsi="Palatino Linotype" w:cs="Palatino Linotype"/>
          <w:b/>
          <w:sz w:val="24"/>
          <w:szCs w:val="24"/>
        </w:rPr>
        <w:t>3</w:t>
      </w:r>
      <w:r w:rsidRPr="00375A02">
        <w:rPr>
          <w:rFonts w:ascii="Palatino Linotype" w:eastAsia="Palatino Linotype" w:hAnsi="Palatino Linotype" w:cs="Palatino Linotype"/>
          <w:sz w:val="24"/>
          <w:szCs w:val="24"/>
        </w:rPr>
        <w:t xml:space="preserve">, en términos del Considerando Cuarto de la presente resolución. </w:t>
      </w:r>
    </w:p>
    <w:p w14:paraId="1003D543" w14:textId="77777777" w:rsidR="00333601" w:rsidRPr="00375A02" w:rsidRDefault="00333601" w:rsidP="00333601">
      <w:pPr>
        <w:spacing w:after="0" w:line="360" w:lineRule="auto"/>
        <w:jc w:val="both"/>
        <w:rPr>
          <w:rFonts w:ascii="Palatino Linotype" w:eastAsia="Palatino Linotype" w:hAnsi="Palatino Linotype" w:cs="Palatino Linotype"/>
          <w:b/>
          <w:sz w:val="24"/>
          <w:szCs w:val="24"/>
        </w:rPr>
      </w:pPr>
    </w:p>
    <w:p w14:paraId="7E19269B" w14:textId="7FC74145" w:rsidR="00333601" w:rsidRPr="00375A02" w:rsidRDefault="00333601" w:rsidP="00333601">
      <w:pPr>
        <w:spacing w:after="0" w:line="360" w:lineRule="auto"/>
        <w:ind w:right="51"/>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t xml:space="preserve">SEGUNDO. </w:t>
      </w:r>
      <w:r w:rsidRPr="00375A02">
        <w:rPr>
          <w:rFonts w:ascii="Palatino Linotype" w:eastAsia="Palatino Linotype" w:hAnsi="Palatino Linotype" w:cs="Palatino Linotype"/>
          <w:sz w:val="24"/>
          <w:szCs w:val="24"/>
        </w:rPr>
        <w:t xml:space="preserve">Se Ordena al </w:t>
      </w:r>
      <w:r w:rsidRPr="00375A02">
        <w:rPr>
          <w:rFonts w:ascii="Palatino Linotype" w:eastAsia="Palatino Linotype" w:hAnsi="Palatino Linotype" w:cs="Palatino Linotype"/>
          <w:b/>
          <w:sz w:val="24"/>
          <w:szCs w:val="24"/>
        </w:rPr>
        <w:t>SUJETO OBLIGADO</w:t>
      </w:r>
      <w:r w:rsidRPr="00375A02">
        <w:rPr>
          <w:rFonts w:ascii="Palatino Linotype" w:eastAsia="Palatino Linotype" w:hAnsi="Palatino Linotype" w:cs="Palatino Linotype"/>
          <w:sz w:val="24"/>
          <w:szCs w:val="24"/>
        </w:rPr>
        <w:t xml:space="preserve"> que en términos de los Considerandos Cuarto y Quinto de esta resolución haga entrega, </w:t>
      </w:r>
      <w:r w:rsidR="00255BCE" w:rsidRPr="00375A02">
        <w:rPr>
          <w:rFonts w:ascii="Palatino Linotype" w:eastAsia="Palatino Linotype" w:hAnsi="Palatino Linotype" w:cs="Palatino Linotype"/>
          <w:sz w:val="24"/>
          <w:szCs w:val="24"/>
        </w:rPr>
        <w:t xml:space="preserve">previa búsqueda exhaustiva y razonable, </w:t>
      </w:r>
      <w:r w:rsidRPr="00375A02">
        <w:rPr>
          <w:rFonts w:ascii="Palatino Linotype" w:eastAsia="Palatino Linotype" w:hAnsi="Palatino Linotype" w:cs="Palatino Linotype"/>
          <w:sz w:val="24"/>
          <w:szCs w:val="24"/>
        </w:rPr>
        <w:t xml:space="preserve">de ser el caso en versión pública, a través del SAIMEX, de lo siguiente: </w:t>
      </w:r>
    </w:p>
    <w:p w14:paraId="25EAFC26" w14:textId="5121BD63" w:rsidR="00333601" w:rsidRPr="00375A02" w:rsidRDefault="00333601" w:rsidP="00333601">
      <w:pPr>
        <w:numPr>
          <w:ilvl w:val="0"/>
          <w:numId w:val="4"/>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 xml:space="preserve">Facturas de pago por cualquier concepto </w:t>
      </w:r>
      <w:r w:rsidR="00AB4172" w:rsidRPr="00375A02">
        <w:rPr>
          <w:rFonts w:ascii="Palatino Linotype" w:eastAsia="Palatino Linotype" w:hAnsi="Palatino Linotype" w:cs="Palatino Linotype"/>
          <w:sz w:val="24"/>
          <w:szCs w:val="24"/>
        </w:rPr>
        <w:t>del</w:t>
      </w:r>
      <w:r w:rsidRPr="00375A02">
        <w:rPr>
          <w:rFonts w:ascii="Palatino Linotype" w:eastAsia="Palatino Linotype" w:hAnsi="Palatino Linotype" w:cs="Palatino Linotype"/>
          <w:sz w:val="24"/>
          <w:szCs w:val="24"/>
        </w:rPr>
        <w:t xml:space="preserve"> mes de noviembre de 2022. </w:t>
      </w:r>
    </w:p>
    <w:p w14:paraId="42D810C0" w14:textId="77777777" w:rsidR="00333601" w:rsidRPr="00375A02" w:rsidRDefault="00333601" w:rsidP="00333601">
      <w:pPr>
        <w:spacing w:before="240" w:after="240" w:line="360" w:lineRule="auto"/>
        <w:ind w:right="49"/>
        <w:jc w:val="both"/>
        <w:rPr>
          <w:rFonts w:ascii="Palatino Linotype" w:eastAsia="Palatino Linotype" w:hAnsi="Palatino Linotype" w:cs="Palatino Linotype"/>
          <w:i/>
          <w:sz w:val="20"/>
          <w:szCs w:val="20"/>
        </w:rPr>
      </w:pPr>
      <w:r w:rsidRPr="00375A02">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76077282" w14:textId="77777777" w:rsidR="00333601" w:rsidRPr="00375A02" w:rsidRDefault="00333601" w:rsidP="00333601">
      <w:pPr>
        <w:spacing w:after="0" w:line="360" w:lineRule="auto"/>
        <w:ind w:right="51"/>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lastRenderedPageBreak/>
        <w:t>TERCERO.</w:t>
      </w:r>
      <w:r w:rsidRPr="00375A02">
        <w:rPr>
          <w:rFonts w:ascii="Palatino Linotype" w:eastAsia="Palatino Linotype" w:hAnsi="Palatino Linotype" w:cs="Palatino Linotype"/>
          <w:sz w:val="24"/>
          <w:szCs w:val="24"/>
        </w:rPr>
        <w:t> </w:t>
      </w:r>
      <w:r w:rsidRPr="00375A02">
        <w:rPr>
          <w:rFonts w:ascii="Palatino Linotype" w:eastAsia="Palatino Linotype" w:hAnsi="Palatino Linotype" w:cs="Palatino Linotype"/>
          <w:b/>
          <w:sz w:val="24"/>
          <w:szCs w:val="24"/>
        </w:rPr>
        <w:t xml:space="preserve">NOTIFÍQUESE vía SAIMEX </w:t>
      </w:r>
      <w:r w:rsidRPr="00375A02">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C0E07D" w14:textId="77777777" w:rsidR="00333601" w:rsidRPr="00375A02" w:rsidRDefault="00333601" w:rsidP="00333601">
      <w:pPr>
        <w:spacing w:after="0" w:line="360" w:lineRule="auto"/>
        <w:ind w:right="51"/>
        <w:jc w:val="both"/>
        <w:rPr>
          <w:rFonts w:ascii="Palatino Linotype" w:eastAsia="Palatino Linotype" w:hAnsi="Palatino Linotype" w:cs="Palatino Linotype"/>
          <w:sz w:val="24"/>
          <w:szCs w:val="24"/>
        </w:rPr>
      </w:pPr>
    </w:p>
    <w:p w14:paraId="0070C73F" w14:textId="77777777" w:rsidR="00333601" w:rsidRPr="00375A02" w:rsidRDefault="00333601" w:rsidP="00333601">
      <w:pPr>
        <w:spacing w:after="0" w:line="360" w:lineRule="auto"/>
        <w:ind w:right="49"/>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sz w:val="24"/>
          <w:szCs w:val="24"/>
        </w:rPr>
        <w:t>CUARTO.</w:t>
      </w:r>
      <w:r w:rsidRPr="00375A02">
        <w:rPr>
          <w:rFonts w:ascii="Palatino Linotype" w:eastAsia="Palatino Linotype" w:hAnsi="Palatino Linotype" w:cs="Palatino Linotype"/>
          <w:sz w:val="24"/>
          <w:szCs w:val="24"/>
        </w:rPr>
        <w:t xml:space="preserve"> </w:t>
      </w:r>
      <w:r w:rsidRPr="00375A02">
        <w:rPr>
          <w:rFonts w:ascii="Palatino Linotype" w:eastAsia="Palatino Linotype" w:hAnsi="Palatino Linotype" w:cs="Palatino Linotype"/>
          <w:b/>
          <w:sz w:val="24"/>
          <w:szCs w:val="24"/>
        </w:rPr>
        <w:t xml:space="preserve"> NOTIFÍQUESE vía SAIMEX</w:t>
      </w:r>
      <w:r w:rsidRPr="00375A02">
        <w:rPr>
          <w:rFonts w:ascii="Palatino Linotype" w:eastAsia="Palatino Linotype" w:hAnsi="Palatino Linotype" w:cs="Palatino Linotype"/>
          <w:sz w:val="24"/>
          <w:szCs w:val="24"/>
        </w:rPr>
        <w:t xml:space="preserve"> al </w:t>
      </w:r>
      <w:r w:rsidRPr="00375A02">
        <w:rPr>
          <w:rFonts w:ascii="Palatino Linotype" w:eastAsia="Palatino Linotype" w:hAnsi="Palatino Linotype" w:cs="Palatino Linotype"/>
          <w:b/>
          <w:sz w:val="24"/>
          <w:szCs w:val="24"/>
        </w:rPr>
        <w:t>RECURRENTE</w:t>
      </w:r>
      <w:r w:rsidRPr="00375A02">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01987955" w14:textId="77777777" w:rsidR="00333601" w:rsidRPr="00375A02" w:rsidRDefault="00333601" w:rsidP="00333601">
      <w:pPr>
        <w:spacing w:after="0" w:line="360" w:lineRule="auto"/>
        <w:ind w:right="49"/>
        <w:jc w:val="both"/>
        <w:rPr>
          <w:rFonts w:ascii="Palatino Linotype" w:eastAsia="Palatino Linotype" w:hAnsi="Palatino Linotype" w:cs="Palatino Linotype"/>
          <w:sz w:val="24"/>
          <w:szCs w:val="24"/>
        </w:rPr>
      </w:pPr>
    </w:p>
    <w:p w14:paraId="51736342" w14:textId="54A38E24" w:rsidR="00333601" w:rsidRPr="00375A02" w:rsidRDefault="00333601" w:rsidP="00333601">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b/>
        </w:rPr>
        <w:t xml:space="preserve">QUINTO. NOTIFÍQUESE, </w:t>
      </w:r>
      <w:r w:rsidRPr="00375A02">
        <w:rPr>
          <w:rFonts w:ascii="Palatino Linotype" w:eastAsia="Palatino Linotype" w:hAnsi="Palatino Linotype" w:cs="Palatino Linotype"/>
          <w:sz w:val="24"/>
          <w:szCs w:val="24"/>
        </w:rPr>
        <w:t xml:space="preserve">a la parte </w:t>
      </w:r>
      <w:r w:rsidRPr="00375A02">
        <w:rPr>
          <w:rFonts w:ascii="Palatino Linotype" w:eastAsia="Palatino Linotype" w:hAnsi="Palatino Linotype" w:cs="Palatino Linotype"/>
          <w:b/>
          <w:sz w:val="24"/>
          <w:szCs w:val="24"/>
        </w:rPr>
        <w:t xml:space="preserve">Recurrente </w:t>
      </w:r>
      <w:r w:rsidRPr="00375A02">
        <w:rPr>
          <w:rFonts w:ascii="Palatino Linotype" w:eastAsia="Palatino Linotype" w:hAnsi="Palatino Linotype" w:cs="Palatino Linotype"/>
          <w:sz w:val="24"/>
          <w:szCs w:val="24"/>
        </w:rPr>
        <w:t xml:space="preserve">que la respuesta que dé el </w:t>
      </w:r>
      <w:r w:rsidRPr="00375A02">
        <w:rPr>
          <w:rFonts w:ascii="Palatino Linotype" w:eastAsia="Palatino Linotype" w:hAnsi="Palatino Linotype" w:cs="Palatino Linotype"/>
          <w:b/>
          <w:sz w:val="24"/>
          <w:szCs w:val="24"/>
        </w:rPr>
        <w:t>Sujeto Obligado</w:t>
      </w:r>
      <w:r w:rsidRPr="00375A02">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190D0A6" w14:textId="77777777" w:rsidR="00333601" w:rsidRPr="00375A02" w:rsidRDefault="00333601" w:rsidP="00333601">
      <w:pPr>
        <w:spacing w:after="0" w:line="360" w:lineRule="auto"/>
        <w:jc w:val="both"/>
        <w:rPr>
          <w:rFonts w:ascii="Palatino Linotype" w:eastAsia="Palatino Linotype" w:hAnsi="Palatino Linotype" w:cs="Palatino Linotype"/>
          <w:sz w:val="24"/>
          <w:szCs w:val="24"/>
        </w:rPr>
      </w:pPr>
    </w:p>
    <w:p w14:paraId="52B3B4DA" w14:textId="77777777" w:rsidR="00333601" w:rsidRPr="00375A02" w:rsidRDefault="00333601" w:rsidP="00333601">
      <w:pPr>
        <w:spacing w:after="0" w:line="360" w:lineRule="auto"/>
        <w:jc w:val="both"/>
        <w:rPr>
          <w:rFonts w:ascii="Palatino Linotype" w:eastAsia="Palatino Linotype" w:hAnsi="Palatino Linotype" w:cs="Palatino Linotype"/>
          <w:b/>
        </w:rPr>
      </w:pPr>
      <w:bookmarkStart w:id="1" w:name="_heading=h.17dp8vu" w:colFirst="0" w:colLast="0"/>
      <w:bookmarkEnd w:id="1"/>
      <w:r w:rsidRPr="00375A02">
        <w:rPr>
          <w:rFonts w:ascii="Palatino Linotype" w:eastAsia="Palatino Linotype" w:hAnsi="Palatino Linotype" w:cs="Palatino Linotype"/>
          <w:b/>
          <w:sz w:val="24"/>
          <w:szCs w:val="24"/>
        </w:rPr>
        <w:t xml:space="preserve">SEXTO. </w:t>
      </w:r>
      <w:r w:rsidRPr="00375A02">
        <w:rPr>
          <w:rFonts w:ascii="Palatino Linotype" w:eastAsia="Palatino Linotype" w:hAnsi="Palatino Linotype" w:cs="Palatino Linotype"/>
          <w:sz w:val="24"/>
          <w:szCs w:val="24"/>
        </w:rPr>
        <w:t xml:space="preserve">Con fundamento en el artículo 198 de la Ley de la Ley de Transparencia y Acceso a la Información Pública del Estado de México y Municipios, se apercibe al Sujeto Obligado que, en caso de negarse a cumplir la presente resolución o hacerlo </w:t>
      </w:r>
      <w:r w:rsidRPr="00375A02">
        <w:rPr>
          <w:rFonts w:ascii="Palatino Linotype" w:eastAsia="Palatino Linotype" w:hAnsi="Palatino Linotype" w:cs="Palatino Linotype"/>
          <w:sz w:val="24"/>
          <w:szCs w:val="24"/>
        </w:rPr>
        <w:lastRenderedPageBreak/>
        <w:t>de manera parcial se actuará de conformidad con lo previsto en los artículos 213, 214, 216 y 217 de dicha Ley.</w:t>
      </w:r>
      <w:r w:rsidRPr="00375A02">
        <w:rPr>
          <w:rFonts w:ascii="Palatino Linotype" w:eastAsia="Palatino Linotype" w:hAnsi="Palatino Linotype" w:cs="Palatino Linotype"/>
          <w:b/>
        </w:rPr>
        <w:t xml:space="preserve">  </w:t>
      </w:r>
    </w:p>
    <w:p w14:paraId="65C5FCCB" w14:textId="77777777" w:rsidR="00E87856" w:rsidRPr="00375A02" w:rsidRDefault="00E87856" w:rsidP="00333601">
      <w:pPr>
        <w:spacing w:after="0" w:line="360" w:lineRule="auto"/>
        <w:jc w:val="both"/>
        <w:rPr>
          <w:rFonts w:ascii="Palatino Linotype" w:eastAsia="Palatino Linotype" w:hAnsi="Palatino Linotype" w:cs="Palatino Linotype"/>
          <w:b/>
        </w:rPr>
      </w:pPr>
    </w:p>
    <w:p w14:paraId="7F3127C8" w14:textId="429E1646" w:rsidR="00EB5980" w:rsidRPr="00375A02" w:rsidRDefault="00E87856" w:rsidP="00E87856">
      <w:pPr>
        <w:spacing w:before="240" w:after="240" w:line="360" w:lineRule="auto"/>
        <w:contextualSpacing/>
        <w:jc w:val="both"/>
        <w:rPr>
          <w:rFonts w:ascii="Palatino Linotype" w:eastAsia="Palatino Linotype" w:hAnsi="Palatino Linotype" w:cs="Palatino Linotype"/>
          <w:b/>
          <w:sz w:val="24"/>
        </w:rPr>
      </w:pPr>
      <w:r w:rsidRPr="00375A02">
        <w:rPr>
          <w:rFonts w:ascii="Palatino Linotype" w:eastAsia="Palatino Linotype" w:hAnsi="Palatino Linotype" w:cs="Palatino Linotype"/>
          <w:b/>
          <w:sz w:val="24"/>
        </w:rPr>
        <w:t>SÉPTIMO</w:t>
      </w:r>
      <w:r w:rsidR="00EB5980" w:rsidRPr="00375A02">
        <w:rPr>
          <w:rFonts w:ascii="Palatino Linotype" w:eastAsia="Palatino Linotype" w:hAnsi="Palatino Linotype" w:cs="Palatino Linotype"/>
          <w:b/>
          <w:sz w:val="24"/>
        </w:rPr>
        <w:t xml:space="preserve">. Gírese </w:t>
      </w:r>
      <w:r w:rsidR="00EB5980" w:rsidRPr="00375A02">
        <w:rPr>
          <w:rFonts w:ascii="Palatino Linotype" w:eastAsia="Palatino Linotype" w:hAnsi="Palatino Linotype" w:cs="Palatino Linotype"/>
          <w:sz w:val="24"/>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00EB5980" w:rsidRPr="00375A02">
        <w:rPr>
          <w:rFonts w:ascii="Palatino Linotype" w:eastAsia="Palatino Linotype" w:hAnsi="Palatino Linotype" w:cs="Palatino Linotype"/>
          <w:b/>
          <w:sz w:val="24"/>
        </w:rPr>
        <w:t xml:space="preserve"> Cuarto </w:t>
      </w:r>
      <w:r w:rsidR="00EB5980" w:rsidRPr="00375A02">
        <w:rPr>
          <w:rFonts w:ascii="Palatino Linotype" w:eastAsia="Palatino Linotype" w:hAnsi="Palatino Linotype" w:cs="Palatino Linotype"/>
          <w:sz w:val="24"/>
        </w:rPr>
        <w:t>de la presente resolución.</w:t>
      </w:r>
      <w:r w:rsidR="00EB5980" w:rsidRPr="00375A02">
        <w:rPr>
          <w:rFonts w:ascii="Palatino Linotype" w:eastAsia="Palatino Linotype" w:hAnsi="Palatino Linotype" w:cs="Palatino Linotype"/>
          <w:b/>
          <w:sz w:val="24"/>
        </w:rPr>
        <w:t xml:space="preserve"> </w:t>
      </w:r>
    </w:p>
    <w:p w14:paraId="0CCB13DF" w14:textId="77777777" w:rsidR="00E87856" w:rsidRPr="00375A02" w:rsidRDefault="00E87856" w:rsidP="00E87856">
      <w:pPr>
        <w:spacing w:before="240" w:after="240" w:line="360" w:lineRule="auto"/>
        <w:contextualSpacing/>
        <w:jc w:val="both"/>
        <w:rPr>
          <w:rFonts w:ascii="Palatino Linotype" w:eastAsia="Palatino Linotype" w:hAnsi="Palatino Linotype" w:cs="Palatino Linotype"/>
          <w:b/>
          <w:sz w:val="24"/>
        </w:rPr>
      </w:pPr>
    </w:p>
    <w:p w14:paraId="5F90CA3E" w14:textId="142FA6D3" w:rsidR="00333601" w:rsidRPr="00375A02" w:rsidRDefault="00333601" w:rsidP="00333601">
      <w:pPr>
        <w:spacing w:after="0" w:line="360" w:lineRule="auto"/>
        <w:jc w:val="both"/>
        <w:rPr>
          <w:rFonts w:ascii="Palatino Linotype" w:eastAsia="Palatino Linotype" w:hAnsi="Palatino Linotype" w:cs="Palatino Linotype"/>
          <w:sz w:val="24"/>
          <w:szCs w:val="24"/>
        </w:rPr>
      </w:pPr>
      <w:r w:rsidRPr="00375A0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87856" w:rsidRPr="00375A02">
        <w:rPr>
          <w:rFonts w:ascii="Palatino Linotype" w:eastAsia="Palatino Linotype" w:hAnsi="Palatino Linotype" w:cs="Palatino Linotype"/>
          <w:sz w:val="24"/>
          <w:szCs w:val="24"/>
        </w:rPr>
        <w:t xml:space="preserve"> Y GUADALUPE RAMÍREZ PEÑA; EN LA OCTAVA SESIÓN ORDINARIA CELEBRADA EL PRIMERO </w:t>
      </w:r>
      <w:r w:rsidRPr="00375A02">
        <w:rPr>
          <w:rFonts w:ascii="Palatino Linotype" w:eastAsia="Palatino Linotype" w:hAnsi="Palatino Linotype" w:cs="Palatino Linotype"/>
          <w:sz w:val="24"/>
          <w:szCs w:val="24"/>
        </w:rPr>
        <w:t xml:space="preserve">DE </w:t>
      </w:r>
      <w:r w:rsidR="00E87856" w:rsidRPr="00375A02">
        <w:rPr>
          <w:rFonts w:ascii="Palatino Linotype" w:eastAsia="Palatino Linotype" w:hAnsi="Palatino Linotype" w:cs="Palatino Linotype"/>
          <w:sz w:val="24"/>
          <w:szCs w:val="24"/>
        </w:rPr>
        <w:t>MARZ</w:t>
      </w:r>
      <w:r w:rsidRPr="00375A02">
        <w:rPr>
          <w:rFonts w:ascii="Palatino Linotype" w:eastAsia="Palatino Linotype" w:hAnsi="Palatino Linotype" w:cs="Palatino Linotype"/>
          <w:sz w:val="24"/>
          <w:szCs w:val="24"/>
        </w:rPr>
        <w:t xml:space="preserve">O DE DOS MIL VEINTITRÉS, ANTE EL SECRETARIO TÉCNICO DEL PLENO ALEXIS TAPIA RAMÍREZ. </w:t>
      </w:r>
    </w:p>
    <w:p w14:paraId="5D63FA93" w14:textId="77777777" w:rsidR="00333601" w:rsidRPr="00375A02" w:rsidRDefault="00333601" w:rsidP="00EF47A9">
      <w:pPr>
        <w:spacing w:after="0" w:line="360" w:lineRule="auto"/>
        <w:jc w:val="both"/>
        <w:rPr>
          <w:rFonts w:ascii="Palatino Linotype" w:eastAsia="Palatino Linotype" w:hAnsi="Palatino Linotype" w:cs="Palatino Linotype"/>
          <w:sz w:val="24"/>
          <w:szCs w:val="24"/>
        </w:rPr>
      </w:pPr>
    </w:p>
    <w:sectPr w:rsidR="00333601" w:rsidRPr="00375A0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76CE" w14:textId="77777777" w:rsidR="00923D78" w:rsidRDefault="00923D78" w:rsidP="009A00EF">
      <w:pPr>
        <w:spacing w:after="0" w:line="240" w:lineRule="auto"/>
      </w:pPr>
      <w:r>
        <w:separator/>
      </w:r>
    </w:p>
  </w:endnote>
  <w:endnote w:type="continuationSeparator" w:id="0">
    <w:p w14:paraId="2325C11F" w14:textId="77777777" w:rsidR="00923D78" w:rsidRDefault="00923D78" w:rsidP="009A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A79BC" w14:textId="08917CE0" w:rsidR="00333601" w:rsidRDefault="00333601" w:rsidP="00333601">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309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3091">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14:paraId="489AA576" w14:textId="77777777" w:rsidR="00333601" w:rsidRDefault="003336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FB3C2" w14:textId="77777777" w:rsidR="00923D78" w:rsidRDefault="00923D78" w:rsidP="009A00EF">
      <w:pPr>
        <w:spacing w:after="0" w:line="240" w:lineRule="auto"/>
      </w:pPr>
      <w:r>
        <w:separator/>
      </w:r>
    </w:p>
  </w:footnote>
  <w:footnote w:type="continuationSeparator" w:id="0">
    <w:p w14:paraId="524E3E5F" w14:textId="77777777" w:rsidR="00923D78" w:rsidRDefault="00923D78" w:rsidP="009A00EF">
      <w:pPr>
        <w:spacing w:after="0" w:line="240" w:lineRule="auto"/>
      </w:pPr>
      <w:r>
        <w:continuationSeparator/>
      </w:r>
    </w:p>
  </w:footnote>
  <w:footnote w:id="1">
    <w:p w14:paraId="5C372640" w14:textId="77777777" w:rsidR="002779A6" w:rsidRDefault="002779A6" w:rsidP="002779A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Times New Roman" w:eastAsia="Times New Roman" w:hAnsi="Times New Roman" w:cs="Times New Roman"/>
          <w:color w:val="000000"/>
          <w:sz w:val="20"/>
          <w:szCs w:val="20"/>
        </w:rPr>
        <w:t xml:space="preserve"> (…)</w:t>
      </w:r>
    </w:p>
  </w:footnote>
  <w:footnote w:id="2">
    <w:p w14:paraId="4AC33A98" w14:textId="77777777" w:rsidR="002779A6" w:rsidRDefault="002779A6" w:rsidP="002779A6">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6ABD9DB" w14:textId="77777777" w:rsidR="00F52E7D" w:rsidRDefault="00F52E7D" w:rsidP="00F52E7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9A00EF" w14:paraId="35A2B184" w14:textId="77777777" w:rsidTr="000B72C3">
      <w:trPr>
        <w:trHeight w:val="244"/>
      </w:trPr>
      <w:tc>
        <w:tcPr>
          <w:tcW w:w="5684" w:type="dxa"/>
        </w:tcPr>
        <w:p w14:paraId="61343FC7" w14:textId="3FB89406" w:rsidR="009A00EF" w:rsidRDefault="009A00EF" w:rsidP="009A00EF">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14:paraId="2C7F95CD" w14:textId="40959459" w:rsidR="009A00EF" w:rsidRDefault="009A00EF" w:rsidP="009A00EF">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00169/INFOEM/IP/RR/2023.</w:t>
          </w:r>
        </w:p>
      </w:tc>
    </w:tr>
    <w:tr w:rsidR="009A00EF" w14:paraId="3A39B74C" w14:textId="77777777" w:rsidTr="000B72C3">
      <w:trPr>
        <w:trHeight w:val="210"/>
      </w:trPr>
      <w:tc>
        <w:tcPr>
          <w:tcW w:w="5684" w:type="dxa"/>
        </w:tcPr>
        <w:p w14:paraId="3D80D8D7" w14:textId="77777777" w:rsidR="009A00EF" w:rsidRDefault="009A00EF" w:rsidP="009A00EF">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130B7950" w14:textId="77777777" w:rsidR="009A00EF" w:rsidRDefault="009A00EF" w:rsidP="009A00EF">
          <w:pPr>
            <w:spacing w:after="120"/>
            <w:ind w:left="-486" w:right="214" w:firstLine="567"/>
            <w:jc w:val="right"/>
            <w:rPr>
              <w:rFonts w:ascii="Palatino Linotype" w:eastAsia="Palatino Linotype" w:hAnsi="Palatino Linotype" w:cs="Palatino Linotype"/>
            </w:rPr>
          </w:pPr>
        </w:p>
      </w:tc>
    </w:tr>
    <w:tr w:rsidR="009A00EF" w14:paraId="79058759" w14:textId="77777777" w:rsidTr="000B72C3">
      <w:trPr>
        <w:trHeight w:val="106"/>
      </w:trPr>
      <w:tc>
        <w:tcPr>
          <w:tcW w:w="5684" w:type="dxa"/>
        </w:tcPr>
        <w:p w14:paraId="5339B227" w14:textId="77777777" w:rsidR="009A00EF" w:rsidRDefault="009A00EF" w:rsidP="009A00EF">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6774704F" w14:textId="77777777" w:rsidR="009A00EF" w:rsidRDefault="009A00EF" w:rsidP="009A00EF">
          <w:pPr>
            <w:ind w:left="-495" w:right="214" w:firstLine="567"/>
            <w:jc w:val="right"/>
            <w:rPr>
              <w:rFonts w:ascii="Palatino Linotype" w:eastAsia="Palatino Linotype" w:hAnsi="Palatino Linotype" w:cs="Palatino Linotype"/>
            </w:rPr>
          </w:pPr>
          <w:r w:rsidRPr="00510A59">
            <w:rPr>
              <w:rFonts w:ascii="Palatino Linotype" w:eastAsia="Palatino Linotype" w:hAnsi="Palatino Linotype" w:cs="Palatino Linotype"/>
            </w:rPr>
            <w:t>Ayuntamiento de Zinacantepec</w:t>
          </w:r>
          <w:r>
            <w:rPr>
              <w:rFonts w:ascii="Palatino Linotype" w:eastAsia="Palatino Linotype" w:hAnsi="Palatino Linotype" w:cs="Palatino Linotype"/>
            </w:rPr>
            <w:t>.</w:t>
          </w:r>
        </w:p>
      </w:tc>
    </w:tr>
    <w:tr w:rsidR="009A00EF" w14:paraId="1CDC3755" w14:textId="77777777" w:rsidTr="000B72C3">
      <w:trPr>
        <w:trHeight w:val="368"/>
      </w:trPr>
      <w:tc>
        <w:tcPr>
          <w:tcW w:w="5684" w:type="dxa"/>
        </w:tcPr>
        <w:p w14:paraId="64265CD0" w14:textId="77777777" w:rsidR="009A00EF" w:rsidRDefault="009A00EF" w:rsidP="009A00EF">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2EC37E97" w14:textId="77777777" w:rsidR="009A00EF" w:rsidRDefault="009A00EF" w:rsidP="009A00EF">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7436E80" w14:textId="271392EE" w:rsidR="009A00EF" w:rsidRDefault="00333601">
    <w:pPr>
      <w:pStyle w:val="Encabezado"/>
    </w:pPr>
    <w:r>
      <w:rPr>
        <w:noProof/>
        <w:lang w:eastAsia="es-MX"/>
      </w:rPr>
      <w:drawing>
        <wp:anchor distT="0" distB="0" distL="0" distR="0" simplePos="0" relativeHeight="251659264" behindDoc="1" locked="0" layoutInCell="1" hidden="0" allowOverlap="1" wp14:anchorId="6F8AC440" wp14:editId="008AB9C6">
          <wp:simplePos x="0" y="0"/>
          <wp:positionH relativeFrom="column">
            <wp:posOffset>-759677</wp:posOffset>
          </wp:positionH>
          <wp:positionV relativeFrom="paragraph">
            <wp:posOffset>-1458595</wp:posOffset>
          </wp:positionV>
          <wp:extent cx="7753350" cy="994273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D0A16"/>
    <w:multiLevelType w:val="multilevel"/>
    <w:tmpl w:val="26501D14"/>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582203"/>
    <w:multiLevelType w:val="multilevel"/>
    <w:tmpl w:val="2D488242"/>
    <w:lvl w:ilvl="0">
      <w:start w:val="1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BAD142C"/>
    <w:multiLevelType w:val="multilevel"/>
    <w:tmpl w:val="28328A8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001A29"/>
    <w:multiLevelType w:val="hybridMultilevel"/>
    <w:tmpl w:val="2B7CBA3C"/>
    <w:lvl w:ilvl="0" w:tplc="33DCCC18">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EF"/>
    <w:rsid w:val="000461DB"/>
    <w:rsid w:val="000A1CC5"/>
    <w:rsid w:val="0014160E"/>
    <w:rsid w:val="00255BCE"/>
    <w:rsid w:val="002779A6"/>
    <w:rsid w:val="00293091"/>
    <w:rsid w:val="00333601"/>
    <w:rsid w:val="0035550F"/>
    <w:rsid w:val="00375A02"/>
    <w:rsid w:val="00526292"/>
    <w:rsid w:val="005A5181"/>
    <w:rsid w:val="005F7D5F"/>
    <w:rsid w:val="00667442"/>
    <w:rsid w:val="006D0F66"/>
    <w:rsid w:val="00706166"/>
    <w:rsid w:val="008A2C54"/>
    <w:rsid w:val="008A7513"/>
    <w:rsid w:val="0091055D"/>
    <w:rsid w:val="00923D78"/>
    <w:rsid w:val="009A00EF"/>
    <w:rsid w:val="009A1121"/>
    <w:rsid w:val="009E55CF"/>
    <w:rsid w:val="00A134AC"/>
    <w:rsid w:val="00AB4172"/>
    <w:rsid w:val="00B05A2C"/>
    <w:rsid w:val="00B47465"/>
    <w:rsid w:val="00C479AC"/>
    <w:rsid w:val="00C800EF"/>
    <w:rsid w:val="00CB1C68"/>
    <w:rsid w:val="00CE2B0E"/>
    <w:rsid w:val="00D90775"/>
    <w:rsid w:val="00E04D28"/>
    <w:rsid w:val="00E87856"/>
    <w:rsid w:val="00EB5980"/>
    <w:rsid w:val="00EF47A9"/>
    <w:rsid w:val="00F52E7D"/>
    <w:rsid w:val="00FA47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6EED"/>
  <w15:chartTrackingRefBased/>
  <w15:docId w15:val="{FADE6250-784A-4E4A-9E66-D90B96D3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0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00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00EF"/>
  </w:style>
  <w:style w:type="paragraph" w:styleId="Piedepgina">
    <w:name w:val="footer"/>
    <w:basedOn w:val="Normal"/>
    <w:link w:val="PiedepginaCar"/>
    <w:uiPriority w:val="99"/>
    <w:unhideWhenUsed/>
    <w:rsid w:val="009A00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00EF"/>
  </w:style>
  <w:style w:type="paragraph" w:styleId="Prrafodelista">
    <w:name w:val="List Paragraph"/>
    <w:basedOn w:val="Normal"/>
    <w:uiPriority w:val="34"/>
    <w:qFormat/>
    <w:rsid w:val="002779A6"/>
    <w:pPr>
      <w:ind w:left="720"/>
      <w:contextualSpacing/>
    </w:pPr>
  </w:style>
  <w:style w:type="character" w:styleId="Hipervnculo">
    <w:name w:val="Hyperlink"/>
    <w:basedOn w:val="Fuentedeprrafopredeter"/>
    <w:uiPriority w:val="99"/>
    <w:unhideWhenUsed/>
    <w:rsid w:val="008A2C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9497</Words>
  <Characters>52239</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LILIANA DE JESUS SANCHEZ</dc:creator>
  <cp:keywords/>
  <dc:description/>
  <cp:lastModifiedBy>USUARIO</cp:lastModifiedBy>
  <cp:revision>2</cp:revision>
  <dcterms:created xsi:type="dcterms:W3CDTF">2023-03-07T23:45:00Z</dcterms:created>
  <dcterms:modified xsi:type="dcterms:W3CDTF">2023-03-07T23:45:00Z</dcterms:modified>
</cp:coreProperties>
</file>