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83" w:rsidRPr="00B17BE8" w:rsidRDefault="003C4B67">
      <w:pPr>
        <w:spacing w:before="240" w:after="240" w:line="360" w:lineRule="auto"/>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B17BE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B17BE8">
        <w:rPr>
          <w:rFonts w:ascii="Palatino Linotype" w:eastAsia="Palatino Linotype" w:hAnsi="Palatino Linotype" w:cs="Palatino Linotype"/>
          <w:b/>
        </w:rPr>
        <w:t>quince de febrero del dos mil veintitrés.</w:t>
      </w:r>
    </w:p>
    <w:p w:rsidR="00BA5283" w:rsidRPr="00B17BE8" w:rsidRDefault="003C4B67">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B17BE8">
        <w:rPr>
          <w:rFonts w:ascii="Palatino Linotype" w:eastAsia="Palatino Linotype" w:hAnsi="Palatino Linotype" w:cs="Palatino Linotype"/>
          <w:b/>
        </w:rPr>
        <w:t xml:space="preserve">Visto </w:t>
      </w:r>
      <w:r w:rsidRPr="00B17BE8">
        <w:rPr>
          <w:rFonts w:ascii="Palatino Linotype" w:eastAsia="Palatino Linotype" w:hAnsi="Palatino Linotype" w:cs="Palatino Linotype"/>
        </w:rPr>
        <w:t xml:space="preserve">el expediente relativo al recurso de revisión </w:t>
      </w:r>
      <w:r w:rsidRPr="00B17BE8">
        <w:rPr>
          <w:rFonts w:ascii="Palatino Linotype" w:eastAsia="Palatino Linotype" w:hAnsi="Palatino Linotype" w:cs="Palatino Linotype"/>
          <w:b/>
        </w:rPr>
        <w:t>14124/INFOEM/ICR-08/IP/RR/2022</w:t>
      </w:r>
      <w:r w:rsidRPr="00B17BE8">
        <w:rPr>
          <w:rFonts w:ascii="Palatino Linotype" w:eastAsia="Palatino Linotype" w:hAnsi="Palatino Linotype" w:cs="Palatino Linotype"/>
        </w:rPr>
        <w:t xml:space="preserve">, interpuesto por un </w:t>
      </w:r>
      <w:r w:rsidRPr="00B17BE8">
        <w:rPr>
          <w:rFonts w:ascii="Palatino Linotype" w:eastAsia="Palatino Linotype" w:hAnsi="Palatino Linotype" w:cs="Palatino Linotype"/>
          <w:b/>
        </w:rPr>
        <w:t>particular de manera anónima,</w:t>
      </w:r>
      <w:r w:rsidRPr="00B17BE8">
        <w:rPr>
          <w:rFonts w:ascii="Palatino Linotype" w:eastAsia="Palatino Linotype" w:hAnsi="Palatino Linotype" w:cs="Palatino Linotype"/>
        </w:rPr>
        <w:t xml:space="preserve"> en lo sucesivo la </w:t>
      </w:r>
      <w:r w:rsidRPr="00B17BE8">
        <w:rPr>
          <w:rFonts w:ascii="Palatino Linotype" w:eastAsia="Palatino Linotype" w:hAnsi="Palatino Linotype" w:cs="Palatino Linotype"/>
          <w:b/>
        </w:rPr>
        <w:t>parte Recurrente</w:t>
      </w:r>
      <w:r w:rsidRPr="00B17BE8">
        <w:rPr>
          <w:rFonts w:ascii="Palatino Linotype" w:eastAsia="Palatino Linotype" w:hAnsi="Palatino Linotype" w:cs="Palatino Linotype"/>
        </w:rPr>
        <w:t xml:space="preserve">, en contra de la respuesta a la solicitud de información con número de folio </w:t>
      </w:r>
      <w:r w:rsidRPr="00B17BE8">
        <w:rPr>
          <w:rFonts w:ascii="Palatino Linotype" w:eastAsia="Palatino Linotype" w:hAnsi="Palatino Linotype" w:cs="Palatino Linotype"/>
          <w:b/>
        </w:rPr>
        <w:t>04100/METEPEC/IP/2022,</w:t>
      </w:r>
      <w:r w:rsidRPr="00B17BE8">
        <w:rPr>
          <w:rFonts w:ascii="Palatino Linotype" w:eastAsia="Palatino Linotype" w:hAnsi="Palatino Linotype" w:cs="Palatino Linotype"/>
        </w:rPr>
        <w:t xml:space="preserve"> por parte de </w:t>
      </w:r>
      <w:r w:rsidRPr="00B17BE8">
        <w:rPr>
          <w:rFonts w:ascii="Palatino Linotype" w:eastAsia="Palatino Linotype" w:hAnsi="Palatino Linotype" w:cs="Palatino Linotype"/>
          <w:b/>
        </w:rPr>
        <w:t>Ayuntamiento de Metepec</w:t>
      </w:r>
      <w:r w:rsidRPr="00B17BE8">
        <w:rPr>
          <w:rFonts w:ascii="Palatino Linotype" w:eastAsia="Palatino Linotype" w:hAnsi="Palatino Linotype" w:cs="Palatino Linotype"/>
        </w:rPr>
        <w:t xml:space="preserve">, en lo sucesivo el </w:t>
      </w:r>
      <w:r w:rsidRPr="00B17BE8">
        <w:rPr>
          <w:rFonts w:ascii="Palatino Linotype" w:eastAsia="Palatino Linotype" w:hAnsi="Palatino Linotype" w:cs="Palatino Linotype"/>
          <w:b/>
        </w:rPr>
        <w:t xml:space="preserve">Sujeto Obligado; </w:t>
      </w:r>
      <w:r w:rsidRPr="00B17BE8">
        <w:rPr>
          <w:rFonts w:ascii="Palatino Linotype" w:eastAsia="Palatino Linotype" w:hAnsi="Palatino Linotype" w:cs="Palatino Linotype"/>
        </w:rPr>
        <w:t xml:space="preserve">se procede a dictar la presente resolución, con base en lo siguiente. </w:t>
      </w:r>
    </w:p>
    <w:p w:rsidR="00BA5283" w:rsidRPr="00B17BE8" w:rsidRDefault="003C4B6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17BE8">
        <w:rPr>
          <w:rFonts w:ascii="Palatino Linotype" w:eastAsia="Palatino Linotype" w:hAnsi="Palatino Linotype" w:cs="Palatino Linotype"/>
          <w:b/>
        </w:rPr>
        <w:t>I. A N T E C E D E N T E S</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1. Solicitud de acceso a la información.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primero de agosto de dos mil veintidós</w:t>
      </w:r>
      <w:r w:rsidRPr="00B17BE8">
        <w:rPr>
          <w:rFonts w:ascii="Palatino Linotype" w:eastAsia="Palatino Linotype" w:hAnsi="Palatino Linotype" w:cs="Palatino Linotype"/>
        </w:rPr>
        <w:t xml:space="preserve">, la </w:t>
      </w:r>
      <w:r w:rsidRPr="00B17BE8">
        <w:rPr>
          <w:rFonts w:ascii="Palatino Linotype" w:eastAsia="Palatino Linotype" w:hAnsi="Palatino Linotype" w:cs="Palatino Linotype"/>
          <w:b/>
        </w:rPr>
        <w:t>parte Recurrente</w:t>
      </w:r>
      <w:r w:rsidRPr="00B17BE8">
        <w:rPr>
          <w:rFonts w:ascii="Palatino Linotype" w:eastAsia="Palatino Linotype" w:hAnsi="Palatino Linotype" w:cs="Palatino Linotype"/>
        </w:rPr>
        <w:t xml:space="preserve"> formuló su solicitud de acceso a información pública al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a través del Sistema de Acceso a la Información Mexiquense, en adelante </w:t>
      </w:r>
      <w:r w:rsidRPr="00B17BE8">
        <w:rPr>
          <w:rFonts w:ascii="Palatino Linotype" w:eastAsia="Palatino Linotype" w:hAnsi="Palatino Linotype" w:cs="Palatino Linotype"/>
          <w:b/>
        </w:rPr>
        <w:t>SAIMEX,</w:t>
      </w:r>
      <w:r w:rsidRPr="00B17BE8">
        <w:rPr>
          <w:rFonts w:ascii="Palatino Linotype" w:eastAsia="Palatino Linotype" w:hAnsi="Palatino Linotype" w:cs="Palatino Linotype"/>
        </w:rPr>
        <w:t xml:space="preserve"> requiriendo lo siguiente:</w:t>
      </w:r>
    </w:p>
    <w:p w:rsidR="00BA5283" w:rsidRPr="00B17BE8" w:rsidRDefault="003C4B67">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“se solicitan las cédulas informativas de zonificación” (Sic)</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Modalidad elegida para la entrega de la información: </w:t>
      </w:r>
      <w:r w:rsidRPr="00B17BE8">
        <w:rPr>
          <w:rFonts w:ascii="Palatino Linotype" w:eastAsia="Palatino Linotype" w:hAnsi="Palatino Linotype" w:cs="Palatino Linotype"/>
        </w:rPr>
        <w:t>a través del SAIMEX.</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2. </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Prórroga.</w:t>
      </w:r>
      <w:r w:rsidRPr="00B17BE8">
        <w:rPr>
          <w:rFonts w:ascii="Palatino Linotype" w:eastAsia="Palatino Linotype" w:hAnsi="Palatino Linotype" w:cs="Palatino Linotype"/>
        </w:rPr>
        <w:t xml:space="preserve"> El </w:t>
      </w:r>
      <w:r w:rsidRPr="00B17BE8">
        <w:rPr>
          <w:rFonts w:ascii="Palatino Linotype" w:eastAsia="Palatino Linotype" w:hAnsi="Palatino Linotype" w:cs="Palatino Linotype"/>
          <w:b/>
        </w:rPr>
        <w:t xml:space="preserve">veintidós de agosto de dos mil veintidós,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 xml:space="preserve">Sujeto Obligado </w:t>
      </w:r>
      <w:r w:rsidRPr="00B17BE8">
        <w:rPr>
          <w:rFonts w:ascii="Palatino Linotype" w:eastAsia="Palatino Linotype" w:hAnsi="Palatino Linotype" w:cs="Palatino Linotype"/>
        </w:rPr>
        <w:t xml:space="preserve">notificó al particular, la prórroga para atender la solicitud de información, medularmente en los siguientes términos: </w:t>
      </w:r>
    </w:p>
    <w:p w:rsidR="00BA5283" w:rsidRPr="00B17BE8" w:rsidRDefault="003C4B67">
      <w:pPr>
        <w:spacing w:before="240" w:after="240" w:line="276" w:lineRule="auto"/>
        <w:ind w:left="567" w:right="851"/>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BA5283" w:rsidRPr="00B17BE8" w:rsidRDefault="003C4B67">
      <w:pPr>
        <w:spacing w:before="240" w:after="240" w:line="276" w:lineRule="auto"/>
        <w:ind w:left="567" w:right="851"/>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rsidR="00BA5283" w:rsidRPr="00B17BE8" w:rsidRDefault="003C4B67">
      <w:pPr>
        <w:spacing w:before="240" w:after="240" w:line="276" w:lineRule="auto"/>
        <w:ind w:left="567" w:right="851"/>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Lic. Gerardo Arturo Ozuna Martínez</w:t>
      </w:r>
    </w:p>
    <w:p w:rsidR="00BA5283" w:rsidRPr="00B17BE8" w:rsidRDefault="003C4B67">
      <w:pPr>
        <w:spacing w:before="240" w:after="240" w:line="276" w:lineRule="auto"/>
        <w:ind w:left="567" w:right="851"/>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Responsable de la Unidad de Transparencia”</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3. Respuesta. </w:t>
      </w:r>
      <w:r w:rsidRPr="00B17BE8">
        <w:rPr>
          <w:rFonts w:ascii="Palatino Linotype" w:eastAsia="Palatino Linotype" w:hAnsi="Palatino Linotype" w:cs="Palatino Linotype"/>
        </w:rPr>
        <w:t xml:space="preserve">De las constancias que obran en SAIMEX, se observa que 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no emitió respuesta a la solicitud de información formulada por la parte </w:t>
      </w:r>
      <w:r w:rsidRPr="00B17BE8">
        <w:rPr>
          <w:rFonts w:ascii="Palatino Linotype" w:eastAsia="Palatino Linotype" w:hAnsi="Palatino Linotype" w:cs="Palatino Linotype"/>
          <w:b/>
        </w:rPr>
        <w:t>Recurrente.</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4. Interposición del recurso de revisión. </w:t>
      </w:r>
      <w:r w:rsidRPr="00B17BE8">
        <w:rPr>
          <w:rFonts w:ascii="Palatino Linotype" w:eastAsia="Palatino Linotype" w:hAnsi="Palatino Linotype" w:cs="Palatino Linotype"/>
        </w:rPr>
        <w:t xml:space="preserve">Inconforme la parte solicitante con la falta de respuesta del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interpuso recurso de revisión a través de SAIMEX, el </w:t>
      </w:r>
      <w:r w:rsidRPr="00B17BE8">
        <w:rPr>
          <w:rFonts w:ascii="Palatino Linotype" w:eastAsia="Palatino Linotype" w:hAnsi="Palatino Linotype" w:cs="Palatino Linotype"/>
          <w:b/>
        </w:rPr>
        <w:t>primero de septiembre de dos mil veintidós</w:t>
      </w:r>
      <w:r w:rsidRPr="00B17BE8">
        <w:rPr>
          <w:rFonts w:ascii="Palatino Linotype" w:eastAsia="Palatino Linotype" w:hAnsi="Palatino Linotype" w:cs="Palatino Linotype"/>
        </w:rPr>
        <w:t>, expresando lo siguiente:</w:t>
      </w:r>
    </w:p>
    <w:p w:rsidR="00BA5283" w:rsidRPr="00B17BE8" w:rsidRDefault="003C4B67">
      <w:pPr>
        <w:spacing w:line="360" w:lineRule="auto"/>
        <w:rPr>
          <w:rFonts w:ascii="Palatino Linotype" w:eastAsia="Palatino Linotype" w:hAnsi="Palatino Linotype" w:cs="Palatino Linotype"/>
          <w:b/>
        </w:rPr>
      </w:pPr>
      <w:r w:rsidRPr="00B17BE8">
        <w:rPr>
          <w:rFonts w:ascii="Palatino Linotype" w:eastAsia="Palatino Linotype" w:hAnsi="Palatino Linotype" w:cs="Palatino Linotype"/>
          <w:b/>
        </w:rPr>
        <w:t>a) Acto impugnado.</w:t>
      </w:r>
    </w:p>
    <w:p w:rsidR="00BA5283" w:rsidRPr="00B17BE8" w:rsidRDefault="003C4B6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“La falta de respuesta del sujeto obligado” (Sic)</w:t>
      </w:r>
    </w:p>
    <w:p w:rsidR="00BA5283" w:rsidRPr="00B17BE8" w:rsidRDefault="00BA5283">
      <w:pPr>
        <w:spacing w:line="360" w:lineRule="auto"/>
        <w:jc w:val="both"/>
        <w:rPr>
          <w:rFonts w:ascii="Palatino Linotype" w:eastAsia="Palatino Linotype" w:hAnsi="Palatino Linotype" w:cs="Palatino Linotype"/>
          <w:b/>
        </w:rPr>
      </w:pPr>
    </w:p>
    <w:p w:rsidR="00BA5283" w:rsidRPr="00B17BE8" w:rsidRDefault="003C4B67">
      <w:pPr>
        <w:spacing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lastRenderedPageBreak/>
        <w:t>b) Motivos de inconformidad.</w:t>
      </w:r>
    </w:p>
    <w:p w:rsidR="00BA5283" w:rsidRPr="00B17BE8" w:rsidRDefault="003C4B67">
      <w:pPr>
        <w:pBdr>
          <w:top w:val="nil"/>
          <w:left w:val="nil"/>
          <w:bottom w:val="nil"/>
          <w:right w:val="nil"/>
          <w:between w:val="nil"/>
        </w:pBdr>
        <w:spacing w:before="240" w:after="240"/>
        <w:ind w:left="567" w:right="851"/>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“Al no dar respuesta el sujeto obligado, viola mi derecho al acceso a la información, el sujeto obligado infringe la ley al no remitir el acta del comite que autorice la prórroga a 22 dias para contestar la solicitud de información, a pesar de contar con 22 dias autorizados por sus pantalones, no da respuesta.” (Sic)</w:t>
      </w:r>
    </w:p>
    <w:p w:rsidR="00BA5283" w:rsidRPr="00B17BE8" w:rsidRDefault="003C4B67">
      <w:pPr>
        <w:spacing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t>5.  Trámite del Recurso de Revisión ante el Instituto.</w:t>
      </w:r>
    </w:p>
    <w:p w:rsidR="00BA5283" w:rsidRPr="00B17BE8" w:rsidRDefault="003C4B67">
      <w:pPr>
        <w:spacing w:before="240" w:after="240"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t xml:space="preserve">a. Turno. </w:t>
      </w:r>
      <w:r w:rsidRPr="00B17BE8">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B17BE8">
        <w:rPr>
          <w:rFonts w:ascii="Palatino Linotype" w:eastAsia="Palatino Linotype" w:hAnsi="Palatino Linotype" w:cs="Palatino Linotype"/>
          <w:b/>
        </w:rPr>
        <w:t>14124/INFOEM/IP/RR/2022</w:t>
      </w:r>
      <w:r w:rsidRPr="00B17BE8">
        <w:rPr>
          <w:rFonts w:ascii="Palatino Linotype" w:eastAsia="Palatino Linotype" w:hAnsi="Palatino Linotype" w:cs="Palatino Linotype"/>
        </w:rPr>
        <w:t xml:space="preserve"> fue turnado a la Comisionada Ponente </w:t>
      </w:r>
      <w:r w:rsidRPr="00B17BE8">
        <w:rPr>
          <w:rFonts w:ascii="Palatino Linotype" w:eastAsia="Palatino Linotype" w:hAnsi="Palatino Linotype" w:cs="Palatino Linotype"/>
          <w:b/>
        </w:rPr>
        <w:t>Guadalupe Ramírez Peña</w:t>
      </w:r>
      <w:r w:rsidRPr="00B17BE8">
        <w:rPr>
          <w:rFonts w:ascii="Palatino Linotype" w:eastAsia="Palatino Linotype" w:hAnsi="Palatino Linotype" w:cs="Palatino Linotype"/>
        </w:rPr>
        <w:t>; a efecto de presentar al Pleno el proyecto de resolución correspondiente.</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b. Admisión.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seis de septiembre de dos mil veintidós</w:t>
      </w:r>
      <w:r w:rsidRPr="00B17BE8">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c. Manifestaciones. </w:t>
      </w:r>
      <w:r w:rsidRPr="00B17BE8">
        <w:rPr>
          <w:rFonts w:ascii="Palatino Linotype" w:eastAsia="Palatino Linotype" w:hAnsi="Palatino Linotype" w:cs="Palatino Linotype"/>
        </w:rPr>
        <w:t xml:space="preserve">De las constancias que obran en el expediente electrónico del SAIMEX se desprende que 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no rindió su informe justificado, del mismo modo </w:t>
      </w:r>
      <w:r w:rsidRPr="00B17BE8">
        <w:rPr>
          <w:rFonts w:ascii="Palatino Linotype" w:eastAsia="Palatino Linotype" w:hAnsi="Palatino Linotype" w:cs="Palatino Linotype"/>
          <w:b/>
        </w:rPr>
        <w:t>la parte</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Recurrente</w:t>
      </w:r>
      <w:r w:rsidRPr="00B17BE8">
        <w:rPr>
          <w:rFonts w:ascii="Palatino Linotype" w:eastAsia="Palatino Linotype" w:hAnsi="Palatino Linotype" w:cs="Palatino Linotype"/>
        </w:rPr>
        <w:t xml:space="preserve"> omitió realizar manifestaciones, como se observa a continuación:</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noProof/>
          <w:lang w:eastAsia="es-MX"/>
        </w:rPr>
        <w:lastRenderedPageBreak/>
        <w:drawing>
          <wp:inline distT="0" distB="0" distL="0" distR="0">
            <wp:extent cx="5581015" cy="1488440"/>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81015" cy="1488440"/>
                    </a:xfrm>
                    <a:prstGeom prst="rect">
                      <a:avLst/>
                    </a:prstGeom>
                    <a:ln/>
                  </pic:spPr>
                </pic:pic>
              </a:graphicData>
            </a:graphic>
          </wp:inline>
        </w:drawing>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d. Cierre de Instrucción.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veintiuno de septiembre de dos mil veintidós</w:t>
      </w:r>
      <w:r w:rsidRPr="00B17BE8">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BA5283" w:rsidRPr="00B17BE8" w:rsidRDefault="003C4B67">
      <w:pPr>
        <w:pBdr>
          <w:top w:val="nil"/>
          <w:left w:val="nil"/>
          <w:bottom w:val="nil"/>
          <w:right w:val="nil"/>
          <w:between w:val="nil"/>
        </w:pBdr>
        <w:spacing w:line="360" w:lineRule="auto"/>
        <w:jc w:val="both"/>
        <w:rPr>
          <w:sz w:val="22"/>
          <w:szCs w:val="22"/>
        </w:rPr>
      </w:pPr>
      <w:r w:rsidRPr="00B17BE8">
        <w:rPr>
          <w:rFonts w:ascii="Palatino Linotype" w:eastAsia="Palatino Linotype" w:hAnsi="Palatino Linotype" w:cs="Palatino Linotype"/>
          <w:b/>
        </w:rPr>
        <w:t xml:space="preserve">e. Resolución del Recurso de Revisión.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veintiocho de septiembre de dos mil veintidós</w:t>
      </w:r>
      <w:r w:rsidRPr="00B17BE8">
        <w:rPr>
          <w:rFonts w:ascii="Palatino Linotype" w:eastAsia="Palatino Linotype" w:hAnsi="Palatino Linotype" w:cs="Palatino Linotype"/>
        </w:rPr>
        <w:t>, el Pleno del Instituto de Transparencia, Accesos la Información Pública y Protección de Datos Personales del Estado de México y Municipios, durante la Trigésima Quinta Sesión Ordinaria, aprobó por unanimidad de votos, la Resolución del Recurso de Revisión, en la cual se determinó lo siguiente:</w:t>
      </w:r>
    </w:p>
    <w:p w:rsidR="00BA5283" w:rsidRPr="00B17BE8" w:rsidRDefault="003C4B67">
      <w:pPr>
        <w:spacing w:before="240" w:after="240" w:line="276" w:lineRule="auto"/>
        <w:ind w:left="567" w:right="616"/>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w:t>
      </w:r>
      <w:r w:rsidRPr="00B17BE8">
        <w:rPr>
          <w:rFonts w:ascii="Palatino Linotype" w:eastAsia="Palatino Linotype" w:hAnsi="Palatino Linotype" w:cs="Palatino Linotype"/>
          <w:b/>
          <w:i/>
          <w:sz w:val="22"/>
          <w:szCs w:val="22"/>
        </w:rPr>
        <w:t xml:space="preserve">Primero. </w:t>
      </w:r>
      <w:r w:rsidRPr="00B17BE8">
        <w:rPr>
          <w:rFonts w:ascii="Palatino Linotype" w:eastAsia="Palatino Linotype" w:hAnsi="Palatino Linotype" w:cs="Palatino Linotype"/>
          <w:i/>
          <w:sz w:val="22"/>
          <w:szCs w:val="22"/>
        </w:rPr>
        <w:t>Resultan fundados los motivos de inconformidad de la parte Recurrente, en el recurso de revisión</w:t>
      </w:r>
      <w:r w:rsidRPr="00B17BE8">
        <w:rPr>
          <w:rFonts w:ascii="Palatino Linotype" w:eastAsia="Palatino Linotype" w:hAnsi="Palatino Linotype" w:cs="Palatino Linotype"/>
          <w:b/>
          <w:i/>
          <w:sz w:val="22"/>
          <w:szCs w:val="22"/>
        </w:rPr>
        <w:t xml:space="preserve"> 14124/INFOEM/IP/RR/2022, </w:t>
      </w:r>
      <w:r w:rsidRPr="00B17BE8">
        <w:rPr>
          <w:rFonts w:ascii="Palatino Linotype" w:eastAsia="Palatino Linotype" w:hAnsi="Palatino Linotype" w:cs="Palatino Linotype"/>
          <w:i/>
          <w:sz w:val="22"/>
          <w:szCs w:val="22"/>
        </w:rPr>
        <w:t xml:space="preserve">en términos del Considerando Cuarto de la presente resolución. </w:t>
      </w:r>
    </w:p>
    <w:p w:rsidR="00BA5283" w:rsidRPr="00B17BE8" w:rsidRDefault="003C4B67">
      <w:pPr>
        <w:spacing w:before="240" w:after="240" w:line="276" w:lineRule="auto"/>
        <w:ind w:left="567" w:right="616"/>
        <w:jc w:val="both"/>
        <w:rPr>
          <w:rFonts w:ascii="Palatino Linotype" w:eastAsia="Palatino Linotype" w:hAnsi="Palatino Linotype" w:cs="Palatino Linotype"/>
          <w:b/>
          <w:i/>
          <w:sz w:val="22"/>
          <w:szCs w:val="22"/>
        </w:rPr>
      </w:pPr>
      <w:r w:rsidRPr="00B17BE8">
        <w:rPr>
          <w:rFonts w:ascii="Palatino Linotype" w:eastAsia="Palatino Linotype" w:hAnsi="Palatino Linotype" w:cs="Palatino Linotype"/>
          <w:b/>
          <w:i/>
          <w:sz w:val="22"/>
          <w:szCs w:val="22"/>
        </w:rPr>
        <w:t xml:space="preserve">Segundo. </w:t>
      </w:r>
      <w:r w:rsidRPr="00B17BE8">
        <w:rPr>
          <w:rFonts w:ascii="Palatino Linotype" w:eastAsia="Palatino Linotype" w:hAnsi="Palatino Linotype" w:cs="Palatino Linotype"/>
          <w:i/>
          <w:sz w:val="22"/>
          <w:szCs w:val="22"/>
        </w:rPr>
        <w:t>Se Ordena al Sujeto Obligado dé trámite, vía Sistema de Acceso a la Información Mexiquense (SAIMEX), a la solicitud de acceso a la información pública</w:t>
      </w:r>
      <w:r w:rsidRPr="00B17BE8">
        <w:rPr>
          <w:rFonts w:ascii="Palatino Linotype" w:eastAsia="Palatino Linotype" w:hAnsi="Palatino Linotype" w:cs="Palatino Linotype"/>
          <w:b/>
          <w:i/>
          <w:sz w:val="22"/>
          <w:szCs w:val="22"/>
        </w:rPr>
        <w:t xml:space="preserve"> 04100/METEPEC/IP/2022, </w:t>
      </w:r>
      <w:r w:rsidRPr="00B17BE8">
        <w:rPr>
          <w:rFonts w:ascii="Palatino Linotype" w:eastAsia="Palatino Linotype" w:hAnsi="Palatino Linotype" w:cs="Palatino Linotype"/>
          <w:i/>
          <w:sz w:val="22"/>
          <w:szCs w:val="22"/>
        </w:rPr>
        <w:t>que dio origen al recurso de revisión</w:t>
      </w:r>
      <w:r w:rsidRPr="00B17BE8">
        <w:rPr>
          <w:rFonts w:ascii="Palatino Linotype" w:eastAsia="Palatino Linotype" w:hAnsi="Palatino Linotype" w:cs="Palatino Linotype"/>
          <w:b/>
          <w:i/>
          <w:sz w:val="22"/>
          <w:szCs w:val="22"/>
        </w:rPr>
        <w:t xml:space="preserve"> </w:t>
      </w:r>
      <w:r w:rsidRPr="00B17BE8">
        <w:rPr>
          <w:rFonts w:ascii="Palatino Linotype" w:eastAsia="Palatino Linotype" w:hAnsi="Palatino Linotype" w:cs="Palatino Linotype"/>
          <w:b/>
          <w:i/>
          <w:sz w:val="22"/>
          <w:szCs w:val="22"/>
        </w:rPr>
        <w:lastRenderedPageBreak/>
        <w:t xml:space="preserve">14124/INFOEM/IP/RR/2022, </w:t>
      </w:r>
      <w:r w:rsidRPr="00B17BE8">
        <w:rPr>
          <w:rFonts w:ascii="Palatino Linotype" w:eastAsia="Palatino Linotype" w:hAnsi="Palatino Linotype" w:cs="Palatino Linotype"/>
          <w:i/>
          <w:sz w:val="22"/>
          <w:szCs w:val="22"/>
        </w:rPr>
        <w:t xml:space="preserve">en términos del Considerando Cuarto de esta resolución y emita respuesta, debiendo observar las excepciones contenidas en la Ley de Transparencia y Acceso a la Información Pública del Estado de México y Municipios.” </w:t>
      </w: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f. Notificación de la Resolución del Recurso de Revisión 14124/INFOEM/IP/RR/2022.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tres de octubre</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de dos mil veintidós</w:t>
      </w:r>
      <w:r w:rsidRPr="00B17BE8">
        <w:rPr>
          <w:rFonts w:ascii="Palatino Linotype" w:eastAsia="Palatino Linotype" w:hAnsi="Palatino Linotype" w:cs="Palatino Linotype"/>
        </w:rPr>
        <w:t xml:space="preserve">, se notificó a las partes la resolución del Medio de Impugnación previamente referido, por medio del Sistema de Acceso a la Información Mexiquense (SAIMEX). </w:t>
      </w:r>
    </w:p>
    <w:p w:rsidR="00BA5283" w:rsidRPr="00B17BE8" w:rsidRDefault="00BA5283">
      <w:pPr>
        <w:spacing w:line="360" w:lineRule="auto"/>
        <w:jc w:val="both"/>
        <w:rPr>
          <w:rFonts w:ascii="Palatino Linotype" w:eastAsia="Palatino Linotype" w:hAnsi="Palatino Linotype" w:cs="Palatino Linotype"/>
        </w:rPr>
      </w:pP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g. Ampliación de Plazo para Responder al Recurso de Revisión. </w:t>
      </w:r>
      <w:r w:rsidRPr="00B17BE8">
        <w:rPr>
          <w:rFonts w:ascii="Palatino Linotype" w:eastAsia="Palatino Linotype" w:hAnsi="Palatino Linotype" w:cs="Palatino Linotype"/>
        </w:rPr>
        <w:t>El</w:t>
      </w:r>
      <w:r w:rsidRPr="00B17BE8">
        <w:rPr>
          <w:rFonts w:ascii="Palatino Linotype" w:eastAsia="Palatino Linotype" w:hAnsi="Palatino Linotype" w:cs="Palatino Linotype"/>
          <w:b/>
        </w:rPr>
        <w:t xml:space="preserve"> cinco de octubre de dos mil veintidós</w:t>
      </w:r>
      <w:r w:rsidRPr="00B17BE8">
        <w:rPr>
          <w:rFonts w:ascii="Palatino Linotype" w:eastAsia="Palatino Linotype" w:hAnsi="Palatino Linotype" w:cs="Palatino Linotype"/>
        </w:rPr>
        <w:t xml:space="preserve">, el Director de Transparencia y Gobierno Abierto del Sujeto Obligado, solicitó al Pleno de este Instituto, una ampliación de plazo por treinta días hábiles adicionales para el cumplimiento de la presente resolución. </w:t>
      </w:r>
    </w:p>
    <w:p w:rsidR="00BA5283" w:rsidRPr="00B17BE8" w:rsidRDefault="00BA5283">
      <w:pPr>
        <w:spacing w:line="360" w:lineRule="auto"/>
        <w:jc w:val="both"/>
        <w:rPr>
          <w:rFonts w:ascii="Palatino Linotype" w:eastAsia="Palatino Linotype" w:hAnsi="Palatino Linotype" w:cs="Palatino Linotype"/>
        </w:rPr>
      </w:pPr>
    </w:p>
    <w:p w:rsidR="00BA5283" w:rsidRPr="00B17BE8" w:rsidRDefault="003C4B67">
      <w:pPr>
        <w:spacing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t xml:space="preserve">h. Acuerdo de Procedencia/Improcedencia Ampliación del plazo para responder.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diecisiete de octubre de dos mil veintidós</w:t>
      </w:r>
      <w:r w:rsidRPr="00B17BE8">
        <w:rPr>
          <w:rFonts w:ascii="Palatino Linotype" w:eastAsia="Palatino Linotype" w:hAnsi="Palatino Linotype" w:cs="Palatino Linotype"/>
        </w:rPr>
        <w:t xml:space="preserve">, se notificó a las partes el acuerdo que determina la procedencia de la ampliación de plazo, concediéndole un plazo de treinta días hábiles adicionales al señalado en el resolutivo Tercero de la resolución en mención, el cual transcurrió del </w:t>
      </w:r>
      <w:r w:rsidRPr="00B17BE8">
        <w:rPr>
          <w:rFonts w:ascii="Palatino Linotype" w:eastAsia="Palatino Linotype" w:hAnsi="Palatino Linotype" w:cs="Palatino Linotype"/>
          <w:b/>
        </w:rPr>
        <w:t>dieciocho de octubre al treinta de noviembre de dos mil veintidós.</w:t>
      </w:r>
    </w:p>
    <w:p w:rsidR="00BA5283" w:rsidRPr="00B17BE8" w:rsidRDefault="00BA5283">
      <w:pPr>
        <w:spacing w:line="360" w:lineRule="auto"/>
        <w:jc w:val="both"/>
        <w:rPr>
          <w:rFonts w:ascii="Palatino Linotype" w:eastAsia="Palatino Linotype" w:hAnsi="Palatino Linotype" w:cs="Palatino Linotype"/>
          <w:b/>
        </w:rPr>
      </w:pPr>
    </w:p>
    <w:p w:rsidR="00BA5283" w:rsidRPr="00B17BE8" w:rsidRDefault="003C4B67">
      <w:pPr>
        <w:numPr>
          <w:ilvl w:val="0"/>
          <w:numId w:val="1"/>
        </w:numPr>
        <w:pBdr>
          <w:top w:val="nil"/>
          <w:left w:val="nil"/>
          <w:bottom w:val="nil"/>
          <w:right w:val="nil"/>
          <w:between w:val="nil"/>
        </w:pBdr>
        <w:spacing w:line="360" w:lineRule="auto"/>
        <w:ind w:left="0" w:hanging="142"/>
        <w:jc w:val="both"/>
        <w:rPr>
          <w:rFonts w:ascii="Palatino Linotype" w:eastAsia="Palatino Linotype" w:hAnsi="Palatino Linotype" w:cs="Palatino Linotype"/>
          <w:b/>
          <w:i/>
        </w:rPr>
      </w:pPr>
      <w:r w:rsidRPr="00B17BE8">
        <w:rPr>
          <w:rFonts w:ascii="Palatino Linotype" w:eastAsia="Palatino Linotype" w:hAnsi="Palatino Linotype" w:cs="Palatino Linotype"/>
          <w:b/>
        </w:rPr>
        <w:t xml:space="preserve">Entrega de información.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treinta de noviembre de dos mil veintidós</w:t>
      </w:r>
      <w:r w:rsidRPr="00B17BE8">
        <w:rPr>
          <w:rFonts w:ascii="Palatino Linotype" w:eastAsia="Palatino Linotype" w:hAnsi="Palatino Linotype" w:cs="Palatino Linotype"/>
        </w:rPr>
        <w:t xml:space="preserve">, el </w:t>
      </w:r>
      <w:r w:rsidRPr="00B17BE8">
        <w:rPr>
          <w:rFonts w:ascii="Palatino Linotype" w:eastAsia="Palatino Linotype" w:hAnsi="Palatino Linotype" w:cs="Palatino Linotype"/>
          <w:b/>
        </w:rPr>
        <w:t xml:space="preserve">Sujeto Obligado </w:t>
      </w:r>
      <w:r w:rsidRPr="00B17BE8">
        <w:rPr>
          <w:rFonts w:ascii="Palatino Linotype" w:eastAsia="Palatino Linotype" w:hAnsi="Palatino Linotype" w:cs="Palatino Linotype"/>
        </w:rPr>
        <w:t>remitió los archivos electrónicos “</w:t>
      </w:r>
      <w:r w:rsidRPr="00B17BE8">
        <w:rPr>
          <w:rFonts w:ascii="Palatino Linotype" w:eastAsia="Palatino Linotype" w:hAnsi="Palatino Linotype" w:cs="Palatino Linotype"/>
          <w:b/>
          <w:i/>
          <w:sz w:val="22"/>
          <w:szCs w:val="22"/>
        </w:rPr>
        <w:t>4100 des urbano.PDF”, “1-3 cédulas informativas de zonificación.pdf”, “9-10 cédulas informativas de zonificación.pdf”, “4-5 cédulas informativas de zonificación.pdf”, “6- 8 cédulas informativas de zonificación.pdf”</w:t>
      </w:r>
      <w:r w:rsidRPr="00B17BE8">
        <w:rPr>
          <w:rFonts w:ascii="Palatino Linotype" w:eastAsia="Palatino Linotype" w:hAnsi="Palatino Linotype" w:cs="Palatino Linotype"/>
          <w:b/>
          <w:sz w:val="22"/>
          <w:szCs w:val="22"/>
        </w:rPr>
        <w:t xml:space="preserve">, </w:t>
      </w:r>
      <w:r w:rsidRPr="00B17BE8">
        <w:rPr>
          <w:rFonts w:ascii="Palatino Linotype" w:eastAsia="Palatino Linotype" w:hAnsi="Palatino Linotype" w:cs="Palatino Linotype"/>
        </w:rPr>
        <w:t xml:space="preserve">los cuales se describen a continuación: </w:t>
      </w:r>
      <w:r w:rsidRPr="00B17BE8">
        <w:rPr>
          <w:rFonts w:ascii="Palatino Linotype" w:eastAsia="Palatino Linotype" w:hAnsi="Palatino Linotype" w:cs="Palatino Linotype"/>
          <w:b/>
          <w:i/>
        </w:rPr>
        <w:tab/>
      </w:r>
    </w:p>
    <w:p w:rsidR="00BA5283" w:rsidRPr="00B17BE8" w:rsidRDefault="003C4B67">
      <w:pPr>
        <w:pBdr>
          <w:top w:val="nil"/>
          <w:left w:val="nil"/>
          <w:bottom w:val="nil"/>
          <w:right w:val="nil"/>
          <w:between w:val="nil"/>
        </w:pBdr>
        <w:spacing w:line="360" w:lineRule="auto"/>
        <w:ind w:left="567" w:right="851"/>
        <w:jc w:val="both"/>
        <w:rPr>
          <w:rFonts w:ascii="Palatino Linotype" w:eastAsia="Palatino Linotype" w:hAnsi="Palatino Linotype" w:cs="Palatino Linotype"/>
          <w:sz w:val="22"/>
          <w:szCs w:val="22"/>
        </w:rPr>
      </w:pPr>
      <w:r w:rsidRPr="00B17BE8">
        <w:rPr>
          <w:rFonts w:ascii="Palatino Linotype" w:eastAsia="Palatino Linotype" w:hAnsi="Palatino Linotype" w:cs="Palatino Linotype"/>
        </w:rPr>
        <w:lastRenderedPageBreak/>
        <w:t>“</w:t>
      </w:r>
      <w:r w:rsidRPr="00B17BE8">
        <w:rPr>
          <w:rFonts w:ascii="Palatino Linotype" w:eastAsia="Palatino Linotype" w:hAnsi="Palatino Linotype" w:cs="Palatino Linotype"/>
          <w:b/>
          <w:i/>
          <w:sz w:val="22"/>
          <w:szCs w:val="22"/>
        </w:rPr>
        <w:t xml:space="preserve">4100 des urbano.PDF”: </w:t>
      </w:r>
      <w:r w:rsidRPr="00B17BE8">
        <w:rPr>
          <w:rFonts w:ascii="Palatino Linotype" w:eastAsia="Palatino Linotype" w:hAnsi="Palatino Linotype" w:cs="Palatino Linotype"/>
        </w:rPr>
        <w:t>Oficio DDUyM/SRTT/3526/2022, signado por la Directora de Desarrollo Urbano y Metropolitano quien refiere remitir copia simple de las cédulas informativas de zonificación expedidas al 20 de octubre de dos mil veintidós.</w:t>
      </w:r>
      <w:r w:rsidRPr="00B17BE8">
        <w:rPr>
          <w:noProof/>
          <w:lang w:eastAsia="es-MX"/>
        </w:rPr>
        <w:drawing>
          <wp:anchor distT="0" distB="0" distL="114300" distR="114300" simplePos="0" relativeHeight="251658240" behindDoc="0" locked="0" layoutInCell="1" hidden="0" allowOverlap="1">
            <wp:simplePos x="0" y="0"/>
            <wp:positionH relativeFrom="column">
              <wp:posOffset>672465</wp:posOffset>
            </wp:positionH>
            <wp:positionV relativeFrom="paragraph">
              <wp:posOffset>1204299</wp:posOffset>
            </wp:positionV>
            <wp:extent cx="3851540" cy="4933950"/>
            <wp:effectExtent l="19050" t="19050" r="15875" b="19050"/>
            <wp:wrapTopAndBottom distT="0" distB="0"/>
            <wp:docPr id="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51540" cy="4933950"/>
                    </a:xfrm>
                    <a:prstGeom prst="rect">
                      <a:avLst/>
                    </a:prstGeom>
                    <a:ln>
                      <a:solidFill>
                        <a:schemeClr val="tx1"/>
                      </a:solidFill>
                    </a:ln>
                  </pic:spPr>
                </pic:pic>
              </a:graphicData>
            </a:graphic>
          </wp:anchor>
        </w:drawing>
      </w:r>
    </w:p>
    <w:p w:rsidR="00BA5283" w:rsidRPr="00B17BE8" w:rsidRDefault="00BA5283">
      <w:p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p>
    <w:p w:rsidR="00BA5283" w:rsidRPr="00B17BE8" w:rsidRDefault="003C4B67">
      <w:pPr>
        <w:pBdr>
          <w:top w:val="nil"/>
          <w:left w:val="nil"/>
          <w:bottom w:val="nil"/>
          <w:right w:val="nil"/>
          <w:between w:val="nil"/>
        </w:pBdr>
        <w:spacing w:line="360" w:lineRule="auto"/>
        <w:ind w:left="567" w:right="851"/>
        <w:jc w:val="both"/>
        <w:rPr>
          <w:rFonts w:ascii="Palatino Linotype" w:eastAsia="Palatino Linotype" w:hAnsi="Palatino Linotype" w:cs="Palatino Linotype"/>
        </w:rPr>
      </w:pPr>
      <w:r w:rsidRPr="00B17BE8">
        <w:rPr>
          <w:rFonts w:ascii="Palatino Linotype" w:eastAsia="Palatino Linotype" w:hAnsi="Palatino Linotype" w:cs="Palatino Linotype"/>
          <w:b/>
          <w:i/>
          <w:sz w:val="22"/>
          <w:szCs w:val="22"/>
        </w:rPr>
        <w:t xml:space="preserve"> “1-3 cédulas informativas de zonificación.pdf”, “9-10 cédulas informativas de zonificación.pdf”, “4-5 cédulas informativas de zonificación.pdf” y “6- 8 cédulas informativas de zonificación.pdf”</w:t>
      </w:r>
      <w:r w:rsidRPr="00B17BE8">
        <w:rPr>
          <w:rFonts w:ascii="Palatino Linotype" w:eastAsia="Palatino Linotype" w:hAnsi="Palatino Linotype" w:cs="Palatino Linotype"/>
          <w:b/>
          <w:sz w:val="22"/>
          <w:szCs w:val="22"/>
        </w:rPr>
        <w:t xml:space="preserve">: </w:t>
      </w:r>
      <w:r w:rsidRPr="00B17BE8">
        <w:rPr>
          <w:rFonts w:ascii="Palatino Linotype" w:eastAsia="Palatino Linotype" w:hAnsi="Palatino Linotype" w:cs="Palatino Linotype"/>
        </w:rPr>
        <w:t xml:space="preserve">Los cuatro archivos contienen </w:t>
      </w:r>
      <w:r w:rsidRPr="00B17BE8">
        <w:rPr>
          <w:rFonts w:ascii="Palatino Linotype" w:eastAsia="Palatino Linotype" w:hAnsi="Palatino Linotype" w:cs="Palatino Linotype"/>
        </w:rPr>
        <w:lastRenderedPageBreak/>
        <w:t>cédulas informativas de zonificación, contienen en total 1,234 fojas, se inserta la primera como referencia.</w:t>
      </w:r>
    </w:p>
    <w:p w:rsidR="00BA5283" w:rsidRPr="00B17BE8" w:rsidRDefault="00BA5283">
      <w:pPr>
        <w:pBdr>
          <w:top w:val="nil"/>
          <w:left w:val="nil"/>
          <w:bottom w:val="nil"/>
          <w:right w:val="nil"/>
          <w:between w:val="nil"/>
        </w:pBdr>
        <w:spacing w:line="360" w:lineRule="auto"/>
        <w:ind w:left="567" w:right="851"/>
        <w:jc w:val="both"/>
        <w:rPr>
          <w:rFonts w:ascii="Palatino Linotype" w:eastAsia="Palatino Linotype" w:hAnsi="Palatino Linotype" w:cs="Palatino Linotype"/>
          <w:sz w:val="22"/>
          <w:szCs w:val="22"/>
        </w:rPr>
      </w:pPr>
    </w:p>
    <w:p w:rsidR="00BA5283" w:rsidRPr="00B17BE8" w:rsidRDefault="003C4B67">
      <w:pPr>
        <w:spacing w:line="360" w:lineRule="auto"/>
        <w:jc w:val="center"/>
        <w:rPr>
          <w:rFonts w:ascii="Palatino Linotype" w:eastAsia="Palatino Linotype" w:hAnsi="Palatino Linotype" w:cs="Palatino Linotype"/>
        </w:rPr>
      </w:pPr>
      <w:r w:rsidRPr="00B17BE8">
        <w:rPr>
          <w:rFonts w:ascii="Palatino Linotype" w:eastAsia="Palatino Linotype" w:hAnsi="Palatino Linotype" w:cs="Palatino Linotype"/>
          <w:noProof/>
          <w:lang w:eastAsia="es-MX"/>
        </w:rPr>
        <w:drawing>
          <wp:inline distT="0" distB="0" distL="0" distR="0">
            <wp:extent cx="3854778" cy="6040476"/>
            <wp:effectExtent l="19050" t="19050" r="12700" b="17780"/>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854778" cy="6040476"/>
                    </a:xfrm>
                    <a:prstGeom prst="rect">
                      <a:avLst/>
                    </a:prstGeom>
                    <a:ln>
                      <a:solidFill>
                        <a:schemeClr val="tx1"/>
                      </a:solidFill>
                    </a:ln>
                  </pic:spPr>
                </pic:pic>
              </a:graphicData>
            </a:graphic>
          </wp:inline>
        </w:drawing>
      </w: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lastRenderedPageBreak/>
        <w:t xml:space="preserve">j. Informe de Cumplimiento del Recurso de Revisión. </w:t>
      </w:r>
      <w:r w:rsidRPr="00B17BE8">
        <w:rPr>
          <w:rFonts w:ascii="Palatino Linotype" w:eastAsia="Palatino Linotype" w:hAnsi="Palatino Linotype" w:cs="Palatino Linotype"/>
        </w:rPr>
        <w:t xml:space="preserve">El doce de diciembre de dos mil veintidós, con fundamento en el artículo 199 párrafo segundo de la Ley de Transparencia y Acceso a la Información Pública del Estado de México y Municipios,  la Dirección de Cumplimientos de este Instituto puso a la vista del particular, la información remitida por 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para que dentro del plazo de cinco días hábiles siguientes a la recepción del presente, manifestara lo que a su derecho conviniera, cabe señalar que </w:t>
      </w:r>
      <w:r w:rsidRPr="00B17BE8">
        <w:rPr>
          <w:rFonts w:ascii="Palatino Linotype" w:eastAsia="Palatino Linotype" w:hAnsi="Palatino Linotype" w:cs="Palatino Linotype"/>
          <w:b/>
        </w:rPr>
        <w:t>la parte Recurrente</w:t>
      </w:r>
      <w:r w:rsidRPr="00B17BE8">
        <w:rPr>
          <w:rFonts w:ascii="Palatino Linotype" w:eastAsia="Palatino Linotype" w:hAnsi="Palatino Linotype" w:cs="Palatino Linotype"/>
        </w:rPr>
        <w:t xml:space="preserve"> fue omisa en emitir pronunciamiento alguno.</w:t>
      </w: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6. Interposición del Segundo Recurso de Revisión </w:t>
      </w:r>
      <w:r w:rsidRPr="00B17BE8">
        <w:rPr>
          <w:rFonts w:ascii="Palatino Linotype" w:eastAsia="Palatino Linotype" w:hAnsi="Palatino Linotype" w:cs="Palatino Linotype"/>
          <w:b/>
          <w:sz w:val="22"/>
          <w:szCs w:val="22"/>
        </w:rPr>
        <w:t>14124/INFOEM/ICR-08/IP/RR/2022</w:t>
      </w:r>
      <w:r w:rsidRPr="00B17BE8">
        <w:rPr>
          <w:rFonts w:ascii="Palatino Linotype" w:eastAsia="Palatino Linotype" w:hAnsi="Palatino Linotype" w:cs="Palatino Linotype"/>
          <w:b/>
        </w:rPr>
        <w:t xml:space="preserve">.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once de enero de dos mil veintitrés</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la parte</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 xml:space="preserve">Recurrente </w:t>
      </w:r>
      <w:r w:rsidRPr="00B17BE8">
        <w:rPr>
          <w:rFonts w:ascii="Palatino Linotype" w:eastAsia="Palatino Linotype" w:hAnsi="Palatino Linotype" w:cs="Palatino Linotype"/>
        </w:rPr>
        <w:t xml:space="preserve">interpuso Recurso de Revisión en este Instituto, a través del Sistema de Acceso a la Información Mexiquense (SAIMEX), en contra de la falta de respuesta del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en donde se agravió de lo siguiente</w:t>
      </w:r>
      <w:r w:rsidRPr="00B17BE8">
        <w:rPr>
          <w:rFonts w:ascii="Palatino Linotype" w:eastAsia="Palatino Linotype" w:hAnsi="Palatino Linotype" w:cs="Palatino Linotype"/>
          <w:b/>
        </w:rPr>
        <w:t>:</w:t>
      </w:r>
    </w:p>
    <w:p w:rsidR="00BA5283" w:rsidRPr="00B17BE8" w:rsidRDefault="00BA5283">
      <w:pPr>
        <w:widowControl w:val="0"/>
        <w:spacing w:line="360" w:lineRule="auto"/>
        <w:jc w:val="both"/>
        <w:rPr>
          <w:rFonts w:ascii="Palatino Linotype" w:eastAsia="Palatino Linotype" w:hAnsi="Palatino Linotype" w:cs="Palatino Linotype"/>
          <w:b/>
        </w:rPr>
      </w:pPr>
    </w:p>
    <w:p w:rsidR="00BA5283" w:rsidRPr="00B17BE8" w:rsidRDefault="003C4B67">
      <w:pPr>
        <w:numPr>
          <w:ilvl w:val="0"/>
          <w:numId w:val="2"/>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B17BE8">
        <w:rPr>
          <w:rFonts w:ascii="Palatino Linotype" w:eastAsia="Palatino Linotype" w:hAnsi="Palatino Linotype" w:cs="Palatino Linotype"/>
          <w:b/>
        </w:rPr>
        <w:t>Acto Impugnado</w:t>
      </w:r>
    </w:p>
    <w:p w:rsidR="00BA5283" w:rsidRPr="00B17BE8" w:rsidRDefault="003C4B67">
      <w:pPr>
        <w:ind w:left="567" w:right="1013"/>
        <w:jc w:val="both"/>
        <w:rPr>
          <w:rFonts w:ascii="Palatino Linotype" w:eastAsia="Palatino Linotype" w:hAnsi="Palatino Linotype" w:cs="Palatino Linotype"/>
          <w:i/>
          <w:sz w:val="22"/>
          <w:szCs w:val="22"/>
        </w:rPr>
      </w:pPr>
      <w:r w:rsidRPr="00B17BE8">
        <w:rPr>
          <w:rFonts w:ascii="Palatino Linotype" w:eastAsia="Palatino Linotype" w:hAnsi="Palatino Linotype" w:cs="Palatino Linotype"/>
          <w:i/>
          <w:sz w:val="22"/>
          <w:szCs w:val="22"/>
        </w:rPr>
        <w:t>“Informacion incompleta” (Sic.)</w:t>
      </w:r>
    </w:p>
    <w:p w:rsidR="00BA5283" w:rsidRPr="00B17BE8" w:rsidRDefault="00BA5283">
      <w:pPr>
        <w:spacing w:line="360" w:lineRule="auto"/>
        <w:ind w:left="567" w:right="567"/>
        <w:jc w:val="both"/>
        <w:rPr>
          <w:rFonts w:ascii="Palatino Linotype" w:eastAsia="Palatino Linotype" w:hAnsi="Palatino Linotype" w:cs="Palatino Linotype"/>
          <w:i/>
        </w:rPr>
      </w:pPr>
    </w:p>
    <w:p w:rsidR="00BA5283" w:rsidRPr="00B17BE8" w:rsidRDefault="003C4B67">
      <w:pPr>
        <w:numPr>
          <w:ilvl w:val="0"/>
          <w:numId w:val="2"/>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B17BE8">
        <w:rPr>
          <w:rFonts w:ascii="Palatino Linotype" w:eastAsia="Palatino Linotype" w:hAnsi="Palatino Linotype" w:cs="Palatino Linotype"/>
          <w:b/>
        </w:rPr>
        <w:t>Razones o Motivos de la Inconformidad</w:t>
      </w:r>
    </w:p>
    <w:p w:rsidR="00BA5283" w:rsidRPr="00B17BE8" w:rsidRDefault="003C4B67">
      <w:pPr>
        <w:spacing w:line="276" w:lineRule="auto"/>
        <w:ind w:left="567" w:right="851"/>
        <w:jc w:val="both"/>
        <w:rPr>
          <w:rFonts w:ascii="Palatino Linotype" w:eastAsia="Palatino Linotype" w:hAnsi="Palatino Linotype" w:cs="Palatino Linotype"/>
          <w:sz w:val="22"/>
          <w:szCs w:val="22"/>
        </w:rPr>
      </w:pPr>
      <w:r w:rsidRPr="00B17BE8">
        <w:rPr>
          <w:rFonts w:ascii="Palatino Linotype" w:eastAsia="Palatino Linotype" w:hAnsi="Palatino Linotype" w:cs="Palatino Linotype"/>
          <w:i/>
          <w:sz w:val="22"/>
          <w:szCs w:val="22"/>
        </w:rPr>
        <w:t>“Informacion incompleta, al no establecer el período opera el criterio del inai, del año inmediato, por lo que falta el año 2021” (Sic)</w:t>
      </w:r>
    </w:p>
    <w:p w:rsidR="00BA5283" w:rsidRPr="00B17BE8" w:rsidRDefault="00BA5283">
      <w:pPr>
        <w:widowControl w:val="0"/>
        <w:spacing w:line="360" w:lineRule="auto"/>
        <w:jc w:val="both"/>
        <w:rPr>
          <w:rFonts w:ascii="Palatino Linotype" w:eastAsia="Palatino Linotype" w:hAnsi="Palatino Linotype" w:cs="Palatino Linotype"/>
          <w:b/>
        </w:rPr>
      </w:pP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7. Trámite del Recurso de Revisión con número 14124/INFOEM/ICR-08/IP/RR/2022 ante el Instituto.</w:t>
      </w:r>
    </w:p>
    <w:p w:rsidR="00BA5283" w:rsidRPr="00B17BE8" w:rsidRDefault="00BA5283">
      <w:pPr>
        <w:spacing w:line="360" w:lineRule="auto"/>
        <w:jc w:val="both"/>
        <w:rPr>
          <w:rFonts w:ascii="Palatino Linotype" w:eastAsia="Palatino Linotype" w:hAnsi="Palatino Linotype" w:cs="Palatino Linotype"/>
          <w:b/>
        </w:rPr>
      </w:pP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lastRenderedPageBreak/>
        <w:t xml:space="preserve">a) Turno del Recurso de Revisión.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diecinueve de octubre de dos mil veintidós</w:t>
      </w:r>
      <w:r w:rsidRPr="00B17BE8">
        <w:rPr>
          <w:rFonts w:ascii="Palatino Linotype" w:eastAsia="Palatino Linotype" w:hAnsi="Palatino Linotype" w:cs="Palatino Linotype"/>
        </w:rPr>
        <w:t xml:space="preserve">, el Sistema de Acceso a la Información Mexiquense (SAIMEX), asignó el número de expediente </w:t>
      </w:r>
      <w:r w:rsidRPr="00B17BE8">
        <w:rPr>
          <w:rFonts w:ascii="Palatino Linotype" w:eastAsia="Palatino Linotype" w:hAnsi="Palatino Linotype" w:cs="Palatino Linotype"/>
          <w:b/>
        </w:rPr>
        <w:t xml:space="preserve">14124/INFOEM/ICR-08/IP/RR/2022, </w:t>
      </w:r>
      <w:r w:rsidRPr="00B17BE8">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B17BE8">
        <w:rPr>
          <w:rFonts w:ascii="Palatino Linotype" w:eastAsia="Palatino Linotype" w:hAnsi="Palatino Linotype" w:cs="Palatino Linotype"/>
          <w:b/>
        </w:rPr>
        <w:t>Comisionada Ponente Guadalupe Ramírez Peña</w:t>
      </w:r>
      <w:r w:rsidRPr="00B17BE8">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BA5283" w:rsidRPr="00B17BE8" w:rsidRDefault="00BA5283">
      <w:pPr>
        <w:spacing w:line="360" w:lineRule="auto"/>
        <w:jc w:val="both"/>
        <w:rPr>
          <w:rFonts w:ascii="Palatino Linotype" w:eastAsia="Palatino Linotype" w:hAnsi="Palatino Linotype" w:cs="Palatino Linotype"/>
        </w:rPr>
      </w:pPr>
    </w:p>
    <w:p w:rsidR="00BA5283" w:rsidRPr="00B17BE8" w:rsidRDefault="003C4B67">
      <w:pPr>
        <w:spacing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t xml:space="preserve">b) Admisión del Recurso de Revisión. </w:t>
      </w:r>
      <w:r w:rsidRPr="00B17BE8">
        <w:rPr>
          <w:rFonts w:ascii="Palatino Linotype" w:eastAsia="Palatino Linotype" w:hAnsi="Palatino Linotype" w:cs="Palatino Linotype"/>
        </w:rPr>
        <w:t xml:space="preserve">El </w:t>
      </w:r>
      <w:r w:rsidRPr="00B17BE8">
        <w:rPr>
          <w:rFonts w:ascii="Palatino Linotype" w:eastAsia="Palatino Linotype" w:hAnsi="Palatino Linotype" w:cs="Palatino Linotype"/>
          <w:b/>
        </w:rPr>
        <w:t>dieciséis de enero de dos mil veintitrés</w:t>
      </w:r>
      <w:r w:rsidRPr="00B17BE8">
        <w:rPr>
          <w:rFonts w:ascii="Palatino Linotype" w:eastAsia="Palatino Linotype" w:hAnsi="Palatino Linotype" w:cs="Palatino Linotype"/>
        </w:rPr>
        <w:t>, se acordó la admisión del Recurso de Revisión interpuesto por la parte</w:t>
      </w:r>
      <w:r w:rsidRPr="00B17BE8">
        <w:rPr>
          <w:rFonts w:ascii="Palatino Linotype" w:eastAsia="Palatino Linotype" w:hAnsi="Palatino Linotype" w:cs="Palatino Linotype"/>
          <w:b/>
        </w:rPr>
        <w:t xml:space="preserve"> Recurrente</w:t>
      </w:r>
      <w:r w:rsidRPr="00B17BE8">
        <w:rPr>
          <w:rFonts w:ascii="Palatino Linotype" w:eastAsia="Palatino Linotype" w:hAnsi="Palatino Linotype" w:cs="Palatino Linotype"/>
        </w:rPr>
        <w:t xml:space="preserve"> en contra del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B17BE8">
        <w:rPr>
          <w:rFonts w:ascii="Palatino Linotype" w:eastAsia="Palatino Linotype" w:hAnsi="Palatino Linotype" w:cs="Palatino Linotype"/>
          <w:b/>
        </w:rPr>
        <w:t xml:space="preserve"> </w:t>
      </w:r>
    </w:p>
    <w:p w:rsidR="00BA5283" w:rsidRPr="00B17BE8" w:rsidRDefault="00BA5283">
      <w:pPr>
        <w:spacing w:line="360" w:lineRule="auto"/>
        <w:jc w:val="both"/>
        <w:rPr>
          <w:rFonts w:ascii="Palatino Linotype" w:eastAsia="Palatino Linotype" w:hAnsi="Palatino Linotype" w:cs="Palatino Linotype"/>
          <w:b/>
        </w:rPr>
      </w:pP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c) Manifestaciones o Informe Justificado. </w:t>
      </w:r>
      <w:r w:rsidRPr="00B17BE8">
        <w:rPr>
          <w:rFonts w:ascii="Palatino Linotype" w:eastAsia="Palatino Linotype" w:hAnsi="Palatino Linotype" w:cs="Palatino Linotype"/>
        </w:rPr>
        <w:t>De las constancias del expediente electrónico del SAIMEX, se observa que las partes fueron omisas en emitir  pronunciamiento alguno, por lo que se tiene por precluido su derecho para tal efecto.</w:t>
      </w:r>
    </w:p>
    <w:p w:rsidR="00BA5283" w:rsidRPr="00B17BE8" w:rsidRDefault="00BA5283">
      <w:pPr>
        <w:spacing w:line="360" w:lineRule="auto"/>
        <w:jc w:val="both"/>
        <w:rPr>
          <w:rFonts w:ascii="Palatino Linotype" w:eastAsia="Palatino Linotype" w:hAnsi="Palatino Linotype" w:cs="Palatino Linotype"/>
        </w:rPr>
      </w:pP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noProof/>
          <w:lang w:eastAsia="es-MX"/>
        </w:rPr>
        <w:lastRenderedPageBreak/>
        <w:drawing>
          <wp:inline distT="0" distB="0" distL="0" distR="0">
            <wp:extent cx="5581015" cy="1494790"/>
            <wp:effectExtent l="19050" t="19050" r="19685" b="1016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581015" cy="1494790"/>
                    </a:xfrm>
                    <a:prstGeom prst="rect">
                      <a:avLst/>
                    </a:prstGeom>
                    <a:ln>
                      <a:solidFill>
                        <a:schemeClr val="tx1"/>
                      </a:solidFill>
                    </a:ln>
                  </pic:spPr>
                </pic:pic>
              </a:graphicData>
            </a:graphic>
          </wp:inline>
        </w:drawing>
      </w: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rPr>
        <w:t xml:space="preserve"> </w:t>
      </w:r>
    </w:p>
    <w:p w:rsidR="00BA5283" w:rsidRPr="00B17BE8" w:rsidRDefault="003C4B67">
      <w:pP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d) Cierre de instrucción.</w:t>
      </w:r>
      <w:r w:rsidRPr="00B17BE8">
        <w:rPr>
          <w:rFonts w:ascii="Palatino Linotype" w:eastAsia="Palatino Linotype" w:hAnsi="Palatino Linotype" w:cs="Palatino Linotype"/>
        </w:rPr>
        <w:t xml:space="preserve"> El </w:t>
      </w:r>
      <w:r w:rsidRPr="00B17BE8">
        <w:rPr>
          <w:rFonts w:ascii="Palatino Linotype" w:eastAsia="Palatino Linotype" w:hAnsi="Palatino Linotype" w:cs="Palatino Linotype"/>
          <w:b/>
        </w:rPr>
        <w:t>nueve de febrero de dos mil veintitrés</w:t>
      </w:r>
      <w:r w:rsidRPr="00B17BE8">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BA5283" w:rsidRPr="00B17BE8" w:rsidRDefault="003C4B67">
      <w:pPr>
        <w:pBdr>
          <w:top w:val="nil"/>
          <w:left w:val="nil"/>
          <w:bottom w:val="nil"/>
          <w:right w:val="nil"/>
          <w:between w:val="nil"/>
        </w:pBdr>
        <w:spacing w:before="240" w:after="240" w:line="360" w:lineRule="auto"/>
        <w:jc w:val="both"/>
      </w:pPr>
      <w:r w:rsidRPr="00B17BE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BA5283" w:rsidRPr="00B17BE8" w:rsidRDefault="003C4B6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17BE8">
        <w:rPr>
          <w:rFonts w:ascii="Palatino Linotype" w:eastAsia="Palatino Linotype" w:hAnsi="Palatino Linotype" w:cs="Palatino Linotype"/>
          <w:b/>
        </w:rPr>
        <w:t>II. C O N S I D E R A N D O S</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Primero. Competencia.</w:t>
      </w:r>
      <w:r w:rsidRPr="00B17BE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17BE8">
        <w:rPr>
          <w:rFonts w:ascii="Palatino Linotype" w:eastAsia="Palatino Linotype" w:hAnsi="Palatino Linotype" w:cs="Palatino Linotype"/>
          <w:b/>
        </w:rPr>
        <w:t>la parte</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Recurrente</w:t>
      </w:r>
      <w:r w:rsidRPr="00B17BE8">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B17BE8">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A5283" w:rsidRPr="00B17BE8" w:rsidRDefault="003C4B67">
      <w:pPr>
        <w:spacing w:line="360" w:lineRule="auto"/>
        <w:jc w:val="both"/>
        <w:rPr>
          <w:rFonts w:ascii="Palatino Linotype" w:eastAsia="Palatino Linotype" w:hAnsi="Palatino Linotype" w:cs="Palatino Linotype"/>
          <w:b/>
        </w:rPr>
      </w:pPr>
      <w:r w:rsidRPr="00B17BE8">
        <w:rPr>
          <w:rFonts w:ascii="Palatino Linotype" w:eastAsia="Palatino Linotype" w:hAnsi="Palatino Linotype" w:cs="Palatino Linotype"/>
          <w:b/>
        </w:rPr>
        <w:t>Segundo</w:t>
      </w:r>
      <w:r w:rsidRPr="00B17BE8">
        <w:rPr>
          <w:rFonts w:ascii="Palatino Linotype" w:eastAsia="Palatino Linotype" w:hAnsi="Palatino Linotype" w:cs="Palatino Linotype"/>
          <w:b/>
          <w:sz w:val="28"/>
          <w:szCs w:val="28"/>
        </w:rPr>
        <w:t xml:space="preserve">. </w:t>
      </w:r>
      <w:r w:rsidRPr="00B17BE8">
        <w:rPr>
          <w:rFonts w:ascii="Palatino Linotype" w:eastAsia="Palatino Linotype" w:hAnsi="Palatino Linotype" w:cs="Palatino Linotype"/>
          <w:b/>
        </w:rPr>
        <w:t xml:space="preserve"> De los alcances del Recurso de Revisión. </w:t>
      </w:r>
      <w:r w:rsidRPr="00B17BE8">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A5283" w:rsidRPr="00B17BE8" w:rsidRDefault="00BA5283">
      <w:pPr>
        <w:spacing w:line="360" w:lineRule="auto"/>
        <w:jc w:val="both"/>
        <w:rPr>
          <w:rFonts w:ascii="Palatino Linotype" w:eastAsia="Palatino Linotype" w:hAnsi="Palatino Linotype" w:cs="Palatino Linotype"/>
          <w:b/>
        </w:rPr>
      </w:pPr>
    </w:p>
    <w:p w:rsidR="00BA5283" w:rsidRPr="00B17BE8" w:rsidRDefault="003C4B67">
      <w:pPr>
        <w:pBdr>
          <w:top w:val="nil"/>
          <w:left w:val="nil"/>
          <w:bottom w:val="nil"/>
          <w:right w:val="nil"/>
          <w:between w:val="nil"/>
        </w:pBd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Tercero. Del estudio de las causas de improcedencia. </w:t>
      </w:r>
      <w:r w:rsidRPr="00B17BE8">
        <w:rPr>
          <w:rFonts w:ascii="Palatino Linotype" w:eastAsia="Palatino Linotype" w:hAnsi="Palatino Linotype" w:cs="Palatino Linotyp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 </w:t>
      </w:r>
    </w:p>
    <w:p w:rsidR="003C4B67" w:rsidRPr="00B17BE8" w:rsidRDefault="003C4B67">
      <w:pPr>
        <w:pBdr>
          <w:top w:val="nil"/>
          <w:left w:val="nil"/>
          <w:bottom w:val="nil"/>
          <w:right w:val="nil"/>
          <w:between w:val="nil"/>
        </w:pBdr>
        <w:spacing w:line="360" w:lineRule="auto"/>
        <w:jc w:val="both"/>
        <w:rPr>
          <w:rFonts w:ascii="Palatino Linotype" w:eastAsia="Palatino Linotype" w:hAnsi="Palatino Linotype" w:cs="Palatino Linotype"/>
        </w:rPr>
      </w:pPr>
    </w:p>
    <w:p w:rsidR="00BA5283" w:rsidRPr="00B17BE8" w:rsidRDefault="003C4B67">
      <w:pPr>
        <w:pBdr>
          <w:top w:val="nil"/>
          <w:left w:val="nil"/>
          <w:bottom w:val="nil"/>
          <w:right w:val="nil"/>
          <w:between w:val="nil"/>
        </w:pBd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rPr>
        <w:lastRenderedPageBreak/>
        <w:t xml:space="preserve">Aunado a lo anterior, el artículo 191 mencionado, indica, entre otras causales, que el Recurso de Revisión será desechado por improcedente cuando sea extemporáneo por haber transcurrido el plazo establecido por el diverso 178 de la Ley de Transparencia y Acceso a la Información Pública del Estado de México y Municipios. Al respecto dicho artículo, señala que, podrá interponerse Recurso de Revisión, dentro de los quince días hábiles siguientes, a la fecha de notificación de la respuesta por parte del </w:t>
      </w:r>
      <w:r w:rsidRPr="00B17BE8">
        <w:rPr>
          <w:rFonts w:ascii="Palatino Linotype" w:eastAsia="Palatino Linotype" w:hAnsi="Palatino Linotype" w:cs="Palatino Linotype"/>
          <w:b/>
        </w:rPr>
        <w:t>Sujeto</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Obligado</w:t>
      </w:r>
      <w:r w:rsidRPr="00B17BE8">
        <w:rPr>
          <w:rFonts w:ascii="Palatino Linotype" w:eastAsia="Palatino Linotype" w:hAnsi="Palatino Linotype" w:cs="Palatino Linotype"/>
        </w:rPr>
        <w:t xml:space="preserve"> (contestación a la solicitud de información o a la derivada por el cumplimiento a la Resolución de un Recurso de Revisión). En ese sentido, del acuse generado por el Sistema de Acceso a la Información Mexiquense (SAIMEX), se advierte que el </w:t>
      </w:r>
      <w:r w:rsidRPr="00B17BE8">
        <w:rPr>
          <w:rFonts w:ascii="Palatino Linotype" w:eastAsia="Palatino Linotype" w:hAnsi="Palatino Linotype" w:cs="Palatino Linotype"/>
          <w:b/>
        </w:rPr>
        <w:t>Ayuntamiento de Metepec</w:t>
      </w:r>
      <w:r w:rsidRPr="00B17BE8">
        <w:rPr>
          <w:rFonts w:ascii="Palatino Linotype" w:eastAsia="Palatino Linotype" w:hAnsi="Palatino Linotype" w:cs="Palatino Linotype"/>
        </w:rPr>
        <w:t xml:space="preserve">, notificó la respuesta al Particular, en cumplimiento a la Resolución del Recurso de Revisión con número </w:t>
      </w:r>
      <w:r w:rsidRPr="00B17BE8">
        <w:rPr>
          <w:rFonts w:ascii="Palatino Linotype" w:eastAsia="Palatino Linotype" w:hAnsi="Palatino Linotype" w:cs="Palatino Linotype"/>
          <w:b/>
        </w:rPr>
        <w:t>14124/INFOEM/IP/RR/2022, el treinta de noviembre de dos mil veintidós</w:t>
      </w:r>
      <w:r w:rsidRPr="00B17BE8">
        <w:rPr>
          <w:rFonts w:ascii="Palatino Linotype" w:eastAsia="Palatino Linotype" w:hAnsi="Palatino Linotype" w:cs="Palatino Linotype"/>
        </w:rPr>
        <w:t>, a través de dicho portal.</w:t>
      </w:r>
    </w:p>
    <w:p w:rsidR="00BA5283" w:rsidRPr="00B17BE8" w:rsidRDefault="00BA5283">
      <w:pPr>
        <w:pBdr>
          <w:top w:val="nil"/>
          <w:left w:val="nil"/>
          <w:bottom w:val="nil"/>
          <w:right w:val="nil"/>
          <w:between w:val="nil"/>
        </w:pBdr>
        <w:spacing w:line="360" w:lineRule="auto"/>
        <w:jc w:val="both"/>
        <w:rPr>
          <w:rFonts w:ascii="Palatino Linotype" w:eastAsia="Palatino Linotype" w:hAnsi="Palatino Linotype" w:cs="Palatino Linotype"/>
        </w:rPr>
      </w:pPr>
    </w:p>
    <w:p w:rsidR="00BA5283" w:rsidRPr="00B17BE8" w:rsidRDefault="003C4B67">
      <w:pPr>
        <w:pBdr>
          <w:top w:val="nil"/>
          <w:left w:val="nil"/>
          <w:bottom w:val="nil"/>
          <w:right w:val="nil"/>
          <w:between w:val="nil"/>
        </w:pBd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rPr>
        <w:t xml:space="preserve">Por tanto, el plazo de quince días, contados a partir del día hábil siguiente de la notificación de la contestación, con el que contaba el Solicitante para interponer su segundo Recurso de Revisión, comenzó a computarse el </w:t>
      </w:r>
      <w:r w:rsidRPr="00B17BE8">
        <w:rPr>
          <w:rFonts w:ascii="Palatino Linotype" w:eastAsia="Palatino Linotype" w:hAnsi="Palatino Linotype" w:cs="Palatino Linotype"/>
          <w:b/>
        </w:rPr>
        <w:t>primero de diciembre de dos mil veintidós</w:t>
      </w:r>
      <w:r w:rsidRPr="00B17BE8">
        <w:rPr>
          <w:rFonts w:ascii="Palatino Linotype" w:eastAsia="Palatino Linotype" w:hAnsi="Palatino Linotype" w:cs="Palatino Linotype"/>
        </w:rPr>
        <w:t xml:space="preserve"> </w:t>
      </w:r>
      <w:r w:rsidRPr="00B17BE8">
        <w:rPr>
          <w:rFonts w:ascii="Palatino Linotype" w:eastAsia="Palatino Linotype" w:hAnsi="Palatino Linotype" w:cs="Palatino Linotype"/>
          <w:b/>
        </w:rPr>
        <w:t>y concluyó el veintiuno de diciembre de dos mil veintidós</w:t>
      </w:r>
      <w:r w:rsidRPr="00B17BE8">
        <w:rPr>
          <w:rFonts w:ascii="Palatino Linotype" w:eastAsia="Palatino Linotype" w:hAnsi="Palatino Linotype" w:cs="Palatino Linotype"/>
        </w:rPr>
        <w:t xml:space="preserve">, ello sin contar los días, tres, cuatro, diez, once, diecisiete y dieciocho de diciembre de dos mil veintidós, al ser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w:t>
      </w:r>
      <w:r w:rsidRPr="00B17BE8">
        <w:rPr>
          <w:rFonts w:ascii="Palatino Linotype" w:eastAsia="Palatino Linotype" w:hAnsi="Palatino Linotype" w:cs="Palatino Linotype"/>
        </w:rPr>
        <w:lastRenderedPageBreak/>
        <w:t xml:space="preserve">Municipios, así como de laborales de este Instituto, para el año dos mil veintidós y enero dos mil veintitrés. </w:t>
      </w:r>
    </w:p>
    <w:p w:rsidR="00BA5283" w:rsidRPr="00B17BE8" w:rsidRDefault="00BA5283">
      <w:pPr>
        <w:pBdr>
          <w:top w:val="nil"/>
          <w:left w:val="nil"/>
          <w:bottom w:val="nil"/>
          <w:right w:val="nil"/>
          <w:between w:val="nil"/>
        </w:pBdr>
        <w:spacing w:line="360" w:lineRule="auto"/>
        <w:jc w:val="both"/>
        <w:rPr>
          <w:rFonts w:ascii="Palatino Linotype" w:eastAsia="Palatino Linotype" w:hAnsi="Palatino Linotype" w:cs="Palatino Linotype"/>
        </w:rPr>
      </w:pPr>
    </w:p>
    <w:p w:rsidR="00BA5283" w:rsidRPr="00B17BE8" w:rsidRDefault="003C4B67">
      <w:pPr>
        <w:pBdr>
          <w:top w:val="nil"/>
          <w:left w:val="nil"/>
          <w:bottom w:val="nil"/>
          <w:right w:val="nil"/>
          <w:between w:val="nil"/>
        </w:pBdr>
        <w:spacing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rPr>
        <w:t xml:space="preserve">Por su parte, el ahora Recurrente, como se desprende del Sistema de Acceso a la Información Mexiquense (SAIMEX), interpuso su segundo medio de impugnación, hasta el día </w:t>
      </w:r>
      <w:r w:rsidRPr="00B17BE8">
        <w:rPr>
          <w:rFonts w:ascii="Palatino Linotype" w:eastAsia="Palatino Linotype" w:hAnsi="Palatino Linotype" w:cs="Palatino Linotype"/>
          <w:b/>
        </w:rPr>
        <w:t>once de enero de dos mil veintitrés</w:t>
      </w:r>
      <w:r w:rsidRPr="00B17BE8">
        <w:rPr>
          <w:rFonts w:ascii="Palatino Linotype" w:eastAsia="Palatino Linotype" w:hAnsi="Palatino Linotype" w:cs="Palatino Linotype"/>
        </w:rPr>
        <w:t xml:space="preserve">. Por tanto, al interponerse el Recurso de Revisión ante este Instituto, en dicha fecha, se concluye que se realizó una vez fenecido el plazo legal establecido, es decir, a los </w:t>
      </w:r>
      <w:r w:rsidRPr="00B17BE8">
        <w:rPr>
          <w:rFonts w:ascii="Palatino Linotype" w:eastAsia="Palatino Linotype" w:hAnsi="Palatino Linotype" w:cs="Palatino Linotype"/>
          <w:b/>
        </w:rPr>
        <w:t>dieciocho días hábiles</w:t>
      </w:r>
      <w:r w:rsidRPr="00B17BE8">
        <w:rPr>
          <w:rFonts w:ascii="Palatino Linotype" w:eastAsia="Palatino Linotype" w:hAnsi="Palatino Linotype" w:cs="Palatino Linotype"/>
        </w:rPr>
        <w:t xml:space="preserve"> posteriores a la contestación realizada por el </w:t>
      </w:r>
      <w:r w:rsidRPr="00B17BE8">
        <w:rPr>
          <w:rFonts w:ascii="Palatino Linotype" w:eastAsia="Palatino Linotype" w:hAnsi="Palatino Linotype" w:cs="Palatino Linotype"/>
          <w:b/>
        </w:rPr>
        <w:t>Sujeto Obligado</w:t>
      </w:r>
      <w:r w:rsidRPr="00B17BE8">
        <w:rPr>
          <w:rFonts w:ascii="Palatino Linotype" w:eastAsia="Palatino Linotype" w:hAnsi="Palatino Linotype" w:cs="Palatino Linotype"/>
        </w:rPr>
        <w:t xml:space="preserve"> en cumplimiento a la Resolución del Recurso de Revisión con número </w:t>
      </w:r>
      <w:r w:rsidRPr="00B17BE8">
        <w:rPr>
          <w:rFonts w:ascii="Palatino Linotype" w:eastAsia="Palatino Linotype" w:hAnsi="Palatino Linotype" w:cs="Palatino Linotype"/>
          <w:b/>
        </w:rPr>
        <w:t>14124/INFOEM/IP/RR/2022</w:t>
      </w:r>
      <w:r w:rsidRPr="00B17BE8">
        <w:rPr>
          <w:rFonts w:ascii="Palatino Linotype" w:eastAsia="Palatino Linotype" w:hAnsi="Palatino Linotype" w:cs="Palatino Linotype"/>
        </w:rPr>
        <w:t>; resultando extemporánea la presentación del Medio de Impugnación. Dicha situación, se robustece, con el historial de la solicitud de información citado al rubro, localizado en el Sistema de Acceso a la Información Mexiquense (SAIMEX). En consecuencia, en virtud de haber presentado de manera extemporánea el Medio de Impugnación, el segundo Recurso de Revisión actualiza la causal de sobreseimiento, prevista en el artículo 192, fracción IV, de la Ley de Transparencia y Acceso a la Información Pública del Estado de México y Municipios; esto es el Recurso se presentó de forma extemporánea por haber transcurrido el plazo de Ley.</w:t>
      </w:r>
    </w:p>
    <w:p w:rsidR="00BA5283" w:rsidRPr="00B17BE8" w:rsidRDefault="003C4B67">
      <w:pPr>
        <w:spacing w:before="240" w:after="240" w:line="360" w:lineRule="auto"/>
        <w:jc w:val="both"/>
        <w:rPr>
          <w:rFonts w:ascii="Palatino Linotype" w:eastAsia="Palatino Linotype" w:hAnsi="Palatino Linotype" w:cs="Palatino Linotype"/>
        </w:rPr>
      </w:pPr>
      <w:r w:rsidRPr="00B17BE8">
        <w:rPr>
          <w:rFonts w:ascii="Palatino Linotype" w:eastAsia="Palatino Linotype" w:hAnsi="Palatino Linotype" w:cs="Palatino Linotype"/>
        </w:rPr>
        <w:t>Así, con fundamento en lo prescrito en los</w:t>
      </w:r>
      <w:r w:rsidRPr="00B17BE8">
        <w:t xml:space="preserve"> </w:t>
      </w:r>
      <w:r w:rsidRPr="00B17BE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A5283" w:rsidRPr="00B17BE8" w:rsidRDefault="003C4B6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B17BE8">
        <w:rPr>
          <w:rFonts w:ascii="Palatino Linotype" w:eastAsia="Palatino Linotype" w:hAnsi="Palatino Linotype" w:cs="Palatino Linotype"/>
          <w:b/>
        </w:rPr>
        <w:lastRenderedPageBreak/>
        <w:t>III. R E S U E L V E</w:t>
      </w:r>
    </w:p>
    <w:p w:rsidR="00BA5283" w:rsidRPr="00B17BE8" w:rsidRDefault="003C4B67">
      <w:pPr>
        <w:spacing w:line="360" w:lineRule="auto"/>
        <w:ind w:right="49"/>
        <w:jc w:val="both"/>
        <w:rPr>
          <w:rFonts w:ascii="Palatino Linotype" w:eastAsia="Palatino Linotype" w:hAnsi="Palatino Linotype" w:cs="Palatino Linotype"/>
        </w:rPr>
      </w:pPr>
      <w:bookmarkStart w:id="3" w:name="_heading=h.3znysh7" w:colFirst="0" w:colLast="0"/>
      <w:bookmarkEnd w:id="3"/>
      <w:r w:rsidRPr="00B17BE8">
        <w:rPr>
          <w:rFonts w:ascii="Palatino Linotype" w:eastAsia="Palatino Linotype" w:hAnsi="Palatino Linotype" w:cs="Palatino Linotype"/>
          <w:b/>
        </w:rPr>
        <w:t xml:space="preserve">PRIMERO. Se SOBRESEE </w:t>
      </w:r>
      <w:r w:rsidRPr="00B17BE8">
        <w:rPr>
          <w:rFonts w:ascii="Palatino Linotype" w:eastAsia="Palatino Linotype" w:hAnsi="Palatino Linotype" w:cs="Palatino Linotype"/>
        </w:rPr>
        <w:t>el Recurso de Revisión</w:t>
      </w:r>
      <w:r w:rsidRPr="00B17BE8">
        <w:rPr>
          <w:rFonts w:ascii="Palatino Linotype" w:eastAsia="Palatino Linotype" w:hAnsi="Palatino Linotype" w:cs="Palatino Linotype"/>
          <w:b/>
        </w:rPr>
        <w:t xml:space="preserve"> 14124/INFOEM/ICR-08/IP/RR/2022, </w:t>
      </w:r>
      <w:r w:rsidRPr="00B17BE8">
        <w:rPr>
          <w:rFonts w:ascii="Palatino Linotype" w:eastAsia="Palatino Linotype" w:hAnsi="Palatino Linotype" w:cs="Palatino Linotype"/>
        </w:rPr>
        <w:t xml:space="preserve">de conformidad con el artículo 192, fracción IV, por actualizarse la causal de improcedencia, establecida en el artículo 191, fracción I, ambos de la Ley de Transparencia y Acceso a la Información Pública del Estado de México y Municipios. </w:t>
      </w:r>
    </w:p>
    <w:p w:rsidR="00BA5283" w:rsidRPr="00B17BE8" w:rsidRDefault="00BA5283">
      <w:pPr>
        <w:spacing w:line="360" w:lineRule="auto"/>
        <w:ind w:right="49"/>
        <w:jc w:val="both"/>
        <w:rPr>
          <w:rFonts w:ascii="Palatino Linotype" w:eastAsia="Palatino Linotype" w:hAnsi="Palatino Linotype" w:cs="Palatino Linotype"/>
          <w:b/>
        </w:rPr>
      </w:pPr>
    </w:p>
    <w:p w:rsidR="00BA5283" w:rsidRPr="00B17BE8" w:rsidRDefault="003C4B67">
      <w:pPr>
        <w:spacing w:line="360" w:lineRule="auto"/>
        <w:ind w:right="49"/>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SEGUNDO. </w:t>
      </w:r>
      <w:r w:rsidRPr="00B17BE8">
        <w:rPr>
          <w:rFonts w:ascii="Palatino Linotype" w:eastAsia="Palatino Linotype" w:hAnsi="Palatino Linotype" w:cs="Palatino Linotype"/>
        </w:rPr>
        <w:t xml:space="preserve">Notifíquese la presente resolución al Titular de la Unidad de Transparencia del Sujeto Obligado. </w:t>
      </w:r>
    </w:p>
    <w:p w:rsidR="00BA5283" w:rsidRPr="00B17BE8" w:rsidRDefault="00BA5283">
      <w:pPr>
        <w:spacing w:line="360" w:lineRule="auto"/>
        <w:ind w:right="49"/>
        <w:jc w:val="both"/>
        <w:rPr>
          <w:rFonts w:ascii="Palatino Linotype" w:eastAsia="Palatino Linotype" w:hAnsi="Palatino Linotype" w:cs="Palatino Linotype"/>
          <w:b/>
        </w:rPr>
      </w:pPr>
    </w:p>
    <w:p w:rsidR="00BA5283" w:rsidRPr="00B17BE8" w:rsidRDefault="003C4B67">
      <w:pPr>
        <w:spacing w:line="360" w:lineRule="auto"/>
        <w:ind w:right="49"/>
        <w:jc w:val="both"/>
        <w:rPr>
          <w:rFonts w:ascii="Palatino Linotype" w:eastAsia="Palatino Linotype" w:hAnsi="Palatino Linotype" w:cs="Palatino Linotype"/>
        </w:rPr>
      </w:pPr>
      <w:r w:rsidRPr="00B17BE8">
        <w:rPr>
          <w:rFonts w:ascii="Palatino Linotype" w:eastAsia="Palatino Linotype" w:hAnsi="Palatino Linotype" w:cs="Palatino Linotype"/>
          <w:b/>
        </w:rPr>
        <w:t xml:space="preserve">TERCERO. </w:t>
      </w:r>
      <w:r w:rsidRPr="00B17BE8">
        <w:rPr>
          <w:rFonts w:ascii="Palatino Linotype" w:eastAsia="Palatino Linotype" w:hAnsi="Palatino Linotype" w:cs="Palatino Linotype"/>
        </w:rPr>
        <w:t>Notifíquese la presente Resolución al Recurrente, a través del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A5283" w:rsidRPr="00B17BE8" w:rsidRDefault="00BA5283">
      <w:pPr>
        <w:spacing w:line="360" w:lineRule="auto"/>
        <w:ind w:right="49"/>
        <w:jc w:val="both"/>
        <w:rPr>
          <w:rFonts w:ascii="Palatino Linotype" w:eastAsia="Palatino Linotype" w:hAnsi="Palatino Linotype" w:cs="Palatino Linotype"/>
          <w:b/>
        </w:rPr>
      </w:pPr>
    </w:p>
    <w:p w:rsidR="00BA5283" w:rsidRPr="00B17BE8" w:rsidRDefault="003C4B67">
      <w:pPr>
        <w:spacing w:line="360" w:lineRule="auto"/>
        <w:ind w:right="49"/>
        <w:jc w:val="both"/>
        <w:rPr>
          <w:rFonts w:ascii="Palatino Linotype" w:eastAsia="Palatino Linotype" w:hAnsi="Palatino Linotype" w:cs="Palatino Linotype"/>
        </w:rPr>
        <w:sectPr w:rsidR="00BA5283" w:rsidRPr="00B17BE8">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bookmarkStart w:id="4" w:name="_heading=h.2et92p0" w:colFirst="0" w:colLast="0"/>
      <w:bookmarkEnd w:id="4"/>
      <w:r w:rsidRPr="00B17BE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w:t>
      </w:r>
      <w:r w:rsidRPr="00B17BE8">
        <w:rPr>
          <w:rFonts w:ascii="Palatino Linotype" w:eastAsia="Palatino Linotype" w:hAnsi="Palatino Linotype" w:cs="Palatino Linotype"/>
        </w:rPr>
        <w:lastRenderedPageBreak/>
        <w:t xml:space="preserve">QUINCE DE FEBRERO DE DOS MIL VEINTITRÉS, ANTE EL SECRETARIO </w:t>
      </w:r>
      <w:r w:rsidR="005053CB" w:rsidRPr="00B17BE8">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110489</wp:posOffset>
                </wp:positionH>
                <wp:positionV relativeFrom="paragraph">
                  <wp:posOffset>546734</wp:posOffset>
                </wp:positionV>
                <wp:extent cx="5305425" cy="70961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05425" cy="7096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77E4B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43.05pt" to="426.45pt,6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" strokecolor="black [3200]" strokeweight="1.5pt">
                <v:stroke joinstyle="miter"/>
              </v:line>
            </w:pict>
          </mc:Fallback>
        </mc:AlternateContent>
      </w:r>
      <w:r w:rsidRPr="00B17BE8">
        <w:rPr>
          <w:rFonts w:ascii="Palatino Linotype" w:eastAsia="Palatino Linotype" w:hAnsi="Palatino Linotype" w:cs="Palatino Linotype"/>
        </w:rPr>
        <w:t>TÉCNICO DEL PLENO ALEXIS TAPIA RAMÍREZ.</w:t>
      </w:r>
    </w:p>
    <w:p w:rsidR="00BA5283" w:rsidRPr="00B17BE8" w:rsidRDefault="00BA5283">
      <w:pPr>
        <w:tabs>
          <w:tab w:val="left" w:pos="709"/>
        </w:tabs>
        <w:spacing w:before="240" w:after="240" w:line="360" w:lineRule="auto"/>
        <w:jc w:val="both"/>
        <w:rPr>
          <w:rFonts w:ascii="Palatino Linotype" w:eastAsia="Palatino Linotype" w:hAnsi="Palatino Linotype" w:cs="Palatino Linotype"/>
        </w:rPr>
      </w:pPr>
    </w:p>
    <w:p w:rsidR="00BA5283" w:rsidRPr="00B17BE8" w:rsidRDefault="00BA5283"/>
    <w:p w:rsidR="00BA5283" w:rsidRPr="00B17BE8" w:rsidRDefault="00BA5283"/>
    <w:sectPr w:rsidR="00BA5283" w:rsidRPr="00B17BE8">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41" w:rsidRDefault="00694641">
      <w:r>
        <w:separator/>
      </w:r>
    </w:p>
  </w:endnote>
  <w:endnote w:type="continuationSeparator" w:id="0">
    <w:p w:rsidR="00694641" w:rsidRDefault="0069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83" w:rsidRDefault="003C4B6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1D49">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1D49">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rsidR="00BA5283" w:rsidRDefault="00BA5283">
    <w:pPr>
      <w:pBdr>
        <w:top w:val="nil"/>
        <w:left w:val="nil"/>
        <w:bottom w:val="nil"/>
        <w:right w:val="nil"/>
        <w:between w:val="nil"/>
      </w:pBdr>
      <w:tabs>
        <w:tab w:val="center" w:pos="4252"/>
        <w:tab w:val="right" w:pos="8504"/>
      </w:tabs>
      <w:rPr>
        <w:color w:val="000000"/>
      </w:rPr>
    </w:pPr>
  </w:p>
  <w:p w:rsidR="00BA5283" w:rsidRDefault="00BA528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83" w:rsidRDefault="003C4B6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E1D4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E1D49">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rsidR="00BA5283" w:rsidRDefault="00BA52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41" w:rsidRDefault="00694641">
      <w:r>
        <w:separator/>
      </w:r>
    </w:p>
  </w:footnote>
  <w:footnote w:type="continuationSeparator" w:id="0">
    <w:p w:rsidR="00694641" w:rsidRDefault="0069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83" w:rsidRDefault="003C4B67">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-1017902</wp:posOffset>
          </wp:positionH>
          <wp:positionV relativeFrom="paragraph">
            <wp:posOffset>-325026</wp:posOffset>
          </wp:positionV>
          <wp:extent cx="7635163" cy="9944100"/>
          <wp:effectExtent l="0" t="0" r="0" b="0"/>
          <wp:wrapNone/>
          <wp:docPr id="6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520" w:type="dxa"/>
      <w:tblInd w:w="3261" w:type="dxa"/>
      <w:tblLayout w:type="fixed"/>
      <w:tblLook w:val="0400" w:firstRow="0" w:lastRow="0" w:firstColumn="0" w:lastColumn="0" w:noHBand="0" w:noVBand="1"/>
    </w:tblPr>
    <w:tblGrid>
      <w:gridCol w:w="2552"/>
      <w:gridCol w:w="3968"/>
    </w:tblGrid>
    <w:tr w:rsidR="00BA5283">
      <w:tc>
        <w:tcPr>
          <w:tcW w:w="2552"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rsidR="00BA5283" w:rsidRDefault="003C4B67">
          <w:pPr>
            <w:ind w:right="-54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14124/INFOEM/ICR-08/IP/RR/2022</w:t>
          </w:r>
        </w:p>
      </w:tc>
    </w:tr>
    <w:tr w:rsidR="00BA5283">
      <w:trPr>
        <w:trHeight w:val="228"/>
      </w:trPr>
      <w:tc>
        <w:tcPr>
          <w:tcW w:w="2552"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rsidR="00BA5283" w:rsidRDefault="003C4B6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BA5283">
      <w:tc>
        <w:tcPr>
          <w:tcW w:w="2552"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rsidR="00BA5283" w:rsidRDefault="003C4B6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A5283" w:rsidRDefault="003C4B67">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83" w:rsidRDefault="003C4B67">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-1010916</wp:posOffset>
          </wp:positionH>
          <wp:positionV relativeFrom="paragraph">
            <wp:posOffset>-276221</wp:posOffset>
          </wp:positionV>
          <wp:extent cx="7635240" cy="9942830"/>
          <wp:effectExtent l="0" t="0" r="0" b="0"/>
          <wp:wrapNone/>
          <wp:docPr id="6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460" w:type="dxa"/>
      <w:tblInd w:w="2612" w:type="dxa"/>
      <w:tblLayout w:type="fixed"/>
      <w:tblLook w:val="0400" w:firstRow="0" w:lastRow="0" w:firstColumn="0" w:lastColumn="0" w:noHBand="0" w:noVBand="1"/>
    </w:tblPr>
    <w:tblGrid>
      <w:gridCol w:w="2551"/>
      <w:gridCol w:w="3909"/>
    </w:tblGrid>
    <w:tr w:rsidR="00BA5283">
      <w:tc>
        <w:tcPr>
          <w:tcW w:w="2551"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9" w:type="dxa"/>
          <w:vAlign w:val="center"/>
        </w:tcPr>
        <w:p w:rsidR="00BA5283" w:rsidRDefault="003C4B6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14124/INFOEM/ICR-08/IP/RR/2022</w:t>
          </w:r>
        </w:p>
      </w:tc>
    </w:tr>
    <w:tr w:rsidR="00BA5283">
      <w:tc>
        <w:tcPr>
          <w:tcW w:w="2551" w:type="dxa"/>
          <w:vAlign w:val="center"/>
        </w:tcPr>
        <w:p w:rsidR="00BA5283" w:rsidRDefault="003C4B6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9" w:type="dxa"/>
          <w:vAlign w:val="center"/>
        </w:tcPr>
        <w:p w:rsidR="00BA5283" w:rsidRDefault="00BA5283">
          <w:pPr>
            <w:ind w:left="-45"/>
            <w:jc w:val="both"/>
            <w:rPr>
              <w:rFonts w:ascii="Palatino Linotype" w:eastAsia="Palatino Linotype" w:hAnsi="Palatino Linotype" w:cs="Palatino Linotype"/>
              <w:b/>
              <w:sz w:val="22"/>
              <w:szCs w:val="22"/>
            </w:rPr>
          </w:pPr>
        </w:p>
      </w:tc>
    </w:tr>
    <w:tr w:rsidR="00BA5283">
      <w:trPr>
        <w:trHeight w:val="228"/>
      </w:trPr>
      <w:tc>
        <w:tcPr>
          <w:tcW w:w="2551"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9" w:type="dxa"/>
          <w:vAlign w:val="center"/>
        </w:tcPr>
        <w:p w:rsidR="00BA5283" w:rsidRDefault="003C4B67">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Metepec</w:t>
          </w:r>
        </w:p>
      </w:tc>
    </w:tr>
    <w:tr w:rsidR="00BA5283">
      <w:tc>
        <w:tcPr>
          <w:tcW w:w="2551" w:type="dxa"/>
          <w:vAlign w:val="center"/>
        </w:tcPr>
        <w:p w:rsidR="00BA5283" w:rsidRDefault="003C4B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9" w:type="dxa"/>
          <w:vAlign w:val="center"/>
        </w:tcPr>
        <w:p w:rsidR="00BA5283" w:rsidRDefault="003C4B6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A5283" w:rsidRDefault="00BA5283">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83" w:rsidRDefault="003C4B6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BA5283" w:rsidRDefault="00BA528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A4856"/>
    <w:multiLevelType w:val="multilevel"/>
    <w:tmpl w:val="BEA2FF5E"/>
    <w:lvl w:ilvl="0">
      <w:start w:val="1"/>
      <w:numFmt w:val="low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BE019F"/>
    <w:multiLevelType w:val="multilevel"/>
    <w:tmpl w:val="D9227F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83"/>
    <w:rsid w:val="000E3106"/>
    <w:rsid w:val="00177D4C"/>
    <w:rsid w:val="002E1D49"/>
    <w:rsid w:val="003C4B67"/>
    <w:rsid w:val="005053CB"/>
    <w:rsid w:val="00694641"/>
    <w:rsid w:val="0084724E"/>
    <w:rsid w:val="00B17BE8"/>
    <w:rsid w:val="00BA5283"/>
    <w:rsid w:val="00D233BE"/>
    <w:rsid w:val="00D96826"/>
    <w:rsid w:val="00ED566B"/>
    <w:rsid w:val="00EE4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9C343-30E7-42B0-B26E-AC1C7E9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dKV3OCi18ncifaZcctgHCF0lVg==">AMUW2mVWZeh9Fbg2QSuUEbCAATswzIxdJI5pRj6PCVxcWBEgzZwE1f1G9tLDeBpgzLiRgJJ6Av11pLQpSvLtNqhz+Uo3nhbYqE6HcmhrmAG1jPN7k3WQe+PJRORqPCUpeKClYlXUwTv43CjranRtVJ9b/7+pltETrAiGKO42bP+ejjHt6zfk5Mk=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2783</Words>
  <Characters>15307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2023-02-17T16:16:00Z</cp:lastPrinted>
  <dcterms:created xsi:type="dcterms:W3CDTF">2023-02-23T20:48:00Z</dcterms:created>
  <dcterms:modified xsi:type="dcterms:W3CDTF">2023-02-23T20:48:00Z</dcterms:modified>
</cp:coreProperties>
</file>