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72A" w:rsidRDefault="00CD3283">
      <w:pPr>
        <w:spacing w:before="240" w:after="240" w:line="360" w:lineRule="auto"/>
        <w:jc w:val="both"/>
        <w:rPr>
          <w:rFonts w:ascii="Palatino Linotype" w:eastAsia="Palatino Linotype" w:hAnsi="Palatino Linotype" w:cs="Palatino Linotype"/>
        </w:rPr>
      </w:pPr>
      <w:bookmarkStart w:id="0" w:name="_heading=h.1fob9te"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cuatro de mayo de dos mil veintitrés. </w:t>
      </w:r>
    </w:p>
    <w:p w:rsidR="000A672A" w:rsidRDefault="00CD328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16584/INFOEM/IP/RR/2022</w:t>
      </w:r>
      <w:r>
        <w:rPr>
          <w:rFonts w:ascii="Palatino Linotype" w:eastAsia="Palatino Linotype" w:hAnsi="Palatino Linotype" w:cs="Palatino Linotype"/>
        </w:rPr>
        <w:t xml:space="preserve">, interpuesto por </w:t>
      </w:r>
      <w:r w:rsidR="00AF7BE7">
        <w:rPr>
          <w:rFonts w:ascii="Palatino Linotype" w:eastAsia="Palatino Linotype" w:hAnsi="Palatino Linotype" w:cs="Palatino Linotype"/>
          <w:b/>
        </w:rPr>
        <w:t>XXXXXXXXXXX XXXXXXXXXXXXX XXX XX</w:t>
      </w:r>
      <w:r>
        <w:rPr>
          <w:rFonts w:ascii="Palatino Linotype" w:eastAsia="Palatino Linotype" w:hAnsi="Palatino Linotype" w:cs="Palatino Linotype"/>
        </w:rPr>
        <w:t xml:space="preserve">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por parte de la </w:t>
      </w:r>
      <w:r>
        <w:rPr>
          <w:rFonts w:ascii="Palatino Linotype" w:eastAsia="Palatino Linotype" w:hAnsi="Palatino Linotype" w:cs="Palatino Linotype"/>
          <w:b/>
        </w:rPr>
        <w:t xml:space="preserve">Secretaría de Salud,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0A672A" w:rsidRDefault="00CD3283">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rsidR="000A672A" w:rsidRDefault="00CD328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cuatro de octubre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 la Plataforma Nacional de Transparencia vinculada con 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00409/SSALUD/IP/2022, </w:t>
      </w:r>
      <w:r>
        <w:rPr>
          <w:rFonts w:ascii="Palatino Linotype" w:eastAsia="Palatino Linotype" w:hAnsi="Palatino Linotype" w:cs="Palatino Linotype"/>
        </w:rPr>
        <w:t xml:space="preserve">mediante la cual requirió la información siguiente: </w:t>
      </w:r>
    </w:p>
    <w:p w:rsidR="000A672A" w:rsidRDefault="00CD3283">
      <w:pPr>
        <w:spacing w:before="240" w:after="240"/>
        <w:ind w:left="851" w:right="902"/>
        <w:jc w:val="both"/>
        <w:rPr>
          <w:rFonts w:ascii="Palatino Linotype" w:eastAsia="Palatino Linotype" w:hAnsi="Palatino Linotype" w:cs="Palatino Linotype"/>
          <w:i/>
          <w:sz w:val="22"/>
          <w:szCs w:val="22"/>
        </w:rPr>
      </w:pPr>
      <w:bookmarkStart w:id="1" w:name="_heading=h.gjdgxs" w:colFirst="0" w:colLast="0"/>
      <w:bookmarkEnd w:id="1"/>
      <w:r>
        <w:rPr>
          <w:rFonts w:ascii="Palatino Linotype" w:eastAsia="Palatino Linotype" w:hAnsi="Palatino Linotype" w:cs="Palatino Linotype"/>
          <w:i/>
          <w:sz w:val="22"/>
          <w:szCs w:val="22"/>
        </w:rPr>
        <w:t xml:space="preserve">“Con fundamento en el Artículos 7 párrafo segundo, 13, 24 Fracción V y 70 de la Ley General de Transparencia y Acceso a la Información Pública, al igual que el Artículo 43 del Reglamento Interior de la Secretaría de Salud, así como los demás relativos y aplicables a la presente solicitud. Se solicita lo siguiente: 1. Informe si han tenido capacitaciones realizadas al personal de salud en materia de derechos humanos y de las personas usuarias de drogas, incluyendo, la obligación de respetar su derecho a la capacidad jurídica, su integridad física y personal, su autonomía y privacidad, así como el estar libres de tortura, malos tratos y violencias. En caso de ser positivo: 1.1. Indique la fecha en la que se </w:t>
      </w:r>
      <w:r>
        <w:rPr>
          <w:rFonts w:ascii="Palatino Linotype" w:eastAsia="Palatino Linotype" w:hAnsi="Palatino Linotype" w:cs="Palatino Linotype"/>
          <w:i/>
          <w:sz w:val="22"/>
          <w:szCs w:val="22"/>
        </w:rPr>
        <w:lastRenderedPageBreak/>
        <w:t>realizaron dichas capacitaciones 1.2. Indique el número de personas capacitadas y sus puestos 1.3. Indique la modalidad en que fueron realizadas dichas capacitaciones 1.4. Indique la forma de evaluación de dichas capacitaciones 1.5. Indique el temario que se siguió En caso de ser negativo, explique la razón. 2. ¿Cuáles son los protocolos vigentes sobre trato a personas usuarias de drogas y personas con discapacidad psicosocial en hospitales generales y especializados (psiquiátricos)? Haciendo especial énfasis en protocolos de actuación y manuales de operación referentes a sujeciones mecánicas y químicas, además de los casos en los que se utilice el aislamiento como método de emergencia. 3. ¿Cuáles son las acciones llevadas a cabo para el registro, sanción y, en su caso, clausura de las clínicas de tratamiento de adicciones (anexos) que se encuentran operando fuera de la normativa? 3.1. ¿Cuál ha sido el resultado de dichas acciones a nivel estatal? 3.2. En caso de haber realizado cierres de estas clínicas, 3.2.1. ¿En qué ciudades se han realizado estas clausuras? 3.2.2. Mencione si, además de la clausura, se aplicaron sanciones a las y los administradores de estas. 4. Mencione si existe un sistema de rendición de cuentas para los centros de salud mental, con mecanismos internos o híbridos de monitoreo de los derechos humanos. 4.1. En caso de ser afirmativo, mencione cuáles son y cómo operan. 4.2. En caso de ser negativo, indique si existe un plan de rendición de cuentas interno para ser aplicado en estos espacios.” (Sic)</w:t>
      </w:r>
    </w:p>
    <w:p w:rsidR="000A672A" w:rsidRDefault="00CD328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SAIMEX.</w:t>
      </w:r>
    </w:p>
    <w:p w:rsidR="000A672A" w:rsidRDefault="00CD328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veinticinco de octubre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0A672A" w:rsidRDefault="00CD3283">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da atención a su solicitud...” (</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rsidR="000A672A" w:rsidRDefault="00CD3283">
      <w:pPr>
        <w:spacing w:before="240" w:after="240" w:line="360" w:lineRule="auto"/>
        <w:ind w:right="49"/>
        <w:jc w:val="both"/>
        <w:rPr>
          <w:rFonts w:ascii="Palatino Linotype" w:eastAsia="Palatino Linotype" w:hAnsi="Palatino Linotype" w:cs="Palatino Linotype"/>
        </w:rPr>
      </w:pPr>
      <w:bookmarkStart w:id="2" w:name="_heading=h.1t3h5sf" w:colFirst="0" w:colLast="0"/>
      <w:bookmarkEnd w:id="2"/>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el archivo: “</w:t>
      </w:r>
      <w:hyperlink r:id="rId8">
        <w:r>
          <w:rPr>
            <w:rFonts w:ascii="Palatino Linotype" w:eastAsia="Palatino Linotype" w:hAnsi="Palatino Linotype" w:cs="Palatino Linotype"/>
          </w:rPr>
          <w:t>sol 409 2022 saimex.pdf</w:t>
        </w:r>
      </w:hyperlink>
      <w:r>
        <w:rPr>
          <w:rFonts w:ascii="Palatino Linotype" w:eastAsia="Palatino Linotype" w:hAnsi="Palatino Linotype" w:cs="Palatino Linotype"/>
        </w:rPr>
        <w:t xml:space="preserve">” el cual </w:t>
      </w:r>
      <w:r w:rsidR="007A22E9">
        <w:rPr>
          <w:rFonts w:ascii="Palatino Linotype" w:eastAsia="Palatino Linotype" w:hAnsi="Palatino Linotype" w:cs="Palatino Linotype"/>
        </w:rPr>
        <w:t>contiene la respuesta del Jefe d</w:t>
      </w:r>
      <w:r>
        <w:rPr>
          <w:rFonts w:ascii="Palatino Linotype" w:eastAsia="Palatino Linotype" w:hAnsi="Palatino Linotype" w:cs="Palatino Linotype"/>
        </w:rPr>
        <w:t>e</w:t>
      </w:r>
      <w:r w:rsidR="007A22E9">
        <w:rPr>
          <w:rFonts w:ascii="Palatino Linotype" w:eastAsia="Palatino Linotype" w:hAnsi="Palatino Linotype" w:cs="Palatino Linotype"/>
        </w:rPr>
        <w:t xml:space="preserve"> la Unidad d</w:t>
      </w:r>
      <w:r>
        <w:rPr>
          <w:rFonts w:ascii="Palatino Linotype" w:eastAsia="Palatino Linotype" w:hAnsi="Palatino Linotype" w:cs="Palatino Linotype"/>
        </w:rPr>
        <w:t xml:space="preserve">e Información, Planeación, Programación </w:t>
      </w:r>
      <w:r w:rsidR="007A22E9">
        <w:rPr>
          <w:rFonts w:ascii="Palatino Linotype" w:eastAsia="Palatino Linotype" w:hAnsi="Palatino Linotype" w:cs="Palatino Linotype"/>
        </w:rPr>
        <w:t>y</w:t>
      </w:r>
      <w:r>
        <w:rPr>
          <w:rFonts w:ascii="Palatino Linotype" w:eastAsia="Palatino Linotype" w:hAnsi="Palatino Linotype" w:cs="Palatino Linotype"/>
        </w:rPr>
        <w:t xml:space="preserve"> Evaluación de la Secretaría de la Salud, por medio del cual informó al solicitante</w:t>
      </w:r>
      <w:r w:rsidR="007A22E9">
        <w:rPr>
          <w:rFonts w:ascii="Palatino Linotype" w:eastAsia="Palatino Linotype" w:hAnsi="Palatino Linotype" w:cs="Palatino Linotype"/>
        </w:rPr>
        <w:t xml:space="preserve"> lo siguiente</w:t>
      </w:r>
      <w:r>
        <w:rPr>
          <w:rFonts w:ascii="Palatino Linotype" w:eastAsia="Palatino Linotype" w:hAnsi="Palatino Linotype" w:cs="Palatino Linotype"/>
        </w:rPr>
        <w:t>:</w:t>
      </w:r>
    </w:p>
    <w:p w:rsidR="000A672A" w:rsidRDefault="00CD3283">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.cumplimiento a los que establecen los artículos 1, 4, 6, 16, 17 y 45 de la Ley General de Transparencia y Acceso a la Información Pública, así como 1, 2, 7, 8, </w:t>
      </w:r>
      <w:r>
        <w:rPr>
          <w:rFonts w:ascii="Palatino Linotype" w:eastAsia="Palatino Linotype" w:hAnsi="Palatino Linotype" w:cs="Palatino Linotype"/>
          <w:i/>
          <w:sz w:val="22"/>
          <w:szCs w:val="22"/>
        </w:rPr>
        <w:lastRenderedPageBreak/>
        <w:t xml:space="preserve">11, 50, 52, 53 fracciones II, V, VI y XII, 58, 59 fracción I, 162 y 163 de la Ley de Transparencia y Acceso a la Información Pública del Estado de México y Municipios, se informa: </w:t>
      </w:r>
    </w:p>
    <w:p w:rsidR="000A672A" w:rsidRDefault="00CD3283">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Con fundamento en el artículo 12 de la Ley de Transparencia y Acceso a la Información Pública del Estado de México y Municipios, que textualmente señala: “Quienes generen, recopilen, administren, manejen, procesen, archiven o conserven información pública serán responsables de la misma en los términos de las disposiciones jurídicas aplicables. </w:t>
      </w:r>
    </w:p>
    <w:p w:rsidR="000A672A" w:rsidRDefault="00CD3283">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0A672A" w:rsidRDefault="00CD3283">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Asimismo, lo establecido en el artículo 167 de la Ley de Transparencia y Acceso a la Información Pública del Estado de México y Municipios, que a la letra señala: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rsidR="000A672A" w:rsidRDefault="00CD3283">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Derivado del análisis realizado, se identificó que la información que describe en su solicitud, no es administrada por unidades administrativas u órganos desconcentrados pertenecientes a esta Secretaría de Salud del Estado de México, una vez cotejado con las atribuciones establecidas en el marco jurídico de actuación de la Secretaría de Salud del Estado de México, en particular en el Código Administrativo del Estado de México, así como su Reglamento Interior de la Secretaria de Salud del Estado de México y las funciones descritas en el Manual General de Organización de la Secretaría de Salud del Estado de México, por motivo de que dentro de su estructura orgánica no se contemplan unidades médicas de primero, segundo y tercer nivel de atención médica. </w:t>
      </w:r>
    </w:p>
    <w:p w:rsidR="000A672A" w:rsidRDefault="00CD3283">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Si bien es cierto el reconocer el hecho establecido en el artículo 2.18 del Código Administrativo del Estado de México, que señala: “La Secretaría de Salud tendrá a su cargo la regulación de los servicios de salud a que se refiere este título, el Instituto de Salud se encargará de la operación de los mismos” […]; también lo es el hecho que corresponderá al Instituto de Salud del Estado de México la administración de dichos servicios. </w:t>
      </w:r>
    </w:p>
    <w:p w:rsidR="000A672A" w:rsidRDefault="00CD3283">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Asimismo, con relación al Sistema Estatal de Salud, el CAPITULO SEGUNDO Del Sistema Estatal de Salud, el Código Administrativo en su artículo 2.20, refiere “El sistema estatal de salud está constituido por las dependencias y organismos auxiliares de la administración pública estatal, y las personas físicas y morales de los sectores social y privado que presten servicios de salud en la Entidad” […]. </w:t>
      </w:r>
    </w:p>
    <w:p w:rsidR="000A672A" w:rsidRDefault="00CD3283">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No obstante, existe información que pudiera ser de su interés y que es publicada por el órgano desconcentrado a esta Secretaria de Salud del Estado de México, Instituto Mexiquense Contra las Adicciones (IMCA), que puede ser consultada en la dirección electrónica: https://imca.edomex.gob.mx/capacitacion https://imca.edomex.gob.mx/establecimientos-residenciales https://imca.edomex.gob.mx/fomento-norma-oficial-mexicana </w:t>
      </w:r>
      <w:hyperlink r:id="rId9">
        <w:r>
          <w:rPr>
            <w:rFonts w:ascii="Palatino Linotype" w:eastAsia="Palatino Linotype" w:hAnsi="Palatino Linotype" w:cs="Palatino Linotype"/>
            <w:i/>
            <w:color w:val="0000FF"/>
            <w:sz w:val="22"/>
            <w:szCs w:val="22"/>
            <w:u w:val="single"/>
          </w:rPr>
          <w:t>https://imca.edomex.gob.mx/platicas-conferencias</w:t>
        </w:r>
      </w:hyperlink>
      <w:r>
        <w:rPr>
          <w:rFonts w:ascii="Palatino Linotype" w:eastAsia="Palatino Linotype" w:hAnsi="Palatino Linotype" w:cs="Palatino Linotype"/>
          <w:i/>
          <w:sz w:val="22"/>
          <w:szCs w:val="22"/>
        </w:rPr>
        <w:t>” (Sic)</w:t>
      </w:r>
    </w:p>
    <w:p w:rsidR="000A672A" w:rsidRDefault="00CD328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dieciséis de noviembre de dos mil veintidós,</w:t>
      </w:r>
      <w:r>
        <w:rPr>
          <w:rFonts w:ascii="Palatino Linotype" w:eastAsia="Palatino Linotype" w:hAnsi="Palatino Linotype" w:cs="Palatino Linotype"/>
        </w:rPr>
        <w:t xml:space="preserve"> la parte recurrente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rsidR="000A672A" w:rsidRDefault="00CD3283">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rsidR="000A672A" w:rsidRPr="007A22E9" w:rsidRDefault="00CD3283">
      <w:pPr>
        <w:ind w:left="851" w:right="902"/>
        <w:jc w:val="both"/>
        <w:rPr>
          <w:rFonts w:ascii="Palatino Linotype" w:eastAsia="Palatino Linotype" w:hAnsi="Palatino Linotype" w:cs="Palatino Linotype"/>
          <w:b/>
          <w:i/>
          <w:sz w:val="22"/>
          <w:szCs w:val="22"/>
        </w:rPr>
      </w:pPr>
      <w:r w:rsidRPr="007A22E9">
        <w:rPr>
          <w:rFonts w:ascii="Palatino Linotype" w:eastAsia="Palatino Linotype" w:hAnsi="Palatino Linotype" w:cs="Palatino Linotype"/>
          <w:b/>
          <w:i/>
          <w:sz w:val="22"/>
          <w:szCs w:val="22"/>
        </w:rPr>
        <w:t>“No hay respuesta por parte de la autoridad. Excede el límite de días para responder.” (Sic)</w:t>
      </w:r>
    </w:p>
    <w:p w:rsidR="000A672A" w:rsidRDefault="000A672A">
      <w:pPr>
        <w:spacing w:line="360" w:lineRule="auto"/>
        <w:jc w:val="both"/>
        <w:rPr>
          <w:rFonts w:ascii="Palatino Linotype" w:eastAsia="Palatino Linotype" w:hAnsi="Palatino Linotype" w:cs="Palatino Linotype"/>
          <w:b/>
        </w:rPr>
      </w:pPr>
    </w:p>
    <w:p w:rsidR="000A672A" w:rsidRDefault="00CD328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rsidR="000A672A" w:rsidRDefault="000A672A">
      <w:pPr>
        <w:ind w:right="902"/>
        <w:jc w:val="both"/>
        <w:rPr>
          <w:rFonts w:ascii="Palatino Linotype" w:eastAsia="Palatino Linotype" w:hAnsi="Palatino Linotype" w:cs="Palatino Linotype"/>
          <w:sz w:val="22"/>
          <w:szCs w:val="22"/>
        </w:rPr>
      </w:pPr>
      <w:bookmarkStart w:id="3" w:name="_heading=h.42h1xvvsz9f4" w:colFirst="0" w:colLast="0"/>
      <w:bookmarkEnd w:id="3"/>
    </w:p>
    <w:p w:rsidR="000A672A" w:rsidRDefault="00CD3283">
      <w:pPr>
        <w:ind w:right="902"/>
        <w:jc w:val="both"/>
        <w:rPr>
          <w:rFonts w:ascii="Palatino Linotype" w:eastAsia="Palatino Linotype" w:hAnsi="Palatino Linotype" w:cs="Palatino Linotype"/>
          <w:sz w:val="22"/>
          <w:szCs w:val="22"/>
        </w:rPr>
      </w:pPr>
      <w:bookmarkStart w:id="4" w:name="_heading=h.30j0zll" w:colFirst="0" w:colLast="0"/>
      <w:bookmarkEnd w:id="4"/>
      <w:r>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xml:space="preserve"> no señaló motivos de inconformidad.</w:t>
      </w:r>
    </w:p>
    <w:p w:rsidR="000A672A" w:rsidRDefault="000A672A">
      <w:pPr>
        <w:ind w:right="902"/>
        <w:jc w:val="both"/>
        <w:rPr>
          <w:rFonts w:ascii="Palatino Linotype" w:eastAsia="Palatino Linotype" w:hAnsi="Palatino Linotype" w:cs="Palatino Linotype"/>
          <w:sz w:val="22"/>
          <w:szCs w:val="22"/>
        </w:rPr>
      </w:pPr>
    </w:p>
    <w:p w:rsidR="000A672A" w:rsidRDefault="00CD3283">
      <w:pPr>
        <w:spacing w:line="360" w:lineRule="auto"/>
        <w:rPr>
          <w:rFonts w:ascii="Palatino Linotype" w:eastAsia="Palatino Linotype" w:hAnsi="Palatino Linotype" w:cs="Palatino Linotype"/>
          <w:i/>
          <w:sz w:val="22"/>
          <w:szCs w:val="22"/>
        </w:rPr>
      </w:pPr>
      <w:r>
        <w:rPr>
          <w:rFonts w:ascii="Palatino Linotype" w:eastAsia="Palatino Linotype" w:hAnsi="Palatino Linotype" w:cs="Palatino Linotype"/>
          <w:b/>
        </w:rPr>
        <w:t xml:space="preserve">Anexos: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adjuntó el archivo “</w:t>
      </w:r>
      <w:hyperlink r:id="rId10">
        <w:r>
          <w:rPr>
            <w:rFonts w:ascii="Palatino Linotype" w:eastAsia="Palatino Linotype" w:hAnsi="Palatino Linotype" w:cs="Palatino Linotype"/>
          </w:rPr>
          <w:t>Archivo1668618039281null</w:t>
        </w:r>
      </w:hyperlink>
      <w:r>
        <w:rPr>
          <w:rFonts w:ascii="Palatino Linotype" w:eastAsia="Palatino Linotype" w:hAnsi="Palatino Linotype" w:cs="Palatino Linotype"/>
        </w:rPr>
        <w:t xml:space="preserve">”, el cual no se puede abrir. </w:t>
      </w:r>
      <w:r>
        <w:rPr>
          <w:rFonts w:ascii="Palatino Linotype" w:eastAsia="Palatino Linotype" w:hAnsi="Palatino Linotype" w:cs="Palatino Linotype"/>
          <w:i/>
          <w:sz w:val="22"/>
          <w:szCs w:val="22"/>
        </w:rPr>
        <w:t xml:space="preserve"> </w:t>
      </w:r>
    </w:p>
    <w:p w:rsidR="000A672A" w:rsidRDefault="000A672A">
      <w:pPr>
        <w:spacing w:line="360" w:lineRule="auto"/>
        <w:rPr>
          <w:rFonts w:ascii="Palatino Linotype" w:eastAsia="Palatino Linotype" w:hAnsi="Palatino Linotype" w:cs="Palatino Linotype"/>
          <w:i/>
          <w:sz w:val="22"/>
          <w:szCs w:val="22"/>
        </w:rPr>
      </w:pPr>
    </w:p>
    <w:p w:rsidR="000A672A" w:rsidRDefault="00CD3283">
      <w:pPr>
        <w:spacing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w:t>
      </w:r>
      <w:r>
        <w:rPr>
          <w:rFonts w:ascii="Palatino Linotype" w:eastAsia="Palatino Linotype" w:hAnsi="Palatino Linotype" w:cs="Palatino Linotype"/>
        </w:rPr>
        <w:lastRenderedPageBreak/>
        <w:t xml:space="preserve">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rsidR="000A672A" w:rsidRDefault="00CD328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 Admisión del Recurso de revisión.</w:t>
      </w:r>
      <w:r>
        <w:rPr>
          <w:rFonts w:ascii="Palatino Linotype" w:eastAsia="Palatino Linotype" w:hAnsi="Palatino Linotype" w:cs="Palatino Linotype"/>
        </w:rPr>
        <w:t xml:space="preserve"> Con fecha</w:t>
      </w:r>
      <w:r>
        <w:rPr>
          <w:rFonts w:ascii="Palatino Linotype" w:eastAsia="Palatino Linotype" w:hAnsi="Palatino Linotype" w:cs="Palatino Linotype"/>
          <w:b/>
        </w:rPr>
        <w:t xml:space="preserve"> veintidós de noviembre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rsidR="000A672A" w:rsidRDefault="00CD3283">
      <w:pPr>
        <w:spacing w:before="240" w:after="240" w:line="360" w:lineRule="auto"/>
        <w:ind w:right="49"/>
        <w:jc w:val="both"/>
        <w:rPr>
          <w:rFonts w:ascii="Palatino Linotype" w:eastAsia="Palatino Linotype" w:hAnsi="Palatino Linotype" w:cs="Palatino Linotype"/>
        </w:rPr>
      </w:pPr>
      <w:bookmarkStart w:id="5" w:name="_heading=h.2s8eyo1" w:colFirst="0" w:colLast="0"/>
      <w:bookmarkEnd w:id="5"/>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De las constancias que integran el expediente electrónico en que se actúa se advierte que en fecha </w:t>
      </w:r>
      <w:r>
        <w:rPr>
          <w:rFonts w:ascii="Palatino Linotype" w:eastAsia="Palatino Linotype" w:hAnsi="Palatino Linotype" w:cs="Palatino Linotype"/>
          <w:b/>
        </w:rPr>
        <w:t xml:space="preserve">veintitrés de noviembre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el archivo electrónico siguiente:</w:t>
      </w:r>
    </w:p>
    <w:p w:rsidR="000A672A" w:rsidRDefault="00CD328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11">
        <w:r>
          <w:rPr>
            <w:rFonts w:ascii="Palatino Linotype" w:eastAsia="Palatino Linotype" w:hAnsi="Palatino Linotype" w:cs="Palatino Linotype"/>
          </w:rPr>
          <w:t xml:space="preserve">Oficio No. 208B0201014462022 Respuesta al oficio 611 UIPPE </w:t>
        </w:r>
        <w:proofErr w:type="spellStart"/>
        <w:r>
          <w:rPr>
            <w:rFonts w:ascii="Palatino Linotype" w:eastAsia="Palatino Linotype" w:hAnsi="Palatino Linotype" w:cs="Palatino Linotype"/>
          </w:rPr>
          <w:t>inf</w:t>
        </w:r>
        <w:proofErr w:type="spellEnd"/>
        <w:r>
          <w:rPr>
            <w:rFonts w:ascii="Palatino Linotype" w:eastAsia="Palatino Linotype" w:hAnsi="Palatino Linotype" w:cs="Palatino Linotype"/>
          </w:rPr>
          <w:t xml:space="preserve"> justificado.pdf</w:t>
        </w:r>
      </w:hyperlink>
      <w:r>
        <w:rPr>
          <w:rFonts w:ascii="Palatino Linotype" w:eastAsia="Palatino Linotype" w:hAnsi="Palatino Linotype" w:cs="Palatino Linotype"/>
        </w:rPr>
        <w:t>”, el cual corresponde al oficio número Oficio No. 208B02010/1446/2022, por medio del cual el Director del Instituto Mexiquense Contra las Adicciones, informó que se hizo una revisión exhaustiva de las preguntas; sin embargo, no está dentro de nuestra competencia dar respuesta a la información solicitada por la naturaleza de esta, por lo que corresponde a otra dependencia.</w:t>
      </w:r>
    </w:p>
    <w:p w:rsidR="000A672A" w:rsidRDefault="00CD328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analizado el documento, se determinó hacerlo del conocimiento de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con la finalidad de que manifestara lo que a su derecho estimara conveniente, siendo omiso en ejercer dicha prerrogativa.</w:t>
      </w:r>
    </w:p>
    <w:p w:rsidR="000A672A" w:rsidRDefault="00CD3283">
      <w:pPr>
        <w:tabs>
          <w:tab w:val="left" w:pos="5103"/>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7. Ampliación del término para resolver</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veinticuatro de abril de dos mil veintitrés</w:t>
      </w:r>
      <w:r>
        <w:rPr>
          <w:rFonts w:ascii="Palatino Linotype" w:eastAsia="Palatino Linotype" w:hAnsi="Palatino Linotype" w:cs="Palatino Linotype"/>
        </w:rPr>
        <w:t xml:space="preserve">, se amplió el término para resolver el recurso de revisión en términos del artículo 181 párrafo tercero de la Ley de Transparencia y Acceso a la Información Pública del Estado de México y Municipios. </w:t>
      </w:r>
    </w:p>
    <w:p w:rsidR="000A672A" w:rsidRDefault="00CD3283">
      <w:pPr>
        <w:spacing w:before="240" w:after="240" w:line="360" w:lineRule="auto"/>
        <w:jc w:val="both"/>
        <w:rPr>
          <w:rFonts w:ascii="Palatino Linotype" w:eastAsia="Palatino Linotype" w:hAnsi="Palatino Linotype" w:cs="Palatino Linotype"/>
        </w:rPr>
      </w:pPr>
      <w:bookmarkStart w:id="6" w:name="_heading=h.2p2csry" w:colFirst="0" w:colLast="0"/>
      <w:bookmarkEnd w:id="6"/>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rsidR="000A672A" w:rsidRDefault="00CD328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0A672A" w:rsidRDefault="00CD328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A672A" w:rsidRDefault="00CD328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rsidR="000A672A" w:rsidRDefault="00CD3283">
      <w:pPr>
        <w:spacing w:before="240" w:after="240" w:line="360" w:lineRule="auto"/>
        <w:jc w:val="both"/>
        <w:rPr>
          <w:rFonts w:ascii="Palatino Linotype" w:eastAsia="Palatino Linotype" w:hAnsi="Palatino Linotype" w:cs="Palatino Linotype"/>
          <w:strik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Pr>
          <w:rFonts w:ascii="Palatino Linotype" w:eastAsia="Palatino Linotype" w:hAnsi="Palatino Linotype" w:cs="Palatino Linotype"/>
        </w:rPr>
        <w:t>su resolución atentos</w:t>
      </w:r>
      <w:proofErr w:type="gramEnd"/>
      <w:r>
        <w:rPr>
          <w:rFonts w:ascii="Palatino Linotype" w:eastAsia="Palatino Linotype" w:hAnsi="Palatino Linotype" w:cs="Palatino Linotype"/>
        </w:rPr>
        <w:t xml:space="preserve"> a los siguientes criterios: </w:t>
      </w:r>
    </w:p>
    <w:p w:rsidR="000A672A" w:rsidRDefault="00CD3283">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0A672A" w:rsidRDefault="00CD3283">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rsidR="000A672A" w:rsidRDefault="00CD3283">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rsidR="000A672A" w:rsidRDefault="00CD3283">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La afectación generada en la situación jurídica de la persona involucrada en el proceso: Violación a sus derechos humanos.</w:t>
      </w:r>
    </w:p>
    <w:p w:rsidR="000A672A" w:rsidRDefault="00CD328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A672A" w:rsidRDefault="00CD328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Argumento que encuentra sustento en la jurisprudencia P</w:t>
      </w:r>
      <w:proofErr w:type="gramStart"/>
      <w:r>
        <w:rPr>
          <w:rFonts w:ascii="Palatino Linotype" w:eastAsia="Palatino Linotype" w:hAnsi="Palatino Linotype" w:cs="Palatino Linotype"/>
        </w:rPr>
        <w:t>./</w:t>
      </w:r>
      <w:proofErr w:type="gramEnd"/>
      <w:r>
        <w:rPr>
          <w:rFonts w:ascii="Palatino Linotype" w:eastAsia="Palatino Linotype" w:hAnsi="Palatino Linotype" w:cs="Palatino Linotype"/>
        </w:rPr>
        <w:t xml:space="preserve">J. 32/92 emitida por el Pleno de la Suprema Corte de Justicia de la Nación de rubro </w:t>
      </w:r>
      <w:r>
        <w:rPr>
          <w:rFonts w:ascii="Palatino Linotype" w:eastAsia="Palatino Linotype" w:hAnsi="Palatino Linotype" w:cs="Palatino Linotype"/>
          <w:i/>
        </w:rPr>
        <w:t xml:space="preserve">“TÉRMINOS </w:t>
      </w:r>
      <w:r>
        <w:rPr>
          <w:rFonts w:ascii="Palatino Linotype" w:eastAsia="Palatino Linotype" w:hAnsi="Palatino Linotype" w:cs="Palatino Linotype"/>
          <w:i/>
        </w:rPr>
        <w:lastRenderedPageBreak/>
        <w:t>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rsidR="000A672A" w:rsidRDefault="00CD328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A672A" w:rsidRDefault="00CD328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0A672A" w:rsidRDefault="00CD3283">
      <w:pPr>
        <w:spacing w:before="240" w:after="240"/>
        <w:ind w:left="851"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i/>
          <w:sz w:val="22"/>
          <w:szCs w:val="22"/>
        </w:rPr>
        <w:t>“PLAZO RAZONABLE PARA RESOLVER. DIMENSIÓN Y EFECTOS DE ESTE CONCEPTO CUANDO SE ADUCE EXCESIVA CARGA DE TRABAJO</w:t>
      </w:r>
      <w:r>
        <w:rPr>
          <w:rFonts w:ascii="Palatino Linotype" w:eastAsia="Palatino Linotype" w:hAnsi="Palatino Linotype" w:cs="Palatino Linotype"/>
          <w:i/>
          <w:sz w:val="22"/>
          <w:szCs w:val="22"/>
        </w:rPr>
        <w:t>.”</w:t>
      </w:r>
      <w:r>
        <w:rPr>
          <w:rFonts w:ascii="Palatino Linotype" w:eastAsia="Palatino Linotype" w:hAnsi="Palatino Linotype" w:cs="Palatino Linotype"/>
          <w:sz w:val="22"/>
          <w:szCs w:val="22"/>
        </w:rPr>
        <w:t xml:space="preserve"> consultable en el Seminario Judicial de la Federación y su gaceta, con el registro digital 2002351.</w:t>
      </w:r>
    </w:p>
    <w:p w:rsidR="000A672A" w:rsidRDefault="00CD3283">
      <w:pPr>
        <w:spacing w:before="240" w:after="240"/>
        <w:ind w:left="851"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Pr>
          <w:rFonts w:ascii="Palatino Linotype" w:eastAsia="Palatino Linotype" w:hAnsi="Palatino Linotype" w:cs="Palatino Linotype"/>
          <w:sz w:val="22"/>
          <w:szCs w:val="22"/>
        </w:rPr>
        <w:t xml:space="preserve">, visible en el </w:t>
      </w:r>
      <w:r>
        <w:rPr>
          <w:rFonts w:ascii="Palatino Linotype" w:eastAsia="Palatino Linotype" w:hAnsi="Palatino Linotype" w:cs="Palatino Linotype"/>
          <w:sz w:val="22"/>
          <w:szCs w:val="22"/>
        </w:rPr>
        <w:lastRenderedPageBreak/>
        <w:t>Seminario Judicial de la Federación y su gaceta, con el registro digital 2002350.</w:t>
      </w:r>
    </w:p>
    <w:p w:rsidR="000A672A" w:rsidRDefault="00CD328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0A672A" w:rsidRDefault="00CD328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Pr>
          <w:rFonts w:ascii="Palatino Linotype" w:eastAsia="Palatino Linotype" w:hAnsi="Palatino Linotype" w:cs="Palatino Linotype"/>
          <w:b/>
        </w:rPr>
        <w:t>veintiocho de abril de dos mil veintitrés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0A672A" w:rsidRDefault="00CD328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0A672A" w:rsidRDefault="00CD3283">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rsidR="000A672A" w:rsidRDefault="00CD328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w:t>
      </w:r>
      <w:r>
        <w:rPr>
          <w:rFonts w:ascii="Palatino Linotype" w:eastAsia="Palatino Linotype" w:hAnsi="Palatino Linotype" w:cs="Palatino Linotype"/>
        </w:rPr>
        <w:lastRenderedPageBreak/>
        <w:t>Pública del Estado de México y Municipios; 9, fracciones I y XXIII y 11 del Reglamento Interior del Instituto de Transparencia, Acceso a la Información Pública y Protección de Datos Personales del Estado de México y Municipios.</w:t>
      </w:r>
    </w:p>
    <w:p w:rsidR="000A672A" w:rsidRDefault="00CD3283">
      <w:pPr>
        <w:spacing w:before="240" w:after="240" w:line="360" w:lineRule="auto"/>
        <w:jc w:val="both"/>
        <w:rPr>
          <w:rFonts w:ascii="Palatino Linotype" w:eastAsia="Palatino Linotype" w:hAnsi="Palatino Linotype" w:cs="Palatino Linotype"/>
        </w:rPr>
      </w:pPr>
      <w:bookmarkStart w:id="7" w:name="_heading=h.tyjcwt" w:colFirst="0" w:colLast="0"/>
      <w:bookmarkEnd w:id="7"/>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del Recurso de Revisión</w:t>
      </w:r>
      <w:r>
        <w:rPr>
          <w:rFonts w:ascii="Palatino Linotype" w:eastAsia="Palatino Linotype" w:hAnsi="Palatino Linotype" w:cs="Palatino Linotype"/>
        </w:rPr>
        <w:t xml:space="preserve">. 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0A672A" w:rsidRDefault="00CD328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respuesta a la solicitud de información el día </w:t>
      </w:r>
      <w:r>
        <w:rPr>
          <w:rFonts w:ascii="Palatino Linotype" w:eastAsia="Palatino Linotype" w:hAnsi="Palatino Linotype" w:cs="Palatino Linotype"/>
          <w:b/>
        </w:rPr>
        <w:t xml:space="preserve">veinticinco de octubre de dos mil veintidós, </w:t>
      </w:r>
      <w:r>
        <w:rPr>
          <w:rFonts w:ascii="Palatino Linotype" w:eastAsia="Palatino Linotype" w:hAnsi="Palatino Linotype" w:cs="Palatino Linotype"/>
        </w:rPr>
        <w:t xml:space="preserve">mientras que el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tuvo por presentado el día </w:t>
      </w:r>
      <w:r>
        <w:rPr>
          <w:rFonts w:ascii="Palatino Linotype" w:eastAsia="Palatino Linotype" w:hAnsi="Palatino Linotype" w:cs="Palatino Linotype"/>
          <w:b/>
        </w:rPr>
        <w:t>dieciséis de noviembre de dos mil veintidós</w:t>
      </w:r>
      <w:r>
        <w:rPr>
          <w:rFonts w:ascii="Palatino Linotype" w:eastAsia="Palatino Linotype" w:hAnsi="Palatino Linotype" w:cs="Palatino Linotype"/>
        </w:rPr>
        <w:t>, esto es, al décimo quinto día hábil en que tuvo conocimiento de la respuesta impugnada.</w:t>
      </w:r>
    </w:p>
    <w:p w:rsidR="000A672A" w:rsidRDefault="00CD3283">
      <w:pPr>
        <w:spacing w:before="240" w:after="240" w:line="360" w:lineRule="auto"/>
        <w:jc w:val="both"/>
        <w:rPr>
          <w:rFonts w:ascii="Palatino Linotype" w:eastAsia="Palatino Linotype" w:hAnsi="Palatino Linotype" w:cs="Palatino Linotype"/>
        </w:rPr>
      </w:pPr>
      <w:bookmarkStart w:id="8" w:name="_heading=h.3znysh7" w:colFirst="0" w:colLast="0"/>
      <w:bookmarkEnd w:id="8"/>
      <w:r>
        <w:rPr>
          <w:rFonts w:ascii="Palatino Linotype" w:eastAsia="Palatino Linotype" w:hAnsi="Palatino Linotype" w:cs="Palatino Linotype"/>
        </w:rPr>
        <w:t xml:space="preserve">En este sentido, al considerar la fecha en que se formuló la solicitud y la fecha en que respondió a ésta el </w:t>
      </w:r>
      <w:r>
        <w:rPr>
          <w:rFonts w:ascii="Palatino Linotype" w:eastAsia="Palatino Linotype" w:hAnsi="Palatino Linotype" w:cs="Palatino Linotype"/>
          <w:b/>
        </w:rPr>
        <w:t>Sujeto Obligado</w:t>
      </w:r>
      <w:r>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0A672A" w:rsidRDefault="00CD328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no proporcionó su nombre</w:t>
      </w:r>
      <w:r>
        <w:rPr>
          <w:rFonts w:ascii="Palatino Linotype" w:eastAsia="Palatino Linotype" w:hAnsi="Palatino Linotype" w:cs="Palatino Linotype"/>
          <w:b/>
        </w:rPr>
        <w:t>,</w:t>
      </w:r>
      <w:r>
        <w:rPr>
          <w:rFonts w:ascii="Palatino Linotype" w:eastAsia="Palatino Linotype" w:hAnsi="Palatino Linotype" w:cs="Palatino Linotype"/>
        </w:rPr>
        <w:t xml:space="preserve"> como se advierte en el detalle de seguimiento del SAIMEX, no obstante lo anterior, no proporcionar el nombre no es motivo para archivar la solicitud de acceso a la información pública </w:t>
      </w:r>
      <w:r>
        <w:rPr>
          <w:rFonts w:ascii="Palatino Linotype" w:eastAsia="Palatino Linotype" w:hAnsi="Palatino Linotype" w:cs="Palatino Linotype"/>
        </w:rPr>
        <w:lastRenderedPageBreak/>
        <w:t>como concluida, conforme a lo previsto en el artículo 155, penúltimo párrafo de la Ley de Transparencia y Acceso a la Información Pública del Estado de México y Municipios que establece lo siguiente:</w:t>
      </w:r>
    </w:p>
    <w:p w:rsidR="000A672A" w:rsidRDefault="00CD3283">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Las solicitudes </w:t>
      </w:r>
      <w:r>
        <w:rPr>
          <w:rFonts w:ascii="Palatino Linotype" w:eastAsia="Palatino Linotype" w:hAnsi="Palatino Linotype" w:cs="Palatino Linotype"/>
          <w:i/>
          <w:sz w:val="22"/>
          <w:szCs w:val="22"/>
        </w:rPr>
        <w:t xml:space="preserve">anónimas, con </w:t>
      </w:r>
      <w:r>
        <w:rPr>
          <w:rFonts w:ascii="Palatino Linotype" w:eastAsia="Palatino Linotype" w:hAnsi="Palatino Linotype" w:cs="Palatino Linotype"/>
          <w:b/>
          <w:i/>
          <w:sz w:val="22"/>
          <w:szCs w:val="22"/>
        </w:rPr>
        <w:t>nombre incompleto o seudónimo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w:t>
      </w:r>
    </w:p>
    <w:p w:rsidR="000A672A" w:rsidRDefault="00CD328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también, 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0A672A" w:rsidRDefault="00CD328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advierte que resulta procedente la interposición del recurso, según lo manifestado por el recurrente en sus motivos de inconformidad, de acuerdo al artículo 179, fracción VII del ordenamiento legal citado, que a la letra dice: </w:t>
      </w:r>
    </w:p>
    <w:p w:rsidR="000A672A" w:rsidRDefault="00CD328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0A672A" w:rsidRDefault="00CD3283">
      <w:pPr>
        <w:spacing w:before="120" w:after="120"/>
        <w:ind w:left="993"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0A672A" w:rsidRDefault="00CD3283">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rsidR="000A672A" w:rsidRDefault="00CD3283">
      <w:pPr>
        <w:spacing w:before="240" w:after="240" w:line="360" w:lineRule="auto"/>
        <w:jc w:val="both"/>
      </w:pPr>
      <w:r>
        <w:rPr>
          <w:rFonts w:ascii="Palatino Linotype" w:eastAsia="Palatino Linotype" w:hAnsi="Palatino Linotype" w:cs="Palatino Linotype"/>
          <w:b/>
        </w:rPr>
        <w:t>Tercero. Análisis de las causales de improcedencia y sobreseimiento del recurso de revisión.</w:t>
      </w:r>
      <w:r>
        <w:t xml:space="preserve"> </w:t>
      </w:r>
      <w:r>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deben estudiarse con la finalidad de dar </w:t>
      </w:r>
      <w:bookmarkStart w:id="9" w:name="_GoBack"/>
      <w:bookmarkEnd w:id="9"/>
      <w:r>
        <w:rPr>
          <w:rFonts w:ascii="Palatino Linotype" w:eastAsia="Palatino Linotype" w:hAnsi="Palatino Linotype" w:cs="Palatino Linotype"/>
        </w:rPr>
        <w:lastRenderedPageBreak/>
        <w:t>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0A672A" w:rsidRDefault="00CD3283">
      <w:pPr>
        <w:spacing w:before="240" w:after="240" w:line="360" w:lineRule="auto"/>
        <w:jc w:val="both"/>
      </w:pPr>
      <w:r>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rsidR="000A672A" w:rsidRDefault="00CD328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manera preliminar en el caso concreto conviene analizar si se actualiza alguna de las causales de sobreseimiento del recurso de revisión.</w:t>
      </w:r>
    </w:p>
    <w:p w:rsidR="000A672A" w:rsidRDefault="00CD328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Así, del análisis de la solicitud de información motivo del recurso de revisión que ahora se resuelve, se advierte que la parte solicitante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proporcione información consistente en lo siguiente:</w:t>
      </w:r>
    </w:p>
    <w:p w:rsidR="000A672A" w:rsidRDefault="00CD328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1. Informe si han tenido capacitaciones realizadas al personal de salud en materia de derechos humanos y de las personas usuarias de drogas, incluyendo, la obligación de respetar su derecho a la capacidad jurídica, su integridad física y </w:t>
      </w:r>
      <w:r>
        <w:rPr>
          <w:rFonts w:ascii="Palatino Linotype" w:eastAsia="Palatino Linotype" w:hAnsi="Palatino Linotype" w:cs="Palatino Linotype"/>
        </w:rPr>
        <w:lastRenderedPageBreak/>
        <w:t xml:space="preserve">personal, su autonomía y privacidad, así como el estar libres de tortura, malos tratos y violencias. </w:t>
      </w:r>
    </w:p>
    <w:p w:rsidR="000A672A" w:rsidRDefault="00CD328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caso de ser positivo: </w:t>
      </w:r>
    </w:p>
    <w:p w:rsidR="000A672A" w:rsidRDefault="00CD328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1.1. Indique la fecha en la que se realizaron dichas capacitaciones </w:t>
      </w:r>
    </w:p>
    <w:p w:rsidR="000A672A" w:rsidRDefault="00CD328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1.2. Indique el número de personas capacitadas y sus puestos </w:t>
      </w:r>
    </w:p>
    <w:p w:rsidR="000A672A" w:rsidRDefault="00CD328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1.3. Indique la modalidad en que fueron realizadas dichas capacitaciones </w:t>
      </w:r>
    </w:p>
    <w:p w:rsidR="000A672A" w:rsidRDefault="00CD328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1.4. Indique la forma de evaluación de dichas capacitaciones </w:t>
      </w:r>
    </w:p>
    <w:p w:rsidR="000A672A" w:rsidRDefault="00CD328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1.5. Indique el temario que se siguió En caso de ser negativo, explique la razón. </w:t>
      </w:r>
    </w:p>
    <w:p w:rsidR="000A672A" w:rsidRDefault="00CD328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2. ¿Cuáles son los protocolos vigentes sobre trato a personas usuarias de drogas y personas con discapacidad psicosocial en hospitales generales y especializados (psiquiátricos)? Haciendo especial énfasis en protocolos de actuación y manuales de operación referentes a sujeciones mecánicas y químicas, además de los casos en los que se utilice el aislamiento como método de emergencia. </w:t>
      </w:r>
    </w:p>
    <w:p w:rsidR="000A672A" w:rsidRDefault="00CD328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3. ¿Cuáles son las acciones llevadas a cabo para el registro, sanción y, en su caso, clausura de las clínicas de tratamiento de adicciones (anexos) que se encuentran operando fuera de la normativa? </w:t>
      </w:r>
    </w:p>
    <w:p w:rsidR="000A672A" w:rsidRDefault="00CD328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3.1. ¿Cuál ha sido el resultado de dichas acciones a nivel estatal? </w:t>
      </w:r>
    </w:p>
    <w:p w:rsidR="000A672A" w:rsidRDefault="00CD328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3.2. En caso de haber realizado cierres de estas clínicas, </w:t>
      </w:r>
    </w:p>
    <w:p w:rsidR="000A672A" w:rsidRDefault="00CD328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3.2.1. ¿En qué ciudades se han realizado estas clausuras? </w:t>
      </w:r>
    </w:p>
    <w:p w:rsidR="000A672A" w:rsidRDefault="00CD328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3.2.2. Mencione si, además de la clausura, se aplicaron sanciones a las y los administradores de estas. 4. Mencione si existe un sistema de rendición de cuentas para los centros de salud mental, con mecanismos internos o híbridos de monitoreo de los derechos humanos. </w:t>
      </w:r>
    </w:p>
    <w:p w:rsidR="000A672A" w:rsidRDefault="00CD328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4.1. En caso de ser afirmativo, mencione cuáles son y cómo operan. 4.2. En caso de ser negativo, indique si existe un plan de rendición de cuentas interno para ser aplicado en estos espacios.</w:t>
      </w:r>
    </w:p>
    <w:p w:rsidR="000A672A" w:rsidRDefault="00CD328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sidR="00E60A52">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través del Jefe </w:t>
      </w:r>
      <w:r w:rsidR="00994A17">
        <w:rPr>
          <w:rFonts w:ascii="Palatino Linotype" w:eastAsia="Palatino Linotype" w:hAnsi="Palatino Linotype" w:cs="Palatino Linotype"/>
        </w:rPr>
        <w:t>de la Unidad de</w:t>
      </w:r>
      <w:r>
        <w:rPr>
          <w:rFonts w:ascii="Palatino Linotype" w:eastAsia="Palatino Linotype" w:hAnsi="Palatino Linotype" w:cs="Palatino Linotype"/>
        </w:rPr>
        <w:t xml:space="preserve"> Información, Planeación, Programación y Evaluación de la Secretaría de la Salud, informó lo siguiente:</w:t>
      </w:r>
    </w:p>
    <w:p w:rsidR="000A672A" w:rsidRDefault="00CD3283">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.cumplimiento a los que establecen los artículos 1, 4, 6, 16, 17 y 45 de la Ley General de Transparencia y Acceso a la Información Pública, así como 1, 2, 7, 8, 11, 50, 52, 53 fracciones II, V, VI y XII, 58, 59 fracción I, 162 y 163 de la Ley de Transparencia y Acceso a la Información Pública del Estado de México y Municipios, se informa: </w:t>
      </w:r>
    </w:p>
    <w:p w:rsidR="000A672A" w:rsidRDefault="00CD3283">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Con fundamento en el artículo 12 de la Ley de Transparencia y Acceso a la Información Pública del Estado de México y Municipios, que textualmente señala: “Quienes generen, recopilen, administren, manejen, procesen, archiven o conserven información pública serán responsables de la misma en los términos de las disposiciones jurídicas aplicables. </w:t>
      </w:r>
    </w:p>
    <w:p w:rsidR="000A672A" w:rsidRDefault="00CD3283">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0A672A" w:rsidRDefault="00CD3283">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Asimismo, lo establecido en el artículo 167 de la Ley de Transparencia y Acceso a la Información Pública del Estado de México y Municipios, que a la letra señala: “Cuando las unidades de transparencia determinen la notoria incompetencia por parte de los sujetos obligados, dentro del ámbito de aplicación para atender la </w:t>
      </w:r>
      <w:r>
        <w:rPr>
          <w:rFonts w:ascii="Palatino Linotype" w:eastAsia="Palatino Linotype" w:hAnsi="Palatino Linotype" w:cs="Palatino Linotype"/>
          <w:i/>
          <w:sz w:val="22"/>
          <w:szCs w:val="22"/>
        </w:rPr>
        <w:lastRenderedPageBreak/>
        <w:t xml:space="preserve">solicitud de acceso a la información, deberán comunicarlo al solicitante, dentro de los tres días hábiles posteriores a la recepción de la solicitud y, en su caso orientar al solicitante, el o los sujetos obligados competentes”. </w:t>
      </w:r>
    </w:p>
    <w:p w:rsidR="000A672A" w:rsidRDefault="00CD3283">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Derivado del análisis realizado, se identificó que la información que describe en su solicitud, no es administrada por unidades administrativas u órganos desconcentrados pertenecientes a esta Secretaría de Salud del Estado de México, una vez cotejado con las atribuciones establecidas en el marco jurídico de actuación de la Secretaría de Salud del Estado de México, en particular en el Código Administrativo del Estado de México, así como su Reglamento Interior de la Secretaria de Salud del Estado de México y las funciones descritas en el Manual General de Organización de la Secretaría de Salud del Estado de México, por motivo de que dentro de su estructura orgánica no se contemplan unidades médicas de primero, segundo y tercer nivel de atención médica. </w:t>
      </w:r>
    </w:p>
    <w:p w:rsidR="000A672A" w:rsidRDefault="00CD3283">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Si bien es cierto el reconocer el hecho establecido en el artículo 2.18 del Código Administrativo del Estado de México, que señala: “La Secretaría de Salud tendrá a su cargo la regulación de los servicios de salud a que se refiere este título, el Instituto de Salud se encargará de la operación de los mismos” […]; también lo es el hecho </w:t>
      </w:r>
      <w:r w:rsidRPr="00994A17">
        <w:rPr>
          <w:rFonts w:ascii="Palatino Linotype" w:eastAsia="Palatino Linotype" w:hAnsi="Palatino Linotype" w:cs="Palatino Linotype"/>
          <w:b/>
          <w:i/>
          <w:sz w:val="22"/>
          <w:szCs w:val="22"/>
          <w:u w:val="single"/>
        </w:rPr>
        <w:t>que corresponderá al Instituto de Salud del Estado de México la administración de dichos servicios</w:t>
      </w:r>
      <w:r>
        <w:rPr>
          <w:rFonts w:ascii="Palatino Linotype" w:eastAsia="Palatino Linotype" w:hAnsi="Palatino Linotype" w:cs="Palatino Linotype"/>
          <w:i/>
          <w:sz w:val="22"/>
          <w:szCs w:val="22"/>
        </w:rPr>
        <w:t xml:space="preserve">. </w:t>
      </w:r>
    </w:p>
    <w:p w:rsidR="000A672A" w:rsidRDefault="00CD3283">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Asimismo, con relación al Sistema Estatal de Salud, el CAPITULO SEGUNDO Del Sistema Estatal de Salud, el Código Administrativo en su artículo 2.20, refiere “El sistema estatal de salud está constituido por las dependencias y organismos auxiliares de la administración pública estatal, y las personas físicas y morales de los sectores social y privado que presten servicios de salud en la Entidad” […]. </w:t>
      </w:r>
    </w:p>
    <w:p w:rsidR="000A672A" w:rsidRDefault="00CD3283">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No obstante, existe información que pudiera ser de su interés y que es publicada por el órgano desconcentrado a esta Secretaria de Salud del Estado de México, Instituto Mexiquense Contra las Adicciones (IMCA), que puede ser consultada en la dirección electrónica: https://imca.edomex.gob.mx/capacitacion https://imca.edomex.gob.mx/establecimientos-residenciales https://imca.edomex.gob.mx/fomento-norma-oficial-mexicana </w:t>
      </w:r>
      <w:hyperlink r:id="rId12">
        <w:r>
          <w:rPr>
            <w:rFonts w:ascii="Palatino Linotype" w:eastAsia="Palatino Linotype" w:hAnsi="Palatino Linotype" w:cs="Palatino Linotype"/>
            <w:i/>
            <w:color w:val="0000FF"/>
            <w:sz w:val="22"/>
            <w:szCs w:val="22"/>
            <w:u w:val="single"/>
          </w:rPr>
          <w:t>https://imca.edomex.gob.mx/platicas-conferencias</w:t>
        </w:r>
      </w:hyperlink>
      <w:r>
        <w:rPr>
          <w:rFonts w:ascii="Palatino Linotype" w:eastAsia="Palatino Linotype" w:hAnsi="Palatino Linotype" w:cs="Palatino Linotype"/>
          <w:i/>
          <w:sz w:val="22"/>
          <w:szCs w:val="22"/>
        </w:rPr>
        <w:t>” (Sic)</w:t>
      </w:r>
    </w:p>
    <w:p w:rsidR="000A672A" w:rsidRDefault="00CD3283">
      <w:pPr>
        <w:spacing w:after="160"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rPr>
        <w:t xml:space="preserve">Conocida la respuesta por la persona solicitante, al no estar conforme con los términos de la misma, interpuso el recurso de revisión que nos ocupa, mediante el </w:t>
      </w:r>
      <w:r>
        <w:rPr>
          <w:rFonts w:ascii="Palatino Linotype" w:eastAsia="Palatino Linotype" w:hAnsi="Palatino Linotype" w:cs="Palatino Linotype"/>
        </w:rPr>
        <w:lastRenderedPageBreak/>
        <w:t xml:space="preserve">cual señaló: </w:t>
      </w:r>
      <w:r>
        <w:rPr>
          <w:rFonts w:ascii="Palatino Linotype" w:eastAsia="Palatino Linotype" w:hAnsi="Palatino Linotype" w:cs="Palatino Linotype"/>
          <w:b/>
          <w:u w:val="single"/>
        </w:rPr>
        <w:t xml:space="preserve">“No hay respuesta por parte de la autoridad. Excede el límite de días para responder.” </w:t>
      </w:r>
    </w:p>
    <w:p w:rsidR="000A672A" w:rsidRDefault="00CD3283">
      <w:p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atentos a la inconformidad planteada, en primer lugar, resulta necesario señalar que de las constancias que obran en el expediente electrónico, se advierte que el </w:t>
      </w:r>
      <w:r>
        <w:rPr>
          <w:rFonts w:ascii="Palatino Linotype" w:eastAsia="Palatino Linotype" w:hAnsi="Palatino Linotype" w:cs="Palatino Linotype"/>
          <w:b/>
        </w:rPr>
        <w:t xml:space="preserve">SUJETO OBLIGADO emitió respuesta en el plazo establecido </w:t>
      </w:r>
      <w:r>
        <w:rPr>
          <w:rFonts w:ascii="Palatino Linotype" w:eastAsia="Palatino Linotype" w:hAnsi="Palatino Linotype" w:cs="Palatino Linotype"/>
        </w:rPr>
        <w:t>en el artículo 163, párrafo primero de la</w:t>
      </w:r>
      <w:r>
        <w:rPr>
          <w:rFonts w:ascii="Palatino Linotype" w:eastAsia="Palatino Linotype" w:hAnsi="Palatino Linotype" w:cs="Palatino Linotype"/>
          <w:b/>
        </w:rPr>
        <w:t xml:space="preserve"> </w:t>
      </w:r>
      <w:r>
        <w:rPr>
          <w:rFonts w:ascii="Palatino Linotype" w:eastAsia="Palatino Linotype" w:hAnsi="Palatino Linotype" w:cs="Palatino Linotype"/>
        </w:rPr>
        <w:t>Ley de Transparencia y Acceso a la Información Pública del Estado de México y Municipios, que es del tenor literal siguiente:</w:t>
      </w:r>
    </w:p>
    <w:p w:rsidR="000A672A" w:rsidRDefault="00CD3283">
      <w:pPr>
        <w:spacing w:after="16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Unidad de Transparencia deberá notificar la respuesta a la solicitud</w:t>
      </w:r>
      <w:r>
        <w:rPr>
          <w:rFonts w:ascii="Palatino Linotype" w:eastAsia="Palatino Linotype" w:hAnsi="Palatino Linotype" w:cs="Palatino Linotype"/>
          <w:i/>
          <w:sz w:val="22"/>
          <w:szCs w:val="22"/>
        </w:rPr>
        <w:t xml:space="preserve"> al interesado </w:t>
      </w:r>
      <w:r>
        <w:rPr>
          <w:rFonts w:ascii="Palatino Linotype" w:eastAsia="Palatino Linotype" w:hAnsi="Palatino Linotype" w:cs="Palatino Linotype"/>
          <w:b/>
          <w:i/>
          <w:sz w:val="22"/>
          <w:szCs w:val="22"/>
        </w:rPr>
        <w:t>en el menor tiempo posible, que no podrá exceder de quince días hábiles</w:t>
      </w:r>
      <w:r>
        <w:rPr>
          <w:rFonts w:ascii="Palatino Linotype" w:eastAsia="Palatino Linotype" w:hAnsi="Palatino Linotype" w:cs="Palatino Linotype"/>
          <w:i/>
          <w:sz w:val="22"/>
          <w:szCs w:val="22"/>
        </w:rPr>
        <w:t>, contados a partir del día siguiente a la presentación de aquélla.”</w:t>
      </w:r>
    </w:p>
    <w:p w:rsidR="000A672A" w:rsidRDefault="00CD3283">
      <w:p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se afirma así en virtud de que, como se advierte en los antecedentes de la presente resolución, la solicitud se tuvo por presentada el día </w:t>
      </w:r>
      <w:r>
        <w:rPr>
          <w:rFonts w:ascii="Palatino Linotype" w:eastAsia="Palatino Linotype" w:hAnsi="Palatino Linotype" w:cs="Palatino Linotype"/>
          <w:b/>
        </w:rPr>
        <w:t xml:space="preserve">cuatro de octubre de dos mil veintidós, </w:t>
      </w:r>
      <w:r>
        <w:rPr>
          <w:rFonts w:ascii="Palatino Linotype" w:eastAsia="Palatino Linotype" w:hAnsi="Palatino Linotype" w:cs="Palatino Linotype"/>
        </w:rPr>
        <w:t xml:space="preserve">por lo que el plazo de quince días para dar respuesta a la misma, transcurrió del </w:t>
      </w:r>
      <w:r>
        <w:rPr>
          <w:rFonts w:ascii="Palatino Linotype" w:eastAsia="Palatino Linotype" w:hAnsi="Palatino Linotype" w:cs="Palatino Linotype"/>
          <w:b/>
        </w:rPr>
        <w:t>cinco de octubre al veinticinco de octubre de dos mil veintidós</w:t>
      </w:r>
      <w:r>
        <w:rPr>
          <w:rFonts w:ascii="Palatino Linotype" w:eastAsia="Palatino Linotype" w:hAnsi="Palatino Linotype" w:cs="Palatino Linotype"/>
        </w:rPr>
        <w:t xml:space="preserve">, notificándose la respuesta el día </w:t>
      </w:r>
      <w:r>
        <w:rPr>
          <w:rFonts w:ascii="Palatino Linotype" w:eastAsia="Palatino Linotype" w:hAnsi="Palatino Linotype" w:cs="Palatino Linotype"/>
          <w:b/>
        </w:rPr>
        <w:t xml:space="preserve">veinticinco de octubre de dos mil veintidós, </w:t>
      </w:r>
      <w:r>
        <w:rPr>
          <w:rFonts w:ascii="Palatino Linotype" w:eastAsia="Palatino Linotype" w:hAnsi="Palatino Linotype" w:cs="Palatino Linotype"/>
        </w:rPr>
        <w:t xml:space="preserve">es decir al </w:t>
      </w:r>
      <w:r>
        <w:rPr>
          <w:rFonts w:ascii="Palatino Linotype" w:eastAsia="Palatino Linotype" w:hAnsi="Palatino Linotype" w:cs="Palatino Linotype"/>
          <w:b/>
        </w:rPr>
        <w:t xml:space="preserve">décimo quinto día posterior a la presentación de la solicitud, </w:t>
      </w:r>
      <w:r>
        <w:rPr>
          <w:rFonts w:ascii="Palatino Linotype" w:eastAsia="Palatino Linotype" w:hAnsi="Palatino Linotype" w:cs="Palatino Linotype"/>
        </w:rPr>
        <w:t>como se muestra a continuación:</w:t>
      </w:r>
    </w:p>
    <w:p w:rsidR="000A672A" w:rsidRDefault="00CD3283">
      <w:pPr>
        <w:spacing w:after="160" w:line="360" w:lineRule="auto"/>
        <w:jc w:val="both"/>
        <w:rPr>
          <w:rFonts w:ascii="Palatino Linotype" w:eastAsia="Palatino Linotype" w:hAnsi="Palatino Linotype" w:cs="Palatino Linotype"/>
        </w:rPr>
      </w:pPr>
      <w:r>
        <w:t xml:space="preserve"> </w:t>
      </w:r>
      <w:r>
        <w:rPr>
          <w:noProof/>
        </w:rPr>
        <w:drawing>
          <wp:inline distT="0" distB="0" distL="0" distR="0">
            <wp:extent cx="5489603" cy="685637"/>
            <wp:effectExtent l="0" t="0" r="0" b="0"/>
            <wp:docPr id="9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l="20244" t="41759" r="20305" b="44317"/>
                    <a:stretch>
                      <a:fillRect/>
                    </a:stretch>
                  </pic:blipFill>
                  <pic:spPr>
                    <a:xfrm>
                      <a:off x="0" y="0"/>
                      <a:ext cx="5489603" cy="685637"/>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5359400</wp:posOffset>
                </wp:positionH>
                <wp:positionV relativeFrom="paragraph">
                  <wp:posOffset>279400</wp:posOffset>
                </wp:positionV>
                <wp:extent cx="202952" cy="316181"/>
                <wp:effectExtent l="0" t="0" r="0" b="0"/>
                <wp:wrapNone/>
                <wp:docPr id="96" name="Cerrar llave 96"/>
                <wp:cNvGraphicFramePr/>
                <a:graphic xmlns:a="http://schemas.openxmlformats.org/drawingml/2006/main">
                  <a:graphicData uri="http://schemas.microsoft.com/office/word/2010/wordprocessingShape">
                    <wps:wsp>
                      <wps:cNvSpPr/>
                      <wps:spPr>
                        <a:xfrm>
                          <a:off x="5257224" y="3634610"/>
                          <a:ext cx="177552" cy="290781"/>
                        </a:xfrm>
                        <a:prstGeom prst="rightBrace">
                          <a:avLst>
                            <a:gd name="adj1" fmla="val 8333"/>
                            <a:gd name="adj2" fmla="val 50000"/>
                          </a:avLst>
                        </a:prstGeom>
                        <a:noFill/>
                        <a:ln w="25400" cap="flat" cmpd="sng">
                          <a:solidFill>
                            <a:srgbClr val="C00000"/>
                          </a:solidFill>
                          <a:prstDash val="solid"/>
                          <a:round/>
                          <a:headEnd type="none" w="sm" len="sm"/>
                          <a:tailEnd type="none" w="sm" len="sm"/>
                        </a:ln>
                      </wps:spPr>
                      <wps:txbx>
                        <w:txbxContent>
                          <w:p w:rsidR="000A672A" w:rsidRDefault="000A672A">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5359400</wp:posOffset>
                </wp:positionH>
                <wp:positionV relativeFrom="paragraph">
                  <wp:posOffset>279400</wp:posOffset>
                </wp:positionV>
                <wp:extent cx="202952" cy="316181"/>
                <wp:effectExtent b="0" l="0" r="0" t="0"/>
                <wp:wrapNone/>
                <wp:docPr id="96"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202952" cy="316181"/>
                        </a:xfrm>
                        <a:prstGeom prst="rect"/>
                        <a:ln/>
                      </pic:spPr>
                    </pic:pic>
                  </a:graphicData>
                </a:graphic>
              </wp:anchor>
            </w:drawing>
          </mc:Fallback>
        </mc:AlternateContent>
      </w:r>
    </w:p>
    <w:p w:rsidR="000A672A" w:rsidRDefault="00CD3283">
      <w:p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adjuntó el archivo que contiene la respuesta proporcionada, como se advierte a continuación:</w:t>
      </w:r>
    </w:p>
    <w:p w:rsidR="000A672A" w:rsidRDefault="000A672A">
      <w:pPr>
        <w:spacing w:after="160" w:line="360" w:lineRule="auto"/>
        <w:jc w:val="center"/>
        <w:rPr>
          <w:rFonts w:ascii="Palatino Linotype" w:eastAsia="Palatino Linotype" w:hAnsi="Palatino Linotype" w:cs="Palatino Linotype"/>
        </w:rPr>
      </w:pPr>
    </w:p>
    <w:p w:rsidR="000A672A" w:rsidRDefault="00CD3283">
      <w:pPr>
        <w:spacing w:after="160" w:line="360" w:lineRule="auto"/>
        <w:jc w:val="center"/>
        <w:rPr>
          <w:rFonts w:ascii="Palatino Linotype" w:eastAsia="Palatino Linotype" w:hAnsi="Palatino Linotype" w:cs="Palatino Linotype"/>
        </w:rPr>
      </w:pPr>
      <w:r>
        <w:rPr>
          <w:noProof/>
        </w:rPr>
        <w:lastRenderedPageBreak/>
        <w:drawing>
          <wp:inline distT="0" distB="0" distL="0" distR="0">
            <wp:extent cx="5472020" cy="3136807"/>
            <wp:effectExtent l="0" t="0" r="0" b="0"/>
            <wp:docPr id="10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l="21266" t="17118" r="22447" b="5550"/>
                    <a:stretch>
                      <a:fillRect/>
                    </a:stretch>
                  </pic:blipFill>
                  <pic:spPr>
                    <a:xfrm>
                      <a:off x="0" y="0"/>
                      <a:ext cx="5472020" cy="3136807"/>
                    </a:xfrm>
                    <a:prstGeom prst="rect">
                      <a:avLst/>
                    </a:prstGeom>
                    <a:ln/>
                  </pic:spPr>
                </pic:pic>
              </a:graphicData>
            </a:graphic>
          </wp:inline>
        </w:drawing>
      </w:r>
      <w:r>
        <w:rPr>
          <w:noProof/>
        </w:rPr>
        <mc:AlternateContent>
          <mc:Choice Requires="wpg">
            <w:drawing>
              <wp:anchor distT="0" distB="0" distL="114300" distR="114300" simplePos="0" relativeHeight="251659264" behindDoc="0" locked="0" layoutInCell="1" hidden="0" allowOverlap="1">
                <wp:simplePos x="0" y="0"/>
                <wp:positionH relativeFrom="column">
                  <wp:posOffset>-2298699</wp:posOffset>
                </wp:positionH>
                <wp:positionV relativeFrom="paragraph">
                  <wp:posOffset>304800</wp:posOffset>
                </wp:positionV>
                <wp:extent cx="501650" cy="71119"/>
                <wp:effectExtent l="0" t="0" r="0" b="0"/>
                <wp:wrapNone/>
                <wp:docPr id="95" name="Conector recto de flecha 95"/>
                <wp:cNvGraphicFramePr/>
                <a:graphic xmlns:a="http://schemas.openxmlformats.org/drawingml/2006/main">
                  <a:graphicData uri="http://schemas.microsoft.com/office/word/2010/wordprocessingShape">
                    <wps:wsp>
                      <wps:cNvCnPr/>
                      <wps:spPr>
                        <a:xfrm flipH="1">
                          <a:off x="5107875" y="3757141"/>
                          <a:ext cx="476250" cy="45719"/>
                        </a:xfrm>
                        <a:prstGeom prst="straightConnector1">
                          <a:avLst/>
                        </a:prstGeom>
                        <a:noFill/>
                        <a:ln w="25400" cap="flat" cmpd="sng">
                          <a:solidFill>
                            <a:srgbClr val="C00000"/>
                          </a:solidFill>
                          <a:prstDash val="solid"/>
                          <a:round/>
                          <a:headEnd type="none" w="sm" len="sm"/>
                          <a:tailEnd type="triangle" w="med" len="med"/>
                        </a:ln>
                      </wps:spPr>
                      <wps:bodyPr/>
                    </wps:wsp>
                  </a:graphicData>
                </a:graphic>
              </wp:anchor>
            </w:drawing>
          </mc:Choice>
          <mc:Fallback xmlns:cx="http://schemas.microsoft.com/office/drawing/2014/chartex"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-2298699</wp:posOffset>
                </wp:positionH>
                <wp:positionV relativeFrom="paragraph">
                  <wp:posOffset>304800</wp:posOffset>
                </wp:positionV>
                <wp:extent cx="501650" cy="71119"/>
                <wp:effectExtent b="0" l="0" r="0" t="0"/>
                <wp:wrapNone/>
                <wp:docPr id="95"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501650" cy="71119"/>
                        </a:xfrm>
                        <a:prstGeom prst="rect"/>
                        <a:ln/>
                      </pic:spPr>
                    </pic:pic>
                  </a:graphicData>
                </a:graphic>
              </wp:anchor>
            </w:drawing>
          </mc:Fallback>
        </mc:AlternateContent>
      </w:r>
    </w:p>
    <w:p w:rsidR="000A672A" w:rsidRDefault="00CD3283">
      <w:p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contrario a lo manifestado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colige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b/>
          <w:u w:val="single"/>
        </w:rPr>
        <w:t>sí emitió 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no obstante, esta se inconformó porque no hay respuesta por parte de la autoridad, excede el límite de días para responder;  con fundamento en los artículos 142 y 143, fracción VI de la Ley General de Transparencia y Acceso a la Información Pública; y 178 y 179,  fracción VII de la Ley de Transparencia y Acceso a la Información Pública del Estado de México y Municipios, que son del tenor literal siguiente:</w:t>
      </w:r>
    </w:p>
    <w:p w:rsidR="000A672A" w:rsidRDefault="00CD328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142</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organismo garante que corresponda o ante la Unidad de Transparencia que haya conocido de la solicitud dentro de los quince días siguientes a la fecha de la notificación de la respuesta, o del vencimiento del plazo para su notificación. </w:t>
      </w:r>
    </w:p>
    <w:p w:rsidR="000A672A" w:rsidRDefault="00CD328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organismo garante que corresponda a más tardar al día siguiente de haberlo recibido.</w:t>
      </w:r>
    </w:p>
    <w:p w:rsidR="000A672A" w:rsidRDefault="00CD328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xml:space="preserve"> El recurso de revisión procederá en contra de:</w:t>
      </w:r>
    </w:p>
    <w:p w:rsidR="000A672A" w:rsidRDefault="00CD328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rsidR="000A672A" w:rsidRDefault="00CD328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La falta de respuesta a una solicitud de acceso a la información dentro de los plazos establecidos en la ley;”</w:t>
      </w:r>
    </w:p>
    <w:p w:rsidR="000A672A" w:rsidRDefault="00CD328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rsidR="000A672A" w:rsidRDefault="00CD328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falta de respuesta del sujeto obligado, dentro de los plazos establecidos en esta Ley, a una solicitud de acceso a la información pública, el recurso podrá ser interpuesto en cualquier momento, acompañado con el documento que pruebe la fecha en que presentó la solicitud. </w:t>
      </w:r>
    </w:p>
    <w:p w:rsidR="000A672A" w:rsidRDefault="00CD328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0A672A" w:rsidRDefault="00CD328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El recurso de revisión es un medio de protección que la Ley otorga a los particulares, para hacer valer su derecho de acceso a la información pública, y procederá en contra de las siguientes causas:</w:t>
      </w:r>
    </w:p>
    <w:p w:rsidR="000A672A" w:rsidRDefault="00CD328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A672A" w:rsidRDefault="00CD3283">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La falta de respuesta a una solicitud de acceso a la información;”</w:t>
      </w:r>
    </w:p>
    <w:p w:rsidR="000A672A" w:rsidRDefault="00CD328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esa virtud, si bien la  inconformidad se encuentran fundados para la procedencia de la interposición del recurso de revisión, al encuadrar en la hipótesis normativa de la fracción VI del artículo 143 de la Ley de Transparencia General y la fracción VII del artículo 179 de la Ley de Transparencia Local, toda vez que se impugna la falta de respuesta a la solicitud; también lo es que la misma resulta inoperante en el caso particular, toda vez que como quedó acreditado en párrafos anteriores,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si emitió respuesta en el plazo que establece la legislación, contrario a lo que pretende hacer valer la parte </w:t>
      </w:r>
      <w:r>
        <w:rPr>
          <w:rFonts w:ascii="Palatino Linotype" w:eastAsia="Palatino Linotype" w:hAnsi="Palatino Linotype" w:cs="Palatino Linotype"/>
          <w:b/>
        </w:rPr>
        <w:t>RECURRENTE.</w:t>
      </w:r>
    </w:p>
    <w:p w:rsidR="000A672A" w:rsidRDefault="00CD328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podemos llegar a la conclusión de la inexistencia del acto reclamado, al acreditarse con las constancias que integran el expediente, que el </w:t>
      </w:r>
      <w:r>
        <w:rPr>
          <w:rFonts w:ascii="Palatino Linotype" w:eastAsia="Palatino Linotype" w:hAnsi="Palatino Linotype" w:cs="Palatino Linotype"/>
          <w:b/>
        </w:rPr>
        <w:lastRenderedPageBreak/>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emitió respuesta en el plazo establecido </w:t>
      </w:r>
      <w:r>
        <w:rPr>
          <w:rFonts w:ascii="Palatino Linotype" w:eastAsia="Palatino Linotype" w:hAnsi="Palatino Linotype" w:cs="Palatino Linotype"/>
        </w:rPr>
        <w:t>en el artículo 163, párrafo primero de la</w:t>
      </w:r>
      <w:r>
        <w:rPr>
          <w:rFonts w:ascii="Palatino Linotype" w:eastAsia="Palatino Linotype" w:hAnsi="Palatino Linotype" w:cs="Palatino Linotype"/>
          <w:b/>
        </w:rPr>
        <w:t xml:space="preserve"> </w:t>
      </w:r>
      <w:r>
        <w:rPr>
          <w:rFonts w:ascii="Palatino Linotype" w:eastAsia="Palatino Linotype" w:hAnsi="Palatino Linotype" w:cs="Palatino Linotype"/>
        </w:rPr>
        <w:t>Ley de Transparencia y Acceso a la Información Pública del Estado de México y Municipios, quedando sin materia el presente asunto. </w:t>
      </w:r>
    </w:p>
    <w:p w:rsidR="000A672A" w:rsidRDefault="00CD328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consiguiente, en estricto derecho, la alegación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limita a realizar manifestaciones sin sustento, las cuales han quedado demostradas, por ello se califican de inoperantes; quedando sin materia el presente recurso de revisión, resultando necesario traer a colación la Tesis Aislada con número de registro 2017549, de rubro y texto siguiente:</w:t>
      </w:r>
    </w:p>
    <w:p w:rsidR="000A672A" w:rsidRDefault="00CD328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INEXISTENCIA DE LOS ACTOS RECLAMADOS EN EL AMPARO. NO ES UN MOTIVO MANIFIESTO E INDUDABLE DE IMPROCEDENCIA QUE DÉ LUGAR AL DESECHAMIENTO DE LA DEMANDA, SINO QUE CONSTITUYE UNA CAUSAL DE SOBRESEIMIENTO EN EL JUICIO</w:t>
      </w:r>
      <w:r>
        <w:rPr>
          <w:rFonts w:ascii="Palatino Linotype" w:eastAsia="Palatino Linotype" w:hAnsi="Palatino Linotype" w:cs="Palatino Linotype"/>
          <w:i/>
          <w:sz w:val="22"/>
          <w:szCs w:val="22"/>
        </w:rPr>
        <w:t xml:space="preserve">. Conforme al artículo 63, fracción IV, de la Ley de Amparo, la inexistencia de los actos reclamados es una causal de sobreseimiento, pero no de improcedencia del juicio de amparo; por ende, no puede ser un motivo manifiesto e indudable que dé lugar al </w:t>
      </w:r>
      <w:proofErr w:type="spellStart"/>
      <w:r>
        <w:rPr>
          <w:rFonts w:ascii="Palatino Linotype" w:eastAsia="Palatino Linotype" w:hAnsi="Palatino Linotype" w:cs="Palatino Linotype"/>
          <w:i/>
          <w:sz w:val="22"/>
          <w:szCs w:val="22"/>
        </w:rPr>
        <w:t>desechamiento</w:t>
      </w:r>
      <w:proofErr w:type="spellEnd"/>
      <w:r>
        <w:rPr>
          <w:rFonts w:ascii="Palatino Linotype" w:eastAsia="Palatino Linotype" w:hAnsi="Palatino Linotype" w:cs="Palatino Linotype"/>
          <w:i/>
          <w:sz w:val="22"/>
          <w:szCs w:val="22"/>
        </w:rPr>
        <w:t xml:space="preserve"> de la demanda con sustento en el diverso precepto 113 de ese ordenamiento, pues el pronunciamiento relativo necesariamente debe efectuarse hasta la sentencia, al no haberse demostrado su existencia en la audiencia constitucional.”</w:t>
      </w:r>
    </w:p>
    <w:p w:rsidR="000A672A" w:rsidRDefault="00CD328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La cual constituye un criterio orientador para este Organismo Garante, que pone en aptitudes de poder sobreseer el presente recurso de revisión, lo que, en el caso particular, se tiene por acreditada la inexistencia del acto reclamado, quedando sin materia el presente asunto.</w:t>
      </w:r>
    </w:p>
    <w:p w:rsidR="000A672A" w:rsidRDefault="00CD328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expuesto, es necesario hacer del conocimiento de la persona solicitante que, de la simple lectura a su Recurso de Revisión, se desprende que</w:t>
      </w:r>
      <w:r>
        <w:rPr>
          <w:rFonts w:ascii="Palatino Linotype" w:eastAsia="Palatino Linotype" w:hAnsi="Palatino Linotype" w:cs="Palatino Linotype"/>
          <w:b/>
          <w:u w:val="single"/>
        </w:rPr>
        <w:t xml:space="preserve"> la inconformidad hecha valer, no corresponde con l</w:t>
      </w:r>
      <w:r w:rsidR="00505806">
        <w:rPr>
          <w:rFonts w:ascii="Palatino Linotype" w:eastAsia="Palatino Linotype" w:hAnsi="Palatino Linotype" w:cs="Palatino Linotype"/>
          <w:b/>
          <w:u w:val="single"/>
        </w:rPr>
        <w:t>as constancias que obran en el expediente que se resuelve</w:t>
      </w:r>
      <w:r>
        <w:rPr>
          <w:rFonts w:ascii="Palatino Linotype" w:eastAsia="Palatino Linotype" w:hAnsi="Palatino Linotype" w:cs="Palatino Linotype"/>
          <w:b/>
          <w:u w:val="single"/>
        </w:rPr>
        <w:t>,</w:t>
      </w:r>
      <w:r>
        <w:rPr>
          <w:rFonts w:ascii="Palatino Linotype" w:eastAsia="Palatino Linotype" w:hAnsi="Palatino Linotype" w:cs="Palatino Linotype"/>
        </w:rPr>
        <w:t xml:space="preserve"> por lo tanto, es claro que el Recurso de Revisión que </w:t>
      </w:r>
      <w:r>
        <w:rPr>
          <w:rFonts w:ascii="Palatino Linotype" w:eastAsia="Palatino Linotype" w:hAnsi="Palatino Linotype" w:cs="Palatino Linotype"/>
        </w:rPr>
        <w:lastRenderedPageBreak/>
        <w:t>nos ocupa, no actualiza ninguno de los supuestos previstos en la Ley de la materia conforme a las actuaciones que obran en el expediente electrónico formado en el Sistema de Acceso a la Información Mexiquense, SAIMEX.</w:t>
      </w:r>
    </w:p>
    <w:p w:rsidR="000A672A" w:rsidRDefault="00CD328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tales circunstancias, este Instituto se encuentra impedido a entrar al estudio de fondo, en virtud que la particular no manifestó razones o motivos de inconformidad, relacionados 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a fin de atender su solicitud de acceso.</w:t>
      </w:r>
    </w:p>
    <w:p w:rsidR="000A672A" w:rsidRDefault="00CD3283">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Pr>
          <w:rFonts w:ascii="Palatino Linotype" w:eastAsia="Palatino Linotype" w:hAnsi="Palatino Linotype" w:cs="Palatino Linotype"/>
        </w:rPr>
        <w:t>Por lo tanto, en virtud de  los argumentos expuestos con anterioridad así como del análisis realizado a las constancias que obran en el expediente electrónico, toda vez que no se actualizó algún supuesto de procedencia</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 xml:space="preserve">se determina </w:t>
      </w:r>
      <w:r>
        <w:rPr>
          <w:rFonts w:ascii="Palatino Linotype" w:eastAsia="Palatino Linotype" w:hAnsi="Palatino Linotype" w:cs="Palatino Linotype"/>
          <w:i/>
        </w:rPr>
        <w:t xml:space="preserve">sobreseer </w:t>
      </w:r>
      <w:r>
        <w:rPr>
          <w:rFonts w:ascii="Palatino Linotype" w:eastAsia="Palatino Linotype" w:hAnsi="Palatino Linotype" w:cs="Palatino Linotype"/>
        </w:rPr>
        <w:t xml:space="preserve">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w:t>
      </w:r>
      <w:r>
        <w:rPr>
          <w:rFonts w:ascii="Palatino Linotype" w:eastAsia="Palatino Linotype" w:hAnsi="Palatino Linotype" w:cs="Palatino Linotype"/>
          <w:sz w:val="22"/>
          <w:szCs w:val="22"/>
        </w:rPr>
        <w:t>l</w:t>
      </w:r>
      <w:r>
        <w:rPr>
          <w:rFonts w:ascii="Palatino Linotype" w:eastAsia="Palatino Linotype" w:hAnsi="Palatino Linotype" w:cs="Palatino Linotype"/>
        </w:rPr>
        <w:t>os que se transcriben a continuación, para un mejor entendimiento:</w:t>
      </w:r>
    </w:p>
    <w:p w:rsidR="000A672A" w:rsidRDefault="00CD3283">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191</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recurso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será </w:t>
      </w:r>
      <w:r>
        <w:rPr>
          <w:rFonts w:ascii="Palatino Linotype" w:eastAsia="Palatino Linotype" w:hAnsi="Palatino Linotype" w:cs="Palatino Linotype"/>
          <w:i/>
          <w:sz w:val="22"/>
          <w:szCs w:val="22"/>
        </w:rPr>
        <w:t xml:space="preserve">desechado por </w:t>
      </w:r>
      <w:r>
        <w:rPr>
          <w:rFonts w:ascii="Palatino Linotype" w:eastAsia="Palatino Linotype" w:hAnsi="Palatino Linotype" w:cs="Palatino Linotype"/>
          <w:b/>
          <w:i/>
          <w:sz w:val="22"/>
          <w:szCs w:val="22"/>
        </w:rPr>
        <w:t>improcedente cuando</w:t>
      </w:r>
      <w:r>
        <w:rPr>
          <w:rFonts w:ascii="Palatino Linotype" w:eastAsia="Palatino Linotype" w:hAnsi="Palatino Linotype" w:cs="Palatino Linotype"/>
          <w:i/>
          <w:sz w:val="22"/>
          <w:szCs w:val="22"/>
        </w:rPr>
        <w:t>:</w:t>
      </w:r>
    </w:p>
    <w:p w:rsidR="000A672A" w:rsidRDefault="00CD3283">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A672A" w:rsidRDefault="00CD3283">
      <w:pPr>
        <w:tabs>
          <w:tab w:val="left" w:pos="7938"/>
        </w:tabs>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No actualice alguno de los supuestos previstos en la presente Ley</w:t>
      </w:r>
      <w:r>
        <w:rPr>
          <w:rFonts w:ascii="Palatino Linotype" w:eastAsia="Palatino Linotype" w:hAnsi="Palatino Linotype" w:cs="Palatino Linotype"/>
          <w:b/>
          <w:i/>
          <w:sz w:val="22"/>
          <w:szCs w:val="22"/>
        </w:rPr>
        <w:t>;</w:t>
      </w:r>
    </w:p>
    <w:p w:rsidR="000A672A" w:rsidRDefault="00CD3283">
      <w:pPr>
        <w:tabs>
          <w:tab w:val="left" w:pos="7938"/>
        </w:tabs>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0A672A" w:rsidRDefault="00CD3283">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192.</w:t>
      </w:r>
      <w:r>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rsidR="000A672A" w:rsidRDefault="00CD3283">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A672A" w:rsidRDefault="00CD3283">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Admitido el recurso de revisión, </w:t>
      </w:r>
      <w:r>
        <w:rPr>
          <w:rFonts w:ascii="Palatino Linotype" w:eastAsia="Palatino Linotype" w:hAnsi="Palatino Linotype" w:cs="Palatino Linotype"/>
          <w:b/>
          <w:i/>
          <w:sz w:val="22"/>
          <w:szCs w:val="22"/>
        </w:rPr>
        <w:t>aparezca alguna causal de improcedencia</w:t>
      </w:r>
      <w:r>
        <w:rPr>
          <w:rFonts w:ascii="Palatino Linotype" w:eastAsia="Palatino Linotype" w:hAnsi="Palatino Linotype" w:cs="Palatino Linotype"/>
          <w:i/>
          <w:sz w:val="22"/>
          <w:szCs w:val="22"/>
        </w:rPr>
        <w:t xml:space="preserve"> en los términos de la presente Ley. “</w:t>
      </w:r>
    </w:p>
    <w:p w:rsidR="000A672A" w:rsidRDefault="00CD3283">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Siendo el </w:t>
      </w:r>
      <w:r>
        <w:rPr>
          <w:rFonts w:ascii="Palatino Linotype" w:eastAsia="Palatino Linotype" w:hAnsi="Palatino Linotype" w:cs="Palatino Linotype"/>
          <w:i/>
        </w:rPr>
        <w:t>sobreseimiento</w:t>
      </w:r>
      <w:r>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0A672A" w:rsidRDefault="00CD3283">
      <w:pPr>
        <w:spacing w:after="120"/>
        <w:ind w:left="851" w:right="902"/>
        <w:jc w:val="both"/>
        <w:rPr>
          <w:rFonts w:ascii="Palatino Linotype" w:eastAsia="Palatino Linotype" w:hAnsi="Palatino Linotype" w:cs="Palatino Linotype"/>
          <w:b/>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SOBRESEIMIENTO, NO PERMITE ENTRAR AL ESTUDIO DE LAS CUESTIONES DE FONDO</w:t>
      </w:r>
    </w:p>
    <w:p w:rsidR="000A672A" w:rsidRDefault="00CD328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rsidR="000A672A" w:rsidRDefault="00CD328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0A672A" w:rsidRDefault="00CD328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0A672A" w:rsidRDefault="00CD3283">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rsidR="000A672A" w:rsidRDefault="00CD328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w:t>
      </w:r>
      <w:r>
        <w:rPr>
          <w:rFonts w:ascii="Palatino Linotype" w:eastAsia="Palatino Linotype" w:hAnsi="Palatino Linotype" w:cs="Palatino Linotype"/>
          <w:i/>
          <w:sz w:val="22"/>
          <w:szCs w:val="22"/>
        </w:rPr>
        <w:lastRenderedPageBreak/>
        <w:t xml:space="preserve">ellas para desechar o sobreseer en un juicio, imparte justicia, puesto que el acceso a ella no se ve menoscabado, sino que es efectivo, ni se deja en estado de indefensión al </w:t>
      </w:r>
      <w:proofErr w:type="spellStart"/>
      <w:r>
        <w:rPr>
          <w:rFonts w:ascii="Palatino Linotype" w:eastAsia="Palatino Linotype" w:hAnsi="Palatino Linotype" w:cs="Palatino Linotype"/>
          <w:i/>
          <w:sz w:val="22"/>
          <w:szCs w:val="22"/>
        </w:rPr>
        <w:t>promovente</w:t>
      </w:r>
      <w:proofErr w:type="spellEnd"/>
      <w:r>
        <w:rPr>
          <w:rFonts w:ascii="Palatino Linotype" w:eastAsia="Palatino Linotype" w:hAnsi="Palatino Linotype" w:cs="Palatino Linotype"/>
          <w:i/>
          <w:sz w:val="22"/>
          <w:szCs w:val="22"/>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Pr>
          <w:rFonts w:ascii="Palatino Linotype" w:eastAsia="Palatino Linotype" w:hAnsi="Palatino Linotype" w:cs="Palatino Linotype"/>
        </w:rPr>
        <w:tab/>
      </w:r>
    </w:p>
    <w:p w:rsidR="000A672A" w:rsidRDefault="00CD328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de lo anterior, se dejan a salvo los derechos de persona solicitante a efecto de que, de considerarlo pertinente, interponga una nueva solicitud de acceso ante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fin de obtener la información de su interés. </w:t>
      </w:r>
    </w:p>
    <w:p w:rsidR="000A672A" w:rsidRDefault="00CD328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Pr>
          <w:rFonts w:ascii="Palatino Linotype" w:eastAsia="Palatino Linotype" w:hAnsi="Palatino Linotype" w:cs="Palatino Linotype"/>
          <w:b/>
        </w:rPr>
        <w:t xml:space="preserve">Sobresee </w:t>
      </w:r>
      <w:r>
        <w:rPr>
          <w:rFonts w:ascii="Palatino Linotype" w:eastAsia="Palatino Linotype" w:hAnsi="Palatino Linotype" w:cs="Palatino Linotype"/>
        </w:rPr>
        <w:t xml:space="preserve">el recurso de revisión </w:t>
      </w:r>
      <w:r>
        <w:rPr>
          <w:rFonts w:ascii="Palatino Linotype" w:eastAsia="Palatino Linotype" w:hAnsi="Palatino Linotype" w:cs="Palatino Linotype"/>
          <w:b/>
        </w:rPr>
        <w:t>16584/INFOEM/IP/RR/2022</w:t>
      </w:r>
      <w:r>
        <w:rPr>
          <w:rFonts w:ascii="Palatino Linotype" w:eastAsia="Palatino Linotype" w:hAnsi="Palatino Linotype" w:cs="Palatino Linotype"/>
        </w:rPr>
        <w:t>, que ha sido materia del presente fallo.</w:t>
      </w:r>
    </w:p>
    <w:p w:rsidR="000A672A" w:rsidRDefault="00CD328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0A672A" w:rsidRDefault="00CD328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rsidR="000A672A" w:rsidRDefault="00CD3283">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10" w:name="_heading=h.3dy6vkm" w:colFirst="0" w:colLast="0"/>
      <w:bookmarkEnd w:id="10"/>
      <w:r>
        <w:rPr>
          <w:rFonts w:ascii="Palatino Linotype" w:eastAsia="Palatino Linotype" w:hAnsi="Palatino Linotype" w:cs="Palatino Linotype"/>
          <w:b/>
        </w:rPr>
        <w:t xml:space="preserve">Primero. </w:t>
      </w:r>
      <w:r>
        <w:rPr>
          <w:rFonts w:ascii="Palatino Linotype" w:eastAsia="Palatino Linotype" w:hAnsi="Palatino Linotype" w:cs="Palatino Linotype"/>
        </w:rPr>
        <w:t>Se</w:t>
      </w:r>
      <w:r>
        <w:rPr>
          <w:rFonts w:ascii="Palatino Linotype" w:eastAsia="Palatino Linotype" w:hAnsi="Palatino Linotype" w:cs="Palatino Linotype"/>
          <w:b/>
        </w:rPr>
        <w:t xml:space="preserve"> Sobresee </w:t>
      </w:r>
      <w:r>
        <w:rPr>
          <w:rFonts w:ascii="Palatino Linotype" w:eastAsia="Palatino Linotype" w:hAnsi="Palatino Linotype" w:cs="Palatino Linotype"/>
        </w:rPr>
        <w:t xml:space="preserve">el recurso de revisión número </w:t>
      </w:r>
      <w:r>
        <w:rPr>
          <w:rFonts w:ascii="Palatino Linotype" w:eastAsia="Palatino Linotype" w:hAnsi="Palatino Linotype" w:cs="Palatino Linotype"/>
          <w:b/>
        </w:rPr>
        <w:t xml:space="preserve">16584/INFOEM/IP/RR/2022, </w:t>
      </w:r>
      <w:r>
        <w:rPr>
          <w:rFonts w:ascii="Palatino Linotype" w:eastAsia="Palatino Linotype" w:hAnsi="Palatino Linotype" w:cs="Palatino Linotype"/>
        </w:rPr>
        <w:t xml:space="preserve">porque una vez admitido se actualizó la causal de improcedencia prevista en artículo 192 fracción IV, en relación con la fracción III del artículo 191, </w:t>
      </w:r>
      <w:r w:rsidR="00E60A52">
        <w:rPr>
          <w:rFonts w:ascii="Palatino Linotype" w:eastAsia="Palatino Linotype" w:hAnsi="Palatino Linotype" w:cs="Palatino Linotype"/>
        </w:rPr>
        <w:t>de la Ley de Transparencia y Acceso a la Información Pública del Estado de México y Municipios</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que lo dejó sin materia en términos del Considerando</w:t>
      </w:r>
      <w:r>
        <w:rPr>
          <w:rFonts w:ascii="Palatino Linotype" w:eastAsia="Palatino Linotype" w:hAnsi="Palatino Linotype" w:cs="Palatino Linotype"/>
          <w:b/>
        </w:rPr>
        <w:t xml:space="preserve"> Tercero d</w:t>
      </w:r>
      <w:r>
        <w:rPr>
          <w:rFonts w:ascii="Palatino Linotype" w:eastAsia="Palatino Linotype" w:hAnsi="Palatino Linotype" w:cs="Palatino Linotype"/>
        </w:rPr>
        <w:t>e la presente resolución.</w:t>
      </w:r>
    </w:p>
    <w:p w:rsidR="000A672A" w:rsidRDefault="00CD3283">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Notifíquese, </w:t>
      </w:r>
      <w:r>
        <w:rPr>
          <w:rFonts w:ascii="Palatino Linotype" w:eastAsia="Palatino Linotype" w:hAnsi="Palatino Linotype" w:cs="Palatino Linotype"/>
        </w:rPr>
        <w:t>vía</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al Responsable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su conocimiento.</w:t>
      </w:r>
    </w:p>
    <w:p w:rsidR="000A672A" w:rsidRDefault="00CD328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vía</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0A672A" w:rsidRDefault="00A07A4C">
      <w:pPr>
        <w:spacing w:line="360" w:lineRule="auto"/>
        <w:jc w:val="both"/>
        <w:rPr>
          <w:rFonts w:ascii="Palatino Linotype" w:eastAsia="Palatino Linotype" w:hAnsi="Palatino Linotype" w:cs="Palatino Linotype"/>
        </w:rPr>
      </w:pPr>
      <w:bookmarkStart w:id="11" w:name="_heading=h.26in1rg" w:colFirst="0" w:colLast="0"/>
      <w:bookmarkEnd w:id="11"/>
      <w:r>
        <w:rPr>
          <w:rFonts w:ascii="Palatino Linotype" w:eastAsia="Palatino Linotype" w:hAnsi="Palatino Linotype" w:cs="Palatino Linotype"/>
        </w:rPr>
        <w:t>ASÍ LO RESUELVE, POR MAYORÍA</w:t>
      </w:r>
      <w:r w:rsidR="00CD3283">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D24701">
        <w:rPr>
          <w:rFonts w:ascii="Palatino Linotype" w:eastAsia="Palatino Linotype" w:hAnsi="Palatino Linotype" w:cs="Palatino Linotype"/>
        </w:rPr>
        <w:t xml:space="preserve">EMITIENDO VOTO DISIDENTE </w:t>
      </w:r>
      <w:r w:rsidR="00CD3283">
        <w:rPr>
          <w:rFonts w:ascii="Palatino Linotype" w:eastAsia="Palatino Linotype" w:hAnsi="Palatino Linotype" w:cs="Palatino Linotype"/>
        </w:rPr>
        <w:t>Y GUADALUPE RAMÍREZ PEÑA; EN LA DÉCIMA SEXTA SESIÓN ORDINARIA CELEBRADA EL CUATRO DE MAYO DE DOS MIL VEINTITRÉS, ANTE EL SECRETARIO TÉCNICO DEL PLENO ALEXIS TAPIA RAMÍREZ.</w:t>
      </w:r>
      <w:r w:rsidR="00CD3283">
        <w:rPr>
          <w:noProof/>
        </w:rPr>
        <mc:AlternateContent>
          <mc:Choice Requires="wpg">
            <w:drawing>
              <wp:anchor distT="0" distB="0" distL="114300" distR="114300" simplePos="0" relativeHeight="251660288" behindDoc="0" locked="0" layoutInCell="1" hidden="0" allowOverlap="1">
                <wp:simplePos x="0" y="0"/>
                <wp:positionH relativeFrom="column">
                  <wp:posOffset>12701</wp:posOffset>
                </wp:positionH>
                <wp:positionV relativeFrom="paragraph">
                  <wp:posOffset>2717800</wp:posOffset>
                </wp:positionV>
                <wp:extent cx="5475061" cy="2208851"/>
                <wp:effectExtent l="0" t="0" r="0" b="0"/>
                <wp:wrapNone/>
                <wp:docPr id="94" name="Conector recto de flecha 94"/>
                <wp:cNvGraphicFramePr/>
                <a:graphic xmlns:a="http://schemas.openxmlformats.org/drawingml/2006/main">
                  <a:graphicData uri="http://schemas.microsoft.com/office/word/2010/wordprocessingShape">
                    <wps:wsp>
                      <wps:cNvCnPr/>
                      <wps:spPr>
                        <a:xfrm>
                          <a:off x="2621170" y="2688275"/>
                          <a:ext cx="5449661" cy="2183451"/>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2717800</wp:posOffset>
                </wp:positionV>
                <wp:extent cx="5475061" cy="2208851"/>
                <wp:effectExtent b="0" l="0" r="0" t="0"/>
                <wp:wrapNone/>
                <wp:docPr id="94"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5475061" cy="2208851"/>
                        </a:xfrm>
                        <a:prstGeom prst="rect"/>
                        <a:ln/>
                      </pic:spPr>
                    </pic:pic>
                  </a:graphicData>
                </a:graphic>
              </wp:anchor>
            </w:drawing>
          </mc:Fallback>
        </mc:AlternateContent>
      </w:r>
    </w:p>
    <w:p w:rsidR="000A672A" w:rsidRDefault="000A672A">
      <w:pPr>
        <w:spacing w:line="360" w:lineRule="auto"/>
        <w:jc w:val="both"/>
        <w:rPr>
          <w:rFonts w:ascii="Palatino Linotype" w:eastAsia="Palatino Linotype" w:hAnsi="Palatino Linotype" w:cs="Palatino Linotype"/>
        </w:rPr>
      </w:pPr>
    </w:p>
    <w:p w:rsidR="000A672A" w:rsidRDefault="000A672A">
      <w:pPr>
        <w:spacing w:line="360" w:lineRule="auto"/>
        <w:jc w:val="both"/>
        <w:rPr>
          <w:rFonts w:ascii="Palatino Linotype" w:eastAsia="Palatino Linotype" w:hAnsi="Palatino Linotype" w:cs="Palatino Linotype"/>
        </w:rPr>
      </w:pPr>
    </w:p>
    <w:p w:rsidR="000A672A" w:rsidRDefault="000A672A">
      <w:pPr>
        <w:rPr>
          <w:rFonts w:ascii="Palatino Linotype" w:eastAsia="Palatino Linotype" w:hAnsi="Palatino Linotype" w:cs="Palatino Linotype"/>
        </w:rPr>
      </w:pPr>
    </w:p>
    <w:p w:rsidR="000A672A" w:rsidRDefault="000A672A">
      <w:pPr>
        <w:spacing w:line="360" w:lineRule="auto"/>
        <w:jc w:val="both"/>
        <w:rPr>
          <w:rFonts w:ascii="Palatino Linotype" w:eastAsia="Palatino Linotype" w:hAnsi="Palatino Linotype" w:cs="Palatino Linotype"/>
        </w:rPr>
      </w:pPr>
    </w:p>
    <w:p w:rsidR="000A672A" w:rsidRDefault="000A672A">
      <w:pPr>
        <w:spacing w:line="360" w:lineRule="auto"/>
        <w:jc w:val="both"/>
        <w:rPr>
          <w:rFonts w:ascii="Palatino Linotype" w:eastAsia="Palatino Linotype" w:hAnsi="Palatino Linotype" w:cs="Palatino Linotype"/>
        </w:rPr>
      </w:pPr>
    </w:p>
    <w:p w:rsidR="000A672A" w:rsidRDefault="000A672A">
      <w:pPr>
        <w:spacing w:line="360" w:lineRule="auto"/>
        <w:jc w:val="both"/>
        <w:rPr>
          <w:rFonts w:ascii="Palatino Linotype" w:eastAsia="Palatino Linotype" w:hAnsi="Palatino Linotype" w:cs="Palatino Linotype"/>
        </w:rPr>
      </w:pPr>
    </w:p>
    <w:p w:rsidR="000A672A" w:rsidRDefault="000A672A">
      <w:pPr>
        <w:spacing w:line="360" w:lineRule="auto"/>
        <w:jc w:val="both"/>
        <w:rPr>
          <w:rFonts w:ascii="Palatino Linotype" w:eastAsia="Palatino Linotype" w:hAnsi="Palatino Linotype" w:cs="Palatino Linotype"/>
        </w:rPr>
      </w:pPr>
    </w:p>
    <w:p w:rsidR="000A672A" w:rsidRDefault="000A672A">
      <w:pPr>
        <w:spacing w:line="360" w:lineRule="auto"/>
        <w:jc w:val="both"/>
        <w:rPr>
          <w:rFonts w:ascii="Palatino Linotype" w:eastAsia="Palatino Linotype" w:hAnsi="Palatino Linotype" w:cs="Palatino Linotype"/>
        </w:rPr>
      </w:pPr>
    </w:p>
    <w:p w:rsidR="000A672A" w:rsidRDefault="000A672A">
      <w:pPr>
        <w:spacing w:line="360" w:lineRule="auto"/>
        <w:jc w:val="both"/>
        <w:rPr>
          <w:rFonts w:ascii="Palatino Linotype" w:eastAsia="Palatino Linotype" w:hAnsi="Palatino Linotype" w:cs="Palatino Linotype"/>
        </w:rPr>
      </w:pPr>
    </w:p>
    <w:p w:rsidR="000A672A" w:rsidRDefault="000A672A">
      <w:pPr>
        <w:spacing w:line="360" w:lineRule="auto"/>
        <w:jc w:val="both"/>
        <w:rPr>
          <w:rFonts w:ascii="Palatino Linotype" w:eastAsia="Palatino Linotype" w:hAnsi="Palatino Linotype" w:cs="Palatino Linotype"/>
        </w:rPr>
      </w:pPr>
    </w:p>
    <w:p w:rsidR="000A672A" w:rsidRDefault="000A672A">
      <w:pPr>
        <w:spacing w:line="360" w:lineRule="auto"/>
        <w:jc w:val="both"/>
        <w:rPr>
          <w:rFonts w:ascii="Palatino Linotype" w:eastAsia="Palatino Linotype" w:hAnsi="Palatino Linotype" w:cs="Palatino Linotype"/>
        </w:rPr>
      </w:pPr>
    </w:p>
    <w:p w:rsidR="000A672A" w:rsidRDefault="000A672A">
      <w:pPr>
        <w:spacing w:line="360" w:lineRule="auto"/>
        <w:jc w:val="both"/>
        <w:rPr>
          <w:rFonts w:ascii="Palatino Linotype" w:eastAsia="Palatino Linotype" w:hAnsi="Palatino Linotype" w:cs="Palatino Linotype"/>
        </w:rPr>
      </w:pPr>
    </w:p>
    <w:p w:rsidR="000A672A" w:rsidRDefault="000A672A">
      <w:pPr>
        <w:spacing w:line="360" w:lineRule="auto"/>
        <w:jc w:val="both"/>
        <w:rPr>
          <w:rFonts w:ascii="Palatino Linotype" w:eastAsia="Palatino Linotype" w:hAnsi="Palatino Linotype" w:cs="Palatino Linotype"/>
        </w:rPr>
      </w:pPr>
    </w:p>
    <w:p w:rsidR="000A672A" w:rsidRDefault="000A672A">
      <w:pPr>
        <w:spacing w:line="360" w:lineRule="auto"/>
        <w:jc w:val="both"/>
        <w:rPr>
          <w:rFonts w:ascii="Palatino Linotype" w:eastAsia="Palatino Linotype" w:hAnsi="Palatino Linotype" w:cs="Palatino Linotype"/>
        </w:rPr>
      </w:pPr>
    </w:p>
    <w:p w:rsidR="000A672A" w:rsidRDefault="000A672A">
      <w:pPr>
        <w:spacing w:line="360" w:lineRule="auto"/>
        <w:jc w:val="both"/>
        <w:rPr>
          <w:rFonts w:ascii="Palatino Linotype" w:eastAsia="Palatino Linotype" w:hAnsi="Palatino Linotype" w:cs="Palatino Linotype"/>
        </w:rPr>
      </w:pPr>
    </w:p>
    <w:p w:rsidR="000A672A" w:rsidRDefault="000A672A">
      <w:pPr>
        <w:spacing w:line="360" w:lineRule="auto"/>
        <w:jc w:val="both"/>
        <w:rPr>
          <w:rFonts w:ascii="Palatino Linotype" w:eastAsia="Palatino Linotype" w:hAnsi="Palatino Linotype" w:cs="Palatino Linotype"/>
        </w:rPr>
      </w:pPr>
    </w:p>
    <w:p w:rsidR="000A672A" w:rsidRDefault="000A672A">
      <w:pPr>
        <w:spacing w:line="360" w:lineRule="auto"/>
        <w:jc w:val="both"/>
        <w:rPr>
          <w:rFonts w:ascii="Palatino Linotype" w:eastAsia="Palatino Linotype" w:hAnsi="Palatino Linotype" w:cs="Palatino Linotype"/>
        </w:rPr>
      </w:pPr>
    </w:p>
    <w:p w:rsidR="000A672A" w:rsidRDefault="000A672A">
      <w:pPr>
        <w:spacing w:line="360" w:lineRule="auto"/>
        <w:jc w:val="both"/>
        <w:rPr>
          <w:rFonts w:ascii="Palatino Linotype" w:eastAsia="Palatino Linotype" w:hAnsi="Palatino Linotype" w:cs="Palatino Linotype"/>
        </w:rPr>
      </w:pPr>
    </w:p>
    <w:p w:rsidR="000A672A" w:rsidRDefault="000A672A">
      <w:pPr>
        <w:spacing w:line="360" w:lineRule="auto"/>
        <w:jc w:val="both"/>
        <w:rPr>
          <w:rFonts w:ascii="Palatino Linotype" w:eastAsia="Palatino Linotype" w:hAnsi="Palatino Linotype" w:cs="Palatino Linotype"/>
        </w:rPr>
      </w:pPr>
    </w:p>
    <w:p w:rsidR="000A672A" w:rsidRDefault="000A672A">
      <w:pPr>
        <w:spacing w:line="360" w:lineRule="auto"/>
        <w:jc w:val="both"/>
        <w:rPr>
          <w:rFonts w:ascii="Palatino Linotype" w:eastAsia="Palatino Linotype" w:hAnsi="Palatino Linotype" w:cs="Palatino Linotype"/>
        </w:rPr>
      </w:pPr>
    </w:p>
    <w:p w:rsidR="000A672A" w:rsidRDefault="000A672A">
      <w:pPr>
        <w:spacing w:line="360" w:lineRule="auto"/>
        <w:jc w:val="both"/>
        <w:rPr>
          <w:rFonts w:ascii="Palatino Linotype" w:eastAsia="Palatino Linotype" w:hAnsi="Palatino Linotype" w:cs="Palatino Linotype"/>
        </w:rPr>
      </w:pPr>
    </w:p>
    <w:p w:rsidR="000A672A" w:rsidRDefault="000A672A">
      <w:pPr>
        <w:spacing w:line="360" w:lineRule="auto"/>
        <w:jc w:val="both"/>
        <w:rPr>
          <w:rFonts w:ascii="Palatino Linotype" w:eastAsia="Palatino Linotype" w:hAnsi="Palatino Linotype" w:cs="Palatino Linotype"/>
        </w:rPr>
      </w:pPr>
    </w:p>
    <w:p w:rsidR="000A672A" w:rsidRDefault="000A672A">
      <w:pPr>
        <w:spacing w:line="360" w:lineRule="auto"/>
        <w:jc w:val="both"/>
        <w:rPr>
          <w:rFonts w:ascii="Palatino Linotype" w:eastAsia="Palatino Linotype" w:hAnsi="Palatino Linotype" w:cs="Palatino Linotype"/>
        </w:rPr>
      </w:pPr>
    </w:p>
    <w:p w:rsidR="000A672A" w:rsidRDefault="000A672A">
      <w:pPr>
        <w:spacing w:line="360" w:lineRule="auto"/>
        <w:jc w:val="both"/>
        <w:rPr>
          <w:rFonts w:ascii="Palatino Linotype" w:eastAsia="Palatino Linotype" w:hAnsi="Palatino Linotype" w:cs="Palatino Linotype"/>
        </w:rPr>
      </w:pPr>
    </w:p>
    <w:sectPr w:rsidR="000A672A">
      <w:headerReference w:type="default" r:id="rId18"/>
      <w:footerReference w:type="default" r:id="rId19"/>
      <w:headerReference w:type="first" r:id="rId20"/>
      <w:footerReference w:type="first" r:id="rId2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5D3" w:rsidRDefault="00E245D3">
      <w:r>
        <w:separator/>
      </w:r>
    </w:p>
  </w:endnote>
  <w:endnote w:type="continuationSeparator" w:id="0">
    <w:p w:rsidR="00E245D3" w:rsidRDefault="00E2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72A" w:rsidRDefault="00CD328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8344A">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8344A">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rsidR="000A672A" w:rsidRDefault="000A672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72A" w:rsidRDefault="00CD328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8344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8344A">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rsidR="000A672A" w:rsidRDefault="000A672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5D3" w:rsidRDefault="00E245D3">
      <w:r>
        <w:separator/>
      </w:r>
    </w:p>
  </w:footnote>
  <w:footnote w:type="continuationSeparator" w:id="0">
    <w:p w:rsidR="00E245D3" w:rsidRDefault="00E24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72A" w:rsidRDefault="00CD328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-1080130</wp:posOffset>
          </wp:positionH>
          <wp:positionV relativeFrom="paragraph">
            <wp:posOffset>-488310</wp:posOffset>
          </wp:positionV>
          <wp:extent cx="7809865" cy="10165715"/>
          <wp:effectExtent l="0" t="0" r="0" b="0"/>
          <wp:wrapNone/>
          <wp:docPr id="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f5"/>
      <w:tblW w:w="5953" w:type="dxa"/>
      <w:tblInd w:w="3261" w:type="dxa"/>
      <w:tblLayout w:type="fixed"/>
      <w:tblLook w:val="0400" w:firstRow="0" w:lastRow="0" w:firstColumn="0" w:lastColumn="0" w:noHBand="0" w:noVBand="1"/>
    </w:tblPr>
    <w:tblGrid>
      <w:gridCol w:w="2489"/>
      <w:gridCol w:w="3464"/>
    </w:tblGrid>
    <w:tr w:rsidR="000A672A">
      <w:tc>
        <w:tcPr>
          <w:tcW w:w="2489" w:type="dxa"/>
          <w:shd w:val="clear" w:color="auto" w:fill="auto"/>
        </w:tcPr>
        <w:p w:rsidR="000A672A" w:rsidRDefault="00CD32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0A672A" w:rsidRDefault="00CD328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16584/INFOEM/IP/RR/2022</w:t>
          </w:r>
        </w:p>
      </w:tc>
    </w:tr>
    <w:tr w:rsidR="000A672A">
      <w:trPr>
        <w:trHeight w:val="228"/>
      </w:trPr>
      <w:tc>
        <w:tcPr>
          <w:tcW w:w="2489" w:type="dxa"/>
          <w:shd w:val="clear" w:color="auto" w:fill="auto"/>
          <w:vAlign w:val="center"/>
        </w:tcPr>
        <w:p w:rsidR="000A672A" w:rsidRDefault="00CD32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0A672A" w:rsidRDefault="00CD328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Salud</w:t>
          </w:r>
        </w:p>
      </w:tc>
    </w:tr>
    <w:tr w:rsidR="000A672A">
      <w:tc>
        <w:tcPr>
          <w:tcW w:w="2489" w:type="dxa"/>
          <w:shd w:val="clear" w:color="auto" w:fill="auto"/>
          <w:vAlign w:val="center"/>
        </w:tcPr>
        <w:p w:rsidR="000A672A" w:rsidRDefault="00CD328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0A672A" w:rsidRDefault="00CD328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A672A" w:rsidRDefault="00CD328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72A" w:rsidRDefault="000A672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ffff4"/>
      <w:tblW w:w="5670" w:type="dxa"/>
      <w:tblInd w:w="3261" w:type="dxa"/>
      <w:tblLayout w:type="fixed"/>
      <w:tblLook w:val="0400" w:firstRow="0" w:lastRow="0" w:firstColumn="0" w:lastColumn="0" w:noHBand="0" w:noVBand="1"/>
    </w:tblPr>
    <w:tblGrid>
      <w:gridCol w:w="2551"/>
      <w:gridCol w:w="3119"/>
    </w:tblGrid>
    <w:tr w:rsidR="000A672A">
      <w:tc>
        <w:tcPr>
          <w:tcW w:w="2551" w:type="dxa"/>
          <w:shd w:val="clear" w:color="auto" w:fill="auto"/>
          <w:vAlign w:val="center"/>
        </w:tcPr>
        <w:p w:rsidR="000A672A" w:rsidRDefault="00CD32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0A672A" w:rsidRDefault="00CD328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16584/INFOEM/IP/RR/2022</w:t>
          </w:r>
        </w:p>
      </w:tc>
    </w:tr>
    <w:tr w:rsidR="000A672A">
      <w:trPr>
        <w:trHeight w:val="130"/>
      </w:trPr>
      <w:tc>
        <w:tcPr>
          <w:tcW w:w="2551" w:type="dxa"/>
          <w:shd w:val="clear" w:color="auto" w:fill="auto"/>
          <w:vAlign w:val="center"/>
        </w:tcPr>
        <w:p w:rsidR="000A672A" w:rsidRDefault="00CD32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0A672A" w:rsidRDefault="00AF7BE7" w:rsidP="00AF7BE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XXXXXXXXXXX XXXXXXXXXXXXX XXX XX </w:t>
          </w:r>
        </w:p>
      </w:tc>
    </w:tr>
    <w:tr w:rsidR="000A672A">
      <w:trPr>
        <w:trHeight w:val="228"/>
      </w:trPr>
      <w:tc>
        <w:tcPr>
          <w:tcW w:w="2551" w:type="dxa"/>
          <w:shd w:val="clear" w:color="auto" w:fill="auto"/>
          <w:vAlign w:val="center"/>
        </w:tcPr>
        <w:p w:rsidR="000A672A" w:rsidRDefault="00CD32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0A672A" w:rsidRDefault="00CD328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Salud.</w:t>
          </w:r>
        </w:p>
      </w:tc>
    </w:tr>
    <w:tr w:rsidR="000A672A">
      <w:tc>
        <w:tcPr>
          <w:tcW w:w="2551" w:type="dxa"/>
          <w:shd w:val="clear" w:color="auto" w:fill="auto"/>
          <w:vAlign w:val="center"/>
        </w:tcPr>
        <w:p w:rsidR="000A672A" w:rsidRDefault="00CD32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0A672A" w:rsidRDefault="00CD328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A672A" w:rsidRDefault="00CD3283">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simplePos x="0" y="0"/>
          <wp:positionH relativeFrom="column">
            <wp:posOffset>-1089655</wp:posOffset>
          </wp:positionH>
          <wp:positionV relativeFrom="paragraph">
            <wp:posOffset>-1169665</wp:posOffset>
          </wp:positionV>
          <wp:extent cx="7809865" cy="10165715"/>
          <wp:effectExtent l="0" t="0" r="0" b="0"/>
          <wp:wrapNone/>
          <wp:docPr id="9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463298"/>
    <w:multiLevelType w:val="multilevel"/>
    <w:tmpl w:val="68424AB8"/>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8187C77"/>
    <w:multiLevelType w:val="multilevel"/>
    <w:tmpl w:val="8E689E3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72A"/>
    <w:rsid w:val="000A672A"/>
    <w:rsid w:val="0048344A"/>
    <w:rsid w:val="00505806"/>
    <w:rsid w:val="007A22E9"/>
    <w:rsid w:val="00844942"/>
    <w:rsid w:val="00994A17"/>
    <w:rsid w:val="009B36F5"/>
    <w:rsid w:val="00A07A4C"/>
    <w:rsid w:val="00AC4B2F"/>
    <w:rsid w:val="00AF7BE7"/>
    <w:rsid w:val="00B258F3"/>
    <w:rsid w:val="00CD3283"/>
    <w:rsid w:val="00D24701"/>
    <w:rsid w:val="00E03162"/>
    <w:rsid w:val="00E245D3"/>
    <w:rsid w:val="00E60A52"/>
    <w:rsid w:val="00F663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21FA9B-C869-490B-B600-26379C96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518"/>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paragraph" w:customStyle="1" w:styleId="Citas">
    <w:name w:val="Citas"/>
    <w:basedOn w:val="Normal"/>
    <w:qFormat/>
    <w:rsid w:val="003B5C34"/>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3">
    <w:basedOn w:val="TableNormal3"/>
    <w:tblPr>
      <w:tblStyleRowBandSize w:val="1"/>
      <w:tblStyleColBandSize w:val="1"/>
      <w:tblCellMar>
        <w:top w:w="0" w:type="dxa"/>
        <w:left w:w="108" w:type="dxa"/>
        <w:bottom w:w="0" w:type="dxa"/>
        <w:right w:w="108" w:type="dxa"/>
      </w:tblCellMar>
    </w:tblPr>
  </w:style>
  <w:style w:type="table" w:customStyle="1" w:styleId="a4">
    <w:basedOn w:val="TableNormal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3"/>
    <w:tblPr>
      <w:tblStyleRowBandSize w:val="1"/>
      <w:tblStyleColBandSize w:val="1"/>
      <w:tblCellMar>
        <w:top w:w="0" w:type="dxa"/>
        <w:left w:w="115" w:type="dxa"/>
        <w:bottom w:w="0" w:type="dxa"/>
        <w:right w:w="115" w:type="dxa"/>
      </w:tblCellMar>
    </w:tblPr>
  </w:style>
  <w:style w:type="table" w:customStyle="1" w:styleId="a7">
    <w:basedOn w:val="TableNormal2"/>
    <w:tblPr>
      <w:tblStyleRowBandSize w:val="1"/>
      <w:tblStyleColBandSize w:val="1"/>
      <w:tblCellMar>
        <w:top w:w="0" w:type="dxa"/>
        <w:left w:w="108" w:type="dxa"/>
        <w:bottom w:w="0" w:type="dxa"/>
        <w:right w:w="108"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table" w:customStyle="1" w:styleId="a9">
    <w:basedOn w:val="TableNormal2"/>
    <w:tblPr>
      <w:tblStyleRowBandSize w:val="1"/>
      <w:tblStyleColBandSize w:val="1"/>
      <w:tblCellMar>
        <w:top w:w="0" w:type="dxa"/>
        <w:left w:w="108" w:type="dxa"/>
        <w:bottom w:w="0" w:type="dxa"/>
        <w:right w:w="108" w:type="dxa"/>
      </w:tblCellMar>
    </w:tblPr>
  </w:style>
  <w:style w:type="table" w:customStyle="1" w:styleId="aa">
    <w:basedOn w:val="TableNormal2"/>
    <w:tblPr>
      <w:tblStyleRowBandSize w:val="1"/>
      <w:tblStyleColBandSize w:val="1"/>
      <w:tblCellMar>
        <w:top w:w="0" w:type="dxa"/>
        <w:left w:w="108" w:type="dxa"/>
        <w:bottom w:w="0" w:type="dxa"/>
        <w:right w:w="108" w:type="dxa"/>
      </w:tblCellMar>
    </w:tblPr>
  </w:style>
  <w:style w:type="table" w:customStyle="1" w:styleId="ab">
    <w:basedOn w:val="TableNormal2"/>
    <w:tblPr>
      <w:tblStyleRowBandSize w:val="1"/>
      <w:tblStyleColBandSize w:val="1"/>
      <w:tblCellMar>
        <w:top w:w="0" w:type="dxa"/>
        <w:left w:w="108" w:type="dxa"/>
        <w:bottom w:w="0" w:type="dxa"/>
        <w:right w:w="108" w:type="dxa"/>
      </w:tblCellMar>
    </w:tblPr>
  </w:style>
  <w:style w:type="table" w:customStyle="1" w:styleId="ac">
    <w:basedOn w:val="TableNormal2"/>
    <w:tblPr>
      <w:tblStyleRowBandSize w:val="1"/>
      <w:tblStyleColBandSize w:val="1"/>
      <w:tblCellMar>
        <w:top w:w="0" w:type="dxa"/>
        <w:left w:w="108" w:type="dxa"/>
        <w:bottom w:w="0" w:type="dxa"/>
        <w:right w:w="108" w:type="dxa"/>
      </w:tblCellMar>
    </w:tblPr>
  </w:style>
  <w:style w:type="table" w:customStyle="1" w:styleId="ad">
    <w:basedOn w:val="TableNormal2"/>
    <w:tblPr>
      <w:tblStyleRowBandSize w:val="1"/>
      <w:tblStyleColBandSize w:val="1"/>
      <w:tblCellMar>
        <w:top w:w="0" w:type="dxa"/>
        <w:left w:w="108" w:type="dxa"/>
        <w:bottom w:w="0" w:type="dxa"/>
        <w:right w:w="108" w:type="dxa"/>
      </w:tblCellMar>
    </w:tblPr>
  </w:style>
  <w:style w:type="table" w:customStyle="1" w:styleId="ae">
    <w:basedOn w:val="TableNormal2"/>
    <w:tblPr>
      <w:tblStyleRowBandSize w:val="1"/>
      <w:tblStyleColBandSize w:val="1"/>
      <w:tblCellMar>
        <w:top w:w="0" w:type="dxa"/>
        <w:left w:w="108" w:type="dxa"/>
        <w:bottom w:w="0" w:type="dxa"/>
        <w:right w:w="108" w:type="dxa"/>
      </w:tblCellMar>
    </w:tblPr>
  </w:style>
  <w:style w:type="table" w:customStyle="1" w:styleId="af">
    <w:basedOn w:val="TableNormal2"/>
    <w:tblPr>
      <w:tblStyleRowBandSize w:val="1"/>
      <w:tblStyleColBandSize w:val="1"/>
      <w:tblCellMar>
        <w:top w:w="0" w:type="dxa"/>
        <w:left w:w="108" w:type="dxa"/>
        <w:bottom w:w="0" w:type="dxa"/>
        <w:right w:w="108" w:type="dxa"/>
      </w:tblCellMar>
    </w:tblPr>
  </w:style>
  <w:style w:type="table" w:customStyle="1" w:styleId="af0">
    <w:basedOn w:val="TableNormal2"/>
    <w:tblPr>
      <w:tblStyleRowBandSize w:val="1"/>
      <w:tblStyleColBandSize w:val="1"/>
      <w:tblCellMar>
        <w:top w:w="0" w:type="dxa"/>
        <w:left w:w="108" w:type="dxa"/>
        <w:bottom w:w="0" w:type="dxa"/>
        <w:right w:w="108" w:type="dxa"/>
      </w:tblCellMar>
    </w:tblPr>
  </w:style>
  <w:style w:type="table" w:customStyle="1" w:styleId="af1">
    <w:basedOn w:val="TableNormal2"/>
    <w:tblPr>
      <w:tblStyleRowBandSize w:val="1"/>
      <w:tblStyleColBandSize w:val="1"/>
      <w:tblCellMar>
        <w:top w:w="0" w:type="dxa"/>
        <w:left w:w="108" w:type="dxa"/>
        <w:bottom w:w="0" w:type="dxa"/>
        <w:right w:w="108" w:type="dxa"/>
      </w:tblCellMar>
    </w:tblPr>
  </w:style>
  <w:style w:type="table" w:customStyle="1" w:styleId="af2">
    <w:basedOn w:val="TableNormal2"/>
    <w:tblPr>
      <w:tblStyleRowBandSize w:val="1"/>
      <w:tblStyleColBandSize w:val="1"/>
      <w:tblCellMar>
        <w:top w:w="0" w:type="dxa"/>
        <w:left w:w="108" w:type="dxa"/>
        <w:bottom w:w="0" w:type="dxa"/>
        <w:right w:w="108" w:type="dxa"/>
      </w:tblCellMar>
    </w:tblPr>
  </w:style>
  <w:style w:type="table" w:customStyle="1" w:styleId="af3">
    <w:basedOn w:val="TableNormal2"/>
    <w:tblPr>
      <w:tblStyleRowBandSize w:val="1"/>
      <w:tblStyleColBandSize w:val="1"/>
      <w:tblCellMar>
        <w:top w:w="0" w:type="dxa"/>
        <w:left w:w="108" w:type="dxa"/>
        <w:bottom w:w="0" w:type="dxa"/>
        <w:right w:w="108" w:type="dxa"/>
      </w:tblCellMar>
    </w:tblPr>
  </w:style>
  <w:style w:type="table" w:customStyle="1" w:styleId="af4">
    <w:basedOn w:val="TableNormal2"/>
    <w:tblPr>
      <w:tblStyleRowBandSize w:val="1"/>
      <w:tblStyleColBandSize w:val="1"/>
      <w:tblCellMar>
        <w:top w:w="0" w:type="dxa"/>
        <w:left w:w="108" w:type="dxa"/>
        <w:bottom w:w="0" w:type="dxa"/>
        <w:right w:w="108" w:type="dxa"/>
      </w:tblCellMar>
    </w:tblPr>
  </w:style>
  <w:style w:type="table" w:customStyle="1" w:styleId="af5">
    <w:basedOn w:val="TableNormal2"/>
    <w:tblPr>
      <w:tblStyleRowBandSize w:val="1"/>
      <w:tblStyleColBandSize w:val="1"/>
      <w:tblCellMar>
        <w:top w:w="0" w:type="dxa"/>
        <w:left w:w="108" w:type="dxa"/>
        <w:bottom w:w="0" w:type="dxa"/>
        <w:right w:w="108" w:type="dxa"/>
      </w:tblCellMar>
    </w:tblPr>
  </w:style>
  <w:style w:type="table" w:customStyle="1" w:styleId="af6">
    <w:basedOn w:val="TableNormal2"/>
    <w:tblPr>
      <w:tblStyleRowBandSize w:val="1"/>
      <w:tblStyleColBandSize w:val="1"/>
      <w:tblCellMar>
        <w:top w:w="0" w:type="dxa"/>
        <w:left w:w="108" w:type="dxa"/>
        <w:bottom w:w="0" w:type="dxa"/>
        <w:right w:w="108" w:type="dxa"/>
      </w:tblCellMar>
    </w:tblPr>
  </w:style>
  <w:style w:type="table" w:customStyle="1" w:styleId="af7">
    <w:basedOn w:val="TableNormal2"/>
    <w:tblPr>
      <w:tblStyleRowBandSize w:val="1"/>
      <w:tblStyleColBandSize w:val="1"/>
      <w:tblCellMar>
        <w:top w:w="0" w:type="dxa"/>
        <w:left w:w="108" w:type="dxa"/>
        <w:bottom w:w="0" w:type="dxa"/>
        <w:right w:w="108" w:type="dxa"/>
      </w:tblCellMar>
    </w:tblPr>
  </w:style>
  <w:style w:type="table" w:customStyle="1" w:styleId="af8">
    <w:basedOn w:val="TableNormal2"/>
    <w:tblPr>
      <w:tblStyleRowBandSize w:val="1"/>
      <w:tblStyleColBandSize w:val="1"/>
      <w:tblCellMar>
        <w:top w:w="0" w:type="dxa"/>
        <w:left w:w="108" w:type="dxa"/>
        <w:bottom w:w="0" w:type="dxa"/>
        <w:right w:w="108" w:type="dxa"/>
      </w:tblCellMar>
    </w:tblPr>
  </w:style>
  <w:style w:type="table" w:customStyle="1" w:styleId="af9">
    <w:basedOn w:val="TableNormal2"/>
    <w:tblPr>
      <w:tblStyleRowBandSize w:val="1"/>
      <w:tblStyleColBandSize w:val="1"/>
      <w:tblCellMar>
        <w:top w:w="0" w:type="dxa"/>
        <w:left w:w="108" w:type="dxa"/>
        <w:bottom w:w="0" w:type="dxa"/>
        <w:right w:w="108" w:type="dxa"/>
      </w:tblCellMar>
    </w:tblPr>
  </w:style>
  <w:style w:type="table" w:customStyle="1" w:styleId="afa">
    <w:basedOn w:val="TableNormal2"/>
    <w:tblPr>
      <w:tblStyleRowBandSize w:val="1"/>
      <w:tblStyleColBandSize w:val="1"/>
      <w:tblCellMar>
        <w:top w:w="0" w:type="dxa"/>
        <w:left w:w="108" w:type="dxa"/>
        <w:bottom w:w="0" w:type="dxa"/>
        <w:right w:w="108" w:type="dxa"/>
      </w:tblCellMar>
    </w:tblPr>
  </w:style>
  <w:style w:type="table" w:customStyle="1" w:styleId="afb">
    <w:basedOn w:val="TableNormal2"/>
    <w:tblPr>
      <w:tblStyleRowBandSize w:val="1"/>
      <w:tblStyleColBandSize w:val="1"/>
      <w:tblCellMar>
        <w:top w:w="0" w:type="dxa"/>
        <w:left w:w="108" w:type="dxa"/>
        <w:bottom w:w="0" w:type="dxa"/>
        <w:right w:w="108" w:type="dxa"/>
      </w:tblCellMar>
    </w:tblPr>
  </w:style>
  <w:style w:type="table" w:customStyle="1" w:styleId="afc">
    <w:basedOn w:val="TableNormal2"/>
    <w:tblPr>
      <w:tblStyleRowBandSize w:val="1"/>
      <w:tblStyleColBandSize w:val="1"/>
      <w:tblCellMar>
        <w:top w:w="0" w:type="dxa"/>
        <w:left w:w="108" w:type="dxa"/>
        <w:bottom w:w="0" w:type="dxa"/>
        <w:right w:w="108" w:type="dxa"/>
      </w:tblCellMar>
    </w:tblPr>
  </w:style>
  <w:style w:type="table" w:customStyle="1" w:styleId="afd">
    <w:basedOn w:val="TableNormal2"/>
    <w:tblPr>
      <w:tblStyleRowBandSize w:val="1"/>
      <w:tblStyleColBandSize w:val="1"/>
      <w:tblCellMar>
        <w:top w:w="0" w:type="dxa"/>
        <w:left w:w="108" w:type="dxa"/>
        <w:bottom w:w="0" w:type="dxa"/>
        <w:right w:w="108" w:type="dxa"/>
      </w:tblCellMar>
    </w:tblPr>
  </w:style>
  <w:style w:type="table" w:customStyle="1" w:styleId="afe">
    <w:basedOn w:val="TableNormal2"/>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
    <w:basedOn w:val="TableNormal2"/>
    <w:tblPr>
      <w:tblStyleRowBandSize w:val="1"/>
      <w:tblStyleColBandSize w:val="1"/>
      <w:tblCellMar>
        <w:top w:w="0" w:type="dxa"/>
        <w:left w:w="115" w:type="dxa"/>
        <w:bottom w:w="0" w:type="dxa"/>
        <w:right w:w="115" w:type="dxa"/>
      </w:tblCellMar>
    </w:tblPr>
  </w:style>
  <w:style w:type="table" w:customStyle="1" w:styleId="aff0">
    <w:basedOn w:val="TableNormal2"/>
    <w:tblPr>
      <w:tblStyleRowBandSize w:val="1"/>
      <w:tblStyleColBandSize w:val="1"/>
      <w:tblCellMar>
        <w:top w:w="0" w:type="dxa"/>
        <w:left w:w="115" w:type="dxa"/>
        <w:bottom w:w="0" w:type="dxa"/>
        <w:right w:w="115" w:type="dxa"/>
      </w:tblCellMar>
    </w:tblPr>
  </w:style>
  <w:style w:type="table" w:customStyle="1" w:styleId="aff1">
    <w:basedOn w:val="TableNormal1"/>
    <w:tblPr>
      <w:tblStyleRowBandSize w:val="1"/>
      <w:tblStyleColBandSize w:val="1"/>
      <w:tblCellMar>
        <w:top w:w="0" w:type="dxa"/>
        <w:left w:w="108" w:type="dxa"/>
        <w:bottom w:w="0" w:type="dxa"/>
        <w:right w:w="108" w:type="dxa"/>
      </w:tblCellMar>
    </w:tblPr>
  </w:style>
  <w:style w:type="table" w:customStyle="1" w:styleId="aff2">
    <w:basedOn w:val="TableNormal1"/>
    <w:tblPr>
      <w:tblStyleRowBandSize w:val="1"/>
      <w:tblStyleColBandSize w:val="1"/>
      <w:tblCellMar>
        <w:top w:w="0" w:type="dxa"/>
        <w:left w:w="108" w:type="dxa"/>
        <w:bottom w:w="0" w:type="dxa"/>
        <w:right w:w="108" w:type="dxa"/>
      </w:tblCellMar>
    </w:tblPr>
  </w:style>
  <w:style w:type="table" w:customStyle="1" w:styleId="aff3">
    <w:basedOn w:val="TableNormal1"/>
    <w:tblPr>
      <w:tblStyleRowBandSize w:val="1"/>
      <w:tblStyleColBandSize w:val="1"/>
      <w:tblCellMar>
        <w:top w:w="0" w:type="dxa"/>
        <w:left w:w="108" w:type="dxa"/>
        <w:bottom w:w="0" w:type="dxa"/>
        <w:right w:w="108" w:type="dxa"/>
      </w:tblCellMar>
    </w:tblPr>
  </w:style>
  <w:style w:type="table" w:customStyle="1" w:styleId="aff4">
    <w:basedOn w:val="TableNormal1"/>
    <w:tblPr>
      <w:tblStyleRowBandSize w:val="1"/>
      <w:tblStyleColBandSize w:val="1"/>
      <w:tblCellMar>
        <w:top w:w="0" w:type="dxa"/>
        <w:left w:w="108" w:type="dxa"/>
        <w:bottom w:w="0" w:type="dxa"/>
        <w:right w:w="108" w:type="dxa"/>
      </w:tblCellMar>
    </w:tblPr>
  </w:style>
  <w:style w:type="table" w:customStyle="1" w:styleId="aff5">
    <w:basedOn w:val="TableNormal1"/>
    <w:tblPr>
      <w:tblStyleRowBandSize w:val="1"/>
      <w:tblStyleColBandSize w:val="1"/>
      <w:tblCellMar>
        <w:top w:w="0" w:type="dxa"/>
        <w:left w:w="108" w:type="dxa"/>
        <w:bottom w:w="0" w:type="dxa"/>
        <w:right w:w="108" w:type="dxa"/>
      </w:tblCellMar>
    </w:tblPr>
  </w:style>
  <w:style w:type="table" w:customStyle="1" w:styleId="aff6">
    <w:basedOn w:val="TableNormal1"/>
    <w:tblPr>
      <w:tblStyleRowBandSize w:val="1"/>
      <w:tblStyleColBandSize w:val="1"/>
      <w:tblCellMar>
        <w:top w:w="0" w:type="dxa"/>
        <w:left w:w="108" w:type="dxa"/>
        <w:bottom w:w="0" w:type="dxa"/>
        <w:right w:w="108" w:type="dxa"/>
      </w:tblCellMar>
    </w:tblPr>
  </w:style>
  <w:style w:type="table" w:customStyle="1" w:styleId="aff7">
    <w:basedOn w:val="TableNormal1"/>
    <w:tblPr>
      <w:tblStyleRowBandSize w:val="1"/>
      <w:tblStyleColBandSize w:val="1"/>
      <w:tblCellMar>
        <w:top w:w="0" w:type="dxa"/>
        <w:left w:w="108" w:type="dxa"/>
        <w:bottom w:w="0" w:type="dxa"/>
        <w:right w:w="108" w:type="dxa"/>
      </w:tblCellMar>
    </w:tblPr>
  </w:style>
  <w:style w:type="table" w:customStyle="1" w:styleId="aff8">
    <w:basedOn w:val="TableNormal1"/>
    <w:tblPr>
      <w:tblStyleRowBandSize w:val="1"/>
      <w:tblStyleColBandSize w:val="1"/>
      <w:tblCellMar>
        <w:top w:w="0" w:type="dxa"/>
        <w:left w:w="108" w:type="dxa"/>
        <w:bottom w:w="0" w:type="dxa"/>
        <w:right w:w="108" w:type="dxa"/>
      </w:tblCellMar>
    </w:tblPr>
  </w:style>
  <w:style w:type="table" w:customStyle="1" w:styleId="aff9">
    <w:basedOn w:val="TableNormal1"/>
    <w:tblPr>
      <w:tblStyleRowBandSize w:val="1"/>
      <w:tblStyleColBandSize w:val="1"/>
      <w:tblCellMar>
        <w:top w:w="0" w:type="dxa"/>
        <w:left w:w="108" w:type="dxa"/>
        <w:bottom w:w="0" w:type="dxa"/>
        <w:right w:w="108" w:type="dxa"/>
      </w:tblCellMar>
    </w:tblPr>
  </w:style>
  <w:style w:type="table" w:customStyle="1" w:styleId="affa">
    <w:basedOn w:val="TableNormal1"/>
    <w:tblPr>
      <w:tblStyleRowBandSize w:val="1"/>
      <w:tblStyleColBandSize w:val="1"/>
      <w:tblCellMar>
        <w:top w:w="0" w:type="dxa"/>
        <w:left w:w="108" w:type="dxa"/>
        <w:bottom w:w="0" w:type="dxa"/>
        <w:right w:w="108" w:type="dxa"/>
      </w:tblCellMar>
    </w:tblPr>
  </w:style>
  <w:style w:type="table" w:customStyle="1" w:styleId="affb">
    <w:basedOn w:val="TableNormal1"/>
    <w:tblPr>
      <w:tblStyleRowBandSize w:val="1"/>
      <w:tblStyleColBandSize w:val="1"/>
      <w:tblCellMar>
        <w:top w:w="0" w:type="dxa"/>
        <w:left w:w="108" w:type="dxa"/>
        <w:bottom w:w="0" w:type="dxa"/>
        <w:right w:w="108" w:type="dxa"/>
      </w:tblCellMar>
    </w:tblPr>
  </w:style>
  <w:style w:type="table" w:customStyle="1" w:styleId="affc">
    <w:basedOn w:val="TableNormal1"/>
    <w:tblPr>
      <w:tblStyleRowBandSize w:val="1"/>
      <w:tblStyleColBandSize w:val="1"/>
      <w:tblCellMar>
        <w:top w:w="0" w:type="dxa"/>
        <w:left w:w="108" w:type="dxa"/>
        <w:bottom w:w="0" w:type="dxa"/>
        <w:right w:w="108" w:type="dxa"/>
      </w:tblCellMar>
    </w:tblPr>
  </w:style>
  <w:style w:type="table" w:customStyle="1" w:styleId="affd">
    <w:basedOn w:val="TableNormal1"/>
    <w:tblPr>
      <w:tblStyleRowBandSize w:val="1"/>
      <w:tblStyleColBandSize w:val="1"/>
      <w:tblCellMar>
        <w:top w:w="0" w:type="dxa"/>
        <w:left w:w="108" w:type="dxa"/>
        <w:bottom w:w="0" w:type="dxa"/>
        <w:right w:w="108" w:type="dxa"/>
      </w:tblCellMar>
    </w:tblPr>
  </w:style>
  <w:style w:type="table" w:customStyle="1" w:styleId="affe">
    <w:basedOn w:val="TableNormal1"/>
    <w:tblPr>
      <w:tblStyleRowBandSize w:val="1"/>
      <w:tblStyleColBandSize w:val="1"/>
      <w:tblCellMar>
        <w:top w:w="0" w:type="dxa"/>
        <w:left w:w="108" w:type="dxa"/>
        <w:bottom w:w="0" w:type="dxa"/>
        <w:right w:w="108" w:type="dxa"/>
      </w:tblCellMar>
    </w:tblPr>
  </w:style>
  <w:style w:type="table" w:customStyle="1" w:styleId="afff">
    <w:basedOn w:val="TableNormal1"/>
    <w:tblPr>
      <w:tblStyleRowBandSize w:val="1"/>
      <w:tblStyleColBandSize w:val="1"/>
      <w:tblCellMar>
        <w:top w:w="0" w:type="dxa"/>
        <w:left w:w="108" w:type="dxa"/>
        <w:bottom w:w="0" w:type="dxa"/>
        <w:right w:w="108" w:type="dxa"/>
      </w:tblCellMar>
    </w:tblPr>
  </w:style>
  <w:style w:type="table" w:customStyle="1" w:styleId="afff0">
    <w:basedOn w:val="TableNormal1"/>
    <w:tblPr>
      <w:tblStyleRowBandSize w:val="1"/>
      <w:tblStyleColBandSize w:val="1"/>
      <w:tblCellMar>
        <w:top w:w="0" w:type="dxa"/>
        <w:left w:w="108" w:type="dxa"/>
        <w:bottom w:w="0" w:type="dxa"/>
        <w:right w:w="108" w:type="dxa"/>
      </w:tblCellMar>
    </w:tblPr>
  </w:style>
  <w:style w:type="table" w:customStyle="1" w:styleId="afff1">
    <w:basedOn w:val="TableNormal1"/>
    <w:tblPr>
      <w:tblStyleRowBandSize w:val="1"/>
      <w:tblStyleColBandSize w:val="1"/>
      <w:tblCellMar>
        <w:top w:w="0" w:type="dxa"/>
        <w:left w:w="108" w:type="dxa"/>
        <w:bottom w:w="0" w:type="dxa"/>
        <w:right w:w="108" w:type="dxa"/>
      </w:tblCellMar>
    </w:tblPr>
  </w:style>
  <w:style w:type="table" w:customStyle="1" w:styleId="afff2">
    <w:basedOn w:val="TableNormal1"/>
    <w:tblPr>
      <w:tblStyleRowBandSize w:val="1"/>
      <w:tblStyleColBandSize w:val="1"/>
      <w:tblCellMar>
        <w:top w:w="0" w:type="dxa"/>
        <w:left w:w="108" w:type="dxa"/>
        <w:bottom w:w="0" w:type="dxa"/>
        <w:right w:w="108" w:type="dxa"/>
      </w:tblCellMar>
    </w:tblPr>
  </w:style>
  <w:style w:type="table" w:customStyle="1" w:styleId="afff3">
    <w:basedOn w:val="TableNormal1"/>
    <w:tblPr>
      <w:tblStyleRowBandSize w:val="1"/>
      <w:tblStyleColBandSize w:val="1"/>
      <w:tblCellMar>
        <w:top w:w="0" w:type="dxa"/>
        <w:left w:w="108" w:type="dxa"/>
        <w:bottom w:w="0" w:type="dxa"/>
        <w:right w:w="108" w:type="dxa"/>
      </w:tblCellMar>
    </w:tblPr>
  </w:style>
  <w:style w:type="table" w:customStyle="1" w:styleId="afff4">
    <w:basedOn w:val="TableNormal1"/>
    <w:tblPr>
      <w:tblStyleRowBandSize w:val="1"/>
      <w:tblStyleColBandSize w:val="1"/>
      <w:tblCellMar>
        <w:top w:w="0" w:type="dxa"/>
        <w:left w:w="108" w:type="dxa"/>
        <w:bottom w:w="0" w:type="dxa"/>
        <w:right w:w="108" w:type="dxa"/>
      </w:tblCellMar>
    </w:tblPr>
  </w:style>
  <w:style w:type="table" w:customStyle="1" w:styleId="afff5">
    <w:basedOn w:val="TableNormal1"/>
    <w:tblPr>
      <w:tblStyleRowBandSize w:val="1"/>
      <w:tblStyleColBandSize w:val="1"/>
      <w:tblCellMar>
        <w:top w:w="0" w:type="dxa"/>
        <w:left w:w="108" w:type="dxa"/>
        <w:bottom w:w="0" w:type="dxa"/>
        <w:right w:w="108" w:type="dxa"/>
      </w:tblCellMar>
    </w:tblPr>
  </w:style>
  <w:style w:type="table" w:customStyle="1" w:styleId="afff6">
    <w:basedOn w:val="TableNormal1"/>
    <w:tblPr>
      <w:tblStyleRowBandSize w:val="1"/>
      <w:tblStyleColBandSize w:val="1"/>
      <w:tblCellMar>
        <w:top w:w="0" w:type="dxa"/>
        <w:left w:w="108" w:type="dxa"/>
        <w:bottom w:w="0" w:type="dxa"/>
        <w:right w:w="108" w:type="dxa"/>
      </w:tblCellMar>
    </w:tblPr>
  </w:style>
  <w:style w:type="table" w:customStyle="1" w:styleId="afff7">
    <w:basedOn w:val="TableNormal1"/>
    <w:tblPr>
      <w:tblStyleRowBandSize w:val="1"/>
      <w:tblStyleColBandSize w:val="1"/>
      <w:tblCellMar>
        <w:top w:w="0" w:type="dxa"/>
        <w:left w:w="108" w:type="dxa"/>
        <w:bottom w:w="0" w:type="dxa"/>
        <w:right w:w="108" w:type="dxa"/>
      </w:tblCellMar>
    </w:tblPr>
  </w:style>
  <w:style w:type="table" w:customStyle="1" w:styleId="afff8">
    <w:basedOn w:val="TableNormal1"/>
    <w:tblPr>
      <w:tblStyleRowBandSize w:val="1"/>
      <w:tblStyleColBandSize w:val="1"/>
      <w:tblCellMar>
        <w:top w:w="0" w:type="dxa"/>
        <w:left w:w="108" w:type="dxa"/>
        <w:bottom w:w="0" w:type="dxa"/>
        <w:right w:w="108" w:type="dxa"/>
      </w:tblCellMar>
    </w:tblPr>
  </w:style>
  <w:style w:type="table" w:customStyle="1" w:styleId="afff9">
    <w:basedOn w:val="TableNormal1"/>
    <w:tblPr>
      <w:tblStyleRowBandSize w:val="1"/>
      <w:tblStyleColBandSize w:val="1"/>
      <w:tblCellMar>
        <w:top w:w="0" w:type="dxa"/>
        <w:left w:w="108" w:type="dxa"/>
        <w:bottom w:w="0" w:type="dxa"/>
        <w:right w:w="108" w:type="dxa"/>
      </w:tblCellMar>
    </w:tblPr>
  </w:style>
  <w:style w:type="table" w:customStyle="1" w:styleId="afffa">
    <w:basedOn w:val="TableNormal1"/>
    <w:tblPr>
      <w:tblStyleRowBandSize w:val="1"/>
      <w:tblStyleColBandSize w:val="1"/>
      <w:tblCellMar>
        <w:top w:w="0" w:type="dxa"/>
        <w:left w:w="108" w:type="dxa"/>
        <w:bottom w:w="0" w:type="dxa"/>
        <w:right w:w="108" w:type="dxa"/>
      </w:tblCellMar>
    </w:tblPr>
  </w:style>
  <w:style w:type="table" w:customStyle="1" w:styleId="afffb">
    <w:basedOn w:val="TableNormal1"/>
    <w:tblPr>
      <w:tblStyleRowBandSize w:val="1"/>
      <w:tblStyleColBandSize w:val="1"/>
      <w:tblCellMar>
        <w:top w:w="0" w:type="dxa"/>
        <w:left w:w="108" w:type="dxa"/>
        <w:bottom w:w="0" w:type="dxa"/>
        <w:right w:w="108" w:type="dxa"/>
      </w:tblCellMar>
    </w:tblPr>
  </w:style>
  <w:style w:type="table" w:customStyle="1" w:styleId="afffc">
    <w:basedOn w:val="TableNormal1"/>
    <w:tblPr>
      <w:tblStyleRowBandSize w:val="1"/>
      <w:tblStyleColBandSize w:val="1"/>
      <w:tblCellMar>
        <w:top w:w="0" w:type="dxa"/>
        <w:left w:w="108" w:type="dxa"/>
        <w:bottom w:w="0" w:type="dxa"/>
        <w:right w:w="108" w:type="dxa"/>
      </w:tblCellMar>
    </w:tblPr>
  </w:style>
  <w:style w:type="table" w:customStyle="1" w:styleId="afffd">
    <w:basedOn w:val="TableNormal1"/>
    <w:tblPr>
      <w:tblStyleRowBandSize w:val="1"/>
      <w:tblStyleColBandSize w:val="1"/>
      <w:tblCellMar>
        <w:top w:w="0" w:type="dxa"/>
        <w:left w:w="108" w:type="dxa"/>
        <w:bottom w:w="0" w:type="dxa"/>
        <w:right w:w="108" w:type="dxa"/>
      </w:tblCellMar>
    </w:tblPr>
  </w:style>
  <w:style w:type="table" w:customStyle="1" w:styleId="afffe">
    <w:basedOn w:val="TableNormal1"/>
    <w:tblPr>
      <w:tblStyleRowBandSize w:val="1"/>
      <w:tblStyleColBandSize w:val="1"/>
      <w:tblCellMar>
        <w:top w:w="0" w:type="dxa"/>
        <w:left w:w="108" w:type="dxa"/>
        <w:bottom w:w="0" w:type="dxa"/>
        <w:right w:w="108" w:type="dxa"/>
      </w:tblCellMar>
    </w:tblPr>
  </w:style>
  <w:style w:type="table" w:customStyle="1" w:styleId="affff">
    <w:basedOn w:val="TableNormal1"/>
    <w:tblPr>
      <w:tblStyleRowBandSize w:val="1"/>
      <w:tblStyleColBandSize w:val="1"/>
      <w:tblCellMar>
        <w:top w:w="0" w:type="dxa"/>
        <w:left w:w="108" w:type="dxa"/>
        <w:bottom w:w="0" w:type="dxa"/>
        <w:right w:w="108" w:type="dxa"/>
      </w:tblCellMar>
    </w:tblPr>
  </w:style>
  <w:style w:type="table" w:customStyle="1" w:styleId="affff0">
    <w:basedOn w:val="TableNormal1"/>
    <w:tblPr>
      <w:tblStyleRowBandSize w:val="1"/>
      <w:tblStyleColBandSize w:val="1"/>
      <w:tblCellMar>
        <w:top w:w="0" w:type="dxa"/>
        <w:left w:w="108" w:type="dxa"/>
        <w:bottom w:w="0" w:type="dxa"/>
        <w:right w:w="108" w:type="dxa"/>
      </w:tblCellMar>
    </w:tblPr>
  </w:style>
  <w:style w:type="table" w:customStyle="1" w:styleId="affff1">
    <w:basedOn w:val="TableNormal1"/>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f2">
    <w:basedOn w:val="TableNormal1"/>
    <w:tblPr>
      <w:tblStyleRowBandSize w:val="1"/>
      <w:tblStyleColBandSize w:val="1"/>
      <w:tblCellMar>
        <w:top w:w="0" w:type="dxa"/>
        <w:left w:w="115" w:type="dxa"/>
        <w:bottom w:w="0" w:type="dxa"/>
        <w:right w:w="115" w:type="dxa"/>
      </w:tblCellMar>
    </w:tblPr>
  </w:style>
  <w:style w:type="table" w:customStyle="1" w:styleId="affff3">
    <w:basedOn w:val="TableNormal1"/>
    <w:tblPr>
      <w:tblStyleRowBandSize w:val="1"/>
      <w:tblStyleColBandSize w:val="1"/>
      <w:tblCellMar>
        <w:top w:w="0" w:type="dxa"/>
        <w:left w:w="115" w:type="dxa"/>
        <w:bottom w:w="0" w:type="dxa"/>
        <w:right w:w="115" w:type="dxa"/>
      </w:tblCellMar>
    </w:tblPr>
  </w:style>
  <w:style w:type="table" w:customStyle="1" w:styleId="affff4">
    <w:basedOn w:val="TableNormal0"/>
    <w:tblPr>
      <w:tblStyleRowBandSize w:val="1"/>
      <w:tblStyleColBandSize w:val="1"/>
      <w:tblCellMar>
        <w:top w:w="0" w:type="dxa"/>
        <w:left w:w="115" w:type="dxa"/>
        <w:bottom w:w="0" w:type="dxa"/>
        <w:right w:w="115" w:type="dxa"/>
      </w:tblCellMar>
    </w:tblPr>
  </w:style>
  <w:style w:type="table" w:customStyle="1" w:styleId="affff5">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15505.page"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imca.edomex.gob.mx/platicas-conferencias"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642540.page"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saimex.org.mx/saimex/solicitud/downloadAttach/1636394.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mca.edomex.gob.mx/platicas-conferencias" TargetMode="External"/><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lHQZd5nawhMZznepJzxWKKRqVNg==">AMUW2mX1xa+kgPMJc5tZTYEripqdS44ijORhQGq/Yws0/9XpzYBOd+ggTR/dOBiLhMe4VVn2hPWQsyb9roi1QOy1YgIdTdJwNH+NLu0gg/iqxK8q0iwJlRa+/7PiUi3/IDD857g30wEB3cI0JTPTmzvcDmsDnhUHZglP+GyyTfh7ATFjn9OFJrR15iBPoJbeclMIH6jz57bBTjJW5TcZ7UR6YQTL9E+kcntnMjjMCPG6FJ3I62MEbK6hk8KbGz4mFax1nZHPhv746me1UQbReAVuMkzX5Yu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6248</Words>
  <Characters>34364</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2023-05-08T16:51:00Z</cp:lastPrinted>
  <dcterms:created xsi:type="dcterms:W3CDTF">2023-05-17T18:17:00Z</dcterms:created>
  <dcterms:modified xsi:type="dcterms:W3CDTF">2023-05-17T18:17:00Z</dcterms:modified>
</cp:coreProperties>
</file>