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F49C3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FE6A9A">
        <w:rPr>
          <w:rFonts w:ascii="Palatino Linotype" w:hAnsi="Palatino Linotype"/>
          <w:color w:val="000000" w:themeColor="text1"/>
        </w:rPr>
        <w:t>quince (15</w:t>
      </w:r>
      <w:r w:rsidR="009B260B">
        <w:rPr>
          <w:rFonts w:ascii="Palatino Linotype" w:hAnsi="Palatino Linotype"/>
          <w:color w:val="000000" w:themeColor="text1"/>
        </w:rPr>
        <w:t xml:space="preserve">) de febrero </w:t>
      </w:r>
      <w:r w:rsidR="0063423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08E6051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2777E9">
        <w:rPr>
          <w:rFonts w:ascii="Palatino Linotype" w:hAnsi="Palatino Linotype"/>
          <w:b/>
          <w:bCs/>
          <w:color w:val="000000" w:themeColor="text1"/>
        </w:rPr>
        <w:t>15923/INFOEM/IP/RR/2022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 xml:space="preserve">interpuesto </w:t>
      </w:r>
      <w:r w:rsidR="0063423A">
        <w:rPr>
          <w:rFonts w:ascii="Palatino Linotype" w:eastAsia="Times New Roman" w:hAnsi="Palatino Linotype" w:cs="Times New Roman"/>
          <w:color w:val="000000" w:themeColor="text1"/>
        </w:rPr>
        <w:t xml:space="preserve">por </w:t>
      </w:r>
      <w:r w:rsidR="00864255">
        <w:rPr>
          <w:rFonts w:ascii="Palatino Linotype" w:eastAsia="Times New Roman" w:hAnsi="Palatino Linotype" w:cs="Times New Roman"/>
          <w:b/>
          <w:color w:val="000000" w:themeColor="text1"/>
        </w:rPr>
        <w:t>XXXXXXXXXX</w:t>
      </w:r>
      <w:r w:rsidR="0063423A">
        <w:rPr>
          <w:rFonts w:ascii="Palatino Linotype" w:eastAsia="Times New Roman" w:hAnsi="Palatino Linotype" w:cs="Times New Roman"/>
          <w:color w:val="000000" w:themeColor="text1"/>
        </w:rPr>
        <w:t xml:space="preserve">, en lo sucesivo, </w:t>
      </w:r>
      <w:r w:rsidR="002777E9">
        <w:rPr>
          <w:rFonts w:ascii="Palatino Linotype" w:eastAsia="Times New Roman" w:hAnsi="Palatino Linotype" w:cs="Times New Roman"/>
          <w:color w:val="000000" w:themeColor="text1"/>
        </w:rPr>
        <w:t>el</w:t>
      </w:r>
      <w:r w:rsidR="0063423A">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2777E9">
        <w:rPr>
          <w:rFonts w:ascii="Palatino Linotype" w:eastAsia="Times New Roman" w:hAnsi="Palatino Linotype" w:cs="Arial"/>
          <w:b/>
          <w:color w:val="000000" w:themeColor="text1"/>
        </w:rPr>
        <w:t>Ayuntamiento de Almoloya de Juárez</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bookmarkStart w:id="0" w:name="_GoBack"/>
      <w:bookmarkEnd w:id="0"/>
    </w:p>
    <w:p w14:paraId="11EE5310" w14:textId="3C2BD6F0" w:rsidR="009A593A" w:rsidRPr="00A85CB7" w:rsidRDefault="00FE6A9A" w:rsidP="00FE6A9A">
      <w:pPr>
        <w:tabs>
          <w:tab w:val="left" w:pos="2316"/>
        </w:tabs>
        <w:spacing w:line="360" w:lineRule="auto"/>
        <w:jc w:val="both"/>
        <w:rPr>
          <w:rFonts w:ascii="Palatino Linotype" w:hAnsi="Palatino Linotype"/>
          <w:b/>
          <w:color w:val="000000" w:themeColor="text1"/>
        </w:rPr>
      </w:pPr>
      <w:r>
        <w:rPr>
          <w:rFonts w:ascii="Palatino Linotype" w:hAnsi="Palatino Linotype"/>
          <w:b/>
          <w:color w:val="000000" w:themeColor="text1"/>
        </w:rPr>
        <w:tab/>
      </w:r>
    </w:p>
    <w:p w14:paraId="769E1410" w14:textId="5FE2D20C"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1208D1B9"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2777E9">
        <w:rPr>
          <w:rFonts w:ascii="Palatino Linotype" w:eastAsia="Calibri" w:hAnsi="Palatino Linotype" w:cs="Arial"/>
          <w:color w:val="000000" w:themeColor="text1"/>
          <w:lang w:val="es-ES"/>
        </w:rPr>
        <w:t xml:space="preserve">cuatro (04) de octubre </w:t>
      </w:r>
      <w:r w:rsidR="002D063B" w:rsidRPr="005B6AE1">
        <w:rPr>
          <w:rFonts w:ascii="Palatino Linotype" w:eastAsia="Calibri" w:hAnsi="Palatino Linotype" w:cs="Arial"/>
          <w:color w:val="000000" w:themeColor="text1"/>
          <w:lang w:val="es-ES"/>
        </w:rPr>
        <w:t xml:space="preserve">de dos mil veintidós, </w:t>
      </w:r>
      <w:r w:rsidR="002777E9">
        <w:rPr>
          <w:rFonts w:ascii="Palatino Linotype" w:hAnsi="Palatino Linotype"/>
          <w:color w:val="000000" w:themeColor="text1"/>
        </w:rPr>
        <w:t>el</w:t>
      </w:r>
      <w:r w:rsidR="002D063B" w:rsidRPr="005B6AE1">
        <w:rPr>
          <w:rFonts w:ascii="Palatino Linotype" w:hAnsi="Palatino Linotype"/>
          <w:color w:val="000000" w:themeColor="text1"/>
        </w:rPr>
        <w:t xml:space="preserve"> particular presentó,</w:t>
      </w:r>
      <w:r w:rsidR="002D063B" w:rsidRPr="005B6AE1">
        <w:rPr>
          <w:rFonts w:ascii="Palatino Linotype" w:hAnsi="Palatino Linotype"/>
          <w:b/>
          <w:color w:val="000000" w:themeColor="text1"/>
        </w:rPr>
        <w:t xml:space="preserve"> </w:t>
      </w:r>
      <w:r w:rsidR="002D063B" w:rsidRPr="005B6AE1">
        <w:rPr>
          <w:rFonts w:ascii="Palatino Linotype" w:hAnsi="Palatino Linotype"/>
          <w:bCs/>
          <w:color w:val="000000" w:themeColor="text1"/>
        </w:rPr>
        <w:t xml:space="preserve">a través </w:t>
      </w:r>
      <w:r w:rsidR="009B260B">
        <w:rPr>
          <w:rFonts w:ascii="Palatino Linotype" w:hAnsi="Palatino Linotype"/>
          <w:bCs/>
          <w:color w:val="000000" w:themeColor="text1"/>
        </w:rPr>
        <w:t>del</w:t>
      </w:r>
      <w:r w:rsidR="0063423A">
        <w:rPr>
          <w:rFonts w:ascii="Palatino Linotype" w:hAnsi="Palatino Linotype"/>
          <w:bCs/>
          <w:color w:val="000000" w:themeColor="text1"/>
        </w:rPr>
        <w:t xml:space="preserve"> Sistema de Acceso a la Información Mexiquense (SAIMEX)</w:t>
      </w:r>
      <w:r w:rsidR="002D063B" w:rsidRPr="005B6AE1">
        <w:rPr>
          <w:rFonts w:ascii="Palatino Linotype" w:eastAsia="Calibri" w:hAnsi="Palatino Linotype" w:cs="Arial"/>
          <w:color w:val="000000" w:themeColor="text1"/>
          <w:lang w:val="es-ES"/>
        </w:rPr>
        <w:t>, la solicitud de información pública registrada con el número</w:t>
      </w:r>
      <w:r w:rsidR="002D063B" w:rsidRPr="005B6AE1">
        <w:rPr>
          <w:rFonts w:ascii="Palatino Linotype" w:hAnsi="Palatino Linotype"/>
          <w:b/>
          <w:bCs/>
          <w:color w:val="000000" w:themeColor="text1"/>
        </w:rPr>
        <w:t xml:space="preserve"> </w:t>
      </w:r>
      <w:r w:rsidR="002777E9">
        <w:rPr>
          <w:rFonts w:ascii="Palatino Linotype" w:hAnsi="Palatino Linotype"/>
          <w:b/>
          <w:bCs/>
          <w:color w:val="000000" w:themeColor="text1"/>
        </w:rPr>
        <w:t>00336/ALMOJU/IP/2022</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mediante la cual 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13260E6D" w:rsidR="002D063B" w:rsidRPr="005B6AE1" w:rsidRDefault="002D063B" w:rsidP="00AE1659">
      <w:pPr>
        <w:pStyle w:val="Prrafodelista"/>
        <w:spacing w:line="276" w:lineRule="auto"/>
        <w:ind w:left="567" w:right="567"/>
        <w:jc w:val="both"/>
        <w:rPr>
          <w:rFonts w:ascii="Palatino Linotype" w:hAnsi="Palatino Linotype"/>
          <w:i/>
          <w:color w:val="000000" w:themeColor="text1"/>
          <w:szCs w:val="22"/>
        </w:rPr>
      </w:pPr>
      <w:r w:rsidRPr="005B6AE1">
        <w:rPr>
          <w:rFonts w:ascii="Palatino Linotype" w:hAnsi="Palatino Linotype"/>
          <w:i/>
          <w:color w:val="000000" w:themeColor="text1"/>
          <w:sz w:val="22"/>
          <w:szCs w:val="22"/>
        </w:rPr>
        <w:t>“</w:t>
      </w:r>
      <w:r w:rsidR="002777E9" w:rsidRPr="002777E9">
        <w:rPr>
          <w:rFonts w:ascii="Palatino Linotype" w:hAnsi="Palatino Linotype"/>
          <w:i/>
          <w:iCs/>
          <w:color w:val="000000" w:themeColor="text1"/>
          <w:sz w:val="22"/>
          <w:szCs w:val="22"/>
        </w:rPr>
        <w:t xml:space="preserve">1.- Los contratos de los inmuebles que el ayuntamiento tiene en renta (enlistados en el oficio 131/2022 del director de </w:t>
      </w:r>
      <w:proofErr w:type="spellStart"/>
      <w:r w:rsidR="002777E9" w:rsidRPr="002777E9">
        <w:rPr>
          <w:rFonts w:ascii="Palatino Linotype" w:hAnsi="Palatino Linotype"/>
          <w:i/>
          <w:iCs/>
          <w:color w:val="000000" w:themeColor="text1"/>
          <w:sz w:val="22"/>
          <w:szCs w:val="22"/>
        </w:rPr>
        <w:t>administracion</w:t>
      </w:r>
      <w:proofErr w:type="spellEnd"/>
      <w:r w:rsidR="002777E9" w:rsidRPr="002777E9">
        <w:rPr>
          <w:rFonts w:ascii="Palatino Linotype" w:hAnsi="Palatino Linotype"/>
          <w:i/>
          <w:iCs/>
          <w:color w:val="000000" w:themeColor="text1"/>
          <w:sz w:val="22"/>
          <w:szCs w:val="22"/>
        </w:rPr>
        <w:t xml:space="preserve"> o la declaratoria de inexistencia de ellos 2.- Si existen los contratos por que no se ha realizado </w:t>
      </w:r>
      <w:proofErr w:type="spellStart"/>
      <w:r w:rsidR="002777E9" w:rsidRPr="002777E9">
        <w:rPr>
          <w:rFonts w:ascii="Palatino Linotype" w:hAnsi="Palatino Linotype"/>
          <w:i/>
          <w:iCs/>
          <w:color w:val="000000" w:themeColor="text1"/>
          <w:sz w:val="22"/>
          <w:szCs w:val="22"/>
        </w:rPr>
        <w:t>ningun</w:t>
      </w:r>
      <w:proofErr w:type="spellEnd"/>
      <w:r w:rsidR="002777E9" w:rsidRPr="002777E9">
        <w:rPr>
          <w:rFonts w:ascii="Palatino Linotype" w:hAnsi="Palatino Linotype"/>
          <w:i/>
          <w:iCs/>
          <w:color w:val="000000" w:themeColor="text1"/>
          <w:sz w:val="22"/>
          <w:szCs w:val="22"/>
        </w:rPr>
        <w:t xml:space="preserve"> pago durante los meses transcurridos? 3.- de no existir los contratos que sostiene legalmente la ocupación de ellos</w:t>
      </w:r>
      <w:proofErr w:type="gramStart"/>
      <w:r w:rsidR="002777E9" w:rsidRPr="002777E9">
        <w:rPr>
          <w:rFonts w:ascii="Palatino Linotype" w:hAnsi="Palatino Linotype"/>
          <w:i/>
          <w:iCs/>
          <w:color w:val="000000" w:themeColor="text1"/>
          <w:sz w:val="22"/>
          <w:szCs w:val="22"/>
        </w:rPr>
        <w:t>?</w:t>
      </w:r>
      <w:proofErr w:type="gramEnd"/>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49C21E77" w14:textId="1554A3B3" w:rsidR="0039142B" w:rsidRPr="00A85CB7"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t xml:space="preserve">Se hace constar que </w:t>
      </w:r>
      <w:r w:rsidR="002777E9">
        <w:rPr>
          <w:rFonts w:ascii="Palatino Linotype" w:eastAsia="Times New Roman" w:hAnsi="Palatino Linotype" w:cs="Arial"/>
          <w:color w:val="000000" w:themeColor="text1"/>
          <w:lang w:val="es-ES"/>
        </w:rPr>
        <w:t>el</w:t>
      </w:r>
      <w:r w:rsidRPr="005B6AE1">
        <w:rPr>
          <w:rFonts w:ascii="Palatino Linotype" w:eastAsia="Times New Roman" w:hAnsi="Palatino Linotype" w:cs="Arial"/>
          <w:color w:val="000000" w:themeColor="text1"/>
          <w:lang w:val="es-ES"/>
        </w:rPr>
        <w:t xml:space="preserve"> entonces </w:t>
      </w:r>
      <w:r w:rsidRPr="005B6AE1">
        <w:rPr>
          <w:rFonts w:ascii="Palatino Linotype" w:eastAsia="Times New Roman" w:hAnsi="Palatino Linotype" w:cs="Arial"/>
          <w:b/>
          <w:color w:val="000000" w:themeColor="text1"/>
          <w:lang w:val="es-ES"/>
        </w:rPr>
        <w:t>SOLICITANTE</w:t>
      </w:r>
      <w:r w:rsidRPr="005B6AE1">
        <w:rPr>
          <w:rFonts w:ascii="Palatino Linotype" w:eastAsia="Times New Roman" w:hAnsi="Palatino Linotype" w:cs="Arial"/>
          <w:color w:val="000000" w:themeColor="text1"/>
          <w:lang w:val="es-ES"/>
        </w:rPr>
        <w:t xml:space="preserve"> señaló como modalidad de entrega de la información</w:t>
      </w:r>
      <w:r w:rsidRPr="005B6AE1">
        <w:rPr>
          <w:rFonts w:ascii="Palatino Linotype" w:eastAsia="Times New Roman" w:hAnsi="Palatino Linotype" w:cs="Arial"/>
          <w:b/>
          <w:color w:val="000000" w:themeColor="text1"/>
          <w:lang w:val="es-ES"/>
        </w:rPr>
        <w:t xml:space="preserve">: </w:t>
      </w:r>
      <w:r w:rsidRPr="005B6AE1">
        <w:rPr>
          <w:rFonts w:ascii="Palatino Linotype" w:eastAsia="Times New Roman" w:hAnsi="Palatino Linotype" w:cs="Arial"/>
          <w:b/>
          <w:i/>
          <w:iCs/>
          <w:color w:val="000000" w:themeColor="text1"/>
          <w:lang w:val="es-ES"/>
        </w:rPr>
        <w:t>A través del SAIMEX</w:t>
      </w:r>
      <w:r>
        <w:rPr>
          <w:rFonts w:ascii="Palatino Linotype" w:eastAsia="Calibri" w:hAnsi="Palatino Linotype" w:cs="Arial"/>
          <w:b/>
          <w:bCs/>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43D7026" w14:textId="79AC8F33" w:rsidR="002D063B" w:rsidRPr="00AC6005" w:rsidRDefault="002D063B" w:rsidP="002D063B">
      <w:pPr>
        <w:pStyle w:val="Prrafodelista"/>
        <w:numPr>
          <w:ilvl w:val="0"/>
          <w:numId w:val="1"/>
        </w:numPr>
        <w:tabs>
          <w:tab w:val="left" w:pos="426"/>
        </w:tabs>
        <w:spacing w:line="360" w:lineRule="auto"/>
        <w:jc w:val="both"/>
        <w:rPr>
          <w:rFonts w:ascii="Palatino Linotype" w:hAnsi="Palatino Linotype" w:cs="Arial"/>
        </w:rPr>
      </w:pPr>
      <w:bookmarkStart w:id="4" w:name="_Toc461555889"/>
      <w:bookmarkStart w:id="5" w:name="_Toc466371858"/>
      <w:r>
        <w:rPr>
          <w:rFonts w:ascii="Palatino Linotype" w:eastAsia="MS Mincho" w:hAnsi="Palatino Linotype" w:cs="Times New Roman"/>
          <w:color w:val="000000" w:themeColor="text1"/>
        </w:rPr>
        <w:lastRenderedPageBreak/>
        <w:t>E</w:t>
      </w:r>
      <w:r w:rsidRPr="005B6AE1">
        <w:rPr>
          <w:rFonts w:ascii="Palatino Linotype" w:eastAsia="MS Mincho" w:hAnsi="Palatino Linotype" w:cs="Times New Roman"/>
          <w:color w:val="000000" w:themeColor="text1"/>
        </w:rPr>
        <w:t>l</w:t>
      </w:r>
      <w:r>
        <w:rPr>
          <w:rFonts w:ascii="Palatino Linotype" w:eastAsia="MS Mincho" w:hAnsi="Palatino Linotype" w:cs="Times New Roman"/>
          <w:color w:val="000000" w:themeColor="text1"/>
        </w:rPr>
        <w:t xml:space="preserve"> </w:t>
      </w:r>
      <w:r w:rsidR="002777E9">
        <w:rPr>
          <w:rFonts w:ascii="Palatino Linotype" w:eastAsia="MS Mincho" w:hAnsi="Palatino Linotype" w:cs="Times New Roman"/>
          <w:color w:val="000000" w:themeColor="text1"/>
        </w:rPr>
        <w:t xml:space="preserve">veintiséis (26) de octubre </w:t>
      </w:r>
      <w:r>
        <w:rPr>
          <w:rFonts w:ascii="Palatino Linotype" w:eastAsia="MS Mincho" w:hAnsi="Palatino Linotype" w:cs="Times New Roman"/>
          <w:color w:val="000000" w:themeColor="text1"/>
        </w:rPr>
        <w:t xml:space="preserve">de dos mil veintidós, el </w:t>
      </w:r>
      <w:r>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Default="002D063B" w:rsidP="002D063B">
      <w:pPr>
        <w:pStyle w:val="Prrafodelista"/>
        <w:tabs>
          <w:tab w:val="left" w:pos="426"/>
        </w:tabs>
        <w:spacing w:line="360" w:lineRule="auto"/>
        <w:ind w:left="0"/>
        <w:jc w:val="both"/>
        <w:rPr>
          <w:rFonts w:ascii="Palatino Linotype" w:hAnsi="Palatino Linotype" w:cs="Arial"/>
        </w:rPr>
      </w:pPr>
    </w:p>
    <w:p w14:paraId="7AE73423" w14:textId="77777777" w:rsidR="002777E9" w:rsidRPr="002777E9" w:rsidRDefault="002D063B" w:rsidP="002777E9">
      <w:pPr>
        <w:pStyle w:val="Prrafodelista"/>
        <w:tabs>
          <w:tab w:val="left" w:pos="426"/>
        </w:tabs>
        <w:spacing w:line="276" w:lineRule="auto"/>
        <w:ind w:left="567" w:right="567"/>
        <w:jc w:val="both"/>
        <w:rPr>
          <w:rFonts w:ascii="Palatino Linotype" w:hAnsi="Palatino Linotype" w:cs="Arial"/>
          <w:i/>
          <w:iCs/>
          <w:sz w:val="22"/>
          <w:szCs w:val="22"/>
        </w:rPr>
      </w:pPr>
      <w:r>
        <w:rPr>
          <w:rFonts w:ascii="Palatino Linotype" w:hAnsi="Palatino Linotype" w:cs="Arial"/>
          <w:i/>
          <w:iCs/>
          <w:sz w:val="22"/>
          <w:szCs w:val="22"/>
        </w:rPr>
        <w:t>“</w:t>
      </w:r>
      <w:r w:rsidR="002777E9" w:rsidRPr="002777E9">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26C9FB" w14:textId="77777777" w:rsidR="002777E9" w:rsidRDefault="002777E9" w:rsidP="002777E9">
      <w:pPr>
        <w:pStyle w:val="Prrafodelista"/>
        <w:tabs>
          <w:tab w:val="left" w:pos="426"/>
        </w:tabs>
        <w:spacing w:line="276" w:lineRule="auto"/>
        <w:ind w:left="567" w:right="567"/>
        <w:jc w:val="both"/>
        <w:rPr>
          <w:rFonts w:ascii="Palatino Linotype" w:hAnsi="Palatino Linotype" w:cs="Arial"/>
          <w:i/>
          <w:iCs/>
          <w:sz w:val="22"/>
          <w:szCs w:val="22"/>
        </w:rPr>
      </w:pPr>
    </w:p>
    <w:p w14:paraId="12C80A7E" w14:textId="77777777" w:rsidR="002777E9" w:rsidRPr="002777E9" w:rsidRDefault="002777E9" w:rsidP="002777E9">
      <w:pPr>
        <w:pStyle w:val="Prrafodelista"/>
        <w:tabs>
          <w:tab w:val="left" w:pos="426"/>
        </w:tabs>
        <w:spacing w:line="276" w:lineRule="auto"/>
        <w:ind w:left="567" w:right="567"/>
        <w:jc w:val="both"/>
        <w:rPr>
          <w:rFonts w:ascii="Palatino Linotype" w:hAnsi="Palatino Linotype" w:cs="Arial"/>
          <w:i/>
          <w:iCs/>
          <w:sz w:val="22"/>
          <w:szCs w:val="22"/>
        </w:rPr>
      </w:pPr>
      <w:r w:rsidRPr="002777E9">
        <w:rPr>
          <w:rFonts w:ascii="Palatino Linotype" w:hAnsi="Palatino Linotype" w:cs="Arial"/>
          <w:i/>
          <w:iCs/>
          <w:sz w:val="22"/>
          <w:szCs w:val="22"/>
        </w:rPr>
        <w:t>Con fundamento en los artículos 4,12 y 59 de la Ley de Transparencia y Acceso a la Información Pública del Estado de México y Municipios, se adjunta al presente la respuesta del Director de Administración con la finalidad de dar cumplimiento al requerimiento interpuesto por el solicitante.</w:t>
      </w:r>
    </w:p>
    <w:p w14:paraId="691F6B76" w14:textId="77777777" w:rsidR="002777E9" w:rsidRDefault="002777E9" w:rsidP="002777E9">
      <w:pPr>
        <w:pStyle w:val="Prrafodelista"/>
        <w:tabs>
          <w:tab w:val="left" w:pos="426"/>
        </w:tabs>
        <w:spacing w:line="276" w:lineRule="auto"/>
        <w:ind w:left="567" w:right="567"/>
        <w:jc w:val="both"/>
        <w:rPr>
          <w:rFonts w:ascii="Palatino Linotype" w:hAnsi="Palatino Linotype" w:cs="Arial"/>
          <w:i/>
          <w:iCs/>
          <w:sz w:val="22"/>
          <w:szCs w:val="22"/>
        </w:rPr>
      </w:pPr>
    </w:p>
    <w:p w14:paraId="1F474D48" w14:textId="77777777" w:rsidR="002777E9" w:rsidRPr="002777E9" w:rsidRDefault="002777E9" w:rsidP="002777E9">
      <w:pPr>
        <w:pStyle w:val="Prrafodelista"/>
        <w:tabs>
          <w:tab w:val="left" w:pos="426"/>
        </w:tabs>
        <w:spacing w:line="276" w:lineRule="auto"/>
        <w:ind w:left="567" w:right="567"/>
        <w:jc w:val="both"/>
        <w:rPr>
          <w:rFonts w:ascii="Palatino Linotype" w:hAnsi="Palatino Linotype" w:cs="Arial"/>
          <w:i/>
          <w:iCs/>
          <w:sz w:val="22"/>
          <w:szCs w:val="22"/>
        </w:rPr>
      </w:pPr>
      <w:r w:rsidRPr="002777E9">
        <w:rPr>
          <w:rFonts w:ascii="Palatino Linotype" w:hAnsi="Palatino Linotype" w:cs="Arial"/>
          <w:i/>
          <w:iCs/>
          <w:sz w:val="22"/>
          <w:szCs w:val="22"/>
        </w:rPr>
        <w:t>ATENTAMENTE</w:t>
      </w:r>
    </w:p>
    <w:p w14:paraId="4F1CDD09" w14:textId="0D6C7DE7" w:rsidR="002D063B" w:rsidRPr="00AC6005" w:rsidRDefault="002777E9" w:rsidP="002777E9">
      <w:pPr>
        <w:pStyle w:val="Prrafodelista"/>
        <w:tabs>
          <w:tab w:val="left" w:pos="426"/>
        </w:tabs>
        <w:spacing w:line="276" w:lineRule="auto"/>
        <w:ind w:left="567" w:right="567"/>
        <w:jc w:val="both"/>
        <w:rPr>
          <w:rFonts w:ascii="Palatino Linotype" w:hAnsi="Palatino Linotype" w:cs="Arial"/>
          <w:sz w:val="22"/>
          <w:szCs w:val="22"/>
        </w:rPr>
      </w:pPr>
      <w:r w:rsidRPr="002777E9">
        <w:rPr>
          <w:rFonts w:ascii="Palatino Linotype" w:hAnsi="Palatino Linotype" w:cs="Arial"/>
          <w:i/>
          <w:iCs/>
          <w:sz w:val="22"/>
          <w:szCs w:val="22"/>
        </w:rPr>
        <w:t>L.D ANA KAREN RODRIGUEZ QUIJADA</w:t>
      </w:r>
      <w:r w:rsidR="002D063B">
        <w:rPr>
          <w:rFonts w:ascii="Palatino Linotype" w:hAnsi="Palatino Linotype" w:cs="Arial"/>
          <w:i/>
          <w:iCs/>
          <w:sz w:val="22"/>
          <w:szCs w:val="22"/>
        </w:rPr>
        <w:t>”</w:t>
      </w:r>
      <w:r w:rsidR="002D063B">
        <w:rPr>
          <w:rFonts w:ascii="Palatino Linotype" w:hAnsi="Palatino Linotype" w:cs="Arial"/>
          <w:sz w:val="22"/>
          <w:szCs w:val="22"/>
        </w:rPr>
        <w:t xml:space="preserve"> (Sic)</w:t>
      </w:r>
    </w:p>
    <w:p w14:paraId="21586F5F" w14:textId="77777777" w:rsidR="002D063B" w:rsidRPr="00B202A2" w:rsidRDefault="002D063B" w:rsidP="002D063B">
      <w:pPr>
        <w:pStyle w:val="Prrafodelista"/>
        <w:tabs>
          <w:tab w:val="left" w:pos="426"/>
        </w:tabs>
        <w:spacing w:line="360" w:lineRule="auto"/>
        <w:ind w:left="0"/>
        <w:jc w:val="both"/>
        <w:rPr>
          <w:rFonts w:ascii="Palatino Linotype" w:hAnsi="Palatino Linotype" w:cs="Arial"/>
        </w:rPr>
      </w:pPr>
    </w:p>
    <w:p w14:paraId="76BEA1BA" w14:textId="51F28BC7" w:rsidR="008D4DED" w:rsidRPr="00472921"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 xml:space="preserve">Acompañando al acuse de respuesta anterior, el </w:t>
      </w:r>
      <w:r>
        <w:rPr>
          <w:rFonts w:ascii="Palatino Linotype" w:eastAsia="Times New Roman" w:hAnsi="Palatino Linotype" w:cs="Arial"/>
          <w:b/>
          <w:color w:val="000000" w:themeColor="text1"/>
          <w:lang w:val="es-ES"/>
        </w:rPr>
        <w:t>SUJETO OBLIGADO</w:t>
      </w:r>
      <w:r>
        <w:rPr>
          <w:rFonts w:ascii="Palatino Linotype" w:eastAsia="Times New Roman" w:hAnsi="Palatino Linotype" w:cs="Arial"/>
          <w:color w:val="000000" w:themeColor="text1"/>
          <w:lang w:val="es-ES"/>
        </w:rPr>
        <w:t xml:space="preserve"> ofreció a</w:t>
      </w:r>
      <w:r w:rsidR="00AE1659">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l</w:t>
      </w:r>
      <w:r w:rsidR="00AE1659">
        <w:rPr>
          <w:rFonts w:ascii="Palatino Linotype" w:eastAsia="Times New Roman" w:hAnsi="Palatino Linotype" w:cs="Arial"/>
          <w:color w:val="000000" w:themeColor="text1"/>
          <w:lang w:val="es-ES"/>
        </w:rPr>
        <w:t>a</w:t>
      </w:r>
      <w:r>
        <w:rPr>
          <w:rFonts w:ascii="Palatino Linotype" w:eastAsia="Times New Roman" w:hAnsi="Palatino Linotype" w:cs="Arial"/>
          <w:color w:val="000000" w:themeColor="text1"/>
          <w:lang w:val="es-ES"/>
        </w:rPr>
        <w:t xml:space="preserve"> particular </w:t>
      </w:r>
      <w:r w:rsidR="00AE1659">
        <w:rPr>
          <w:rFonts w:ascii="Palatino Linotype" w:eastAsia="Times New Roman" w:hAnsi="Palatino Linotype" w:cs="Arial"/>
          <w:color w:val="000000" w:themeColor="text1"/>
          <w:lang w:val="es-ES"/>
        </w:rPr>
        <w:t>dos</w:t>
      </w:r>
      <w:r w:rsidR="009B260B">
        <w:rPr>
          <w:rFonts w:ascii="Palatino Linotype" w:eastAsia="Times New Roman" w:hAnsi="Palatino Linotype" w:cs="Arial"/>
          <w:color w:val="000000" w:themeColor="text1"/>
          <w:lang w:val="es-ES"/>
        </w:rPr>
        <w:t xml:space="preserve"> archivos electrónicos</w:t>
      </w:r>
      <w:r w:rsidR="00472921">
        <w:rPr>
          <w:rFonts w:ascii="Palatino Linotype" w:eastAsia="Times New Roman" w:hAnsi="Palatino Linotype" w:cs="Arial"/>
          <w:color w:val="000000" w:themeColor="text1"/>
          <w:lang w:val="es-ES"/>
        </w:rPr>
        <w:t>, cuyo contenido se describe a continuación:</w:t>
      </w:r>
    </w:p>
    <w:p w14:paraId="3D253CCB" w14:textId="2E1F1101" w:rsidR="00AE1659" w:rsidRPr="00AE1659" w:rsidRDefault="00472921" w:rsidP="002777E9">
      <w:pPr>
        <w:pStyle w:val="Prrafodelista"/>
        <w:numPr>
          <w:ilvl w:val="1"/>
          <w:numId w:val="8"/>
        </w:numPr>
        <w:tabs>
          <w:tab w:val="left" w:pos="284"/>
          <w:tab w:val="left" w:pos="426"/>
        </w:tabs>
        <w:spacing w:line="360" w:lineRule="auto"/>
        <w:ind w:left="1134"/>
        <w:jc w:val="both"/>
        <w:rPr>
          <w:rFonts w:ascii="Palatino Linotype" w:hAnsi="Palatino Linotype"/>
          <w:color w:val="000000" w:themeColor="text1"/>
          <w:szCs w:val="22"/>
        </w:rPr>
      </w:pPr>
      <w:r>
        <w:rPr>
          <w:rFonts w:ascii="Palatino Linotype" w:eastAsia="Times New Roman" w:hAnsi="Palatino Linotype" w:cs="Arial"/>
          <w:b/>
          <w:i/>
          <w:color w:val="000000" w:themeColor="text1"/>
          <w:lang w:val="es-ES"/>
        </w:rPr>
        <w:t>“</w:t>
      </w:r>
      <w:proofErr w:type="spellStart"/>
      <w:r w:rsidR="002777E9">
        <w:rPr>
          <w:rFonts w:ascii="Palatino Linotype" w:eastAsia="Times New Roman" w:hAnsi="Palatino Linotype" w:cs="Arial"/>
          <w:b/>
          <w:i/>
          <w:color w:val="000000" w:themeColor="text1"/>
          <w:lang w:val="es-ES"/>
        </w:rPr>
        <w:t>rwsp</w:t>
      </w:r>
      <w:proofErr w:type="spellEnd"/>
      <w:r w:rsidR="002777E9">
        <w:rPr>
          <w:rFonts w:ascii="Palatino Linotype" w:eastAsia="Times New Roman" w:hAnsi="Palatino Linotype" w:cs="Arial"/>
          <w:b/>
          <w:i/>
          <w:color w:val="000000" w:themeColor="text1"/>
          <w:lang w:val="es-ES"/>
        </w:rPr>
        <w:t xml:space="preserve"> sol 336 202205961320221026174506</w:t>
      </w:r>
      <w:r>
        <w:rPr>
          <w:rFonts w:ascii="Palatino Linotype" w:eastAsia="Times New Roman" w:hAnsi="Palatino Linotype" w:cs="Arial"/>
          <w:b/>
          <w:i/>
          <w:color w:val="000000" w:themeColor="text1"/>
          <w:lang w:val="es-ES"/>
        </w:rPr>
        <w:t>.pdf”</w:t>
      </w:r>
      <w:r>
        <w:rPr>
          <w:rFonts w:ascii="Palatino Linotype" w:eastAsia="Times New Roman" w:hAnsi="Palatino Linotype" w:cs="Arial"/>
          <w:color w:val="000000" w:themeColor="text1"/>
          <w:lang w:val="es-ES"/>
        </w:rPr>
        <w:t xml:space="preserve">: Documento </w:t>
      </w:r>
      <w:r w:rsidR="00FE6A9A">
        <w:rPr>
          <w:rFonts w:ascii="Palatino Linotype" w:eastAsia="Times New Roman" w:hAnsi="Palatino Linotype" w:cs="Arial"/>
          <w:color w:val="000000" w:themeColor="text1"/>
          <w:lang w:val="es-ES"/>
        </w:rPr>
        <w:t xml:space="preserve">de dos fojas </w:t>
      </w:r>
      <w:r w:rsidR="002777E9">
        <w:rPr>
          <w:rFonts w:ascii="Palatino Linotype" w:eastAsia="Times New Roman" w:hAnsi="Palatino Linotype" w:cs="Arial"/>
          <w:color w:val="000000" w:themeColor="text1"/>
          <w:lang w:val="es-ES"/>
        </w:rPr>
        <w:t xml:space="preserve">consistente en la copia digitalizada del oficio número PMAJ/DA/CEDC/555/2022, de veintiséis (26) de octubre de dos mil veintidós, suscrito por el Director de Administración, y dirigido a la Titular de la Unidad de Transparencia del </w:t>
      </w:r>
      <w:r w:rsidR="002777E9">
        <w:rPr>
          <w:rFonts w:ascii="Palatino Linotype" w:eastAsia="Times New Roman" w:hAnsi="Palatino Linotype" w:cs="Arial"/>
          <w:b/>
          <w:color w:val="000000" w:themeColor="text1"/>
          <w:lang w:val="es-ES"/>
        </w:rPr>
        <w:t>SUJETO OBLIGADO</w:t>
      </w:r>
      <w:r w:rsidR="002777E9">
        <w:rPr>
          <w:rFonts w:ascii="Palatino Linotype" w:eastAsia="Times New Roman" w:hAnsi="Palatino Linotype" w:cs="Arial"/>
          <w:color w:val="000000" w:themeColor="text1"/>
          <w:lang w:val="es-ES"/>
        </w:rPr>
        <w:t xml:space="preserve">, por el que se pronuncia respecto de los tres requerimientos esgrimidos por el entonces </w:t>
      </w:r>
      <w:r w:rsidR="002777E9">
        <w:rPr>
          <w:rFonts w:ascii="Palatino Linotype" w:eastAsia="Times New Roman" w:hAnsi="Palatino Linotype" w:cs="Arial"/>
          <w:b/>
          <w:color w:val="000000" w:themeColor="text1"/>
          <w:lang w:val="es-ES"/>
        </w:rPr>
        <w:t>SOLICITANTE</w:t>
      </w:r>
      <w:r w:rsidR="002777E9">
        <w:rPr>
          <w:rFonts w:ascii="Palatino Linotype" w:eastAsia="Times New Roman" w:hAnsi="Palatino Linotype" w:cs="Arial"/>
          <w:color w:val="000000" w:themeColor="text1"/>
          <w:lang w:val="es-ES"/>
        </w:rPr>
        <w:t>.</w:t>
      </w:r>
    </w:p>
    <w:p w14:paraId="11CDF1C0" w14:textId="77777777" w:rsidR="002777E9" w:rsidRPr="002777E9" w:rsidRDefault="002777E9" w:rsidP="002777E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24024302" w:rsidR="002D063B" w:rsidRPr="005B6AE1"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E</w:t>
      </w:r>
      <w:r w:rsidR="002D063B" w:rsidRPr="005B6AE1">
        <w:rPr>
          <w:rFonts w:ascii="Palatino Linotype" w:eastAsia="Times New Roman" w:hAnsi="Palatino Linotype" w:cs="Arial"/>
          <w:color w:val="000000" w:themeColor="text1"/>
          <w:lang w:val="es-ES"/>
        </w:rPr>
        <w:t xml:space="preserve">l </w:t>
      </w:r>
      <w:r w:rsidR="002777E9">
        <w:rPr>
          <w:rFonts w:ascii="Palatino Linotype" w:eastAsia="Times New Roman" w:hAnsi="Palatino Linotype" w:cs="Arial"/>
          <w:color w:val="000000" w:themeColor="text1"/>
          <w:lang w:val="es-ES"/>
        </w:rPr>
        <w:t>uno (01</w:t>
      </w:r>
      <w:r w:rsidR="00E64488">
        <w:rPr>
          <w:rFonts w:ascii="Palatino Linotype" w:eastAsia="Times New Roman" w:hAnsi="Palatino Linotype" w:cs="Arial"/>
          <w:color w:val="000000" w:themeColor="text1"/>
          <w:lang w:val="es-ES"/>
        </w:rPr>
        <w:t xml:space="preserve">) de noviembre </w:t>
      </w:r>
      <w:r w:rsidR="002D063B" w:rsidRPr="005B6AE1">
        <w:rPr>
          <w:rFonts w:ascii="Palatino Linotype" w:eastAsia="Times New Roman" w:hAnsi="Palatino Linotype" w:cs="Arial"/>
          <w:color w:val="000000" w:themeColor="text1"/>
          <w:lang w:val="es-ES"/>
        </w:rPr>
        <w:t xml:space="preserve">de dos mil veintidós, </w:t>
      </w:r>
      <w:r w:rsidR="00E64488">
        <w:rPr>
          <w:rFonts w:ascii="Palatino Linotype" w:eastAsia="Times New Roman" w:hAnsi="Palatino Linotype" w:cs="Arial"/>
          <w:color w:val="000000" w:themeColor="text1"/>
          <w:lang w:val="es-ES"/>
        </w:rPr>
        <w:t>el</w:t>
      </w:r>
      <w:r w:rsidR="002D063B" w:rsidRPr="005B6AE1">
        <w:rPr>
          <w:rFonts w:ascii="Palatino Linotype" w:eastAsia="Times New Roman" w:hAnsi="Palatino Linotype" w:cs="Arial"/>
          <w:color w:val="000000" w:themeColor="text1"/>
          <w:lang w:val="es-ES"/>
        </w:rPr>
        <w:t xml:space="preserve"> particular </w:t>
      </w:r>
      <w:r w:rsidR="002D063B">
        <w:rPr>
          <w:rFonts w:ascii="Palatino Linotype" w:eastAsia="Times New Roman" w:hAnsi="Palatino Linotype" w:cs="Arial"/>
          <w:color w:val="000000" w:themeColor="text1"/>
          <w:lang w:val="es-ES"/>
        </w:rPr>
        <w:t xml:space="preserve">impugnó la respuesta del </w:t>
      </w:r>
      <w:r w:rsidR="002D063B">
        <w:rPr>
          <w:rFonts w:ascii="Palatino Linotype" w:eastAsia="Times New Roman" w:hAnsi="Palatino Linotype" w:cs="Arial"/>
          <w:b/>
          <w:bCs/>
          <w:color w:val="000000" w:themeColor="text1"/>
          <w:lang w:val="es-ES"/>
        </w:rPr>
        <w:t>SUJETO OBLIGADO</w:t>
      </w:r>
      <w:r w:rsidR="002D063B">
        <w:rPr>
          <w:rFonts w:ascii="Palatino Linotype" w:eastAsia="Times New Roman" w:hAnsi="Palatino Linotype" w:cs="Arial"/>
          <w:color w:val="000000" w:themeColor="text1"/>
          <w:lang w:val="es-ES"/>
        </w:rPr>
        <w:t xml:space="preserve"> mediante</w:t>
      </w:r>
      <w:r w:rsidR="002D063B" w:rsidRPr="005B6AE1">
        <w:rPr>
          <w:rFonts w:ascii="Palatino Linotype" w:eastAsia="Times New Roman" w:hAnsi="Palatino Linotype" w:cs="Arial"/>
          <w:color w:val="000000" w:themeColor="text1"/>
          <w:lang w:val="es-ES"/>
        </w:rPr>
        <w:t xml:space="preserve"> el recurso de revisión </w:t>
      </w:r>
      <w:r w:rsidR="002777E9">
        <w:rPr>
          <w:rFonts w:ascii="Palatino Linotype" w:eastAsia="Calibri" w:hAnsi="Palatino Linotype" w:cs="Arial"/>
          <w:b/>
          <w:color w:val="000000" w:themeColor="text1"/>
          <w:lang w:val="es-ES"/>
        </w:rPr>
        <w:t>15923/INFOEM/IP/RR/2022</w:t>
      </w:r>
      <w:r w:rsidR="002D063B" w:rsidRPr="005B6AE1">
        <w:rPr>
          <w:rFonts w:ascii="Palatino Linotype" w:eastAsia="Calibri" w:hAnsi="Palatino Linotype" w:cs="Arial"/>
          <w:bCs/>
          <w:color w:val="000000" w:themeColor="text1"/>
          <w:lang w:val="es-ES"/>
        </w:rPr>
        <w:t>;</w:t>
      </w:r>
      <w:r w:rsidR="002D063B" w:rsidRPr="005B6AE1">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5B6AE1"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6FA87D4E" w:rsidR="002D063B" w:rsidRPr="005B6AE1" w:rsidRDefault="002D063B" w:rsidP="002777E9">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Acto impugnado:</w:t>
      </w:r>
      <w:r w:rsidRPr="005B6AE1">
        <w:rPr>
          <w:rFonts w:ascii="Palatino Linotype" w:eastAsia="Times New Roman" w:hAnsi="Palatino Linotype" w:cs="Arial"/>
          <w:color w:val="000000" w:themeColor="text1"/>
          <w:lang w:val="es-ES"/>
        </w:rPr>
        <w:t xml:space="preserve"> “</w:t>
      </w:r>
      <w:r w:rsidR="002777E9" w:rsidRPr="002777E9">
        <w:rPr>
          <w:rFonts w:ascii="Palatino Linotype" w:eastAsia="Times New Roman" w:hAnsi="Palatino Linotype" w:cs="Arial"/>
          <w:i/>
          <w:color w:val="000000" w:themeColor="text1"/>
        </w:rPr>
        <w:t>el oficio de respuesta del sujeto obligado</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3E31E0D4" w14:textId="77777777" w:rsidR="002D063B" w:rsidRPr="005B6AE1"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39A6FAA7" w:rsidR="002D063B" w:rsidRPr="005B6AE1" w:rsidRDefault="002D063B" w:rsidP="002777E9">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Razones o motivos de inconformidad:</w:t>
      </w:r>
      <w:r w:rsidRPr="005B6AE1">
        <w:rPr>
          <w:rFonts w:ascii="Palatino Linotype" w:eastAsia="Times New Roman" w:hAnsi="Palatino Linotype" w:cs="Arial"/>
          <w:color w:val="000000" w:themeColor="text1"/>
          <w:lang w:val="es-ES"/>
        </w:rPr>
        <w:t xml:space="preserve"> “</w:t>
      </w:r>
      <w:r w:rsidR="002777E9" w:rsidRPr="002777E9">
        <w:rPr>
          <w:rFonts w:ascii="Palatino Linotype" w:hAnsi="Palatino Linotype"/>
          <w:i/>
          <w:iCs/>
          <w:color w:val="000000"/>
        </w:rPr>
        <w:t xml:space="preserve">en cuanto al punto uno de la solicitud, el director de administración realiza inferencias que </w:t>
      </w:r>
      <w:proofErr w:type="spellStart"/>
      <w:r w:rsidR="002777E9" w:rsidRPr="002777E9">
        <w:rPr>
          <w:rFonts w:ascii="Palatino Linotype" w:hAnsi="Palatino Linotype"/>
          <w:i/>
          <w:iCs/>
          <w:color w:val="000000"/>
        </w:rPr>
        <w:t>resukltan</w:t>
      </w:r>
      <w:proofErr w:type="spellEnd"/>
      <w:r w:rsidR="002777E9" w:rsidRPr="002777E9">
        <w:rPr>
          <w:rFonts w:ascii="Palatino Linotype" w:hAnsi="Palatino Linotype"/>
          <w:i/>
          <w:iCs/>
          <w:color w:val="000000"/>
        </w:rPr>
        <w:t xml:space="preserve"> absurdas, en </w:t>
      </w:r>
      <w:proofErr w:type="spellStart"/>
      <w:r w:rsidR="002777E9" w:rsidRPr="002777E9">
        <w:rPr>
          <w:rFonts w:ascii="Palatino Linotype" w:hAnsi="Palatino Linotype"/>
          <w:i/>
          <w:iCs/>
          <w:color w:val="000000"/>
        </w:rPr>
        <w:t>ningun</w:t>
      </w:r>
      <w:proofErr w:type="spellEnd"/>
      <w:r w:rsidR="002777E9" w:rsidRPr="002777E9">
        <w:rPr>
          <w:rFonts w:ascii="Palatino Linotype" w:hAnsi="Palatino Linotype"/>
          <w:i/>
          <w:iCs/>
          <w:color w:val="000000"/>
        </w:rPr>
        <w:t xml:space="preserve"> momento el peticionario </w:t>
      </w:r>
      <w:proofErr w:type="spellStart"/>
      <w:r w:rsidR="002777E9" w:rsidRPr="002777E9">
        <w:rPr>
          <w:rFonts w:ascii="Palatino Linotype" w:hAnsi="Palatino Linotype"/>
          <w:i/>
          <w:iCs/>
          <w:color w:val="000000"/>
        </w:rPr>
        <w:t>esta</w:t>
      </w:r>
      <w:proofErr w:type="spellEnd"/>
      <w:r w:rsidR="002777E9" w:rsidRPr="002777E9">
        <w:rPr>
          <w:rFonts w:ascii="Palatino Linotype" w:hAnsi="Palatino Linotype"/>
          <w:i/>
          <w:iCs/>
          <w:color w:val="000000"/>
        </w:rPr>
        <w:t xml:space="preserve"> solicitando los originales, en </w:t>
      </w:r>
      <w:proofErr w:type="spellStart"/>
      <w:r w:rsidR="002777E9" w:rsidRPr="002777E9">
        <w:rPr>
          <w:rFonts w:ascii="Palatino Linotype" w:hAnsi="Palatino Linotype"/>
          <w:i/>
          <w:iCs/>
          <w:color w:val="000000"/>
        </w:rPr>
        <w:t>niguna</w:t>
      </w:r>
      <w:proofErr w:type="spellEnd"/>
      <w:r w:rsidR="002777E9" w:rsidRPr="002777E9">
        <w:rPr>
          <w:rFonts w:ascii="Palatino Linotype" w:hAnsi="Palatino Linotype"/>
          <w:i/>
          <w:iCs/>
          <w:color w:val="000000"/>
        </w:rPr>
        <w:t xml:space="preserve"> parte de la normatividad hace referencia a que estos se deban proporcionar; </w:t>
      </w:r>
      <w:proofErr w:type="spellStart"/>
      <w:r w:rsidR="002777E9" w:rsidRPr="002777E9">
        <w:rPr>
          <w:rFonts w:ascii="Palatino Linotype" w:hAnsi="Palatino Linotype"/>
          <w:i/>
          <w:iCs/>
          <w:color w:val="000000"/>
        </w:rPr>
        <w:t>mas</w:t>
      </w:r>
      <w:proofErr w:type="spellEnd"/>
      <w:r w:rsidR="002777E9" w:rsidRPr="002777E9">
        <w:rPr>
          <w:rFonts w:ascii="Palatino Linotype" w:hAnsi="Palatino Linotype"/>
          <w:i/>
          <w:iCs/>
          <w:color w:val="000000"/>
        </w:rPr>
        <w:t xml:space="preserve"> bien de su respuesta si se puede inferir es que si </w:t>
      </w:r>
      <w:proofErr w:type="spellStart"/>
      <w:r w:rsidR="002777E9" w:rsidRPr="002777E9">
        <w:rPr>
          <w:rFonts w:ascii="Palatino Linotype" w:hAnsi="Palatino Linotype"/>
          <w:i/>
          <w:iCs/>
          <w:color w:val="000000"/>
        </w:rPr>
        <w:t>pretension</w:t>
      </w:r>
      <w:proofErr w:type="spellEnd"/>
      <w:r w:rsidR="002777E9" w:rsidRPr="002777E9">
        <w:rPr>
          <w:rFonts w:ascii="Palatino Linotype" w:hAnsi="Palatino Linotype"/>
          <w:i/>
          <w:iCs/>
          <w:color w:val="000000"/>
        </w:rPr>
        <w:t xml:space="preserve"> es la de ocultar los documentos que </w:t>
      </w:r>
      <w:proofErr w:type="spellStart"/>
      <w:r w:rsidR="002777E9" w:rsidRPr="002777E9">
        <w:rPr>
          <w:rFonts w:ascii="Palatino Linotype" w:hAnsi="Palatino Linotype"/>
          <w:i/>
          <w:iCs/>
          <w:color w:val="000000"/>
        </w:rPr>
        <w:t>deberia</w:t>
      </w:r>
      <w:proofErr w:type="spellEnd"/>
      <w:r w:rsidR="002777E9" w:rsidRPr="002777E9">
        <w:rPr>
          <w:rFonts w:ascii="Palatino Linotype" w:hAnsi="Palatino Linotype"/>
          <w:i/>
          <w:iCs/>
          <w:color w:val="000000"/>
        </w:rPr>
        <w:t xml:space="preserve"> por ley estar en la </w:t>
      </w:r>
      <w:proofErr w:type="spellStart"/>
      <w:r w:rsidR="002777E9" w:rsidRPr="002777E9">
        <w:rPr>
          <w:rFonts w:ascii="Palatino Linotype" w:hAnsi="Palatino Linotype"/>
          <w:i/>
          <w:iCs/>
          <w:color w:val="000000"/>
        </w:rPr>
        <w:t>pagina</w:t>
      </w:r>
      <w:proofErr w:type="spellEnd"/>
      <w:r w:rsidR="002777E9" w:rsidRPr="002777E9">
        <w:rPr>
          <w:rFonts w:ascii="Palatino Linotype" w:hAnsi="Palatino Linotype"/>
          <w:i/>
          <w:iCs/>
          <w:color w:val="000000"/>
        </w:rPr>
        <w:t xml:space="preserve"> publica del ayuntamiento, si su intención fuera la de transparentar el uso de recursos </w:t>
      </w:r>
      <w:proofErr w:type="spellStart"/>
      <w:r w:rsidR="002777E9" w:rsidRPr="002777E9">
        <w:rPr>
          <w:rFonts w:ascii="Palatino Linotype" w:hAnsi="Palatino Linotype"/>
          <w:i/>
          <w:iCs/>
          <w:color w:val="000000"/>
        </w:rPr>
        <w:t>publicos</w:t>
      </w:r>
      <w:proofErr w:type="spellEnd"/>
      <w:r w:rsidR="002777E9" w:rsidRPr="002777E9">
        <w:rPr>
          <w:rFonts w:ascii="Palatino Linotype" w:hAnsi="Palatino Linotype"/>
          <w:i/>
          <w:iCs/>
          <w:color w:val="000000"/>
        </w:rPr>
        <w:t xml:space="preserve"> </w:t>
      </w:r>
      <w:proofErr w:type="spellStart"/>
      <w:r w:rsidR="002777E9" w:rsidRPr="002777E9">
        <w:rPr>
          <w:rFonts w:ascii="Palatino Linotype" w:hAnsi="Palatino Linotype"/>
          <w:i/>
          <w:iCs/>
          <w:color w:val="000000"/>
        </w:rPr>
        <w:t>habria</w:t>
      </w:r>
      <w:proofErr w:type="spellEnd"/>
      <w:r w:rsidR="002777E9" w:rsidRPr="002777E9">
        <w:rPr>
          <w:rFonts w:ascii="Palatino Linotype" w:hAnsi="Palatino Linotype"/>
          <w:i/>
          <w:iCs/>
          <w:color w:val="000000"/>
        </w:rPr>
        <w:t xml:space="preserve"> proporcionado los documentos en la "</w:t>
      </w:r>
      <w:proofErr w:type="spellStart"/>
      <w:r w:rsidR="002777E9" w:rsidRPr="002777E9">
        <w:rPr>
          <w:rFonts w:ascii="Palatino Linotype" w:hAnsi="Palatino Linotype"/>
          <w:i/>
          <w:iCs/>
          <w:color w:val="000000"/>
        </w:rPr>
        <w:t>version</w:t>
      </w:r>
      <w:proofErr w:type="spellEnd"/>
      <w:r w:rsidR="002777E9" w:rsidRPr="002777E9">
        <w:rPr>
          <w:rFonts w:ascii="Palatino Linotype" w:hAnsi="Palatino Linotype"/>
          <w:i/>
          <w:iCs/>
          <w:color w:val="000000"/>
        </w:rPr>
        <w:t xml:space="preserve"> publica""" a la que hace referencia respecto del punto 2 de la solicitud, si bien el director de </w:t>
      </w:r>
      <w:proofErr w:type="spellStart"/>
      <w:r w:rsidR="002777E9" w:rsidRPr="002777E9">
        <w:rPr>
          <w:rFonts w:ascii="Palatino Linotype" w:hAnsi="Palatino Linotype"/>
          <w:i/>
          <w:iCs/>
          <w:color w:val="000000"/>
        </w:rPr>
        <w:t>administracion</w:t>
      </w:r>
      <w:proofErr w:type="spellEnd"/>
      <w:r w:rsidR="002777E9" w:rsidRPr="002777E9">
        <w:rPr>
          <w:rFonts w:ascii="Palatino Linotype" w:hAnsi="Palatino Linotype"/>
          <w:i/>
          <w:iCs/>
          <w:color w:val="000000"/>
        </w:rPr>
        <w:t xml:space="preserve"> se pronuncia al respecto de los pagos, el sujeto obligado no remite la respuesta de la </w:t>
      </w:r>
      <w:proofErr w:type="spellStart"/>
      <w:r w:rsidR="002777E9" w:rsidRPr="002777E9">
        <w:rPr>
          <w:rFonts w:ascii="Palatino Linotype" w:hAnsi="Palatino Linotype"/>
          <w:i/>
          <w:iCs/>
          <w:color w:val="000000"/>
        </w:rPr>
        <w:t>tesoreria</w:t>
      </w:r>
      <w:proofErr w:type="spellEnd"/>
      <w:r w:rsidR="002777E9" w:rsidRPr="002777E9">
        <w:rPr>
          <w:rFonts w:ascii="Palatino Linotype" w:hAnsi="Palatino Linotype"/>
          <w:i/>
          <w:iCs/>
          <w:color w:val="000000"/>
        </w:rPr>
        <w:t xml:space="preserve">, ya que la </w:t>
      </w:r>
      <w:proofErr w:type="spellStart"/>
      <w:r w:rsidR="002777E9" w:rsidRPr="002777E9">
        <w:rPr>
          <w:rFonts w:ascii="Palatino Linotype" w:hAnsi="Palatino Linotype"/>
          <w:i/>
          <w:iCs/>
          <w:color w:val="000000"/>
        </w:rPr>
        <w:t>solictud</w:t>
      </w:r>
      <w:proofErr w:type="spellEnd"/>
      <w:r w:rsidR="002777E9" w:rsidRPr="002777E9">
        <w:rPr>
          <w:rFonts w:ascii="Palatino Linotype" w:hAnsi="Palatino Linotype"/>
          <w:i/>
          <w:iCs/>
          <w:color w:val="000000"/>
        </w:rPr>
        <w:t xml:space="preserve"> versa sobre los pagos no sobre si se le ha dado tramite a las facturas</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1ABB4AF5" w14:textId="77777777" w:rsidR="00AE1659" w:rsidRPr="00AE1659"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760F89F6" w:rsidR="002D063B" w:rsidRPr="005B6AE1"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e registró el recurso de revisión bajo el número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5B6AE1">
        <w:rPr>
          <w:rFonts w:ascii="Palatino Linotype" w:eastAsia="Times New Roman" w:hAnsi="Palatino Linotype" w:cs="Arial"/>
          <w:bCs/>
          <w:color w:val="000000" w:themeColor="text1"/>
          <w:lang w:val="es-ES"/>
        </w:rPr>
        <w:t xml:space="preserve">se turnó a la </w:t>
      </w:r>
      <w:r w:rsidR="002D063B" w:rsidRPr="005B6AE1">
        <w:rPr>
          <w:rFonts w:ascii="Palatino Linotype" w:eastAsia="Times New Roman" w:hAnsi="Palatino Linotype" w:cs="Arial"/>
          <w:b/>
          <w:color w:val="000000" w:themeColor="text1"/>
          <w:lang w:val="es-ES"/>
        </w:rPr>
        <w:t>Comisionada María del Rosario Mejía Ayala</w:t>
      </w:r>
      <w:r w:rsidR="002D063B" w:rsidRPr="005B6AE1">
        <w:rPr>
          <w:rFonts w:ascii="Palatino Linotype" w:eastAsia="Times New Roman" w:hAnsi="Palatino Linotype" w:cs="Arial"/>
          <w:bCs/>
          <w:color w:val="000000" w:themeColor="text1"/>
          <w:lang w:val="es-ES"/>
        </w:rPr>
        <w:t xml:space="preserve">, con el objeto de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69BBAA92" w:rsidR="002D063B" w:rsidRPr="005B6AE1"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 xml:space="preserve">La </w:t>
      </w:r>
      <w:r w:rsidRPr="005B6AE1">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2777E9">
        <w:rPr>
          <w:rFonts w:ascii="Palatino Linotype" w:eastAsia="Calibri" w:hAnsi="Palatino Linotype" w:cs="Arial"/>
          <w:color w:val="000000" w:themeColor="text1"/>
          <w:lang w:val="es-ES"/>
        </w:rPr>
        <w:t>nueve (09</w:t>
      </w:r>
      <w:r w:rsidR="00E64488">
        <w:rPr>
          <w:rFonts w:ascii="Palatino Linotype" w:eastAsia="Calibri" w:hAnsi="Palatino Linotype" w:cs="Arial"/>
          <w:color w:val="000000" w:themeColor="text1"/>
          <w:lang w:val="es-ES"/>
        </w:rPr>
        <w:t xml:space="preserve">) de </w:t>
      </w:r>
      <w:r w:rsidR="00E64488">
        <w:rPr>
          <w:rFonts w:ascii="Palatino Linotype" w:eastAsia="Calibri" w:hAnsi="Palatino Linotype" w:cs="Arial"/>
          <w:color w:val="000000" w:themeColor="text1"/>
          <w:lang w:val="es-ES"/>
        </w:rPr>
        <w:lastRenderedPageBreak/>
        <w:t xml:space="preserve">noviembre </w:t>
      </w:r>
      <w:r w:rsidRPr="005B6AE1">
        <w:rPr>
          <w:rFonts w:ascii="Palatino Linotype" w:eastAsia="Calibri" w:hAnsi="Palatino Linotype" w:cs="Arial"/>
          <w:color w:val="000000" w:themeColor="text1"/>
          <w:lang w:val="es-ES"/>
        </w:rPr>
        <w:t xml:space="preserve">de dos mil veintidós, puso a disposición de las partes el expediente electrónico,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el informe justificado procedente.</w:t>
      </w:r>
    </w:p>
    <w:p w14:paraId="1E0902B0" w14:textId="77777777" w:rsidR="00EE4DFA"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2B5EA2F" w14:textId="4C2F365F" w:rsidR="002777E9" w:rsidRDefault="002777E9"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dentro del expediente digital formado en el SAIMEX, se advierte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no presentó su informe justificado para confirmar, modificar o revocar su respuesta inicial; por su parte, el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no realizó ningún tipo de manifestaciones o alegatos adicionales a los expuestos a través del recurso de revisión con número al rubro citado. Se adjunta la captura de imagen del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como mera referencia:</w:t>
      </w:r>
    </w:p>
    <w:p w14:paraId="26D61357" w14:textId="77777777" w:rsidR="002777E9" w:rsidRDefault="002777E9" w:rsidP="002777E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45B45A" w14:textId="0B8CF29D" w:rsidR="002777E9" w:rsidRDefault="002777E9" w:rsidP="002777E9">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2777E9">
        <w:rPr>
          <w:rFonts w:ascii="Palatino Linotype" w:eastAsia="Calibri" w:hAnsi="Palatino Linotype" w:cs="Arial"/>
          <w:noProof/>
          <w:color w:val="000000" w:themeColor="text1"/>
          <w:lang w:eastAsia="es-MX"/>
        </w:rPr>
        <w:drawing>
          <wp:inline distT="0" distB="0" distL="0" distR="0" wp14:anchorId="3944257C" wp14:editId="5E43B12A">
            <wp:extent cx="4816680" cy="1139588"/>
            <wp:effectExtent l="57150" t="57150" r="117475" b="1181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9549" cy="11520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24B25D" w14:textId="77777777" w:rsidR="002777E9" w:rsidRPr="002777E9" w:rsidRDefault="002777E9" w:rsidP="002777E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4CB2C66F" w:rsidR="005B4984" w:rsidRPr="004435BA"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 xml:space="preserve">El </w:t>
      </w:r>
      <w:r w:rsidR="00B72EF3">
        <w:rPr>
          <w:rFonts w:ascii="Palatino Linotype" w:eastAsia="Times New Roman" w:hAnsi="Palatino Linotype" w:cs="Arial"/>
          <w:color w:val="000000" w:themeColor="text1"/>
        </w:rPr>
        <w:t>veinticuatro (24) de enero de dos mil veintitrés</w:t>
      </w:r>
      <w:r w:rsidRPr="00103B71">
        <w:rPr>
          <w:rFonts w:ascii="Palatino Linotype" w:hAnsi="Palatino Linotype" w:cs="Arial"/>
          <w:color w:val="000000" w:themeColor="text1"/>
        </w:rPr>
        <w:t xml:space="preserve">, </w:t>
      </w:r>
      <w:r w:rsidRPr="00103B7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103B71">
        <w:rPr>
          <w:rFonts w:ascii="Palatino Linotype" w:hAnsi="Palatino Linotype" w:cs="Arial"/>
          <w:bCs/>
          <w:color w:val="000000" w:themeColor="text1"/>
          <w:lang w:val="es-ES"/>
        </w:rPr>
        <w:t xml:space="preserve"> </w:t>
      </w:r>
      <w:r w:rsidRPr="00103B71">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Pr>
          <w:rFonts w:ascii="Palatino Linotype" w:hAnsi="Palatino Linotype" w:cs="Arial"/>
          <w:color w:val="000000" w:themeColor="text1"/>
          <w:lang w:val="es-ES"/>
        </w:rPr>
        <w:t>.</w:t>
      </w:r>
    </w:p>
    <w:p w14:paraId="63EE3B48" w14:textId="77777777" w:rsidR="005B4984" w:rsidRPr="004435B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lastRenderedPageBreak/>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 xml:space="preserve">ese sentido, el Legislador fijó los términos procesales en las leyes, de manera general, sin que pudiera prever la variada gama de casos que son resueltos por los </w:t>
      </w:r>
      <w:r w:rsidRPr="003B7BFE">
        <w:rPr>
          <w:rFonts w:ascii="Palatino Linotype" w:hAnsi="Palatino Linotype"/>
        </w:rPr>
        <w:lastRenderedPageBreak/>
        <w:t>órganos jurisdiccionales o cuasi jurisdiccionales, tanto por la complejidad de los hechos, como por el número de casos que conocen.</w:t>
      </w:r>
    </w:p>
    <w:p w14:paraId="6949EFCB"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2EF90D9D"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3B7BFE"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4C150E3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 xml:space="preserve">“TÉRMINOS </w:t>
      </w:r>
      <w:r w:rsidRPr="003B7BFE">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1FF0E795"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B7BFE">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3B7BFE">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42D09E04" w14:textId="77777777" w:rsidR="005B4984" w:rsidRPr="003B7BFE"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w:t>
      </w:r>
      <w:r w:rsidRPr="003B7BFE">
        <w:rPr>
          <w:rFonts w:ascii="Palatino Linotype" w:hAnsi="Palatino Linotype"/>
          <w:i/>
          <w:sz w:val="22"/>
        </w:rPr>
        <w:lastRenderedPageBreak/>
        <w:t>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4CF46798"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2EEC1E30" w14:textId="77777777" w:rsidR="005B4984"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4F0BFA4D" w14:textId="3506408D" w:rsidR="002D063B" w:rsidRPr="00EE4DFA" w:rsidRDefault="00B72EF3"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F</w:t>
      </w:r>
      <w:r w:rsidR="005B4984">
        <w:rPr>
          <w:rFonts w:ascii="Palatino Linotype" w:hAnsi="Palatino Linotype" w:cs="Arial"/>
          <w:color w:val="000000" w:themeColor="text1"/>
        </w:rPr>
        <w:t>inalmente, el</w:t>
      </w:r>
      <w:r w:rsidR="00862273" w:rsidRPr="002D063B">
        <w:rPr>
          <w:rFonts w:ascii="Palatino Linotype" w:hAnsi="Palatino Linotype" w:cs="Arial"/>
          <w:color w:val="000000" w:themeColor="text1"/>
        </w:rPr>
        <w:t xml:space="preserve"> </w:t>
      </w:r>
      <w:r w:rsidR="00EF549D">
        <w:rPr>
          <w:rFonts w:ascii="Palatino Linotype" w:hAnsi="Palatino Linotype" w:cs="Arial"/>
          <w:color w:val="000000" w:themeColor="text1"/>
        </w:rPr>
        <w:t>nueve (09</w:t>
      </w:r>
      <w:r>
        <w:rPr>
          <w:rFonts w:ascii="Palatino Linotype" w:hAnsi="Palatino Linotype" w:cs="Arial"/>
          <w:color w:val="000000" w:themeColor="text1"/>
        </w:rPr>
        <w:t xml:space="preserve">) de febrero </w:t>
      </w:r>
      <w:r w:rsidR="005B4984">
        <w:rPr>
          <w:rFonts w:ascii="Palatino Linotype" w:hAnsi="Palatino Linotype" w:cs="Arial"/>
          <w:color w:val="000000" w:themeColor="text1"/>
        </w:rPr>
        <w:t>de dos mil veintitrés</w:t>
      </w:r>
      <w:r w:rsidR="00862273" w:rsidRPr="002D063B">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5B4984">
        <w:rPr>
          <w:rFonts w:ascii="Palatino Linotype" w:hAnsi="Palatino Linotype" w:cs="Arial"/>
          <w:color w:val="000000" w:themeColor="text1"/>
        </w:rPr>
        <w:t>; y ------------------------</w:t>
      </w:r>
    </w:p>
    <w:p w14:paraId="421C02AA" w14:textId="77777777" w:rsidR="00EE4DFA" w:rsidRDefault="00EE4DFA" w:rsidP="00EE4DFA">
      <w:pPr>
        <w:pStyle w:val="Prrafodelista"/>
        <w:tabs>
          <w:tab w:val="left" w:pos="426"/>
        </w:tabs>
        <w:spacing w:line="360" w:lineRule="auto"/>
        <w:ind w:left="0"/>
        <w:jc w:val="both"/>
        <w:rPr>
          <w:rFonts w:ascii="Palatino Linotype" w:hAnsi="Palatino Linotype" w:cs="Arial"/>
          <w:color w:val="000000" w:themeColor="text1"/>
        </w:rPr>
      </w:pPr>
    </w:p>
    <w:p w14:paraId="5FF57FB7" w14:textId="77777777" w:rsidR="00EE4DFA" w:rsidRPr="005B4984"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3F246E85"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lastRenderedPageBreak/>
        <w:t>Constitución Política del Estado Libre y Soberano de México</w:t>
      </w:r>
      <w:r w:rsidRPr="00A85CB7">
        <w:rPr>
          <w:rFonts w:ascii="Palatino Linotype" w:eastAsia="Calibri" w:hAnsi="Palatino Linotype" w:cs="Times New Roman"/>
          <w:color w:val="000000" w:themeColor="text1"/>
          <w:lang w:val="es-ES"/>
        </w:rPr>
        <w:t>; artículos 1, 2 fracción II, 13, 29, 36</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 y II, 176, 178, 179, 181</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párrafo tercero</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y 10, 7, 9</w:t>
      </w:r>
      <w:r w:rsidR="006225C6">
        <w:rPr>
          <w:rFonts w:ascii="Palatino Linotype" w:eastAsia="Calibri" w:hAnsi="Palatino Linotype" w:cs="Arial"/>
          <w:color w:val="000000" w:themeColor="text1"/>
          <w:lang w:val="es-ES"/>
        </w:rPr>
        <w:t>,</w:t>
      </w:r>
      <w:r w:rsidRPr="00A85CB7">
        <w:rPr>
          <w:rFonts w:ascii="Palatino Linotype" w:eastAsia="Calibri" w:hAnsi="Palatino Linotype" w:cs="Arial"/>
          <w:color w:val="000000" w:themeColor="text1"/>
          <w:lang w:val="es-ES"/>
        </w:rPr>
        <w:t xml:space="preserve">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75D4C24C" w:rsidR="008A7F1F" w:rsidRPr="00103B71"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EF549D">
        <w:rPr>
          <w:rFonts w:ascii="Palatino Linotype" w:eastAsia="Calibri" w:hAnsi="Palatino Linotype" w:cs="Arial"/>
          <w:lang w:val="es-ES_tradnl"/>
        </w:rPr>
        <w:t xml:space="preserve">veintiséis (26) de octubre </w:t>
      </w:r>
      <w:r w:rsidRPr="00EA49FC">
        <w:rPr>
          <w:rFonts w:ascii="Palatino Linotype" w:eastAsia="Calibri" w:hAnsi="Palatino Linotype" w:cs="Arial"/>
          <w:lang w:val="es-ES_tradnl"/>
        </w:rPr>
        <w:t>de dos mil veintidós</w:t>
      </w:r>
      <w:r w:rsidRPr="00EA49FC">
        <w:rPr>
          <w:rFonts w:ascii="Palatino Linotype" w:eastAsia="Calibri" w:hAnsi="Palatino Linotype" w:cs="Arial"/>
        </w:rPr>
        <w:t xml:space="preserve">, el plazo para interponer el recurso de revisión trascurrió del </w:t>
      </w:r>
      <w:r w:rsidR="00EF549D">
        <w:rPr>
          <w:rFonts w:ascii="Palatino Linotype" w:eastAsia="Calibri" w:hAnsi="Palatino Linotype" w:cs="Arial"/>
        </w:rPr>
        <w:t>veintisiete (27) de octubre</w:t>
      </w:r>
      <w:r w:rsidR="00B72EF3">
        <w:rPr>
          <w:rFonts w:ascii="Palatino Linotype" w:eastAsia="Calibri" w:hAnsi="Palatino Linotype" w:cs="Arial"/>
        </w:rPr>
        <w:t xml:space="preserve"> al </w:t>
      </w:r>
      <w:r w:rsidR="00EF549D">
        <w:rPr>
          <w:rFonts w:ascii="Palatino Linotype" w:eastAsia="Calibri" w:hAnsi="Palatino Linotype" w:cs="Arial"/>
        </w:rPr>
        <w:t>diecisiete (17</w:t>
      </w:r>
      <w:r w:rsidR="00B72EF3">
        <w:rPr>
          <w:rFonts w:ascii="Palatino Linotype" w:eastAsia="Calibri" w:hAnsi="Palatino Linotype" w:cs="Arial"/>
        </w:rPr>
        <w:t xml:space="preserve">) de noviembre </w:t>
      </w:r>
      <w:r w:rsidRPr="00103B71">
        <w:rPr>
          <w:rFonts w:ascii="Palatino Linotype" w:eastAsia="Calibri" w:hAnsi="Palatino Linotype" w:cs="Arial"/>
        </w:rPr>
        <w:t xml:space="preserve">de dos mil veintidós; sin contemplar en el cómputo los </w:t>
      </w:r>
      <w:r w:rsidR="006225C6">
        <w:rPr>
          <w:rFonts w:ascii="Palatino Linotype" w:eastAsia="Calibri" w:hAnsi="Palatino Linotype" w:cs="Arial"/>
        </w:rPr>
        <w:t>sábados</w:t>
      </w:r>
      <w:r w:rsidR="00B72EF3">
        <w:rPr>
          <w:rFonts w:ascii="Palatino Linotype" w:eastAsia="Calibri" w:hAnsi="Palatino Linotype" w:cs="Arial"/>
        </w:rPr>
        <w:t>,</w:t>
      </w:r>
      <w:r w:rsidR="006225C6">
        <w:rPr>
          <w:rFonts w:ascii="Palatino Linotype" w:eastAsia="Calibri" w:hAnsi="Palatino Linotype" w:cs="Arial"/>
        </w:rPr>
        <w:t xml:space="preserve"> domingos</w:t>
      </w:r>
      <w:r w:rsidRPr="00103B71">
        <w:rPr>
          <w:rFonts w:ascii="Palatino Linotype" w:eastAsia="Calibri" w:hAnsi="Palatino Linotype" w:cs="Arial"/>
        </w:rPr>
        <w:t>,</w:t>
      </w:r>
      <w:r w:rsidR="00B72EF3">
        <w:rPr>
          <w:rFonts w:ascii="Palatino Linotype" w:eastAsia="Calibri" w:hAnsi="Palatino Linotype" w:cs="Arial"/>
        </w:rPr>
        <w:t xml:space="preserve"> y días inhábiles,</w:t>
      </w:r>
      <w:r w:rsidRPr="00103B71">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0AF9A83" w:rsidR="00740BA4" w:rsidRPr="0024737A"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EF549D">
        <w:rPr>
          <w:rFonts w:ascii="Palatino Linotype" w:eastAsia="Calibri" w:hAnsi="Palatino Linotype" w:cs="Arial"/>
        </w:rPr>
        <w:t>uno (01</w:t>
      </w:r>
      <w:r w:rsidR="00B72EF3">
        <w:rPr>
          <w:rFonts w:ascii="Palatino Linotype" w:eastAsia="Calibri" w:hAnsi="Palatino Linotype" w:cs="Arial"/>
        </w:rPr>
        <w:t xml:space="preserve">) de noviembre </w:t>
      </w:r>
      <w:r w:rsidRPr="00EA49FC">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701BD232" w14:textId="77777777" w:rsidR="0024737A" w:rsidRPr="0024737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5A5DFBC" w14:textId="614FDBF3" w:rsidR="0024737A" w:rsidRDefault="00EF549D" w:rsidP="00CD7E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Se requirieron los contratos de inmuebles que el ayuntamiento tiene en arrendamiento, enlistados en un oficio específico del Director de Administración; y, de estos contratos, se informe por qué no se ha realizado un pago durante los meses transcurridos, y de ser el caso de que no existan los contratos, se señale qué sostiene legalmente su ocupación.</w:t>
      </w:r>
    </w:p>
    <w:p w14:paraId="415A6CD0" w14:textId="77777777" w:rsidR="00B14312" w:rsidRPr="00B14312" w:rsidRDefault="00B14312" w:rsidP="00B14312">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68AB11A3" w:rsidR="00963723"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963723">
        <w:rPr>
          <w:rFonts w:ascii="Palatino Linotype" w:hAnsi="Palatino Linotype" w:cs="Arial"/>
          <w:color w:val="000000" w:themeColor="text1"/>
        </w:rPr>
        <w:t xml:space="preserve"> </w:t>
      </w:r>
      <w:r w:rsidR="00A71D7D">
        <w:rPr>
          <w:rFonts w:ascii="Palatino Linotype" w:hAnsi="Palatino Linotype" w:cs="Arial"/>
          <w:color w:val="000000" w:themeColor="text1"/>
        </w:rPr>
        <w:t xml:space="preserve">informó, a través del Director de </w:t>
      </w:r>
      <w:r w:rsidR="00EF549D">
        <w:rPr>
          <w:rFonts w:ascii="Palatino Linotype" w:hAnsi="Palatino Linotype" w:cs="Arial"/>
          <w:color w:val="000000" w:themeColor="text1"/>
        </w:rPr>
        <w:t>Administración, que los contratos originales se encuentran resguardados en el área administrativa a su cargo, mismos que se ponían a disposición del particular en Consulta Directa; asimismo, manifestó que la Tesorería se encargaba de su pago.</w:t>
      </w:r>
    </w:p>
    <w:p w14:paraId="2C7AC7DC" w14:textId="77777777" w:rsidR="0096372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FDBBAC2" w:rsidR="0056788F" w:rsidRPr="006D57BE"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D57BE">
        <w:rPr>
          <w:rFonts w:ascii="Palatino Linotype" w:hAnsi="Palatino Linotype" w:cs="Arial"/>
          <w:color w:val="000000" w:themeColor="text1"/>
        </w:rPr>
        <w:t>El</w:t>
      </w:r>
      <w:r w:rsidR="007758D3" w:rsidRPr="006D57BE">
        <w:rPr>
          <w:rFonts w:ascii="Palatino Linotype" w:hAnsi="Palatino Linotype" w:cs="Arial"/>
          <w:color w:val="000000" w:themeColor="text1"/>
        </w:rPr>
        <w:t xml:space="preserve"> particular impugnó la respuesta del </w:t>
      </w:r>
      <w:r w:rsidR="007758D3" w:rsidRPr="006D57BE">
        <w:rPr>
          <w:rFonts w:ascii="Palatino Linotype" w:hAnsi="Palatino Linotype" w:cs="Arial"/>
          <w:b/>
          <w:color w:val="000000" w:themeColor="text1"/>
        </w:rPr>
        <w:t>SUJETO OBLIGADO</w:t>
      </w:r>
      <w:r w:rsidR="007758D3" w:rsidRPr="006D57BE">
        <w:rPr>
          <w:rFonts w:ascii="Palatino Linotype" w:hAnsi="Palatino Linotype" w:cs="Arial"/>
          <w:color w:val="000000" w:themeColor="text1"/>
        </w:rPr>
        <w:t xml:space="preserve"> mediante recurso de revisión</w:t>
      </w:r>
      <w:r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r w:rsidRPr="006D57BE">
        <w:rPr>
          <w:rFonts w:ascii="Palatino Linotype" w:hAnsi="Palatino Linotype" w:cs="Arial"/>
          <w:color w:val="000000" w:themeColor="text1"/>
        </w:rPr>
        <w:t xml:space="preserve">y </w:t>
      </w:r>
      <w:r w:rsidR="007758D3" w:rsidRPr="006D57BE">
        <w:rPr>
          <w:rFonts w:ascii="Palatino Linotype" w:hAnsi="Palatino Linotype" w:cs="Arial"/>
          <w:color w:val="000000" w:themeColor="text1"/>
        </w:rPr>
        <w:t xml:space="preserve">en </w:t>
      </w:r>
      <w:r w:rsidR="006D57BE">
        <w:rPr>
          <w:rFonts w:ascii="Palatino Linotype" w:hAnsi="Palatino Linotype" w:cs="Arial"/>
          <w:color w:val="000000" w:themeColor="text1"/>
        </w:rPr>
        <w:t>el</w:t>
      </w:r>
      <w:r w:rsidR="006015F0" w:rsidRPr="006D57BE">
        <w:rPr>
          <w:rFonts w:ascii="Palatino Linotype" w:hAnsi="Palatino Linotype" w:cs="Arial"/>
          <w:color w:val="000000" w:themeColor="text1"/>
        </w:rPr>
        <w:t xml:space="preserve"> que señaló por agravios</w:t>
      </w:r>
      <w:r w:rsidR="002D063B">
        <w:rPr>
          <w:rFonts w:ascii="Palatino Linotype" w:hAnsi="Palatino Linotype" w:cs="Arial"/>
          <w:color w:val="000000" w:themeColor="text1"/>
        </w:rPr>
        <w:t xml:space="preserve">, </w:t>
      </w:r>
      <w:r w:rsidR="00EF549D">
        <w:rPr>
          <w:rFonts w:ascii="Palatino Linotype" w:hAnsi="Palatino Linotype" w:cs="Arial"/>
          <w:color w:val="000000" w:themeColor="text1"/>
        </w:rPr>
        <w:t>que en ningún momento había solicitado los contratos originales, y que no se proporcionó la respectiva respuesta de la Tesorería Municipal.</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0290E8D"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sidRPr="00EC683D">
        <w:rPr>
          <w:rFonts w:ascii="Palatino Linotype" w:hAnsi="Palatino Linotype" w:cs="Arial"/>
          <w:color w:val="000000" w:themeColor="text1"/>
        </w:rPr>
        <w:t>este Órgano Garante</w:t>
      </w:r>
      <w:r w:rsidR="002E160F" w:rsidRPr="00EC683D">
        <w:rPr>
          <w:rFonts w:ascii="Palatino Linotype" w:hAnsi="Palatino Linotype" w:cs="Arial"/>
          <w:color w:val="000000" w:themeColor="text1"/>
        </w:rPr>
        <w:t xml:space="preserve"> advierte que las razones o motivos de inconformidad manifestados por el </w:t>
      </w:r>
      <w:r w:rsidRPr="00EC683D">
        <w:rPr>
          <w:rFonts w:ascii="Palatino Linotype" w:hAnsi="Palatino Linotype" w:cs="Arial"/>
          <w:b/>
          <w:bCs/>
          <w:color w:val="000000" w:themeColor="text1"/>
        </w:rPr>
        <w:t>RECURRENTE</w:t>
      </w:r>
      <w:r w:rsidRPr="00EC683D">
        <w:rPr>
          <w:rFonts w:ascii="Palatino Linotype" w:hAnsi="Palatino Linotype" w:cs="Arial"/>
          <w:color w:val="000000" w:themeColor="text1"/>
        </w:rPr>
        <w:t xml:space="preserve"> </w:t>
      </w:r>
      <w:r w:rsidR="002E160F" w:rsidRPr="00EC683D">
        <w:rPr>
          <w:rFonts w:ascii="Palatino Linotype" w:hAnsi="Palatino Linotype" w:cs="Arial"/>
          <w:color w:val="000000" w:themeColor="text1"/>
        </w:rPr>
        <w:t>sugieren que la respuesta proporcionada</w:t>
      </w:r>
      <w:r w:rsidR="00B855AA" w:rsidRPr="00EC683D">
        <w:rPr>
          <w:rFonts w:ascii="Palatino Linotype" w:hAnsi="Palatino Linotype" w:cs="Arial"/>
          <w:color w:val="000000" w:themeColor="text1"/>
        </w:rPr>
        <w:t xml:space="preserve"> por el </w:t>
      </w:r>
      <w:r w:rsidR="00B855AA" w:rsidRPr="00EC683D">
        <w:rPr>
          <w:rFonts w:ascii="Palatino Linotype" w:hAnsi="Palatino Linotype" w:cs="Arial"/>
          <w:b/>
          <w:bCs/>
          <w:color w:val="000000" w:themeColor="text1"/>
        </w:rPr>
        <w:t>SUJETO OBLIGADO</w:t>
      </w:r>
      <w:r w:rsidR="007409D8" w:rsidRPr="00EC683D">
        <w:rPr>
          <w:rFonts w:ascii="Palatino Linotype" w:hAnsi="Palatino Linotype" w:cs="Arial"/>
          <w:color w:val="000000" w:themeColor="text1"/>
        </w:rPr>
        <w:t xml:space="preserve"> no </w:t>
      </w:r>
      <w:r w:rsidR="006D57BE" w:rsidRPr="00EC683D">
        <w:rPr>
          <w:rFonts w:ascii="Palatino Linotype" w:hAnsi="Palatino Linotype" w:cs="Arial"/>
          <w:color w:val="000000" w:themeColor="text1"/>
        </w:rPr>
        <w:t>cumplió</w:t>
      </w:r>
      <w:r w:rsidR="00B855AA" w:rsidRPr="00EC683D">
        <w:rPr>
          <w:rFonts w:ascii="Palatino Linotype" w:hAnsi="Palatino Linotype" w:cs="Arial"/>
          <w:color w:val="000000" w:themeColor="text1"/>
        </w:rPr>
        <w:t xml:space="preserve"> con </w:t>
      </w:r>
      <w:r w:rsidR="008F7752" w:rsidRPr="00EC683D">
        <w:rPr>
          <w:rFonts w:ascii="Palatino Linotype" w:hAnsi="Palatino Linotype" w:cs="Arial"/>
          <w:color w:val="000000" w:themeColor="text1"/>
        </w:rPr>
        <w:t>los</w:t>
      </w:r>
      <w:r w:rsidR="00B855AA" w:rsidRPr="00EC683D">
        <w:rPr>
          <w:rFonts w:ascii="Palatino Linotype" w:hAnsi="Palatino Linotype" w:cs="Arial"/>
          <w:color w:val="000000" w:themeColor="text1"/>
        </w:rPr>
        <w:t xml:space="preserve"> principio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contendido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C683D">
        <w:rPr>
          <w:rFonts w:ascii="Palatino Linotype" w:hAnsi="Palatino Linotype" w:cs="Arial"/>
          <w:color w:val="000000" w:themeColor="text1"/>
        </w:rPr>
        <w:t>os</w:t>
      </w:r>
      <w:r w:rsidR="00B855AA" w:rsidRPr="00EC683D">
        <w:rPr>
          <w:rFonts w:ascii="Palatino Linotype" w:hAnsi="Palatino Linotype" w:cs="Arial"/>
          <w:color w:val="000000" w:themeColor="text1"/>
        </w:rPr>
        <w:t xml:space="preserve"> cual</w:t>
      </w:r>
      <w:r w:rsidR="008F7752" w:rsidRPr="00EC683D">
        <w:rPr>
          <w:rFonts w:ascii="Palatino Linotype" w:hAnsi="Palatino Linotype" w:cs="Arial"/>
          <w:color w:val="000000" w:themeColor="text1"/>
        </w:rPr>
        <w:t>es</w:t>
      </w:r>
      <w:r w:rsidR="00B855AA" w:rsidRPr="00EC683D">
        <w:rPr>
          <w:rFonts w:ascii="Palatino Linotype" w:hAnsi="Palatino Linotype" w:cs="Arial"/>
          <w:color w:val="000000" w:themeColor="text1"/>
        </w:rPr>
        <w:t xml:space="preserve"> señala</w:t>
      </w:r>
      <w:r w:rsidR="008F7752" w:rsidRPr="00EC683D">
        <w:rPr>
          <w:rFonts w:ascii="Palatino Linotype" w:hAnsi="Palatino Linotype" w:cs="Arial"/>
          <w:color w:val="000000" w:themeColor="text1"/>
        </w:rPr>
        <w:t>n</w:t>
      </w:r>
      <w:r w:rsidR="00B855AA" w:rsidRPr="00EC683D">
        <w:rPr>
          <w:rFonts w:ascii="Palatino Linotype" w:hAnsi="Palatino Linotype" w:cs="Arial"/>
          <w:color w:val="000000" w:themeColor="text1"/>
        </w:rPr>
        <w:t xml:space="preserve"> que</w:t>
      </w:r>
      <w:r w:rsidR="00B855AA" w:rsidRPr="0056788F">
        <w:rPr>
          <w:rFonts w:ascii="Palatino Linotype" w:hAnsi="Palatino Linotype" w:cs="Arial"/>
          <w:color w:val="000000" w:themeColor="text1"/>
        </w:rPr>
        <w:t xml:space="preserve"> en la generación, publicación y entrega de información se deberá garantizar que ésta </w:t>
      </w:r>
      <w:r w:rsidR="00C51671" w:rsidRPr="0056788F">
        <w:rPr>
          <w:rFonts w:ascii="Palatino Linotype" w:hAnsi="Palatino Linotype" w:cs="Arial"/>
          <w:color w:val="000000" w:themeColor="text1"/>
        </w:rPr>
        <w:t>sea</w:t>
      </w:r>
      <w:r w:rsidR="0024737A">
        <w:rPr>
          <w:rFonts w:ascii="Palatino Linotype" w:hAnsi="Palatino Linotype" w:cs="Arial"/>
          <w:color w:val="000000" w:themeColor="text1"/>
        </w:rPr>
        <w:t xml:space="preserve"> </w:t>
      </w:r>
      <w:r w:rsidR="000E5E59">
        <w:rPr>
          <w:rFonts w:ascii="Palatino Linotype" w:hAnsi="Palatino Linotype" w:cs="Arial"/>
          <w:b/>
          <w:color w:val="000000" w:themeColor="text1"/>
        </w:rPr>
        <w:t>congruente</w:t>
      </w:r>
      <w:r w:rsidR="00A71D7D">
        <w:rPr>
          <w:rFonts w:ascii="Palatino Linotype" w:hAnsi="Palatino Linotype" w:cs="Arial"/>
          <w:b/>
          <w:color w:val="000000" w:themeColor="text1"/>
        </w:rPr>
        <w:t xml:space="preserve"> </w:t>
      </w:r>
      <w:r w:rsidR="00A71D7D">
        <w:rPr>
          <w:rFonts w:ascii="Palatino Linotype" w:hAnsi="Palatino Linotype" w:cs="Arial"/>
          <w:color w:val="000000" w:themeColor="text1"/>
        </w:rPr>
        <w:t xml:space="preserve">y </w:t>
      </w:r>
      <w:r w:rsidR="00A71D7D">
        <w:rPr>
          <w:rFonts w:ascii="Palatino Linotype" w:hAnsi="Palatino Linotype" w:cs="Arial"/>
          <w:b/>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A3A0610"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EC683D">
        <w:rPr>
          <w:rFonts w:ascii="Palatino Linotype" w:hAnsi="Palatino Linotype" w:cs="Arial"/>
          <w:color w:val="000000" w:themeColor="text1"/>
          <w:szCs w:val="23"/>
        </w:rPr>
        <w:t>,</w:t>
      </w:r>
      <w:r w:rsidR="0021056F">
        <w:rPr>
          <w:rFonts w:ascii="Palatino Linotype" w:hAnsi="Palatino Linotype" w:cs="Arial"/>
          <w:color w:val="000000" w:themeColor="text1"/>
          <w:szCs w:val="23"/>
        </w:rPr>
        <w:t xml:space="preserve"> </w:t>
      </w:r>
      <w:r w:rsidR="0024737A">
        <w:rPr>
          <w:rFonts w:ascii="Palatino Linotype" w:hAnsi="Palatino Linotype" w:cs="Arial"/>
          <w:color w:val="000000" w:themeColor="text1"/>
          <w:szCs w:val="23"/>
        </w:rPr>
        <w:t>V</w:t>
      </w:r>
      <w:r w:rsidR="00A71D7D">
        <w:rPr>
          <w:rFonts w:ascii="Palatino Linotype" w:hAnsi="Palatino Linotype" w:cs="Arial"/>
          <w:color w:val="000000" w:themeColor="text1"/>
          <w:szCs w:val="23"/>
        </w:rPr>
        <w:t xml:space="preserve">, XI </w:t>
      </w:r>
      <w:r w:rsidR="00EC683D">
        <w:rPr>
          <w:rFonts w:ascii="Palatino Linotype" w:hAnsi="Palatino Linotype" w:cs="Arial"/>
          <w:color w:val="000000" w:themeColor="text1"/>
          <w:szCs w:val="23"/>
        </w:rPr>
        <w:t>y/o XIII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55AC609F" w14:textId="77777777" w:rsidR="00A71D7D" w:rsidRDefault="00A71D7D" w:rsidP="004107D7">
      <w:pPr>
        <w:pStyle w:val="Sinespaciado"/>
        <w:tabs>
          <w:tab w:val="left" w:pos="426"/>
        </w:tabs>
        <w:ind w:left="851" w:right="567"/>
        <w:jc w:val="both"/>
        <w:rPr>
          <w:rFonts w:ascii="Palatino Linotype" w:hAnsi="Palatino Linotype"/>
          <w:i/>
          <w:color w:val="000000" w:themeColor="text1"/>
          <w:sz w:val="22"/>
        </w:rPr>
      </w:pPr>
      <w:r w:rsidRPr="00A71D7D">
        <w:rPr>
          <w:rFonts w:ascii="Palatino Linotype" w:hAnsi="Palatino Linotype"/>
          <w:b/>
          <w:bCs/>
          <w:i/>
          <w:color w:val="000000" w:themeColor="text1"/>
          <w:sz w:val="22"/>
        </w:rPr>
        <w:t xml:space="preserve">V. </w:t>
      </w:r>
      <w:r w:rsidRPr="00A71D7D">
        <w:rPr>
          <w:rFonts w:ascii="Palatino Linotype" w:hAnsi="Palatino Linotype"/>
          <w:bCs/>
          <w:i/>
          <w:color w:val="000000" w:themeColor="text1"/>
          <w:sz w:val="22"/>
        </w:rPr>
        <w:t>La entrega de información incompleta;</w:t>
      </w:r>
      <w:r w:rsidRPr="00A71D7D">
        <w:rPr>
          <w:rFonts w:ascii="Palatino Linotype" w:hAnsi="Palatino Linotype"/>
          <w:bCs/>
          <w:i/>
          <w:color w:val="000000" w:themeColor="text1"/>
          <w:sz w:val="22"/>
        </w:rPr>
        <w:cr/>
      </w:r>
      <w:r w:rsidRPr="00A71D7D">
        <w:rPr>
          <w:rFonts w:ascii="Palatino Linotype" w:hAnsi="Palatino Linotype"/>
          <w:b/>
          <w:bCs/>
          <w:i/>
          <w:color w:val="000000" w:themeColor="text1"/>
          <w:sz w:val="22"/>
        </w:rPr>
        <w:t xml:space="preserve"> </w:t>
      </w:r>
      <w:r w:rsidR="008577D1" w:rsidRPr="008577D1">
        <w:rPr>
          <w:rFonts w:ascii="Palatino Linotype" w:hAnsi="Palatino Linotype"/>
          <w:i/>
          <w:color w:val="000000" w:themeColor="text1"/>
          <w:sz w:val="22"/>
          <w:lang w:val="es-MX"/>
        </w:rPr>
        <w:t>(…</w:t>
      </w:r>
      <w:r w:rsidR="008577D1" w:rsidRPr="008577D1">
        <w:rPr>
          <w:rFonts w:ascii="Palatino Linotype" w:hAnsi="Palatino Linotype"/>
          <w:i/>
          <w:color w:val="000000" w:themeColor="text1"/>
          <w:sz w:val="22"/>
        </w:rPr>
        <w:t>)</w:t>
      </w:r>
    </w:p>
    <w:p w14:paraId="498478AD" w14:textId="77777777" w:rsidR="00A71D7D" w:rsidRDefault="00A71D7D" w:rsidP="004107D7">
      <w:pPr>
        <w:pStyle w:val="Sinespaciado"/>
        <w:tabs>
          <w:tab w:val="left" w:pos="426"/>
        </w:tabs>
        <w:ind w:left="851" w:right="567"/>
        <w:jc w:val="both"/>
        <w:rPr>
          <w:rFonts w:ascii="Palatino Linotype" w:hAnsi="Palatino Linotype"/>
          <w:i/>
          <w:color w:val="000000" w:themeColor="text1"/>
          <w:sz w:val="22"/>
        </w:rPr>
      </w:pPr>
      <w:r w:rsidRPr="00A71D7D">
        <w:rPr>
          <w:rFonts w:ascii="Palatino Linotype" w:hAnsi="Palatino Linotype"/>
          <w:b/>
          <w:i/>
          <w:color w:val="000000" w:themeColor="text1"/>
          <w:sz w:val="22"/>
        </w:rPr>
        <w:t>XI.</w:t>
      </w:r>
      <w:r w:rsidRPr="00A71D7D">
        <w:rPr>
          <w:rFonts w:ascii="Palatino Linotype" w:hAnsi="Palatino Linotype"/>
          <w:i/>
          <w:color w:val="000000" w:themeColor="text1"/>
          <w:sz w:val="22"/>
        </w:rPr>
        <w:t xml:space="preserve"> La falta de trámite a una solicitud;</w:t>
      </w:r>
      <w:r w:rsidRPr="00A71D7D">
        <w:rPr>
          <w:rFonts w:ascii="Palatino Linotype" w:hAnsi="Palatino Linotype"/>
          <w:i/>
          <w:color w:val="000000" w:themeColor="text1"/>
          <w:sz w:val="22"/>
        </w:rPr>
        <w:cr/>
      </w:r>
      <w:r>
        <w:rPr>
          <w:rFonts w:ascii="Palatino Linotype" w:hAnsi="Palatino Linotype"/>
          <w:i/>
          <w:color w:val="000000" w:themeColor="text1"/>
          <w:sz w:val="22"/>
        </w:rPr>
        <w:t>(…)</w:t>
      </w:r>
    </w:p>
    <w:p w14:paraId="4FCA9B3F" w14:textId="3F82AB73" w:rsidR="00515DEC" w:rsidRDefault="00A71D7D" w:rsidP="004107D7">
      <w:pPr>
        <w:pStyle w:val="Sinespaciado"/>
        <w:tabs>
          <w:tab w:val="left" w:pos="426"/>
        </w:tabs>
        <w:ind w:left="851" w:right="567"/>
        <w:jc w:val="both"/>
        <w:rPr>
          <w:rFonts w:ascii="Palatino Linotype" w:hAnsi="Palatino Linotype"/>
          <w:i/>
          <w:color w:val="000000" w:themeColor="text1"/>
          <w:sz w:val="22"/>
        </w:rPr>
      </w:pPr>
      <w:r w:rsidRPr="00A71D7D">
        <w:rPr>
          <w:rFonts w:ascii="Palatino Linotype" w:hAnsi="Palatino Linotype"/>
          <w:b/>
          <w:i/>
          <w:color w:val="000000" w:themeColor="text1"/>
          <w:sz w:val="22"/>
        </w:rPr>
        <w:t xml:space="preserve">XIII. </w:t>
      </w:r>
      <w:r w:rsidRPr="00A71D7D">
        <w:rPr>
          <w:rFonts w:ascii="Palatino Linotype" w:hAnsi="Palatino Linotype"/>
          <w:i/>
          <w:color w:val="000000" w:themeColor="text1"/>
          <w:sz w:val="22"/>
        </w:rPr>
        <w:t>La falta, deficiencia o insuficiencia de la fundamentación y/o motivación en la respuesta; y</w:t>
      </w:r>
      <w:r w:rsidRPr="00A71D7D">
        <w:rPr>
          <w:rFonts w:ascii="Palatino Linotype" w:hAnsi="Palatino Linotype"/>
          <w:i/>
          <w:color w:val="000000" w:themeColor="text1"/>
          <w:sz w:val="22"/>
        </w:rPr>
        <w:cr/>
      </w:r>
      <w:r>
        <w:rPr>
          <w:rFonts w:ascii="Palatino Linotype" w:hAnsi="Palatino Linotype"/>
          <w:i/>
          <w:color w:val="000000" w:themeColor="text1"/>
          <w:sz w:val="22"/>
        </w:rPr>
        <w:t>(…)</w:t>
      </w:r>
      <w:r w:rsidR="004107D7">
        <w:rPr>
          <w:rFonts w:ascii="Palatino Linotype" w:hAnsi="Palatino Linotype"/>
          <w:i/>
          <w:color w:val="000000" w:themeColor="text1"/>
          <w:sz w:val="22"/>
        </w:rPr>
        <w:t>”</w:t>
      </w: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lastRenderedPageBreak/>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2"/>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al señalar la obligación de “</w:t>
      </w:r>
      <w:r w:rsidRPr="008577D1">
        <w:rPr>
          <w:rFonts w:ascii="Palatino Linotype" w:hAnsi="Palatino Linotype"/>
          <w:bCs/>
          <w:i/>
          <w:lang w:val="es-ES_tradnl"/>
        </w:rPr>
        <w:t xml:space="preserve">promover, </w:t>
      </w:r>
      <w:r w:rsidRPr="008577D1">
        <w:rPr>
          <w:rFonts w:ascii="Palatino Linotype" w:hAnsi="Palatino Linotype"/>
          <w:b/>
          <w:bCs/>
          <w:i/>
          <w:lang w:val="es-ES_tradnl"/>
        </w:rPr>
        <w:t>respetar</w:t>
      </w:r>
      <w:r w:rsidRPr="008577D1">
        <w:rPr>
          <w:rFonts w:ascii="Palatino Linotype" w:hAnsi="Palatino Linotype"/>
          <w:bCs/>
          <w:i/>
          <w:lang w:val="es-ES_tradnl"/>
        </w:rPr>
        <w:t xml:space="preserve">, proteger y </w:t>
      </w:r>
      <w:r w:rsidRPr="008577D1">
        <w:rPr>
          <w:rFonts w:ascii="Palatino Linotype" w:hAnsi="Palatino Linotype"/>
          <w:b/>
          <w:bCs/>
          <w:i/>
          <w:lang w:val="es-ES_tradnl"/>
        </w:rPr>
        <w:t>garantizar</w:t>
      </w:r>
      <w:r w:rsidRPr="008577D1">
        <w:rPr>
          <w:rFonts w:ascii="Palatino Linotype" w:hAnsi="Palatino Linotype"/>
          <w:bCs/>
          <w:i/>
          <w:lang w:val="es-ES_tradnl"/>
        </w:rPr>
        <w:t xml:space="preserve"> los derechos humanos</w:t>
      </w:r>
      <w:r w:rsidRPr="008C33F9">
        <w:rPr>
          <w:rFonts w:ascii="Palatino Linotype" w:hAnsi="Palatino Linotype"/>
          <w:bCs/>
          <w:lang w:val="es-ES_tradnl"/>
        </w:rPr>
        <w:t>”,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6"/>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7"/>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55159A">
        <w:rPr>
          <w:rFonts w:ascii="Palatino Linotype" w:hAnsi="Palatino Linotype"/>
          <w:color w:val="000000" w:themeColor="text1"/>
        </w:rPr>
        <w:lastRenderedPageBreak/>
        <w:t>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24E1CACF" w:rsidR="009E260E" w:rsidRPr="009E260E" w:rsidRDefault="00141DB5"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3"/>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096CDA1B" w:rsidR="009E260E" w:rsidRPr="00910076"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 xml:space="preserve">na expuesto lo anterior, </w:t>
      </w:r>
      <w:r w:rsidR="009E260E">
        <w:rPr>
          <w:rFonts w:ascii="Palatino Linotype" w:hAnsi="Palatino Linotype"/>
        </w:rPr>
        <w:t xml:space="preserve">de </w:t>
      </w:r>
      <w:r w:rsidR="009E260E" w:rsidRPr="00132F52">
        <w:rPr>
          <w:rFonts w:ascii="Palatino Linotype" w:hAnsi="Palatino Linotype"/>
        </w:rPr>
        <w:t xml:space="preserve">la lectura a la solicitud de información </w:t>
      </w:r>
      <w:r w:rsidR="002777E9">
        <w:rPr>
          <w:rFonts w:ascii="Palatino Linotype" w:hAnsi="Palatino Linotype"/>
          <w:b/>
        </w:rPr>
        <w:t>00336/ALMOJU/IP/2022</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285E7106" w14:textId="77777777" w:rsidR="00EF549D" w:rsidRPr="00EF549D" w:rsidRDefault="00EF549D"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Contratos de inmuebles que el ayuntamiento tiene en arrendamiento, enlistados en un oficio específico del Director de Administración; </w:t>
      </w:r>
    </w:p>
    <w:p w14:paraId="5502498E" w14:textId="77777777" w:rsidR="004E2327" w:rsidRPr="004E2327" w:rsidRDefault="00EF549D"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De estos contratos, informe por qué no se ha realizado un pago d</w:t>
      </w:r>
      <w:r w:rsidR="004E2327">
        <w:rPr>
          <w:rFonts w:ascii="Palatino Linotype" w:hAnsi="Palatino Linotype" w:cs="Arial"/>
          <w:color w:val="000000" w:themeColor="text1"/>
        </w:rPr>
        <w:t xml:space="preserve">urante los meses transcurridos; </w:t>
      </w:r>
      <w:r>
        <w:rPr>
          <w:rFonts w:ascii="Palatino Linotype" w:hAnsi="Palatino Linotype" w:cs="Arial"/>
          <w:color w:val="000000" w:themeColor="text1"/>
        </w:rPr>
        <w:t>y</w:t>
      </w:r>
      <w:r w:rsidR="004E2327">
        <w:rPr>
          <w:rFonts w:ascii="Palatino Linotype" w:hAnsi="Palatino Linotype" w:cs="Arial"/>
          <w:color w:val="000000" w:themeColor="text1"/>
        </w:rPr>
        <w:t>,</w:t>
      </w:r>
    </w:p>
    <w:p w14:paraId="30C26867" w14:textId="5B6E9CDA" w:rsidR="004E7253" w:rsidRPr="00A71D7D" w:rsidRDefault="004E2327"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w:t>
      </w:r>
      <w:r w:rsidR="00EF549D">
        <w:rPr>
          <w:rFonts w:ascii="Palatino Linotype" w:hAnsi="Palatino Linotype" w:cs="Arial"/>
          <w:color w:val="000000" w:themeColor="text1"/>
        </w:rPr>
        <w:t xml:space="preserve">e ser el caso de que no existan los contratos, se señale qué sostiene legalmente </w:t>
      </w:r>
      <w:r>
        <w:rPr>
          <w:rFonts w:ascii="Palatino Linotype" w:hAnsi="Palatino Linotype" w:cs="Arial"/>
          <w:color w:val="000000" w:themeColor="text1"/>
        </w:rPr>
        <w:t>la ocupación de los inmuebles</w:t>
      </w:r>
      <w:r w:rsidR="00EF549D">
        <w:rPr>
          <w:rFonts w:ascii="Palatino Linotype" w:hAnsi="Palatino Linotype" w:cs="Arial"/>
          <w:color w:val="000000" w:themeColor="text1"/>
        </w:rPr>
        <w:t>.</w:t>
      </w:r>
    </w:p>
    <w:p w14:paraId="7BE75996" w14:textId="77777777" w:rsidR="00E33688" w:rsidRPr="00E3368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6CA0518D" w14:textId="3B2E2F30" w:rsidR="00A71D7D" w:rsidRPr="00A71D7D" w:rsidRDefault="00734FF5" w:rsidP="00FE6A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5200B">
        <w:rPr>
          <w:rFonts w:ascii="Palatino Linotype" w:hAnsi="Palatino Linotype"/>
        </w:rPr>
        <w:t>D</w:t>
      </w:r>
      <w:r w:rsidR="00A71D7D">
        <w:rPr>
          <w:rFonts w:ascii="Palatino Linotype" w:hAnsi="Palatino Linotype"/>
        </w:rPr>
        <w:t xml:space="preserve">e las constancias que obran en el expediente digital formado en el SAIMEX, específicamente en el apartado de </w:t>
      </w:r>
      <w:r w:rsidR="00A71D7D">
        <w:rPr>
          <w:rFonts w:ascii="Palatino Linotype" w:hAnsi="Palatino Linotype"/>
          <w:i/>
        </w:rPr>
        <w:t>Requerimientos</w:t>
      </w:r>
      <w:r w:rsidR="00A71D7D">
        <w:rPr>
          <w:rFonts w:ascii="Palatino Linotype" w:hAnsi="Palatino Linotype"/>
        </w:rPr>
        <w:t xml:space="preserve">, se observa que la Unidad de Transparencia turnó la solicitud de información al Servidor Público Habilitado </w:t>
      </w:r>
      <w:r w:rsidR="004E2327">
        <w:rPr>
          <w:rFonts w:ascii="Palatino Linotype" w:hAnsi="Palatino Linotype"/>
          <w:i/>
        </w:rPr>
        <w:t>L.A</w:t>
      </w:r>
      <w:r w:rsidR="00A71D7D">
        <w:rPr>
          <w:rFonts w:ascii="Palatino Linotype" w:hAnsi="Palatino Linotype"/>
          <w:i/>
        </w:rPr>
        <w:t xml:space="preserve">. </w:t>
      </w:r>
      <w:r w:rsidR="004E2327">
        <w:rPr>
          <w:rFonts w:ascii="Palatino Linotype" w:hAnsi="Palatino Linotype"/>
          <w:i/>
        </w:rPr>
        <w:t>Christian Estrada de la Cruz</w:t>
      </w:r>
      <w:r w:rsidR="00A71D7D">
        <w:rPr>
          <w:rFonts w:ascii="Palatino Linotype" w:hAnsi="Palatino Linotype"/>
        </w:rPr>
        <w:t xml:space="preserve">, quien </w:t>
      </w:r>
      <w:r w:rsidR="00A53CC0">
        <w:rPr>
          <w:rFonts w:ascii="Palatino Linotype" w:hAnsi="Palatino Linotype"/>
        </w:rPr>
        <w:t xml:space="preserve">de acuerdo con </w:t>
      </w:r>
      <w:r w:rsidR="004E2327">
        <w:rPr>
          <w:rFonts w:ascii="Palatino Linotype" w:hAnsi="Palatino Linotype"/>
        </w:rPr>
        <w:t>el</w:t>
      </w:r>
      <w:r w:rsidR="00A53CC0">
        <w:rPr>
          <w:rFonts w:ascii="Palatino Linotype" w:hAnsi="Palatino Linotype"/>
        </w:rPr>
        <w:t xml:space="preserve"> documento proporcionado en respuesta</w:t>
      </w:r>
      <w:r w:rsidR="004E2327">
        <w:rPr>
          <w:rFonts w:ascii="Palatino Linotype" w:hAnsi="Palatino Linotype"/>
        </w:rPr>
        <w:t xml:space="preserve"> a la solicitud </w:t>
      </w:r>
      <w:r w:rsidR="004E2327">
        <w:rPr>
          <w:rFonts w:ascii="Palatino Linotype" w:hAnsi="Palatino Linotype"/>
          <w:b/>
        </w:rPr>
        <w:t>00336/ALMOJU/IP/2022</w:t>
      </w:r>
      <w:r w:rsidR="004E2327">
        <w:rPr>
          <w:rFonts w:ascii="Palatino Linotype" w:hAnsi="Palatino Linotype"/>
        </w:rPr>
        <w:t>, se aprecia que ocupa</w:t>
      </w:r>
      <w:r w:rsidR="00A53CC0">
        <w:rPr>
          <w:rFonts w:ascii="Palatino Linotype" w:hAnsi="Palatino Linotype"/>
        </w:rPr>
        <w:t xml:space="preserve"> el cargo de </w:t>
      </w:r>
      <w:r w:rsidR="004E2327">
        <w:rPr>
          <w:rFonts w:ascii="Palatino Linotype" w:hAnsi="Palatino Linotype"/>
        </w:rPr>
        <w:t>Director</w:t>
      </w:r>
      <w:r w:rsidR="00A53CC0">
        <w:rPr>
          <w:rFonts w:ascii="Palatino Linotype" w:hAnsi="Palatino Linotype"/>
        </w:rPr>
        <w:t xml:space="preserve"> de la </w:t>
      </w:r>
      <w:r w:rsidR="00A53CC0" w:rsidRPr="00A53CC0">
        <w:rPr>
          <w:rFonts w:ascii="Palatino Linotype" w:hAnsi="Palatino Linotype"/>
          <w:b/>
        </w:rPr>
        <w:t xml:space="preserve">Dirección de </w:t>
      </w:r>
      <w:r w:rsidR="004E2327">
        <w:rPr>
          <w:rFonts w:ascii="Palatino Linotype" w:hAnsi="Palatino Linotype"/>
          <w:b/>
        </w:rPr>
        <w:t>Administración</w:t>
      </w:r>
      <w:r w:rsidR="00A53CC0">
        <w:rPr>
          <w:rFonts w:ascii="Palatino Linotype" w:hAnsi="Palatino Linotype"/>
        </w:rPr>
        <w:t>.</w:t>
      </w:r>
    </w:p>
    <w:p w14:paraId="79D698D0" w14:textId="77777777" w:rsidR="00A71D7D" w:rsidRPr="00A71D7D" w:rsidRDefault="00A71D7D" w:rsidP="00A71D7D">
      <w:pPr>
        <w:pStyle w:val="Prrafodelista"/>
        <w:tabs>
          <w:tab w:val="left" w:pos="426"/>
        </w:tabs>
        <w:spacing w:before="240" w:after="240" w:line="360" w:lineRule="auto"/>
        <w:ind w:left="0" w:right="51"/>
        <w:jc w:val="both"/>
        <w:rPr>
          <w:rFonts w:ascii="Palatino Linotype" w:hAnsi="Palatino Linotype"/>
          <w:color w:val="000000" w:themeColor="text1"/>
        </w:rPr>
      </w:pPr>
    </w:p>
    <w:p w14:paraId="612EDF9F" w14:textId="146770C4" w:rsidR="00C46088" w:rsidRPr="0005200B" w:rsidRDefault="00A71D7D" w:rsidP="00FE6A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D</w:t>
      </w:r>
      <w:r w:rsidR="00734FF5" w:rsidRPr="0005200B">
        <w:rPr>
          <w:rFonts w:ascii="Palatino Linotype" w:hAnsi="Palatino Linotype"/>
        </w:rPr>
        <w:t>erivado de lo anterior, y en</w:t>
      </w:r>
      <w:r w:rsidR="00984D47" w:rsidRPr="0005200B">
        <w:rPr>
          <w:rFonts w:ascii="Palatino Linotype" w:hAnsi="Palatino Linotype"/>
        </w:rPr>
        <w:t xml:space="preserve"> respuesta a la solicitud de información </w:t>
      </w:r>
      <w:r w:rsidR="002777E9">
        <w:rPr>
          <w:rFonts w:ascii="Palatino Linotype" w:hAnsi="Palatino Linotype"/>
          <w:b/>
          <w:bCs/>
        </w:rPr>
        <w:t>00336/ALMOJU/IP/2022</w:t>
      </w:r>
      <w:r w:rsidR="00984D47" w:rsidRPr="0005200B">
        <w:rPr>
          <w:rFonts w:ascii="Palatino Linotype" w:hAnsi="Palatino Linotype"/>
        </w:rPr>
        <w:t xml:space="preserve">, </w:t>
      </w:r>
      <w:r w:rsidR="005917A6" w:rsidRPr="0005200B">
        <w:rPr>
          <w:rFonts w:ascii="Palatino Linotype" w:hAnsi="Palatino Linotype"/>
        </w:rPr>
        <w:t xml:space="preserve">el </w:t>
      </w:r>
      <w:r w:rsidR="005917A6" w:rsidRPr="0005200B">
        <w:rPr>
          <w:rFonts w:ascii="Palatino Linotype" w:hAnsi="Palatino Linotype"/>
          <w:b/>
        </w:rPr>
        <w:t>SUJETO OBLIGADO</w:t>
      </w:r>
      <w:r w:rsidR="005917A6" w:rsidRPr="0005200B">
        <w:rPr>
          <w:rFonts w:ascii="Palatino Linotype" w:hAnsi="Palatino Linotype"/>
        </w:rPr>
        <w:t xml:space="preserve"> entregó</w:t>
      </w:r>
      <w:r w:rsidR="00045F01" w:rsidRPr="0005200B">
        <w:rPr>
          <w:rFonts w:ascii="Palatino Linotype" w:hAnsi="Palatino Linotype"/>
        </w:rPr>
        <w:t xml:space="preserve"> el </w:t>
      </w:r>
      <w:r>
        <w:rPr>
          <w:rFonts w:ascii="Palatino Linotype" w:hAnsi="Palatino Linotype"/>
        </w:rPr>
        <w:t xml:space="preserve">oficio número </w:t>
      </w:r>
      <w:r w:rsidR="004E2327">
        <w:rPr>
          <w:rFonts w:ascii="Palatino Linotype" w:hAnsi="Palatino Linotype"/>
        </w:rPr>
        <w:t>PMAJ/DA/CEDC/555/2022</w:t>
      </w:r>
      <w:r>
        <w:rPr>
          <w:rFonts w:ascii="Palatino Linotype" w:hAnsi="Palatino Linotype"/>
        </w:rPr>
        <w:t xml:space="preserve">, de </w:t>
      </w:r>
      <w:r w:rsidR="004E2327">
        <w:rPr>
          <w:rFonts w:ascii="Palatino Linotype" w:hAnsi="Palatino Linotype"/>
        </w:rPr>
        <w:t>veintiséis (26</w:t>
      </w:r>
      <w:r>
        <w:rPr>
          <w:rFonts w:ascii="Palatino Linotype" w:hAnsi="Palatino Linotype"/>
        </w:rPr>
        <w:t xml:space="preserve">) de octubre de dos mil veintidós, emitido por el </w:t>
      </w:r>
      <w:r w:rsidR="004E2327">
        <w:rPr>
          <w:rFonts w:ascii="Palatino Linotype" w:hAnsi="Palatino Linotype"/>
        </w:rPr>
        <w:t>Director de Administración</w:t>
      </w:r>
      <w:r>
        <w:rPr>
          <w:rFonts w:ascii="Palatino Linotype" w:hAnsi="Palatino Linotype"/>
        </w:rPr>
        <w:t xml:space="preserve">, </w:t>
      </w:r>
      <w:r w:rsidR="004E2327">
        <w:rPr>
          <w:rFonts w:ascii="Palatino Linotype" w:hAnsi="Palatino Linotype"/>
        </w:rPr>
        <w:t>mismo que se inserta a continuación:</w:t>
      </w:r>
    </w:p>
    <w:p w14:paraId="6A7D1DF7" w14:textId="4B4CAA61" w:rsidR="00F85413" w:rsidRDefault="00F85413" w:rsidP="00A53CC0">
      <w:pPr>
        <w:pStyle w:val="Prrafodelista"/>
        <w:tabs>
          <w:tab w:val="left" w:pos="426"/>
        </w:tabs>
        <w:spacing w:before="240" w:after="240" w:line="360" w:lineRule="auto"/>
        <w:ind w:left="0" w:right="51"/>
        <w:rPr>
          <w:rFonts w:ascii="Palatino Linotype" w:hAnsi="Palatino Linotype"/>
          <w:color w:val="000000" w:themeColor="text1"/>
        </w:rPr>
      </w:pPr>
    </w:p>
    <w:p w14:paraId="5F5DBE2E" w14:textId="0EFD27FD" w:rsidR="004E2327" w:rsidRDefault="004E2327" w:rsidP="004E2327">
      <w:pPr>
        <w:pStyle w:val="Prrafodelista"/>
        <w:tabs>
          <w:tab w:val="left" w:pos="426"/>
        </w:tabs>
        <w:spacing w:before="240" w:after="240" w:line="360" w:lineRule="auto"/>
        <w:ind w:left="0" w:right="51"/>
        <w:jc w:val="center"/>
        <w:rPr>
          <w:rFonts w:ascii="Palatino Linotype" w:hAnsi="Palatino Linotype"/>
          <w:color w:val="000000" w:themeColor="text1"/>
        </w:rPr>
      </w:pPr>
      <w:r w:rsidRPr="004E2327">
        <w:rPr>
          <w:rFonts w:ascii="Palatino Linotype" w:hAnsi="Palatino Linotype"/>
          <w:noProof/>
          <w:color w:val="000000" w:themeColor="text1"/>
          <w:lang w:eastAsia="es-MX"/>
        </w:rPr>
        <w:drawing>
          <wp:inline distT="0" distB="0" distL="0" distR="0" wp14:anchorId="20F3C71D" wp14:editId="3AB22E19">
            <wp:extent cx="4176635" cy="5420117"/>
            <wp:effectExtent l="57150" t="57150" r="10985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1519" cy="54264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5DF176" w14:textId="438DA771" w:rsidR="004E2327" w:rsidRDefault="004E2327" w:rsidP="004E2327">
      <w:pPr>
        <w:pStyle w:val="Prrafodelista"/>
        <w:tabs>
          <w:tab w:val="left" w:pos="426"/>
        </w:tabs>
        <w:spacing w:before="240" w:after="240" w:line="360" w:lineRule="auto"/>
        <w:ind w:left="0" w:right="51"/>
        <w:jc w:val="center"/>
        <w:rPr>
          <w:rFonts w:ascii="Palatino Linotype" w:hAnsi="Palatino Linotype"/>
          <w:color w:val="000000" w:themeColor="text1"/>
        </w:rPr>
      </w:pPr>
      <w:r w:rsidRPr="004E2327">
        <w:rPr>
          <w:rFonts w:ascii="Palatino Linotype" w:hAnsi="Palatino Linotype"/>
          <w:noProof/>
          <w:color w:val="000000" w:themeColor="text1"/>
          <w:lang w:eastAsia="es-MX"/>
        </w:rPr>
        <w:lastRenderedPageBreak/>
        <w:drawing>
          <wp:inline distT="0" distB="0" distL="0" distR="0" wp14:anchorId="2C5D729E" wp14:editId="691A53DF">
            <wp:extent cx="4267211" cy="5520520"/>
            <wp:effectExtent l="57150" t="57150" r="114300" b="1187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7232" cy="553348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9D9C8F" w14:textId="77777777" w:rsidR="00F85413" w:rsidRDefault="00F85413" w:rsidP="00C46088">
      <w:pPr>
        <w:pStyle w:val="Prrafodelista"/>
        <w:tabs>
          <w:tab w:val="left" w:pos="426"/>
        </w:tabs>
        <w:spacing w:before="240" w:after="240" w:line="360" w:lineRule="auto"/>
        <w:ind w:left="0" w:right="51"/>
        <w:jc w:val="both"/>
        <w:rPr>
          <w:rFonts w:ascii="Palatino Linotype" w:hAnsi="Palatino Linotype"/>
          <w:color w:val="000000" w:themeColor="text1"/>
        </w:rPr>
      </w:pPr>
    </w:p>
    <w:p w14:paraId="04FB1C31" w14:textId="18411EDE" w:rsidR="00CB6FC0" w:rsidRPr="00772B8D" w:rsidRDefault="00C14923"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No es ocioso mencionar</w:t>
      </w:r>
      <w:r w:rsidR="00C27142">
        <w:rPr>
          <w:rFonts w:ascii="Palatino Linotype" w:eastAsia="Times New Roman" w:hAnsi="Palatino Linotype" w:cs="Arial"/>
        </w:rPr>
        <w:t xml:space="preserve"> que </w:t>
      </w:r>
      <w:r w:rsidR="00C27142" w:rsidRPr="004E2327">
        <w:rPr>
          <w:rFonts w:ascii="Palatino Linotype" w:eastAsia="Times New Roman" w:hAnsi="Palatino Linotype" w:cs="Arial"/>
          <w:b/>
        </w:rPr>
        <w:t>la esencia del derecho de acceso a la información consiste en la facultad de los particulares de hacerse de todos los documentos que, por el mero ejercicio de las funciones y atribuciones, sean generados, p</w:t>
      </w:r>
      <w:r w:rsidR="004E2327">
        <w:rPr>
          <w:rFonts w:ascii="Palatino Linotype" w:eastAsia="Times New Roman" w:hAnsi="Palatino Linotype" w:cs="Arial"/>
          <w:b/>
        </w:rPr>
        <w:t>ose</w:t>
      </w:r>
      <w:r w:rsidR="00C27142" w:rsidRPr="004E2327">
        <w:rPr>
          <w:rFonts w:ascii="Palatino Linotype" w:eastAsia="Times New Roman" w:hAnsi="Palatino Linotype" w:cs="Arial"/>
          <w:b/>
        </w:rPr>
        <w:t>ídos o administrados por los Sujetos Obligados</w:t>
      </w:r>
      <w:r w:rsidR="00C27142">
        <w:rPr>
          <w:rFonts w:ascii="Palatino Linotype" w:eastAsia="Times New Roman" w:hAnsi="Palatino Linotype" w:cs="Arial"/>
        </w:rPr>
        <w:t xml:space="preserve">. Esto es, que </w:t>
      </w:r>
      <w:r w:rsidR="008E3D02" w:rsidRPr="004E2327">
        <w:rPr>
          <w:rFonts w:ascii="Palatino Linotype" w:eastAsia="Times New Roman" w:hAnsi="Palatino Linotype" w:cs="Arial"/>
          <w:b/>
          <w:u w:val="single"/>
        </w:rPr>
        <w:t>el derecho de acceso a la información debería ser colmado a través de documentos previamente existentes</w:t>
      </w:r>
      <w:r w:rsidR="008E3D02">
        <w:rPr>
          <w:rFonts w:ascii="Palatino Linotype" w:eastAsia="Times New Roman" w:hAnsi="Palatino Linotype" w:cs="Arial"/>
        </w:rPr>
        <w:t xml:space="preserve">, </w:t>
      </w:r>
      <w:r w:rsidR="008E3D02">
        <w:rPr>
          <w:rFonts w:ascii="Palatino Linotype" w:eastAsia="Times New Roman" w:hAnsi="Palatino Linotype" w:cs="Arial"/>
        </w:rPr>
        <w:lastRenderedPageBreak/>
        <w:t>y no a través de instrumentos creado</w:t>
      </w:r>
      <w:r w:rsidR="00772B8D">
        <w:rPr>
          <w:rFonts w:ascii="Palatino Linotype" w:eastAsia="Times New Roman" w:hAnsi="Palatino Linotype" w:cs="Arial"/>
        </w:rPr>
        <w:t xml:space="preserve">s con el fin de responder, de forma específica, los </w:t>
      </w:r>
      <w:r w:rsidR="004E2327">
        <w:rPr>
          <w:rFonts w:ascii="Palatino Linotype" w:eastAsia="Times New Roman" w:hAnsi="Palatino Linotype" w:cs="Arial"/>
        </w:rPr>
        <w:t>requerimientos</w:t>
      </w:r>
      <w:r w:rsidR="00772B8D">
        <w:rPr>
          <w:rFonts w:ascii="Palatino Linotype" w:eastAsia="Times New Roman" w:hAnsi="Palatino Linotype" w:cs="Arial"/>
        </w:rPr>
        <w:t xml:space="preserve"> de los particulares.</w:t>
      </w:r>
    </w:p>
    <w:p w14:paraId="4FD62406" w14:textId="77777777" w:rsidR="00772B8D" w:rsidRPr="00772B8D" w:rsidRDefault="00772B8D" w:rsidP="00772B8D">
      <w:pPr>
        <w:pStyle w:val="Prrafodelista"/>
        <w:tabs>
          <w:tab w:val="left" w:pos="426"/>
        </w:tabs>
        <w:spacing w:before="240" w:after="240" w:line="360" w:lineRule="auto"/>
        <w:ind w:left="0" w:right="51"/>
        <w:jc w:val="both"/>
        <w:rPr>
          <w:rFonts w:ascii="Palatino Linotype" w:hAnsi="Palatino Linotype"/>
          <w:color w:val="000000" w:themeColor="text1"/>
        </w:rPr>
      </w:pPr>
    </w:p>
    <w:p w14:paraId="38B9FC9E" w14:textId="1AD536D6" w:rsidR="00772B8D" w:rsidRPr="00CB6FC0" w:rsidRDefault="000C09DF"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Al respecto, el artículo 12 de la Ley de Transparencia y Acceso a la Información Pública </w:t>
      </w:r>
      <w:r w:rsidR="002E4736">
        <w:rPr>
          <w:rFonts w:ascii="Palatino Linotype" w:eastAsia="Times New Roman" w:hAnsi="Palatino Linotype" w:cs="Arial"/>
        </w:rPr>
        <w:t>del Estado de México y Municipios establece lo siguiente:</w:t>
      </w:r>
    </w:p>
    <w:p w14:paraId="13D29764" w14:textId="7482D88F" w:rsidR="00CB6FC0" w:rsidRDefault="00CB6FC0" w:rsidP="00CB6FC0">
      <w:pPr>
        <w:pStyle w:val="Prrafodelista"/>
        <w:tabs>
          <w:tab w:val="left" w:pos="426"/>
        </w:tabs>
        <w:spacing w:before="240" w:after="240" w:line="360" w:lineRule="auto"/>
        <w:ind w:left="0" w:right="51"/>
        <w:jc w:val="both"/>
        <w:rPr>
          <w:rFonts w:ascii="Palatino Linotype" w:eastAsia="Times New Roman" w:hAnsi="Palatino Linotype" w:cs="Arial"/>
        </w:rPr>
      </w:pPr>
    </w:p>
    <w:p w14:paraId="4D3DE225" w14:textId="77777777" w:rsidR="006F5F55" w:rsidRDefault="002E4736" w:rsidP="002E4736">
      <w:pPr>
        <w:pStyle w:val="Prrafodelista"/>
        <w:tabs>
          <w:tab w:val="left" w:pos="426"/>
        </w:tabs>
        <w:spacing w:before="240" w:after="240" w:line="276" w:lineRule="auto"/>
        <w:ind w:left="567"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w:t>
      </w:r>
      <w:r w:rsidR="006F5F55" w:rsidRPr="004E449C">
        <w:rPr>
          <w:rFonts w:ascii="Palatino Linotype" w:eastAsia="Times New Roman" w:hAnsi="Palatino Linotype" w:cs="Arial"/>
          <w:b/>
          <w:bCs/>
          <w:i/>
          <w:iCs/>
          <w:sz w:val="22"/>
          <w:szCs w:val="22"/>
        </w:rPr>
        <w:t>Artículo 12.</w:t>
      </w:r>
      <w:r w:rsidR="006F5F55" w:rsidRPr="006F5F55">
        <w:rPr>
          <w:rFonts w:ascii="Palatino Linotype" w:eastAsia="Times New Roman" w:hAnsi="Palatino Linotype" w:cs="Arial"/>
          <w:i/>
          <w:iCs/>
          <w:sz w:val="22"/>
          <w:szCs w:val="22"/>
        </w:rPr>
        <w:t xml:space="preserve"> Quienes generen, recopilen, administren, manejen, procesen, archiven o conserven información pública serán responsables de la misma en los términos de las disposiciones jurídicas aplicables. </w:t>
      </w:r>
    </w:p>
    <w:p w14:paraId="67B060EA" w14:textId="16740BB3" w:rsidR="002E4736" w:rsidRDefault="006F5F55" w:rsidP="002E4736">
      <w:pPr>
        <w:pStyle w:val="Prrafodelista"/>
        <w:tabs>
          <w:tab w:val="left" w:pos="426"/>
        </w:tabs>
        <w:spacing w:before="240" w:after="240" w:line="276" w:lineRule="auto"/>
        <w:ind w:left="567" w:right="567"/>
        <w:jc w:val="both"/>
        <w:rPr>
          <w:rFonts w:ascii="Palatino Linotype" w:eastAsia="Times New Roman" w:hAnsi="Palatino Linotype" w:cs="Arial"/>
          <w:i/>
          <w:iCs/>
          <w:sz w:val="22"/>
          <w:szCs w:val="22"/>
        </w:rPr>
      </w:pPr>
      <w:r w:rsidRPr="004E449C">
        <w:rPr>
          <w:rFonts w:ascii="Palatino Linotype" w:eastAsia="Times New Roman" w:hAnsi="Palatino Linotype" w:cs="Arial"/>
          <w:b/>
          <w:bCs/>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4E449C">
        <w:rPr>
          <w:rFonts w:ascii="Palatino Linotype" w:eastAsia="Times New Roman" w:hAnsi="Palatino Linotype" w:cs="Arial"/>
          <w:i/>
          <w:iCs/>
          <w:sz w:val="22"/>
          <w:szCs w:val="22"/>
        </w:rPr>
        <w:t>”</w:t>
      </w:r>
    </w:p>
    <w:p w14:paraId="5BE2D1C5" w14:textId="2B67465A" w:rsidR="004E449C" w:rsidRPr="006D2A1C" w:rsidRDefault="006D2A1C" w:rsidP="002E4736">
      <w:pPr>
        <w:pStyle w:val="Prrafodelista"/>
        <w:tabs>
          <w:tab w:val="left" w:pos="426"/>
        </w:tabs>
        <w:spacing w:before="240" w:after="240" w:line="276" w:lineRule="auto"/>
        <w:ind w:left="567" w:right="567"/>
        <w:jc w:val="both"/>
        <w:rPr>
          <w:rFonts w:ascii="Palatino Linotype" w:eastAsia="Times New Roman" w:hAnsi="Palatino Linotype" w:cs="Arial"/>
          <w:sz w:val="22"/>
          <w:szCs w:val="22"/>
        </w:rPr>
      </w:pPr>
      <w:r>
        <w:rPr>
          <w:rFonts w:ascii="Palatino Linotype" w:eastAsia="Times New Roman" w:hAnsi="Palatino Linotype" w:cs="Arial"/>
          <w:sz w:val="22"/>
          <w:szCs w:val="22"/>
        </w:rPr>
        <w:t>(Énfasis añadido)</w:t>
      </w:r>
    </w:p>
    <w:p w14:paraId="4B3C849B" w14:textId="77777777" w:rsidR="002E4736" w:rsidRPr="00CB6FC0" w:rsidRDefault="002E4736" w:rsidP="00CB6FC0">
      <w:pPr>
        <w:pStyle w:val="Prrafodelista"/>
        <w:tabs>
          <w:tab w:val="left" w:pos="426"/>
        </w:tabs>
        <w:spacing w:before="240" w:after="240" w:line="360" w:lineRule="auto"/>
        <w:ind w:left="0" w:right="51"/>
        <w:jc w:val="both"/>
        <w:rPr>
          <w:rFonts w:ascii="Palatino Linotype" w:hAnsi="Palatino Linotype"/>
          <w:color w:val="000000" w:themeColor="text1"/>
        </w:rPr>
      </w:pPr>
    </w:p>
    <w:p w14:paraId="563B0E24" w14:textId="0837E582" w:rsidR="00975447" w:rsidRDefault="006D2A1C"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N</w:t>
      </w:r>
      <w:r w:rsidR="00CB6FC0">
        <w:rPr>
          <w:rFonts w:ascii="Palatino Linotype" w:eastAsia="Times New Roman" w:hAnsi="Palatino Linotype" w:cs="Arial"/>
        </w:rPr>
        <w:t xml:space="preserve">o obstante, </w:t>
      </w:r>
      <w:r w:rsidR="00975447" w:rsidRPr="00051F3B">
        <w:rPr>
          <w:rFonts w:ascii="Palatino Linotype" w:eastAsia="Times New Roman" w:hAnsi="Palatino Linotype" w:cs="Arial"/>
        </w:rPr>
        <w:t xml:space="preserve">al existir un pronunciamiento directo por parte del </w:t>
      </w:r>
      <w:r w:rsidR="00975447" w:rsidRPr="00051F3B">
        <w:rPr>
          <w:rFonts w:ascii="Palatino Linotype" w:eastAsia="Times New Roman" w:hAnsi="Palatino Linotype" w:cs="Arial"/>
          <w:b/>
        </w:rPr>
        <w:t>SUJETO OBLIGADO</w:t>
      </w:r>
      <w:r w:rsidR="00975447" w:rsidRPr="00051F3B">
        <w:rPr>
          <w:rFonts w:ascii="Palatino Linotype" w:eastAsia="Times New Roman" w:hAnsi="Palatino Linotype" w:cs="Arial"/>
        </w:rPr>
        <w:t xml:space="preserve">, a fin de atender </w:t>
      </w:r>
      <w:r w:rsidR="005448AF">
        <w:rPr>
          <w:rFonts w:ascii="Palatino Linotype" w:eastAsia="Times New Roman" w:hAnsi="Palatino Linotype" w:cs="Arial"/>
        </w:rPr>
        <w:t>los requerimientos planteados</w:t>
      </w:r>
      <w:r w:rsidR="00975447" w:rsidRPr="00051F3B">
        <w:rPr>
          <w:rFonts w:ascii="Palatino Linotype" w:eastAsia="Times New Roman" w:hAnsi="Palatino Linotype" w:cs="Arial"/>
        </w:rPr>
        <w:t xml:space="preserve"> por el hoy </w:t>
      </w:r>
      <w:r w:rsidR="00975447" w:rsidRPr="00051F3B">
        <w:rPr>
          <w:rFonts w:ascii="Palatino Linotype" w:eastAsia="Times New Roman" w:hAnsi="Palatino Linotype" w:cs="Arial"/>
          <w:b/>
        </w:rPr>
        <w:t>RECURRENTE</w:t>
      </w:r>
      <w:r w:rsidR="00975447"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975447" w:rsidRPr="00051F3B">
        <w:rPr>
          <w:rFonts w:ascii="Palatino Linotype" w:eastAsia="Times New Roman" w:hAnsi="Palatino Linotype" w:cs="Arial"/>
          <w:bCs/>
          <w:iCs/>
        </w:rPr>
        <w:t>SAIMEX</w:t>
      </w:r>
      <w:r w:rsidR="00975447" w:rsidRPr="00051F3B">
        <w:rPr>
          <w:rFonts w:ascii="Palatino Linotype" w:eastAsia="Times New Roman" w:hAnsi="Palatino Linotype" w:cs="Arial"/>
        </w:rPr>
        <w:t>.</w:t>
      </w:r>
    </w:p>
    <w:p w14:paraId="329A6E3E"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69842154" w14:textId="77777777" w:rsidR="00975447"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0CFF876F" w14:textId="77777777" w:rsidR="00975447"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41FB60BA" w14:textId="77777777" w:rsidR="00975447" w:rsidRPr="00794C2B" w:rsidRDefault="00975447" w:rsidP="00975447">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3BA8A46"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06577CF2" w14:textId="77777777" w:rsidR="00975447"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560F766" w14:textId="77777777" w:rsidR="00975447"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53FFF9B1" w14:textId="77777777" w:rsidR="00975447" w:rsidRPr="00640DE6" w:rsidRDefault="00975447" w:rsidP="00975447">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E1ADBE3" w14:textId="77777777" w:rsidR="00975447" w:rsidRPr="00794C2B" w:rsidRDefault="00975447" w:rsidP="00975447">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7724C1D" w14:textId="77777777" w:rsidR="00975447"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308EC773" w14:textId="54FFE67C" w:rsidR="0088032A"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r w:rsidR="00D04057">
        <w:rPr>
          <w:rFonts w:ascii="Palatino Linotype" w:hAnsi="Palatino Linotype"/>
          <w:color w:val="000000" w:themeColor="text1"/>
        </w:rPr>
        <w:t xml:space="preserve"> Aunado al hecho de que, </w:t>
      </w:r>
      <w:r w:rsidR="00D04057" w:rsidRPr="00D04057">
        <w:rPr>
          <w:rFonts w:ascii="Palatino Linotype" w:hAnsi="Palatino Linotype"/>
          <w:b/>
          <w:color w:val="000000" w:themeColor="text1"/>
        </w:rPr>
        <w:t>toda vez que el Director de Administración reconoció la existencia de los contratos solicitados, este Organismo Garante puede obviar el análisis de competencia para poseerlos, generarlos o administrarlos</w:t>
      </w:r>
      <w:r w:rsidR="00D04057">
        <w:rPr>
          <w:rFonts w:ascii="Palatino Linotype" w:hAnsi="Palatino Linotype"/>
          <w:color w:val="000000" w:themeColor="text1"/>
        </w:rPr>
        <w:t>.</w:t>
      </w:r>
    </w:p>
    <w:p w14:paraId="4567D9A4" w14:textId="77777777" w:rsidR="00C14923" w:rsidRDefault="00C14923" w:rsidP="00C14923">
      <w:pPr>
        <w:pStyle w:val="Prrafodelista"/>
        <w:tabs>
          <w:tab w:val="left" w:pos="426"/>
        </w:tabs>
        <w:spacing w:before="240" w:after="240" w:line="360" w:lineRule="auto"/>
        <w:ind w:left="0" w:right="51"/>
        <w:jc w:val="both"/>
        <w:rPr>
          <w:rFonts w:ascii="Palatino Linotype" w:hAnsi="Palatino Linotype"/>
          <w:color w:val="000000" w:themeColor="text1"/>
        </w:rPr>
      </w:pPr>
    </w:p>
    <w:p w14:paraId="743E4A57" w14:textId="59EFDA7C" w:rsidR="00C14923" w:rsidRDefault="00C14923"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Establecido lo anterior, podemos elaborar una tabla comparativa entre los diversos requerimientos formulados a través de la solicitud </w:t>
      </w:r>
      <w:r w:rsidR="002777E9">
        <w:rPr>
          <w:rFonts w:ascii="Palatino Linotype" w:hAnsi="Palatino Linotype"/>
          <w:b/>
          <w:color w:val="000000" w:themeColor="text1"/>
        </w:rPr>
        <w:t>00336/ALMOJU/IP/2022</w:t>
      </w:r>
      <w:r>
        <w:rPr>
          <w:rFonts w:ascii="Palatino Linotype" w:hAnsi="Palatino Linotype"/>
          <w:color w:val="000000" w:themeColor="text1"/>
        </w:rPr>
        <w:t xml:space="preserve"> y la respuesta del </w:t>
      </w:r>
      <w:r>
        <w:rPr>
          <w:rFonts w:ascii="Palatino Linotype" w:hAnsi="Palatino Linotype"/>
          <w:b/>
          <w:color w:val="000000" w:themeColor="text1"/>
        </w:rPr>
        <w:t>SUJETO OBLIGADO</w:t>
      </w:r>
      <w:r>
        <w:rPr>
          <w:rFonts w:ascii="Palatino Linotype" w:hAnsi="Palatino Linotype"/>
          <w:color w:val="000000" w:themeColor="text1"/>
        </w:rPr>
        <w:t>:</w:t>
      </w:r>
    </w:p>
    <w:p w14:paraId="3CBA7DF9" w14:textId="77777777" w:rsidR="00045F01" w:rsidRDefault="00045F01" w:rsidP="00045F01">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21"/>
        <w:gridCol w:w="3539"/>
        <w:gridCol w:w="2708"/>
        <w:gridCol w:w="2160"/>
      </w:tblGrid>
      <w:tr w:rsidR="00D04057" w:rsidRPr="00C14923" w14:paraId="622F74DF" w14:textId="77777777" w:rsidTr="00D04057">
        <w:tc>
          <w:tcPr>
            <w:tcW w:w="421" w:type="dxa"/>
            <w:shd w:val="clear" w:color="auto" w:fill="BFBFBF" w:themeFill="background1" w:themeFillShade="BF"/>
          </w:tcPr>
          <w:p w14:paraId="3E8BFB02" w14:textId="77777777" w:rsidR="00D04057" w:rsidRPr="00C14923" w:rsidRDefault="00D04057" w:rsidP="00C14923">
            <w:pPr>
              <w:pStyle w:val="Prrafodelista"/>
              <w:tabs>
                <w:tab w:val="left" w:pos="426"/>
              </w:tabs>
              <w:ind w:left="0" w:right="51"/>
              <w:jc w:val="center"/>
              <w:rPr>
                <w:rFonts w:ascii="Palatino Linotype" w:hAnsi="Palatino Linotype"/>
                <w:b/>
                <w:color w:val="000000" w:themeColor="text1"/>
                <w:sz w:val="20"/>
              </w:rPr>
            </w:pPr>
          </w:p>
        </w:tc>
        <w:tc>
          <w:tcPr>
            <w:tcW w:w="3539" w:type="dxa"/>
            <w:shd w:val="clear" w:color="auto" w:fill="BFBFBF" w:themeFill="background1" w:themeFillShade="BF"/>
          </w:tcPr>
          <w:p w14:paraId="6D00AC79" w14:textId="0440A1CD" w:rsidR="00D04057" w:rsidRPr="00C14923" w:rsidRDefault="00D04057" w:rsidP="00C14923">
            <w:pPr>
              <w:pStyle w:val="Prrafodelista"/>
              <w:tabs>
                <w:tab w:val="left" w:pos="426"/>
              </w:tabs>
              <w:ind w:left="0" w:right="51"/>
              <w:jc w:val="center"/>
              <w:rPr>
                <w:rFonts w:ascii="Palatino Linotype" w:hAnsi="Palatino Linotype"/>
                <w:b/>
                <w:color w:val="000000" w:themeColor="text1"/>
                <w:sz w:val="20"/>
              </w:rPr>
            </w:pPr>
            <w:r w:rsidRPr="00C14923">
              <w:rPr>
                <w:rFonts w:ascii="Palatino Linotype" w:hAnsi="Palatino Linotype"/>
                <w:b/>
                <w:color w:val="000000" w:themeColor="text1"/>
                <w:sz w:val="20"/>
              </w:rPr>
              <w:t>SOLICITUD</w:t>
            </w:r>
          </w:p>
        </w:tc>
        <w:tc>
          <w:tcPr>
            <w:tcW w:w="2708" w:type="dxa"/>
            <w:shd w:val="clear" w:color="auto" w:fill="BFBFBF" w:themeFill="background1" w:themeFillShade="BF"/>
          </w:tcPr>
          <w:p w14:paraId="4DE5A042" w14:textId="2C1D5E49" w:rsidR="00D04057" w:rsidRPr="00C14923" w:rsidRDefault="00D04057" w:rsidP="00C14923">
            <w:pPr>
              <w:pStyle w:val="Prrafodelista"/>
              <w:tabs>
                <w:tab w:val="left" w:pos="426"/>
              </w:tabs>
              <w:ind w:left="0" w:right="51"/>
              <w:jc w:val="center"/>
              <w:rPr>
                <w:rFonts w:ascii="Palatino Linotype" w:hAnsi="Palatino Linotype"/>
                <w:b/>
                <w:color w:val="000000" w:themeColor="text1"/>
                <w:sz w:val="20"/>
              </w:rPr>
            </w:pPr>
            <w:r w:rsidRPr="00C14923">
              <w:rPr>
                <w:rFonts w:ascii="Palatino Linotype" w:hAnsi="Palatino Linotype"/>
                <w:b/>
                <w:color w:val="000000" w:themeColor="text1"/>
                <w:sz w:val="20"/>
              </w:rPr>
              <w:t>RESPUESTA</w:t>
            </w:r>
          </w:p>
        </w:tc>
        <w:tc>
          <w:tcPr>
            <w:tcW w:w="2160" w:type="dxa"/>
            <w:shd w:val="clear" w:color="auto" w:fill="BFBFBF" w:themeFill="background1" w:themeFillShade="BF"/>
          </w:tcPr>
          <w:p w14:paraId="7D41D904" w14:textId="0AA56426" w:rsidR="00D04057" w:rsidRPr="00C14923" w:rsidRDefault="00D04057" w:rsidP="00C14923">
            <w:pPr>
              <w:pStyle w:val="Prrafodelista"/>
              <w:tabs>
                <w:tab w:val="left" w:pos="426"/>
              </w:tabs>
              <w:ind w:left="0" w:right="51"/>
              <w:jc w:val="center"/>
              <w:rPr>
                <w:rFonts w:ascii="Palatino Linotype" w:hAnsi="Palatino Linotype"/>
                <w:b/>
                <w:color w:val="000000" w:themeColor="text1"/>
                <w:sz w:val="20"/>
              </w:rPr>
            </w:pPr>
            <w:r w:rsidRPr="00C14923">
              <w:rPr>
                <w:rFonts w:ascii="Palatino Linotype" w:hAnsi="Palatino Linotype"/>
                <w:b/>
                <w:color w:val="000000" w:themeColor="text1"/>
                <w:sz w:val="20"/>
              </w:rPr>
              <w:t>¿SE COLMA EL REQUERIMIENTO?</w:t>
            </w:r>
          </w:p>
        </w:tc>
      </w:tr>
      <w:tr w:rsidR="00D04057" w:rsidRPr="00C14923" w14:paraId="7D222681" w14:textId="77777777" w:rsidTr="00D04057">
        <w:tc>
          <w:tcPr>
            <w:tcW w:w="421" w:type="dxa"/>
          </w:tcPr>
          <w:p w14:paraId="19408A52" w14:textId="73F2B662" w:rsidR="00D04057"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1</w:t>
            </w:r>
          </w:p>
        </w:tc>
        <w:tc>
          <w:tcPr>
            <w:tcW w:w="3539" w:type="dxa"/>
          </w:tcPr>
          <w:p w14:paraId="09F68B73" w14:textId="1B2944C9" w:rsidR="00D04057" w:rsidRPr="00C14923"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Contratos de los inmuebles que el Ayuntamiento tiene en arrendamiento, enlistados en el oficio número 131/2022 del Director de Administración.</w:t>
            </w:r>
          </w:p>
        </w:tc>
        <w:tc>
          <w:tcPr>
            <w:tcW w:w="2708" w:type="dxa"/>
          </w:tcPr>
          <w:p w14:paraId="5250797E" w14:textId="1228E6B1" w:rsidR="00D04057" w:rsidRPr="00C14923" w:rsidRDefault="00D04057" w:rsidP="00141DB5">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El Director de Administración informó que los contratos solicitados se encontraban en original en las oficinas de la Dirección de Administración, y los puso a disposición del particular en Consulta Directa.</w:t>
            </w:r>
          </w:p>
        </w:tc>
        <w:tc>
          <w:tcPr>
            <w:tcW w:w="2160" w:type="dxa"/>
          </w:tcPr>
          <w:p w14:paraId="7451B1E2" w14:textId="3046851C" w:rsidR="00D04057" w:rsidRPr="00CB6B94" w:rsidRDefault="00D04057" w:rsidP="00C14923">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NO</w:t>
            </w:r>
          </w:p>
        </w:tc>
      </w:tr>
      <w:tr w:rsidR="00D04057" w:rsidRPr="00C14923" w14:paraId="7B2BC1D9" w14:textId="77777777" w:rsidTr="00D04057">
        <w:tc>
          <w:tcPr>
            <w:tcW w:w="421" w:type="dxa"/>
          </w:tcPr>
          <w:p w14:paraId="18920204" w14:textId="414BCB42" w:rsidR="00D04057"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lastRenderedPageBreak/>
              <w:t>2</w:t>
            </w:r>
          </w:p>
        </w:tc>
        <w:tc>
          <w:tcPr>
            <w:tcW w:w="3539" w:type="dxa"/>
          </w:tcPr>
          <w:p w14:paraId="133B8A10" w14:textId="5C072136" w:rsidR="00D04057" w:rsidRPr="00C14923"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De existir los contratos, informe por qué no se ha realizado ningún pago durante los meses transcurridos.</w:t>
            </w:r>
          </w:p>
        </w:tc>
        <w:tc>
          <w:tcPr>
            <w:tcW w:w="2708" w:type="dxa"/>
          </w:tcPr>
          <w:p w14:paraId="6E2C40E8" w14:textId="44469C56" w:rsidR="00D04057" w:rsidRPr="00C14923"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El Director de Administración manifestó que el área a su cargo únicamente integra facturas para cobro, sin que se tenga certeza de que se haya realizado el pago por parte de Tesorería.</w:t>
            </w:r>
          </w:p>
        </w:tc>
        <w:tc>
          <w:tcPr>
            <w:tcW w:w="2160" w:type="dxa"/>
          </w:tcPr>
          <w:p w14:paraId="38E84ED3" w14:textId="77777777" w:rsidR="00D04057" w:rsidRDefault="00D04057" w:rsidP="00C14923">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p w14:paraId="32C2EDDB" w14:textId="07D58D35" w:rsidR="00D04057" w:rsidRPr="00141DB5" w:rsidRDefault="00D04057" w:rsidP="00C14923">
            <w:pPr>
              <w:pStyle w:val="Prrafodelista"/>
              <w:tabs>
                <w:tab w:val="left" w:pos="426"/>
              </w:tabs>
              <w:ind w:left="0" w:right="51"/>
              <w:jc w:val="center"/>
              <w:rPr>
                <w:rFonts w:ascii="Palatino Linotype" w:hAnsi="Palatino Linotype"/>
                <w:i/>
                <w:color w:val="000000" w:themeColor="text1"/>
                <w:sz w:val="20"/>
              </w:rPr>
            </w:pPr>
            <w:r w:rsidRPr="00141DB5">
              <w:rPr>
                <w:rFonts w:ascii="Palatino Linotype" w:hAnsi="Palatino Linotype"/>
                <w:i/>
                <w:color w:val="000000" w:themeColor="text1"/>
                <w:sz w:val="20"/>
              </w:rPr>
              <w:t>DERECHO DE PETICIÓN</w:t>
            </w:r>
          </w:p>
        </w:tc>
      </w:tr>
      <w:tr w:rsidR="00D04057" w:rsidRPr="00C14923" w14:paraId="4EDACC9D" w14:textId="77777777" w:rsidTr="00D04057">
        <w:tc>
          <w:tcPr>
            <w:tcW w:w="421" w:type="dxa"/>
          </w:tcPr>
          <w:p w14:paraId="7D8A1D32" w14:textId="13C16DFC" w:rsidR="00D04057"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3</w:t>
            </w:r>
          </w:p>
        </w:tc>
        <w:tc>
          <w:tcPr>
            <w:tcW w:w="3539" w:type="dxa"/>
          </w:tcPr>
          <w:p w14:paraId="3BF0FEAE" w14:textId="34640E6C" w:rsidR="00D04057" w:rsidRPr="00C14923" w:rsidRDefault="00D04057" w:rsidP="00C14923">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De no existir los contratos, informe qué sostiene legalmente la ocupación de los inmuebles.</w:t>
            </w:r>
          </w:p>
        </w:tc>
        <w:tc>
          <w:tcPr>
            <w:tcW w:w="2708" w:type="dxa"/>
          </w:tcPr>
          <w:p w14:paraId="27671AB3" w14:textId="2CC5F75B" w:rsidR="00D04057" w:rsidRPr="00C14923" w:rsidRDefault="00D04057" w:rsidP="00141DB5">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El Director de Administración refirió que los contratos sí existían, y que éstos eran la base que sustentaba la ocupación del ayuntamiento sobre dichos inmuebles.</w:t>
            </w:r>
          </w:p>
        </w:tc>
        <w:tc>
          <w:tcPr>
            <w:tcW w:w="2160" w:type="dxa"/>
          </w:tcPr>
          <w:p w14:paraId="3978156D" w14:textId="074BE383" w:rsidR="00D04057" w:rsidRPr="00CB6B94" w:rsidRDefault="00D04057" w:rsidP="00C14923">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bl>
    <w:p w14:paraId="5ACC34C1" w14:textId="77777777" w:rsidR="00C14923" w:rsidRDefault="00C14923"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975447"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eastAsia="Times New Roman" w:hAnsi="Palatino Linotype" w:cs="Arial"/>
        </w:rPr>
        <w:t xml:space="preserve">parte, el </w:t>
      </w:r>
      <w:r>
        <w:rPr>
          <w:rFonts w:ascii="Palatino Linotype" w:eastAsia="Times New Roman" w:hAnsi="Palatino Linotype" w:cs="Arial"/>
          <w:b/>
          <w:bCs/>
        </w:rPr>
        <w:t>RECURRENTE</w:t>
      </w:r>
      <w:r>
        <w:rPr>
          <w:rFonts w:ascii="Palatino Linotype" w:eastAsia="Times New Roman" w:hAnsi="Palatino Linotype" w:cs="Arial"/>
        </w:rPr>
        <w:t xml:space="preserve"> presentó el recurso de revisión con número al rubro citado, en contra de la respuesta del </w:t>
      </w:r>
      <w:r>
        <w:rPr>
          <w:rFonts w:ascii="Palatino Linotype" w:eastAsia="Times New Roman" w:hAnsi="Palatino Linotype" w:cs="Arial"/>
          <w:b/>
          <w:bCs/>
        </w:rPr>
        <w:t>SUJETO OBLIGADO</w:t>
      </w:r>
      <w:r>
        <w:rPr>
          <w:rFonts w:ascii="Palatino Linotype" w:eastAsia="Times New Roman" w:hAnsi="Palatino Linotype" w:cs="Arial"/>
        </w:rPr>
        <w:t>, y en el que señaló por agravios lo siguiente</w:t>
      </w:r>
      <w:r w:rsidRPr="003C2030">
        <w:rPr>
          <w:rFonts w:ascii="Palatino Linotype" w:eastAsia="Times New Roman" w:hAnsi="Palatino Linotype" w:cs="Arial"/>
        </w:rPr>
        <w:t>:</w:t>
      </w:r>
    </w:p>
    <w:p w14:paraId="0C62A530" w14:textId="12408C73" w:rsidR="00975447" w:rsidRPr="00141DB5" w:rsidRDefault="00141DB5" w:rsidP="00822AC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 xml:space="preserve">Que en ningún momento solicitó el acceso a los documentos originales, y que el </w:t>
      </w:r>
      <w:r>
        <w:rPr>
          <w:rFonts w:ascii="Palatino Linotype" w:eastAsia="Times New Roman" w:hAnsi="Palatino Linotype" w:cs="Arial"/>
          <w:b/>
        </w:rPr>
        <w:t>SUJETO OBLIGADO</w:t>
      </w:r>
      <w:r>
        <w:rPr>
          <w:rFonts w:ascii="Palatino Linotype" w:eastAsia="Times New Roman" w:hAnsi="Palatino Linotype" w:cs="Arial"/>
        </w:rPr>
        <w:t xml:space="preserve"> debió proporcionar los contratos en versión pública; y</w:t>
      </w:r>
    </w:p>
    <w:p w14:paraId="6DA29BD1" w14:textId="7B04DEE6" w:rsidR="00141DB5" w:rsidRPr="004E00A3" w:rsidRDefault="00141DB5" w:rsidP="00822AC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Que no se remitió la respuesta de la Tesorería.</w:t>
      </w:r>
    </w:p>
    <w:p w14:paraId="1616E01D" w14:textId="77777777" w:rsidR="00842788"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04E80C61" w14:textId="01B4EB9D" w:rsidR="00141DB5"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Por otro lado</w:t>
      </w:r>
      <w:r w:rsidR="00141DB5">
        <w:rPr>
          <w:rStyle w:val="normaltextrun"/>
          <w:rFonts w:ascii="Palatino Linotype" w:hAnsi="Palatino Linotype"/>
          <w:color w:val="000000" w:themeColor="text1"/>
        </w:rPr>
        <w:t xml:space="preserve">, resulta imperativo señalar que dentro de la solicitud de información </w:t>
      </w:r>
      <w:r w:rsidR="00141DB5">
        <w:rPr>
          <w:rStyle w:val="normaltextrun"/>
          <w:rFonts w:ascii="Palatino Linotype" w:hAnsi="Palatino Linotype"/>
          <w:b/>
          <w:color w:val="000000" w:themeColor="text1"/>
        </w:rPr>
        <w:t>00336/ALMOJU/IP/2022</w:t>
      </w:r>
      <w:r w:rsidR="00141DB5">
        <w:rPr>
          <w:rStyle w:val="normaltextrun"/>
          <w:rFonts w:ascii="Palatino Linotype" w:hAnsi="Palatino Linotype"/>
          <w:color w:val="000000" w:themeColor="text1"/>
        </w:rPr>
        <w:t xml:space="preserve"> se advierte que el particular formuló requerimientos imposibles de ser atendidos a través del ejercicio del derecho de información.</w:t>
      </w:r>
    </w:p>
    <w:p w14:paraId="2A99C876" w14:textId="77777777" w:rsidR="00141DB5" w:rsidRDefault="00141DB5" w:rsidP="00141DB5">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552F8B3A" w14:textId="394F7563" w:rsidR="00141DB5"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lastRenderedPageBreak/>
        <w:t xml:space="preserve">Lo anterior se manifiesta en razón de que, de la lectura al segundo requerimiento expuesto en el párrafo </w:t>
      </w:r>
      <w:r>
        <w:rPr>
          <w:rStyle w:val="normaltextrun"/>
          <w:rFonts w:ascii="Palatino Linotype" w:hAnsi="Palatino Linotype"/>
          <w:b/>
          <w:color w:val="000000" w:themeColor="text1"/>
        </w:rPr>
        <w:t>48</w:t>
      </w:r>
      <w:r>
        <w:rPr>
          <w:rStyle w:val="normaltextrun"/>
          <w:rFonts w:ascii="Palatino Linotype" w:hAnsi="Palatino Linotype"/>
          <w:color w:val="000000" w:themeColor="text1"/>
        </w:rPr>
        <w:t xml:space="preserve"> de la presente resolución se aprecia que el </w:t>
      </w:r>
      <w:r>
        <w:rPr>
          <w:rStyle w:val="normaltextrun"/>
          <w:rFonts w:ascii="Palatino Linotype" w:hAnsi="Palatino Linotype"/>
          <w:b/>
          <w:color w:val="000000" w:themeColor="text1"/>
        </w:rPr>
        <w:t>RECURRENTE</w:t>
      </w:r>
      <w:r>
        <w:rPr>
          <w:rStyle w:val="normaltextrun"/>
          <w:rFonts w:ascii="Palatino Linotype" w:hAnsi="Palatino Linotype"/>
          <w:color w:val="000000" w:themeColor="text1"/>
        </w:rPr>
        <w:t xml:space="preserve"> busca que el </w:t>
      </w:r>
      <w:r>
        <w:rPr>
          <w:rStyle w:val="normaltextrun"/>
          <w:rFonts w:ascii="Palatino Linotype" w:hAnsi="Palatino Linotype"/>
          <w:b/>
          <w:color w:val="000000" w:themeColor="text1"/>
        </w:rPr>
        <w:t>SUJETO OBLIGADO</w:t>
      </w:r>
      <w:r>
        <w:rPr>
          <w:rStyle w:val="normaltextrun"/>
          <w:rFonts w:ascii="Palatino Linotype" w:hAnsi="Palatino Linotype"/>
          <w:color w:val="000000" w:themeColor="text1"/>
        </w:rPr>
        <w:t xml:space="preserve"> responda mediante un pronunciamiento directo sobre las razones por las que no ha realizado ningún pago devengado por los contratos de arrendamiento, situación que conlleva a afirmar que se está en presencia del ejercicio de un </w:t>
      </w:r>
      <w:r>
        <w:rPr>
          <w:rStyle w:val="normaltextrun"/>
          <w:rFonts w:ascii="Palatino Linotype" w:hAnsi="Palatino Linotype"/>
          <w:b/>
          <w:color w:val="000000" w:themeColor="text1"/>
        </w:rPr>
        <w:t>derecho de petición</w:t>
      </w:r>
      <w:r>
        <w:rPr>
          <w:rStyle w:val="normaltextrun"/>
          <w:rFonts w:ascii="Palatino Linotype" w:hAnsi="Palatino Linotype"/>
          <w:color w:val="000000" w:themeColor="text1"/>
        </w:rPr>
        <w:t>.</w:t>
      </w:r>
    </w:p>
    <w:p w14:paraId="68AC0DCA" w14:textId="77777777" w:rsidR="00141DB5" w:rsidRDefault="00141DB5" w:rsidP="00141DB5">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3EA2EAE" w14:textId="73636B60" w:rsidR="00141DB5"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Bajo </w:t>
      </w:r>
      <w:r w:rsidRPr="009D7050">
        <w:rPr>
          <w:rFonts w:ascii="Palatino Linotype" w:eastAsia="MS Mincho" w:hAnsi="Palatino Linotype" w:cs="Arial"/>
          <w:lang w:val="es-ES_tradnl"/>
        </w:rPr>
        <w:t>ese contexto, es importante dejar en claro lo que debe entenderse por derecho de petición y por derecho de acceso a la información pública.</w:t>
      </w:r>
    </w:p>
    <w:p w14:paraId="26208196"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64D88C07" w14:textId="1DD79D9B"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Por </w:t>
      </w:r>
      <w:r w:rsidRPr="009D7050">
        <w:rPr>
          <w:rFonts w:ascii="Palatino Linotype" w:eastAsia="MS Mincho" w:hAnsi="Palatino Linotype" w:cs="Arial"/>
          <w:lang w:val="es-ES_tradnl"/>
        </w:rPr>
        <w:t>lo que respecta a la definición de Derecho de Petición, el Maestro Ignacio Burgoa Orihuela refiere:</w:t>
      </w:r>
    </w:p>
    <w:p w14:paraId="48181156"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3FD6FF3" w14:textId="77777777" w:rsidR="00D04057" w:rsidRPr="00D04057" w:rsidRDefault="00D04057" w:rsidP="00D04057">
      <w:pPr>
        <w:autoSpaceDE w:val="0"/>
        <w:autoSpaceDN w:val="0"/>
        <w:adjustRightInd w:val="0"/>
        <w:spacing w:line="276" w:lineRule="auto"/>
        <w:ind w:left="851" w:right="901"/>
        <w:jc w:val="both"/>
        <w:rPr>
          <w:rFonts w:ascii="Palatino Linotype" w:eastAsia="MS Mincho" w:hAnsi="Palatino Linotype" w:cs="Arial"/>
          <w:i/>
          <w:sz w:val="22"/>
          <w:lang w:val="es-ES_tradnl"/>
        </w:rPr>
      </w:pPr>
      <w:r w:rsidRPr="00D04057">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D04057">
        <w:rPr>
          <w:rFonts w:ascii="Palatino Linotype" w:eastAsia="MS Mincho" w:hAnsi="Palatino Linotype" w:cs="Arial"/>
          <w:i/>
          <w:sz w:val="22"/>
          <w:lang w:val="es-ES_tradnl"/>
        </w:rPr>
        <w:t>.</w:t>
      </w:r>
      <w:r w:rsidRPr="00D04057">
        <w:rPr>
          <w:rFonts w:ascii="Palatino Linotype" w:eastAsia="MS Mincho" w:hAnsi="Palatino Linotype" w:cs="Times New Roman"/>
          <w:i/>
          <w:sz w:val="22"/>
          <w:lang w:val="es-ES_tradnl"/>
        </w:rPr>
        <w:t>“</w:t>
      </w:r>
      <w:proofErr w:type="gramEnd"/>
      <w:r w:rsidRPr="00D04057">
        <w:rPr>
          <w:rFonts w:ascii="Palatino Linotype" w:eastAsia="MS Mincho" w:hAnsi="Palatino Linotype" w:cs="Arial"/>
          <w:i/>
          <w:sz w:val="22"/>
          <w:lang w:val="es-ES_tradnl"/>
        </w:rPr>
        <w:t xml:space="preserve"> (</w:t>
      </w:r>
      <w:proofErr w:type="gramStart"/>
      <w:r w:rsidRPr="00D04057">
        <w:rPr>
          <w:rFonts w:ascii="Palatino Linotype" w:eastAsia="MS Mincho" w:hAnsi="Palatino Linotype" w:cs="Arial"/>
          <w:i/>
          <w:sz w:val="22"/>
          <w:lang w:val="es-ES_tradnl"/>
        </w:rPr>
        <w:t>sic</w:t>
      </w:r>
      <w:proofErr w:type="gramEnd"/>
      <w:r w:rsidRPr="00D04057">
        <w:rPr>
          <w:rFonts w:ascii="Palatino Linotype" w:eastAsia="MS Mincho" w:hAnsi="Palatino Linotype" w:cs="Arial"/>
          <w:i/>
          <w:sz w:val="22"/>
          <w:lang w:val="es-ES_tradnl"/>
        </w:rPr>
        <w:t>)</w:t>
      </w:r>
    </w:p>
    <w:p w14:paraId="5E5DF2C5"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6280D7CF" w14:textId="45A87C41"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Por </w:t>
      </w:r>
      <w:r w:rsidRPr="009D7050">
        <w:rPr>
          <w:rFonts w:ascii="Palatino Linotype" w:eastAsia="MS Mincho" w:hAnsi="Palatino Linotype" w:cs="Arial"/>
          <w:lang w:val="es-ES_tradnl"/>
        </w:rPr>
        <w:t>su parte, David Cienfuegos Salgado, concibe al derecho de petición como:</w:t>
      </w:r>
    </w:p>
    <w:p w14:paraId="55376A4C"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0E271F61" w14:textId="7CE3E6EC" w:rsidR="00D04057" w:rsidRPr="00D04057" w:rsidRDefault="00D04057" w:rsidP="00D04057">
      <w:pPr>
        <w:autoSpaceDE w:val="0"/>
        <w:autoSpaceDN w:val="0"/>
        <w:adjustRightInd w:val="0"/>
        <w:spacing w:line="276" w:lineRule="auto"/>
        <w:ind w:left="851" w:right="901"/>
        <w:jc w:val="both"/>
        <w:rPr>
          <w:rFonts w:ascii="Palatino Linotype" w:eastAsia="MS Mincho" w:hAnsi="Palatino Linotype" w:cs="Arial"/>
          <w:i/>
          <w:sz w:val="22"/>
          <w:lang w:val="es-ES_tradnl"/>
        </w:rPr>
      </w:pPr>
      <w:r w:rsidRPr="00D04057">
        <w:rPr>
          <w:rFonts w:ascii="Palatino Linotype" w:eastAsia="MS Mincho" w:hAnsi="Palatino Linotype" w:cs="Arial"/>
          <w:i/>
          <w:sz w:val="22"/>
          <w:lang w:val="es-ES_tradnl"/>
        </w:rPr>
        <w:t>“…el derecho de toda persona a ser escuchado por quienes ejercen el poder público</w:t>
      </w:r>
      <w:proofErr w:type="gramStart"/>
      <w:r w:rsidRPr="00D04057">
        <w:rPr>
          <w:rFonts w:ascii="Palatino Linotype" w:eastAsia="MS Mincho" w:hAnsi="Palatino Linotype" w:cs="Arial"/>
          <w:i/>
          <w:sz w:val="22"/>
          <w:lang w:val="es-ES_tradnl"/>
        </w:rPr>
        <w:t>.</w:t>
      </w:r>
      <w:r w:rsidRPr="00D04057">
        <w:rPr>
          <w:rFonts w:ascii="Palatino Linotype" w:eastAsia="MS Mincho" w:hAnsi="Palatino Linotype" w:cs="Times New Roman"/>
          <w:i/>
          <w:sz w:val="22"/>
          <w:lang w:val="es-ES_tradnl"/>
        </w:rPr>
        <w:t>“</w:t>
      </w:r>
      <w:proofErr w:type="gramEnd"/>
      <w:r w:rsidRPr="00D04057">
        <w:rPr>
          <w:rFonts w:ascii="Palatino Linotype" w:eastAsia="MS Mincho" w:hAnsi="Palatino Linotype" w:cs="Arial"/>
          <w:i/>
          <w:sz w:val="22"/>
          <w:lang w:val="es-ES_tradnl"/>
        </w:rPr>
        <w:t xml:space="preserve"> (</w:t>
      </w:r>
      <w:proofErr w:type="gramStart"/>
      <w:r w:rsidRPr="00D04057">
        <w:rPr>
          <w:rFonts w:ascii="Palatino Linotype" w:eastAsia="MS Mincho" w:hAnsi="Palatino Linotype" w:cs="Arial"/>
          <w:i/>
          <w:sz w:val="22"/>
          <w:lang w:val="es-ES_tradnl"/>
        </w:rPr>
        <w:t>sic</w:t>
      </w:r>
      <w:proofErr w:type="gramEnd"/>
      <w:r w:rsidRPr="00D04057">
        <w:rPr>
          <w:rFonts w:ascii="Palatino Linotype" w:eastAsia="MS Mincho" w:hAnsi="Palatino Linotype" w:cs="Arial"/>
          <w:i/>
          <w:sz w:val="22"/>
          <w:lang w:val="es-ES_tradnl"/>
        </w:rPr>
        <w:t>)</w:t>
      </w:r>
    </w:p>
    <w:p w14:paraId="6616A4DD"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6E990A3C" w14:textId="2F5504D7"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lastRenderedPageBreak/>
        <w:t xml:space="preserve">A </w:t>
      </w:r>
      <w:r w:rsidRPr="009D7050">
        <w:rPr>
          <w:rFonts w:ascii="Palatino Linotype" w:eastAsia="MS Mincho" w:hAnsi="Palatino Linotype" w:cs="Arial"/>
          <w:lang w:val="es-ES_tradnl"/>
        </w:rPr>
        <w:t>este respecto, para diferenciar el derecho de petición al derecho de acceso a la información, resulta conducente señalar que José Guadalupe Robles, conceptualiza el derecho a la información como:</w:t>
      </w:r>
    </w:p>
    <w:p w14:paraId="49F5D3AE"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D305F7A" w14:textId="77777777" w:rsidR="00D04057" w:rsidRPr="00D04057" w:rsidRDefault="00D04057" w:rsidP="00D04057">
      <w:pPr>
        <w:autoSpaceDE w:val="0"/>
        <w:autoSpaceDN w:val="0"/>
        <w:adjustRightInd w:val="0"/>
        <w:spacing w:before="240" w:after="240" w:line="276" w:lineRule="auto"/>
        <w:ind w:left="567" w:right="567"/>
        <w:contextualSpacing/>
        <w:jc w:val="both"/>
        <w:rPr>
          <w:rFonts w:ascii="Palatino Linotype" w:eastAsia="MS Mincho" w:hAnsi="Palatino Linotype" w:cs="Arial"/>
          <w:i/>
          <w:sz w:val="22"/>
          <w:lang w:val="es-ES_tradnl"/>
        </w:rPr>
      </w:pPr>
      <w:r w:rsidRPr="00D04057">
        <w:rPr>
          <w:rFonts w:ascii="Palatino Linotype" w:eastAsia="MS Mincho" w:hAnsi="Palatino Linotype" w:cs="Arial"/>
          <w:b/>
          <w:i/>
          <w:sz w:val="22"/>
          <w:lang w:val="es-ES_tradnl"/>
        </w:rPr>
        <w:t>“</w:t>
      </w:r>
      <w:r w:rsidRPr="00D04057">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04057">
        <w:rPr>
          <w:rFonts w:ascii="Palatino Linotype" w:eastAsia="MS Mincho" w:hAnsi="Palatino Linotype" w:cs="Arial"/>
          <w:b/>
          <w:i/>
          <w:sz w:val="22"/>
          <w:lang w:val="es-ES_tradnl"/>
        </w:rPr>
        <w:t>”</w:t>
      </w:r>
      <w:r w:rsidRPr="00D04057">
        <w:rPr>
          <w:rFonts w:ascii="Palatino Linotype" w:eastAsia="MS Mincho" w:hAnsi="Palatino Linotype" w:cs="Arial"/>
          <w:i/>
          <w:sz w:val="22"/>
          <w:lang w:val="es-ES_tradnl"/>
        </w:rPr>
        <w:t xml:space="preserve"> (</w:t>
      </w:r>
      <w:proofErr w:type="gramStart"/>
      <w:r w:rsidRPr="00D04057">
        <w:rPr>
          <w:rFonts w:ascii="Palatino Linotype" w:eastAsia="MS Mincho" w:hAnsi="Palatino Linotype" w:cs="Arial"/>
          <w:i/>
          <w:sz w:val="22"/>
          <w:lang w:val="es-ES_tradnl"/>
        </w:rPr>
        <w:t>sic</w:t>
      </w:r>
      <w:proofErr w:type="gramEnd"/>
      <w:r w:rsidRPr="00D04057">
        <w:rPr>
          <w:rFonts w:ascii="Palatino Linotype" w:eastAsia="MS Mincho" w:hAnsi="Palatino Linotype" w:cs="Arial"/>
          <w:i/>
          <w:sz w:val="22"/>
          <w:lang w:val="es-ES_tradnl"/>
        </w:rPr>
        <w:t xml:space="preserve">) </w:t>
      </w:r>
    </w:p>
    <w:p w14:paraId="10B135CB" w14:textId="646B350E"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2EE27CA0" w14:textId="1453542D"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Ahora </w:t>
      </w:r>
      <w:r w:rsidRPr="009D7050">
        <w:rPr>
          <w:rFonts w:ascii="Palatino Linotype" w:eastAsia="MS Mincho" w:hAnsi="Palatino Linotype" w:cs="Arial"/>
          <w:lang w:val="es-ES_tradnl"/>
        </w:rPr>
        <w:t xml:space="preserve">bien, el derecho </w:t>
      </w:r>
      <w:r w:rsidRPr="009D7050">
        <w:rPr>
          <w:rFonts w:ascii="Palatino Linotype" w:eastAsia="MS Mincho" w:hAnsi="Palatino Linotype" w:cs="Times New Roman"/>
          <w:lang w:val="es-ES_tradnl"/>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6C68D87"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D3C9C67" w14:textId="14DBEC3C"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Es </w:t>
      </w:r>
      <w:r w:rsidRPr="009D7050">
        <w:rPr>
          <w:rFonts w:ascii="Palatino Linotype" w:eastAsia="MS Mincho" w:hAnsi="Palatino Linotype" w:cs="Arial"/>
          <w:lang w:val="es-ES_tradnl"/>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3A3073A6"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FB25C65" w14:textId="1F7D85C8"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Por </w:t>
      </w:r>
      <w:r w:rsidRPr="009D7050">
        <w:rPr>
          <w:rFonts w:ascii="Palatino Linotype" w:eastAsia="MS Mincho" w:hAnsi="Palatino Linotype" w:cs="Arial"/>
          <w:lang w:val="es-ES_tradn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9D7050">
        <w:rPr>
          <w:rFonts w:ascii="Palatino Linotype" w:eastAsia="MS Mincho" w:hAnsi="Palatino Linotype" w:cs="Arial"/>
          <w:lang w:val="es-ES_tradnl"/>
        </w:rPr>
        <w:lastRenderedPageBreak/>
        <w:t>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6FD167AA"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7F67A448" w14:textId="3F73D77B"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En </w:t>
      </w:r>
      <w:r w:rsidRPr="009D7050">
        <w:rPr>
          <w:rFonts w:ascii="Palatino Linotype" w:eastAsia="MS Mincho" w:hAnsi="Palatino Linotype" w:cs="Arial"/>
          <w:lang w:val="es-ES_tradnl"/>
        </w:rPr>
        <w:t>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F82E615"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65774236" w14:textId="6BBF3CB3" w:rsidR="00D04057" w:rsidRDefault="00D04057" w:rsidP="00D040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Style w:val="normaltextrun"/>
          <w:rFonts w:ascii="Palatino Linotype" w:hAnsi="Palatino Linotype"/>
          <w:color w:val="000000" w:themeColor="text1"/>
        </w:rPr>
        <w:t xml:space="preserve">Para </w:t>
      </w:r>
      <w:r w:rsidRPr="009D7050">
        <w:rPr>
          <w:rFonts w:ascii="Palatino Linotype" w:eastAsia="MS Mincho" w:hAnsi="Palatino Linotype" w:cs="Arial"/>
          <w:lang w:val="es-ES_tradn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888768" w14:textId="77777777" w:rsidR="00D04057" w:rsidRP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20578194" w14:textId="747DE9BE"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Por </w:t>
      </w:r>
      <w:r w:rsidRPr="009D7050">
        <w:rPr>
          <w:rFonts w:ascii="Palatino Linotype" w:eastAsia="MS Mincho" w:hAnsi="Palatino Linotype" w:cs="Arial"/>
          <w:lang w:val="es-ES_tradnl"/>
        </w:rPr>
        <w:t>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ABF554E"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191DDDF3" w14:textId="77D5C3EF" w:rsidR="00D04057" w:rsidRDefault="00D04057"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Style w:val="normaltextrun"/>
          <w:rFonts w:ascii="Palatino Linotype" w:hAnsi="Palatino Linotype"/>
          <w:color w:val="000000" w:themeColor="text1"/>
        </w:rPr>
        <w:t xml:space="preserve">Corolario </w:t>
      </w:r>
      <w:r w:rsidRPr="009D7050">
        <w:rPr>
          <w:rFonts w:ascii="Palatino Linotype" w:eastAsia="MS Mincho" w:hAnsi="Palatino Linotype" w:cs="Arial"/>
          <w:lang w:val="es-ES_tradnl" w:eastAsia="es-MX"/>
        </w:rPr>
        <w:t xml:space="preserve">a lo anterior, el doctrinario Ernesto Villanueva </w:t>
      </w:r>
      <w:proofErr w:type="spellStart"/>
      <w:r w:rsidRPr="009D7050">
        <w:rPr>
          <w:rFonts w:ascii="Palatino Linotype" w:eastAsia="MS Mincho" w:hAnsi="Palatino Linotype" w:cs="Arial"/>
          <w:lang w:val="es-ES_tradnl" w:eastAsia="es-MX"/>
        </w:rPr>
        <w:t>Villanueva</w:t>
      </w:r>
      <w:proofErr w:type="spellEnd"/>
      <w:r w:rsidRPr="009D7050">
        <w:rPr>
          <w:rFonts w:ascii="Palatino Linotype" w:eastAsia="MS Mincho" w:hAnsi="Palatino Linotype" w:cs="Arial"/>
          <w:lang w:val="es-ES_tradnl" w:eastAsia="es-MX"/>
        </w:rPr>
        <w:t xml:space="preserve"> define al derecho de acceso a la información como:</w:t>
      </w:r>
    </w:p>
    <w:p w14:paraId="493877D6"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4E262D67" w14:textId="77777777" w:rsidR="00D04057" w:rsidRPr="00D04057" w:rsidRDefault="00D04057" w:rsidP="00D04057">
      <w:pPr>
        <w:spacing w:line="276" w:lineRule="auto"/>
        <w:ind w:left="567" w:right="567"/>
        <w:contextualSpacing/>
        <w:jc w:val="both"/>
        <w:rPr>
          <w:rFonts w:ascii="Palatino Linotype" w:eastAsia="MS Mincho" w:hAnsi="Palatino Linotype" w:cs="Arial"/>
          <w:i/>
          <w:sz w:val="22"/>
          <w:lang w:val="es-ES_tradnl" w:eastAsia="es-MX"/>
        </w:rPr>
      </w:pPr>
      <w:r w:rsidRPr="00D04057">
        <w:rPr>
          <w:rFonts w:ascii="Palatino Linotype" w:eastAsia="MS Mincho" w:hAnsi="Palatino Linotype" w:cs="Arial"/>
          <w:b/>
          <w:i/>
          <w:sz w:val="22"/>
          <w:lang w:val="es-ES_tradnl" w:eastAsia="es-MX"/>
        </w:rPr>
        <w:t>“</w:t>
      </w:r>
      <w:r w:rsidRPr="00D04057">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04057">
        <w:rPr>
          <w:rFonts w:ascii="Palatino Linotype" w:eastAsia="MS Mincho" w:hAnsi="Palatino Linotype" w:cs="Arial"/>
          <w:b/>
          <w:i/>
          <w:sz w:val="22"/>
          <w:lang w:val="es-ES_tradnl" w:eastAsia="es-MX"/>
        </w:rPr>
        <w:t>”</w:t>
      </w:r>
      <w:r w:rsidRPr="00D04057">
        <w:rPr>
          <w:rFonts w:ascii="Palatino Linotype" w:eastAsia="MS Mincho" w:hAnsi="Palatino Linotype" w:cs="Arial"/>
          <w:i/>
          <w:sz w:val="22"/>
          <w:vertAlign w:val="superscript"/>
          <w:lang w:val="es-ES_tradnl" w:eastAsia="es-MX"/>
        </w:rPr>
        <w:t xml:space="preserve"> </w:t>
      </w:r>
      <w:r w:rsidRPr="00D04057">
        <w:rPr>
          <w:rFonts w:ascii="Palatino Linotype" w:eastAsia="MS Mincho" w:hAnsi="Palatino Linotype" w:cs="Arial"/>
          <w:i/>
          <w:sz w:val="22"/>
          <w:lang w:val="es-ES_tradnl" w:eastAsia="es-MX"/>
        </w:rPr>
        <w:t>(</w:t>
      </w:r>
      <w:proofErr w:type="gramStart"/>
      <w:r w:rsidRPr="00D04057">
        <w:rPr>
          <w:rFonts w:ascii="Palatino Linotype" w:eastAsia="MS Mincho" w:hAnsi="Palatino Linotype" w:cs="Arial"/>
          <w:i/>
          <w:sz w:val="22"/>
          <w:lang w:val="es-ES_tradnl" w:eastAsia="es-MX"/>
        </w:rPr>
        <w:t>sic</w:t>
      </w:r>
      <w:proofErr w:type="gramEnd"/>
      <w:r w:rsidRPr="00D04057">
        <w:rPr>
          <w:rFonts w:ascii="Palatino Linotype" w:eastAsia="MS Mincho" w:hAnsi="Palatino Linotype" w:cs="Arial"/>
          <w:i/>
          <w:sz w:val="22"/>
          <w:lang w:val="es-ES_tradnl" w:eastAsia="es-MX"/>
        </w:rPr>
        <w:t xml:space="preserve">) </w:t>
      </w:r>
    </w:p>
    <w:p w14:paraId="1F71DF3C" w14:textId="77777777" w:rsidR="00D04057" w:rsidRDefault="00D04057" w:rsidP="00D04057">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74C5BC74" w14:textId="746ACC4D" w:rsidR="00D04057" w:rsidRPr="00D04057" w:rsidRDefault="00D04057" w:rsidP="00D040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Style w:val="normaltextrun"/>
          <w:rFonts w:ascii="Palatino Linotype" w:hAnsi="Palatino Linotype"/>
          <w:color w:val="000000" w:themeColor="text1"/>
        </w:rPr>
        <w:t xml:space="preserve">De </w:t>
      </w:r>
      <w:r w:rsidRPr="009D7050">
        <w:rPr>
          <w:rFonts w:ascii="Palatino Linotype" w:eastAsia="MS Mincho" w:hAnsi="Palatino Linotype" w:cs="Arial"/>
          <w:lang w:val="es-ES_tradnl"/>
        </w:rPr>
        <w:t xml:space="preserve">lo anterior, se puede concluir que la distinción entre el derecho de petición y el derecho de acceso a la información estriba principalmente en que en el primero de ellos, </w:t>
      </w:r>
      <w:r w:rsidRPr="009D7050">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9D7050">
        <w:rPr>
          <w:rFonts w:ascii="Palatino Linotype" w:eastAsia="MS Mincho" w:hAnsi="Palatino Linotype" w:cs="Arial"/>
          <w:bCs/>
          <w:lang w:val="es-ES_tradnl" w:eastAsia="es-CO"/>
        </w:rPr>
        <w:t xml:space="preserve">segundo supuesto </w:t>
      </w:r>
      <w:r w:rsidRPr="009D7050">
        <w:rPr>
          <w:rFonts w:ascii="Palatino Linotype" w:eastAsia="MS Mincho" w:hAnsi="Palatino Linotype" w:cs="Arial"/>
          <w:b/>
          <w:bCs/>
          <w:u w:val="single"/>
          <w:lang w:val="es-ES_tradnl" w:eastAsia="es-CO"/>
        </w:rPr>
        <w:t>la solicitud de acceso a la información pública se encamina primordialmente a</w:t>
      </w:r>
      <w:r w:rsidRPr="009D7050">
        <w:rPr>
          <w:rFonts w:ascii="Palatino Linotype" w:eastAsia="MS Mincho" w:hAnsi="Palatino Linotype" w:cs="Arial"/>
          <w:b/>
          <w:u w:val="single"/>
          <w:lang w:val="es-ES_tradnl"/>
        </w:rPr>
        <w:t xml:space="preserve"> permitir el </w:t>
      </w:r>
      <w:r w:rsidRPr="009D7050">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Pr>
          <w:rFonts w:ascii="Palatino Linotype" w:eastAsia="MS Mincho" w:hAnsi="Palatino Linotype" w:cs="Arial"/>
          <w:b/>
          <w:u w:val="single"/>
          <w:lang w:val="es-ES_tradnl"/>
        </w:rPr>
        <w:t>la autoridad</w:t>
      </w:r>
      <w:r>
        <w:rPr>
          <w:rFonts w:ascii="Palatino Linotype" w:eastAsia="MS Mincho" w:hAnsi="Palatino Linotype" w:cs="Arial"/>
          <w:lang w:val="es-ES_tradnl"/>
        </w:rPr>
        <w:t>.</w:t>
      </w:r>
    </w:p>
    <w:p w14:paraId="0D2EEFD1" w14:textId="77777777" w:rsidR="00D04057" w:rsidRPr="00D04057" w:rsidRDefault="00D04057" w:rsidP="00D04057">
      <w:pPr>
        <w:pStyle w:val="Prrafodelista"/>
        <w:tabs>
          <w:tab w:val="left" w:pos="426"/>
        </w:tabs>
        <w:spacing w:before="240" w:after="240" w:line="360" w:lineRule="auto"/>
        <w:ind w:left="0" w:right="51"/>
        <w:jc w:val="both"/>
        <w:rPr>
          <w:rFonts w:ascii="Palatino Linotype" w:hAnsi="Palatino Linotype"/>
          <w:color w:val="000000" w:themeColor="text1"/>
        </w:rPr>
      </w:pPr>
    </w:p>
    <w:p w14:paraId="08DBD443" w14:textId="4B1C997F" w:rsidR="00D04057" w:rsidRPr="00D04057" w:rsidRDefault="00D04057" w:rsidP="004C00C3">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Pr>
          <w:rFonts w:ascii="Palatino Linotype" w:eastAsia="MS Mincho" w:hAnsi="Palatino Linotype" w:cs="Arial"/>
          <w:lang w:val="es-ES_tradnl"/>
        </w:rPr>
        <w:lastRenderedPageBreak/>
        <w:t>Luego entonces,</w:t>
      </w:r>
      <w:r w:rsidR="004C00C3">
        <w:rPr>
          <w:rFonts w:ascii="Palatino Linotype" w:eastAsia="MS Mincho" w:hAnsi="Palatino Linotype" w:cs="Arial"/>
          <w:lang w:val="es-ES_tradnl"/>
        </w:rPr>
        <w:t xml:space="preserve"> por cuanto hace al requerimiento del particular consistente en </w:t>
      </w:r>
      <w:r w:rsidR="004C00C3">
        <w:rPr>
          <w:rFonts w:ascii="Palatino Linotype" w:eastAsia="MS Mincho" w:hAnsi="Palatino Linotype" w:cs="Arial"/>
          <w:i/>
          <w:lang w:val="es-ES_tradnl"/>
        </w:rPr>
        <w:t>“</w:t>
      </w:r>
      <w:r w:rsidR="004C00C3" w:rsidRPr="004C00C3">
        <w:rPr>
          <w:rFonts w:ascii="Palatino Linotype" w:eastAsia="MS Mincho" w:hAnsi="Palatino Linotype" w:cs="Arial"/>
          <w:i/>
          <w:lang w:val="es-ES_tradnl"/>
        </w:rPr>
        <w:t xml:space="preserve">Si existen los contratos por que no se ha realizado </w:t>
      </w:r>
      <w:proofErr w:type="spellStart"/>
      <w:r w:rsidR="004C00C3" w:rsidRPr="004C00C3">
        <w:rPr>
          <w:rFonts w:ascii="Palatino Linotype" w:eastAsia="MS Mincho" w:hAnsi="Palatino Linotype" w:cs="Arial"/>
          <w:i/>
          <w:lang w:val="es-ES_tradnl"/>
        </w:rPr>
        <w:t>ningun</w:t>
      </w:r>
      <w:proofErr w:type="spellEnd"/>
      <w:r w:rsidR="004C00C3" w:rsidRPr="004C00C3">
        <w:rPr>
          <w:rFonts w:ascii="Palatino Linotype" w:eastAsia="MS Mincho" w:hAnsi="Palatino Linotype" w:cs="Arial"/>
          <w:i/>
          <w:lang w:val="es-ES_tradnl"/>
        </w:rPr>
        <w:t xml:space="preserve"> pago durante los meses transcurridos</w:t>
      </w:r>
      <w:proofErr w:type="gramStart"/>
      <w:r w:rsidR="004C00C3" w:rsidRPr="004C00C3">
        <w:rPr>
          <w:rFonts w:ascii="Palatino Linotype" w:eastAsia="MS Mincho" w:hAnsi="Palatino Linotype" w:cs="Arial"/>
          <w:i/>
          <w:lang w:val="es-ES_tradnl"/>
        </w:rPr>
        <w:t>?</w:t>
      </w:r>
      <w:proofErr w:type="gramEnd"/>
      <w:r w:rsidR="004C00C3">
        <w:rPr>
          <w:rFonts w:ascii="Palatino Linotype" w:eastAsia="MS Mincho" w:hAnsi="Palatino Linotype" w:cs="Arial"/>
          <w:i/>
          <w:lang w:val="es-ES_tradnl"/>
        </w:rPr>
        <w:t>”</w:t>
      </w:r>
      <w:r>
        <w:rPr>
          <w:rFonts w:ascii="Palatino Linotype" w:eastAsia="MS Mincho" w:hAnsi="Palatino Linotype" w:cs="Arial"/>
          <w:lang w:val="es-ES_tradnl"/>
        </w:rPr>
        <w:t xml:space="preserve"> </w:t>
      </w:r>
      <w:r w:rsidR="004C00C3" w:rsidRPr="009D7050">
        <w:rPr>
          <w:rFonts w:ascii="Palatino Linotype" w:eastAsia="MS Mincho" w:hAnsi="Palatino Linotype" w:cs="Arial"/>
          <w:lang w:val="es-ES_tradnl"/>
        </w:rPr>
        <w:t xml:space="preserve">se desprende que no hay una solicitud expresa de obtener un documento específico o que requiera el acceso a información pública. Es decir, </w:t>
      </w:r>
      <w:r w:rsidR="004C00C3" w:rsidRPr="004C00C3">
        <w:rPr>
          <w:rFonts w:ascii="Palatino Linotype" w:eastAsia="MS Mincho" w:hAnsi="Palatino Linotype" w:cs="Arial"/>
          <w:lang w:val="es-ES_tradnl"/>
        </w:rPr>
        <w:t>el</w:t>
      </w:r>
      <w:r w:rsidR="004C00C3" w:rsidRPr="009D7050">
        <w:rPr>
          <w:rFonts w:ascii="Palatino Linotype" w:eastAsia="MS Mincho" w:hAnsi="Palatino Linotype" w:cs="Arial"/>
          <w:lang w:val="es-ES_tradnl"/>
        </w:rPr>
        <w:t xml:space="preserve"> </w:t>
      </w:r>
      <w:r w:rsidR="004C00C3" w:rsidRPr="009D7050">
        <w:rPr>
          <w:rFonts w:ascii="Palatino Linotype" w:eastAsia="MS Mincho" w:hAnsi="Palatino Linotype" w:cs="Arial"/>
          <w:b/>
          <w:lang w:val="es-ES_tradnl"/>
        </w:rPr>
        <w:t>RECURRENTE</w:t>
      </w:r>
      <w:r w:rsidR="004C00C3" w:rsidRPr="009D7050">
        <w:rPr>
          <w:rFonts w:ascii="Palatino Linotype" w:eastAsia="MS Mincho" w:hAnsi="Palatino Linotype" w:cs="Arial"/>
          <w:lang w:val="es-ES_tradnl"/>
        </w:rPr>
        <w:t xml:space="preserve"> desea una contestación a su petición, mediante un documento </w:t>
      </w:r>
      <w:r w:rsidR="004C00C3" w:rsidRPr="004C00C3">
        <w:rPr>
          <w:rFonts w:ascii="Palatino Linotype" w:eastAsia="MS Mincho" w:hAnsi="Palatino Linotype" w:cs="Arial"/>
          <w:i/>
          <w:lang w:val="es-ES_tradnl"/>
        </w:rPr>
        <w:t>ad hoc</w:t>
      </w:r>
      <w:r w:rsidR="004C00C3" w:rsidRPr="009D7050">
        <w:rPr>
          <w:rFonts w:ascii="Palatino Linotype" w:eastAsia="MS Mincho" w:hAnsi="Palatino Linotype" w:cs="Arial"/>
          <w:lang w:val="es-ES_tradnl"/>
        </w:rPr>
        <w:t xml:space="preserve"> para satisfacer su pretensión, aunado a que como quedó asentado previamente</w:t>
      </w:r>
      <w:r w:rsidR="004C00C3">
        <w:rPr>
          <w:rFonts w:ascii="Palatino Linotype" w:eastAsia="MS Mincho" w:hAnsi="Palatino Linotype" w:cs="Arial"/>
          <w:lang w:val="es-ES_tradnl"/>
        </w:rPr>
        <w:t>,</w:t>
      </w:r>
      <w:r w:rsidR="004C00C3" w:rsidRPr="009D7050">
        <w:rPr>
          <w:rFonts w:ascii="Palatino Linotype" w:eastAsia="MS Mincho" w:hAnsi="Palatino Linotype" w:cs="Arial"/>
          <w:lang w:val="es-ES_tradnl"/>
        </w:rPr>
        <w:t xml:space="preserve"> este Órgano Garante del derecho de acceso a la Información pública no se encuentra facultado para ordenar al </w:t>
      </w:r>
      <w:r w:rsidR="004C00C3" w:rsidRPr="009D7050">
        <w:rPr>
          <w:rFonts w:ascii="Palatino Linotype" w:eastAsia="MS Mincho" w:hAnsi="Palatino Linotype" w:cs="Arial"/>
          <w:b/>
          <w:lang w:val="es-ES_tradnl"/>
        </w:rPr>
        <w:t xml:space="preserve">SUJETO OBLIGADO </w:t>
      </w:r>
      <w:r w:rsidR="004C00C3" w:rsidRPr="009D7050">
        <w:rPr>
          <w:rFonts w:ascii="Palatino Linotype" w:eastAsia="MS Mincho" w:hAnsi="Palatino Linotype" w:cs="Arial"/>
          <w:lang w:val="es-ES_tradnl"/>
        </w:rPr>
        <w:t>a realizar acciones respecto de cuestionamientos a manera de petición.</w:t>
      </w:r>
    </w:p>
    <w:p w14:paraId="2B99DDB1" w14:textId="77777777" w:rsidR="00141DB5" w:rsidRPr="00141DB5" w:rsidRDefault="00141DB5" w:rsidP="00141DB5">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0F4490B3" w14:textId="6D8D373C" w:rsidR="00CD7E53" w:rsidRDefault="004C00C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Style w:val="normaltextrun"/>
          <w:rFonts w:ascii="Palatino Linotype" w:hAnsi="Palatino Linotype"/>
          <w:color w:val="000000"/>
          <w:shd w:val="clear" w:color="auto" w:fill="FFFFFF"/>
          <w:lang w:val="es-ES"/>
        </w:rPr>
        <w:t xml:space="preserve">Por su parte, en lo que respecta al requerimiento tercero, este Órgano Garante lo encuentra </w:t>
      </w:r>
      <w:r>
        <w:rPr>
          <w:rStyle w:val="normaltextrun"/>
          <w:rFonts w:ascii="Palatino Linotype" w:hAnsi="Palatino Linotype"/>
          <w:b/>
          <w:color w:val="000000"/>
          <w:shd w:val="clear" w:color="auto" w:fill="FFFFFF"/>
          <w:lang w:val="es-ES"/>
        </w:rPr>
        <w:t>colmado</w:t>
      </w:r>
      <w:r>
        <w:rPr>
          <w:rStyle w:val="normaltextrun"/>
          <w:rFonts w:ascii="Palatino Linotype" w:hAnsi="Palatino Linotype"/>
          <w:color w:val="000000"/>
          <w:shd w:val="clear" w:color="auto" w:fill="FFFFFF"/>
          <w:lang w:val="es-ES"/>
        </w:rPr>
        <w:t xml:space="preserve"> toda vez que el </w:t>
      </w:r>
      <w:r>
        <w:rPr>
          <w:rStyle w:val="normaltextrun"/>
          <w:rFonts w:ascii="Palatino Linotype" w:hAnsi="Palatino Linotype"/>
          <w:b/>
          <w:color w:val="000000"/>
          <w:shd w:val="clear" w:color="auto" w:fill="FFFFFF"/>
          <w:lang w:val="es-ES"/>
        </w:rPr>
        <w:t>Director de Administración</w:t>
      </w:r>
      <w:r>
        <w:rPr>
          <w:rStyle w:val="normaltextrun"/>
          <w:rFonts w:ascii="Palatino Linotype" w:hAnsi="Palatino Linotype"/>
          <w:color w:val="000000"/>
          <w:shd w:val="clear" w:color="auto" w:fill="FFFFFF"/>
          <w:lang w:val="es-ES"/>
        </w:rPr>
        <w:t xml:space="preserve"> hizo del conocimiento del </w:t>
      </w:r>
      <w:r>
        <w:rPr>
          <w:rStyle w:val="normaltextrun"/>
          <w:rFonts w:ascii="Palatino Linotype" w:hAnsi="Palatino Linotype"/>
          <w:b/>
          <w:color w:val="000000"/>
          <w:shd w:val="clear" w:color="auto" w:fill="FFFFFF"/>
          <w:lang w:val="es-ES"/>
        </w:rPr>
        <w:t>RECURRENTE</w:t>
      </w:r>
      <w:r>
        <w:rPr>
          <w:rStyle w:val="normaltextrun"/>
          <w:rFonts w:ascii="Palatino Linotype" w:hAnsi="Palatino Linotype"/>
          <w:color w:val="000000"/>
          <w:shd w:val="clear" w:color="auto" w:fill="FFFFFF"/>
          <w:lang w:val="es-ES"/>
        </w:rPr>
        <w:t xml:space="preserve"> que los contratos de arrendamiento solicitados sí existían; </w:t>
      </w:r>
      <w:r>
        <w:rPr>
          <w:rStyle w:val="normaltextrun"/>
          <w:rFonts w:ascii="Palatino Linotype" w:hAnsi="Palatino Linotype"/>
          <w:i/>
          <w:color w:val="000000"/>
          <w:shd w:val="clear" w:color="auto" w:fill="FFFFFF"/>
          <w:lang w:val="es-ES"/>
        </w:rPr>
        <w:t>ergo</w:t>
      </w:r>
      <w:r>
        <w:rPr>
          <w:rStyle w:val="normaltextrun"/>
          <w:rFonts w:ascii="Palatino Linotype" w:hAnsi="Palatino Linotype"/>
          <w:color w:val="000000"/>
          <w:shd w:val="clear" w:color="auto" w:fill="FFFFFF"/>
          <w:lang w:val="es-ES"/>
        </w:rPr>
        <w:t xml:space="preserve">, </w:t>
      </w:r>
      <w:r>
        <w:rPr>
          <w:rStyle w:val="normaltextrun"/>
          <w:rFonts w:ascii="Palatino Linotype" w:hAnsi="Palatino Linotype"/>
          <w:b/>
          <w:color w:val="000000"/>
          <w:shd w:val="clear" w:color="auto" w:fill="FFFFFF"/>
          <w:lang w:val="es-ES"/>
        </w:rPr>
        <w:t>los documentos que sustentan la ocupación legal de los inmuebles son, justamente, los contratos.</w:t>
      </w:r>
    </w:p>
    <w:p w14:paraId="425ECEAA" w14:textId="60891794" w:rsidR="00A53182"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5CDD75D2" w14:textId="3944B17B" w:rsidR="004C00C3" w:rsidRPr="004C00C3" w:rsidRDefault="004C00C3" w:rsidP="004C00C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 los alcances del derecho de acceso a la información pública.</w:t>
      </w:r>
    </w:p>
    <w:p w14:paraId="36FDF0BA" w14:textId="77777777" w:rsidR="004C00C3" w:rsidRDefault="004C00C3"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73167B91" w14:textId="77777777" w:rsidR="004C00C3" w:rsidRPr="002D11FC"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A </w:t>
      </w:r>
      <w:r>
        <w:rPr>
          <w:rFonts w:ascii="Palatino Linotype" w:eastAsia="Times New Roman" w:hAnsi="Palatino Linotype"/>
        </w:rPr>
        <w:t xml:space="preserve">efecto de </w:t>
      </w:r>
      <w:r w:rsidRPr="002D11FC">
        <w:rPr>
          <w:rFonts w:ascii="Palatino Linotype" w:eastAsia="Times New Roman" w:hAnsi="Palatino Linotype"/>
        </w:rPr>
        <w:t xml:space="preserve">entender los alcances de la información pública se considera importante citar el criterio </w:t>
      </w:r>
      <w:r w:rsidRPr="002D11FC">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D11FC">
        <w:rPr>
          <w:rFonts w:ascii="Palatino Linotype" w:eastAsia="Times New Roman" w:hAnsi="Palatino Linotype"/>
        </w:rPr>
        <w:t>cuyo rubro y texto dispone:</w:t>
      </w:r>
    </w:p>
    <w:p w14:paraId="408F61B6"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hAnsi="Palatino Linotype"/>
        </w:rPr>
      </w:pPr>
    </w:p>
    <w:p w14:paraId="57A45CA8" w14:textId="77777777" w:rsidR="004C00C3" w:rsidRPr="00DB7AB3" w:rsidRDefault="004C00C3" w:rsidP="004C00C3">
      <w:pPr>
        <w:autoSpaceDE w:val="0"/>
        <w:autoSpaceDN w:val="0"/>
        <w:adjustRightInd w:val="0"/>
        <w:spacing w:line="276" w:lineRule="auto"/>
        <w:ind w:left="567" w:right="567"/>
        <w:jc w:val="both"/>
        <w:rPr>
          <w:rFonts w:ascii="Palatino Linotype" w:hAnsi="Palatino Linotype" w:cs="Arial"/>
          <w:b/>
          <w:i/>
          <w:sz w:val="22"/>
          <w:szCs w:val="22"/>
          <w:lang w:eastAsia="es-MX"/>
        </w:rPr>
      </w:pPr>
      <w:r w:rsidRPr="00DB7AB3">
        <w:rPr>
          <w:rFonts w:ascii="Palatino Linotype" w:hAnsi="Palatino Linotype" w:cs="Arial"/>
          <w:b/>
          <w:i/>
          <w:sz w:val="22"/>
          <w:szCs w:val="22"/>
          <w:lang w:eastAsia="es-MX"/>
        </w:rPr>
        <w:t>“CRITERIO 0002-11</w:t>
      </w:r>
    </w:p>
    <w:p w14:paraId="57837531" w14:textId="77777777" w:rsidR="004C00C3" w:rsidRPr="00DB7AB3" w:rsidRDefault="004C00C3" w:rsidP="004C00C3">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B7AB3">
        <w:rPr>
          <w:rFonts w:ascii="Palatino Linotype" w:hAnsi="Palatino Linotype" w:cs="Arial"/>
          <w:b/>
          <w:bCs/>
          <w:i/>
          <w:sz w:val="22"/>
          <w:szCs w:val="22"/>
          <w:lang w:eastAsia="es-MX"/>
        </w:rPr>
        <w:t xml:space="preserve">V, XV, Y XVI, </w:t>
      </w:r>
      <w:r w:rsidRPr="00DB7AB3">
        <w:rPr>
          <w:rFonts w:ascii="Palatino Linotype" w:hAnsi="Palatino Linotype" w:cs="Arial"/>
          <w:b/>
          <w:i/>
          <w:sz w:val="22"/>
          <w:szCs w:val="22"/>
          <w:lang w:eastAsia="es-MX"/>
        </w:rPr>
        <w:t>3, 4,11 Y 41.</w:t>
      </w:r>
      <w:r w:rsidRPr="00DB7AB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33C2AC" w14:textId="77777777" w:rsidR="004C00C3" w:rsidRPr="00DB7AB3" w:rsidRDefault="004C00C3" w:rsidP="004C00C3">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En consecuencia el acceso a la información se refiere a que se cumplan cualquiera de los siguientes tres supuestos:</w:t>
      </w:r>
    </w:p>
    <w:p w14:paraId="01C03394" w14:textId="77777777" w:rsidR="004C00C3" w:rsidRPr="00DB7AB3" w:rsidRDefault="004C00C3" w:rsidP="004C00C3">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4587683E" w14:textId="77777777" w:rsidR="004C00C3" w:rsidRDefault="004C00C3" w:rsidP="004C00C3">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6B6E432" w14:textId="77777777" w:rsidR="004C00C3" w:rsidRDefault="004C00C3" w:rsidP="004C00C3">
      <w:pPr>
        <w:autoSpaceDE w:val="0"/>
        <w:autoSpaceDN w:val="0"/>
        <w:adjustRightInd w:val="0"/>
        <w:spacing w:line="276" w:lineRule="auto"/>
        <w:ind w:left="567" w:right="567"/>
        <w:jc w:val="both"/>
        <w:rPr>
          <w:rFonts w:ascii="Palatino Linotype" w:hAnsi="Palatino Linotype"/>
        </w:rPr>
      </w:pPr>
      <w:r w:rsidRPr="00DB7AB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15D428E"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hAnsi="Palatino Linotype"/>
        </w:rPr>
      </w:pPr>
    </w:p>
    <w:p w14:paraId="1D290102" w14:textId="51CF2D1B" w:rsidR="005E63BB" w:rsidRDefault="004C00C3"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El </w:t>
      </w:r>
      <w:r>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24923E05"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419812E9" w14:textId="77777777" w:rsidR="004C00C3" w:rsidRPr="006E74A1" w:rsidRDefault="004C00C3" w:rsidP="004C00C3">
      <w:pPr>
        <w:autoSpaceDE w:val="0"/>
        <w:autoSpaceDN w:val="0"/>
        <w:adjustRightInd w:val="0"/>
        <w:spacing w:line="276"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eastAsia="en-US"/>
        </w:rPr>
        <w:t xml:space="preserve">XI. Documento: </w:t>
      </w:r>
      <w:r w:rsidRPr="006E74A1">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eastAsia="en-US"/>
        </w:rPr>
        <w:t>cualquier otro registro</w:t>
      </w:r>
      <w:r w:rsidRPr="006E74A1">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ED2CA7"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3C152039"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hAnsi="Palatino Linotype"/>
          <w:color w:val="000000" w:themeColor="text1"/>
        </w:rPr>
        <w:t xml:space="preserve">Es </w:t>
      </w:r>
      <w:r>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1820AD8"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4E6B5AB"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EA5BE4">
        <w:rPr>
          <w:rFonts w:ascii="Palatino Linotype" w:eastAsia="MS Mincho" w:hAnsi="Palatino Linotype"/>
        </w:rPr>
        <w:t xml:space="preserve">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8"/>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D4399C"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5B3035E"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DB7AB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w:t>
      </w:r>
      <w:r w:rsidRPr="00DB7AB3">
        <w:rPr>
          <w:rFonts w:ascii="Palatino Linotype" w:eastAsia="MS Mincho" w:hAnsi="Palatino Linotype" w:cstheme="majorBidi"/>
        </w:rPr>
        <w:lastRenderedPageBreak/>
        <w:t xml:space="preserve">y Soberano de México y el artículo 18 de la Ley de Transparencia y Acceso a la Información Pública del Estado de México y Municipios, guardan una estrecha relación, puesto que los ordenamientos citados concurren refiriendo que </w:t>
      </w:r>
      <w:r w:rsidRPr="00DB7AB3">
        <w:rPr>
          <w:rFonts w:ascii="Palatino Linotype" w:eastAsia="MS Mincho" w:hAnsi="Palatino Linotype" w:cstheme="majorBidi"/>
          <w:b/>
        </w:rPr>
        <w:t>los Sujetos Obligados deberán documentar todo acto que se derive del ejercicio de sus facultades, competencias o funciones,</w:t>
      </w:r>
      <w:r w:rsidRPr="00DB7AB3">
        <w:rPr>
          <w:rFonts w:ascii="Palatino Linotype" w:eastAsia="MS Mincho" w:hAnsi="Palatino Linotype" w:cstheme="majorBidi"/>
        </w:rPr>
        <w:t xml:space="preserve"> considerando desde su origen la eventual publicidad y reutilización de la información que generen, posean o administren.</w:t>
      </w:r>
    </w:p>
    <w:p w14:paraId="5F9503FD"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2C6EEC1"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Además, </w:t>
      </w:r>
      <w:r w:rsidRPr="00EA5BE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54C246E4"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C267E82" w14:textId="77777777" w:rsidR="004C00C3" w:rsidRPr="006E74A1" w:rsidRDefault="004C00C3" w:rsidP="004C00C3">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4. </w:t>
      </w:r>
      <w:r w:rsidRPr="006E74A1">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2BD0075C" w14:textId="77777777" w:rsidR="004C00C3" w:rsidRPr="006E74A1" w:rsidRDefault="004C00C3" w:rsidP="004C00C3">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B72EDC" w14:textId="77777777" w:rsidR="004C00C3" w:rsidRPr="006E74A1" w:rsidRDefault="004C00C3" w:rsidP="004C00C3">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1C8D90FB" w14:textId="77777777" w:rsidR="004C00C3" w:rsidRPr="006E74A1" w:rsidRDefault="004C00C3" w:rsidP="004C00C3">
      <w:pPr>
        <w:autoSpaceDE w:val="0"/>
        <w:autoSpaceDN w:val="0"/>
        <w:adjustRightInd w:val="0"/>
        <w:spacing w:line="276" w:lineRule="auto"/>
        <w:ind w:right="567"/>
        <w:jc w:val="both"/>
        <w:rPr>
          <w:rFonts w:ascii="Palatino Linotype" w:eastAsia="Times New Roman" w:hAnsi="Palatino Linotype" w:cs="Arial"/>
          <w:i/>
          <w:color w:val="000000"/>
          <w:sz w:val="28"/>
        </w:rPr>
      </w:pPr>
    </w:p>
    <w:p w14:paraId="7DFFA59A" w14:textId="77777777" w:rsidR="004C00C3" w:rsidRDefault="004C00C3" w:rsidP="004C00C3">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12. </w:t>
      </w:r>
      <w:r w:rsidRPr="006E74A1">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5380FC88" w14:textId="77777777" w:rsidR="004C00C3" w:rsidRDefault="004C00C3" w:rsidP="004C00C3">
      <w:pPr>
        <w:autoSpaceDE w:val="0"/>
        <w:autoSpaceDN w:val="0"/>
        <w:adjustRightInd w:val="0"/>
        <w:spacing w:line="276" w:lineRule="auto"/>
        <w:ind w:left="567" w:right="567"/>
        <w:jc w:val="both"/>
        <w:rPr>
          <w:rFonts w:ascii="Palatino Linotype" w:eastAsia="MS Gothic" w:hAnsi="Palatino Linotype" w:cs="Times New Roman"/>
          <w:szCs w:val="26"/>
        </w:rPr>
      </w:pPr>
      <w:r w:rsidRPr="006E74A1">
        <w:rPr>
          <w:rFonts w:ascii="Palatino Linotype" w:hAnsi="Palatino Linotype" w:cs="Bookman Old Style"/>
          <w:i/>
          <w:sz w:val="22"/>
          <w:szCs w:val="20"/>
        </w:rPr>
        <w:lastRenderedPageBreak/>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rPr>
        <w:t>La obligación de proporcionar información no comprende el procesamiento de la misma, ni el presentarla conforme al interés del solicitante; no estarán obligados a generarla, resumirla, efectuar cálculos o practicar investigaciones.</w:t>
      </w:r>
    </w:p>
    <w:p w14:paraId="1664C35A"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2A71449"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Es </w:t>
      </w:r>
      <w:r w:rsidRPr="006E74A1">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9"/>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EC1FE06"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33B0D4A" w14:textId="77777777" w:rsidR="004C00C3" w:rsidRDefault="004C00C3" w:rsidP="004C00C3">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Robustece </w:t>
      </w:r>
      <w:r w:rsidRPr="00EA5BE4">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B7992F2"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2071732" w14:textId="77777777" w:rsidR="004C00C3" w:rsidRDefault="004C00C3" w:rsidP="004C00C3">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w:t>
      </w:r>
      <w:r>
        <w:rPr>
          <w:rFonts w:ascii="Palatino Linotype" w:hAnsi="Palatino Linotype"/>
          <w:i/>
          <w:sz w:val="22"/>
        </w:rPr>
        <w:t>“</w:t>
      </w:r>
      <w:r w:rsidRPr="006E74A1">
        <w:rPr>
          <w:rFonts w:ascii="Palatino Linotype" w:hAnsi="Palatino Linotype"/>
          <w:i/>
          <w:sz w:val="22"/>
        </w:rPr>
        <w:t xml:space="preserve">Del artículo 6o. de la Constitución Política de los Estados Unidos Mexicanos se advierte que el Estado Mexicano está constreñido a publicitar sus actos, pues se reconoce </w:t>
      </w:r>
      <w:r w:rsidRPr="006E74A1">
        <w:rPr>
          <w:rFonts w:ascii="Palatino Linotype" w:hAnsi="Palatino Linotype"/>
          <w:i/>
          <w:sz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sz w:val="22"/>
        </w:rPr>
        <w:t>erarla con una calidad diversa.”</w:t>
      </w:r>
    </w:p>
    <w:p w14:paraId="7511BC5B" w14:textId="77777777" w:rsidR="004C00C3" w:rsidRDefault="004C00C3" w:rsidP="004C00C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14DE860" w14:textId="4473F2DC" w:rsidR="004C00C3" w:rsidRDefault="004C00C3"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Gothic" w:hAnsi="Palatino Linotype" w:cs="Times New Roman"/>
          <w:szCs w:val="26"/>
        </w:rPr>
        <w:t xml:space="preserve">Tal </w:t>
      </w:r>
      <w:r>
        <w:rPr>
          <w:rFonts w:ascii="Palatino Linotype" w:hAnsi="Palatino Linotype"/>
          <w:lang w:val="es-ES"/>
        </w:rPr>
        <w:t xml:space="preserve">y como se ha señalado </w:t>
      </w:r>
      <w:r w:rsidRPr="004C00C3">
        <w:rPr>
          <w:rFonts w:ascii="Palatino Linotype" w:hAnsi="Palatino Linotype"/>
          <w:b/>
          <w:lang w:val="es-ES"/>
        </w:rPr>
        <w:t>el derecho de acceso a la información se basa en permitir que la ciudadanía conozca de primera mano toda aquella información que se encuentra en posesión de los Sujetos Obligados</w:t>
      </w:r>
      <w:r>
        <w:rPr>
          <w:rFonts w:ascii="Palatino Linotype" w:hAnsi="Palatino Linotype"/>
          <w:lang w:val="es-ES"/>
        </w:rPr>
        <w:t>, ya sea porque la genera, posee o administra, toda vez que, a través de dicha acción permite que las personas ejerzan un medio de control sobre las acciones que se están ejerciendo y evaluar su desempeño.</w:t>
      </w:r>
    </w:p>
    <w:p w14:paraId="6AF3FE8F"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66EE47B7" w14:textId="467A4CB4" w:rsidR="004C00C3" w:rsidRPr="00A53182" w:rsidRDefault="004C00C3" w:rsidP="004C00C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 De la competencia del SUJETO OBLIGADO para poseer, generar y administrar la información solicitada.</w:t>
      </w:r>
    </w:p>
    <w:p w14:paraId="2B7948E5"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787D4135" w14:textId="3EBBD0F9" w:rsidR="00031C50" w:rsidRPr="00EB4200" w:rsidRDefault="004C00C3"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lastRenderedPageBreak/>
        <w:t>E</w:t>
      </w:r>
      <w:r w:rsidR="00031C50" w:rsidRPr="00EB4200">
        <w:rPr>
          <w:rFonts w:ascii="Palatino Linotype" w:hAnsi="Palatino Linotype"/>
          <w:color w:val="000000" w:themeColor="text1"/>
          <w:highlight w:val="yellow"/>
        </w:rPr>
        <w:t xml:space="preserve">n un principio, no debe perderse de vista que la naturaleza de la información solicitada se reconoce como parte de las </w:t>
      </w:r>
      <w:r w:rsidR="00031C50" w:rsidRPr="00EB4200">
        <w:rPr>
          <w:rFonts w:ascii="Palatino Linotype" w:hAnsi="Palatino Linotype"/>
          <w:b/>
          <w:bCs/>
          <w:color w:val="000000" w:themeColor="text1"/>
          <w:highlight w:val="yellow"/>
        </w:rPr>
        <w:t>obligaciones de transparencia común</w:t>
      </w:r>
      <w:r w:rsidR="00031C50" w:rsidRPr="00EB4200">
        <w:rPr>
          <w:rFonts w:ascii="Palatino Linotype" w:hAnsi="Palatino Linotype"/>
          <w:color w:val="000000" w:themeColor="text1"/>
          <w:highlight w:val="yellow"/>
        </w:rPr>
        <w:t xml:space="preserve"> que el </w:t>
      </w:r>
      <w:r w:rsidR="00031C50" w:rsidRPr="00EB4200">
        <w:rPr>
          <w:rFonts w:ascii="Palatino Linotype" w:hAnsi="Palatino Linotype"/>
          <w:b/>
          <w:bCs/>
          <w:color w:val="000000" w:themeColor="text1"/>
          <w:highlight w:val="yellow"/>
        </w:rPr>
        <w:t>SUJETO OBLIGADO</w:t>
      </w:r>
      <w:r w:rsidR="00031C50" w:rsidRPr="00EB4200">
        <w:rPr>
          <w:rFonts w:ascii="Palatino Linotype" w:hAnsi="Palatino Linotype"/>
          <w:color w:val="000000" w:themeColor="text1"/>
          <w:highlight w:val="yellow"/>
        </w:rPr>
        <w:t xml:space="preserve"> se encuentra constreñido a publicar y difundir, de manera permanente, a la ciudadanía en general. Ello de conformidad con lo establecido por el </w:t>
      </w:r>
      <w:proofErr w:type="spellStart"/>
      <w:r w:rsidR="00031C50" w:rsidRPr="00EB4200">
        <w:rPr>
          <w:rFonts w:ascii="Palatino Linotype" w:hAnsi="Palatino Linotype"/>
          <w:color w:val="000000" w:themeColor="text1"/>
          <w:highlight w:val="yellow"/>
        </w:rPr>
        <w:t>articulo</w:t>
      </w:r>
      <w:proofErr w:type="spellEnd"/>
      <w:r w:rsidR="00031C50" w:rsidRPr="00EB4200">
        <w:rPr>
          <w:rFonts w:ascii="Palatino Linotype" w:hAnsi="Palatino Linotype"/>
          <w:color w:val="000000" w:themeColor="text1"/>
          <w:highlight w:val="yellow"/>
        </w:rPr>
        <w:t xml:space="preserve"> 92 de la Ley de Transparencia y Acceso a la Información Pública del Estado de México y </w:t>
      </w:r>
      <w:proofErr w:type="spellStart"/>
      <w:r w:rsidR="00031C50" w:rsidRPr="00EB4200">
        <w:rPr>
          <w:rFonts w:ascii="Palatino Linotype" w:hAnsi="Palatino Linotype"/>
          <w:color w:val="000000" w:themeColor="text1"/>
          <w:highlight w:val="yellow"/>
        </w:rPr>
        <w:t>Municpios</w:t>
      </w:r>
      <w:proofErr w:type="spellEnd"/>
      <w:r w:rsidR="00031C50" w:rsidRPr="00EB4200">
        <w:rPr>
          <w:rFonts w:ascii="Palatino Linotype" w:hAnsi="Palatino Linotype"/>
          <w:color w:val="000000" w:themeColor="text1"/>
          <w:highlight w:val="yellow"/>
        </w:rPr>
        <w:t xml:space="preserve">, cuya fracción </w:t>
      </w:r>
      <w:r w:rsidR="00FF19AF" w:rsidRPr="00EB4200">
        <w:rPr>
          <w:rFonts w:ascii="Palatino Linotype" w:hAnsi="Palatino Linotype"/>
          <w:color w:val="000000" w:themeColor="text1"/>
          <w:highlight w:val="yellow"/>
        </w:rPr>
        <w:t>XXXII, establece lo siguiente:</w:t>
      </w:r>
    </w:p>
    <w:p w14:paraId="17873B75"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0643A1ED" w14:textId="02E42C08" w:rsidR="00FF19AF" w:rsidRPr="00EB4200" w:rsidRDefault="00FF19AF" w:rsidP="00FF19A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r w:rsidRPr="00EB4200">
        <w:rPr>
          <w:rFonts w:ascii="Palatino Linotype" w:hAnsi="Palatino Linotype"/>
          <w:b/>
          <w:bCs/>
          <w:i/>
          <w:iCs/>
          <w:color w:val="000000" w:themeColor="text1"/>
          <w:sz w:val="22"/>
          <w:szCs w:val="22"/>
          <w:highlight w:val="yellow"/>
        </w:rPr>
        <w:t xml:space="preserve">Artículo 92. </w:t>
      </w:r>
      <w:r w:rsidRPr="00EB4200">
        <w:rPr>
          <w:rFonts w:ascii="Palatino Linotype" w:hAnsi="Palatino Linotype"/>
          <w:i/>
          <w:iCs/>
          <w:color w:val="000000" w:themeColor="text1"/>
          <w:sz w:val="22"/>
          <w:szCs w:val="22"/>
          <w:highlight w:val="yellow"/>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83BC51" w14:textId="07FF1AC5" w:rsidR="00FF19AF" w:rsidRPr="00EB4200" w:rsidRDefault="00FF19AF" w:rsidP="00FF19A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p>
    <w:p w14:paraId="40EB5B95" w14:textId="2B975FF7" w:rsidR="00FF19AF" w:rsidRPr="00EB4200" w:rsidRDefault="000C2E72" w:rsidP="00FF19A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XXXII.</w:t>
      </w:r>
      <w:r w:rsidRPr="00EB4200">
        <w:rPr>
          <w:rFonts w:ascii="Palatino Linotype" w:hAnsi="Palatino Linotype"/>
          <w:i/>
          <w:iCs/>
          <w:color w:val="000000" w:themeColor="text1"/>
          <w:sz w:val="22"/>
          <w:szCs w:val="22"/>
          <w:highlight w:val="yellow"/>
        </w:rPr>
        <w:t xml:space="preserve"> Las concesiones, </w:t>
      </w:r>
      <w:r w:rsidRPr="00EB4200">
        <w:rPr>
          <w:rFonts w:ascii="Palatino Linotype" w:hAnsi="Palatino Linotype"/>
          <w:b/>
          <w:bCs/>
          <w:i/>
          <w:iCs/>
          <w:color w:val="000000" w:themeColor="text1"/>
          <w:sz w:val="22"/>
          <w:szCs w:val="22"/>
          <w:highlight w:val="yellow"/>
        </w:rPr>
        <w:t>contratos</w:t>
      </w:r>
      <w:r w:rsidRPr="00EB4200">
        <w:rPr>
          <w:rFonts w:ascii="Palatino Linotype" w:hAnsi="Palatino Linotype"/>
          <w:i/>
          <w:iCs/>
          <w:color w:val="000000" w:themeColor="text1"/>
          <w:sz w:val="22"/>
          <w:szCs w:val="22"/>
          <w:highlight w:val="yellow"/>
        </w:rPr>
        <w:t xml:space="preserve">, </w:t>
      </w:r>
      <w:r w:rsidRPr="00EB4200">
        <w:rPr>
          <w:rFonts w:ascii="Palatino Linotype" w:hAnsi="Palatino Linotype"/>
          <w:b/>
          <w:bCs/>
          <w:i/>
          <w:iCs/>
          <w:color w:val="000000" w:themeColor="text1"/>
          <w:sz w:val="22"/>
          <w:szCs w:val="22"/>
          <w:highlight w:val="yellow"/>
        </w:rPr>
        <w:t>convenios</w:t>
      </w:r>
      <w:r w:rsidRPr="00EB4200">
        <w:rPr>
          <w:rFonts w:ascii="Palatino Linotype" w:hAnsi="Palatino Linotype"/>
          <w:i/>
          <w:iCs/>
          <w:color w:val="000000" w:themeColor="text1"/>
          <w:sz w:val="22"/>
          <w:szCs w:val="22"/>
          <w:highlight w:val="yellow"/>
        </w:rPr>
        <w:t xml:space="preserve">, permisos, licencias o autorizaciones otorgados, </w:t>
      </w:r>
      <w:r w:rsidRPr="00EB4200">
        <w:rPr>
          <w:rFonts w:ascii="Palatino Linotype" w:hAnsi="Palatino Linotype"/>
          <w:b/>
          <w:bCs/>
          <w:i/>
          <w:iCs/>
          <w:color w:val="000000" w:themeColor="text1"/>
          <w:sz w:val="22"/>
          <w:szCs w:val="22"/>
          <w:highlight w:val="yellow"/>
        </w:rPr>
        <w:t>especificando los titulares de aquéllos, debiendo publicarse su objeto, nombre o razón social del titular, vigencia, tipo, términos, condiciones, monto y modificaciones</w:t>
      </w:r>
      <w:r w:rsidRPr="00EB4200">
        <w:rPr>
          <w:rFonts w:ascii="Palatino Linotype" w:hAnsi="Palatino Linotype"/>
          <w:i/>
          <w:iCs/>
          <w:color w:val="000000" w:themeColor="text1"/>
          <w:sz w:val="22"/>
          <w:szCs w:val="22"/>
          <w:highlight w:val="yellow"/>
        </w:rPr>
        <w:t>, así como si el procedimiento involucra el aprovechamiento de bienes, servicios y/o recursos públicos;</w:t>
      </w:r>
    </w:p>
    <w:p w14:paraId="5008431C" w14:textId="18111AE3" w:rsidR="00FF19AF" w:rsidRPr="00EB4200" w:rsidRDefault="00FF19AF" w:rsidP="00FF19A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p>
    <w:p w14:paraId="20197059" w14:textId="65A8999E" w:rsidR="000C2E72" w:rsidRPr="00EB4200" w:rsidRDefault="000C2E72" w:rsidP="00FF19AF">
      <w:pPr>
        <w:pStyle w:val="Prrafodelista"/>
        <w:tabs>
          <w:tab w:val="left" w:pos="426"/>
        </w:tabs>
        <w:spacing w:before="240" w:after="240" w:line="276" w:lineRule="auto"/>
        <w:ind w:left="567" w:right="567"/>
        <w:jc w:val="both"/>
        <w:rPr>
          <w:rFonts w:ascii="Palatino Linotype" w:hAnsi="Palatino Linotype"/>
          <w:color w:val="000000" w:themeColor="text1"/>
          <w:sz w:val="22"/>
          <w:szCs w:val="22"/>
          <w:highlight w:val="yellow"/>
        </w:rPr>
      </w:pPr>
      <w:r w:rsidRPr="00EB4200">
        <w:rPr>
          <w:rFonts w:ascii="Palatino Linotype" w:hAnsi="Palatino Linotype"/>
          <w:color w:val="000000" w:themeColor="text1"/>
          <w:sz w:val="22"/>
          <w:szCs w:val="22"/>
          <w:highlight w:val="yellow"/>
        </w:rPr>
        <w:t>(Énfasis añadido)</w:t>
      </w:r>
    </w:p>
    <w:p w14:paraId="1C73B551" w14:textId="77777777" w:rsidR="00FF19AF" w:rsidRPr="00EB4200" w:rsidRDefault="00FF19AF"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3F541A73" w14:textId="6C544C3F" w:rsidR="00031C50" w:rsidRPr="00EB4200" w:rsidRDefault="008C2273"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 xml:space="preserve">En concordancia con lo anterior, la Ley General de Transparencia y Acceso a la Información Pública, </w:t>
      </w:r>
      <w:r w:rsidR="00FC5720" w:rsidRPr="00EB4200">
        <w:rPr>
          <w:rFonts w:ascii="Palatino Linotype" w:hAnsi="Palatino Linotype"/>
          <w:color w:val="000000" w:themeColor="text1"/>
          <w:highlight w:val="yellow"/>
        </w:rPr>
        <w:t xml:space="preserve">en su artículo 70, fracción </w:t>
      </w:r>
    </w:p>
    <w:p w14:paraId="4672B371"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40FEEE81" w14:textId="445F5115" w:rsidR="00FC5720" w:rsidRPr="00EB4200" w:rsidRDefault="00FC5720" w:rsidP="00FC572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r w:rsidR="009600AA" w:rsidRPr="00EB4200">
        <w:rPr>
          <w:rFonts w:ascii="Palatino Linotype" w:hAnsi="Palatino Linotype"/>
          <w:i/>
          <w:iCs/>
          <w:color w:val="000000" w:themeColor="text1"/>
          <w:sz w:val="22"/>
          <w:szCs w:val="22"/>
          <w:highlight w:val="yellow"/>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D606DEB" w14:textId="6FEAB5F4" w:rsidR="00031C50" w:rsidRPr="00EB4200" w:rsidRDefault="009600AA" w:rsidP="009600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p>
    <w:p w14:paraId="09FBD745" w14:textId="512FAFCB" w:rsidR="009600AA" w:rsidRPr="00EB4200" w:rsidRDefault="00666F96" w:rsidP="009600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lastRenderedPageBreak/>
        <w:t>XXVII.</w:t>
      </w:r>
      <w:r w:rsidRPr="00EB4200">
        <w:rPr>
          <w:rFonts w:ascii="Palatino Linotype" w:hAnsi="Palatino Linotype"/>
          <w:i/>
          <w:iCs/>
          <w:color w:val="000000" w:themeColor="text1"/>
          <w:sz w:val="22"/>
          <w:szCs w:val="22"/>
          <w:highlight w:val="yellow"/>
        </w:rPr>
        <w:t xml:space="preserve"> Las concesiones, </w:t>
      </w:r>
      <w:r w:rsidRPr="00EB4200">
        <w:rPr>
          <w:rFonts w:ascii="Palatino Linotype" w:hAnsi="Palatino Linotype"/>
          <w:b/>
          <w:bCs/>
          <w:i/>
          <w:iCs/>
          <w:color w:val="000000" w:themeColor="text1"/>
          <w:sz w:val="22"/>
          <w:szCs w:val="22"/>
          <w:highlight w:val="yellow"/>
        </w:rPr>
        <w:t>contratos</w:t>
      </w:r>
      <w:r w:rsidRPr="00EB4200">
        <w:rPr>
          <w:rFonts w:ascii="Palatino Linotype" w:hAnsi="Palatino Linotype"/>
          <w:i/>
          <w:iCs/>
          <w:color w:val="000000" w:themeColor="text1"/>
          <w:sz w:val="22"/>
          <w:szCs w:val="22"/>
          <w:highlight w:val="yellow"/>
        </w:rPr>
        <w:t xml:space="preserve">, </w:t>
      </w:r>
      <w:r w:rsidRPr="00EB4200">
        <w:rPr>
          <w:rFonts w:ascii="Palatino Linotype" w:hAnsi="Palatino Linotype"/>
          <w:b/>
          <w:bCs/>
          <w:i/>
          <w:iCs/>
          <w:color w:val="000000" w:themeColor="text1"/>
          <w:sz w:val="22"/>
          <w:szCs w:val="22"/>
          <w:highlight w:val="yellow"/>
        </w:rPr>
        <w:t>convenios</w:t>
      </w:r>
      <w:r w:rsidRPr="00EB4200">
        <w:rPr>
          <w:rFonts w:ascii="Palatino Linotype" w:hAnsi="Palatino Linotype"/>
          <w:i/>
          <w:iCs/>
          <w:color w:val="000000" w:themeColor="text1"/>
          <w:sz w:val="22"/>
          <w:szCs w:val="22"/>
          <w:highlight w:val="yellow"/>
        </w:rPr>
        <w:t xml:space="preserve">, permisos, licencias o autorizaciones otorgados, </w:t>
      </w:r>
      <w:r w:rsidRPr="00EB4200">
        <w:rPr>
          <w:rFonts w:ascii="Palatino Linotype" w:hAnsi="Palatino Linotype"/>
          <w:b/>
          <w:bCs/>
          <w:i/>
          <w:iCs/>
          <w:color w:val="000000" w:themeColor="text1"/>
          <w:sz w:val="22"/>
          <w:szCs w:val="22"/>
          <w:highlight w:val="yellow"/>
        </w:rPr>
        <w:t>especificando los titulares de aquéllos, debiendo publicarse su objeto, nombre o razón social del titular, vigencia, tipo, términos, condiciones, monto y modificaciones</w:t>
      </w:r>
      <w:r w:rsidRPr="00EB4200">
        <w:rPr>
          <w:rFonts w:ascii="Palatino Linotype" w:hAnsi="Palatino Linotype"/>
          <w:i/>
          <w:iCs/>
          <w:color w:val="000000" w:themeColor="text1"/>
          <w:sz w:val="22"/>
          <w:szCs w:val="22"/>
          <w:highlight w:val="yellow"/>
        </w:rPr>
        <w:t>, así como si el procedimiento involucra el aprovechamiento de bienes, servicios y/o recursos públicos;</w:t>
      </w:r>
    </w:p>
    <w:p w14:paraId="0CC3680A" w14:textId="73768E77" w:rsidR="009600AA" w:rsidRPr="00EB4200" w:rsidRDefault="009600AA" w:rsidP="009600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p>
    <w:p w14:paraId="6A929FD2" w14:textId="1F31F274" w:rsidR="00666F96" w:rsidRPr="00EB4200" w:rsidRDefault="00666F96" w:rsidP="009600AA">
      <w:pPr>
        <w:pStyle w:val="Prrafodelista"/>
        <w:tabs>
          <w:tab w:val="left" w:pos="426"/>
        </w:tabs>
        <w:spacing w:before="240" w:after="240" w:line="276" w:lineRule="auto"/>
        <w:ind w:left="567" w:right="567"/>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(Énfasis añadido)</w:t>
      </w:r>
    </w:p>
    <w:p w14:paraId="6CAF6672"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6D463623" w14:textId="11DBB953" w:rsidR="00031C50" w:rsidRPr="00EB4200" w:rsidRDefault="00BD759E"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 xml:space="preserve">Ahora bien, los </w:t>
      </w:r>
      <w:r w:rsidR="0001646F" w:rsidRPr="00EB4200">
        <w:rPr>
          <w:rFonts w:ascii="Palatino Linotype" w:hAnsi="Palatino Linotype"/>
          <w:i/>
          <w:iCs/>
          <w:color w:val="000000" w:themeColor="text1"/>
          <w:highlight w:val="yellow"/>
        </w:rPr>
        <w:t xml:space="preserve">Lineamientos Técnicos Generales para la Publicación, Homologación y Estandarización de la Información de las Obligaciones de Transparencia Establecidas en el Título Quinto y en la Fracción IV del Artículo 31 de la Ley General de Transparencia y Acceso a la Información Pública, que deben </w:t>
      </w:r>
      <w:proofErr w:type="spellStart"/>
      <w:r w:rsidR="0001646F" w:rsidRPr="00EB4200">
        <w:rPr>
          <w:rFonts w:ascii="Palatino Linotype" w:hAnsi="Palatino Linotype"/>
          <w:i/>
          <w:iCs/>
          <w:color w:val="000000" w:themeColor="text1"/>
          <w:highlight w:val="yellow"/>
        </w:rPr>
        <w:t>Difundor</w:t>
      </w:r>
      <w:proofErr w:type="spellEnd"/>
      <w:r w:rsidR="0001646F" w:rsidRPr="00EB4200">
        <w:rPr>
          <w:rFonts w:ascii="Palatino Linotype" w:hAnsi="Palatino Linotype"/>
          <w:i/>
          <w:iCs/>
          <w:color w:val="000000" w:themeColor="text1"/>
          <w:highlight w:val="yellow"/>
        </w:rPr>
        <w:t xml:space="preserve"> los Sujetos Obligados en los Portales de Internet y en la Plataforma Nacional de Transparencia</w:t>
      </w:r>
      <w:r w:rsidR="0001646F" w:rsidRPr="00EB4200">
        <w:rPr>
          <w:rFonts w:ascii="Palatino Linotype" w:hAnsi="Palatino Linotype"/>
          <w:color w:val="000000" w:themeColor="text1"/>
          <w:highlight w:val="yellow"/>
        </w:rPr>
        <w:t xml:space="preserve">, en su Lineamiento Primero, establecen que éstos son de </w:t>
      </w:r>
      <w:r w:rsidR="008455F2" w:rsidRPr="00EB4200">
        <w:rPr>
          <w:rFonts w:ascii="Palatino Linotype" w:hAnsi="Palatino Linotype"/>
          <w:color w:val="000000" w:themeColor="text1"/>
          <w:highlight w:val="yellow"/>
        </w:rPr>
        <w:t>observancia obligatoria para el Organismo Garante Nacional, los Organismos Garantes Estatales, y los Sujetos Obligados de todo el país en sus diferentes ámbitos (federal, estatal y municipal), y tienen como propósito definir los formatos que se usarán para publicar la información prescrita en el Título Quinto de la Ley General y asegurar que sea veraz, confiable, oportuna, congruente, integral, actualizada, accesible, comprensible y verificable.</w:t>
      </w:r>
    </w:p>
    <w:p w14:paraId="57275952"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18008E42" w14:textId="6AABC9C5" w:rsidR="00031C50" w:rsidRPr="00EB4200" w:rsidRDefault="00AE4292"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 xml:space="preserve">En lo que corresponde a la información que deberá publicarse en seguimiento a lo establecido por el artículo 70, fracción XXVII, de la Ley General, los Lineamientos establecen que </w:t>
      </w:r>
      <w:r w:rsidRPr="00EB4200">
        <w:rPr>
          <w:rFonts w:ascii="Palatino Linotype" w:hAnsi="Palatino Linotype"/>
          <w:b/>
          <w:bCs/>
          <w:color w:val="000000" w:themeColor="text1"/>
          <w:highlight w:val="yellow"/>
        </w:rPr>
        <w:t xml:space="preserve">los Sujetos Obligados </w:t>
      </w:r>
      <w:r w:rsidR="00A65841" w:rsidRPr="00EB4200">
        <w:rPr>
          <w:rFonts w:ascii="Palatino Linotype" w:hAnsi="Palatino Linotype"/>
          <w:b/>
          <w:bCs/>
          <w:color w:val="000000" w:themeColor="text1"/>
          <w:highlight w:val="yellow"/>
        </w:rPr>
        <w:t>publicarán información relativa a cualquier tipo de</w:t>
      </w:r>
      <w:r w:rsidR="00A65841" w:rsidRPr="00EB4200">
        <w:rPr>
          <w:rFonts w:ascii="Palatino Linotype" w:hAnsi="Palatino Linotype"/>
          <w:color w:val="000000" w:themeColor="text1"/>
          <w:highlight w:val="yellow"/>
        </w:rPr>
        <w:t xml:space="preserve"> concesión, </w:t>
      </w:r>
      <w:r w:rsidR="00A65841" w:rsidRPr="00EB4200">
        <w:rPr>
          <w:rFonts w:ascii="Palatino Linotype" w:hAnsi="Palatino Linotype"/>
          <w:b/>
          <w:bCs/>
          <w:color w:val="000000" w:themeColor="text1"/>
          <w:highlight w:val="yellow"/>
        </w:rPr>
        <w:t>contratos</w:t>
      </w:r>
      <w:r w:rsidR="00A65841" w:rsidRPr="00EB4200">
        <w:rPr>
          <w:rFonts w:ascii="Palatino Linotype" w:hAnsi="Palatino Linotype"/>
          <w:color w:val="000000" w:themeColor="text1"/>
          <w:highlight w:val="yellow"/>
        </w:rPr>
        <w:t xml:space="preserve">, </w:t>
      </w:r>
      <w:r w:rsidR="00A65841" w:rsidRPr="00EB4200">
        <w:rPr>
          <w:rFonts w:ascii="Palatino Linotype" w:hAnsi="Palatino Linotype"/>
          <w:b/>
          <w:bCs/>
          <w:color w:val="000000" w:themeColor="text1"/>
          <w:highlight w:val="yellow"/>
        </w:rPr>
        <w:t>convenios</w:t>
      </w:r>
      <w:r w:rsidR="00A65841" w:rsidRPr="00EB4200">
        <w:rPr>
          <w:rFonts w:ascii="Palatino Linotype" w:hAnsi="Palatino Linotype"/>
          <w:color w:val="000000" w:themeColor="text1"/>
          <w:highlight w:val="yellow"/>
        </w:rPr>
        <w:t xml:space="preserve">, permisos, licencias o autorizaciones </w:t>
      </w:r>
      <w:r w:rsidR="00A65841" w:rsidRPr="00EB4200">
        <w:rPr>
          <w:rFonts w:ascii="Palatino Linotype" w:hAnsi="Palatino Linotype"/>
          <w:b/>
          <w:bCs/>
          <w:color w:val="000000" w:themeColor="text1"/>
          <w:highlight w:val="yellow"/>
        </w:rPr>
        <w:t>otorgados</w:t>
      </w:r>
      <w:r w:rsidR="00A65841" w:rsidRPr="00EB4200">
        <w:rPr>
          <w:rFonts w:ascii="Palatino Linotype" w:hAnsi="Palatino Linotype"/>
          <w:color w:val="000000" w:themeColor="text1"/>
          <w:highlight w:val="yellow"/>
        </w:rPr>
        <w:t xml:space="preserve">, de acuerdo con sus atribuciones establecidas en la Constitución Política de los Estados Unidos Mexicanos y la constitución de cada </w:t>
      </w:r>
      <w:r w:rsidR="00A65841" w:rsidRPr="00EB4200">
        <w:rPr>
          <w:rFonts w:ascii="Palatino Linotype" w:hAnsi="Palatino Linotype"/>
          <w:color w:val="000000" w:themeColor="text1"/>
          <w:highlight w:val="yellow"/>
        </w:rPr>
        <w:lastRenderedPageBreak/>
        <w:t>entidad federativa, así como la respectiva ley orgánica de las administraciones públicas estatales y municipales.</w:t>
      </w:r>
    </w:p>
    <w:p w14:paraId="124E906D"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59F18C30" w14:textId="77777777" w:rsidR="00BA40B3" w:rsidRPr="00EB4200" w:rsidRDefault="00A65841"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 xml:space="preserve">La </w:t>
      </w:r>
      <w:r w:rsidR="00BA40B3" w:rsidRPr="00EB4200">
        <w:rPr>
          <w:rFonts w:ascii="Palatino Linotype" w:hAnsi="Palatino Linotype"/>
          <w:color w:val="000000" w:themeColor="text1"/>
          <w:highlight w:val="yellow"/>
        </w:rPr>
        <w:t xml:space="preserve">información se organizará por acto jurídico y respecto de cada uno se especificará su tipo. Por ejemplo: </w:t>
      </w:r>
    </w:p>
    <w:p w14:paraId="5774F71C" w14:textId="77777777" w:rsidR="00BA40B3"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Concesión</w:t>
      </w:r>
      <w:r w:rsidRPr="00EB4200">
        <w:rPr>
          <w:rFonts w:ascii="Palatino Linotype" w:hAnsi="Palatino Linotype"/>
          <w:color w:val="000000" w:themeColor="text1"/>
          <w:highlight w:val="yellow"/>
        </w:rPr>
        <w:t xml:space="preserve"> para ejecución y operación de obra pública; prestación de servicio público; radiodifusión; telecomunicaciones; etcétera. </w:t>
      </w:r>
    </w:p>
    <w:p w14:paraId="47EC7C1B" w14:textId="77777777" w:rsidR="00BA40B3"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Permiso</w:t>
      </w:r>
      <w:r w:rsidRPr="00EB4200">
        <w:rPr>
          <w:rFonts w:ascii="Palatino Linotype" w:hAnsi="Palatino Linotype"/>
          <w:color w:val="000000" w:themeColor="text1"/>
          <w:highlight w:val="yellow"/>
        </w:rPr>
        <w:t xml:space="preserve"> para el tratamiento y refinación del petróleo; para el almacenamiento, el transporte y la distribución por ductos de petróleo, gas, petrolíferos y petroquímicos; de radiodifusión, de telecomunicaciones; de conducir; etcétera. </w:t>
      </w:r>
    </w:p>
    <w:p w14:paraId="048C157C" w14:textId="77777777" w:rsidR="00BA40B3"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Licencia</w:t>
      </w:r>
      <w:r w:rsidRPr="00EB4200">
        <w:rPr>
          <w:rFonts w:ascii="Palatino Linotype" w:hAnsi="Palatino Linotype"/>
          <w:color w:val="000000" w:themeColor="text1"/>
          <w:highlight w:val="yellow"/>
        </w:rPr>
        <w:t xml:space="preserve"> de uso de suelo, de construcción, de anuncios, de conducir, de explotación de yacimientos de materiales pétreos, de exploración y extracción del petróleo, etcétera. </w:t>
      </w:r>
    </w:p>
    <w:p w14:paraId="40D42090" w14:textId="77777777" w:rsidR="00BA40B3"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Autorización</w:t>
      </w:r>
      <w:r w:rsidRPr="00EB4200">
        <w:rPr>
          <w:rFonts w:ascii="Palatino Linotype" w:hAnsi="Palatino Linotype"/>
          <w:color w:val="000000" w:themeColor="text1"/>
          <w:highlight w:val="yellow"/>
        </w:rPr>
        <w:t xml:space="preserve">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w:t>
      </w:r>
    </w:p>
    <w:p w14:paraId="72D119F6" w14:textId="0668136C" w:rsidR="00BA40B3"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Contrato</w:t>
      </w:r>
      <w:r w:rsidRPr="00EB4200">
        <w:rPr>
          <w:rFonts w:ascii="Palatino Linotype" w:hAnsi="Palatino Linotype"/>
          <w:color w:val="000000" w:themeColor="text1"/>
          <w:highlight w:val="yellow"/>
        </w:rPr>
        <w:t xml:space="preserve">. Aquellos celebrados por el </w:t>
      </w:r>
      <w:r w:rsidR="00140CEF" w:rsidRPr="00EB4200">
        <w:rPr>
          <w:rFonts w:ascii="Palatino Linotype" w:hAnsi="Palatino Linotype"/>
          <w:b/>
          <w:bCs/>
          <w:color w:val="000000" w:themeColor="text1"/>
          <w:highlight w:val="yellow"/>
        </w:rPr>
        <w:t>SUJETO OBLIGADO</w:t>
      </w:r>
      <w:r w:rsidRPr="00EB4200">
        <w:rPr>
          <w:rFonts w:ascii="Palatino Linotype" w:hAnsi="Palatino Linotype"/>
          <w:color w:val="000000" w:themeColor="text1"/>
          <w:highlight w:val="yellow"/>
        </w:rPr>
        <w:t xml:space="preserve"> y que se realicen con cargo total o parcial a recursos públicos de acuerdo con las leyes que le sean aplicables. </w:t>
      </w:r>
    </w:p>
    <w:p w14:paraId="4CFD3B52" w14:textId="24F1FF05" w:rsidR="00031C50" w:rsidRPr="00EB4200" w:rsidRDefault="00BA40B3" w:rsidP="00BA40B3">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highlight w:val="yellow"/>
        </w:rPr>
      </w:pPr>
      <w:r w:rsidRPr="00EB4200">
        <w:rPr>
          <w:rFonts w:ascii="Palatino Linotype" w:hAnsi="Palatino Linotype"/>
          <w:b/>
          <w:bCs/>
          <w:color w:val="000000" w:themeColor="text1"/>
          <w:highlight w:val="yellow"/>
        </w:rPr>
        <w:t>Convenio</w:t>
      </w:r>
      <w:r w:rsidRPr="00EB4200">
        <w:rPr>
          <w:rFonts w:ascii="Palatino Linotype" w:hAnsi="Palatino Linotype"/>
          <w:color w:val="000000" w:themeColor="text1"/>
          <w:highlight w:val="yellow"/>
        </w:rPr>
        <w:t>. Acuerdo que se firma para desarrollar un asunto concreto destinado a establecer, transferir, modificar o eliminar una obligación.</w:t>
      </w:r>
    </w:p>
    <w:p w14:paraId="1774B719"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4A49C2AB" w14:textId="5CB56E2C" w:rsidR="00031C50" w:rsidRPr="00EB4200" w:rsidRDefault="00033775"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 xml:space="preserve">La información sobre cada acto jurídico deberá publicarse a partir de la fecha en la que éste inició. En su caso, el </w:t>
      </w:r>
      <w:r w:rsidRPr="00EB4200">
        <w:rPr>
          <w:rFonts w:ascii="Palatino Linotype" w:hAnsi="Palatino Linotype"/>
          <w:b/>
          <w:bCs/>
          <w:color w:val="000000" w:themeColor="text1"/>
          <w:highlight w:val="yellow"/>
        </w:rPr>
        <w:t>SUJETO OBLIGADO</w:t>
      </w:r>
      <w:r w:rsidRPr="00EB4200">
        <w:rPr>
          <w:rFonts w:ascii="Palatino Linotype" w:hAnsi="Palatino Linotype"/>
          <w:color w:val="000000" w:themeColor="text1"/>
          <w:highlight w:val="yellow"/>
        </w:rPr>
        <w:t xml:space="preserve"> incluirá una nota fundamentada, motivada y actualizada al periodo que corresponda señalando que no se otorgó ni emitió determinado acto. Cabe señalar que en esta fracción no se publicarán los contratos y convenios ya incluidos en el artículo 70, fracción XXVIII (procedimientos de adjudicación directa, invitación restringida y licitación pública), así como aquellos convenios de coordinación y concentración ya incluidos en la fracción XXXIII (Los convenios de coordinación de concertación con los sectores social y privado).</w:t>
      </w:r>
    </w:p>
    <w:p w14:paraId="0BCFBA99" w14:textId="77777777" w:rsidR="003C0BEF" w:rsidRPr="00EB4200" w:rsidRDefault="003C0BEF" w:rsidP="003C0BEF">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7A2F2FBA" w14:textId="5BA622C2" w:rsidR="003C0BEF" w:rsidRPr="00EB4200" w:rsidRDefault="003C0BEF"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highlight w:val="yellow"/>
        </w:rPr>
      </w:pPr>
      <w:r w:rsidRPr="00EB4200">
        <w:rPr>
          <w:rFonts w:ascii="Palatino Linotype" w:hAnsi="Palatino Linotype"/>
          <w:color w:val="000000" w:themeColor="text1"/>
          <w:highlight w:val="yellow"/>
        </w:rPr>
        <w:t>Por cuanto hace a los Criterios Sustantivos de Contenido, los Lineamientos establecen que la información se deberá publicar conforme a lo que sigue:</w:t>
      </w:r>
    </w:p>
    <w:p w14:paraId="01E2C050" w14:textId="77777777" w:rsidR="00031C50" w:rsidRPr="00EB4200" w:rsidRDefault="00031C50" w:rsidP="00031C50">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530C2D04" w14:textId="77777777" w:rsidR="00B534C9" w:rsidRPr="00EB4200" w:rsidRDefault="003C0BEF"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w:t>
      </w:r>
      <w:r w:rsidR="00B534C9" w:rsidRPr="00EB4200">
        <w:rPr>
          <w:rFonts w:ascii="Palatino Linotype" w:hAnsi="Palatino Linotype"/>
          <w:b/>
          <w:bCs/>
          <w:i/>
          <w:iCs/>
          <w:color w:val="000000" w:themeColor="text1"/>
          <w:sz w:val="22"/>
          <w:szCs w:val="22"/>
          <w:highlight w:val="yellow"/>
        </w:rPr>
        <w:t>Criterio 1</w:t>
      </w:r>
      <w:r w:rsidR="00B534C9" w:rsidRPr="00EB4200">
        <w:rPr>
          <w:rFonts w:ascii="Palatino Linotype" w:hAnsi="Palatino Linotype"/>
          <w:i/>
          <w:iCs/>
          <w:color w:val="000000" w:themeColor="text1"/>
          <w:sz w:val="22"/>
          <w:szCs w:val="22"/>
          <w:highlight w:val="yellow"/>
        </w:rPr>
        <w:t xml:space="preserve"> Ejercicio </w:t>
      </w:r>
    </w:p>
    <w:p w14:paraId="31681B58"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2</w:t>
      </w:r>
      <w:r w:rsidRPr="00EB4200">
        <w:rPr>
          <w:rFonts w:ascii="Palatino Linotype" w:hAnsi="Palatino Linotype"/>
          <w:i/>
          <w:iCs/>
          <w:color w:val="000000" w:themeColor="text1"/>
          <w:sz w:val="22"/>
          <w:szCs w:val="22"/>
          <w:highlight w:val="yellow"/>
        </w:rPr>
        <w:t xml:space="preserve"> Periodo que se informa (fecha de inicio y fecha de término con el formato día/mes/año) </w:t>
      </w:r>
    </w:p>
    <w:p w14:paraId="1A840751" w14:textId="59327C72"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3</w:t>
      </w:r>
      <w:r w:rsidRPr="00EB4200">
        <w:rPr>
          <w:rFonts w:ascii="Palatino Linotype" w:hAnsi="Palatino Linotype"/>
          <w:i/>
          <w:iCs/>
          <w:color w:val="000000" w:themeColor="text1"/>
          <w:sz w:val="22"/>
          <w:szCs w:val="22"/>
          <w:highlight w:val="yellow"/>
        </w:rPr>
        <w:t xml:space="preserve"> Tipo de acto jurídico (catálogo): Concesión/Contrato/Convenio/Permiso/Licencia/Autorización/Asignación </w:t>
      </w:r>
    </w:p>
    <w:p w14:paraId="287A105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4</w:t>
      </w:r>
      <w:r w:rsidRPr="00EB4200">
        <w:rPr>
          <w:rFonts w:ascii="Palatino Linotype" w:hAnsi="Palatino Linotype"/>
          <w:i/>
          <w:iCs/>
          <w:color w:val="000000" w:themeColor="text1"/>
          <w:sz w:val="22"/>
          <w:szCs w:val="22"/>
          <w:highlight w:val="yellow"/>
        </w:rPr>
        <w:t xml:space="preserve"> Número de control interno asignado, en su caso, al contrato, convenio, concesión, permiso, licencia, autorización o asignación </w:t>
      </w:r>
    </w:p>
    <w:p w14:paraId="086947C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5</w:t>
      </w:r>
      <w:r w:rsidRPr="00EB4200">
        <w:rPr>
          <w:rFonts w:ascii="Palatino Linotype" w:hAnsi="Palatino Linotype"/>
          <w:i/>
          <w:iCs/>
          <w:color w:val="000000" w:themeColor="text1"/>
          <w:sz w:val="22"/>
          <w:szCs w:val="22"/>
          <w:highlight w:val="yellow"/>
        </w:rPr>
        <w:t xml:space="preserve"> Objeto (la finalidad con la que se realizó el acto jurídico) </w:t>
      </w:r>
    </w:p>
    <w:p w14:paraId="7F2A733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6</w:t>
      </w:r>
      <w:r w:rsidRPr="00EB4200">
        <w:rPr>
          <w:rFonts w:ascii="Palatino Linotype" w:hAnsi="Palatino Linotype"/>
          <w:i/>
          <w:iCs/>
          <w:color w:val="000000" w:themeColor="text1"/>
          <w:sz w:val="22"/>
          <w:szCs w:val="22"/>
          <w:highlight w:val="yellow"/>
        </w:rPr>
        <w:t xml:space="preserve"> Fundamento jurídico por el cual se llevó a cabo el acto jurídico </w:t>
      </w:r>
    </w:p>
    <w:p w14:paraId="7BBD936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7</w:t>
      </w:r>
      <w:r w:rsidRPr="00EB4200">
        <w:rPr>
          <w:rFonts w:ascii="Palatino Linotype" w:hAnsi="Palatino Linotype"/>
          <w:i/>
          <w:iCs/>
          <w:color w:val="000000" w:themeColor="text1"/>
          <w:sz w:val="22"/>
          <w:szCs w:val="22"/>
          <w:highlight w:val="yellow"/>
        </w:rPr>
        <w:t xml:space="preserve"> Unidad(es) o área(s) responsable(s) de instrumentación </w:t>
      </w:r>
    </w:p>
    <w:p w14:paraId="606D4B21"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8</w:t>
      </w:r>
      <w:r w:rsidRPr="00EB4200">
        <w:rPr>
          <w:rFonts w:ascii="Palatino Linotype" w:hAnsi="Palatino Linotype"/>
          <w:i/>
          <w:iCs/>
          <w:color w:val="000000" w:themeColor="text1"/>
          <w:sz w:val="22"/>
          <w:szCs w:val="22"/>
          <w:highlight w:val="yellow"/>
        </w:rPr>
        <w:t xml:space="preserve"> Sector al cual se otorgó el acto jurídico (catálogo): Público/Privado </w:t>
      </w:r>
    </w:p>
    <w:p w14:paraId="7013D74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9</w:t>
      </w:r>
      <w:r w:rsidRPr="00EB4200">
        <w:rPr>
          <w:rFonts w:ascii="Palatino Linotype" w:hAnsi="Palatino Linotype"/>
          <w:i/>
          <w:iCs/>
          <w:color w:val="000000" w:themeColor="text1"/>
          <w:sz w:val="22"/>
          <w:szCs w:val="22"/>
          <w:highlight w:val="yellow"/>
        </w:rPr>
        <w:t xml:space="preserve"> Nombre completo (nombre[s], primer apellido y segundo apellido) o razón social del titular al cual se otorgó el acto jurídico </w:t>
      </w:r>
    </w:p>
    <w:p w14:paraId="6B2E83F8"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10</w:t>
      </w:r>
      <w:r w:rsidRPr="00EB4200">
        <w:rPr>
          <w:rFonts w:ascii="Palatino Linotype" w:hAnsi="Palatino Linotype"/>
          <w:i/>
          <w:iCs/>
          <w:color w:val="000000" w:themeColor="text1"/>
          <w:sz w:val="22"/>
          <w:szCs w:val="22"/>
          <w:highlight w:val="yellow"/>
        </w:rPr>
        <w:t xml:space="preserve"> Fecha de inicio de vigencia del acto jurídico con en el formato día/mes/año </w:t>
      </w:r>
    </w:p>
    <w:p w14:paraId="2E8CF017" w14:textId="44361E20" w:rsidR="003C0BEF"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 xml:space="preserve">Criterio 11 </w:t>
      </w:r>
      <w:r w:rsidRPr="00EB4200">
        <w:rPr>
          <w:rFonts w:ascii="Palatino Linotype" w:hAnsi="Palatino Linotype"/>
          <w:i/>
          <w:iCs/>
          <w:color w:val="000000" w:themeColor="text1"/>
          <w:sz w:val="22"/>
          <w:szCs w:val="22"/>
          <w:highlight w:val="yellow"/>
        </w:rPr>
        <w:t>Fecha de término de vigencia del acto jurídico con en el formato día/mes/año</w:t>
      </w:r>
    </w:p>
    <w:p w14:paraId="279E8B65"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p>
    <w:p w14:paraId="738C9E9A"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12</w:t>
      </w:r>
      <w:r w:rsidRPr="00EB4200">
        <w:rPr>
          <w:rFonts w:ascii="Palatino Linotype" w:hAnsi="Palatino Linotype"/>
          <w:i/>
          <w:iCs/>
          <w:color w:val="000000" w:themeColor="text1"/>
          <w:sz w:val="22"/>
          <w:szCs w:val="22"/>
          <w:highlight w:val="yellow"/>
        </w:rPr>
        <w:t xml:space="preserve"> Cláusula, punto, artículo o fracción en el que se especifican los términos y condiciones del acto jurídico </w:t>
      </w:r>
    </w:p>
    <w:p w14:paraId="39F54670" w14:textId="4998D13A"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 xml:space="preserve">Criterio 13 Hipervínculo al contrato, convenio, permiso, licencia o concesión, donde se especifiquen los términos y condiciones, incluidos los anexos, en versión pública cuando así corresponda </w:t>
      </w:r>
    </w:p>
    <w:p w14:paraId="29EB2B76"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14</w:t>
      </w:r>
      <w:r w:rsidRPr="00EB4200">
        <w:rPr>
          <w:rFonts w:ascii="Palatino Linotype" w:hAnsi="Palatino Linotype"/>
          <w:i/>
          <w:iCs/>
          <w:color w:val="000000" w:themeColor="text1"/>
          <w:sz w:val="22"/>
          <w:szCs w:val="22"/>
          <w:highlight w:val="yellow"/>
        </w:rPr>
        <w:t xml:space="preserve"> Monto total o beneficio, servicio y/o recurso público aprovechado </w:t>
      </w:r>
    </w:p>
    <w:p w14:paraId="0C329AA8"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15</w:t>
      </w:r>
      <w:r w:rsidRPr="00EB4200">
        <w:rPr>
          <w:rFonts w:ascii="Palatino Linotype" w:hAnsi="Palatino Linotype"/>
          <w:i/>
          <w:iCs/>
          <w:color w:val="000000" w:themeColor="text1"/>
          <w:sz w:val="22"/>
          <w:szCs w:val="22"/>
          <w:highlight w:val="yellow"/>
        </w:rPr>
        <w:t xml:space="preserve"> Monto entregado, bien, servicio y/o recurso público aprovechado al periodo que se informa </w:t>
      </w:r>
    </w:p>
    <w:p w14:paraId="6A5C303E"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p>
    <w:p w14:paraId="166C4F20" w14:textId="0C63C3D3"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i/>
          <w:iCs/>
          <w:color w:val="000000" w:themeColor="text1"/>
          <w:sz w:val="22"/>
          <w:szCs w:val="22"/>
          <w:highlight w:val="yellow"/>
        </w:rPr>
        <w:t xml:space="preserve">En caso de que el sujeto obligado celebre contratos plurianuales deberá incluir: </w:t>
      </w:r>
    </w:p>
    <w:p w14:paraId="15A09483"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Criterio 16</w:t>
      </w:r>
      <w:r w:rsidRPr="00EB4200">
        <w:rPr>
          <w:rFonts w:ascii="Palatino Linotype" w:hAnsi="Palatino Linotype"/>
          <w:i/>
          <w:iCs/>
          <w:color w:val="000000" w:themeColor="text1"/>
          <w:sz w:val="22"/>
          <w:szCs w:val="22"/>
          <w:highlight w:val="yellow"/>
        </w:rPr>
        <w:t xml:space="preserve"> Hipervínculo al documento donde se desglose el gasto a precios del año tanto para el ejercicio fiscal correspondiente como para los subsecuentes </w:t>
      </w:r>
    </w:p>
    <w:p w14:paraId="364318AB"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 xml:space="preserve">Criterio 17 Hipervínculo al informe sobre el monto total erogado, que en su caso corresponda </w:t>
      </w:r>
    </w:p>
    <w:p w14:paraId="3881E7CF"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 xml:space="preserve">Criterio 18 Hipervínculo al contrato plurianual modificado, en su caso </w:t>
      </w:r>
    </w:p>
    <w:p w14:paraId="1A45E2F5" w14:textId="77777777" w:rsidR="00B534C9" w:rsidRPr="00EB4200" w:rsidRDefault="00B534C9" w:rsidP="003C0BE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highlight w:val="yellow"/>
        </w:rPr>
      </w:pPr>
      <w:r w:rsidRPr="00EB4200">
        <w:rPr>
          <w:rFonts w:ascii="Palatino Linotype" w:hAnsi="Palatino Linotype"/>
          <w:b/>
          <w:bCs/>
          <w:i/>
          <w:iCs/>
          <w:color w:val="000000" w:themeColor="text1"/>
          <w:sz w:val="22"/>
          <w:szCs w:val="22"/>
          <w:highlight w:val="yellow"/>
        </w:rPr>
        <w:t xml:space="preserve">Criterio 19 </w:t>
      </w:r>
      <w:r w:rsidRPr="00EB4200">
        <w:rPr>
          <w:rFonts w:ascii="Palatino Linotype" w:hAnsi="Palatino Linotype"/>
          <w:i/>
          <w:iCs/>
          <w:color w:val="000000" w:themeColor="text1"/>
          <w:sz w:val="22"/>
          <w:szCs w:val="22"/>
          <w:highlight w:val="yellow"/>
        </w:rPr>
        <w:t xml:space="preserve">Se realizaron convenios modificatorios (catálogo): Sí/No </w:t>
      </w:r>
    </w:p>
    <w:p w14:paraId="630837B3" w14:textId="6AA6C0F8" w:rsidR="00B534C9" w:rsidRDefault="00B534C9" w:rsidP="003C0BEF">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EB4200">
        <w:rPr>
          <w:rFonts w:ascii="Palatino Linotype" w:hAnsi="Palatino Linotype"/>
          <w:b/>
          <w:bCs/>
          <w:i/>
          <w:iCs/>
          <w:color w:val="000000" w:themeColor="text1"/>
          <w:sz w:val="22"/>
          <w:szCs w:val="22"/>
          <w:highlight w:val="yellow"/>
        </w:rPr>
        <w:t>Criterio 20 Hipervínculo al convenio modificatorio, si así corresponde”</w:t>
      </w:r>
    </w:p>
    <w:p w14:paraId="3FD87491" w14:textId="59A2D90D" w:rsidR="00EB4200" w:rsidRPr="000444BD" w:rsidRDefault="000444BD" w:rsidP="003C0BE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444BD">
        <w:rPr>
          <w:rFonts w:ascii="Palatino Linotype" w:hAnsi="Palatino Linotype"/>
          <w:color w:val="000000" w:themeColor="text1"/>
          <w:sz w:val="22"/>
          <w:szCs w:val="22"/>
          <w:highlight w:val="yellow"/>
        </w:rPr>
        <w:t>(Énfasis añadido)</w:t>
      </w:r>
    </w:p>
    <w:p w14:paraId="0082F0FE" w14:textId="77777777" w:rsidR="003C0BEF" w:rsidRDefault="003C0BEF" w:rsidP="00031C50">
      <w:pPr>
        <w:pStyle w:val="Prrafodelista"/>
        <w:tabs>
          <w:tab w:val="left" w:pos="426"/>
        </w:tabs>
        <w:spacing w:before="240" w:after="240" w:line="360" w:lineRule="auto"/>
        <w:ind w:left="0" w:right="51"/>
        <w:jc w:val="both"/>
        <w:rPr>
          <w:rFonts w:ascii="Palatino Linotype" w:hAnsi="Palatino Linotype"/>
          <w:color w:val="000000" w:themeColor="text1"/>
        </w:rPr>
      </w:pPr>
    </w:p>
    <w:p w14:paraId="48BFC33B" w14:textId="290665A2" w:rsidR="004C00C3" w:rsidRDefault="00ED6C48"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anterior, </w:t>
      </w:r>
      <w:r w:rsidR="00EB4200">
        <w:rPr>
          <w:rFonts w:ascii="Palatino Linotype" w:hAnsi="Palatino Linotype"/>
          <w:color w:val="000000" w:themeColor="text1"/>
        </w:rPr>
        <w:t>conviene señalar que el</w:t>
      </w:r>
      <w:r w:rsidR="004C00C3">
        <w:rPr>
          <w:rFonts w:ascii="Palatino Linotype" w:hAnsi="Palatino Linotype"/>
          <w:color w:val="000000" w:themeColor="text1"/>
        </w:rPr>
        <w:t xml:space="preserve"> artículo 115 de la Constitución Política de los Estados Unidos Mexicanos establece que </w:t>
      </w:r>
      <w:r w:rsidR="00C278EE" w:rsidRPr="00C278EE">
        <w:rPr>
          <w:rFonts w:ascii="Palatino Linotype" w:hAnsi="Palatino Linotype"/>
          <w:b/>
          <w:color w:val="000000" w:themeColor="text1"/>
        </w:rPr>
        <w:t>los municipios estarán investidos de personalidad jurídica y manejarán su patrimonio conforme a la ley</w:t>
      </w:r>
      <w:r w:rsidR="00C278EE">
        <w:rPr>
          <w:rFonts w:ascii="Palatino Linotype" w:hAnsi="Palatino Linotype"/>
          <w:color w:val="000000" w:themeColor="text1"/>
        </w:rPr>
        <w:t xml:space="preserve">; asimismo, </w:t>
      </w:r>
      <w:r w:rsidR="00C278EE" w:rsidRPr="00C278EE">
        <w:rPr>
          <w:rFonts w:ascii="Palatino Linotype" w:hAnsi="Palatino Linotype"/>
          <w:color w:val="000000" w:themeColor="text1"/>
        </w:rPr>
        <w:t>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D799489"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45B53F1B" w14:textId="2A9276A7" w:rsidR="004C00C3" w:rsidRDefault="00C278EE"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el Bando Municipal de Almoloya de Juárez, en su artículo 37 establece que para </w:t>
      </w:r>
      <w:r w:rsidRPr="00C278EE">
        <w:rPr>
          <w:rFonts w:ascii="Palatino Linotype" w:hAnsi="Palatino Linotype"/>
          <w:color w:val="000000" w:themeColor="text1"/>
        </w:rPr>
        <w:t>el ejercicio de sus atribuciones, tanto el Ayuntamiento como el Presidente Municipal se auxiliarán de las siguientes:</w:t>
      </w:r>
    </w:p>
    <w:p w14:paraId="2C44047E"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4EC09FC7" w14:textId="77777777" w:rsidR="00C278EE" w:rsidRDefault="00C278EE" w:rsidP="00C278E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C278EE">
        <w:rPr>
          <w:rFonts w:ascii="Palatino Linotype" w:hAnsi="Palatino Linotype"/>
          <w:b/>
          <w:i/>
          <w:color w:val="000000" w:themeColor="text1"/>
          <w:sz w:val="22"/>
        </w:rPr>
        <w:t>a) Unidades Administrativas</w:t>
      </w:r>
      <w:r w:rsidRPr="00C278EE">
        <w:rPr>
          <w:rFonts w:ascii="Palatino Linotype" w:hAnsi="Palatino Linotype"/>
          <w:i/>
          <w:color w:val="000000" w:themeColor="text1"/>
          <w:sz w:val="22"/>
        </w:rPr>
        <w:t xml:space="preserve"> </w:t>
      </w:r>
    </w:p>
    <w:p w14:paraId="2A68E9E8"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•Secretaría del Ayuntamiento </w:t>
      </w:r>
    </w:p>
    <w:p w14:paraId="20C075C5"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•Contraloría Municipal </w:t>
      </w:r>
    </w:p>
    <w:p w14:paraId="56C544C1"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•Tesorería Municipal </w:t>
      </w:r>
    </w:p>
    <w:p w14:paraId="2C285D86"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•Dirección Jurídica y Consultiva </w:t>
      </w:r>
    </w:p>
    <w:p w14:paraId="2FDA33A2"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•Coordinación General Municipal de Mejora Regulatoria </w:t>
      </w:r>
    </w:p>
    <w:p w14:paraId="31968063"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•Unidad de Información, Planeación, Programación y Evaluación </w:t>
      </w:r>
    </w:p>
    <w:p w14:paraId="1AF30E1D"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•Unidad de Transparencia</w:t>
      </w:r>
      <w:r>
        <w:rPr>
          <w:rFonts w:ascii="Palatino Linotype" w:hAnsi="Palatino Linotype"/>
          <w:i/>
          <w:color w:val="000000" w:themeColor="text1"/>
          <w:sz w:val="22"/>
        </w:rPr>
        <w:t xml:space="preserve"> </w:t>
      </w:r>
    </w:p>
    <w:p w14:paraId="08C76A00"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Obras Públicas </w:t>
      </w:r>
    </w:p>
    <w:p w14:paraId="0613D022"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Desarrollo Urbano </w:t>
      </w:r>
    </w:p>
    <w:p w14:paraId="2AAFE804"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Salud </w:t>
      </w:r>
    </w:p>
    <w:p w14:paraId="67FF0317"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Desarrollo Económico </w:t>
      </w:r>
    </w:p>
    <w:p w14:paraId="065BF3F5" w14:textId="77777777" w:rsidR="00C278EE" w:rsidRPr="00C278EE" w:rsidRDefault="00C278EE" w:rsidP="00C278EE">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C278EE">
        <w:rPr>
          <w:rFonts w:ascii="Palatino Linotype" w:hAnsi="Palatino Linotype"/>
          <w:b/>
          <w:i/>
          <w:color w:val="000000" w:themeColor="text1"/>
          <w:sz w:val="22"/>
        </w:rPr>
        <w:t xml:space="preserve">• Dirección de Administración </w:t>
      </w:r>
    </w:p>
    <w:p w14:paraId="0127F92F"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Medio Ambiente </w:t>
      </w:r>
    </w:p>
    <w:p w14:paraId="130CAAA3"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Educación </w:t>
      </w:r>
    </w:p>
    <w:p w14:paraId="225E095E"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Cultura y Turismo </w:t>
      </w:r>
    </w:p>
    <w:p w14:paraId="0EAB50BB"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Seguridad Ciudadana Municipal </w:t>
      </w:r>
    </w:p>
    <w:p w14:paraId="31D5DF7E"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Secretaría Técnica de Seguridad </w:t>
      </w:r>
    </w:p>
    <w:p w14:paraId="10337EC8"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Coordinación de Prevención del Delito </w:t>
      </w:r>
    </w:p>
    <w:p w14:paraId="1131AA20"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Desarrollo y Bienestar Social </w:t>
      </w:r>
    </w:p>
    <w:p w14:paraId="0AD487F7"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Gobernación </w:t>
      </w:r>
    </w:p>
    <w:p w14:paraId="7E36442A"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del Campo </w:t>
      </w:r>
    </w:p>
    <w:p w14:paraId="3317E35B"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Movilidad y Transporte </w:t>
      </w:r>
    </w:p>
    <w:p w14:paraId="7F4C8A33"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Servicios Públicos </w:t>
      </w:r>
    </w:p>
    <w:p w14:paraId="6E4276EF"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Dirección de la Pirotecnia </w:t>
      </w:r>
    </w:p>
    <w:p w14:paraId="67AC5642"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Secretaría Técnica </w:t>
      </w:r>
    </w:p>
    <w:p w14:paraId="1F4FE6D5" w14:textId="77777777" w:rsid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C278EE">
        <w:rPr>
          <w:rFonts w:ascii="Palatino Linotype" w:hAnsi="Palatino Linotype"/>
          <w:i/>
          <w:color w:val="000000" w:themeColor="text1"/>
          <w:sz w:val="22"/>
        </w:rPr>
        <w:t xml:space="preserve">• Secretario Particular </w:t>
      </w:r>
    </w:p>
    <w:p w14:paraId="2BB01BE5" w14:textId="49EB59FB" w:rsidR="00C278EE" w:rsidRPr="00C278EE" w:rsidRDefault="00C278EE" w:rsidP="00C278EE">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Jefe de la Ofici</w:t>
      </w:r>
      <w:r w:rsidRPr="00C278EE">
        <w:rPr>
          <w:rFonts w:ascii="Palatino Linotype" w:hAnsi="Palatino Linotype"/>
          <w:i/>
          <w:color w:val="000000" w:themeColor="text1"/>
          <w:sz w:val="22"/>
        </w:rPr>
        <w:t>na de Presidencia</w:t>
      </w:r>
      <w:r>
        <w:rPr>
          <w:rFonts w:ascii="Palatino Linotype" w:hAnsi="Palatino Linotype"/>
          <w:i/>
          <w:color w:val="000000" w:themeColor="text1"/>
          <w:sz w:val="22"/>
        </w:rPr>
        <w:t>”</w:t>
      </w:r>
    </w:p>
    <w:p w14:paraId="1E2AFB9B" w14:textId="77777777" w:rsidR="00C278EE" w:rsidRDefault="00C278EE"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1E9DBB61" w14:textId="3560CE9D" w:rsidR="004C00C3" w:rsidRDefault="00C278EE"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Dirección </w:t>
      </w:r>
      <w:r w:rsidRPr="00C278EE">
        <w:rPr>
          <w:rFonts w:ascii="Palatino Linotype" w:hAnsi="Palatino Linotype"/>
          <w:color w:val="000000" w:themeColor="text1"/>
        </w:rPr>
        <w:t>de Administración tiene por objeto proveer de los bienes y herramientas necesarias a las diferentes dependencias municipales para el cumplimiento de sus objetivos específicos, y el brindar los mecanismos para el control de flujo de recursos financieros</w:t>
      </w:r>
      <w:r>
        <w:rPr>
          <w:rStyle w:val="Refdenotaalpie"/>
          <w:rFonts w:ascii="Palatino Linotype" w:hAnsi="Palatino Linotype"/>
          <w:color w:val="000000" w:themeColor="text1"/>
        </w:rPr>
        <w:footnoteReference w:id="10"/>
      </w:r>
      <w:r w:rsidRPr="00C278EE">
        <w:rPr>
          <w:rFonts w:ascii="Palatino Linotype" w:hAnsi="Palatino Linotype"/>
          <w:color w:val="000000" w:themeColor="text1"/>
        </w:rPr>
        <w:t>.</w:t>
      </w:r>
    </w:p>
    <w:p w14:paraId="486D1C81"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76880EEA" w14:textId="72D2042F" w:rsidR="004C00C3" w:rsidRDefault="00C278EE" w:rsidP="004C00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lo establecido por el numeral 212 del Bando Municipal de Almoloya de Juárez, la Dirección de Administración tendrá entre sus atribuciones, las siguientes:</w:t>
      </w:r>
    </w:p>
    <w:p w14:paraId="0BFF1EFC" w14:textId="1D270113" w:rsidR="00C278EE" w:rsidRDefault="00C278EE" w:rsidP="00C278EE">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w:t>
      </w:r>
      <w:r w:rsidRPr="00C278EE">
        <w:rPr>
          <w:rFonts w:ascii="Palatino Linotype" w:hAnsi="Palatino Linotype"/>
          <w:color w:val="000000" w:themeColor="text1"/>
        </w:rPr>
        <w:t>r</w:t>
      </w:r>
      <w:r w:rsidRPr="00C278EE">
        <w:rPr>
          <w:rFonts w:ascii="Palatino Linotype" w:hAnsi="Palatino Linotype"/>
          <w:b/>
          <w:color w:val="000000" w:themeColor="text1"/>
        </w:rPr>
        <w:t xml:space="preserve">ganizar, coordinar y controlar las actividades referentes a </w:t>
      </w:r>
      <w:r w:rsidRPr="00C278EE">
        <w:rPr>
          <w:rFonts w:ascii="Palatino Linotype" w:hAnsi="Palatino Linotype"/>
          <w:color w:val="000000" w:themeColor="text1"/>
        </w:rPr>
        <w:t xml:space="preserve">adquisiciones, </w:t>
      </w:r>
      <w:r w:rsidRPr="00C278EE">
        <w:rPr>
          <w:rFonts w:ascii="Palatino Linotype" w:hAnsi="Palatino Linotype"/>
          <w:b/>
          <w:color w:val="000000" w:themeColor="text1"/>
        </w:rPr>
        <w:t>arrendamientos</w:t>
      </w:r>
      <w:r w:rsidRPr="00C278EE">
        <w:rPr>
          <w:rFonts w:ascii="Palatino Linotype" w:hAnsi="Palatino Linotype"/>
          <w:color w:val="000000" w:themeColor="text1"/>
        </w:rPr>
        <w:t xml:space="preserve"> y contratación de servicios requeridos por las Dependencias y Unidades Administrativas del Ayuntamiento; </w:t>
      </w:r>
      <w:r>
        <w:rPr>
          <w:rFonts w:ascii="Palatino Linotype" w:hAnsi="Palatino Linotype"/>
          <w:color w:val="000000" w:themeColor="text1"/>
        </w:rPr>
        <w:t>y</w:t>
      </w:r>
    </w:p>
    <w:p w14:paraId="15603837" w14:textId="2B9B3892" w:rsidR="00C278EE" w:rsidRDefault="00C278EE" w:rsidP="00C278EE">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C278EE">
        <w:rPr>
          <w:rFonts w:ascii="Palatino Linotype" w:hAnsi="Palatino Linotype"/>
          <w:b/>
          <w:color w:val="000000" w:themeColor="text1"/>
        </w:rPr>
        <w:t>Establecer los instrumentos que permitan llevar a cabo los procedimientos de</w:t>
      </w:r>
      <w:r w:rsidRPr="00C278EE">
        <w:rPr>
          <w:rFonts w:ascii="Palatino Linotype" w:hAnsi="Palatino Linotype"/>
          <w:color w:val="000000" w:themeColor="text1"/>
        </w:rPr>
        <w:t xml:space="preserve"> adquisiciones, </w:t>
      </w:r>
      <w:r w:rsidRPr="00C278EE">
        <w:rPr>
          <w:rFonts w:ascii="Palatino Linotype" w:hAnsi="Palatino Linotype"/>
          <w:b/>
          <w:color w:val="000000" w:themeColor="text1"/>
        </w:rPr>
        <w:t>arrendamientos</w:t>
      </w:r>
      <w:r>
        <w:rPr>
          <w:rFonts w:ascii="Palatino Linotype" w:hAnsi="Palatino Linotype"/>
          <w:color w:val="000000" w:themeColor="text1"/>
        </w:rPr>
        <w:t xml:space="preserve"> y contratación de servicios.</w:t>
      </w:r>
    </w:p>
    <w:p w14:paraId="1CEB6CB0" w14:textId="77777777" w:rsidR="004C00C3" w:rsidRDefault="004C00C3" w:rsidP="004C00C3">
      <w:pPr>
        <w:pStyle w:val="Prrafodelista"/>
        <w:tabs>
          <w:tab w:val="left" w:pos="426"/>
        </w:tabs>
        <w:spacing w:before="240" w:after="240" w:line="360" w:lineRule="auto"/>
        <w:ind w:left="0" w:right="51"/>
        <w:jc w:val="both"/>
        <w:rPr>
          <w:rFonts w:ascii="Palatino Linotype" w:hAnsi="Palatino Linotype"/>
          <w:color w:val="000000" w:themeColor="text1"/>
        </w:rPr>
      </w:pPr>
    </w:p>
    <w:p w14:paraId="3B9055A9" w14:textId="3445B8FB" w:rsidR="00C278EE" w:rsidRPr="000435A5"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No es ocioso referir que la </w:t>
      </w:r>
      <w:r w:rsidRPr="000435A5">
        <w:rPr>
          <w:rFonts w:ascii="Palatino Linotype" w:hAnsi="Palatino Linotype"/>
        </w:rPr>
        <w:t xml:space="preserve">Ley </w:t>
      </w:r>
      <w:r w:rsidRPr="00E33688">
        <w:rPr>
          <w:rFonts w:ascii="Palatino Linotype" w:hAnsi="Palatino Linotype"/>
        </w:rPr>
        <w:t xml:space="preserve">de Transparencia y Acceso a la Información Pública del Estado de México y </w:t>
      </w:r>
      <w:r w:rsidRPr="0088427A">
        <w:rPr>
          <w:rFonts w:ascii="Palatino Linotype" w:hAnsi="Palatino Linotype"/>
        </w:rPr>
        <w:t>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w:t>
      </w:r>
      <w:r w:rsidRPr="00E33688">
        <w:rPr>
          <w:rFonts w:ascii="Palatino Linotype" w:hAnsi="Palatino Linotype"/>
        </w:rPr>
        <w:t xml:space="preserve"> adecuada </w:t>
      </w:r>
      <w:r w:rsidRPr="00E33688">
        <w:rPr>
          <w:rFonts w:ascii="Palatino Linotype" w:hAnsi="Palatino Linotype"/>
        </w:rPr>
        <w:lastRenderedPageBreak/>
        <w:t>a las personas con discapacidad y a los hablantes de lengua</w:t>
      </w:r>
      <w:r w:rsidRPr="000435A5">
        <w:rPr>
          <w:rFonts w:ascii="Palatino Linotype" w:hAnsi="Palatino Linotype"/>
        </w:rPr>
        <w:t xml:space="preserve"> indígena con el objeto de otorgar la protección más amplia del derecho de las personas.</w:t>
      </w:r>
    </w:p>
    <w:p w14:paraId="2B3307CB" w14:textId="77777777" w:rsidR="00C278EE" w:rsidRPr="000435A5"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5FBEB097" w14:textId="77777777" w:rsidR="00C278EE" w:rsidRPr="000435A5"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11"/>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2"/>
      </w:r>
      <w:r w:rsidRPr="000435A5">
        <w:rPr>
          <w:rFonts w:ascii="Palatino Linotype" w:hAnsi="Palatino Linotype"/>
          <w:color w:val="000000" w:themeColor="text1"/>
        </w:rPr>
        <w:t>.</w:t>
      </w:r>
    </w:p>
    <w:p w14:paraId="31897363" w14:textId="77777777" w:rsidR="00C278EE" w:rsidRPr="000435A5"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011C7157" w14:textId="77777777" w:rsidR="00C278EE" w:rsidRPr="000435A5"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3B34B7F3" w14:textId="77777777" w:rsidR="00C278EE" w:rsidRPr="000435A5" w:rsidRDefault="00C278EE" w:rsidP="00C278EE">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7081B899" w14:textId="77777777" w:rsidR="00C278EE" w:rsidRPr="000435A5" w:rsidRDefault="00C278EE" w:rsidP="00C278EE">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B93AA49" w14:textId="77777777" w:rsidR="00C278EE" w:rsidRPr="000435A5" w:rsidRDefault="00C278EE" w:rsidP="00C278EE">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2AF89128" w14:textId="77777777" w:rsidR="00C278EE" w:rsidRPr="000435A5" w:rsidRDefault="00C278EE" w:rsidP="00C278EE">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1CE56ED2" w14:textId="77777777" w:rsidR="00C278EE" w:rsidRPr="000435A5"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28D9261D" w14:textId="77777777" w:rsidR="00C278EE" w:rsidRPr="000435A5"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13"/>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4"/>
      </w:r>
      <w:r w:rsidRPr="000435A5">
        <w:rPr>
          <w:rFonts w:ascii="Palatino Linotype" w:hAnsi="Palatino Linotype"/>
        </w:rPr>
        <w:t>:</w:t>
      </w:r>
    </w:p>
    <w:p w14:paraId="2D97E660" w14:textId="77777777" w:rsidR="00C278EE" w:rsidRPr="000435A5" w:rsidRDefault="00C278EE" w:rsidP="00C278EE">
      <w:pPr>
        <w:pStyle w:val="Prrafodelista"/>
        <w:numPr>
          <w:ilvl w:val="1"/>
          <w:numId w:val="4"/>
        </w:numPr>
        <w:tabs>
          <w:tab w:val="left" w:pos="426"/>
        </w:tabs>
        <w:spacing w:before="240" w:after="240" w:line="360" w:lineRule="auto"/>
        <w:ind w:left="1134" w:right="51"/>
        <w:jc w:val="both"/>
        <w:rPr>
          <w:rFonts w:ascii="Palatino Linotype" w:hAnsi="Palatino Linotype"/>
        </w:rPr>
      </w:pPr>
      <w:r w:rsidRPr="00C278EE">
        <w:rPr>
          <w:rFonts w:ascii="Palatino Linotype" w:hAnsi="Palatino Linotype"/>
          <w:b/>
        </w:rPr>
        <w:t>Localizar la información</w:t>
      </w:r>
      <w:r w:rsidRPr="000435A5">
        <w:rPr>
          <w:rFonts w:ascii="Palatino Linotype" w:hAnsi="Palatino Linotype"/>
        </w:rPr>
        <w:t xml:space="preserve"> que le solicite la Unidad de Transparencia; y</w:t>
      </w:r>
    </w:p>
    <w:p w14:paraId="376DC16C" w14:textId="77777777" w:rsidR="00C278EE" w:rsidRPr="000435A5" w:rsidRDefault="00C278EE" w:rsidP="00C278E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C278EE">
        <w:rPr>
          <w:rFonts w:ascii="Palatino Linotype" w:hAnsi="Palatino Linotype"/>
          <w:b/>
        </w:rPr>
        <w:t>Proporcionar la información</w:t>
      </w:r>
      <w:r w:rsidRPr="000435A5">
        <w:rPr>
          <w:rFonts w:ascii="Palatino Linotype" w:hAnsi="Palatino Linotype"/>
        </w:rPr>
        <w:t xml:space="preserve"> que obre en los archivos y que le sea solicitada por la Unidad de Transparencia.</w:t>
      </w:r>
    </w:p>
    <w:p w14:paraId="08A23031" w14:textId="77777777" w:rsidR="00C278EE" w:rsidRPr="000435A5"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511F871D" w14:textId="77777777" w:rsidR="00C278EE" w:rsidRPr="00C278EE"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tal </w:t>
      </w:r>
      <w:r w:rsidRPr="00EA49FC">
        <w:rPr>
          <w:rFonts w:ascii="Palatino Linotype" w:eastAsia="MS Mincho" w:hAnsi="Palatino Linotype" w:cs="Times New Roman"/>
          <w:color w:val="000000"/>
        </w:rPr>
        <w:t xml:space="preserve">manera que cada una de las áreas administrativas del </w:t>
      </w:r>
      <w:r w:rsidRPr="00EA49FC">
        <w:rPr>
          <w:rFonts w:ascii="Palatino Linotype" w:eastAsia="MS Mincho" w:hAnsi="Palatino Linotype" w:cs="Times New Roman"/>
          <w:b/>
          <w:bCs/>
          <w:color w:val="000000"/>
        </w:rPr>
        <w:t>SUJETO OBLIGADO</w:t>
      </w:r>
      <w:r w:rsidRPr="00EA49F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1D63193" w14:textId="77777777" w:rsidR="00C278EE" w:rsidRPr="000435A5"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7CD60B02" w14:textId="19B042C1" w:rsidR="00C278EE" w:rsidRDefault="00C278EE"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constancias que obran dentro del expediente digital formado en el SAIMEX, se advierte que el Director de Administración reconoció la existencia de los contratos de arrendamiento contenidos dentro del oficio número 131/2022; sin embargo, no entregó los instrumentos en razón de que, a su entendimiento, el </w:t>
      </w:r>
      <w:r>
        <w:rPr>
          <w:rFonts w:ascii="Palatino Linotype" w:hAnsi="Palatino Linotype"/>
          <w:b/>
          <w:color w:val="000000" w:themeColor="text1"/>
        </w:rPr>
        <w:t>RECURRENTE</w:t>
      </w:r>
      <w:r>
        <w:rPr>
          <w:rFonts w:ascii="Palatino Linotype" w:hAnsi="Palatino Linotype"/>
          <w:color w:val="000000" w:themeColor="text1"/>
        </w:rPr>
        <w:t xml:space="preserve"> estaba requiriendo la información en original.</w:t>
      </w:r>
    </w:p>
    <w:p w14:paraId="1EA983A9" w14:textId="77777777" w:rsidR="00C278EE"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46445C93" w14:textId="44F0F09E" w:rsidR="00C278EE" w:rsidRDefault="00C278EE"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Empero, de la lectura al contenido de la solicitud de información </w:t>
      </w:r>
      <w:r>
        <w:rPr>
          <w:rFonts w:ascii="Palatino Linotype" w:hAnsi="Palatino Linotype"/>
          <w:b/>
          <w:color w:val="000000" w:themeColor="text1"/>
        </w:rPr>
        <w:t>00336/ALMOJU/IP/2022</w:t>
      </w:r>
      <w:r>
        <w:rPr>
          <w:rFonts w:ascii="Palatino Linotype" w:hAnsi="Palatino Linotype"/>
          <w:color w:val="000000" w:themeColor="text1"/>
        </w:rPr>
        <w:t xml:space="preserve"> </w:t>
      </w:r>
      <w:r>
        <w:rPr>
          <w:rFonts w:ascii="Palatino Linotype" w:hAnsi="Palatino Linotype"/>
          <w:b/>
          <w:color w:val="000000" w:themeColor="text1"/>
        </w:rPr>
        <w:t>no se aprecia que el particular haya requerido el acceso a los documentos en formato original</w:t>
      </w:r>
      <w:r>
        <w:rPr>
          <w:rFonts w:ascii="Palatino Linotype" w:hAnsi="Palatino Linotype"/>
          <w:color w:val="000000" w:themeColor="text1"/>
        </w:rPr>
        <w:t xml:space="preserve">; por el contrario, en el apartado denominado </w:t>
      </w:r>
      <w:r>
        <w:rPr>
          <w:rFonts w:ascii="Palatino Linotype" w:hAnsi="Palatino Linotype"/>
          <w:i/>
          <w:color w:val="000000" w:themeColor="text1"/>
        </w:rPr>
        <w:t>Modalidad de Entrega</w:t>
      </w:r>
      <w:r>
        <w:rPr>
          <w:rFonts w:ascii="Palatino Linotype" w:hAnsi="Palatino Linotype"/>
          <w:color w:val="000000" w:themeColor="text1"/>
        </w:rPr>
        <w:t xml:space="preserve"> se observa que el entonces </w:t>
      </w:r>
      <w:r>
        <w:rPr>
          <w:rFonts w:ascii="Palatino Linotype" w:hAnsi="Palatino Linotype"/>
          <w:b/>
          <w:color w:val="000000" w:themeColor="text1"/>
        </w:rPr>
        <w:t>SOLICITANTE</w:t>
      </w:r>
      <w:r>
        <w:rPr>
          <w:rFonts w:ascii="Palatino Linotype" w:hAnsi="Palatino Linotype"/>
          <w:color w:val="000000" w:themeColor="text1"/>
        </w:rPr>
        <w:t xml:space="preserve"> requirió la información </w:t>
      </w:r>
      <w:r>
        <w:rPr>
          <w:rFonts w:ascii="Palatino Linotype" w:hAnsi="Palatino Linotype"/>
          <w:b/>
          <w:i/>
          <w:color w:val="000000" w:themeColor="text1"/>
        </w:rPr>
        <w:t>A través del SAIMEX</w:t>
      </w:r>
      <w:r>
        <w:rPr>
          <w:rFonts w:ascii="Palatino Linotype" w:hAnsi="Palatino Linotype"/>
          <w:color w:val="000000" w:themeColor="text1"/>
        </w:rPr>
        <w:t>. Se adjunta a continuación el fragmento de la solicitud donde puede corroborarse lo anterior:</w:t>
      </w:r>
    </w:p>
    <w:p w14:paraId="682C9FE4" w14:textId="77777777" w:rsidR="00C278EE"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6A4BB8E2" w14:textId="7C3D37F1" w:rsidR="00C278EE" w:rsidRDefault="00C278EE" w:rsidP="00C278EE">
      <w:pPr>
        <w:pStyle w:val="Prrafodelista"/>
        <w:tabs>
          <w:tab w:val="left" w:pos="426"/>
        </w:tabs>
        <w:spacing w:before="240" w:after="240" w:line="360" w:lineRule="auto"/>
        <w:ind w:left="0" w:right="51"/>
        <w:jc w:val="center"/>
        <w:rPr>
          <w:rFonts w:ascii="Palatino Linotype" w:hAnsi="Palatino Linotype"/>
          <w:color w:val="000000" w:themeColor="text1"/>
        </w:rPr>
      </w:pPr>
      <w:r w:rsidRPr="00C278EE">
        <w:rPr>
          <w:rFonts w:ascii="Palatino Linotype" w:hAnsi="Palatino Linotype"/>
          <w:noProof/>
          <w:color w:val="000000" w:themeColor="text1"/>
          <w:lang w:eastAsia="es-MX"/>
        </w:rPr>
        <w:drawing>
          <wp:inline distT="0" distB="0" distL="0" distR="0" wp14:anchorId="539816CE" wp14:editId="426794C1">
            <wp:extent cx="4765969" cy="1560615"/>
            <wp:effectExtent l="57150" t="57150" r="111125" b="1162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0409" cy="156534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00ADFC" w14:textId="77777777" w:rsidR="00C278EE"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1AC27978" w14:textId="6DE2A8DB" w:rsidR="00C278EE" w:rsidRPr="00C278EE" w:rsidRDefault="00C278EE" w:rsidP="00C2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este Organismo Garante concluye que el </w:t>
      </w:r>
      <w:r w:rsidRPr="00C278EE">
        <w:rPr>
          <w:rFonts w:ascii="Palatino Linotype" w:hAnsi="Palatino Linotype"/>
          <w:b/>
          <w:color w:val="000000" w:themeColor="text1"/>
        </w:rPr>
        <w:t xml:space="preserve">Director de Administración restringió de forma arbitraria el derecho de acceso a la información </w:t>
      </w:r>
      <w:r>
        <w:rPr>
          <w:rFonts w:ascii="Palatino Linotype" w:hAnsi="Palatino Linotype"/>
          <w:b/>
          <w:color w:val="000000" w:themeColor="text1"/>
        </w:rPr>
        <w:t xml:space="preserve"> ejercido por </w:t>
      </w:r>
      <w:r w:rsidRPr="00C278EE">
        <w:rPr>
          <w:rFonts w:ascii="Palatino Linotype" w:hAnsi="Palatino Linotype"/>
          <w:b/>
          <w:color w:val="000000" w:themeColor="text1"/>
        </w:rPr>
        <w:t>el particular</w:t>
      </w:r>
      <w:r w:rsidR="0025695A">
        <w:rPr>
          <w:rFonts w:ascii="Palatino Linotype" w:hAnsi="Palatino Linotype"/>
          <w:color w:val="000000" w:themeColor="text1"/>
        </w:rPr>
        <w:t>, al pretender justificar la negativa de entrega bajo el argumento de que éste deseaba acceder a los instrumentos originales.</w:t>
      </w:r>
    </w:p>
    <w:p w14:paraId="12FEE232" w14:textId="77777777" w:rsidR="00C278EE"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5CD0DB41" w14:textId="039F8DF8" w:rsidR="00C278EE" w:rsidRDefault="0025695A"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los contratos de arrendamiento solicitados </w:t>
      </w:r>
      <w:r>
        <w:rPr>
          <w:rFonts w:ascii="Palatino Linotype" w:hAnsi="Palatino Linotype"/>
          <w:b/>
          <w:color w:val="000000" w:themeColor="text1"/>
        </w:rPr>
        <w:t>en versión pública</w:t>
      </w:r>
      <w:r>
        <w:rPr>
          <w:rFonts w:ascii="Palatino Linotype" w:hAnsi="Palatino Linotype"/>
          <w:color w:val="000000" w:themeColor="text1"/>
        </w:rPr>
        <w:t>, a través de la modalidad originalmente elegida por el particular.</w:t>
      </w:r>
    </w:p>
    <w:p w14:paraId="3668A3BF" w14:textId="77777777" w:rsidR="00C278EE" w:rsidRDefault="00C278EE" w:rsidP="00C278EE">
      <w:pPr>
        <w:pStyle w:val="Prrafodelista"/>
        <w:tabs>
          <w:tab w:val="left" w:pos="426"/>
        </w:tabs>
        <w:spacing w:before="240" w:after="240" w:line="360" w:lineRule="auto"/>
        <w:ind w:left="0" w:right="51"/>
        <w:jc w:val="both"/>
        <w:rPr>
          <w:rFonts w:ascii="Palatino Linotype" w:hAnsi="Palatino Linotype"/>
          <w:color w:val="000000" w:themeColor="text1"/>
        </w:rPr>
      </w:pPr>
    </w:p>
    <w:p w14:paraId="5FCE5669" w14:textId="25D70E17" w:rsidR="005E63BB" w:rsidRPr="00D058BB" w:rsidRDefault="00C278EE"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w:t>
      </w:r>
      <w:r w:rsidR="005E63BB">
        <w:rPr>
          <w:rFonts w:ascii="Palatino Linotype" w:hAnsi="Palatino Linotype"/>
          <w:color w:val="000000" w:themeColor="text1"/>
        </w:rPr>
        <w:t xml:space="preserve">l respecto, no es ocioso recordar al </w:t>
      </w:r>
      <w:r w:rsidR="005E63BB">
        <w:rPr>
          <w:rFonts w:ascii="Palatino Linotype" w:hAnsi="Palatino Linotype"/>
          <w:b/>
          <w:color w:val="000000" w:themeColor="text1"/>
        </w:rPr>
        <w:t>SUJETO OBLIGADO</w:t>
      </w:r>
      <w:r w:rsidR="005E63BB">
        <w:rPr>
          <w:rFonts w:ascii="Palatino Linotype" w:hAnsi="Palatino Linotype"/>
          <w:color w:val="000000" w:themeColor="text1"/>
        </w:rPr>
        <w:t xml:space="preserve"> que la entrega del contrato solicitado deberá considerar todos y cada uno de sus anexos, ello de acuerdo con el Criterio de Interpretación 017/2017, publicado por el Instituto Nacional de Transparencia, Acceso a la Información y Protección de Datos Personales, cuyo rubro y texto establecen lo siguiente:</w:t>
      </w:r>
    </w:p>
    <w:p w14:paraId="07D5EC5F" w14:textId="77777777" w:rsidR="00CD7E53"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03098AFB" w14:textId="254D10BC" w:rsidR="005E63BB" w:rsidRPr="005E63BB" w:rsidRDefault="005E63BB" w:rsidP="005E63B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3BB">
        <w:rPr>
          <w:rFonts w:ascii="Palatino Linotype" w:hAnsi="Palatino Linotype"/>
          <w:b/>
          <w:i/>
          <w:color w:val="000000" w:themeColor="text1"/>
          <w:sz w:val="22"/>
        </w:rPr>
        <w:t>ANEXOS DE LOS DOCUMENTOS SOLICITADOS.</w:t>
      </w:r>
      <w:r w:rsidRPr="005E63BB">
        <w:rPr>
          <w:rFonts w:ascii="Palatino Linotype" w:hAnsi="Palatino Linotype"/>
          <w:i/>
          <w:color w:val="000000" w:themeColor="text1"/>
          <w:sz w:val="22"/>
        </w:rPr>
        <w:t xml:space="preserve"> </w:t>
      </w:r>
      <w:r>
        <w:rPr>
          <w:rFonts w:ascii="Palatino Linotype" w:hAnsi="Palatino Linotype"/>
          <w:i/>
          <w:color w:val="000000" w:themeColor="text1"/>
          <w:sz w:val="22"/>
        </w:rPr>
        <w:t>“</w:t>
      </w:r>
      <w:r w:rsidRPr="005E63BB">
        <w:rPr>
          <w:rFonts w:ascii="Palatino Linotype" w:hAnsi="Palatino Linotype"/>
          <w:i/>
          <w:color w:val="000000" w:themeColor="text1"/>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r>
        <w:rPr>
          <w:rFonts w:ascii="Palatino Linotype" w:hAnsi="Palatino Linotype"/>
          <w:i/>
          <w:color w:val="000000" w:themeColor="text1"/>
          <w:sz w:val="22"/>
        </w:rPr>
        <w:t>”</w:t>
      </w:r>
    </w:p>
    <w:p w14:paraId="20257D00" w14:textId="77777777" w:rsidR="005E63BB" w:rsidRDefault="005E63BB"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1887B3F9" w14:textId="77777777" w:rsidR="005E63BB" w:rsidRPr="00C0252F" w:rsidRDefault="005E63BB"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4B2863A4" w14:textId="77777777" w:rsidR="00454C2F" w:rsidRPr="00735A66" w:rsidRDefault="00454C2F" w:rsidP="00454C2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De la versión pública.</w:t>
      </w:r>
    </w:p>
    <w:p w14:paraId="3D7F9CFB" w14:textId="77777777" w:rsidR="00454C2F" w:rsidRDefault="00454C2F" w:rsidP="00454C2F">
      <w:pPr>
        <w:pStyle w:val="Prrafodelista"/>
        <w:tabs>
          <w:tab w:val="left" w:pos="426"/>
        </w:tabs>
        <w:spacing w:before="240" w:after="240" w:line="360" w:lineRule="auto"/>
        <w:ind w:left="0" w:right="51"/>
        <w:jc w:val="both"/>
        <w:rPr>
          <w:rFonts w:ascii="Palatino Linotype" w:hAnsi="Palatino Linotype"/>
          <w:color w:val="000000" w:themeColor="text1"/>
        </w:rPr>
      </w:pPr>
    </w:p>
    <w:p w14:paraId="1ED7A034" w14:textId="5F2BAF45" w:rsidR="00020F92" w:rsidRDefault="00454C2F"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3334CC">
        <w:rPr>
          <w:rFonts w:ascii="Palatino Linotype" w:hAnsi="Palatino Linotype"/>
          <w:color w:val="000000" w:themeColor="text1"/>
        </w:rPr>
        <w:t xml:space="preserve">ebe </w:t>
      </w:r>
      <w:r w:rsidR="00020F92" w:rsidRPr="00F01443">
        <w:rPr>
          <w:rFonts w:ascii="Palatino Linotype" w:hAnsi="Palatino Linotype"/>
          <w:color w:val="000000" w:themeColor="text1"/>
        </w:rPr>
        <w:t xml:space="preserve">destacarse que, debido a la naturaleza de la información </w:t>
      </w:r>
      <w:r w:rsidR="00020F92" w:rsidRPr="00BB6ADD">
        <w:rPr>
          <w:rFonts w:ascii="Palatino Linotype" w:hAnsi="Palatino Linotype"/>
          <w:bCs/>
          <w:color w:val="000000" w:themeColor="text1"/>
        </w:rPr>
        <w:t>solicitada</w:t>
      </w:r>
      <w:r w:rsidR="00020F92">
        <w:rPr>
          <w:rFonts w:ascii="Palatino Linotype" w:hAnsi="Palatino Linotype"/>
          <w:bCs/>
          <w:color w:val="000000" w:themeColor="text1"/>
        </w:rPr>
        <w:t xml:space="preserve">, </w:t>
      </w:r>
      <w:r w:rsidR="00020F92" w:rsidRPr="00BB6ADD">
        <w:rPr>
          <w:rFonts w:ascii="Palatino Linotype" w:hAnsi="Palatino Linotype"/>
          <w:bCs/>
          <w:color w:val="000000" w:themeColor="text1"/>
        </w:rPr>
        <w:t>eventualmente</w:t>
      </w:r>
      <w:r w:rsidR="00020F92"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129A449"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590639B"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62325E">
        <w:rPr>
          <w:rFonts w:ascii="Palatino Linotype" w:hAnsi="Palatino Linotype" w:cs="Arial"/>
          <w:color w:val="000000" w:themeColor="text1"/>
        </w:rPr>
        <w:lastRenderedPageBreak/>
        <w:t>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49F80A"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B130622" w14:textId="63BD8374" w:rsidR="003334CC"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37F710"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868E196" w14:textId="1C22E256" w:rsidR="00020F92" w:rsidRPr="00020F92"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6AA33FA2"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3DA8396"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62325E">
        <w:rPr>
          <w:rFonts w:ascii="Palatino Linotype" w:eastAsia="MS Mincho"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30F6F526"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D277C9D"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E4434A"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4DF0C6F" w14:textId="55F646D2"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0DDFFB"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407D76E" w14:textId="600A0B81" w:rsidR="00020F92" w:rsidRPr="00020F92"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1BE07B71"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CB31771"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970D43"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6E49A8F" w14:textId="77777777" w:rsidR="00020F92" w:rsidRPr="00FF335C"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B0A23E8" w14:textId="77777777" w:rsidR="00020F92"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4F1071D1" w14:textId="77777777" w:rsidR="00020F92" w:rsidRPr="00F0144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EB468D" w14:textId="77777777" w:rsidR="00020F92" w:rsidRPr="00F0144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FE7115" w14:textId="77777777" w:rsidR="00020F92" w:rsidRPr="00F0144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C44EEA6" w14:textId="77777777" w:rsidR="00020F92" w:rsidRPr="00F0144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B841CBD" w14:textId="77777777" w:rsidR="00020F92" w:rsidRPr="00F01443"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4F4E9C" w14:textId="77777777" w:rsidR="00020F92" w:rsidRPr="00FF335C"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B87893E"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A8EFCF"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1049B56"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62325E">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38C8027E"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1463DA" w14:textId="77777777" w:rsidR="00020F92" w:rsidRPr="00FF335C"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547985B" w14:textId="77777777" w:rsidR="00020F92"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06ACC623"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39CF7C"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D98651"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3D0282BB"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245E0758"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464C726A"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7DCE363A"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6B035A96"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7AB70EB8"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5BBCAE24"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70717A4F"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6E23BB"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85DA0AA"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E96A87" w14:textId="77777777" w:rsidR="00020F92" w:rsidRPr="00F01443"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A8B5E6" w14:textId="77777777" w:rsidR="00020F92"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4E57384F" w14:textId="77777777" w:rsidR="00020F92" w:rsidRDefault="00020F92" w:rsidP="00020F9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4E55062D" wp14:editId="2EDABDD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7FCEE" w14:textId="77777777" w:rsidR="00020F92" w:rsidRPr="00FF335C"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BECF0E5" w14:textId="4A4EDBDA"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5565862"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8B2DF78" w14:textId="4187C4F1" w:rsidR="00020F92" w:rsidRPr="00020F92"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2133AEB3" w14:textId="3B293316" w:rsidR="00020F92" w:rsidRPr="00020F92"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109B3AAE"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2C482A1"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62325E">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D44497"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5581020"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6919"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D3F4EC2" w14:textId="431FDD3E"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2325E">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2C8963EC"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877626C" w14:textId="5C2D37A9" w:rsidR="00020F92" w:rsidRPr="00020F92"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5707AD56"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04DF5A0"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D4C7B4"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2FE104B"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C3E729"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187E88A"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25F0A50A"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BF83F3C" w14:textId="77777777" w:rsidR="00020F92" w:rsidRPr="00FF335C"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5"/>
      </w:r>
      <w:r w:rsidRPr="0062325E">
        <w:rPr>
          <w:rFonts w:ascii="Palatino Linotype" w:eastAsia="MS Mincho" w:hAnsi="Palatino Linotype" w:cs="Times New Roman"/>
        </w:rPr>
        <w:t xml:space="preserve"> respecto a qué debe entenderse por fundamentación y motivación, en los siguientes términos:</w:t>
      </w:r>
    </w:p>
    <w:p w14:paraId="1D9EA908" w14:textId="77777777" w:rsidR="00020F92"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6AC74F47" w14:textId="77777777" w:rsidR="00020F92" w:rsidRPr="003E6079" w:rsidRDefault="00020F92" w:rsidP="00020F92">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39398C" w14:textId="77777777" w:rsidR="00020F92" w:rsidRPr="00FF335C"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D619948"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0D2150">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04424EE1"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ED8BA8B"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795829"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9380BDD" w14:textId="77777777"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62BF77F" w14:textId="77777777" w:rsidR="00020F92"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6FC2B7A6" w:rsidR="00020F92"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44EF10" w14:textId="689426F4" w:rsidR="007F5B7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644E1B"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SEXTO</w:t>
      </w:r>
      <w:r w:rsidR="007F5B77">
        <w:rPr>
          <w:rFonts w:ascii="Palatino Linotype" w:hAnsi="Palatino Linotype"/>
          <w:b/>
          <w:bCs/>
          <w:color w:val="000000" w:themeColor="text1"/>
        </w:rPr>
        <w:t>. Decisión.</w:t>
      </w:r>
    </w:p>
    <w:p w14:paraId="4111F7D0" w14:textId="77777777" w:rsidR="007F5B7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3452943E" w:rsidR="006B218B" w:rsidRPr="00735A66"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 las constancias que obran en el expediente digital formado en el SAIMEX</w:t>
      </w:r>
      <w:r w:rsidR="0014752F">
        <w:rPr>
          <w:rFonts w:ascii="Palatino Linotype" w:hAnsi="Palatino Linotype"/>
          <w:color w:val="000000" w:themeColor="text1"/>
        </w:rPr>
        <w:t>, se estableció</w:t>
      </w:r>
      <w:r w:rsidR="00D058BB">
        <w:rPr>
          <w:rFonts w:ascii="Palatino Linotype" w:hAnsi="Palatino Linotype"/>
          <w:color w:val="000000" w:themeColor="text1"/>
        </w:rPr>
        <w:t xml:space="preserve"> que </w:t>
      </w:r>
      <w:r w:rsidR="0025695A">
        <w:rPr>
          <w:rFonts w:ascii="Palatino Linotype" w:hAnsi="Palatino Linotype"/>
          <w:color w:val="000000" w:themeColor="text1"/>
        </w:rPr>
        <w:t xml:space="preserve">la Dirección de Administración había restringido el acceso a los contratos de arrendamiento solicitados por el particular bajo un </w:t>
      </w:r>
      <w:r w:rsidR="0025695A">
        <w:rPr>
          <w:rFonts w:ascii="Palatino Linotype" w:hAnsi="Palatino Linotype"/>
          <w:color w:val="000000" w:themeColor="text1"/>
        </w:rPr>
        <w:lastRenderedPageBreak/>
        <w:t>argumento por demás arbitrario y carente de justificación o motivación, por lo que se ordenó su entrega en versión pública.</w:t>
      </w:r>
      <w:r w:rsidR="005E63BB">
        <w:rPr>
          <w:rFonts w:ascii="Palatino Linotype" w:hAnsi="Palatino Linotype"/>
          <w:color w:val="000000" w:themeColor="text1"/>
        </w:rPr>
        <w:t xml:space="preserve"> </w:t>
      </w:r>
    </w:p>
    <w:p w14:paraId="53A0C7F3" w14:textId="77777777" w:rsidR="00E62DCB" w:rsidRPr="00735A66"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8360FBE" w:rsidR="00F01443" w:rsidRPr="00735A66"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eastAsia="MS Mincho" w:hAnsi="Palatino Linotype" w:cstheme="majorBidi"/>
          <w:lang w:val="es-ES"/>
        </w:rPr>
        <w:t xml:space="preserve">Por </w:t>
      </w:r>
      <w:r w:rsidR="007534E7" w:rsidRPr="00267985">
        <w:rPr>
          <w:rFonts w:ascii="Palatino Linotype" w:eastAsia="MS Mincho" w:hAnsi="Palatino Linotype" w:cstheme="majorBidi"/>
        </w:rPr>
        <w:t>lo tanto,</w:t>
      </w:r>
      <w:r w:rsidR="007534E7" w:rsidRPr="00267985">
        <w:rPr>
          <w:rFonts w:ascii="Palatino Linotype" w:eastAsia="MS Mincho" w:hAnsi="Palatino Linotype" w:cstheme="majorBidi"/>
          <w:lang w:val="es-ES"/>
        </w:rPr>
        <w:t xml:space="preserve"> en consecuencia y en mérito de lo expuesto en líneas anteriores, resultan fundadas las razones o motivos de inconformidad hechos valer por l</w:t>
      </w:r>
      <w:r w:rsidR="001A5328">
        <w:rPr>
          <w:rFonts w:ascii="Palatino Linotype" w:eastAsia="MS Mincho" w:hAnsi="Palatino Linotype" w:cstheme="majorBidi"/>
          <w:lang w:val="es-ES"/>
        </w:rPr>
        <w:t>a</w:t>
      </w:r>
      <w:r w:rsidR="007534E7" w:rsidRPr="00267985">
        <w:rPr>
          <w:rFonts w:ascii="Palatino Linotype" w:eastAsia="MS Mincho" w:hAnsi="Palatino Linotype" w:cstheme="majorBidi"/>
          <w:lang w:val="es-ES"/>
        </w:rPr>
        <w:t xml:space="preserve"> </w:t>
      </w:r>
      <w:r w:rsidR="007534E7" w:rsidRPr="00267985">
        <w:rPr>
          <w:rFonts w:ascii="Palatino Linotype" w:eastAsia="MS Mincho" w:hAnsi="Palatino Linotype" w:cstheme="majorBidi"/>
          <w:b/>
          <w:lang w:val="es-ES"/>
        </w:rPr>
        <w:t>RECURRENTE</w:t>
      </w:r>
      <w:r w:rsidR="007534E7" w:rsidRPr="00267985">
        <w:rPr>
          <w:rFonts w:ascii="Palatino Linotype" w:eastAsia="MS Mincho" w:hAnsi="Palatino Linotype" w:cstheme="majorBidi"/>
          <w:lang w:val="es-ES"/>
        </w:rPr>
        <w:t xml:space="preserve"> dentro del recurso de revisión </w:t>
      </w:r>
      <w:r w:rsidR="002777E9">
        <w:rPr>
          <w:rFonts w:ascii="Palatino Linotype" w:eastAsia="MS Mincho" w:hAnsi="Palatino Linotype" w:cstheme="majorBidi"/>
          <w:b/>
          <w:bCs/>
          <w:lang w:val="es-ES"/>
        </w:rPr>
        <w:t>15923/INFOEM/IP/RR/2022</w:t>
      </w:r>
      <w:r w:rsidR="007534E7" w:rsidRPr="0026798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7534E7">
        <w:rPr>
          <w:rFonts w:ascii="Palatino Linotype" w:eastAsia="MS Mincho" w:hAnsi="Palatino Linotype" w:cstheme="majorBidi"/>
          <w:b/>
          <w:lang w:val="es-ES"/>
        </w:rPr>
        <w:t>MODIFICA</w:t>
      </w:r>
      <w:r w:rsidR="007534E7" w:rsidRPr="00267985">
        <w:rPr>
          <w:rFonts w:ascii="Palatino Linotype" w:eastAsia="MS Mincho" w:hAnsi="Palatino Linotype" w:cstheme="majorBidi"/>
          <w:lang w:val="es-ES"/>
        </w:rPr>
        <w:t xml:space="preserve"> la respuesta a la solicitud de información número </w:t>
      </w:r>
      <w:r w:rsidR="002777E9">
        <w:rPr>
          <w:rFonts w:ascii="Palatino Linotype" w:eastAsia="MS Mincho" w:hAnsi="Palatino Linotype" w:cstheme="majorBidi"/>
          <w:b/>
          <w:lang w:val="es-ES"/>
        </w:rPr>
        <w:t>00336/ALMOJU/IP/2022</w:t>
      </w:r>
      <w:r w:rsidR="007534E7" w:rsidRPr="00267985">
        <w:rPr>
          <w:rFonts w:ascii="Palatino Linotype" w:eastAsia="MS Mincho" w:hAnsi="Palatino Linotype" w:cstheme="majorBidi"/>
          <w:lang w:val="es-ES"/>
        </w:rPr>
        <w:t>.</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A1DA19" w:rsidR="001A532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E10AC3"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3E6079"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A225C1" w:rsidRPr="00735A66">
        <w:rPr>
          <w:rFonts w:ascii="Palatino Linotype" w:hAnsi="Palatino Linotype"/>
          <w:color w:val="000000" w:themeColor="text1"/>
        </w:rPr>
        <w:t>-------------------------------------------------------------------------------------------------------------</w:t>
      </w:r>
    </w:p>
    <w:p w14:paraId="2538E60C" w14:textId="5F0DE18B" w:rsidR="001A5328" w:rsidRDefault="001A5328">
      <w:pPr>
        <w:rPr>
          <w:rFonts w:ascii="Palatino Linotype" w:hAnsi="Palatino Linotype"/>
          <w:color w:val="000000" w:themeColor="text1"/>
        </w:rPr>
      </w:pPr>
    </w:p>
    <w:p w14:paraId="18C7D92B" w14:textId="2E6B88EF" w:rsidR="009959DB" w:rsidRPr="00735A66"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735A66">
        <w:rPr>
          <w:b/>
          <w:color w:val="000000" w:themeColor="text1"/>
          <w:sz w:val="28"/>
          <w:szCs w:val="24"/>
        </w:rPr>
        <w:t>R E S O L U T I V O S</w:t>
      </w:r>
      <w:bookmarkEnd w:id="20"/>
      <w:bookmarkEnd w:id="21"/>
      <w:bookmarkEnd w:id="24"/>
      <w:bookmarkEnd w:id="25"/>
      <w:bookmarkEnd w:id="26"/>
    </w:p>
    <w:p w14:paraId="2EF2AC2D" w14:textId="77777777" w:rsidR="00A73C04" w:rsidRPr="00735A66" w:rsidRDefault="00A73C04" w:rsidP="002578EE">
      <w:pPr>
        <w:spacing w:line="360" w:lineRule="auto"/>
        <w:jc w:val="both"/>
        <w:rPr>
          <w:rFonts w:ascii="Palatino Linotype" w:eastAsia="Times New Roman" w:hAnsi="Palatino Linotype" w:cs="Arial"/>
          <w:b/>
          <w:sz w:val="28"/>
          <w:szCs w:val="28"/>
        </w:rPr>
      </w:pPr>
    </w:p>
    <w:p w14:paraId="58DA543D" w14:textId="3292753A" w:rsidR="007534E7" w:rsidRPr="00267985" w:rsidRDefault="007534E7" w:rsidP="007534E7">
      <w:pPr>
        <w:spacing w:line="360" w:lineRule="auto"/>
        <w:jc w:val="both"/>
        <w:rPr>
          <w:rFonts w:ascii="Palatino Linotype" w:eastAsia="Times New Roman" w:hAnsi="Palatino Linotype" w:cs="Times New Roman"/>
        </w:rPr>
      </w:pPr>
      <w:r w:rsidRPr="00267985">
        <w:rPr>
          <w:rFonts w:ascii="Palatino Linotype" w:eastAsia="Times New Roman" w:hAnsi="Palatino Linotype" w:cs="Arial"/>
          <w:b/>
          <w:sz w:val="28"/>
          <w:szCs w:val="28"/>
        </w:rPr>
        <w:t>PRIMERO</w:t>
      </w:r>
      <w:r w:rsidRPr="00267985">
        <w:rPr>
          <w:rFonts w:ascii="Palatino Linotype" w:eastAsia="Times New Roman" w:hAnsi="Palatino Linotype" w:cs="Arial"/>
          <w:b/>
        </w:rPr>
        <w:t xml:space="preserve">. </w:t>
      </w:r>
      <w:r w:rsidRPr="00267985">
        <w:rPr>
          <w:rFonts w:ascii="Palatino Linotype" w:eastAsia="Times New Roman" w:hAnsi="Palatino Linotype" w:cs="Arial"/>
        </w:rPr>
        <w:t xml:space="preserve">Resultan </w:t>
      </w:r>
      <w:r w:rsidR="0025695A">
        <w:rPr>
          <w:rFonts w:ascii="Palatino Linotype" w:eastAsia="Times New Roman" w:hAnsi="Palatino Linotype" w:cs="Arial"/>
        </w:rPr>
        <w:t xml:space="preserve">parcialmente </w:t>
      </w:r>
      <w:r w:rsidRPr="00267985">
        <w:rPr>
          <w:rFonts w:ascii="Palatino Linotype" w:eastAsia="Times New Roman" w:hAnsi="Palatino Linotype" w:cs="Arial"/>
        </w:rPr>
        <w:t>fundadas las</w:t>
      </w:r>
      <w:r w:rsidRPr="00267985">
        <w:rPr>
          <w:rFonts w:ascii="Palatino Linotype" w:eastAsia="Times New Roman" w:hAnsi="Palatino Linotype" w:cs="Arial"/>
          <w:b/>
        </w:rPr>
        <w:t xml:space="preserve"> </w:t>
      </w:r>
      <w:r w:rsidRPr="00267985">
        <w:rPr>
          <w:rFonts w:ascii="Palatino Linotype" w:eastAsia="Times New Roman" w:hAnsi="Palatino Linotype" w:cs="Arial"/>
          <w:lang w:val="es-ES"/>
        </w:rPr>
        <w:t xml:space="preserve">razones o motivos de inconformidad hechos valer </w:t>
      </w:r>
      <w:r w:rsidRPr="00267985">
        <w:rPr>
          <w:rFonts w:ascii="Palatino Linotype" w:eastAsia="Calibri" w:hAnsi="Palatino Linotype" w:cs="Arial"/>
          <w:lang w:val="es-ES"/>
        </w:rPr>
        <w:t xml:space="preserve">en el recurso de revisión </w:t>
      </w:r>
      <w:r w:rsidR="002777E9">
        <w:rPr>
          <w:rFonts w:ascii="Palatino Linotype" w:eastAsia="Times New Roman" w:hAnsi="Palatino Linotype" w:cs="Times New Roman"/>
          <w:b/>
        </w:rPr>
        <w:t>15923/INFOEM/IP/RR/2022</w:t>
      </w:r>
      <w:r w:rsidRPr="00267985">
        <w:rPr>
          <w:rFonts w:ascii="Palatino Linotype" w:eastAsia="Times New Roman" w:hAnsi="Palatino Linotype" w:cs="Times New Roman"/>
          <w:b/>
        </w:rPr>
        <w:t xml:space="preserve"> </w:t>
      </w:r>
      <w:r w:rsidRPr="00267985">
        <w:rPr>
          <w:rFonts w:ascii="Palatino Linotype" w:eastAsia="Times New Roman" w:hAnsi="Palatino Linotype" w:cs="Times New Roman"/>
        </w:rPr>
        <w:t>en términos de los</w:t>
      </w:r>
      <w:r w:rsidRPr="00267985">
        <w:rPr>
          <w:rFonts w:ascii="Palatino Linotype" w:eastAsia="Times New Roman" w:hAnsi="Palatino Linotype" w:cs="Times New Roman"/>
          <w:b/>
          <w:bCs/>
        </w:rPr>
        <w:t xml:space="preserve"> Considerandos</w:t>
      </w:r>
      <w:r w:rsidRPr="00267985">
        <w:rPr>
          <w:rFonts w:ascii="Palatino Linotype" w:eastAsia="Times New Roman" w:hAnsi="Palatino Linotype" w:cs="Times New Roman"/>
        </w:rPr>
        <w:t xml:space="preserve"> </w:t>
      </w:r>
      <w:r w:rsidR="00B635E7">
        <w:rPr>
          <w:rFonts w:ascii="Palatino Linotype" w:eastAsia="Times New Roman" w:hAnsi="Palatino Linotype" w:cs="Times New Roman"/>
          <w:b/>
        </w:rPr>
        <w:t>CUARTO</w:t>
      </w:r>
      <w:r>
        <w:rPr>
          <w:rFonts w:ascii="Palatino Linotype" w:eastAsia="Times New Roman" w:hAnsi="Palatino Linotype" w:cs="Times New Roman"/>
          <w:b/>
        </w:rPr>
        <w:t xml:space="preserve"> </w:t>
      </w:r>
      <w:r w:rsidRPr="00A21EDF">
        <w:rPr>
          <w:rFonts w:ascii="Palatino Linotype" w:eastAsia="Times New Roman" w:hAnsi="Palatino Linotype" w:cs="Times New Roman"/>
          <w:bCs/>
        </w:rPr>
        <w:t xml:space="preserve">y </w:t>
      </w:r>
      <w:r w:rsidR="00B635E7">
        <w:rPr>
          <w:rFonts w:ascii="Palatino Linotype" w:eastAsia="Times New Roman" w:hAnsi="Palatino Linotype" w:cs="Times New Roman"/>
          <w:b/>
        </w:rPr>
        <w:t>QUINTO</w:t>
      </w:r>
      <w:r>
        <w:rPr>
          <w:rFonts w:ascii="Palatino Linotype" w:eastAsia="Times New Roman" w:hAnsi="Palatino Linotype" w:cs="Times New Roman"/>
          <w:b/>
        </w:rPr>
        <w:t xml:space="preserve"> </w:t>
      </w:r>
      <w:r w:rsidRPr="00267985">
        <w:rPr>
          <w:rFonts w:ascii="Palatino Linotype" w:eastAsia="Times New Roman" w:hAnsi="Palatino Linotype" w:cs="Times New Roman"/>
        </w:rPr>
        <w:t>de la presente resolución.</w:t>
      </w:r>
    </w:p>
    <w:p w14:paraId="4ADE9CD3" w14:textId="77777777" w:rsidR="007534E7" w:rsidRPr="00267985" w:rsidRDefault="007534E7" w:rsidP="007534E7">
      <w:pPr>
        <w:spacing w:line="360" w:lineRule="auto"/>
        <w:contextualSpacing/>
        <w:jc w:val="both"/>
        <w:rPr>
          <w:rFonts w:ascii="Palatino Linotype" w:eastAsia="Calibri" w:hAnsi="Palatino Linotype" w:cs="Arial"/>
          <w:b/>
          <w:bCs/>
          <w:lang w:val="es-ES"/>
        </w:rPr>
      </w:pPr>
    </w:p>
    <w:p w14:paraId="59331D5F" w14:textId="65204A89" w:rsidR="007534E7" w:rsidRPr="00267985" w:rsidRDefault="007534E7" w:rsidP="007534E7">
      <w:pPr>
        <w:spacing w:line="360" w:lineRule="auto"/>
        <w:contextualSpacing/>
        <w:jc w:val="both"/>
        <w:rPr>
          <w:rFonts w:ascii="Palatino Linotype" w:eastAsia="Times New Roman" w:hAnsi="Palatino Linotype" w:cs="Arial"/>
          <w:color w:val="000000"/>
        </w:rPr>
      </w:pPr>
      <w:r w:rsidRPr="00267985">
        <w:rPr>
          <w:rFonts w:ascii="Palatino Linotype" w:eastAsia="Calibri" w:hAnsi="Palatino Linotype" w:cs="Arial"/>
          <w:b/>
          <w:bCs/>
          <w:sz w:val="28"/>
          <w:szCs w:val="28"/>
          <w:lang w:val="es-ES"/>
        </w:rPr>
        <w:lastRenderedPageBreak/>
        <w:t>SEGUNDO</w:t>
      </w:r>
      <w:r w:rsidRPr="00267985">
        <w:rPr>
          <w:rFonts w:ascii="Palatino Linotype" w:eastAsia="Calibri" w:hAnsi="Palatino Linotype" w:cs="Arial"/>
          <w:b/>
          <w:bCs/>
          <w:lang w:val="es-ES"/>
        </w:rPr>
        <w:t xml:space="preserve">. </w:t>
      </w:r>
      <w:r w:rsidRPr="00267985">
        <w:rPr>
          <w:rFonts w:ascii="Palatino Linotype" w:eastAsia="Calibri" w:hAnsi="Palatino Linotype" w:cs="Arial"/>
          <w:lang w:val="es-ES"/>
        </w:rPr>
        <w:t xml:space="preserve">Se </w:t>
      </w:r>
      <w:r>
        <w:rPr>
          <w:rFonts w:ascii="Palatino Linotype" w:eastAsia="Calibri" w:hAnsi="Palatino Linotype" w:cs="Arial"/>
          <w:b/>
          <w:lang w:val="es-ES"/>
        </w:rPr>
        <w:t>MODIFICA</w:t>
      </w:r>
      <w:r w:rsidRPr="00267985">
        <w:rPr>
          <w:rFonts w:ascii="Palatino Linotype" w:eastAsia="Calibri" w:hAnsi="Palatino Linotype" w:cs="Arial"/>
          <w:lang w:val="es-ES"/>
        </w:rPr>
        <w:t xml:space="preserve"> la respuesta emitida por </w:t>
      </w:r>
      <w:r>
        <w:rPr>
          <w:rFonts w:ascii="Palatino Linotype" w:eastAsia="Calibri" w:hAnsi="Palatino Linotype" w:cs="Arial"/>
          <w:lang w:val="es-ES"/>
        </w:rPr>
        <w:t>el</w:t>
      </w:r>
      <w:r w:rsidRPr="00267985">
        <w:rPr>
          <w:rFonts w:ascii="Palatino Linotype" w:eastAsia="Calibri" w:hAnsi="Palatino Linotype" w:cs="Arial"/>
          <w:lang w:val="es-ES"/>
        </w:rPr>
        <w:t xml:space="preserve"> </w:t>
      </w:r>
      <w:r w:rsidR="002777E9">
        <w:rPr>
          <w:rFonts w:ascii="Palatino Linotype" w:eastAsia="Calibri" w:hAnsi="Palatino Linotype" w:cs="Arial"/>
          <w:b/>
        </w:rPr>
        <w:t>Ayuntamiento de Almoloya de Juárez</w:t>
      </w:r>
      <w:r w:rsidRPr="00267985">
        <w:rPr>
          <w:rFonts w:ascii="Palatino Linotype" w:eastAsia="Calibri" w:hAnsi="Palatino Linotype" w:cs="Arial"/>
          <w:bCs/>
        </w:rPr>
        <w:t xml:space="preserve"> a la solicitud </w:t>
      </w:r>
      <w:r w:rsidR="002777E9">
        <w:rPr>
          <w:rFonts w:ascii="Palatino Linotype" w:eastAsia="Calibri" w:hAnsi="Palatino Linotype" w:cs="Arial"/>
          <w:b/>
        </w:rPr>
        <w:t>00336/ALMOJU/IP/2022</w:t>
      </w:r>
      <w:r w:rsidRPr="00267985">
        <w:rPr>
          <w:rFonts w:ascii="Palatino Linotype" w:eastAsia="Calibri" w:hAnsi="Palatino Linotype" w:cs="Arial"/>
          <w:b/>
        </w:rPr>
        <w:t xml:space="preserve"> </w:t>
      </w:r>
      <w:r w:rsidRPr="00267985">
        <w:rPr>
          <w:rFonts w:ascii="Palatino Linotype" w:eastAsia="Calibri" w:hAnsi="Palatino Linotype" w:cs="Arial"/>
        </w:rPr>
        <w:t xml:space="preserve">y se </w:t>
      </w:r>
      <w:r w:rsidRPr="00267985">
        <w:rPr>
          <w:rFonts w:ascii="Palatino Linotype" w:eastAsia="Calibri" w:hAnsi="Palatino Linotype" w:cs="Arial"/>
          <w:b/>
        </w:rPr>
        <w:t>ORDENA</w:t>
      </w:r>
      <w:r w:rsidRPr="00267985">
        <w:rPr>
          <w:rFonts w:ascii="Palatino Linotype" w:eastAsia="Calibri" w:hAnsi="Palatino Linotype" w:cs="Arial"/>
          <w:b/>
          <w:lang w:val="es-ES"/>
        </w:rPr>
        <w:t xml:space="preserve"> </w:t>
      </w:r>
      <w:r w:rsidRPr="00267985">
        <w:rPr>
          <w:rFonts w:ascii="Palatino Linotype" w:eastAsia="Calibri" w:hAnsi="Palatino Linotype" w:cs="Arial"/>
          <w:lang w:val="es-ES"/>
        </w:rPr>
        <w:t xml:space="preserve">entregar, </w:t>
      </w:r>
      <w:bookmarkStart w:id="27" w:name="_Toc460947013"/>
      <w:r w:rsidRPr="00267985">
        <w:rPr>
          <w:rFonts w:ascii="Palatino Linotype" w:eastAsia="Calibri" w:hAnsi="Palatino Linotype" w:cs="Arial"/>
          <w:lang w:val="es-ES"/>
        </w:rPr>
        <w:t>vía Sistema de Acceso a la Información Pública Mexiquense (SAIMEX)</w:t>
      </w:r>
      <w:r w:rsidRPr="00267985">
        <w:rPr>
          <w:rFonts w:ascii="Palatino Linotype" w:eastAsia="Times New Roman" w:hAnsi="Palatino Linotype" w:cs="Arial"/>
          <w:color w:val="000000"/>
        </w:rPr>
        <w:t xml:space="preserve">, de ser procedente en versión pública, </w:t>
      </w:r>
      <w:r w:rsidR="005E63BB">
        <w:rPr>
          <w:rFonts w:ascii="Palatino Linotype" w:eastAsia="Times New Roman" w:hAnsi="Palatino Linotype" w:cs="Arial"/>
          <w:color w:val="000000"/>
        </w:rPr>
        <w:t>la siguiente información</w:t>
      </w:r>
      <w:r w:rsidRPr="00267985">
        <w:rPr>
          <w:rFonts w:ascii="Palatino Linotype" w:eastAsia="Times New Roman" w:hAnsi="Palatino Linotype" w:cs="Arial"/>
          <w:color w:val="000000"/>
        </w:rPr>
        <w:t xml:space="preserve">: </w:t>
      </w:r>
    </w:p>
    <w:p w14:paraId="2829AFB9" w14:textId="6682702D" w:rsidR="00766979" w:rsidRDefault="0025695A" w:rsidP="0025695A">
      <w:pPr>
        <w:pStyle w:val="Prrafodelista"/>
        <w:numPr>
          <w:ilvl w:val="0"/>
          <w:numId w:val="14"/>
        </w:numPr>
        <w:tabs>
          <w:tab w:val="left" w:pos="426"/>
        </w:tabs>
        <w:spacing w:before="240" w:after="240" w:line="360" w:lineRule="auto"/>
        <w:ind w:left="1134" w:right="51"/>
        <w:jc w:val="both"/>
        <w:rPr>
          <w:rFonts w:ascii="Palatino Linotype" w:hAnsi="Palatino Linotype"/>
          <w:color w:val="000000"/>
        </w:rPr>
      </w:pPr>
      <w:r>
        <w:rPr>
          <w:rFonts w:ascii="Palatino Linotype" w:hAnsi="Palatino Linotype"/>
          <w:b/>
          <w:bCs/>
          <w:color w:val="000000" w:themeColor="text1"/>
        </w:rPr>
        <w:t>Contratos de los bienes inmuebles, reconocidos en el oficio 131/2022 de la Dirección de Administración, que el Ayuntamiento de Almoloya de Juárez tiene en arrendamiento.</w:t>
      </w:r>
    </w:p>
    <w:p w14:paraId="4B379ECC" w14:textId="16F09FA8" w:rsidR="007534E7" w:rsidRDefault="007534E7" w:rsidP="007534E7">
      <w:pPr>
        <w:tabs>
          <w:tab w:val="left" w:pos="993"/>
        </w:tabs>
        <w:spacing w:line="360" w:lineRule="auto"/>
        <w:jc w:val="both"/>
        <w:rPr>
          <w:rFonts w:ascii="Palatino Linotype" w:eastAsia="Calibri" w:hAnsi="Palatino Linotype" w:cs="Arial"/>
        </w:rPr>
      </w:pPr>
      <w:r w:rsidRPr="00267985">
        <w:rPr>
          <w:rFonts w:ascii="Palatino Linotype" w:hAnsi="Palatino Linotype"/>
          <w:color w:val="000000"/>
        </w:rPr>
        <w:t xml:space="preserve">Para </w:t>
      </w:r>
      <w:r w:rsidRPr="00267985">
        <w:rPr>
          <w:rFonts w:ascii="Palatino Linotype" w:eastAsia="Calibri" w:hAnsi="Palatino Linotype" w:cs="Arial"/>
        </w:rPr>
        <w:t>efectos de lo anterior se deberá emitir el Acuerdo del Comité de Transparencia en términos de los artículos 49</w:t>
      </w:r>
      <w:r w:rsidR="00700359">
        <w:rPr>
          <w:rFonts w:ascii="Palatino Linotype" w:eastAsia="Calibri" w:hAnsi="Palatino Linotype" w:cs="Arial"/>
        </w:rPr>
        <w:t>,</w:t>
      </w:r>
      <w:r w:rsidRPr="00267985">
        <w:rPr>
          <w:rFonts w:ascii="Palatino Linotype" w:eastAsia="Calibri" w:hAnsi="Palatino Linotype" w:cs="Arial"/>
        </w:rPr>
        <w:t xml:space="preserve"> fracción VIII</w:t>
      </w:r>
      <w:r w:rsidR="00700359">
        <w:rPr>
          <w:rFonts w:ascii="Palatino Linotype" w:eastAsia="Calibri" w:hAnsi="Palatino Linotype" w:cs="Arial"/>
        </w:rPr>
        <w:t>,</w:t>
      </w:r>
      <w:r w:rsidRPr="00267985">
        <w:rPr>
          <w:rFonts w:ascii="Palatino Linotype" w:eastAsia="Calibri" w:hAnsi="Palatino Linotype" w:cs="Arial"/>
        </w:rPr>
        <w:t xml:space="preserve"> y 132</w:t>
      </w:r>
      <w:r w:rsidR="00700359">
        <w:rPr>
          <w:rFonts w:ascii="Palatino Linotype" w:eastAsia="Calibri" w:hAnsi="Palatino Linotype" w:cs="Arial"/>
        </w:rPr>
        <w:t>,</w:t>
      </w:r>
      <w:r w:rsidRPr="00267985">
        <w:rPr>
          <w:rFonts w:ascii="Palatino Linotype" w:eastAsia="Calibri" w:hAnsi="Palatino Linotype" w:cs="Arial"/>
        </w:rPr>
        <w:t xml:space="preserve"> fracción II</w:t>
      </w:r>
      <w:r w:rsidR="00700359">
        <w:rPr>
          <w:rFonts w:ascii="Palatino Linotype" w:eastAsia="Calibri" w:hAnsi="Palatino Linotype" w:cs="Arial"/>
        </w:rPr>
        <w:t>,</w:t>
      </w:r>
      <w:r w:rsidRPr="00267985">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67985">
        <w:rPr>
          <w:rFonts w:ascii="Palatino Linotype" w:eastAsia="Calibri" w:hAnsi="Palatino Linotype" w:cs="Arial"/>
          <w:b/>
        </w:rPr>
        <w:t>RECURRENTE</w:t>
      </w:r>
      <w:r w:rsidRPr="00267985">
        <w:rPr>
          <w:rFonts w:ascii="Palatino Linotype" w:eastAsia="Calibri" w:hAnsi="Palatino Linotype" w:cs="Arial"/>
        </w:rPr>
        <w:t>.</w:t>
      </w:r>
    </w:p>
    <w:p w14:paraId="5A352BDA" w14:textId="77777777" w:rsidR="00D21A5F" w:rsidRDefault="00D21A5F" w:rsidP="00766979">
      <w:pPr>
        <w:spacing w:line="360" w:lineRule="auto"/>
        <w:contextualSpacing/>
        <w:jc w:val="both"/>
        <w:rPr>
          <w:rFonts w:ascii="Palatino Linotype" w:hAnsi="Palatino Linotype"/>
          <w:bCs/>
          <w:iCs/>
          <w:color w:val="000000"/>
          <w:lang w:val="es-ES_tradnl" w:eastAsia="es-MX"/>
        </w:rPr>
      </w:pPr>
    </w:p>
    <w:p w14:paraId="6E32718A" w14:textId="34B675C6" w:rsidR="007534E7" w:rsidRPr="00267985" w:rsidRDefault="007534E7" w:rsidP="007534E7">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t>TERCERO</w:t>
      </w:r>
      <w:r w:rsidRPr="00267985">
        <w:rPr>
          <w:rFonts w:ascii="Palatino Linotype" w:eastAsia="MS Mincho" w:hAnsi="Palatino Linotype" w:cs="Times New Roman"/>
          <w:b/>
          <w:color w:val="000000"/>
        </w:rPr>
        <w:t>.</w:t>
      </w:r>
      <w:r w:rsidRPr="00267985">
        <w:rPr>
          <w:rFonts w:ascii="Palatino Linotype" w:eastAsia="MS Mincho" w:hAnsi="Palatino Linotype" w:cs="Times New Roman"/>
          <w:color w:val="000000"/>
        </w:rPr>
        <w:t xml:space="preserve"> Notifíquese a</w:t>
      </w:r>
      <w:r w:rsidR="0025695A">
        <w:rPr>
          <w:rFonts w:ascii="Palatino Linotype" w:eastAsia="MS Mincho" w:hAnsi="Palatino Linotype" w:cs="Times New Roman"/>
          <w:color w:val="000000"/>
        </w:rPr>
        <w:t xml:space="preserve"> </w:t>
      </w:r>
      <w:r w:rsidRPr="00267985">
        <w:rPr>
          <w:rFonts w:ascii="Palatino Linotype" w:eastAsia="MS Mincho" w:hAnsi="Palatino Linotype" w:cs="Times New Roman"/>
          <w:color w:val="000000"/>
        </w:rPr>
        <w:t>l</w:t>
      </w:r>
      <w:r w:rsidR="0025695A">
        <w:rPr>
          <w:rFonts w:ascii="Palatino Linotype" w:eastAsia="MS Mincho" w:hAnsi="Palatino Linotype" w:cs="Times New Roman"/>
          <w:color w:val="000000"/>
        </w:rPr>
        <w:t>a</w:t>
      </w:r>
      <w:r w:rsidRPr="00267985">
        <w:rPr>
          <w:rFonts w:ascii="Palatino Linotype" w:eastAsia="MS Mincho" w:hAnsi="Palatino Linotype" w:cs="Times New Roman"/>
          <w:color w:val="000000"/>
        </w:rPr>
        <w:t xml:space="preserve"> Titular de la Unidad de Transparencia del</w:t>
      </w:r>
      <w:r w:rsidRPr="00267985">
        <w:rPr>
          <w:rFonts w:ascii="Palatino Linotype" w:eastAsia="MS Mincho" w:hAnsi="Palatino Linotype" w:cs="Times New Roman"/>
          <w:b/>
          <w:color w:val="000000"/>
        </w:rPr>
        <w:t xml:space="preserve"> SUJETO OBLIGADO</w:t>
      </w:r>
      <w:r w:rsidRPr="00267985">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267985"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267985" w:rsidRDefault="007534E7" w:rsidP="007534E7">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bCs/>
          <w:color w:val="000000"/>
          <w:sz w:val="28"/>
          <w:szCs w:val="28"/>
        </w:rPr>
        <w:lastRenderedPageBreak/>
        <w:t>CUARTO</w:t>
      </w:r>
      <w:r w:rsidRPr="00267985">
        <w:rPr>
          <w:rFonts w:ascii="Palatino Linotype" w:eastAsia="MS Mincho" w:hAnsi="Palatino Linotype" w:cs="Times New Roman"/>
          <w:b/>
          <w:bCs/>
          <w:color w:val="000000"/>
        </w:rPr>
        <w:t>.</w:t>
      </w:r>
      <w:r w:rsidRPr="00267985">
        <w:rPr>
          <w:rFonts w:ascii="Palatino Linotype" w:eastAsia="MS Mincho" w:hAnsi="Palatino Linotype" w:cs="Times New Roman"/>
          <w:color w:val="000000"/>
        </w:rPr>
        <w:t xml:space="preserve"> De </w:t>
      </w:r>
      <w:r w:rsidRPr="0026798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267985">
        <w:rPr>
          <w:rFonts w:ascii="Palatino Linotype" w:eastAsia="MS Mincho" w:hAnsi="Palatino Linotype" w:cs="Times New Roman"/>
          <w:b/>
          <w:color w:val="000000"/>
        </w:rPr>
        <w:t>SUJETO OBLIGADO,</w:t>
      </w:r>
      <w:r w:rsidRPr="0026798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267985" w:rsidRDefault="007534E7" w:rsidP="007534E7">
      <w:pPr>
        <w:spacing w:line="360" w:lineRule="auto"/>
        <w:jc w:val="both"/>
        <w:rPr>
          <w:rFonts w:ascii="Palatino Linotype" w:eastAsia="MS Mincho" w:hAnsi="Palatino Linotype" w:cs="Times New Roman"/>
          <w:color w:val="000000"/>
        </w:rPr>
      </w:pPr>
    </w:p>
    <w:p w14:paraId="25A7E8D2" w14:textId="102FD2B5" w:rsidR="007534E7" w:rsidRPr="00267985" w:rsidRDefault="007534E7" w:rsidP="007534E7">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t>QUINTO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Notifíquese al </w:t>
      </w:r>
      <w:r w:rsidRPr="00267985">
        <w:rPr>
          <w:rFonts w:ascii="Palatino Linotype" w:eastAsia="MS Mincho" w:hAnsi="Palatino Linotype" w:cs="Times New Roman"/>
          <w:b/>
          <w:bCs/>
          <w:color w:val="000000"/>
        </w:rPr>
        <w:t>RECURRENTE</w:t>
      </w:r>
      <w:r w:rsidRPr="00267985">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267985" w:rsidRDefault="007534E7" w:rsidP="007534E7">
      <w:pPr>
        <w:spacing w:line="360" w:lineRule="auto"/>
        <w:jc w:val="both"/>
        <w:rPr>
          <w:rFonts w:ascii="Palatino Linotype" w:hAnsi="Palatino Linotype"/>
          <w:b/>
        </w:rPr>
      </w:pPr>
    </w:p>
    <w:p w14:paraId="27F15529" w14:textId="1438A950" w:rsidR="007534E7" w:rsidRDefault="007534E7" w:rsidP="007534E7">
      <w:pPr>
        <w:spacing w:line="360" w:lineRule="auto"/>
        <w:jc w:val="both"/>
        <w:rPr>
          <w:rFonts w:ascii="Palatino Linotype" w:eastAsia="MS Mincho" w:hAnsi="Palatino Linotype" w:cs="Times New Roman"/>
          <w:color w:val="000000"/>
          <w:lang w:val="es-ES"/>
        </w:rPr>
      </w:pPr>
      <w:r w:rsidRPr="00267985">
        <w:rPr>
          <w:rFonts w:ascii="Palatino Linotype" w:eastAsia="MS Mincho" w:hAnsi="Palatino Linotype" w:cs="Times New Roman"/>
          <w:b/>
          <w:sz w:val="28"/>
          <w:szCs w:val="28"/>
        </w:rPr>
        <w:t>SEXTO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Se hace del conocimiento del </w:t>
      </w:r>
      <w:r w:rsidRPr="00267985">
        <w:rPr>
          <w:rFonts w:ascii="Palatino Linotype" w:eastAsia="MS Mincho" w:hAnsi="Palatino Linotype" w:cs="Times New Roman"/>
          <w:b/>
          <w:bCs/>
          <w:color w:val="000000"/>
        </w:rPr>
        <w:t>RECURRENTE</w:t>
      </w:r>
      <w:r w:rsidRPr="00267985">
        <w:rPr>
          <w:rFonts w:ascii="Palatino Linotype" w:hAnsi="Palatino Linotype"/>
          <w:b/>
        </w:rPr>
        <w:t xml:space="preserve"> </w:t>
      </w:r>
      <w:r w:rsidRPr="00267985">
        <w:rPr>
          <w:rFonts w:ascii="Palatino Linotype" w:eastAsia="MS Mincho" w:hAnsi="Palatino Linotype" w:cs="Times New Roman"/>
          <w:color w:val="000000"/>
        </w:rPr>
        <w:t xml:space="preserve">que, </w:t>
      </w:r>
      <w:bookmarkEnd w:id="27"/>
      <w:r w:rsidRPr="0026798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267985">
        <w:rPr>
          <w:rFonts w:ascii="Palatino Linotype" w:eastAsia="MS Mincho" w:hAnsi="Palatino Linotype" w:cs="Times New Roman"/>
          <w:bCs/>
          <w:color w:val="000000"/>
          <w:lang w:val="es-ES"/>
        </w:rPr>
        <w:t xml:space="preserve">juicio de amparo </w:t>
      </w:r>
      <w:r w:rsidRPr="00267985">
        <w:rPr>
          <w:rFonts w:ascii="Palatino Linotype" w:eastAsia="MS Mincho" w:hAnsi="Palatino Linotype" w:cs="Times New Roman"/>
          <w:color w:val="000000"/>
          <w:lang w:val="es-ES"/>
        </w:rPr>
        <w:t>en los términos de las Leyes aplicables.</w:t>
      </w:r>
    </w:p>
    <w:p w14:paraId="705CD577" w14:textId="77777777" w:rsidR="007534E7" w:rsidRDefault="007534E7" w:rsidP="007534E7">
      <w:pPr>
        <w:spacing w:line="360" w:lineRule="auto"/>
        <w:jc w:val="both"/>
        <w:rPr>
          <w:rFonts w:ascii="Palatino Linotype" w:eastAsia="MS Mincho" w:hAnsi="Palatino Linotype" w:cs="Times New Roman"/>
          <w:color w:val="000000"/>
          <w:lang w:val="es-ES"/>
        </w:rPr>
      </w:pPr>
    </w:p>
    <w:p w14:paraId="4E777115" w14:textId="77777777" w:rsidR="00C25BEA" w:rsidRDefault="00C25BEA" w:rsidP="00C25BEA">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63F5241E" w:rsidR="00895335" w:rsidRDefault="00895335" w:rsidP="00C25BEA">
      <w:pPr>
        <w:spacing w:before="240" w:after="240" w:line="360" w:lineRule="auto"/>
        <w:jc w:val="both"/>
        <w:rPr>
          <w:rFonts w:ascii="Palatino Linotype" w:hAnsi="Palatino Linotype" w:cs="Arial"/>
          <w:color w:val="000000" w:themeColor="text1"/>
        </w:rPr>
      </w:pPr>
    </w:p>
    <w:sectPr w:rsidR="00895335" w:rsidSect="00DB795F">
      <w:headerReference w:type="default" r:id="rId13"/>
      <w:footerReference w:type="default" r:id="rId14"/>
      <w:headerReference w:type="first" r:id="rId15"/>
      <w:footerReference w:type="first" r:id="rId16"/>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9C43" w14:textId="77777777" w:rsidR="009409C6" w:rsidRDefault="009409C6" w:rsidP="00587366">
      <w:r>
        <w:separator/>
      </w:r>
    </w:p>
  </w:endnote>
  <w:endnote w:type="continuationSeparator" w:id="0">
    <w:p w14:paraId="5A3ED6BC" w14:textId="77777777" w:rsidR="009409C6" w:rsidRDefault="009409C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777E9" w:rsidRPr="00883450" w:rsidRDefault="002777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425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4255">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5CEA854E" w:rsidR="002777E9" w:rsidRDefault="002777E9">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777E9" w:rsidRPr="00883450" w:rsidRDefault="002777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4255" w:rsidRPr="0086425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4255" w:rsidRPr="00864255">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5CB527B9" w:rsidR="002777E9" w:rsidRPr="00883450" w:rsidRDefault="002777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6417" w14:textId="77777777" w:rsidR="009409C6" w:rsidRDefault="009409C6" w:rsidP="00587366">
      <w:r>
        <w:separator/>
      </w:r>
    </w:p>
  </w:footnote>
  <w:footnote w:type="continuationSeparator" w:id="0">
    <w:p w14:paraId="36650D44" w14:textId="77777777" w:rsidR="009409C6" w:rsidRDefault="009409C6" w:rsidP="00587366">
      <w:r>
        <w:continuationSeparator/>
      </w:r>
    </w:p>
  </w:footnote>
  <w:footnote w:id="1">
    <w:p w14:paraId="787FAE78" w14:textId="77777777" w:rsidR="002777E9" w:rsidRPr="00C7183E" w:rsidRDefault="002777E9"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2777E9" w:rsidRDefault="002777E9"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2777E9" w:rsidRDefault="002777E9"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2777E9" w:rsidRPr="009C43C2" w:rsidRDefault="002777E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2777E9" w:rsidRPr="009C43C2" w:rsidRDefault="002777E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2777E9" w:rsidRPr="009C43C2" w:rsidRDefault="002777E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2777E9" w:rsidRDefault="002777E9"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2F38A8E1" w14:textId="77777777" w:rsidR="004C00C3" w:rsidRPr="00F06525" w:rsidRDefault="004C00C3" w:rsidP="004C00C3">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2BB39A1A" w14:textId="77777777" w:rsidR="004C00C3" w:rsidRPr="00F06525" w:rsidRDefault="004C00C3" w:rsidP="004C00C3">
      <w:pPr>
        <w:pStyle w:val="Textonotapie"/>
        <w:rPr>
          <w:rFonts w:ascii="Palatino Linotype" w:hAnsi="Palatino Linotype"/>
          <w:sz w:val="18"/>
        </w:rPr>
      </w:pPr>
      <w:r w:rsidRPr="00F06525">
        <w:rPr>
          <w:rFonts w:ascii="Palatino Linotype" w:hAnsi="Palatino Linotype"/>
          <w:sz w:val="18"/>
        </w:rPr>
        <w:t>Artículo 151. Ibídem.</w:t>
      </w:r>
    </w:p>
  </w:footnote>
  <w:footnote w:id="9">
    <w:p w14:paraId="242BB389" w14:textId="77777777" w:rsidR="004C00C3" w:rsidRPr="008E29C5" w:rsidRDefault="004C00C3" w:rsidP="004C00C3">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B934B50" w14:textId="77777777" w:rsidR="004C00C3" w:rsidRPr="008E29C5" w:rsidRDefault="004C00C3" w:rsidP="004C00C3">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1CBD0CEA" w14:textId="77777777" w:rsidR="004C00C3" w:rsidRDefault="004C00C3" w:rsidP="004C00C3">
      <w:pPr>
        <w:pStyle w:val="Textonotapie"/>
      </w:pPr>
      <w:r>
        <w:t xml:space="preserve">… </w:t>
      </w:r>
    </w:p>
  </w:footnote>
  <w:footnote w:id="10">
    <w:p w14:paraId="5DE31D8C" w14:textId="09C556D7" w:rsidR="00C278EE" w:rsidRDefault="00C278EE">
      <w:pPr>
        <w:pStyle w:val="Textonotapie"/>
      </w:pPr>
      <w:r>
        <w:rPr>
          <w:rStyle w:val="Refdenotaalpie"/>
        </w:rPr>
        <w:footnoteRef/>
      </w:r>
      <w:r>
        <w:t xml:space="preserve"> Artículo 211, Bando Municipal de Almoloya de Juárez.</w:t>
      </w:r>
    </w:p>
  </w:footnote>
  <w:footnote w:id="11">
    <w:p w14:paraId="418F5008" w14:textId="77777777" w:rsidR="00C278EE" w:rsidRDefault="00C278EE" w:rsidP="00C278EE">
      <w:pPr>
        <w:pStyle w:val="Textonotapie"/>
      </w:pPr>
      <w:r>
        <w:rPr>
          <w:rStyle w:val="Refdenotaalpie"/>
        </w:rPr>
        <w:footnoteRef/>
      </w:r>
      <w:r>
        <w:t xml:space="preserve"> Artículo 50, Ley de Transparencia y Acceso a la Información Pública del Estado de México y Municipios.</w:t>
      </w:r>
    </w:p>
  </w:footnote>
  <w:footnote w:id="12">
    <w:p w14:paraId="31FE1D59" w14:textId="77777777" w:rsidR="00C278EE" w:rsidRDefault="00C278EE" w:rsidP="00C278EE">
      <w:pPr>
        <w:pStyle w:val="Textonotapie"/>
      </w:pPr>
      <w:r>
        <w:rPr>
          <w:rStyle w:val="Refdenotaalpie"/>
        </w:rPr>
        <w:footnoteRef/>
      </w:r>
      <w:r>
        <w:t xml:space="preserve"> Artículo 51, Ídem.</w:t>
      </w:r>
    </w:p>
  </w:footnote>
  <w:footnote w:id="13">
    <w:p w14:paraId="7CB89C05" w14:textId="77777777" w:rsidR="00C278EE" w:rsidRDefault="00C278EE" w:rsidP="00C278EE">
      <w:pPr>
        <w:pStyle w:val="Textonotapie"/>
      </w:pPr>
      <w:r>
        <w:rPr>
          <w:rStyle w:val="Refdenotaalpie"/>
        </w:rPr>
        <w:footnoteRef/>
      </w:r>
      <w:r>
        <w:t xml:space="preserve"> Artículo 58, Ley de Transparencia y Acceso a la Información Pública del Estado de México y Municipios.</w:t>
      </w:r>
    </w:p>
  </w:footnote>
  <w:footnote w:id="14">
    <w:p w14:paraId="514670F7" w14:textId="77777777" w:rsidR="00C278EE" w:rsidRDefault="00C278EE" w:rsidP="00C278EE">
      <w:pPr>
        <w:pStyle w:val="Textonotapie"/>
      </w:pPr>
      <w:r>
        <w:rPr>
          <w:rStyle w:val="Refdenotaalpie"/>
        </w:rPr>
        <w:footnoteRef/>
      </w:r>
      <w:r>
        <w:t xml:space="preserve"> Artículo 59, Ídem.</w:t>
      </w:r>
    </w:p>
  </w:footnote>
  <w:footnote w:id="15">
    <w:p w14:paraId="1C0C4674" w14:textId="77777777" w:rsidR="002777E9" w:rsidRDefault="002777E9" w:rsidP="00020F9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2777E9" w:rsidRPr="00025127" w14:paraId="61F907E2" w14:textId="77777777" w:rsidTr="00DB795F">
      <w:trPr>
        <w:trHeight w:val="138"/>
        <w:jc w:val="right"/>
      </w:trPr>
      <w:tc>
        <w:tcPr>
          <w:tcW w:w="3686" w:type="dxa"/>
          <w:vAlign w:val="center"/>
        </w:tcPr>
        <w:p w14:paraId="541E7979" w14:textId="77777777" w:rsidR="002777E9" w:rsidRPr="00025127" w:rsidRDefault="002777E9" w:rsidP="005F1362">
          <w:pPr>
            <w:ind w:right="34"/>
            <w:jc w:val="right"/>
            <w:rPr>
              <w:rFonts w:ascii="Palatino Linotype" w:hAnsi="Palatino Linotype"/>
              <w:b/>
              <w:sz w:val="22"/>
              <w:szCs w:val="22"/>
            </w:rPr>
          </w:pPr>
        </w:p>
      </w:tc>
      <w:tc>
        <w:tcPr>
          <w:tcW w:w="3553" w:type="dxa"/>
          <w:vAlign w:val="center"/>
        </w:tcPr>
        <w:p w14:paraId="3026F7B1" w14:textId="77777777" w:rsidR="002777E9" w:rsidRDefault="002777E9" w:rsidP="00F25B61">
          <w:pPr>
            <w:pStyle w:val="Encabezado"/>
            <w:jc w:val="both"/>
            <w:rPr>
              <w:rFonts w:ascii="Palatino Linotype" w:hAnsi="Palatino Linotype"/>
              <w:b/>
              <w:sz w:val="22"/>
              <w:szCs w:val="22"/>
            </w:rPr>
          </w:pPr>
        </w:p>
      </w:tc>
    </w:tr>
    <w:tr w:rsidR="002777E9" w:rsidRPr="00025127" w14:paraId="07F2896E" w14:textId="77777777" w:rsidTr="00DB795F">
      <w:trPr>
        <w:trHeight w:val="138"/>
        <w:jc w:val="right"/>
      </w:trPr>
      <w:tc>
        <w:tcPr>
          <w:tcW w:w="3686" w:type="dxa"/>
          <w:vAlign w:val="center"/>
        </w:tcPr>
        <w:p w14:paraId="4A5B1974" w14:textId="172F35BB" w:rsidR="002777E9" w:rsidRPr="00025127" w:rsidRDefault="002777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5FE2E7AB" w:rsidR="002777E9" w:rsidRPr="00025127" w:rsidRDefault="002777E9" w:rsidP="00F25B61">
          <w:pPr>
            <w:pStyle w:val="Encabezado"/>
            <w:jc w:val="both"/>
            <w:rPr>
              <w:rFonts w:ascii="Palatino Linotype" w:hAnsi="Palatino Linotype"/>
              <w:b/>
              <w:sz w:val="22"/>
              <w:szCs w:val="22"/>
            </w:rPr>
          </w:pPr>
          <w:r>
            <w:rPr>
              <w:rFonts w:ascii="Palatino Linotype" w:hAnsi="Palatino Linotype"/>
              <w:b/>
              <w:sz w:val="22"/>
              <w:szCs w:val="22"/>
            </w:rPr>
            <w:t>15923</w:t>
          </w:r>
          <w:r w:rsidRPr="00025127">
            <w:rPr>
              <w:rFonts w:ascii="Palatino Linotype" w:hAnsi="Palatino Linotype"/>
              <w:b/>
              <w:sz w:val="22"/>
              <w:szCs w:val="22"/>
            </w:rPr>
            <w:t>/INFOEM/IP/RR/</w:t>
          </w:r>
          <w:r>
            <w:rPr>
              <w:rFonts w:ascii="Palatino Linotype" w:hAnsi="Palatino Linotype"/>
              <w:b/>
              <w:sz w:val="22"/>
              <w:szCs w:val="22"/>
            </w:rPr>
            <w:t>2022</w:t>
          </w:r>
        </w:p>
      </w:tc>
    </w:tr>
    <w:tr w:rsidR="002777E9" w:rsidRPr="00025127" w14:paraId="1B5D8690" w14:textId="77777777" w:rsidTr="00DB795F">
      <w:trPr>
        <w:trHeight w:val="233"/>
        <w:jc w:val="right"/>
      </w:trPr>
      <w:tc>
        <w:tcPr>
          <w:tcW w:w="3686" w:type="dxa"/>
          <w:vAlign w:val="center"/>
        </w:tcPr>
        <w:p w14:paraId="3903F2C6" w14:textId="22D569F8" w:rsidR="002777E9" w:rsidRPr="00025127" w:rsidRDefault="002777E9" w:rsidP="002777E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4B6C5E66" w:rsidR="002777E9" w:rsidRPr="00025127" w:rsidRDefault="002777E9" w:rsidP="002777E9">
          <w:pPr>
            <w:pStyle w:val="Encabezado"/>
            <w:rPr>
              <w:rFonts w:ascii="Palatino Linotype" w:hAnsi="Palatino Linotype"/>
              <w:b/>
              <w:sz w:val="22"/>
              <w:szCs w:val="22"/>
            </w:rPr>
          </w:pPr>
          <w:r>
            <w:rPr>
              <w:rFonts w:ascii="Palatino Linotype" w:hAnsi="Palatino Linotype"/>
              <w:b/>
              <w:bCs/>
              <w:color w:val="000000"/>
              <w:sz w:val="22"/>
              <w:szCs w:val="22"/>
            </w:rPr>
            <w:t>Ayuntamiento de Almoloya de Juárez</w:t>
          </w:r>
        </w:p>
      </w:tc>
    </w:tr>
    <w:tr w:rsidR="002777E9" w:rsidRPr="00025127" w14:paraId="095EB01B" w14:textId="77777777" w:rsidTr="00DB795F">
      <w:trPr>
        <w:trHeight w:val="321"/>
        <w:jc w:val="right"/>
      </w:trPr>
      <w:tc>
        <w:tcPr>
          <w:tcW w:w="3686" w:type="dxa"/>
          <w:vAlign w:val="center"/>
        </w:tcPr>
        <w:p w14:paraId="6E000A51" w14:textId="05E1861A" w:rsidR="002777E9" w:rsidRPr="00025127" w:rsidRDefault="002777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2777E9" w:rsidRPr="00025127" w:rsidRDefault="002777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2777E9" w:rsidRDefault="002777E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2777E9" w:rsidRPr="00025127" w14:paraId="0A3256F2" w14:textId="77777777" w:rsidTr="00DB795F">
      <w:trPr>
        <w:trHeight w:val="138"/>
        <w:jc w:val="right"/>
      </w:trPr>
      <w:tc>
        <w:tcPr>
          <w:tcW w:w="3686" w:type="dxa"/>
          <w:vAlign w:val="center"/>
        </w:tcPr>
        <w:p w14:paraId="3D80769D" w14:textId="44A35B8D" w:rsidR="002777E9" w:rsidRPr="00025127" w:rsidRDefault="002777E9"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6D6B82B3" w:rsidR="002777E9" w:rsidRPr="00025127" w:rsidRDefault="002777E9" w:rsidP="00F25B61">
          <w:pPr>
            <w:pStyle w:val="Encabezado"/>
            <w:rPr>
              <w:rFonts w:ascii="Palatino Linotype" w:hAnsi="Palatino Linotype"/>
              <w:b/>
              <w:sz w:val="22"/>
              <w:szCs w:val="22"/>
            </w:rPr>
          </w:pPr>
          <w:r>
            <w:rPr>
              <w:rFonts w:ascii="Palatino Linotype" w:hAnsi="Palatino Linotype"/>
              <w:b/>
              <w:sz w:val="22"/>
              <w:szCs w:val="22"/>
            </w:rPr>
            <w:t>15923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2777E9" w:rsidRPr="00025127" w14:paraId="128C8B3C" w14:textId="77777777" w:rsidTr="00DB795F">
      <w:trPr>
        <w:trHeight w:val="233"/>
        <w:jc w:val="right"/>
      </w:trPr>
      <w:tc>
        <w:tcPr>
          <w:tcW w:w="3686" w:type="dxa"/>
          <w:vAlign w:val="center"/>
        </w:tcPr>
        <w:p w14:paraId="483E3371" w14:textId="66B1BC74" w:rsidR="002777E9" w:rsidRPr="00025127" w:rsidRDefault="002777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0F1AA1E6" w:rsidR="002777E9" w:rsidRPr="00025127" w:rsidRDefault="00864255" w:rsidP="0058757A">
          <w:pPr>
            <w:pStyle w:val="Encabezado"/>
            <w:rPr>
              <w:rFonts w:ascii="Palatino Linotype" w:hAnsi="Palatino Linotype"/>
              <w:b/>
              <w:sz w:val="22"/>
              <w:szCs w:val="22"/>
            </w:rPr>
          </w:pPr>
          <w:r>
            <w:rPr>
              <w:rFonts w:ascii="Palatino Linotype" w:hAnsi="Palatino Linotype"/>
              <w:b/>
              <w:sz w:val="22"/>
              <w:szCs w:val="22"/>
            </w:rPr>
            <w:t>XXXXXXXXXXX</w:t>
          </w:r>
        </w:p>
      </w:tc>
    </w:tr>
    <w:tr w:rsidR="002777E9" w:rsidRPr="00025127" w14:paraId="41BE0704" w14:textId="77777777" w:rsidTr="00DB795F">
      <w:trPr>
        <w:trHeight w:val="321"/>
        <w:jc w:val="right"/>
      </w:trPr>
      <w:tc>
        <w:tcPr>
          <w:tcW w:w="3686" w:type="dxa"/>
          <w:vAlign w:val="center"/>
        </w:tcPr>
        <w:p w14:paraId="34C64148" w14:textId="10C6C8A9" w:rsidR="002777E9" w:rsidRPr="00025127" w:rsidRDefault="002777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7B67FD34" w:rsidR="002777E9" w:rsidRPr="00025127" w:rsidRDefault="002777E9" w:rsidP="009B260B">
          <w:pPr>
            <w:pStyle w:val="Encabezado"/>
            <w:rPr>
              <w:rFonts w:ascii="Palatino Linotype" w:hAnsi="Palatino Linotype"/>
              <w:b/>
              <w:sz w:val="22"/>
              <w:szCs w:val="22"/>
            </w:rPr>
          </w:pPr>
          <w:r>
            <w:rPr>
              <w:rFonts w:ascii="Palatino Linotype" w:hAnsi="Palatino Linotype"/>
              <w:b/>
              <w:bCs/>
              <w:color w:val="000000"/>
              <w:sz w:val="22"/>
              <w:szCs w:val="22"/>
            </w:rPr>
            <w:t>Ayuntamiento de Almoloya de Juárez</w:t>
          </w:r>
        </w:p>
      </w:tc>
    </w:tr>
    <w:tr w:rsidR="002777E9" w:rsidRPr="00025127" w14:paraId="245F525F" w14:textId="77777777" w:rsidTr="00DB795F">
      <w:trPr>
        <w:trHeight w:val="321"/>
        <w:jc w:val="right"/>
      </w:trPr>
      <w:tc>
        <w:tcPr>
          <w:tcW w:w="3686" w:type="dxa"/>
          <w:vAlign w:val="center"/>
        </w:tcPr>
        <w:p w14:paraId="12720156" w14:textId="13C22373" w:rsidR="002777E9" w:rsidRPr="00C42A21" w:rsidRDefault="002777E9"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2777E9" w:rsidRPr="00C42A21" w:rsidRDefault="002777E9"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2777E9" w:rsidRDefault="009409C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A20F9"/>
    <w:multiLevelType w:val="hybridMultilevel"/>
    <w:tmpl w:val="9C946D6E"/>
    <w:lvl w:ilvl="0" w:tplc="FFFFFFFF">
      <w:start w:val="1"/>
      <w:numFmt w:val="decimal"/>
      <w:lvlText w:val="%1."/>
      <w:lvlJc w:val="left"/>
      <w:pPr>
        <w:ind w:left="0" w:firstLine="0"/>
      </w:pPr>
      <w:rPr>
        <w:rFonts w:ascii="Palatino Linotype" w:hAnsi="Palatino Linotype" w:hint="default"/>
        <w:b/>
        <w:i w:val="0"/>
        <w:sz w:val="24"/>
      </w:rPr>
    </w:lvl>
    <w:lvl w:ilvl="1" w:tplc="B2CE02C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C84E32"/>
    <w:multiLevelType w:val="hybridMultilevel"/>
    <w:tmpl w:val="9FFE7CF8"/>
    <w:lvl w:ilvl="0" w:tplc="FFFFFFFF">
      <w:start w:val="1"/>
      <w:numFmt w:val="decimal"/>
      <w:lvlText w:val="%1."/>
      <w:lvlJc w:val="left"/>
      <w:pPr>
        <w:ind w:left="0" w:firstLine="0"/>
      </w:pPr>
      <w:rPr>
        <w:rFonts w:ascii="Palatino Linotype" w:hAnsi="Palatino Linotype" w:hint="default"/>
        <w:b/>
        <w:i w:val="0"/>
        <w:sz w:val="24"/>
      </w:rPr>
    </w:lvl>
    <w:lvl w:ilvl="1" w:tplc="D0D05CE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183791"/>
    <w:multiLevelType w:val="hybridMultilevel"/>
    <w:tmpl w:val="F618B6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C60588"/>
    <w:multiLevelType w:val="hybridMultilevel"/>
    <w:tmpl w:val="C79C50A4"/>
    <w:lvl w:ilvl="0" w:tplc="B36A770E">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CB561B"/>
    <w:multiLevelType w:val="hybridMultilevel"/>
    <w:tmpl w:val="20EAFA0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D77122"/>
    <w:multiLevelType w:val="hybridMultilevel"/>
    <w:tmpl w:val="E02234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9043D4"/>
    <w:multiLevelType w:val="hybridMultilevel"/>
    <w:tmpl w:val="F65CEA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CA4981"/>
    <w:multiLevelType w:val="hybridMultilevel"/>
    <w:tmpl w:val="2078E62E"/>
    <w:lvl w:ilvl="0" w:tplc="FFFFFFFF">
      <w:start w:val="1"/>
      <w:numFmt w:val="decimal"/>
      <w:lvlText w:val="%1."/>
      <w:lvlJc w:val="left"/>
      <w:pPr>
        <w:ind w:left="0" w:firstLine="0"/>
      </w:pPr>
      <w:rPr>
        <w:rFonts w:ascii="Palatino Linotype" w:hAnsi="Palatino Linotype" w:hint="default"/>
        <w:b/>
        <w:i w:val="0"/>
        <w:sz w:val="24"/>
      </w:rPr>
    </w:lvl>
    <w:lvl w:ilvl="1" w:tplc="FEDE3CD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25777FC"/>
    <w:multiLevelType w:val="hybridMultilevel"/>
    <w:tmpl w:val="E3942B9A"/>
    <w:lvl w:ilvl="0" w:tplc="FFFFFFFF">
      <w:start w:val="1"/>
      <w:numFmt w:val="decimal"/>
      <w:lvlText w:val="%1."/>
      <w:lvlJc w:val="left"/>
      <w:pPr>
        <w:ind w:left="0" w:firstLine="0"/>
      </w:pPr>
      <w:rPr>
        <w:rFonts w:ascii="Palatino Linotype" w:hAnsi="Palatino Linotype" w:hint="default"/>
        <w:b/>
        <w:i w:val="0"/>
        <w:sz w:val="24"/>
      </w:rPr>
    </w:lvl>
    <w:lvl w:ilvl="1" w:tplc="FED6E8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904"/>
    <w:multiLevelType w:val="hybridMultilevel"/>
    <w:tmpl w:val="C666E9DC"/>
    <w:lvl w:ilvl="0" w:tplc="FFFFFFFF">
      <w:start w:val="1"/>
      <w:numFmt w:val="decimal"/>
      <w:lvlText w:val="%1."/>
      <w:lvlJc w:val="left"/>
      <w:pPr>
        <w:ind w:left="0" w:firstLine="0"/>
      </w:pPr>
      <w:rPr>
        <w:rFonts w:ascii="Palatino Linotype" w:hAnsi="Palatino Linotype" w:hint="default"/>
        <w:b/>
        <w:i w:val="0"/>
        <w:sz w:val="24"/>
      </w:rPr>
    </w:lvl>
    <w:lvl w:ilvl="1" w:tplc="36861B9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D3A33"/>
    <w:multiLevelType w:val="hybridMultilevel"/>
    <w:tmpl w:val="CCA45654"/>
    <w:lvl w:ilvl="0" w:tplc="FFFFFFFF">
      <w:start w:val="1"/>
      <w:numFmt w:val="decimal"/>
      <w:lvlText w:val="%1."/>
      <w:lvlJc w:val="left"/>
      <w:pPr>
        <w:ind w:left="0" w:firstLine="0"/>
      </w:pPr>
      <w:rPr>
        <w:rFonts w:ascii="Palatino Linotype" w:hAnsi="Palatino Linotype" w:hint="default"/>
        <w:b/>
        <w:i w:val="0"/>
        <w:sz w:val="24"/>
      </w:rPr>
    </w:lvl>
    <w:lvl w:ilvl="1" w:tplc="52CCAE06">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3DB7B0C"/>
    <w:multiLevelType w:val="hybridMultilevel"/>
    <w:tmpl w:val="9920D15E"/>
    <w:lvl w:ilvl="0" w:tplc="FFFFFFFF">
      <w:start w:val="1"/>
      <w:numFmt w:val="decimal"/>
      <w:lvlText w:val="%1."/>
      <w:lvlJc w:val="left"/>
      <w:pPr>
        <w:ind w:left="0" w:firstLine="0"/>
      </w:pPr>
      <w:rPr>
        <w:rFonts w:ascii="Palatino Linotype" w:hAnsi="Palatino Linotype" w:hint="default"/>
        <w:b/>
        <w:i w:val="0"/>
        <w:sz w:val="24"/>
      </w:rPr>
    </w:lvl>
    <w:lvl w:ilvl="1" w:tplc="BC72EB2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CD13F4D"/>
    <w:multiLevelType w:val="hybridMultilevel"/>
    <w:tmpl w:val="36B40C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434147"/>
    <w:multiLevelType w:val="hybridMultilevel"/>
    <w:tmpl w:val="1D50D4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8A7EE7"/>
    <w:multiLevelType w:val="hybridMultilevel"/>
    <w:tmpl w:val="935235C6"/>
    <w:lvl w:ilvl="0" w:tplc="FFFFFFFF">
      <w:start w:val="1"/>
      <w:numFmt w:val="decimal"/>
      <w:lvlText w:val="%1."/>
      <w:lvlJc w:val="left"/>
      <w:pPr>
        <w:ind w:left="0" w:firstLine="0"/>
      </w:pPr>
      <w:rPr>
        <w:rFonts w:ascii="Palatino Linotype" w:hAnsi="Palatino Linotype" w:hint="default"/>
        <w:b/>
        <w:i w:val="0"/>
        <w:sz w:val="24"/>
      </w:rPr>
    </w:lvl>
    <w:lvl w:ilvl="1" w:tplc="46F485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5E12E9"/>
    <w:multiLevelType w:val="hybridMultilevel"/>
    <w:tmpl w:val="61B86AB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D20A6D"/>
    <w:multiLevelType w:val="hybridMultilevel"/>
    <w:tmpl w:val="C090FD44"/>
    <w:lvl w:ilvl="0" w:tplc="FFFFFFFF">
      <w:start w:val="1"/>
      <w:numFmt w:val="decimal"/>
      <w:lvlText w:val="%1."/>
      <w:lvlJc w:val="left"/>
      <w:pPr>
        <w:ind w:left="0" w:firstLine="0"/>
      </w:pPr>
      <w:rPr>
        <w:rFonts w:ascii="Palatino Linotype" w:hAnsi="Palatino Linotype" w:hint="default"/>
        <w:b/>
        <w:i w:val="0"/>
        <w:sz w:val="24"/>
      </w:rPr>
    </w:lvl>
    <w:lvl w:ilvl="1" w:tplc="B36A770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217644C"/>
    <w:multiLevelType w:val="hybridMultilevel"/>
    <w:tmpl w:val="0C8CA87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2193483"/>
    <w:multiLevelType w:val="hybridMultilevel"/>
    <w:tmpl w:val="98206C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667C35"/>
    <w:multiLevelType w:val="hybridMultilevel"/>
    <w:tmpl w:val="97F4F1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6016C"/>
    <w:multiLevelType w:val="hybridMultilevel"/>
    <w:tmpl w:val="6CD48AE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3B654E5"/>
    <w:multiLevelType w:val="hybridMultilevel"/>
    <w:tmpl w:val="CBDE85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3DCFE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CDB3BF2"/>
    <w:multiLevelType w:val="hybridMultilevel"/>
    <w:tmpl w:val="A426C980"/>
    <w:lvl w:ilvl="0" w:tplc="FFFFFFFF">
      <w:start w:val="1"/>
      <w:numFmt w:val="decimal"/>
      <w:lvlText w:val="%1."/>
      <w:lvlJc w:val="left"/>
      <w:pPr>
        <w:ind w:left="0" w:firstLine="0"/>
      </w:pPr>
      <w:rPr>
        <w:rFonts w:ascii="Palatino Linotype" w:hAnsi="Palatino Linotype" w:hint="default"/>
        <w:b/>
        <w:i w:val="0"/>
        <w:sz w:val="24"/>
      </w:rPr>
    </w:lvl>
    <w:lvl w:ilvl="1" w:tplc="E26494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CDD07DF"/>
    <w:multiLevelType w:val="hybridMultilevel"/>
    <w:tmpl w:val="2B48D17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31"/>
  </w:num>
  <w:num w:numId="5">
    <w:abstractNumId w:val="9"/>
  </w:num>
  <w:num w:numId="6">
    <w:abstractNumId w:val="20"/>
  </w:num>
  <w:num w:numId="7">
    <w:abstractNumId w:val="21"/>
  </w:num>
  <w:num w:numId="8">
    <w:abstractNumId w:val="22"/>
  </w:num>
  <w:num w:numId="9">
    <w:abstractNumId w:val="18"/>
  </w:num>
  <w:num w:numId="10">
    <w:abstractNumId w:val="24"/>
  </w:num>
  <w:num w:numId="11">
    <w:abstractNumId w:val="33"/>
  </w:num>
  <w:num w:numId="12">
    <w:abstractNumId w:val="11"/>
  </w:num>
  <w:num w:numId="13">
    <w:abstractNumId w:val="26"/>
  </w:num>
  <w:num w:numId="14">
    <w:abstractNumId w:val="4"/>
  </w:num>
  <w:num w:numId="15">
    <w:abstractNumId w:val="17"/>
  </w:num>
  <w:num w:numId="16">
    <w:abstractNumId w:val="16"/>
  </w:num>
  <w:num w:numId="17">
    <w:abstractNumId w:val="14"/>
  </w:num>
  <w:num w:numId="18">
    <w:abstractNumId w:val="12"/>
  </w:num>
  <w:num w:numId="19">
    <w:abstractNumId w:val="1"/>
  </w:num>
  <w:num w:numId="20">
    <w:abstractNumId w:val="2"/>
  </w:num>
  <w:num w:numId="21">
    <w:abstractNumId w:val="10"/>
  </w:num>
  <w:num w:numId="22">
    <w:abstractNumId w:val="32"/>
  </w:num>
  <w:num w:numId="23">
    <w:abstractNumId w:val="6"/>
  </w:num>
  <w:num w:numId="24">
    <w:abstractNumId w:val="29"/>
  </w:num>
  <w:num w:numId="25">
    <w:abstractNumId w:val="19"/>
  </w:num>
  <w:num w:numId="26">
    <w:abstractNumId w:val="30"/>
  </w:num>
  <w:num w:numId="27">
    <w:abstractNumId w:val="7"/>
  </w:num>
  <w:num w:numId="28">
    <w:abstractNumId w:val="23"/>
  </w:num>
  <w:num w:numId="29">
    <w:abstractNumId w:val="28"/>
  </w:num>
  <w:num w:numId="30">
    <w:abstractNumId w:val="25"/>
  </w:num>
  <w:num w:numId="31">
    <w:abstractNumId w:val="3"/>
  </w:num>
  <w:num w:numId="32">
    <w:abstractNumId w:val="5"/>
  </w:num>
  <w:num w:numId="33">
    <w:abstractNumId w:val="8"/>
  </w:num>
  <w:num w:numId="34">
    <w:abstractNumId w:val="34"/>
  </w:num>
  <w:num w:numId="3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2ED9"/>
    <w:rsid w:val="0001398B"/>
    <w:rsid w:val="00014F51"/>
    <w:rsid w:val="00015640"/>
    <w:rsid w:val="0001564B"/>
    <w:rsid w:val="00016250"/>
    <w:rsid w:val="0001646F"/>
    <w:rsid w:val="000203D3"/>
    <w:rsid w:val="000204A6"/>
    <w:rsid w:val="00020F92"/>
    <w:rsid w:val="000211F8"/>
    <w:rsid w:val="0002146F"/>
    <w:rsid w:val="00022D89"/>
    <w:rsid w:val="000236A3"/>
    <w:rsid w:val="00024184"/>
    <w:rsid w:val="0002451F"/>
    <w:rsid w:val="00024F35"/>
    <w:rsid w:val="00025127"/>
    <w:rsid w:val="00025266"/>
    <w:rsid w:val="0003063D"/>
    <w:rsid w:val="00031C50"/>
    <w:rsid w:val="00031D37"/>
    <w:rsid w:val="00031F10"/>
    <w:rsid w:val="00031F98"/>
    <w:rsid w:val="00032493"/>
    <w:rsid w:val="00032D4B"/>
    <w:rsid w:val="00033775"/>
    <w:rsid w:val="00035AF8"/>
    <w:rsid w:val="0003619B"/>
    <w:rsid w:val="00036873"/>
    <w:rsid w:val="0004072A"/>
    <w:rsid w:val="000411E2"/>
    <w:rsid w:val="0004193F"/>
    <w:rsid w:val="00042380"/>
    <w:rsid w:val="000435A5"/>
    <w:rsid w:val="000444BD"/>
    <w:rsid w:val="00044C8A"/>
    <w:rsid w:val="00044DB9"/>
    <w:rsid w:val="00045F01"/>
    <w:rsid w:val="0004686A"/>
    <w:rsid w:val="000468E2"/>
    <w:rsid w:val="00046CEE"/>
    <w:rsid w:val="000475B0"/>
    <w:rsid w:val="000478BA"/>
    <w:rsid w:val="0005200B"/>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5B20"/>
    <w:rsid w:val="0007600C"/>
    <w:rsid w:val="000761B9"/>
    <w:rsid w:val="000770CE"/>
    <w:rsid w:val="000800AC"/>
    <w:rsid w:val="0008053C"/>
    <w:rsid w:val="00081B15"/>
    <w:rsid w:val="0008230A"/>
    <w:rsid w:val="00082D11"/>
    <w:rsid w:val="00082E28"/>
    <w:rsid w:val="00083076"/>
    <w:rsid w:val="000834FE"/>
    <w:rsid w:val="00083CD8"/>
    <w:rsid w:val="0008465D"/>
    <w:rsid w:val="00084E31"/>
    <w:rsid w:val="0008542A"/>
    <w:rsid w:val="00090D6F"/>
    <w:rsid w:val="00091C2C"/>
    <w:rsid w:val="00093FB4"/>
    <w:rsid w:val="00093FC7"/>
    <w:rsid w:val="000948A9"/>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456"/>
    <w:rsid w:val="000B6D31"/>
    <w:rsid w:val="000B750B"/>
    <w:rsid w:val="000B7C4F"/>
    <w:rsid w:val="000C0061"/>
    <w:rsid w:val="000C0663"/>
    <w:rsid w:val="000C09DF"/>
    <w:rsid w:val="000C0BBB"/>
    <w:rsid w:val="000C10B9"/>
    <w:rsid w:val="000C1D19"/>
    <w:rsid w:val="000C2E5F"/>
    <w:rsid w:val="000C2E72"/>
    <w:rsid w:val="000C3423"/>
    <w:rsid w:val="000C3861"/>
    <w:rsid w:val="000C38DB"/>
    <w:rsid w:val="000C3988"/>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5E59"/>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0E47"/>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CEF"/>
    <w:rsid w:val="00140D44"/>
    <w:rsid w:val="00141DB5"/>
    <w:rsid w:val="00142648"/>
    <w:rsid w:val="00142DC2"/>
    <w:rsid w:val="00143219"/>
    <w:rsid w:val="001436BB"/>
    <w:rsid w:val="001437CC"/>
    <w:rsid w:val="00143BD1"/>
    <w:rsid w:val="001459C8"/>
    <w:rsid w:val="001463B1"/>
    <w:rsid w:val="001468E9"/>
    <w:rsid w:val="0014752F"/>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93C"/>
    <w:rsid w:val="00164B65"/>
    <w:rsid w:val="001656F2"/>
    <w:rsid w:val="00165DC8"/>
    <w:rsid w:val="00166794"/>
    <w:rsid w:val="00167813"/>
    <w:rsid w:val="00170D66"/>
    <w:rsid w:val="00172417"/>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36A9"/>
    <w:rsid w:val="001A4D5D"/>
    <w:rsid w:val="001A5150"/>
    <w:rsid w:val="001A5328"/>
    <w:rsid w:val="001A58B9"/>
    <w:rsid w:val="001A61E1"/>
    <w:rsid w:val="001A6BEF"/>
    <w:rsid w:val="001A6C1E"/>
    <w:rsid w:val="001B04D8"/>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401"/>
    <w:rsid w:val="001F783F"/>
    <w:rsid w:val="001F7AFD"/>
    <w:rsid w:val="001F7DE2"/>
    <w:rsid w:val="002001BE"/>
    <w:rsid w:val="002031F3"/>
    <w:rsid w:val="002058A7"/>
    <w:rsid w:val="00205A1A"/>
    <w:rsid w:val="00206641"/>
    <w:rsid w:val="00207665"/>
    <w:rsid w:val="002076E2"/>
    <w:rsid w:val="0021056F"/>
    <w:rsid w:val="00211229"/>
    <w:rsid w:val="00211E8C"/>
    <w:rsid w:val="0021228C"/>
    <w:rsid w:val="00212C9C"/>
    <w:rsid w:val="00212FCA"/>
    <w:rsid w:val="00213108"/>
    <w:rsid w:val="00213DFB"/>
    <w:rsid w:val="0021453E"/>
    <w:rsid w:val="0021475E"/>
    <w:rsid w:val="00215A63"/>
    <w:rsid w:val="0021613E"/>
    <w:rsid w:val="002179AC"/>
    <w:rsid w:val="00217B86"/>
    <w:rsid w:val="00220ADB"/>
    <w:rsid w:val="002217BA"/>
    <w:rsid w:val="00221E74"/>
    <w:rsid w:val="00223507"/>
    <w:rsid w:val="00223ACC"/>
    <w:rsid w:val="0022448D"/>
    <w:rsid w:val="00226ED6"/>
    <w:rsid w:val="002275DE"/>
    <w:rsid w:val="00230170"/>
    <w:rsid w:val="002305CF"/>
    <w:rsid w:val="00231D37"/>
    <w:rsid w:val="00232110"/>
    <w:rsid w:val="00232959"/>
    <w:rsid w:val="00233E08"/>
    <w:rsid w:val="002345FF"/>
    <w:rsid w:val="00235DF2"/>
    <w:rsid w:val="00237611"/>
    <w:rsid w:val="002408D7"/>
    <w:rsid w:val="00240EAE"/>
    <w:rsid w:val="002426EA"/>
    <w:rsid w:val="00244476"/>
    <w:rsid w:val="002457CF"/>
    <w:rsid w:val="0024737A"/>
    <w:rsid w:val="00247B6B"/>
    <w:rsid w:val="002500FA"/>
    <w:rsid w:val="002507D8"/>
    <w:rsid w:val="002508AA"/>
    <w:rsid w:val="00252A20"/>
    <w:rsid w:val="00252B41"/>
    <w:rsid w:val="0025524F"/>
    <w:rsid w:val="0025587E"/>
    <w:rsid w:val="0025695A"/>
    <w:rsid w:val="00257740"/>
    <w:rsid w:val="0025775D"/>
    <w:rsid w:val="002578EE"/>
    <w:rsid w:val="00257E5F"/>
    <w:rsid w:val="00260A12"/>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4E9"/>
    <w:rsid w:val="00273C37"/>
    <w:rsid w:val="0027430D"/>
    <w:rsid w:val="002743CC"/>
    <w:rsid w:val="002746D9"/>
    <w:rsid w:val="00274ED2"/>
    <w:rsid w:val="002754FC"/>
    <w:rsid w:val="002765F2"/>
    <w:rsid w:val="002777E9"/>
    <w:rsid w:val="00277A35"/>
    <w:rsid w:val="002808E4"/>
    <w:rsid w:val="00280994"/>
    <w:rsid w:val="00280E3F"/>
    <w:rsid w:val="00280F05"/>
    <w:rsid w:val="0028248C"/>
    <w:rsid w:val="00282B05"/>
    <w:rsid w:val="002838A7"/>
    <w:rsid w:val="002838CF"/>
    <w:rsid w:val="00284A3F"/>
    <w:rsid w:val="00284CC1"/>
    <w:rsid w:val="00284D1C"/>
    <w:rsid w:val="002857F3"/>
    <w:rsid w:val="00286DDB"/>
    <w:rsid w:val="00286E44"/>
    <w:rsid w:val="002871EB"/>
    <w:rsid w:val="00290B2E"/>
    <w:rsid w:val="00290DBD"/>
    <w:rsid w:val="002913CD"/>
    <w:rsid w:val="00291D91"/>
    <w:rsid w:val="00292333"/>
    <w:rsid w:val="002948C4"/>
    <w:rsid w:val="002960D6"/>
    <w:rsid w:val="00296AB7"/>
    <w:rsid w:val="00296F5F"/>
    <w:rsid w:val="00297E45"/>
    <w:rsid w:val="002A1CD3"/>
    <w:rsid w:val="002A2099"/>
    <w:rsid w:val="002A229B"/>
    <w:rsid w:val="002A35B6"/>
    <w:rsid w:val="002A4000"/>
    <w:rsid w:val="002A4172"/>
    <w:rsid w:val="002A4516"/>
    <w:rsid w:val="002A54DE"/>
    <w:rsid w:val="002A70E6"/>
    <w:rsid w:val="002A7FAB"/>
    <w:rsid w:val="002B0692"/>
    <w:rsid w:val="002B085C"/>
    <w:rsid w:val="002B1AE9"/>
    <w:rsid w:val="002B1C98"/>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622"/>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920"/>
    <w:rsid w:val="00310B1D"/>
    <w:rsid w:val="00310D66"/>
    <w:rsid w:val="003111C5"/>
    <w:rsid w:val="00311481"/>
    <w:rsid w:val="0031153E"/>
    <w:rsid w:val="003116A6"/>
    <w:rsid w:val="00311863"/>
    <w:rsid w:val="00311C58"/>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17E"/>
    <w:rsid w:val="00326579"/>
    <w:rsid w:val="00327D27"/>
    <w:rsid w:val="00327D79"/>
    <w:rsid w:val="00330E47"/>
    <w:rsid w:val="00332E6B"/>
    <w:rsid w:val="00332E70"/>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2E44"/>
    <w:rsid w:val="00355AEE"/>
    <w:rsid w:val="00355D3B"/>
    <w:rsid w:val="00355DEE"/>
    <w:rsid w:val="0035606B"/>
    <w:rsid w:val="0035651C"/>
    <w:rsid w:val="00357CC7"/>
    <w:rsid w:val="0036073F"/>
    <w:rsid w:val="003615A3"/>
    <w:rsid w:val="003629EE"/>
    <w:rsid w:val="0036327D"/>
    <w:rsid w:val="00363B19"/>
    <w:rsid w:val="003643B3"/>
    <w:rsid w:val="00365220"/>
    <w:rsid w:val="00366548"/>
    <w:rsid w:val="003708DD"/>
    <w:rsid w:val="00370B8E"/>
    <w:rsid w:val="00370BB1"/>
    <w:rsid w:val="003721B2"/>
    <w:rsid w:val="00372328"/>
    <w:rsid w:val="003747EC"/>
    <w:rsid w:val="00374CE8"/>
    <w:rsid w:val="00375ABB"/>
    <w:rsid w:val="003762FD"/>
    <w:rsid w:val="00376FD2"/>
    <w:rsid w:val="00377278"/>
    <w:rsid w:val="003772BD"/>
    <w:rsid w:val="00377A76"/>
    <w:rsid w:val="0038132B"/>
    <w:rsid w:val="00383E66"/>
    <w:rsid w:val="003846ED"/>
    <w:rsid w:val="00384AE2"/>
    <w:rsid w:val="00385699"/>
    <w:rsid w:val="00387DC9"/>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3E5"/>
    <w:rsid w:val="003A5E73"/>
    <w:rsid w:val="003A63D9"/>
    <w:rsid w:val="003A6417"/>
    <w:rsid w:val="003A65FE"/>
    <w:rsid w:val="003A6A5A"/>
    <w:rsid w:val="003A7221"/>
    <w:rsid w:val="003A730E"/>
    <w:rsid w:val="003A7A5E"/>
    <w:rsid w:val="003B123F"/>
    <w:rsid w:val="003B1857"/>
    <w:rsid w:val="003B1CEE"/>
    <w:rsid w:val="003B2199"/>
    <w:rsid w:val="003B2856"/>
    <w:rsid w:val="003B2A0D"/>
    <w:rsid w:val="003B31FA"/>
    <w:rsid w:val="003B3302"/>
    <w:rsid w:val="003B55AD"/>
    <w:rsid w:val="003B72A2"/>
    <w:rsid w:val="003B7EC4"/>
    <w:rsid w:val="003C0BEF"/>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645"/>
    <w:rsid w:val="003E2E98"/>
    <w:rsid w:val="003E3700"/>
    <w:rsid w:val="003E39CA"/>
    <w:rsid w:val="003E3AF9"/>
    <w:rsid w:val="003E4701"/>
    <w:rsid w:val="003E5219"/>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3312"/>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0B3"/>
    <w:rsid w:val="004473B2"/>
    <w:rsid w:val="004476A5"/>
    <w:rsid w:val="00447F0D"/>
    <w:rsid w:val="00450A5F"/>
    <w:rsid w:val="00451081"/>
    <w:rsid w:val="00451514"/>
    <w:rsid w:val="00453BB4"/>
    <w:rsid w:val="00454B9D"/>
    <w:rsid w:val="00454C2F"/>
    <w:rsid w:val="00455FBA"/>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0262"/>
    <w:rsid w:val="00480B3D"/>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44A"/>
    <w:rsid w:val="004B7992"/>
    <w:rsid w:val="004C00C3"/>
    <w:rsid w:val="004C09B4"/>
    <w:rsid w:val="004C156B"/>
    <w:rsid w:val="004C19DC"/>
    <w:rsid w:val="004C2082"/>
    <w:rsid w:val="004C20F2"/>
    <w:rsid w:val="004C251E"/>
    <w:rsid w:val="004C3F25"/>
    <w:rsid w:val="004C4E77"/>
    <w:rsid w:val="004C525E"/>
    <w:rsid w:val="004C6796"/>
    <w:rsid w:val="004C67E2"/>
    <w:rsid w:val="004C6BD8"/>
    <w:rsid w:val="004C7014"/>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2327"/>
    <w:rsid w:val="004E3619"/>
    <w:rsid w:val="004E3A4F"/>
    <w:rsid w:val="004E41E7"/>
    <w:rsid w:val="004E449C"/>
    <w:rsid w:val="004E6E3A"/>
    <w:rsid w:val="004E7253"/>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1E69"/>
    <w:rsid w:val="0050214A"/>
    <w:rsid w:val="00502E03"/>
    <w:rsid w:val="00503A6B"/>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7A"/>
    <w:rsid w:val="00530476"/>
    <w:rsid w:val="00531594"/>
    <w:rsid w:val="00533180"/>
    <w:rsid w:val="00537E2C"/>
    <w:rsid w:val="00540208"/>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440"/>
    <w:rsid w:val="00554545"/>
    <w:rsid w:val="0055544F"/>
    <w:rsid w:val="00556533"/>
    <w:rsid w:val="00556B04"/>
    <w:rsid w:val="00556F72"/>
    <w:rsid w:val="00556F82"/>
    <w:rsid w:val="00560A81"/>
    <w:rsid w:val="00560C00"/>
    <w:rsid w:val="00561ED1"/>
    <w:rsid w:val="005620B7"/>
    <w:rsid w:val="00562B0A"/>
    <w:rsid w:val="00562CCE"/>
    <w:rsid w:val="00563FC3"/>
    <w:rsid w:val="00565009"/>
    <w:rsid w:val="0056555A"/>
    <w:rsid w:val="005669D6"/>
    <w:rsid w:val="00566BC5"/>
    <w:rsid w:val="0056736A"/>
    <w:rsid w:val="0056788F"/>
    <w:rsid w:val="00567998"/>
    <w:rsid w:val="00570911"/>
    <w:rsid w:val="00573BC6"/>
    <w:rsid w:val="00575812"/>
    <w:rsid w:val="005759CD"/>
    <w:rsid w:val="00575D39"/>
    <w:rsid w:val="00575F2C"/>
    <w:rsid w:val="005773AC"/>
    <w:rsid w:val="005777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57F5"/>
    <w:rsid w:val="00596514"/>
    <w:rsid w:val="0059679B"/>
    <w:rsid w:val="00597B44"/>
    <w:rsid w:val="00597D18"/>
    <w:rsid w:val="005A1FAB"/>
    <w:rsid w:val="005A228F"/>
    <w:rsid w:val="005A22CB"/>
    <w:rsid w:val="005A2A65"/>
    <w:rsid w:val="005A2F65"/>
    <w:rsid w:val="005A3513"/>
    <w:rsid w:val="005A3581"/>
    <w:rsid w:val="005A3BD7"/>
    <w:rsid w:val="005A4896"/>
    <w:rsid w:val="005A5291"/>
    <w:rsid w:val="005A60E1"/>
    <w:rsid w:val="005A6788"/>
    <w:rsid w:val="005A786F"/>
    <w:rsid w:val="005B0AF6"/>
    <w:rsid w:val="005B11FC"/>
    <w:rsid w:val="005B13E4"/>
    <w:rsid w:val="005B169C"/>
    <w:rsid w:val="005B2DD1"/>
    <w:rsid w:val="005B3A2A"/>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1933"/>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46D2"/>
    <w:rsid w:val="005E55F2"/>
    <w:rsid w:val="005E63BB"/>
    <w:rsid w:val="005E68FC"/>
    <w:rsid w:val="005E7271"/>
    <w:rsid w:val="005E72E4"/>
    <w:rsid w:val="005E76A0"/>
    <w:rsid w:val="005E7CC9"/>
    <w:rsid w:val="005F0007"/>
    <w:rsid w:val="005F0210"/>
    <w:rsid w:val="005F0E6C"/>
    <w:rsid w:val="005F1362"/>
    <w:rsid w:val="005F1BAD"/>
    <w:rsid w:val="005F3685"/>
    <w:rsid w:val="005F3E8B"/>
    <w:rsid w:val="005F487C"/>
    <w:rsid w:val="005F4BB1"/>
    <w:rsid w:val="005F53A4"/>
    <w:rsid w:val="005F5FE1"/>
    <w:rsid w:val="005F62B2"/>
    <w:rsid w:val="005F715E"/>
    <w:rsid w:val="006010DA"/>
    <w:rsid w:val="006015F0"/>
    <w:rsid w:val="006017AB"/>
    <w:rsid w:val="00604AC3"/>
    <w:rsid w:val="00605865"/>
    <w:rsid w:val="0060647C"/>
    <w:rsid w:val="00611DC1"/>
    <w:rsid w:val="00613655"/>
    <w:rsid w:val="00613717"/>
    <w:rsid w:val="006144EE"/>
    <w:rsid w:val="00614B26"/>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5BD"/>
    <w:rsid w:val="00644A5C"/>
    <w:rsid w:val="00644E1B"/>
    <w:rsid w:val="00645E03"/>
    <w:rsid w:val="00646A08"/>
    <w:rsid w:val="00646E43"/>
    <w:rsid w:val="00650392"/>
    <w:rsid w:val="0065061D"/>
    <w:rsid w:val="00651701"/>
    <w:rsid w:val="00652854"/>
    <w:rsid w:val="00654822"/>
    <w:rsid w:val="00654AFC"/>
    <w:rsid w:val="00654B48"/>
    <w:rsid w:val="00655146"/>
    <w:rsid w:val="0065715E"/>
    <w:rsid w:val="00657670"/>
    <w:rsid w:val="00657DBF"/>
    <w:rsid w:val="00657DE0"/>
    <w:rsid w:val="00657F92"/>
    <w:rsid w:val="006602F0"/>
    <w:rsid w:val="00662C69"/>
    <w:rsid w:val="006633C0"/>
    <w:rsid w:val="00663470"/>
    <w:rsid w:val="00663CC7"/>
    <w:rsid w:val="006642CA"/>
    <w:rsid w:val="0066458B"/>
    <w:rsid w:val="00664805"/>
    <w:rsid w:val="00664FB5"/>
    <w:rsid w:val="00666F96"/>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6BBB"/>
    <w:rsid w:val="00686F6D"/>
    <w:rsid w:val="00687CAD"/>
    <w:rsid w:val="006901FA"/>
    <w:rsid w:val="006904D3"/>
    <w:rsid w:val="00690ED0"/>
    <w:rsid w:val="00691E3F"/>
    <w:rsid w:val="00692D5E"/>
    <w:rsid w:val="006931A5"/>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53EE"/>
    <w:rsid w:val="006B5BA1"/>
    <w:rsid w:val="006B65D4"/>
    <w:rsid w:val="006B7A58"/>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3747"/>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46C2"/>
    <w:rsid w:val="006F51AA"/>
    <w:rsid w:val="006F5F55"/>
    <w:rsid w:val="006F69E5"/>
    <w:rsid w:val="00700359"/>
    <w:rsid w:val="00700FFE"/>
    <w:rsid w:val="00701218"/>
    <w:rsid w:val="00702D2E"/>
    <w:rsid w:val="007050B1"/>
    <w:rsid w:val="00705527"/>
    <w:rsid w:val="00706D6F"/>
    <w:rsid w:val="00707096"/>
    <w:rsid w:val="007108EC"/>
    <w:rsid w:val="00710B50"/>
    <w:rsid w:val="007127BB"/>
    <w:rsid w:val="007136BC"/>
    <w:rsid w:val="00713B2F"/>
    <w:rsid w:val="00714576"/>
    <w:rsid w:val="00714FEC"/>
    <w:rsid w:val="00715A04"/>
    <w:rsid w:val="00715B7D"/>
    <w:rsid w:val="0071675F"/>
    <w:rsid w:val="00717C19"/>
    <w:rsid w:val="00721335"/>
    <w:rsid w:val="00721924"/>
    <w:rsid w:val="00721F66"/>
    <w:rsid w:val="00722994"/>
    <w:rsid w:val="00722B93"/>
    <w:rsid w:val="0072380E"/>
    <w:rsid w:val="0072445A"/>
    <w:rsid w:val="007263AA"/>
    <w:rsid w:val="00731F1F"/>
    <w:rsid w:val="00732319"/>
    <w:rsid w:val="0073324B"/>
    <w:rsid w:val="007337E6"/>
    <w:rsid w:val="00733ACD"/>
    <w:rsid w:val="00734FF5"/>
    <w:rsid w:val="00735A66"/>
    <w:rsid w:val="00735A75"/>
    <w:rsid w:val="00735A83"/>
    <w:rsid w:val="007365A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604A"/>
    <w:rsid w:val="0075650E"/>
    <w:rsid w:val="00757995"/>
    <w:rsid w:val="00760BAE"/>
    <w:rsid w:val="00762511"/>
    <w:rsid w:val="00762697"/>
    <w:rsid w:val="007644E6"/>
    <w:rsid w:val="007652EA"/>
    <w:rsid w:val="00766979"/>
    <w:rsid w:val="00766CDD"/>
    <w:rsid w:val="007674F3"/>
    <w:rsid w:val="00767CD2"/>
    <w:rsid w:val="00770859"/>
    <w:rsid w:val="00772245"/>
    <w:rsid w:val="0077236C"/>
    <w:rsid w:val="0077277D"/>
    <w:rsid w:val="00772B8D"/>
    <w:rsid w:val="00774A5F"/>
    <w:rsid w:val="00774AB3"/>
    <w:rsid w:val="00774DFD"/>
    <w:rsid w:val="00774FF1"/>
    <w:rsid w:val="007753FA"/>
    <w:rsid w:val="0077544D"/>
    <w:rsid w:val="007758D3"/>
    <w:rsid w:val="00775D67"/>
    <w:rsid w:val="00776C78"/>
    <w:rsid w:val="0078079A"/>
    <w:rsid w:val="0078249C"/>
    <w:rsid w:val="00784AA0"/>
    <w:rsid w:val="00784B65"/>
    <w:rsid w:val="00784F3D"/>
    <w:rsid w:val="00785321"/>
    <w:rsid w:val="00785E63"/>
    <w:rsid w:val="007860B9"/>
    <w:rsid w:val="007861AF"/>
    <w:rsid w:val="00786DD5"/>
    <w:rsid w:val="00787184"/>
    <w:rsid w:val="007914E4"/>
    <w:rsid w:val="00791CA9"/>
    <w:rsid w:val="00791E58"/>
    <w:rsid w:val="00793E99"/>
    <w:rsid w:val="00794C2B"/>
    <w:rsid w:val="0079588A"/>
    <w:rsid w:val="00797D59"/>
    <w:rsid w:val="00797FD4"/>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1DE"/>
    <w:rsid w:val="007D0C01"/>
    <w:rsid w:val="007D0C9A"/>
    <w:rsid w:val="007D0DE7"/>
    <w:rsid w:val="007D26D2"/>
    <w:rsid w:val="007D2A35"/>
    <w:rsid w:val="007D3356"/>
    <w:rsid w:val="007D3FBD"/>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2AC9"/>
    <w:rsid w:val="00824C4E"/>
    <w:rsid w:val="00826125"/>
    <w:rsid w:val="00826F38"/>
    <w:rsid w:val="00830D70"/>
    <w:rsid w:val="00831969"/>
    <w:rsid w:val="00833E4C"/>
    <w:rsid w:val="00834316"/>
    <w:rsid w:val="00835256"/>
    <w:rsid w:val="00836224"/>
    <w:rsid w:val="008372F7"/>
    <w:rsid w:val="008374E9"/>
    <w:rsid w:val="008376CD"/>
    <w:rsid w:val="0083780A"/>
    <w:rsid w:val="00837BE4"/>
    <w:rsid w:val="00840559"/>
    <w:rsid w:val="00842534"/>
    <w:rsid w:val="00842788"/>
    <w:rsid w:val="00843153"/>
    <w:rsid w:val="008433C1"/>
    <w:rsid w:val="00843908"/>
    <w:rsid w:val="008443E1"/>
    <w:rsid w:val="008455F2"/>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60A1E"/>
    <w:rsid w:val="00861622"/>
    <w:rsid w:val="00862273"/>
    <w:rsid w:val="008624DD"/>
    <w:rsid w:val="00863125"/>
    <w:rsid w:val="00864255"/>
    <w:rsid w:val="008645F1"/>
    <w:rsid w:val="00864EBB"/>
    <w:rsid w:val="00865611"/>
    <w:rsid w:val="008662C0"/>
    <w:rsid w:val="0086644C"/>
    <w:rsid w:val="00866EFD"/>
    <w:rsid w:val="0087030B"/>
    <w:rsid w:val="008705E1"/>
    <w:rsid w:val="00870A0A"/>
    <w:rsid w:val="008710D3"/>
    <w:rsid w:val="0087153F"/>
    <w:rsid w:val="00872938"/>
    <w:rsid w:val="00873ABF"/>
    <w:rsid w:val="0087459A"/>
    <w:rsid w:val="00875167"/>
    <w:rsid w:val="00875A88"/>
    <w:rsid w:val="00875DF8"/>
    <w:rsid w:val="008765E3"/>
    <w:rsid w:val="00876DCE"/>
    <w:rsid w:val="00876FBF"/>
    <w:rsid w:val="008776FD"/>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181"/>
    <w:rsid w:val="008A3FC8"/>
    <w:rsid w:val="008A52F3"/>
    <w:rsid w:val="008A5456"/>
    <w:rsid w:val="008A56DD"/>
    <w:rsid w:val="008A74F2"/>
    <w:rsid w:val="008A7536"/>
    <w:rsid w:val="008A77C7"/>
    <w:rsid w:val="008A7F1F"/>
    <w:rsid w:val="008A7F7D"/>
    <w:rsid w:val="008B1A5A"/>
    <w:rsid w:val="008B382F"/>
    <w:rsid w:val="008B38BC"/>
    <w:rsid w:val="008B3CBF"/>
    <w:rsid w:val="008B4590"/>
    <w:rsid w:val="008B5AB4"/>
    <w:rsid w:val="008B66A6"/>
    <w:rsid w:val="008B6849"/>
    <w:rsid w:val="008B7D4A"/>
    <w:rsid w:val="008B7FFE"/>
    <w:rsid w:val="008C0446"/>
    <w:rsid w:val="008C2156"/>
    <w:rsid w:val="008C2273"/>
    <w:rsid w:val="008C2B3C"/>
    <w:rsid w:val="008C33F9"/>
    <w:rsid w:val="008C3918"/>
    <w:rsid w:val="008C41A7"/>
    <w:rsid w:val="008C6F34"/>
    <w:rsid w:val="008C7108"/>
    <w:rsid w:val="008C75C8"/>
    <w:rsid w:val="008D02A3"/>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D02"/>
    <w:rsid w:val="008E3E12"/>
    <w:rsid w:val="008E4DCD"/>
    <w:rsid w:val="008E5767"/>
    <w:rsid w:val="008E580D"/>
    <w:rsid w:val="008E63C7"/>
    <w:rsid w:val="008F01F8"/>
    <w:rsid w:val="008F12E6"/>
    <w:rsid w:val="008F131E"/>
    <w:rsid w:val="008F1558"/>
    <w:rsid w:val="008F2B44"/>
    <w:rsid w:val="008F330B"/>
    <w:rsid w:val="008F5927"/>
    <w:rsid w:val="008F5F96"/>
    <w:rsid w:val="008F7752"/>
    <w:rsid w:val="0090174A"/>
    <w:rsid w:val="0090274F"/>
    <w:rsid w:val="00902E52"/>
    <w:rsid w:val="009036B3"/>
    <w:rsid w:val="0090531F"/>
    <w:rsid w:val="00905F3D"/>
    <w:rsid w:val="0090620F"/>
    <w:rsid w:val="00906357"/>
    <w:rsid w:val="009071FE"/>
    <w:rsid w:val="00907761"/>
    <w:rsid w:val="00907A46"/>
    <w:rsid w:val="00910076"/>
    <w:rsid w:val="00910B58"/>
    <w:rsid w:val="0091242A"/>
    <w:rsid w:val="00912E53"/>
    <w:rsid w:val="00912F01"/>
    <w:rsid w:val="0091395C"/>
    <w:rsid w:val="00913AA4"/>
    <w:rsid w:val="009141E0"/>
    <w:rsid w:val="009141EE"/>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52D"/>
    <w:rsid w:val="00937309"/>
    <w:rsid w:val="00937D66"/>
    <w:rsid w:val="009405CB"/>
    <w:rsid w:val="0094065A"/>
    <w:rsid w:val="009409C6"/>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0AA"/>
    <w:rsid w:val="009606E6"/>
    <w:rsid w:val="009609D2"/>
    <w:rsid w:val="00960CFA"/>
    <w:rsid w:val="0096234B"/>
    <w:rsid w:val="00962F40"/>
    <w:rsid w:val="009631C9"/>
    <w:rsid w:val="009632BB"/>
    <w:rsid w:val="009633CA"/>
    <w:rsid w:val="00963723"/>
    <w:rsid w:val="00963968"/>
    <w:rsid w:val="009639E4"/>
    <w:rsid w:val="0096623D"/>
    <w:rsid w:val="009670E9"/>
    <w:rsid w:val="00967620"/>
    <w:rsid w:val="00970F70"/>
    <w:rsid w:val="00971056"/>
    <w:rsid w:val="0097210F"/>
    <w:rsid w:val="0097252B"/>
    <w:rsid w:val="00972668"/>
    <w:rsid w:val="009727B4"/>
    <w:rsid w:val="00972C36"/>
    <w:rsid w:val="00972DF8"/>
    <w:rsid w:val="009747E8"/>
    <w:rsid w:val="009750AA"/>
    <w:rsid w:val="00975447"/>
    <w:rsid w:val="009755C3"/>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249B"/>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02A"/>
    <w:rsid w:val="00A036C5"/>
    <w:rsid w:val="00A03AD2"/>
    <w:rsid w:val="00A05A67"/>
    <w:rsid w:val="00A05DA0"/>
    <w:rsid w:val="00A073A0"/>
    <w:rsid w:val="00A07D84"/>
    <w:rsid w:val="00A10336"/>
    <w:rsid w:val="00A107DC"/>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615"/>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3CC0"/>
    <w:rsid w:val="00A55D2B"/>
    <w:rsid w:val="00A572BC"/>
    <w:rsid w:val="00A57A82"/>
    <w:rsid w:val="00A62B7B"/>
    <w:rsid w:val="00A65841"/>
    <w:rsid w:val="00A65BFE"/>
    <w:rsid w:val="00A666F7"/>
    <w:rsid w:val="00A66AE9"/>
    <w:rsid w:val="00A66E25"/>
    <w:rsid w:val="00A67428"/>
    <w:rsid w:val="00A70CF3"/>
    <w:rsid w:val="00A7155E"/>
    <w:rsid w:val="00A71D7D"/>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1AE"/>
    <w:rsid w:val="00A8620F"/>
    <w:rsid w:val="00A8652F"/>
    <w:rsid w:val="00A86AAB"/>
    <w:rsid w:val="00A86D49"/>
    <w:rsid w:val="00A8769A"/>
    <w:rsid w:val="00A87B22"/>
    <w:rsid w:val="00A90FF4"/>
    <w:rsid w:val="00A917E3"/>
    <w:rsid w:val="00A92E9F"/>
    <w:rsid w:val="00A92EC0"/>
    <w:rsid w:val="00A92EED"/>
    <w:rsid w:val="00A95176"/>
    <w:rsid w:val="00A95390"/>
    <w:rsid w:val="00A975D5"/>
    <w:rsid w:val="00A9772B"/>
    <w:rsid w:val="00A97F3B"/>
    <w:rsid w:val="00AA0660"/>
    <w:rsid w:val="00AA1409"/>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292"/>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5F3C"/>
    <w:rsid w:val="00B07997"/>
    <w:rsid w:val="00B13243"/>
    <w:rsid w:val="00B13511"/>
    <w:rsid w:val="00B13D85"/>
    <w:rsid w:val="00B14312"/>
    <w:rsid w:val="00B14ED7"/>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57DD"/>
    <w:rsid w:val="00B3657C"/>
    <w:rsid w:val="00B36BEC"/>
    <w:rsid w:val="00B37104"/>
    <w:rsid w:val="00B37930"/>
    <w:rsid w:val="00B406E3"/>
    <w:rsid w:val="00B41516"/>
    <w:rsid w:val="00B4309E"/>
    <w:rsid w:val="00B433EB"/>
    <w:rsid w:val="00B44594"/>
    <w:rsid w:val="00B44748"/>
    <w:rsid w:val="00B447D7"/>
    <w:rsid w:val="00B44F9F"/>
    <w:rsid w:val="00B451F7"/>
    <w:rsid w:val="00B452A3"/>
    <w:rsid w:val="00B4545E"/>
    <w:rsid w:val="00B47889"/>
    <w:rsid w:val="00B47D0D"/>
    <w:rsid w:val="00B52B7D"/>
    <w:rsid w:val="00B531D2"/>
    <w:rsid w:val="00B534C9"/>
    <w:rsid w:val="00B537D8"/>
    <w:rsid w:val="00B53CCA"/>
    <w:rsid w:val="00B54441"/>
    <w:rsid w:val="00B54A5F"/>
    <w:rsid w:val="00B55817"/>
    <w:rsid w:val="00B560C2"/>
    <w:rsid w:val="00B56409"/>
    <w:rsid w:val="00B56F9B"/>
    <w:rsid w:val="00B57509"/>
    <w:rsid w:val="00B6015A"/>
    <w:rsid w:val="00B635E7"/>
    <w:rsid w:val="00B64099"/>
    <w:rsid w:val="00B643D6"/>
    <w:rsid w:val="00B64919"/>
    <w:rsid w:val="00B64C40"/>
    <w:rsid w:val="00B6571D"/>
    <w:rsid w:val="00B667C6"/>
    <w:rsid w:val="00B66BC8"/>
    <w:rsid w:val="00B66E8E"/>
    <w:rsid w:val="00B6723D"/>
    <w:rsid w:val="00B67B60"/>
    <w:rsid w:val="00B67BD4"/>
    <w:rsid w:val="00B71F08"/>
    <w:rsid w:val="00B72945"/>
    <w:rsid w:val="00B72EF3"/>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0B3"/>
    <w:rsid w:val="00BA4F66"/>
    <w:rsid w:val="00BA54A2"/>
    <w:rsid w:val="00BA6A65"/>
    <w:rsid w:val="00BA6D15"/>
    <w:rsid w:val="00BA6E7E"/>
    <w:rsid w:val="00BA74CB"/>
    <w:rsid w:val="00BA7987"/>
    <w:rsid w:val="00BA7CFA"/>
    <w:rsid w:val="00BA7EA9"/>
    <w:rsid w:val="00BB1309"/>
    <w:rsid w:val="00BB2592"/>
    <w:rsid w:val="00BB3156"/>
    <w:rsid w:val="00BB4F26"/>
    <w:rsid w:val="00BB5CA9"/>
    <w:rsid w:val="00BB6662"/>
    <w:rsid w:val="00BB7E0C"/>
    <w:rsid w:val="00BC0C7D"/>
    <w:rsid w:val="00BC0CE4"/>
    <w:rsid w:val="00BC22CD"/>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7B"/>
    <w:rsid w:val="00BD650E"/>
    <w:rsid w:val="00BD6560"/>
    <w:rsid w:val="00BD687D"/>
    <w:rsid w:val="00BD759E"/>
    <w:rsid w:val="00BE00FA"/>
    <w:rsid w:val="00BE0C95"/>
    <w:rsid w:val="00BE31BD"/>
    <w:rsid w:val="00BE462E"/>
    <w:rsid w:val="00BE545A"/>
    <w:rsid w:val="00BE57A2"/>
    <w:rsid w:val="00BE5E11"/>
    <w:rsid w:val="00BE6C95"/>
    <w:rsid w:val="00BE6CAD"/>
    <w:rsid w:val="00BE74FA"/>
    <w:rsid w:val="00BE7CBB"/>
    <w:rsid w:val="00BF0A54"/>
    <w:rsid w:val="00BF0F1C"/>
    <w:rsid w:val="00BF1278"/>
    <w:rsid w:val="00BF1B7F"/>
    <w:rsid w:val="00BF2346"/>
    <w:rsid w:val="00BF3B85"/>
    <w:rsid w:val="00BF46F6"/>
    <w:rsid w:val="00BF475D"/>
    <w:rsid w:val="00BF485E"/>
    <w:rsid w:val="00BF6B5B"/>
    <w:rsid w:val="00BF6D83"/>
    <w:rsid w:val="00BF704D"/>
    <w:rsid w:val="00BF7365"/>
    <w:rsid w:val="00BF7824"/>
    <w:rsid w:val="00C004FC"/>
    <w:rsid w:val="00C00C61"/>
    <w:rsid w:val="00C020F8"/>
    <w:rsid w:val="00C0252F"/>
    <w:rsid w:val="00C02535"/>
    <w:rsid w:val="00C04666"/>
    <w:rsid w:val="00C04D22"/>
    <w:rsid w:val="00C04DC4"/>
    <w:rsid w:val="00C06C02"/>
    <w:rsid w:val="00C07B79"/>
    <w:rsid w:val="00C11482"/>
    <w:rsid w:val="00C11E0B"/>
    <w:rsid w:val="00C1254E"/>
    <w:rsid w:val="00C12E38"/>
    <w:rsid w:val="00C133A0"/>
    <w:rsid w:val="00C134AC"/>
    <w:rsid w:val="00C14923"/>
    <w:rsid w:val="00C14CDF"/>
    <w:rsid w:val="00C14CF0"/>
    <w:rsid w:val="00C1508C"/>
    <w:rsid w:val="00C150E0"/>
    <w:rsid w:val="00C150F6"/>
    <w:rsid w:val="00C15A7E"/>
    <w:rsid w:val="00C15F97"/>
    <w:rsid w:val="00C16762"/>
    <w:rsid w:val="00C16D30"/>
    <w:rsid w:val="00C17637"/>
    <w:rsid w:val="00C179FC"/>
    <w:rsid w:val="00C203F6"/>
    <w:rsid w:val="00C20EB1"/>
    <w:rsid w:val="00C2139F"/>
    <w:rsid w:val="00C21EE9"/>
    <w:rsid w:val="00C24101"/>
    <w:rsid w:val="00C24B25"/>
    <w:rsid w:val="00C24FF3"/>
    <w:rsid w:val="00C2575E"/>
    <w:rsid w:val="00C25BEA"/>
    <w:rsid w:val="00C26121"/>
    <w:rsid w:val="00C27142"/>
    <w:rsid w:val="00C278EE"/>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594"/>
    <w:rsid w:val="00C42996"/>
    <w:rsid w:val="00C42A21"/>
    <w:rsid w:val="00C42ED3"/>
    <w:rsid w:val="00C43A3B"/>
    <w:rsid w:val="00C4485C"/>
    <w:rsid w:val="00C454F4"/>
    <w:rsid w:val="00C45581"/>
    <w:rsid w:val="00C45BF0"/>
    <w:rsid w:val="00C46088"/>
    <w:rsid w:val="00C46213"/>
    <w:rsid w:val="00C465BE"/>
    <w:rsid w:val="00C4712A"/>
    <w:rsid w:val="00C47468"/>
    <w:rsid w:val="00C47CDC"/>
    <w:rsid w:val="00C50A2B"/>
    <w:rsid w:val="00C50F8A"/>
    <w:rsid w:val="00C51671"/>
    <w:rsid w:val="00C5280A"/>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6793F"/>
    <w:rsid w:val="00C70AB7"/>
    <w:rsid w:val="00C71858"/>
    <w:rsid w:val="00C722C5"/>
    <w:rsid w:val="00C72382"/>
    <w:rsid w:val="00C74346"/>
    <w:rsid w:val="00C744AE"/>
    <w:rsid w:val="00C74781"/>
    <w:rsid w:val="00C75198"/>
    <w:rsid w:val="00C76B87"/>
    <w:rsid w:val="00C80034"/>
    <w:rsid w:val="00C806D4"/>
    <w:rsid w:val="00C80729"/>
    <w:rsid w:val="00C828E8"/>
    <w:rsid w:val="00C83579"/>
    <w:rsid w:val="00C83699"/>
    <w:rsid w:val="00C83C79"/>
    <w:rsid w:val="00C83EA7"/>
    <w:rsid w:val="00C84559"/>
    <w:rsid w:val="00C84E31"/>
    <w:rsid w:val="00C85B63"/>
    <w:rsid w:val="00C862C4"/>
    <w:rsid w:val="00C86977"/>
    <w:rsid w:val="00C86B34"/>
    <w:rsid w:val="00C86FFF"/>
    <w:rsid w:val="00C871C7"/>
    <w:rsid w:val="00C87A66"/>
    <w:rsid w:val="00C90338"/>
    <w:rsid w:val="00C91060"/>
    <w:rsid w:val="00C91720"/>
    <w:rsid w:val="00C928FD"/>
    <w:rsid w:val="00C9556A"/>
    <w:rsid w:val="00C95593"/>
    <w:rsid w:val="00C9667A"/>
    <w:rsid w:val="00CA0640"/>
    <w:rsid w:val="00CA2022"/>
    <w:rsid w:val="00CA3CDB"/>
    <w:rsid w:val="00CA4741"/>
    <w:rsid w:val="00CA4CF0"/>
    <w:rsid w:val="00CA543E"/>
    <w:rsid w:val="00CA5465"/>
    <w:rsid w:val="00CA62D4"/>
    <w:rsid w:val="00CA7A78"/>
    <w:rsid w:val="00CA7F49"/>
    <w:rsid w:val="00CB2932"/>
    <w:rsid w:val="00CB2FC0"/>
    <w:rsid w:val="00CB3C69"/>
    <w:rsid w:val="00CB57BF"/>
    <w:rsid w:val="00CB58C6"/>
    <w:rsid w:val="00CB5AEC"/>
    <w:rsid w:val="00CB6B94"/>
    <w:rsid w:val="00CB6CEB"/>
    <w:rsid w:val="00CB6FC0"/>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32FE"/>
    <w:rsid w:val="00CD3E7D"/>
    <w:rsid w:val="00CD5036"/>
    <w:rsid w:val="00CD66C4"/>
    <w:rsid w:val="00CD6866"/>
    <w:rsid w:val="00CD76D4"/>
    <w:rsid w:val="00CD7893"/>
    <w:rsid w:val="00CD7911"/>
    <w:rsid w:val="00CD7E53"/>
    <w:rsid w:val="00CE03CC"/>
    <w:rsid w:val="00CE5758"/>
    <w:rsid w:val="00CE7214"/>
    <w:rsid w:val="00CE7E6A"/>
    <w:rsid w:val="00CF030B"/>
    <w:rsid w:val="00CF23A2"/>
    <w:rsid w:val="00CF24AD"/>
    <w:rsid w:val="00CF5D77"/>
    <w:rsid w:val="00CF6EB2"/>
    <w:rsid w:val="00D00269"/>
    <w:rsid w:val="00D02F72"/>
    <w:rsid w:val="00D030EA"/>
    <w:rsid w:val="00D03E65"/>
    <w:rsid w:val="00D04057"/>
    <w:rsid w:val="00D058BB"/>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1A5F"/>
    <w:rsid w:val="00D225CB"/>
    <w:rsid w:val="00D236E7"/>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6FCC"/>
    <w:rsid w:val="00D37494"/>
    <w:rsid w:val="00D3789A"/>
    <w:rsid w:val="00D407B7"/>
    <w:rsid w:val="00D409B3"/>
    <w:rsid w:val="00D41B84"/>
    <w:rsid w:val="00D41E2D"/>
    <w:rsid w:val="00D421A1"/>
    <w:rsid w:val="00D42588"/>
    <w:rsid w:val="00D427F9"/>
    <w:rsid w:val="00D4287D"/>
    <w:rsid w:val="00D42957"/>
    <w:rsid w:val="00D429E4"/>
    <w:rsid w:val="00D43E64"/>
    <w:rsid w:val="00D446E7"/>
    <w:rsid w:val="00D47265"/>
    <w:rsid w:val="00D47500"/>
    <w:rsid w:val="00D4793C"/>
    <w:rsid w:val="00D525E2"/>
    <w:rsid w:val="00D546B3"/>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2AD"/>
    <w:rsid w:val="00DE3A31"/>
    <w:rsid w:val="00DE4F75"/>
    <w:rsid w:val="00DE5F76"/>
    <w:rsid w:val="00DE74FE"/>
    <w:rsid w:val="00DE7613"/>
    <w:rsid w:val="00DF09A4"/>
    <w:rsid w:val="00DF0BBA"/>
    <w:rsid w:val="00DF0DF7"/>
    <w:rsid w:val="00DF13A5"/>
    <w:rsid w:val="00DF1C93"/>
    <w:rsid w:val="00DF1E5D"/>
    <w:rsid w:val="00DF2307"/>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911"/>
    <w:rsid w:val="00E16412"/>
    <w:rsid w:val="00E165DD"/>
    <w:rsid w:val="00E16A98"/>
    <w:rsid w:val="00E20D09"/>
    <w:rsid w:val="00E227C3"/>
    <w:rsid w:val="00E22843"/>
    <w:rsid w:val="00E23111"/>
    <w:rsid w:val="00E23556"/>
    <w:rsid w:val="00E24C79"/>
    <w:rsid w:val="00E26881"/>
    <w:rsid w:val="00E26DFE"/>
    <w:rsid w:val="00E2713B"/>
    <w:rsid w:val="00E274D7"/>
    <w:rsid w:val="00E30662"/>
    <w:rsid w:val="00E310DC"/>
    <w:rsid w:val="00E3177E"/>
    <w:rsid w:val="00E32652"/>
    <w:rsid w:val="00E3291A"/>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85A"/>
    <w:rsid w:val="00E609D1"/>
    <w:rsid w:val="00E60B1D"/>
    <w:rsid w:val="00E60E56"/>
    <w:rsid w:val="00E61EE8"/>
    <w:rsid w:val="00E62061"/>
    <w:rsid w:val="00E62441"/>
    <w:rsid w:val="00E62DCB"/>
    <w:rsid w:val="00E63879"/>
    <w:rsid w:val="00E64488"/>
    <w:rsid w:val="00E647FF"/>
    <w:rsid w:val="00E650C6"/>
    <w:rsid w:val="00E66A80"/>
    <w:rsid w:val="00E66EE6"/>
    <w:rsid w:val="00E7063D"/>
    <w:rsid w:val="00E71329"/>
    <w:rsid w:val="00E71633"/>
    <w:rsid w:val="00E71837"/>
    <w:rsid w:val="00E71DE4"/>
    <w:rsid w:val="00E7218C"/>
    <w:rsid w:val="00E72689"/>
    <w:rsid w:val="00E730AA"/>
    <w:rsid w:val="00E73E58"/>
    <w:rsid w:val="00E749A8"/>
    <w:rsid w:val="00E74C7A"/>
    <w:rsid w:val="00E76F52"/>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200"/>
    <w:rsid w:val="00EB4A53"/>
    <w:rsid w:val="00EB5616"/>
    <w:rsid w:val="00EB6084"/>
    <w:rsid w:val="00EB707F"/>
    <w:rsid w:val="00EB743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A70"/>
    <w:rsid w:val="00ED2270"/>
    <w:rsid w:val="00ED3818"/>
    <w:rsid w:val="00ED3B1D"/>
    <w:rsid w:val="00ED512E"/>
    <w:rsid w:val="00ED5EFD"/>
    <w:rsid w:val="00ED6C48"/>
    <w:rsid w:val="00EE0293"/>
    <w:rsid w:val="00EE03EC"/>
    <w:rsid w:val="00EE0405"/>
    <w:rsid w:val="00EE048D"/>
    <w:rsid w:val="00EE0ACB"/>
    <w:rsid w:val="00EE107C"/>
    <w:rsid w:val="00EE123D"/>
    <w:rsid w:val="00EE221F"/>
    <w:rsid w:val="00EE2263"/>
    <w:rsid w:val="00EE280E"/>
    <w:rsid w:val="00EE3E9C"/>
    <w:rsid w:val="00EE4D4C"/>
    <w:rsid w:val="00EE4DFA"/>
    <w:rsid w:val="00EE4FBE"/>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49D"/>
    <w:rsid w:val="00EF5CC0"/>
    <w:rsid w:val="00EF5E7F"/>
    <w:rsid w:val="00EF6467"/>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07FA1"/>
    <w:rsid w:val="00F104AB"/>
    <w:rsid w:val="00F1092E"/>
    <w:rsid w:val="00F10D6B"/>
    <w:rsid w:val="00F12C08"/>
    <w:rsid w:val="00F12CDC"/>
    <w:rsid w:val="00F13E45"/>
    <w:rsid w:val="00F147C6"/>
    <w:rsid w:val="00F15794"/>
    <w:rsid w:val="00F17EFA"/>
    <w:rsid w:val="00F20933"/>
    <w:rsid w:val="00F21318"/>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4967"/>
    <w:rsid w:val="00F35C44"/>
    <w:rsid w:val="00F37B6F"/>
    <w:rsid w:val="00F40C05"/>
    <w:rsid w:val="00F40E86"/>
    <w:rsid w:val="00F4175E"/>
    <w:rsid w:val="00F42168"/>
    <w:rsid w:val="00F425B3"/>
    <w:rsid w:val="00F4495B"/>
    <w:rsid w:val="00F44C78"/>
    <w:rsid w:val="00F44F38"/>
    <w:rsid w:val="00F452C0"/>
    <w:rsid w:val="00F45502"/>
    <w:rsid w:val="00F459E6"/>
    <w:rsid w:val="00F51288"/>
    <w:rsid w:val="00F51449"/>
    <w:rsid w:val="00F52AEC"/>
    <w:rsid w:val="00F52B35"/>
    <w:rsid w:val="00F53104"/>
    <w:rsid w:val="00F5372F"/>
    <w:rsid w:val="00F53880"/>
    <w:rsid w:val="00F53C70"/>
    <w:rsid w:val="00F5425E"/>
    <w:rsid w:val="00F55309"/>
    <w:rsid w:val="00F562A9"/>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8023B"/>
    <w:rsid w:val="00F81620"/>
    <w:rsid w:val="00F84240"/>
    <w:rsid w:val="00F85237"/>
    <w:rsid w:val="00F85413"/>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2C3"/>
    <w:rsid w:val="00FA73DD"/>
    <w:rsid w:val="00FB13C2"/>
    <w:rsid w:val="00FB1C70"/>
    <w:rsid w:val="00FB25AF"/>
    <w:rsid w:val="00FB27FA"/>
    <w:rsid w:val="00FB2EE1"/>
    <w:rsid w:val="00FB35D3"/>
    <w:rsid w:val="00FB380D"/>
    <w:rsid w:val="00FB3FB7"/>
    <w:rsid w:val="00FB44C6"/>
    <w:rsid w:val="00FB68A4"/>
    <w:rsid w:val="00FB76C5"/>
    <w:rsid w:val="00FB7FBE"/>
    <w:rsid w:val="00FC0824"/>
    <w:rsid w:val="00FC0C57"/>
    <w:rsid w:val="00FC1679"/>
    <w:rsid w:val="00FC16B9"/>
    <w:rsid w:val="00FC1DA7"/>
    <w:rsid w:val="00FC2414"/>
    <w:rsid w:val="00FC2C4D"/>
    <w:rsid w:val="00FC2E20"/>
    <w:rsid w:val="00FC3294"/>
    <w:rsid w:val="00FC44A1"/>
    <w:rsid w:val="00FC4B5A"/>
    <w:rsid w:val="00FC4DEB"/>
    <w:rsid w:val="00FC50CE"/>
    <w:rsid w:val="00FC5720"/>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6A9A"/>
    <w:rsid w:val="00FE7171"/>
    <w:rsid w:val="00FE7904"/>
    <w:rsid w:val="00FE79C6"/>
    <w:rsid w:val="00FF0AD1"/>
    <w:rsid w:val="00FF1421"/>
    <w:rsid w:val="00FF1502"/>
    <w:rsid w:val="00FF1791"/>
    <w:rsid w:val="00FF19AF"/>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paragraph" w:customStyle="1" w:styleId="paragraph">
    <w:name w:val="paragraph"/>
    <w:basedOn w:val="Normal"/>
    <w:rsid w:val="00CD7E53"/>
    <w:pPr>
      <w:spacing w:before="100" w:beforeAutospacing="1" w:after="100" w:afterAutospacing="1"/>
    </w:pPr>
    <w:rPr>
      <w:rFonts w:ascii="Times New Roman" w:eastAsia="Times New Roman" w:hAnsi="Times New Roman" w:cs="Times New Roman"/>
      <w:lang w:eastAsia="es-MX"/>
    </w:rPr>
  </w:style>
  <w:style w:type="character" w:customStyle="1" w:styleId="eop">
    <w:name w:val="eop"/>
    <w:basedOn w:val="Fuentedeprrafopredeter"/>
    <w:rsid w:val="00CD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61160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8463394">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6649332">
      <w:bodyDiv w:val="1"/>
      <w:marLeft w:val="0"/>
      <w:marRight w:val="0"/>
      <w:marTop w:val="0"/>
      <w:marBottom w:val="0"/>
      <w:divBdr>
        <w:top w:val="none" w:sz="0" w:space="0" w:color="auto"/>
        <w:left w:val="none" w:sz="0" w:space="0" w:color="auto"/>
        <w:bottom w:val="none" w:sz="0" w:space="0" w:color="auto"/>
        <w:right w:val="none" w:sz="0" w:space="0" w:color="auto"/>
      </w:divBdr>
      <w:divsChild>
        <w:div w:id="189103364">
          <w:marLeft w:val="0"/>
          <w:marRight w:val="0"/>
          <w:marTop w:val="0"/>
          <w:marBottom w:val="0"/>
          <w:divBdr>
            <w:top w:val="none" w:sz="0" w:space="0" w:color="auto"/>
            <w:left w:val="none" w:sz="0" w:space="0" w:color="auto"/>
            <w:bottom w:val="none" w:sz="0" w:space="0" w:color="auto"/>
            <w:right w:val="none" w:sz="0" w:space="0" w:color="auto"/>
          </w:divBdr>
        </w:div>
        <w:div w:id="498542443">
          <w:marLeft w:val="0"/>
          <w:marRight w:val="0"/>
          <w:marTop w:val="0"/>
          <w:marBottom w:val="0"/>
          <w:divBdr>
            <w:top w:val="none" w:sz="0" w:space="0" w:color="auto"/>
            <w:left w:val="none" w:sz="0" w:space="0" w:color="auto"/>
            <w:bottom w:val="none" w:sz="0" w:space="0" w:color="auto"/>
            <w:right w:val="none" w:sz="0" w:space="0" w:color="auto"/>
          </w:divBdr>
        </w:div>
      </w:divsChild>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9533677">
      <w:bodyDiv w:val="1"/>
      <w:marLeft w:val="0"/>
      <w:marRight w:val="0"/>
      <w:marTop w:val="0"/>
      <w:marBottom w:val="0"/>
      <w:divBdr>
        <w:top w:val="none" w:sz="0" w:space="0" w:color="auto"/>
        <w:left w:val="none" w:sz="0" w:space="0" w:color="auto"/>
        <w:bottom w:val="none" w:sz="0" w:space="0" w:color="auto"/>
        <w:right w:val="none" w:sz="0" w:space="0" w:color="auto"/>
      </w:divBdr>
      <w:divsChild>
        <w:div w:id="935871226">
          <w:marLeft w:val="0"/>
          <w:marRight w:val="0"/>
          <w:marTop w:val="0"/>
          <w:marBottom w:val="0"/>
          <w:divBdr>
            <w:top w:val="none" w:sz="0" w:space="0" w:color="auto"/>
            <w:left w:val="none" w:sz="0" w:space="0" w:color="auto"/>
            <w:bottom w:val="none" w:sz="0" w:space="0" w:color="auto"/>
            <w:right w:val="none" w:sz="0" w:space="0" w:color="auto"/>
          </w:divBdr>
        </w:div>
        <w:div w:id="305280957">
          <w:marLeft w:val="0"/>
          <w:marRight w:val="0"/>
          <w:marTop w:val="0"/>
          <w:marBottom w:val="0"/>
          <w:divBdr>
            <w:top w:val="none" w:sz="0" w:space="0" w:color="auto"/>
            <w:left w:val="none" w:sz="0" w:space="0" w:color="auto"/>
            <w:bottom w:val="none" w:sz="0" w:space="0" w:color="auto"/>
            <w:right w:val="none" w:sz="0" w:space="0" w:color="auto"/>
          </w:divBdr>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1162-2F49-4154-BC03-4361DA96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56</Pages>
  <Words>12336</Words>
  <Characters>67854</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25</cp:revision>
  <cp:lastPrinted>2019-12-11T01:19:00Z</cp:lastPrinted>
  <dcterms:created xsi:type="dcterms:W3CDTF">2023-02-09T21:35:00Z</dcterms:created>
  <dcterms:modified xsi:type="dcterms:W3CDTF">2023-03-07T00:10:00Z</dcterms:modified>
</cp:coreProperties>
</file>