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AA699E" w:rsidR="009245F5" w:rsidP="009245F5" w:rsidRDefault="009245F5" w14:paraId="63D14729" w14:textId="6B467215">
      <w:pPr>
        <w:spacing w:line="360" w:lineRule="auto"/>
        <w:ind w:right="-28"/>
        <w:jc w:val="both"/>
        <w:rPr>
          <w:rFonts w:ascii="Palatino Linotype" w:hAnsi="Palatino Linotype"/>
          <w:noProof/>
          <w:sz w:val="22"/>
          <w:szCs w:val="22"/>
          <w:lang w:val="es-ES"/>
        </w:rPr>
      </w:pPr>
      <w:r w:rsidRPr="00AA69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AA699E" w:rsidR="0097069D">
        <w:rPr>
          <w:rFonts w:ascii="Palatino Linotype" w:hAnsi="Palatino Linotype" w:cs="Tahoma"/>
          <w:bCs/>
          <w:sz w:val="22"/>
          <w:szCs w:val="22"/>
        </w:rPr>
        <w:t>primero</w:t>
      </w:r>
      <w:r w:rsidRPr="00AA699E" w:rsidR="0068048C">
        <w:rPr>
          <w:rFonts w:ascii="Palatino Linotype" w:hAnsi="Palatino Linotype" w:cs="Tahoma"/>
          <w:bCs/>
          <w:sz w:val="22"/>
          <w:szCs w:val="22"/>
        </w:rPr>
        <w:t xml:space="preserve"> </w:t>
      </w:r>
      <w:r w:rsidRPr="00AA699E" w:rsidR="001843B4">
        <w:rPr>
          <w:rFonts w:ascii="Palatino Linotype" w:hAnsi="Palatino Linotype" w:cs="Tahoma"/>
          <w:bCs/>
          <w:sz w:val="22"/>
          <w:szCs w:val="22"/>
        </w:rPr>
        <w:t xml:space="preserve">de </w:t>
      </w:r>
      <w:r w:rsidRPr="00AA699E" w:rsidR="0097069D">
        <w:rPr>
          <w:rFonts w:ascii="Palatino Linotype" w:hAnsi="Palatino Linotype" w:cs="Tahoma"/>
          <w:bCs/>
          <w:sz w:val="22"/>
          <w:szCs w:val="22"/>
        </w:rPr>
        <w:t>febrero</w:t>
      </w:r>
      <w:r w:rsidRPr="00AA699E">
        <w:rPr>
          <w:rFonts w:ascii="Palatino Linotype" w:hAnsi="Palatino Linotype" w:cs="Tahoma"/>
          <w:bCs/>
          <w:sz w:val="22"/>
          <w:szCs w:val="22"/>
        </w:rPr>
        <w:t xml:space="preserve"> de dos mil veinti</w:t>
      </w:r>
      <w:r w:rsidRPr="00AA699E" w:rsidR="0097069D">
        <w:rPr>
          <w:rFonts w:ascii="Palatino Linotype" w:hAnsi="Palatino Linotype" w:cs="Tahoma"/>
          <w:bCs/>
          <w:sz w:val="22"/>
          <w:szCs w:val="22"/>
        </w:rPr>
        <w:t>trés</w:t>
      </w:r>
      <w:r w:rsidRPr="00AA699E">
        <w:rPr>
          <w:rFonts w:ascii="Palatino Linotype" w:hAnsi="Palatino Linotype" w:cs="Tahoma"/>
          <w:bCs/>
          <w:sz w:val="22"/>
          <w:szCs w:val="22"/>
        </w:rPr>
        <w:t>.</w:t>
      </w:r>
    </w:p>
    <w:p w:rsidRPr="00AA699E"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Pr="00AA699E" w:rsidR="009245F5" w:rsidP="07452E46" w:rsidRDefault="009245F5" w14:paraId="1F508283" w14:textId="766DA8A5">
      <w:pPr>
        <w:spacing w:line="360" w:lineRule="auto"/>
        <w:ind w:right="-28"/>
        <w:jc w:val="both"/>
        <w:rPr>
          <w:rFonts w:ascii="Palatino Linotype" w:hAnsi="Palatino Linotype" w:cs="Tahoma"/>
          <w:sz w:val="22"/>
          <w:szCs w:val="22"/>
        </w:rPr>
      </w:pPr>
      <w:r w:rsidRPr="07452E46" w:rsidR="07452E46">
        <w:rPr>
          <w:rFonts w:ascii="Palatino Linotype" w:hAnsi="Palatino Linotype" w:cs="Tahoma"/>
          <w:b w:val="1"/>
          <w:bCs w:val="1"/>
          <w:sz w:val="22"/>
          <w:szCs w:val="22"/>
        </w:rPr>
        <w:t xml:space="preserve">VISTO </w:t>
      </w:r>
      <w:r w:rsidRPr="07452E46" w:rsidR="07452E46">
        <w:rPr>
          <w:rFonts w:ascii="Palatino Linotype" w:hAnsi="Palatino Linotype" w:cs="Tahoma"/>
          <w:sz w:val="22"/>
          <w:szCs w:val="22"/>
        </w:rPr>
        <w:t xml:space="preserve">el expediente conformado con motivo del Recurso de Revisión </w:t>
      </w:r>
      <w:r w:rsidRPr="07452E46" w:rsidR="07452E46">
        <w:rPr>
          <w:rFonts w:ascii="Palatino Linotype" w:hAnsi="Palatino Linotype" w:cs="Tahoma"/>
          <w:color w:val="0D0D0D" w:themeColor="text1" w:themeTint="F2" w:themeShade="FF"/>
          <w:sz w:val="22"/>
          <w:szCs w:val="22"/>
        </w:rPr>
        <w:t>15611/INFOEM/IP/RR/2022</w:t>
      </w:r>
      <w:r w:rsidRPr="07452E46" w:rsidR="07452E46">
        <w:rPr>
          <w:rFonts w:ascii="Palatino Linotype" w:hAnsi="Palatino Linotype" w:cs="Tahoma"/>
          <w:sz w:val="22"/>
          <w:szCs w:val="22"/>
        </w:rPr>
        <w:t xml:space="preserve">, interpuesto por </w:t>
      </w:r>
      <w:r w:rsidRPr="07452E46" w:rsidR="07452E46">
        <w:rPr>
          <w:rFonts w:ascii="Palatino Linotype" w:hAnsi="Palatino Linotype" w:eastAsia="Calibri" w:cs="Tahoma"/>
          <w:sz w:val="22"/>
          <w:szCs w:val="22"/>
          <w:highlight w:val="black"/>
          <w:lang w:eastAsia="en-US"/>
        </w:rPr>
        <w:t>XXXXXXXXX</w:t>
      </w:r>
      <w:r w:rsidRPr="07452E46" w:rsidR="07452E46">
        <w:rPr>
          <w:rFonts w:ascii="Palatino Linotype" w:hAnsi="Palatino Linotype" w:eastAsia="Calibri" w:cs="Tahoma"/>
          <w:sz w:val="22"/>
          <w:szCs w:val="22"/>
          <w:lang w:eastAsia="en-US"/>
        </w:rPr>
        <w:t xml:space="preserve"> en lo sucesivo</w:t>
      </w:r>
      <w:r w:rsidRPr="07452E46" w:rsidR="07452E46">
        <w:rPr>
          <w:rFonts w:ascii="Palatino Linotype" w:hAnsi="Palatino Linotype" w:cs="Tahoma"/>
          <w:sz w:val="22"/>
          <w:szCs w:val="22"/>
        </w:rPr>
        <w:t xml:space="preserve"> el Recurrente o Particular, en contra de la respuesta del Sujeto Obligado, Ayuntamiento de Tecámac, a la solicitud de acceso a la información pública con número de folio 00364/TECAMAC/IP/2022, se emite la presente Resolución, con base en los Antecedentes y Considerandos que se exponen a continuación:</w:t>
      </w:r>
    </w:p>
    <w:p w:rsidRPr="00AA699E"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AA699E"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AA699E">
        <w:rPr>
          <w:rFonts w:ascii="Palatino Linotype" w:hAnsi="Palatino Linotype" w:cs="Tahoma"/>
          <w:b/>
          <w:sz w:val="22"/>
          <w:szCs w:val="22"/>
        </w:rPr>
        <w:t>A N T E C E D E N T E S</w:t>
      </w:r>
    </w:p>
    <w:p w:rsidRPr="00AA699E"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AA699E"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AA699E">
        <w:rPr>
          <w:rFonts w:ascii="Palatino Linotype" w:hAnsi="Palatino Linotype" w:cs="Tahoma"/>
          <w:b/>
          <w:szCs w:val="22"/>
        </w:rPr>
        <w:t xml:space="preserve">I. Presentación de la solicitud de información. </w:t>
      </w:r>
    </w:p>
    <w:p w:rsidRPr="00AA699E"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AA699E" w:rsidR="00A021B4" w:rsidP="009245F5" w:rsidRDefault="009245F5" w14:paraId="3F22F683" w14:textId="5BA16CA4">
      <w:pPr>
        <w:autoSpaceDE w:val="0"/>
        <w:autoSpaceDN w:val="0"/>
        <w:adjustRightInd w:val="0"/>
        <w:spacing w:line="360" w:lineRule="auto"/>
        <w:jc w:val="both"/>
        <w:rPr>
          <w:rFonts w:ascii="Palatino Linotype" w:hAnsi="Palatino Linotype" w:cs="Tahoma"/>
          <w:b/>
          <w:bCs/>
          <w:sz w:val="22"/>
          <w:szCs w:val="22"/>
          <w:lang w:val="es-ES"/>
        </w:rPr>
      </w:pPr>
      <w:r w:rsidRPr="00AA699E">
        <w:rPr>
          <w:rFonts w:ascii="Palatino Linotype" w:hAnsi="Palatino Linotype" w:cs="Tahoma"/>
          <w:sz w:val="22"/>
          <w:szCs w:val="22"/>
        </w:rPr>
        <w:t xml:space="preserve">Con fecha </w:t>
      </w:r>
      <w:r w:rsidRPr="00AA699E" w:rsidR="0097069D">
        <w:rPr>
          <w:rFonts w:ascii="Palatino Linotype" w:hAnsi="Palatino Linotype" w:cs="Tahoma"/>
          <w:sz w:val="22"/>
          <w:szCs w:val="22"/>
        </w:rPr>
        <w:t>veintitrés</w:t>
      </w:r>
      <w:r w:rsidRPr="00AA699E">
        <w:rPr>
          <w:rFonts w:ascii="Palatino Linotype" w:hAnsi="Palatino Linotype" w:cs="Tahoma"/>
          <w:sz w:val="22"/>
          <w:szCs w:val="22"/>
        </w:rPr>
        <w:t xml:space="preserve"> de </w:t>
      </w:r>
      <w:r w:rsidRPr="00AA699E" w:rsidR="0097069D">
        <w:rPr>
          <w:rFonts w:ascii="Palatino Linotype" w:hAnsi="Palatino Linotype" w:cs="Tahoma"/>
          <w:sz w:val="22"/>
          <w:szCs w:val="22"/>
        </w:rPr>
        <w:t>septiembre</w:t>
      </w:r>
      <w:r w:rsidRPr="00AA699E">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AA699E" w:rsidR="0097069D">
        <w:rPr>
          <w:rFonts w:ascii="Palatino Linotype" w:hAnsi="Palatino Linotype" w:cs="Tahoma"/>
          <w:sz w:val="22"/>
          <w:szCs w:val="22"/>
        </w:rPr>
        <w:t>Ayuntamiento de Tecámac</w:t>
      </w:r>
      <w:r w:rsidRPr="00AA699E">
        <w:rPr>
          <w:rFonts w:ascii="Palatino Linotype" w:hAnsi="Palatino Linotype" w:cs="Tahoma"/>
          <w:b/>
          <w:bCs/>
          <w:sz w:val="22"/>
          <w:szCs w:val="22"/>
          <w:lang w:val="es-ES"/>
        </w:rPr>
        <w:t>,</w:t>
      </w:r>
      <w:r w:rsidRPr="00AA699E" w:rsidR="0097069D">
        <w:rPr>
          <w:rFonts w:cs="Tahoma"/>
          <w:bCs/>
        </w:rPr>
        <w:t xml:space="preserve"> </w:t>
      </w:r>
      <w:r w:rsidRPr="00AA699E" w:rsidR="00A021B4">
        <w:rPr>
          <w:rFonts w:ascii="Palatino Linotype" w:hAnsi="Palatino Linotype" w:cs="Tahoma"/>
          <w:bCs/>
          <w:sz w:val="22"/>
          <w:szCs w:val="22"/>
          <w:lang w:val="es-ES"/>
        </w:rPr>
        <w:t>mediante la cual requirió lo siguiente:</w:t>
      </w:r>
    </w:p>
    <w:p w:rsidRPr="00AA699E"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Pr="00AA699E"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AA699E">
        <w:rPr>
          <w:rFonts w:ascii="Palatino Linotype" w:hAnsi="Palatino Linotype" w:cs="Tahoma"/>
          <w:b/>
          <w:bCs/>
          <w:i/>
        </w:rPr>
        <w:t>“DESCRIPCIÓN CLARA Y PRECISA DE LA INFORMACIÓN SOLICITADA:</w:t>
      </w:r>
    </w:p>
    <w:p w:rsidRPr="00AA699E" w:rsidR="009245F5" w:rsidP="009245F5" w:rsidRDefault="0097069D" w14:paraId="5DC2D3D0" w14:textId="629F5B6D">
      <w:pPr>
        <w:tabs>
          <w:tab w:val="left" w:pos="4667"/>
        </w:tabs>
        <w:spacing w:line="360" w:lineRule="auto"/>
        <w:ind w:left="567" w:right="567"/>
        <w:jc w:val="both"/>
        <w:rPr>
          <w:rFonts w:ascii="Palatino Linotype" w:hAnsi="Palatino Linotype" w:cs="Tahoma"/>
          <w:bCs/>
          <w:i/>
        </w:rPr>
      </w:pPr>
      <w:r w:rsidRPr="00AA699E">
        <w:rPr>
          <w:rFonts w:ascii="Palatino Linotype" w:hAnsi="Palatino Linotype"/>
          <w:i/>
          <w:color w:val="000000"/>
        </w:rPr>
        <w:t xml:space="preserve">Solicito el gasto de lonas, carteles, </w:t>
      </w:r>
      <w:proofErr w:type="spellStart"/>
      <w:r w:rsidRPr="00AA699E">
        <w:rPr>
          <w:rFonts w:ascii="Palatino Linotype" w:hAnsi="Palatino Linotype"/>
          <w:i/>
          <w:color w:val="000000"/>
        </w:rPr>
        <w:t>etc</w:t>
      </w:r>
      <w:proofErr w:type="spellEnd"/>
      <w:r w:rsidRPr="00AA699E">
        <w:rPr>
          <w:rFonts w:ascii="Palatino Linotype" w:hAnsi="Palatino Linotype"/>
          <w:i/>
          <w:color w:val="000000"/>
        </w:rPr>
        <w:t xml:space="preserve"> para los descuentos de predio y agua para el mes de septiembre, octubre.</w:t>
      </w:r>
      <w:r w:rsidRPr="00AA699E" w:rsidR="009245F5">
        <w:rPr>
          <w:rFonts w:ascii="Palatino Linotype" w:hAnsi="Palatino Linotype" w:cs="Tahoma"/>
          <w:bCs/>
          <w:i/>
        </w:rPr>
        <w:t xml:space="preserve">” </w:t>
      </w:r>
    </w:p>
    <w:p w:rsidRPr="00AA699E" w:rsidR="001843B4" w:rsidP="0097069D" w:rsidRDefault="001843B4" w14:paraId="47658C57" w14:textId="77777777">
      <w:pPr>
        <w:tabs>
          <w:tab w:val="left" w:pos="4667"/>
        </w:tabs>
        <w:spacing w:line="360" w:lineRule="auto"/>
        <w:ind w:right="567"/>
        <w:jc w:val="both"/>
        <w:rPr>
          <w:rFonts w:ascii="Palatino Linotype" w:hAnsi="Palatino Linotype" w:cs="Tahoma"/>
          <w:bCs/>
          <w:i/>
        </w:rPr>
      </w:pPr>
    </w:p>
    <w:p w:rsidRPr="00AA699E"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sidRPr="00AA699E">
        <w:rPr>
          <w:rFonts w:ascii="Palatino Linotype" w:hAnsi="Palatino Linotype" w:cs="Tahoma"/>
          <w:b/>
          <w:bCs/>
          <w:i/>
        </w:rPr>
        <w:t xml:space="preserve">“Modalidad de Entrega: </w:t>
      </w:r>
    </w:p>
    <w:p w:rsidRPr="00AA699E" w:rsidR="009245F5" w:rsidP="009245F5" w:rsidRDefault="009245F5" w14:paraId="267D9C41" w14:textId="77777777">
      <w:pPr>
        <w:tabs>
          <w:tab w:val="left" w:pos="567"/>
        </w:tabs>
        <w:spacing w:line="360" w:lineRule="auto"/>
        <w:ind w:left="567" w:right="-28"/>
        <w:jc w:val="both"/>
        <w:rPr>
          <w:rFonts w:ascii="Palatino Linotype" w:hAnsi="Palatino Linotype" w:cs="Tahoma"/>
          <w:bCs/>
          <w:i/>
        </w:rPr>
      </w:pPr>
      <w:r w:rsidRPr="00AA699E" w:rsidDel="006544EC">
        <w:rPr>
          <w:rFonts w:ascii="Palatino Linotype" w:hAnsi="Palatino Linotype" w:cs="Tahoma"/>
          <w:b/>
          <w:bCs/>
          <w:i/>
        </w:rPr>
        <w:t xml:space="preserve"> </w:t>
      </w:r>
      <w:r w:rsidRPr="00AA699E">
        <w:rPr>
          <w:rFonts w:ascii="Palatino Linotype" w:hAnsi="Palatino Linotype" w:cs="Tahoma"/>
          <w:bCs/>
          <w:i/>
        </w:rPr>
        <w:t>A través de SAIMEX.”</w:t>
      </w:r>
    </w:p>
    <w:p w:rsidRPr="00AA699E" w:rsidR="003E7D05" w:rsidP="003E7D05" w:rsidRDefault="003E7D05" w14:paraId="23B88C6A" w14:textId="77777777">
      <w:pPr>
        <w:tabs>
          <w:tab w:val="left" w:pos="4667"/>
        </w:tabs>
        <w:spacing w:line="360" w:lineRule="auto"/>
        <w:ind w:right="567"/>
        <w:jc w:val="both"/>
        <w:rPr>
          <w:rFonts w:ascii="Palatino Linotype" w:hAnsi="Palatino Linotype" w:cs="Tahoma"/>
          <w:b/>
          <w:bCs/>
          <w:sz w:val="22"/>
          <w:szCs w:val="24"/>
        </w:rPr>
      </w:pPr>
      <w:bookmarkStart w:name="_Hlk16082333" w:id="0"/>
    </w:p>
    <w:p w:rsidRPr="00AA699E" w:rsidR="003E7D05" w:rsidP="003E7D05" w:rsidRDefault="003E7D05" w14:paraId="79EF8011" w14:textId="16835C09">
      <w:pPr>
        <w:tabs>
          <w:tab w:val="left" w:pos="4667"/>
        </w:tabs>
        <w:spacing w:line="360" w:lineRule="auto"/>
        <w:ind w:right="567"/>
        <w:jc w:val="both"/>
        <w:rPr>
          <w:rFonts w:ascii="Palatino Linotype" w:hAnsi="Palatino Linotype" w:cs="Tahoma"/>
          <w:b/>
          <w:bCs/>
          <w:sz w:val="22"/>
          <w:szCs w:val="24"/>
        </w:rPr>
      </w:pPr>
      <w:r w:rsidRPr="00AA699E">
        <w:rPr>
          <w:rFonts w:ascii="Palatino Linotype" w:hAnsi="Palatino Linotype" w:cs="Tahoma"/>
          <w:b/>
          <w:bCs/>
          <w:sz w:val="22"/>
          <w:szCs w:val="24"/>
        </w:rPr>
        <w:t xml:space="preserve">II. </w:t>
      </w:r>
      <w:r w:rsidRPr="00AA699E">
        <w:rPr>
          <w:rFonts w:ascii="Palatino Linotype" w:hAnsi="Palatino Linotype" w:cs="Tahoma"/>
          <w:b/>
          <w:sz w:val="22"/>
          <w:szCs w:val="24"/>
        </w:rPr>
        <w:t>Respuesta</w:t>
      </w:r>
      <w:r w:rsidRPr="00AA699E">
        <w:rPr>
          <w:rFonts w:ascii="Palatino Linotype" w:hAnsi="Palatino Linotype" w:cs="Tahoma"/>
          <w:b/>
          <w:bCs/>
          <w:sz w:val="22"/>
          <w:szCs w:val="24"/>
        </w:rPr>
        <w:t xml:space="preserve"> del Sujeto Obligado.</w:t>
      </w:r>
    </w:p>
    <w:bookmarkEnd w:id="0"/>
    <w:p w:rsidRPr="00AA699E"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AA699E" w:rsidR="009245F5" w:rsidP="009245F5" w:rsidRDefault="001843B4" w14:paraId="7C46B0E6" w14:textId="00574659">
      <w:pPr>
        <w:autoSpaceDE w:val="0"/>
        <w:autoSpaceDN w:val="0"/>
        <w:adjustRightInd w:val="0"/>
        <w:spacing w:line="360" w:lineRule="auto"/>
        <w:contextualSpacing/>
        <w:jc w:val="both"/>
        <w:rPr>
          <w:rFonts w:ascii="Palatino Linotype" w:hAnsi="Palatino Linotype" w:cs="Tahoma"/>
          <w:sz w:val="22"/>
          <w:szCs w:val="22"/>
        </w:rPr>
      </w:pPr>
      <w:r w:rsidRPr="00AA699E">
        <w:rPr>
          <w:rFonts w:ascii="Palatino Linotype" w:hAnsi="Palatino Linotype" w:cs="Tahoma"/>
          <w:bCs/>
          <w:sz w:val="22"/>
          <w:szCs w:val="22"/>
        </w:rPr>
        <w:t>Con fecha</w:t>
      </w:r>
      <w:r w:rsidRPr="00AA699E" w:rsidR="009245F5">
        <w:rPr>
          <w:rFonts w:ascii="Palatino Linotype" w:hAnsi="Palatino Linotype" w:cs="Tahoma"/>
          <w:bCs/>
          <w:sz w:val="22"/>
          <w:szCs w:val="22"/>
        </w:rPr>
        <w:t xml:space="preserve"> </w:t>
      </w:r>
      <w:r w:rsidRPr="00AA699E" w:rsidR="0097069D">
        <w:rPr>
          <w:rFonts w:ascii="Palatino Linotype" w:hAnsi="Palatino Linotype" w:cs="Tahoma"/>
          <w:bCs/>
          <w:sz w:val="22"/>
          <w:szCs w:val="22"/>
        </w:rPr>
        <w:t>quince</w:t>
      </w:r>
      <w:r w:rsidRPr="00AA699E" w:rsidR="009245F5">
        <w:rPr>
          <w:rFonts w:ascii="Palatino Linotype" w:hAnsi="Palatino Linotype" w:cs="Tahoma"/>
          <w:bCs/>
          <w:sz w:val="22"/>
          <w:szCs w:val="22"/>
        </w:rPr>
        <w:t xml:space="preserve"> de </w:t>
      </w:r>
      <w:r w:rsidRPr="00AA699E" w:rsidR="0097069D">
        <w:rPr>
          <w:rFonts w:ascii="Palatino Linotype" w:hAnsi="Palatino Linotype" w:cs="Tahoma"/>
          <w:bCs/>
          <w:sz w:val="22"/>
          <w:szCs w:val="22"/>
        </w:rPr>
        <w:t>octubre</w:t>
      </w:r>
      <w:r w:rsidRPr="00AA699E" w:rsidR="009245F5">
        <w:rPr>
          <w:rFonts w:ascii="Palatino Linotype" w:hAnsi="Palatino Linotype" w:cs="Tahoma"/>
          <w:bCs/>
          <w:sz w:val="22"/>
          <w:szCs w:val="22"/>
        </w:rPr>
        <w:t xml:space="preserve"> de dos mil veintidós, el</w:t>
      </w:r>
      <w:r w:rsidRPr="00AA699E" w:rsidR="009245F5">
        <w:rPr>
          <w:rFonts w:ascii="Palatino Linotype" w:hAnsi="Palatino Linotype" w:cs="Tahoma"/>
          <w:b/>
          <w:sz w:val="22"/>
          <w:szCs w:val="22"/>
        </w:rPr>
        <w:t xml:space="preserve"> </w:t>
      </w:r>
      <w:r w:rsidRPr="00AA699E" w:rsidR="009245F5">
        <w:rPr>
          <w:rFonts w:ascii="Palatino Linotype" w:hAnsi="Palatino Linotype" w:cs="Tahoma"/>
          <w:sz w:val="22"/>
          <w:szCs w:val="22"/>
        </w:rPr>
        <w:t>Sujeto Obligado dio respuesta a la solicitud de acceso a la información a través del Sistema de Acceso a la Información Mexiquense (SAIMEX), a través de la Unidad de Transparencia, en los siguientes términos:</w:t>
      </w:r>
    </w:p>
    <w:p w:rsidRPr="00AA699E"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Pr="00AA699E" w:rsidR="00B91719" w:rsidP="009245F5" w:rsidRDefault="009245F5" w14:paraId="228D2EDF" w14:textId="77777777">
      <w:pPr>
        <w:tabs>
          <w:tab w:val="left" w:pos="4667"/>
        </w:tabs>
        <w:spacing w:line="360" w:lineRule="auto"/>
        <w:ind w:left="567"/>
        <w:jc w:val="both"/>
        <w:rPr>
          <w:rFonts w:ascii="Palatino Linotype" w:hAnsi="Palatino Linotype" w:cs="Tahoma"/>
          <w:bCs/>
          <w:i/>
          <w:lang w:val="es-ES"/>
        </w:rPr>
      </w:pPr>
      <w:r w:rsidRPr="00AA699E">
        <w:rPr>
          <w:rFonts w:ascii="Palatino Linotype" w:hAnsi="Palatino Linotype" w:cs="Tahoma"/>
          <w:bCs/>
          <w:i/>
        </w:rPr>
        <w:t>“</w:t>
      </w:r>
      <w:r w:rsidRPr="00AA699E">
        <w:rPr>
          <w:rFonts w:ascii="Palatino Linotype" w:hAnsi="Palatino Linotype" w:cs="Tahoma"/>
          <w:bCs/>
          <w:i/>
          <w:lang w:val="es-ES"/>
        </w:rPr>
        <w:t xml:space="preserve">… </w:t>
      </w:r>
    </w:p>
    <w:p w:rsidRPr="00AA699E" w:rsidR="0097069D" w:rsidP="009245F5" w:rsidRDefault="0097069D" w14:paraId="20AFF380" w14:textId="77777777">
      <w:pPr>
        <w:tabs>
          <w:tab w:val="left" w:pos="4667"/>
        </w:tabs>
        <w:spacing w:line="360" w:lineRule="auto"/>
        <w:ind w:left="567"/>
        <w:jc w:val="both"/>
        <w:rPr>
          <w:rFonts w:ascii="Palatino Linotype" w:hAnsi="Palatino Linotype" w:cs="Tahoma"/>
          <w:bCs/>
          <w:i/>
          <w:lang w:val="es-ES"/>
        </w:rPr>
      </w:pPr>
      <w:r w:rsidRPr="00AA699E">
        <w:rPr>
          <w:rFonts w:ascii="Palatino Linotype" w:hAnsi="Palatino Linotype" w:cs="Tahoma"/>
          <w:bCs/>
          <w:i/>
          <w:lang w:val="es-ES"/>
        </w:rPr>
        <w:t xml:space="preserve">Los registros </w:t>
      </w:r>
      <w:proofErr w:type="spellStart"/>
      <w:r w:rsidRPr="00AA699E">
        <w:rPr>
          <w:rFonts w:ascii="Palatino Linotype" w:hAnsi="Palatino Linotype" w:cs="Tahoma"/>
          <w:bCs/>
          <w:i/>
          <w:lang w:val="es-ES"/>
        </w:rPr>
        <w:t>estan</w:t>
      </w:r>
      <w:proofErr w:type="spellEnd"/>
      <w:r w:rsidRPr="00AA699E">
        <w:rPr>
          <w:rFonts w:ascii="Palatino Linotype" w:hAnsi="Palatino Linotype" w:cs="Tahoma"/>
          <w:bCs/>
          <w:i/>
          <w:lang w:val="es-ES"/>
        </w:rPr>
        <w:t xml:space="preserve"> en proceso al tiempo de respuesta de su solicitud</w:t>
      </w:r>
    </w:p>
    <w:p w:rsidRPr="00AA699E" w:rsidR="009245F5" w:rsidP="009245F5" w:rsidRDefault="009245F5" w14:paraId="59039576" w14:textId="7005919C">
      <w:pPr>
        <w:tabs>
          <w:tab w:val="left" w:pos="4667"/>
        </w:tabs>
        <w:spacing w:line="360" w:lineRule="auto"/>
        <w:ind w:left="567"/>
        <w:jc w:val="both"/>
        <w:rPr>
          <w:rFonts w:ascii="Palatino Linotype" w:hAnsi="Palatino Linotype" w:cs="Tahoma"/>
          <w:bCs/>
          <w:i/>
        </w:rPr>
      </w:pPr>
      <w:r w:rsidRPr="00AA699E">
        <w:rPr>
          <w:rFonts w:ascii="Palatino Linotype" w:hAnsi="Palatino Linotype" w:cs="Tahoma"/>
          <w:i/>
          <w:szCs w:val="22"/>
          <w:lang w:val="es-ES"/>
        </w:rPr>
        <w:t>…” (</w:t>
      </w:r>
      <w:proofErr w:type="gramStart"/>
      <w:r w:rsidRPr="00AA699E">
        <w:rPr>
          <w:rFonts w:ascii="Palatino Linotype" w:hAnsi="Palatino Linotype" w:cs="Tahoma"/>
          <w:i/>
          <w:szCs w:val="22"/>
          <w:lang w:val="es-ES"/>
        </w:rPr>
        <w:t>sic</w:t>
      </w:r>
      <w:proofErr w:type="gramEnd"/>
      <w:r w:rsidRPr="00AA699E">
        <w:rPr>
          <w:rFonts w:ascii="Palatino Linotype" w:hAnsi="Palatino Linotype" w:cs="Tahoma"/>
          <w:i/>
          <w:szCs w:val="22"/>
          <w:lang w:val="es-ES"/>
        </w:rPr>
        <w:t>.)</w:t>
      </w:r>
    </w:p>
    <w:p w:rsidRPr="00AA699E" w:rsidR="009245F5" w:rsidP="009245F5" w:rsidRDefault="009245F5" w14:paraId="7989A775"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A699E"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sidRPr="00AA699E">
        <w:rPr>
          <w:rFonts w:ascii="Palatino Linotype" w:hAnsi="Palatino Linotype" w:cs="Tahoma"/>
          <w:b/>
          <w:sz w:val="22"/>
          <w:szCs w:val="22"/>
        </w:rPr>
        <w:t xml:space="preserve">III. Interposición del Recurso de Revisión. </w:t>
      </w:r>
    </w:p>
    <w:p w:rsidRPr="00AA699E"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AA699E" w:rsidR="009245F5" w:rsidP="009245F5" w:rsidRDefault="009245F5" w14:paraId="3BB08E0E" w14:textId="14EA733B">
      <w:pPr>
        <w:spacing w:line="360" w:lineRule="auto"/>
        <w:jc w:val="both"/>
        <w:rPr>
          <w:rFonts w:ascii="Palatino Linotype" w:hAnsi="Palatino Linotype" w:cs="Tahoma"/>
          <w:bCs/>
          <w:sz w:val="22"/>
          <w:szCs w:val="22"/>
          <w:lang w:val="es-ES"/>
        </w:rPr>
      </w:pPr>
      <w:r w:rsidRPr="00AA699E">
        <w:rPr>
          <w:rFonts w:ascii="Palatino Linotype" w:hAnsi="Palatino Linotype" w:cs="Tahoma"/>
          <w:bCs/>
          <w:sz w:val="22"/>
          <w:szCs w:val="22"/>
          <w:lang w:val="es-ES"/>
        </w:rPr>
        <w:t xml:space="preserve">Con fecha </w:t>
      </w:r>
      <w:r w:rsidRPr="00AA699E" w:rsidR="0097069D">
        <w:rPr>
          <w:rFonts w:ascii="Palatino Linotype" w:hAnsi="Palatino Linotype" w:cs="Tahoma"/>
          <w:bCs/>
          <w:sz w:val="22"/>
          <w:szCs w:val="22"/>
          <w:lang w:val="es-ES"/>
        </w:rPr>
        <w:t>diecisiete</w:t>
      </w:r>
      <w:r w:rsidRPr="00AA699E">
        <w:rPr>
          <w:rFonts w:ascii="Palatino Linotype" w:hAnsi="Palatino Linotype" w:cs="Tahoma"/>
          <w:bCs/>
          <w:sz w:val="22"/>
          <w:szCs w:val="22"/>
          <w:lang w:val="es-ES"/>
        </w:rPr>
        <w:t xml:space="preserve"> de </w:t>
      </w:r>
      <w:r w:rsidRPr="00AA699E" w:rsidR="0097069D">
        <w:rPr>
          <w:rFonts w:ascii="Palatino Linotype" w:hAnsi="Palatino Linotype" w:cs="Tahoma"/>
          <w:bCs/>
          <w:sz w:val="22"/>
          <w:szCs w:val="22"/>
          <w:lang w:val="es-ES"/>
        </w:rPr>
        <w:t>octubre</w:t>
      </w:r>
      <w:r w:rsidRPr="00AA699E">
        <w:rPr>
          <w:rFonts w:ascii="Palatino Linotype" w:hAnsi="Palatino Linotype" w:cs="Tahoma"/>
          <w:bCs/>
          <w:sz w:val="22"/>
          <w:szCs w:val="22"/>
          <w:lang w:val="es-ES"/>
        </w:rPr>
        <w:t xml:space="preserve"> de dos mil veintidós </w:t>
      </w:r>
      <w:r w:rsidRPr="00AA699E">
        <w:rPr>
          <w:rFonts w:ascii="Palatino Linotype" w:hAnsi="Palatino Linotype" w:cs="Tahoma"/>
          <w:bCs/>
          <w:sz w:val="22"/>
          <w:szCs w:val="22"/>
        </w:rPr>
        <w:t xml:space="preserve">se recibió en este Instituto, a través del </w:t>
      </w:r>
      <w:r w:rsidRPr="00AA699E">
        <w:rPr>
          <w:rFonts w:ascii="Palatino Linotype" w:hAnsi="Palatino Linotype" w:cs="Tahoma"/>
          <w:bCs/>
          <w:sz w:val="22"/>
          <w:szCs w:val="22"/>
          <w:lang w:val="es-ES"/>
        </w:rPr>
        <w:t>Sistema de Acceso a la Información Mexiquense (SAIMEX)</w:t>
      </w:r>
      <w:r w:rsidRPr="00AA699E">
        <w:rPr>
          <w:rFonts w:ascii="Palatino Linotype" w:hAnsi="Palatino Linotype" w:cs="Tahoma"/>
          <w:bCs/>
          <w:sz w:val="22"/>
          <w:szCs w:val="22"/>
        </w:rPr>
        <w:t>, el Recurso de Revisión interpuesto por la parte Recurrente, en contra de la respuesta del Sujeto Obligado, en los siguientes términos:</w:t>
      </w:r>
    </w:p>
    <w:p w:rsidRPr="00AA699E"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Pr="00AA699E"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sidRPr="00AA699E">
        <w:rPr>
          <w:rFonts w:ascii="Palatino Linotype" w:hAnsi="Palatino Linotype" w:cs="Tahoma"/>
          <w:b/>
          <w:bCs/>
          <w:i/>
        </w:rPr>
        <w:t>“ACTO IMPUGNADO</w:t>
      </w:r>
    </w:p>
    <w:p w:rsidRPr="00AA699E" w:rsidR="009245F5" w:rsidP="009245F5" w:rsidRDefault="0097069D" w14:paraId="5EC22649" w14:textId="420BC60B">
      <w:pPr>
        <w:tabs>
          <w:tab w:val="left" w:pos="4667"/>
        </w:tabs>
        <w:spacing w:line="360" w:lineRule="auto"/>
        <w:ind w:left="567" w:right="567"/>
        <w:jc w:val="both"/>
        <w:rPr>
          <w:rFonts w:ascii="Palatino Linotype" w:hAnsi="Palatino Linotype" w:cs="Tahoma"/>
          <w:bCs/>
          <w:i/>
        </w:rPr>
      </w:pPr>
      <w:r w:rsidRPr="00AA699E">
        <w:rPr>
          <w:rFonts w:ascii="Palatino Linotype" w:hAnsi="Palatino Linotype" w:cs="Tahoma"/>
          <w:bCs/>
          <w:i/>
        </w:rPr>
        <w:t>EL SERVIDOR PUBLICO QUE ATIENDE LA SOLICITUD ES INCOMPETENTE</w:t>
      </w:r>
      <w:r w:rsidRPr="00AA699E" w:rsidR="009245F5">
        <w:rPr>
          <w:rFonts w:ascii="Palatino Linotype" w:hAnsi="Palatino Linotype" w:cs="Tahoma"/>
          <w:bCs/>
          <w:i/>
        </w:rPr>
        <w:t>” (Sic.)</w:t>
      </w:r>
    </w:p>
    <w:p w:rsidRPr="00AA699E"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Pr="00AA699E"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sidRPr="00AA699E">
        <w:rPr>
          <w:rFonts w:ascii="Palatino Linotype" w:hAnsi="Palatino Linotype" w:cs="Tahoma"/>
          <w:b/>
          <w:bCs/>
          <w:i/>
        </w:rPr>
        <w:t>“RAZONES O MOTIVOS DE LA INCONFORMIDAD</w:t>
      </w:r>
    </w:p>
    <w:p w:rsidRPr="00AA699E" w:rsidR="009245F5" w:rsidP="009245F5" w:rsidRDefault="0097069D" w14:paraId="6EDEB3CA" w14:textId="794C4982">
      <w:pPr>
        <w:tabs>
          <w:tab w:val="left" w:pos="4667"/>
        </w:tabs>
        <w:spacing w:line="360" w:lineRule="auto"/>
        <w:ind w:left="567" w:right="567"/>
        <w:jc w:val="both"/>
        <w:rPr>
          <w:rFonts w:ascii="Palatino Linotype" w:hAnsi="Palatino Linotype" w:cs="Tahoma"/>
          <w:i/>
        </w:rPr>
      </w:pPr>
      <w:r w:rsidRPr="00AA699E">
        <w:rPr>
          <w:rFonts w:ascii="Palatino Linotype" w:hAnsi="Palatino Linotype" w:cs="Tahoma"/>
          <w:i/>
        </w:rPr>
        <w:t>NO ME DA LA INFORMACIÓN SOLICITADA SIEMPRE QUE SOLICITO INFORMACION DE TESORERIA RECIBO RESPUESTAS ABSURDAS</w:t>
      </w:r>
      <w:proofErr w:type="gramStart"/>
      <w:r w:rsidRPr="00AA699E">
        <w:rPr>
          <w:rFonts w:ascii="Palatino Linotype" w:hAnsi="Palatino Linotype" w:cs="Tahoma"/>
          <w:i/>
        </w:rPr>
        <w:t>,¿</w:t>
      </w:r>
      <w:proofErr w:type="gramEnd"/>
      <w:r w:rsidRPr="00AA699E">
        <w:rPr>
          <w:rFonts w:ascii="Palatino Linotype" w:hAnsi="Palatino Linotype" w:cs="Tahoma"/>
          <w:i/>
        </w:rPr>
        <w:t xml:space="preserve">NO HAN PAGADO LOS ANUNCIOS Y LAS LONAS QUE UTILIZARON? Solicito el gasto de lonas, carteles, </w:t>
      </w:r>
      <w:proofErr w:type="spellStart"/>
      <w:r w:rsidRPr="00AA699E">
        <w:rPr>
          <w:rFonts w:ascii="Palatino Linotype" w:hAnsi="Palatino Linotype" w:cs="Tahoma"/>
          <w:i/>
        </w:rPr>
        <w:t>etc</w:t>
      </w:r>
      <w:proofErr w:type="spellEnd"/>
      <w:r w:rsidRPr="00AA699E">
        <w:rPr>
          <w:rFonts w:ascii="Palatino Linotype" w:hAnsi="Palatino Linotype" w:cs="Tahoma"/>
          <w:i/>
        </w:rPr>
        <w:t xml:space="preserve"> para los descuentos de predio y agua para el mes de septiembre, octubre. QUEDO EN ESPERA DE SU PRONTA RESPUESTA.</w:t>
      </w:r>
      <w:r w:rsidRPr="00AA699E" w:rsidR="009245F5">
        <w:rPr>
          <w:rFonts w:ascii="Palatino Linotype" w:hAnsi="Palatino Linotype" w:cs="Tahoma"/>
          <w:i/>
        </w:rPr>
        <w:t>” (Sic.)</w:t>
      </w:r>
    </w:p>
    <w:p w:rsidRPr="00AA699E" w:rsidR="009245F5" w:rsidP="009245F5" w:rsidRDefault="009245F5" w14:paraId="70A446E3" w14:textId="77777777">
      <w:pPr>
        <w:autoSpaceDE w:val="0"/>
        <w:autoSpaceDN w:val="0"/>
        <w:adjustRightInd w:val="0"/>
        <w:spacing w:line="360" w:lineRule="auto"/>
        <w:ind w:right="-28"/>
        <w:jc w:val="both"/>
        <w:rPr>
          <w:rFonts w:ascii="Palatino Linotype" w:hAnsi="Palatino Linotype" w:cs="Tahoma"/>
          <w:sz w:val="22"/>
          <w:szCs w:val="22"/>
        </w:rPr>
      </w:pPr>
    </w:p>
    <w:p w:rsidRPr="00AA699E"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sidRPr="00AA699E">
        <w:rPr>
          <w:rFonts w:ascii="Palatino Linotype" w:hAnsi="Palatino Linotype" w:cs="Tahoma"/>
          <w:b/>
          <w:sz w:val="22"/>
          <w:szCs w:val="22"/>
        </w:rPr>
        <w:t xml:space="preserve">IV. </w:t>
      </w:r>
      <w:r w:rsidRPr="00AA699E">
        <w:rPr>
          <w:rFonts w:ascii="Palatino Linotype" w:hAnsi="Palatino Linotype" w:eastAsia="Batang" w:cs="Tahoma"/>
          <w:b/>
          <w:bCs/>
          <w:sz w:val="22"/>
          <w:szCs w:val="22"/>
        </w:rPr>
        <w:t xml:space="preserve">Trámite del </w:t>
      </w:r>
      <w:r w:rsidRPr="00AA699E">
        <w:rPr>
          <w:rFonts w:ascii="Palatino Linotype" w:hAnsi="Palatino Linotype" w:cs="Tahoma"/>
          <w:b/>
          <w:sz w:val="22"/>
          <w:szCs w:val="22"/>
        </w:rPr>
        <w:t xml:space="preserve">Recurso de Revisión </w:t>
      </w:r>
      <w:r w:rsidRPr="00AA699E">
        <w:rPr>
          <w:rFonts w:ascii="Palatino Linotype" w:hAnsi="Palatino Linotype" w:eastAsia="Batang" w:cs="Tahoma"/>
          <w:b/>
          <w:bCs/>
          <w:sz w:val="22"/>
          <w:szCs w:val="22"/>
        </w:rPr>
        <w:t>ante el Instituto.</w:t>
      </w:r>
    </w:p>
    <w:p w:rsidRPr="00AA699E"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AA699E" w:rsidR="009245F5" w:rsidP="009245F5" w:rsidRDefault="009245F5" w14:paraId="007B64E3" w14:textId="3CB802DE">
      <w:pPr>
        <w:spacing w:line="360" w:lineRule="auto"/>
        <w:ind w:right="-28"/>
        <w:jc w:val="both"/>
        <w:rPr>
          <w:rFonts w:ascii="Palatino Linotype" w:hAnsi="Palatino Linotype" w:eastAsia="Calibri" w:cs="Tahoma"/>
          <w:bCs/>
          <w:sz w:val="22"/>
          <w:szCs w:val="22"/>
          <w:lang w:eastAsia="en-US"/>
        </w:rPr>
      </w:pPr>
      <w:r w:rsidRPr="00AA699E">
        <w:rPr>
          <w:rFonts w:ascii="Palatino Linotype" w:hAnsi="Palatino Linotype" w:eastAsia="Batang" w:cs="Tahoma"/>
          <w:b/>
          <w:bCs/>
          <w:sz w:val="22"/>
          <w:szCs w:val="22"/>
        </w:rPr>
        <w:lastRenderedPageBreak/>
        <w:t xml:space="preserve">a) Turno del </w:t>
      </w:r>
      <w:r w:rsidRPr="00AA699E">
        <w:rPr>
          <w:rFonts w:ascii="Palatino Linotype" w:hAnsi="Palatino Linotype" w:cs="Tahoma"/>
          <w:b/>
          <w:sz w:val="22"/>
          <w:szCs w:val="22"/>
        </w:rPr>
        <w:t>Recurso de Revisión</w:t>
      </w:r>
      <w:r w:rsidRPr="00AA699E">
        <w:rPr>
          <w:rFonts w:ascii="Palatino Linotype" w:hAnsi="Palatino Linotype" w:eastAsia="Batang" w:cs="Tahoma"/>
          <w:b/>
          <w:bCs/>
          <w:sz w:val="22"/>
          <w:szCs w:val="22"/>
        </w:rPr>
        <w:t xml:space="preserve">. </w:t>
      </w:r>
      <w:r w:rsidRPr="00AA699E">
        <w:rPr>
          <w:rFonts w:ascii="Palatino Linotype" w:hAnsi="Palatino Linotype" w:eastAsia="Batang" w:cs="Tahoma"/>
          <w:bCs/>
          <w:sz w:val="22"/>
          <w:szCs w:val="22"/>
        </w:rPr>
        <w:t xml:space="preserve">El </w:t>
      </w:r>
      <w:r w:rsidRPr="00AA699E" w:rsidR="0097069D">
        <w:rPr>
          <w:rFonts w:ascii="Palatino Linotype" w:hAnsi="Palatino Linotype" w:cs="Tahoma"/>
          <w:sz w:val="22"/>
          <w:szCs w:val="22"/>
        </w:rPr>
        <w:t>diecisiete</w:t>
      </w:r>
      <w:r w:rsidRPr="00AA699E">
        <w:rPr>
          <w:rFonts w:ascii="Palatino Linotype" w:hAnsi="Palatino Linotype" w:cs="Tahoma"/>
          <w:sz w:val="22"/>
          <w:szCs w:val="22"/>
        </w:rPr>
        <w:t xml:space="preserve"> de </w:t>
      </w:r>
      <w:r w:rsidRPr="00AA699E" w:rsidR="0097069D">
        <w:rPr>
          <w:rFonts w:ascii="Palatino Linotype" w:hAnsi="Palatino Linotype" w:cs="Tahoma"/>
          <w:sz w:val="22"/>
          <w:szCs w:val="22"/>
        </w:rPr>
        <w:t>octubre</w:t>
      </w:r>
      <w:r w:rsidRPr="00AA699E">
        <w:rPr>
          <w:rFonts w:ascii="Palatino Linotype" w:hAnsi="Palatino Linotype" w:cs="Tahoma"/>
          <w:sz w:val="22"/>
          <w:szCs w:val="22"/>
        </w:rPr>
        <w:t xml:space="preserve"> de dos mil veintidós</w:t>
      </w:r>
      <w:r w:rsidRPr="00AA699E">
        <w:rPr>
          <w:rFonts w:ascii="Palatino Linotype" w:hAnsi="Palatino Linotype" w:eastAsia="Batang" w:cs="Tahoma"/>
          <w:bCs/>
          <w:sz w:val="22"/>
          <w:szCs w:val="22"/>
        </w:rPr>
        <w:t xml:space="preserve">, </w:t>
      </w:r>
      <w:r w:rsidRPr="00AA699E">
        <w:rPr>
          <w:rFonts w:ascii="Palatino Linotype" w:hAnsi="Palatino Linotype" w:eastAsia="Calibri" w:cs="Tahoma"/>
          <w:bCs/>
          <w:sz w:val="22"/>
          <w:szCs w:val="22"/>
          <w:lang w:eastAsia="en-US"/>
        </w:rPr>
        <w:t xml:space="preserve">el Sistema de Acceso a la Información Mexiquense (SAIMEX), asignó el número de expediente </w:t>
      </w:r>
      <w:r w:rsidRPr="00AA699E" w:rsidR="0097069D">
        <w:rPr>
          <w:rFonts w:ascii="Palatino Linotype" w:hAnsi="Palatino Linotype" w:eastAsia="Calibri" w:cs="Tahoma"/>
          <w:b/>
          <w:bCs/>
          <w:sz w:val="22"/>
          <w:szCs w:val="22"/>
          <w:lang w:eastAsia="en-US"/>
        </w:rPr>
        <w:t>15611/INFOEM/IP/RR/2022</w:t>
      </w:r>
      <w:r w:rsidRPr="00AA699E">
        <w:rPr>
          <w:rFonts w:ascii="Palatino Linotype" w:hAnsi="Palatino Linotype" w:eastAsia="Calibri" w:cs="Tahoma"/>
          <w:b/>
          <w:bCs/>
          <w:sz w:val="22"/>
          <w:szCs w:val="22"/>
          <w:lang w:eastAsia="en-US"/>
        </w:rPr>
        <w:t xml:space="preserve">, </w:t>
      </w:r>
      <w:r w:rsidRPr="00AA699E">
        <w:rPr>
          <w:rFonts w:ascii="Palatino Linotype" w:hAnsi="Palatino Linotype" w:eastAsia="Calibri" w:cs="Tahoma"/>
          <w:bCs/>
          <w:sz w:val="22"/>
          <w:szCs w:val="22"/>
          <w:lang w:eastAsia="en-US"/>
        </w:rPr>
        <w:t xml:space="preserve">al Recurso de Revisión y lo turnó al Comisionado Ponente </w:t>
      </w:r>
      <w:r w:rsidRPr="00AA699E">
        <w:rPr>
          <w:rFonts w:ascii="Palatino Linotype" w:hAnsi="Palatino Linotype" w:eastAsia="Calibri" w:cs="Tahoma"/>
          <w:b/>
          <w:bCs/>
          <w:sz w:val="22"/>
          <w:szCs w:val="22"/>
          <w:lang w:eastAsia="en-US"/>
        </w:rPr>
        <w:t>Luis Gustavo Parra Noriega</w:t>
      </w:r>
      <w:r w:rsidRPr="00AA699E">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AA699E"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Pr="00AA699E" w:rsidR="009245F5" w:rsidP="009245F5" w:rsidRDefault="009245F5" w14:paraId="7D3A4E8D" w14:textId="67ECC52D">
      <w:pPr>
        <w:spacing w:line="360" w:lineRule="auto"/>
        <w:jc w:val="both"/>
        <w:rPr>
          <w:rFonts w:ascii="Palatino Linotype" w:hAnsi="Palatino Linotype" w:cs="Tahoma"/>
          <w:bCs/>
          <w:sz w:val="22"/>
          <w:szCs w:val="22"/>
        </w:rPr>
      </w:pPr>
      <w:r w:rsidRPr="00AA699E">
        <w:rPr>
          <w:rFonts w:ascii="Palatino Linotype" w:hAnsi="Palatino Linotype" w:eastAsia="Batang" w:cs="Tahoma"/>
          <w:b/>
          <w:bCs/>
          <w:sz w:val="22"/>
          <w:szCs w:val="22"/>
        </w:rPr>
        <w:t xml:space="preserve">b) Admisión del </w:t>
      </w:r>
      <w:r w:rsidRPr="00AA699E">
        <w:rPr>
          <w:rFonts w:ascii="Palatino Linotype" w:hAnsi="Palatino Linotype" w:cs="Tahoma"/>
          <w:b/>
          <w:sz w:val="22"/>
          <w:szCs w:val="22"/>
        </w:rPr>
        <w:t>Recurso de Revisión</w:t>
      </w:r>
      <w:r w:rsidRPr="00AA699E">
        <w:rPr>
          <w:rFonts w:ascii="Palatino Linotype" w:hAnsi="Palatino Linotype" w:eastAsia="Batang" w:cs="Tahoma"/>
          <w:b/>
          <w:bCs/>
          <w:sz w:val="22"/>
          <w:szCs w:val="22"/>
          <w:lang w:val="es-ES_tradnl"/>
        </w:rPr>
        <w:t xml:space="preserve">. </w:t>
      </w:r>
      <w:r w:rsidRPr="00AA699E">
        <w:rPr>
          <w:rFonts w:ascii="Palatino Linotype" w:hAnsi="Palatino Linotype" w:eastAsia="Batang" w:cs="Tahoma"/>
          <w:bCs/>
          <w:sz w:val="22"/>
          <w:szCs w:val="22"/>
          <w:lang w:val="es-ES_tradnl"/>
        </w:rPr>
        <w:t xml:space="preserve">El </w:t>
      </w:r>
      <w:r w:rsidRPr="00AA699E" w:rsidR="0097069D">
        <w:rPr>
          <w:rFonts w:ascii="Palatino Linotype" w:hAnsi="Palatino Linotype" w:eastAsia="Batang" w:cs="Tahoma"/>
          <w:bCs/>
          <w:sz w:val="22"/>
          <w:szCs w:val="22"/>
          <w:lang w:val="es-ES_tradnl"/>
        </w:rPr>
        <w:t>veinte</w:t>
      </w:r>
      <w:r w:rsidRPr="00AA699E">
        <w:rPr>
          <w:rFonts w:ascii="Palatino Linotype" w:hAnsi="Palatino Linotype" w:eastAsia="Batang" w:cs="Tahoma"/>
          <w:bCs/>
          <w:sz w:val="22"/>
          <w:szCs w:val="22"/>
          <w:lang w:val="es-ES_tradnl"/>
        </w:rPr>
        <w:t xml:space="preserve"> de </w:t>
      </w:r>
      <w:r w:rsidRPr="00AA699E" w:rsidR="0097069D">
        <w:rPr>
          <w:rFonts w:ascii="Palatino Linotype" w:hAnsi="Palatino Linotype" w:eastAsia="Batang" w:cs="Tahoma"/>
          <w:bCs/>
          <w:sz w:val="22"/>
          <w:szCs w:val="22"/>
          <w:lang w:val="es-ES_tradnl"/>
        </w:rPr>
        <w:t>octubre</w:t>
      </w:r>
      <w:r w:rsidRPr="00AA699E">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Pr="00AA699E" w:rsidR="009245F5" w:rsidP="009245F5" w:rsidRDefault="009245F5" w14:paraId="40E47CEF" w14:textId="77777777">
      <w:pPr>
        <w:spacing w:line="360" w:lineRule="auto"/>
        <w:ind w:right="-28"/>
        <w:jc w:val="both"/>
        <w:rPr>
          <w:rFonts w:ascii="Palatino Linotype" w:hAnsi="Palatino Linotype" w:cs="Tahoma"/>
          <w:b/>
          <w:sz w:val="22"/>
          <w:szCs w:val="22"/>
        </w:rPr>
      </w:pPr>
    </w:p>
    <w:p w:rsidRPr="00AA699E" w:rsidR="00F100DD" w:rsidP="00F100DD" w:rsidRDefault="00F100DD" w14:paraId="4457AA34" w14:textId="77777777">
      <w:pPr>
        <w:spacing w:line="360" w:lineRule="auto"/>
        <w:ind w:right="-28"/>
        <w:jc w:val="both"/>
        <w:rPr>
          <w:rFonts w:ascii="Palatino Linotype" w:hAnsi="Palatino Linotype" w:cs="Tahoma"/>
          <w:sz w:val="22"/>
          <w:szCs w:val="22"/>
        </w:rPr>
      </w:pPr>
      <w:r w:rsidRPr="00AA699E">
        <w:rPr>
          <w:rFonts w:ascii="Palatino Linotype" w:hAnsi="Palatino Linotype" w:cs="Tahoma"/>
          <w:b/>
          <w:sz w:val="22"/>
          <w:szCs w:val="22"/>
        </w:rPr>
        <w:t xml:space="preserve">c) Informe Justificado o manifestaciones. </w:t>
      </w:r>
      <w:r w:rsidRPr="00AA699E">
        <w:rPr>
          <w:rFonts w:ascii="Palatino Linotype" w:hAnsi="Palatino Linotype" w:cs="Tahoma"/>
          <w:bCs/>
          <w:sz w:val="22"/>
          <w:szCs w:val="22"/>
        </w:rPr>
        <w:t>L</w:t>
      </w:r>
      <w:r w:rsidRPr="00AA699E">
        <w:rPr>
          <w:rFonts w:ascii="Palatino Linotype" w:hAnsi="Palatino Linotype" w:cs="Tahoma"/>
          <w:sz w:val="22"/>
          <w:szCs w:val="22"/>
        </w:rPr>
        <w:t>as partes fueron omisas en emitir alegatos o manifestaciones.</w:t>
      </w:r>
    </w:p>
    <w:p w:rsidRPr="00AA699E" w:rsidR="009245F5" w:rsidP="009245F5" w:rsidRDefault="009245F5" w14:paraId="0F26F79D" w14:textId="77777777">
      <w:pPr>
        <w:spacing w:line="360" w:lineRule="auto"/>
        <w:ind w:right="-28"/>
        <w:jc w:val="both"/>
        <w:rPr>
          <w:rFonts w:ascii="Palatino Linotype" w:hAnsi="Palatino Linotype" w:cs="Tahoma"/>
          <w:sz w:val="22"/>
        </w:rPr>
      </w:pPr>
    </w:p>
    <w:p w:rsidRPr="00AA699E" w:rsidR="00F100DD" w:rsidP="00F100DD" w:rsidRDefault="009245F5" w14:paraId="36088BA4" w14:textId="7975BA02">
      <w:pPr>
        <w:widowControl w:val="0"/>
        <w:spacing w:line="360" w:lineRule="auto"/>
        <w:jc w:val="both"/>
        <w:rPr>
          <w:rFonts w:ascii="Palatino Linotype" w:hAnsi="Palatino Linotype"/>
          <w:bCs/>
          <w:sz w:val="22"/>
          <w:szCs w:val="22"/>
          <w:lang w:val="es-ES_tradnl"/>
        </w:rPr>
      </w:pPr>
      <w:r w:rsidRPr="00AA699E">
        <w:rPr>
          <w:rFonts w:ascii="Palatino Linotype" w:hAnsi="Palatino Linotype" w:cs="Tahoma"/>
          <w:b/>
          <w:sz w:val="22"/>
          <w:szCs w:val="22"/>
        </w:rPr>
        <w:t xml:space="preserve">d) </w:t>
      </w:r>
      <w:r w:rsidRPr="00AA699E" w:rsidR="008142FA">
        <w:rPr>
          <w:rFonts w:ascii="Palatino Linotype" w:hAnsi="Palatino Linotype" w:cs="Tahoma"/>
          <w:b/>
          <w:sz w:val="22"/>
          <w:szCs w:val="22"/>
        </w:rPr>
        <w:t>Ampliación de plazo para resolver.</w:t>
      </w:r>
      <w:r w:rsidRPr="00AA699E" w:rsidR="008142FA">
        <w:rPr>
          <w:rFonts w:ascii="Palatino Linotype" w:hAnsi="Palatino Linotype" w:cs="Tahoma"/>
          <w:bCs/>
          <w:sz w:val="22"/>
          <w:szCs w:val="22"/>
        </w:rPr>
        <w:t xml:space="preserve"> </w:t>
      </w:r>
      <w:r w:rsidRPr="00AA699E" w:rsidR="00F100DD">
        <w:rPr>
          <w:rFonts w:ascii="Palatino Linotype" w:hAnsi="Palatino Linotype"/>
          <w:bCs/>
          <w:sz w:val="22"/>
          <w:szCs w:val="22"/>
          <w:lang w:val="es-ES_tradnl"/>
        </w:rPr>
        <w:t>El nueve de enero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AA699E" w:rsidR="00F100DD" w:rsidP="00F100DD" w:rsidRDefault="00F100DD" w14:paraId="00E1D45F" w14:textId="77777777">
      <w:pPr>
        <w:spacing w:line="360" w:lineRule="auto"/>
        <w:jc w:val="both"/>
        <w:rPr>
          <w:rFonts w:ascii="Palatino Linotype" w:hAnsi="Palatino Linotype" w:eastAsia="Batang" w:cs="Tahoma"/>
          <w:bCs/>
          <w:sz w:val="22"/>
          <w:szCs w:val="22"/>
        </w:rPr>
      </w:pPr>
    </w:p>
    <w:p w:rsidRPr="00AA699E" w:rsidR="00F100DD" w:rsidP="00F100DD" w:rsidRDefault="00F100DD" w14:paraId="729CE00E"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AA699E">
        <w:rPr>
          <w:rFonts w:ascii="Palatino Linotype" w:hAnsi="Palatino Linotype" w:eastAsia="Palatino Linotype" w:cs="Palatino Linotype"/>
          <w:color w:val="000000"/>
          <w:sz w:val="22"/>
          <w:szCs w:val="22"/>
          <w:lang w:val="es-ES" w:eastAsia="en-US"/>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AA699E" w:rsidR="00F100DD" w:rsidP="00F100DD" w:rsidRDefault="00F100DD" w14:paraId="074C64FD"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18CAEC25"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AA699E" w:rsidR="00F100DD" w:rsidP="00F100DD" w:rsidRDefault="00F100DD" w14:paraId="3BD1FDB1"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01FE3643"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AA699E" w:rsidR="00F100DD" w:rsidP="00F100DD" w:rsidRDefault="00F100DD" w14:paraId="10745C58"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5B0751B1"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AA699E" w:rsidR="00F100DD" w:rsidP="00F100DD" w:rsidRDefault="00F100DD" w14:paraId="42D5ED36"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23F9F867"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 xml:space="preserve">Por ello, excepcionalmente, si un asunto es resuelto con posterioridad a los plazos señalados por la norma debe analizarse la razonabilidad del tiempo necesario para su resolución, atentos a los siguientes criterios:  </w:t>
      </w:r>
    </w:p>
    <w:p w:rsidRPr="00AA699E" w:rsidR="00F100DD" w:rsidP="00F100DD" w:rsidRDefault="00F100DD" w14:paraId="47BB3B58"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74E07416" w14:textId="77777777">
      <w:pPr>
        <w:numPr>
          <w:ilvl w:val="0"/>
          <w:numId w:val="47"/>
        </w:numPr>
        <w:spacing w:after="160" w:line="360" w:lineRule="auto"/>
        <w:contextualSpacing/>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b/>
          <w:bCs/>
          <w:color w:val="000000"/>
          <w:sz w:val="22"/>
          <w:szCs w:val="22"/>
          <w:lang w:val="es-ES" w:eastAsia="en-US"/>
        </w:rPr>
        <w:t>Complejidad del asunto:</w:t>
      </w:r>
      <w:r w:rsidRPr="00AA699E">
        <w:rPr>
          <w:rFonts w:ascii="Palatino Linotype" w:hAnsi="Palatino Linotype" w:eastAsia="Palatino Linotype" w:cs="Palatino Linotype"/>
          <w:color w:val="000000"/>
          <w:sz w:val="22"/>
          <w:szCs w:val="22"/>
          <w:lang w:val="es-ES" w:eastAsia="en-US"/>
        </w:rPr>
        <w:t xml:space="preserve"> La complejidad de la prueba, la pluralidad de sujetos procesales, el tiempo transcurrido, las características y contexto del recurso.</w:t>
      </w:r>
    </w:p>
    <w:p w:rsidRPr="00AA699E" w:rsidR="00F100DD" w:rsidP="00F100DD" w:rsidRDefault="00F100DD" w14:paraId="61D25704"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5D612B5D" w14:textId="77777777">
      <w:pPr>
        <w:numPr>
          <w:ilvl w:val="0"/>
          <w:numId w:val="47"/>
        </w:numPr>
        <w:spacing w:after="160" w:line="360" w:lineRule="auto"/>
        <w:contextualSpacing/>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b/>
          <w:bCs/>
          <w:color w:val="000000"/>
          <w:sz w:val="22"/>
          <w:szCs w:val="22"/>
          <w:lang w:val="es-ES" w:eastAsia="en-US"/>
        </w:rPr>
        <w:t>Actividad Procesal del interesado:</w:t>
      </w:r>
      <w:r w:rsidRPr="00AA699E">
        <w:rPr>
          <w:rFonts w:ascii="Palatino Linotype" w:hAnsi="Palatino Linotype" w:eastAsia="Palatino Linotype" w:cs="Palatino Linotype"/>
          <w:color w:val="000000"/>
          <w:sz w:val="22"/>
          <w:szCs w:val="22"/>
          <w:lang w:val="es-ES" w:eastAsia="en-US"/>
        </w:rPr>
        <w:t xml:space="preserve"> Acciones u omisiones del interesado.</w:t>
      </w:r>
    </w:p>
    <w:p w:rsidRPr="00AA699E" w:rsidR="00F100DD" w:rsidP="00F100DD" w:rsidRDefault="00F100DD" w14:paraId="73C972BD"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1243A257" w14:textId="77777777">
      <w:pPr>
        <w:numPr>
          <w:ilvl w:val="0"/>
          <w:numId w:val="47"/>
        </w:numPr>
        <w:spacing w:after="160" w:line="360" w:lineRule="auto"/>
        <w:contextualSpacing/>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b/>
          <w:bCs/>
          <w:color w:val="000000"/>
          <w:sz w:val="22"/>
          <w:szCs w:val="22"/>
          <w:lang w:val="es-ES" w:eastAsia="en-US"/>
        </w:rPr>
        <w:t>Conducta de la Autoridad:</w:t>
      </w:r>
      <w:r w:rsidRPr="00AA699E">
        <w:rPr>
          <w:rFonts w:ascii="Palatino Linotype" w:hAnsi="Palatino Linotype" w:eastAsia="Palatino Linotype" w:cs="Palatino Linotype"/>
          <w:color w:val="000000"/>
          <w:sz w:val="22"/>
          <w:szCs w:val="22"/>
          <w:lang w:val="es-ES" w:eastAsia="en-US"/>
        </w:rPr>
        <w:t xml:space="preserve"> Las Acciones u omisiones realizadas en el procedimiento. Así como si la autoridad actuó con la debida diligencia.</w:t>
      </w:r>
    </w:p>
    <w:p w:rsidRPr="00AA699E" w:rsidR="00F100DD" w:rsidP="00F100DD" w:rsidRDefault="00F100DD" w14:paraId="47B7A9D0"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6BFA71F8" w14:textId="77777777">
      <w:pPr>
        <w:numPr>
          <w:ilvl w:val="0"/>
          <w:numId w:val="47"/>
        </w:numPr>
        <w:spacing w:after="160" w:line="360" w:lineRule="auto"/>
        <w:contextualSpacing/>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b/>
          <w:bCs/>
          <w:color w:val="000000"/>
          <w:sz w:val="22"/>
          <w:szCs w:val="22"/>
          <w:lang w:val="es-ES" w:eastAsia="en-US"/>
        </w:rPr>
        <w:t xml:space="preserve">La afectación generada en la situación jurídica de la persona involucrada en el proceso: </w:t>
      </w:r>
      <w:r w:rsidRPr="00AA699E">
        <w:rPr>
          <w:rFonts w:ascii="Palatino Linotype" w:hAnsi="Palatino Linotype" w:eastAsia="Palatino Linotype" w:cs="Palatino Linotype"/>
          <w:color w:val="000000"/>
          <w:sz w:val="22"/>
          <w:szCs w:val="22"/>
          <w:lang w:val="es-ES" w:eastAsia="en-US"/>
        </w:rPr>
        <w:t>Violación a sus derechos humanos.</w:t>
      </w:r>
    </w:p>
    <w:p w:rsidRPr="00AA699E" w:rsidR="00F100DD" w:rsidP="00F100DD" w:rsidRDefault="00F100DD" w14:paraId="01F31608"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65A0E9C6"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AA699E" w:rsidR="00F100DD" w:rsidP="00F100DD" w:rsidRDefault="00F100DD" w14:paraId="69354BF6"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3CB016F3"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Argumento que encuentra sustento en la jurisprudencia P</w:t>
      </w:r>
      <w:proofErr w:type="gramStart"/>
      <w:r w:rsidRPr="00AA699E">
        <w:rPr>
          <w:rFonts w:ascii="Palatino Linotype" w:hAnsi="Palatino Linotype" w:eastAsia="Palatino Linotype" w:cs="Palatino Linotype"/>
          <w:color w:val="000000"/>
          <w:sz w:val="22"/>
          <w:szCs w:val="22"/>
          <w:lang w:val="es-ES" w:eastAsia="en-US"/>
        </w:rPr>
        <w:t>./</w:t>
      </w:r>
      <w:proofErr w:type="gramEnd"/>
      <w:r w:rsidRPr="00AA699E">
        <w:rPr>
          <w:rFonts w:ascii="Palatino Linotype" w:hAnsi="Palatino Linotype" w:eastAsia="Palatino Linotype" w:cs="Palatino Linotype"/>
          <w:color w:val="000000"/>
          <w:sz w:val="22"/>
          <w:szCs w:val="22"/>
          <w:lang w:val="es-ES" w:eastAsia="en-US"/>
        </w:rPr>
        <w:t>J. 32/92 emitida por el Pleno de la Suprema Corte de Justicia de la Nación de rubro “</w:t>
      </w:r>
      <w:r w:rsidRPr="00AA699E">
        <w:rPr>
          <w:rFonts w:ascii="Palatino Linotype" w:hAnsi="Palatino Linotype" w:eastAsia="Palatino Linotype" w:cs="Palatino Linotype"/>
          <w:b/>
          <w:bCs/>
          <w:color w:val="000000"/>
          <w:sz w:val="22"/>
          <w:szCs w:val="22"/>
          <w:lang w:val="es-ES" w:eastAsia="en-US"/>
        </w:rPr>
        <w:t>TÉRMINOS PROCESALES. PARA DETERMINAR SI UN FUNCIONARIO JUDICIAL ACTUÓ INDEBIDAMENTE POR NO RESPETARLOS SE DEBE ATENDER AL PRESUPUESTO QUE CONSIDERÓ EL LEGISLADOR AL FIJARLOS Y LAS CARACTERÍSTICAS DEL CASO</w:t>
      </w:r>
      <w:r w:rsidRPr="00AA699E">
        <w:rPr>
          <w:rFonts w:ascii="Palatino Linotype" w:hAnsi="Palatino Linotype" w:eastAsia="Palatino Linotype" w:cs="Palatino Linotype"/>
          <w:color w:val="000000"/>
          <w:sz w:val="22"/>
          <w:szCs w:val="22"/>
          <w:lang w:val="es-ES" w:eastAsia="en-US"/>
        </w:rPr>
        <w:t>.”, visible en la Gaceta del Seminario Judicial de la Federación con el registro digital 205635.</w:t>
      </w:r>
    </w:p>
    <w:p w:rsidRPr="00AA699E" w:rsidR="00F100DD" w:rsidP="00F100DD" w:rsidRDefault="00F100DD" w14:paraId="4A6D4869"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 xml:space="preserve"> </w:t>
      </w:r>
    </w:p>
    <w:p w:rsidRPr="00AA699E" w:rsidR="00F100DD" w:rsidP="00F100DD" w:rsidRDefault="00F100DD" w14:paraId="5D7FBFB5"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AA699E">
        <w:rPr>
          <w:rFonts w:ascii="Palatino Linotype" w:hAnsi="Palatino Linotype" w:eastAsia="Palatino Linotype" w:cs="Palatino Linotype"/>
          <w:color w:val="000000"/>
          <w:sz w:val="22"/>
          <w:szCs w:val="22"/>
          <w:lang w:val="es-ES" w:eastAsia="en-US"/>
        </w:rPr>
        <w:lastRenderedPageBreak/>
        <w:t>de los términos legales previamente establecidos por la Ley, por tratarse de causas de fuerza mayor.</w:t>
      </w:r>
    </w:p>
    <w:p w:rsidRPr="00AA699E" w:rsidR="00F100DD" w:rsidP="00F100DD" w:rsidRDefault="00F100DD" w14:paraId="08EA5B3F"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21BB4738"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Al respecto, también son de considerar los criterios sostenidos por el Cuarto Tribunal Colegiado en Materia Administrativa del Primer Circuito, cuyos rubros y datos de identificación son los siguientes:</w:t>
      </w:r>
    </w:p>
    <w:p w:rsidRPr="00AA699E" w:rsidR="00F100DD" w:rsidP="00F100DD" w:rsidRDefault="00F100DD" w14:paraId="28A80630"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510226EB"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 xml:space="preserve"> “</w:t>
      </w:r>
      <w:r w:rsidRPr="00AA699E">
        <w:rPr>
          <w:rFonts w:ascii="Palatino Linotype" w:hAnsi="Palatino Linotype" w:eastAsia="Palatino Linotype" w:cs="Palatino Linotype"/>
          <w:b/>
          <w:bCs/>
          <w:color w:val="000000"/>
          <w:sz w:val="22"/>
          <w:szCs w:val="22"/>
          <w:lang w:val="es-ES" w:eastAsia="en-US"/>
        </w:rPr>
        <w:t>PLAZO RAZONABLE PARA RESOLVER. DIMENSIÓN Y EFECTOS DE ESTE CONCEPTO CUANDO SE ADUCE EXCESIVA CARGA DE TRABAJO</w:t>
      </w:r>
      <w:r w:rsidRPr="00AA699E">
        <w:rPr>
          <w:rFonts w:ascii="Palatino Linotype" w:hAnsi="Palatino Linotype" w:eastAsia="Palatino Linotype" w:cs="Palatino Linotype"/>
          <w:color w:val="000000"/>
          <w:sz w:val="22"/>
          <w:szCs w:val="22"/>
          <w:lang w:val="es-ES" w:eastAsia="en-US"/>
        </w:rPr>
        <w:t>.” consultable en el Seminario Judicial de la Federación y su gaceta, con el registro digital 2002351.</w:t>
      </w:r>
    </w:p>
    <w:p w:rsidRPr="00AA699E" w:rsidR="00993E89" w:rsidP="00F100DD" w:rsidRDefault="00993E89" w14:paraId="09E2FAF6"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5A9BEA26"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w:t>
      </w:r>
      <w:r w:rsidRPr="00AA699E">
        <w:rPr>
          <w:rFonts w:ascii="Palatino Linotype" w:hAnsi="Palatino Linotype" w:eastAsia="Palatino Linotype" w:cs="Palatino Linotype"/>
          <w:b/>
          <w:bCs/>
          <w:color w:val="000000"/>
          <w:sz w:val="22"/>
          <w:szCs w:val="22"/>
          <w:lang w:val="es-ES" w:eastAsia="en-US"/>
        </w:rPr>
        <w:t>PLAZO RAZONABLE PARA RESOLVER. CONCEPTO Y ELEMENTOS QUE LO INTEGRAN A LA LUZ DEL DERECHO INTERNACIONAL DE LOS DERECHOS HUMANOS</w:t>
      </w:r>
      <w:r w:rsidRPr="00AA699E">
        <w:rPr>
          <w:rFonts w:ascii="Palatino Linotype" w:hAnsi="Palatino Linotype" w:eastAsia="Palatino Linotype" w:cs="Palatino Linotype"/>
          <w:color w:val="000000"/>
          <w:sz w:val="22"/>
          <w:szCs w:val="22"/>
          <w:lang w:val="es-ES" w:eastAsia="en-US"/>
        </w:rPr>
        <w:t>.”, visible en el Seminario Judicial de la Federación y su gaceta, con el registro digital 2002350.</w:t>
      </w:r>
    </w:p>
    <w:p w:rsidRPr="00AA699E" w:rsidR="00F100DD" w:rsidP="00F100DD" w:rsidRDefault="00F100DD" w14:paraId="2A729969" w14:textId="77777777">
      <w:pPr>
        <w:spacing w:line="360" w:lineRule="auto"/>
        <w:jc w:val="both"/>
        <w:rPr>
          <w:rFonts w:ascii="Palatino Linotype" w:hAnsi="Palatino Linotype" w:eastAsia="Palatino Linotype" w:cs="Palatino Linotype"/>
          <w:color w:val="000000"/>
          <w:sz w:val="22"/>
          <w:szCs w:val="22"/>
          <w:lang w:val="es-ES" w:eastAsia="en-US"/>
        </w:rPr>
      </w:pPr>
    </w:p>
    <w:p w:rsidRPr="00AA699E" w:rsidR="00F100DD" w:rsidP="00F100DD" w:rsidRDefault="00F100DD" w14:paraId="09741050" w14:textId="77777777">
      <w:pPr>
        <w:spacing w:line="360" w:lineRule="auto"/>
        <w:jc w:val="both"/>
        <w:rPr>
          <w:rFonts w:ascii="Palatino Linotype" w:hAnsi="Palatino Linotype" w:eastAsia="Palatino Linotype" w:cs="Palatino Linotype"/>
          <w:color w:val="000000"/>
          <w:sz w:val="22"/>
          <w:szCs w:val="22"/>
          <w:lang w:val="es-ES" w:eastAsia="en-US"/>
        </w:rPr>
      </w:pPr>
      <w:r w:rsidRPr="00AA699E">
        <w:rPr>
          <w:rFonts w:ascii="Palatino Linotype" w:hAnsi="Palatino Linotype" w:eastAsia="Palatino Linotype" w:cs="Palatino Linotype"/>
          <w:color w:val="000000"/>
          <w:sz w:val="22"/>
          <w:szCs w:val="22"/>
          <w:lang w:val="es-ES" w:eastAsia="en-US"/>
        </w:rPr>
        <w:t>Por ello, este organismo garante comprometido con la tutela de los derechos humanos confiados señala que este exceso del plazo legal para resolver el presente asunto, resulta de carácter excepcional.</w:t>
      </w:r>
    </w:p>
    <w:p w:rsidRPr="00AA699E" w:rsidR="008142FA" w:rsidP="009245F5" w:rsidRDefault="008142FA" w14:paraId="5A47E946" w14:textId="77777777">
      <w:pPr>
        <w:spacing w:line="360" w:lineRule="auto"/>
        <w:ind w:right="-28"/>
        <w:jc w:val="both"/>
        <w:rPr>
          <w:rFonts w:ascii="Palatino Linotype" w:hAnsi="Palatino Linotype" w:cs="Tahoma"/>
          <w:b/>
          <w:sz w:val="22"/>
          <w:szCs w:val="22"/>
        </w:rPr>
      </w:pPr>
    </w:p>
    <w:p w:rsidRPr="00AA699E" w:rsidR="009245F5" w:rsidP="009245F5" w:rsidRDefault="00F100DD" w14:paraId="64F60997" w14:textId="65D8DFEB">
      <w:pPr>
        <w:spacing w:line="360" w:lineRule="auto"/>
        <w:ind w:right="-28"/>
        <w:jc w:val="both"/>
        <w:rPr>
          <w:rFonts w:ascii="Palatino Linotype" w:hAnsi="Palatino Linotype" w:cs="Tahoma"/>
          <w:sz w:val="22"/>
          <w:szCs w:val="22"/>
        </w:rPr>
      </w:pPr>
      <w:r w:rsidRPr="00AA699E">
        <w:rPr>
          <w:rFonts w:ascii="Palatino Linotype" w:hAnsi="Palatino Linotype" w:cs="Tahoma"/>
          <w:b/>
          <w:sz w:val="22"/>
          <w:szCs w:val="22"/>
        </w:rPr>
        <w:t>e</w:t>
      </w:r>
      <w:r w:rsidRPr="00AA699E" w:rsidR="008142FA">
        <w:rPr>
          <w:rFonts w:ascii="Palatino Linotype" w:hAnsi="Palatino Linotype" w:cs="Tahoma"/>
          <w:b/>
          <w:sz w:val="22"/>
          <w:szCs w:val="22"/>
        </w:rPr>
        <w:t xml:space="preserve">) </w:t>
      </w:r>
      <w:r w:rsidRPr="00AA699E" w:rsidR="009245F5">
        <w:rPr>
          <w:rFonts w:ascii="Palatino Linotype" w:hAnsi="Palatino Linotype" w:cs="Tahoma"/>
          <w:b/>
          <w:sz w:val="22"/>
          <w:szCs w:val="22"/>
        </w:rPr>
        <w:t xml:space="preserve">Cierre de instrucción. </w:t>
      </w:r>
      <w:r w:rsidRPr="00AA699E" w:rsidR="008142FA">
        <w:rPr>
          <w:rFonts w:ascii="Palatino Linotype" w:hAnsi="Palatino Linotype" w:cs="Tahoma"/>
          <w:sz w:val="22"/>
          <w:szCs w:val="22"/>
        </w:rPr>
        <w:t>El veint</w:t>
      </w:r>
      <w:r w:rsidRPr="00AA699E">
        <w:rPr>
          <w:rFonts w:ascii="Palatino Linotype" w:hAnsi="Palatino Linotype" w:cs="Tahoma"/>
          <w:sz w:val="22"/>
          <w:szCs w:val="22"/>
        </w:rPr>
        <w:t>icuatro</w:t>
      </w:r>
      <w:r w:rsidRPr="00AA699E" w:rsidR="008142FA">
        <w:rPr>
          <w:rFonts w:ascii="Palatino Linotype" w:hAnsi="Palatino Linotype" w:cs="Tahoma"/>
          <w:sz w:val="22"/>
          <w:szCs w:val="22"/>
        </w:rPr>
        <w:t xml:space="preserve"> de </w:t>
      </w:r>
      <w:r w:rsidRPr="00AA699E">
        <w:rPr>
          <w:rFonts w:ascii="Palatino Linotype" w:hAnsi="Palatino Linotype" w:cs="Tahoma"/>
          <w:sz w:val="22"/>
          <w:szCs w:val="22"/>
        </w:rPr>
        <w:t>enero</w:t>
      </w:r>
      <w:r w:rsidRPr="00AA699E" w:rsidR="009245F5">
        <w:rPr>
          <w:rFonts w:ascii="Palatino Linotype" w:hAnsi="Palatino Linotype" w:cs="Tahoma"/>
          <w:sz w:val="22"/>
          <w:szCs w:val="22"/>
        </w:rPr>
        <w:t xml:space="preserve"> de dos mil veinti</w:t>
      </w:r>
      <w:r w:rsidRPr="00AA699E">
        <w:rPr>
          <w:rFonts w:ascii="Palatino Linotype" w:hAnsi="Palatino Linotype" w:cs="Tahoma"/>
          <w:sz w:val="22"/>
          <w:szCs w:val="22"/>
        </w:rPr>
        <w:t>trés</w:t>
      </w:r>
      <w:r w:rsidRPr="00AA699E" w:rsidR="009245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AA699E" w:rsidR="009245F5">
        <w:rPr>
          <w:rFonts w:ascii="Palatino Linotype" w:hAnsi="Palatino Linotype" w:cs="Tahoma"/>
          <w:sz w:val="22"/>
          <w:szCs w:val="22"/>
          <w:lang w:val="es-ES"/>
        </w:rPr>
        <w:t>Sistema de Acceso a la Información Mexiquense (SAIMEX)</w:t>
      </w:r>
      <w:r w:rsidRPr="00AA699E" w:rsidR="009245F5">
        <w:rPr>
          <w:rFonts w:ascii="Palatino Linotype" w:hAnsi="Palatino Linotype" w:cs="Tahoma"/>
          <w:sz w:val="22"/>
          <w:szCs w:val="22"/>
        </w:rPr>
        <w:t>.</w:t>
      </w:r>
    </w:p>
    <w:p w:rsidRPr="00AA699E" w:rsidR="009245F5" w:rsidP="009245F5" w:rsidRDefault="009245F5" w14:paraId="4DDAD19A" w14:textId="29D5E231">
      <w:pPr>
        <w:spacing w:line="360" w:lineRule="auto"/>
        <w:ind w:right="-28"/>
        <w:jc w:val="both"/>
        <w:rPr>
          <w:rFonts w:ascii="Palatino Linotype" w:hAnsi="Palatino Linotype" w:cs="Tahoma"/>
          <w:sz w:val="22"/>
          <w:szCs w:val="22"/>
          <w:lang w:val="es-ES"/>
        </w:rPr>
      </w:pPr>
    </w:p>
    <w:p w:rsidRPr="00AA699E" w:rsidR="008142FA" w:rsidP="009245F5" w:rsidRDefault="008142FA" w14:paraId="6C690377" w14:textId="77777777">
      <w:pPr>
        <w:spacing w:line="360" w:lineRule="auto"/>
        <w:ind w:right="-28"/>
        <w:jc w:val="both"/>
        <w:rPr>
          <w:rFonts w:ascii="Palatino Linotype" w:hAnsi="Palatino Linotype" w:cs="Tahoma"/>
          <w:sz w:val="22"/>
          <w:szCs w:val="22"/>
          <w:lang w:val="es-ES"/>
        </w:rPr>
      </w:pPr>
    </w:p>
    <w:p w:rsidRPr="00AA699E"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AA699E">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AA699E" w:rsidR="009245F5" w:rsidP="009245F5" w:rsidRDefault="009245F5" w14:paraId="69A6557F" w14:textId="77777777">
      <w:pPr>
        <w:spacing w:line="360" w:lineRule="auto"/>
        <w:ind w:right="-28"/>
        <w:rPr>
          <w:rFonts w:ascii="Palatino Linotype" w:hAnsi="Palatino Linotype" w:cs="Tahoma"/>
          <w:b/>
          <w:sz w:val="22"/>
          <w:szCs w:val="22"/>
        </w:rPr>
      </w:pPr>
    </w:p>
    <w:p w:rsidRPr="00AA699E"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AA699E">
        <w:rPr>
          <w:rFonts w:ascii="Palatino Linotype" w:hAnsi="Palatino Linotype" w:cs="Tahoma"/>
          <w:b/>
          <w:sz w:val="22"/>
          <w:szCs w:val="22"/>
          <w:lang w:val="es-ES"/>
        </w:rPr>
        <w:t>C O N S I D E R A N D O S</w:t>
      </w:r>
    </w:p>
    <w:p w:rsidRPr="00AA699E"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AA699E"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AA699E">
        <w:rPr>
          <w:rFonts w:ascii="Palatino Linotype" w:hAnsi="Palatino Linotype" w:eastAsia="Calibri" w:cs="Tahoma"/>
          <w:b/>
          <w:color w:val="000000"/>
          <w:sz w:val="22"/>
          <w:szCs w:val="22"/>
          <w:lang w:val="es-ES" w:eastAsia="es-MX"/>
        </w:rPr>
        <w:t>PRIMERO</w:t>
      </w:r>
      <w:r w:rsidRPr="00AA699E">
        <w:rPr>
          <w:rFonts w:ascii="Palatino Linotype" w:hAnsi="Palatino Linotype" w:eastAsia="Calibri" w:cs="Tahoma"/>
          <w:color w:val="000000"/>
          <w:sz w:val="22"/>
          <w:szCs w:val="22"/>
          <w:lang w:val="es-ES" w:eastAsia="es-MX"/>
        </w:rPr>
        <w:t xml:space="preserve">. </w:t>
      </w:r>
      <w:r w:rsidRPr="00AA699E">
        <w:rPr>
          <w:rFonts w:ascii="Palatino Linotype" w:hAnsi="Palatino Linotype" w:cs="Tahoma"/>
          <w:b/>
          <w:sz w:val="22"/>
          <w:szCs w:val="22"/>
          <w:lang w:val="es-ES"/>
        </w:rPr>
        <w:t>Competencia.</w:t>
      </w:r>
    </w:p>
    <w:p w:rsidRPr="00AA699E"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A699E"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AA699E">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AA699E" w:rsidR="00510B7F">
        <w:rPr>
          <w:rFonts w:ascii="Palatino Linotype" w:hAnsi="Palatino Linotype" w:cs="Tahoma"/>
          <w:color w:val="000000"/>
          <w:sz w:val="22"/>
          <w:szCs w:val="22"/>
        </w:rPr>
        <w:t>trigésimo, trigésimo primero y trigésimo segundo</w:t>
      </w:r>
      <w:r w:rsidRPr="00AA699E">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A699E">
        <w:rPr>
          <w:color w:val="000000"/>
        </w:rPr>
        <w:t xml:space="preserve"> 7°, </w:t>
      </w:r>
      <w:r w:rsidRPr="00AA699E">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A699E"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Pr="00AA699E"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AA699E">
        <w:rPr>
          <w:rFonts w:ascii="Palatino Linotype" w:hAnsi="Palatino Linotype" w:eastAsia="Calibri" w:cs="Tahoma"/>
          <w:b/>
          <w:color w:val="000000"/>
          <w:sz w:val="22"/>
          <w:szCs w:val="22"/>
          <w:lang w:val="es-ES" w:eastAsia="es-MX"/>
        </w:rPr>
        <w:t>SEGUNDO. Causales de improcedencia y sobreseimiento.</w:t>
      </w:r>
    </w:p>
    <w:p w:rsidRPr="00AA699E"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AA699E" w:rsidR="009245F5" w:rsidP="009245F5" w:rsidRDefault="009245F5" w14:paraId="5B57B3C3" w14:textId="7B354786">
      <w:pPr>
        <w:autoSpaceDE w:val="0"/>
        <w:autoSpaceDN w:val="0"/>
        <w:adjustRightInd w:val="0"/>
        <w:spacing w:line="360" w:lineRule="auto"/>
        <w:jc w:val="both"/>
        <w:rPr>
          <w:rFonts w:ascii="Palatino Linotype" w:hAnsi="Palatino Linotype" w:cs="Tahoma"/>
          <w:sz w:val="22"/>
          <w:szCs w:val="22"/>
          <w:lang w:val="es-ES"/>
        </w:rPr>
      </w:pPr>
      <w:r w:rsidRPr="00AA699E">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A699E">
        <w:rPr>
          <w:rFonts w:ascii="Palatino Linotype" w:hAnsi="Palatino Linotype" w:cs="Tahoma"/>
          <w:i/>
          <w:sz w:val="22"/>
          <w:szCs w:val="22"/>
          <w:lang w:val="es-ES"/>
        </w:rPr>
        <w:t>litis</w:t>
      </w:r>
      <w:proofErr w:type="spellEnd"/>
      <w:r w:rsidRPr="00AA699E">
        <w:rPr>
          <w:rFonts w:ascii="Palatino Linotype" w:hAnsi="Palatino Linotype" w:cs="Tahoma"/>
          <w:sz w:val="22"/>
          <w:szCs w:val="22"/>
          <w:lang w:val="es-ES"/>
        </w:rPr>
        <w:t>, es necesario estudiar las causales de improcedencia, para determinar lo que en Derecho proceda.</w:t>
      </w:r>
    </w:p>
    <w:p w:rsidRPr="00AA699E" w:rsidR="009245F5" w:rsidP="00D3439B" w:rsidRDefault="009245F5" w14:paraId="3DC1A700" w14:textId="4C1DE744">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sidRPr="00AA699E">
        <w:rPr>
          <w:rFonts w:ascii="Palatino Linotype" w:hAnsi="Palatino Linotype" w:eastAsia="Calibri" w:cs="Tahoma"/>
          <w:b/>
          <w:color w:val="000000"/>
          <w:sz w:val="22"/>
          <w:szCs w:val="22"/>
          <w:lang w:val="es-ES" w:eastAsia="es-MX"/>
        </w:rPr>
        <w:lastRenderedPageBreak/>
        <w:t>Causales de improcedencia.</w:t>
      </w:r>
    </w:p>
    <w:p w:rsidRPr="00AA699E" w:rsidR="00993E89" w:rsidP="00D3439B" w:rsidRDefault="00993E89" w14:paraId="63C27307"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AA699E"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AA699E">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A699E"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AA699E"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AA699E">
        <w:rPr>
          <w:rFonts w:ascii="Palatino Linotype" w:hAnsi="Palatino Linotype" w:cs="Tahoma"/>
          <w:sz w:val="22"/>
          <w:szCs w:val="24"/>
        </w:rPr>
        <w:t>En el presente caso, </w:t>
      </w:r>
      <w:r w:rsidRPr="00AA699E">
        <w:rPr>
          <w:rFonts w:ascii="Palatino Linotype" w:hAnsi="Palatino Linotype" w:cs="Tahoma"/>
          <w:b/>
          <w:bCs/>
          <w:sz w:val="22"/>
          <w:szCs w:val="24"/>
        </w:rPr>
        <w:t>no se actualiza ninguna de las causales de improcedencia</w:t>
      </w:r>
      <w:r w:rsidRPr="00AA699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AA699E">
        <w:rPr>
          <w:rFonts w:ascii="Palatino Linotype" w:hAnsi="Palatino Linotype" w:cs="Tahoma"/>
          <w:sz w:val="22"/>
          <w:szCs w:val="22"/>
          <w:lang w:val="es-ES"/>
        </w:rPr>
        <w:t xml:space="preserve">además de que </w:t>
      </w:r>
      <w:r w:rsidRPr="00AA699E">
        <w:rPr>
          <w:rFonts w:ascii="Palatino Linotype" w:hAnsi="Palatino Linotype" w:eastAsia="Calibri" w:cs="Tahoma"/>
          <w:color w:val="000000"/>
          <w:sz w:val="22"/>
          <w:szCs w:val="22"/>
          <w:lang w:val="es-ES" w:eastAsia="es-MX"/>
        </w:rPr>
        <w:t>el medio de impugnación fue presentado en tiempo.</w:t>
      </w:r>
    </w:p>
    <w:p w:rsidRPr="00AA699E"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AA699E" w:rsidR="00FB6698" w:rsidP="00FB6698" w:rsidRDefault="00FB6698" w14:paraId="4CFB692B" w14:textId="29810A07">
      <w:pPr>
        <w:widowControl w:val="0"/>
        <w:spacing w:line="360" w:lineRule="auto"/>
        <w:jc w:val="both"/>
        <w:rPr>
          <w:rFonts w:ascii="Palatino Linotype" w:hAnsi="Palatino Linotype"/>
          <w:color w:val="222222"/>
        </w:rPr>
      </w:pPr>
      <w:r w:rsidRPr="00AA699E">
        <w:rPr>
          <w:rFonts w:ascii="Palatino Linotype" w:hAnsi="Palatino Linotype" w:cs="Tahoma"/>
          <w:sz w:val="22"/>
          <w:szCs w:val="22"/>
        </w:rPr>
        <w:t xml:space="preserve">Asimismo, se actualiza la causal de procedencia del Recurso de Revisión señalada en el artículo 179, fracción VI, de la Ley en cita, </w:t>
      </w:r>
      <w:r w:rsidRPr="00AA699E">
        <w:rPr>
          <w:rFonts w:ascii="Palatino Linotype" w:hAnsi="Palatino Linotype" w:eastAsia="Calibri" w:cs="Tahoma"/>
          <w:color w:val="000000"/>
          <w:sz w:val="22"/>
          <w:szCs w:val="22"/>
          <w:lang w:eastAsia="es-MX"/>
        </w:rPr>
        <w:t xml:space="preserve">pues la Recurrente se inconformó con </w:t>
      </w:r>
      <w:r w:rsidRPr="00AA699E">
        <w:rPr>
          <w:rFonts w:ascii="Palatino Linotype" w:hAnsi="Palatino Linotype" w:cs="Tahoma"/>
          <w:sz w:val="22"/>
          <w:szCs w:val="22"/>
        </w:rPr>
        <w:t xml:space="preserve">la </w:t>
      </w:r>
      <w:r w:rsidRPr="00AA699E" w:rsidR="00673937">
        <w:rPr>
          <w:rFonts w:ascii="Palatino Linotype" w:hAnsi="Palatino Linotype" w:cs="Tahoma"/>
          <w:sz w:val="22"/>
          <w:szCs w:val="22"/>
        </w:rPr>
        <w:t>entrega de información que no corresponde con lo solicitado.</w:t>
      </w:r>
    </w:p>
    <w:p w:rsidRPr="00AA699E"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AA699E"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AA699E">
        <w:rPr>
          <w:rFonts w:ascii="Palatino Linotype" w:hAnsi="Palatino Linotype" w:eastAsia="Calibri" w:cs="Tahoma"/>
          <w:b/>
          <w:sz w:val="22"/>
          <w:szCs w:val="22"/>
          <w:lang w:val="es-ES" w:eastAsia="es-ES_tradnl"/>
        </w:rPr>
        <w:t>Causales de sobreseimiento.</w:t>
      </w:r>
    </w:p>
    <w:p w:rsidRPr="00AA699E"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AA699E" w:rsidR="00A021B4" w:rsidP="00A021B4" w:rsidRDefault="00A021B4" w14:paraId="0E49B04B" w14:textId="77777777">
      <w:pPr>
        <w:spacing w:line="360" w:lineRule="auto"/>
        <w:jc w:val="both"/>
        <w:rPr>
          <w:rFonts w:ascii="Palatino Linotype" w:hAnsi="Palatino Linotype" w:cs="Tahoma"/>
          <w:sz w:val="22"/>
          <w:szCs w:val="24"/>
        </w:rPr>
      </w:pPr>
      <w:r w:rsidRPr="00AA699E">
        <w:rPr>
          <w:rFonts w:ascii="Palatino Linotype" w:hAnsi="Palatino Linotype" w:cs="Tahoma"/>
          <w:sz w:val="22"/>
          <w:szCs w:val="24"/>
        </w:rPr>
        <w:lastRenderedPageBreak/>
        <w:t>Por ser de previo y especial pronunciamiento, este Instituto analiza si se actualiza alguna causal de sobreseimiento.</w:t>
      </w:r>
    </w:p>
    <w:p w:rsidRPr="00AA699E" w:rsidR="00A021B4" w:rsidP="00A021B4" w:rsidRDefault="00A021B4" w14:paraId="3BFCD782" w14:textId="77777777">
      <w:pPr>
        <w:spacing w:line="360" w:lineRule="auto"/>
        <w:jc w:val="both"/>
        <w:rPr>
          <w:rFonts w:ascii="Palatino Linotype" w:hAnsi="Palatino Linotype" w:cs="Tahoma"/>
          <w:sz w:val="22"/>
          <w:szCs w:val="24"/>
        </w:rPr>
      </w:pPr>
    </w:p>
    <w:p w:rsidRPr="00AA699E" w:rsidR="00A021B4" w:rsidP="00A021B4" w:rsidRDefault="00A021B4" w14:paraId="6DE45AC9" w14:textId="77777777">
      <w:pPr>
        <w:spacing w:line="360" w:lineRule="auto"/>
        <w:jc w:val="both"/>
        <w:rPr>
          <w:rFonts w:ascii="Palatino Linotype" w:hAnsi="Palatino Linotype" w:cs="Tahoma"/>
          <w:sz w:val="22"/>
          <w:szCs w:val="24"/>
        </w:rPr>
      </w:pPr>
      <w:r w:rsidRPr="00AA69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A699E" w:rsidR="00A021B4" w:rsidP="00A021B4" w:rsidRDefault="00A021B4" w14:paraId="6C7BB293" w14:textId="77777777">
      <w:pPr>
        <w:spacing w:line="360" w:lineRule="auto"/>
        <w:jc w:val="both"/>
        <w:rPr>
          <w:rFonts w:ascii="Palatino Linotype" w:hAnsi="Palatino Linotype" w:cs="Tahoma"/>
          <w:sz w:val="22"/>
          <w:szCs w:val="24"/>
        </w:rPr>
      </w:pPr>
    </w:p>
    <w:p w:rsidRPr="00AA699E" w:rsidR="00A021B4" w:rsidP="00A021B4" w:rsidRDefault="00A021B4" w14:paraId="607E9E6C" w14:textId="77777777">
      <w:pPr>
        <w:spacing w:line="360" w:lineRule="auto"/>
        <w:jc w:val="both"/>
        <w:rPr>
          <w:rFonts w:ascii="Palatino Linotype" w:hAnsi="Palatino Linotype" w:cs="Tahoma"/>
          <w:sz w:val="22"/>
          <w:szCs w:val="24"/>
          <w:lang w:val="es-ES"/>
        </w:rPr>
      </w:pPr>
      <w:r w:rsidRPr="00AA699E">
        <w:rPr>
          <w:rFonts w:ascii="Palatino Linotype" w:hAnsi="Palatino Linotype" w:cs="Tahoma"/>
          <w:bCs/>
          <w:sz w:val="22"/>
          <w:szCs w:val="24"/>
          <w:lang w:val="es-ES"/>
        </w:rPr>
        <w:t xml:space="preserve">Por tales motivos, </w:t>
      </w:r>
      <w:r w:rsidRPr="00AA699E">
        <w:rPr>
          <w:rFonts w:ascii="Palatino Linotype" w:hAnsi="Palatino Linotype" w:cs="Tahoma"/>
          <w:sz w:val="22"/>
          <w:szCs w:val="24"/>
          <w:lang w:val="es-ES"/>
        </w:rPr>
        <w:t>se considera procedente entrar al fondo del presente asunto.</w:t>
      </w:r>
    </w:p>
    <w:p w:rsidRPr="00AA699E"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AA699E"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AA699E">
        <w:rPr>
          <w:rFonts w:ascii="Palatino Linotype" w:hAnsi="Palatino Linotype" w:eastAsia="Calibri" w:cs="Tahoma"/>
          <w:b/>
          <w:iCs/>
          <w:sz w:val="22"/>
          <w:szCs w:val="22"/>
          <w:lang w:val="es-ES" w:eastAsia="es-ES_tradnl"/>
        </w:rPr>
        <w:t xml:space="preserve">TERCERO. Determinación de la Controversia. </w:t>
      </w:r>
    </w:p>
    <w:p w:rsidRPr="00AA699E"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AA699E" w:rsidR="009245F5" w:rsidP="009245F5" w:rsidRDefault="009245F5" w14:paraId="10BE852E" w14:textId="6DB0E01F">
      <w:pPr>
        <w:tabs>
          <w:tab w:val="left" w:pos="4962"/>
        </w:tabs>
        <w:spacing w:line="360" w:lineRule="auto"/>
        <w:ind w:right="-28"/>
        <w:jc w:val="both"/>
        <w:rPr>
          <w:rFonts w:ascii="Palatino Linotype" w:hAnsi="Palatino Linotype" w:eastAsia="Calibri" w:cs="Tahoma"/>
          <w:iCs/>
          <w:sz w:val="22"/>
          <w:szCs w:val="22"/>
          <w:lang w:val="es-ES" w:eastAsia="es-ES_tradnl"/>
        </w:rPr>
      </w:pPr>
      <w:r w:rsidRPr="00AA699E">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sidRPr="00AA699E">
        <w:rPr>
          <w:rFonts w:ascii="Palatino Linotype" w:hAnsi="Palatino Linotype" w:eastAsia="Calibri" w:cs="Tahoma"/>
          <w:bCs/>
          <w:sz w:val="22"/>
          <w:szCs w:val="22"/>
          <w:lang w:eastAsia="en-US"/>
        </w:rPr>
        <w:t xml:space="preserve">el Particular </w:t>
      </w:r>
      <w:r w:rsidRPr="00AA699E">
        <w:rPr>
          <w:rFonts w:ascii="Palatino Linotype" w:hAnsi="Palatino Linotype" w:eastAsia="Calibri" w:cs="Tahoma"/>
          <w:iCs/>
          <w:sz w:val="22"/>
          <w:szCs w:val="22"/>
          <w:lang w:val="es-ES" w:eastAsia="es-ES_tradnl"/>
        </w:rPr>
        <w:t xml:space="preserve">solicitó </w:t>
      </w:r>
      <w:r w:rsidRPr="00AA699E" w:rsidR="006A397F">
        <w:rPr>
          <w:rFonts w:ascii="Palatino Linotype" w:hAnsi="Palatino Linotype" w:eastAsia="Calibri" w:cs="Tahoma"/>
          <w:iCs/>
          <w:sz w:val="22"/>
          <w:szCs w:val="22"/>
          <w:lang w:val="es-ES" w:eastAsia="es-ES_tradnl"/>
        </w:rPr>
        <w:t xml:space="preserve">el gasto de lonas o carteles utilizados para los descuentos de predio y agua para el mes de septiembre y octubre de dos mil veintidós. </w:t>
      </w:r>
    </w:p>
    <w:p w:rsidRPr="00AA699E"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AA699E" w:rsidR="009245F5" w:rsidP="009245F5" w:rsidRDefault="009245F5" w14:paraId="5FA4A510" w14:textId="320E07D2">
      <w:pPr>
        <w:spacing w:line="360" w:lineRule="auto"/>
        <w:jc w:val="both"/>
        <w:rPr>
          <w:rFonts w:ascii="Palatino Linotype" w:hAnsi="Palatino Linotype" w:cs="Tahoma"/>
          <w:bCs/>
          <w:sz w:val="22"/>
          <w:szCs w:val="22"/>
        </w:rPr>
      </w:pPr>
      <w:r w:rsidRPr="00AA699E">
        <w:rPr>
          <w:rFonts w:ascii="Palatino Linotype" w:hAnsi="Palatino Linotype" w:eastAsia="Calibri" w:cs="Tahoma"/>
          <w:iCs/>
          <w:sz w:val="22"/>
          <w:szCs w:val="22"/>
          <w:lang w:val="es-ES" w:eastAsia="es-ES_tradnl"/>
        </w:rPr>
        <w:t>En respuesta, el Sujeto Obligado</w:t>
      </w:r>
      <w:r w:rsidRPr="00AA699E" w:rsidR="003013EC">
        <w:rPr>
          <w:rFonts w:ascii="Palatino Linotype" w:hAnsi="Palatino Linotype" w:eastAsia="Calibri" w:cs="Tahoma"/>
          <w:iCs/>
          <w:sz w:val="22"/>
          <w:szCs w:val="22"/>
          <w:lang w:val="es-ES" w:eastAsia="es-ES_tradnl"/>
        </w:rPr>
        <w:t xml:space="preserve"> </w:t>
      </w:r>
      <w:r w:rsidRPr="00AA699E" w:rsidR="00453B05">
        <w:rPr>
          <w:rFonts w:ascii="Palatino Linotype" w:hAnsi="Palatino Linotype" w:eastAsia="Calibri" w:cs="Tahoma"/>
          <w:iCs/>
          <w:sz w:val="22"/>
          <w:szCs w:val="22"/>
          <w:lang w:val="es-ES" w:eastAsia="es-ES_tradnl"/>
        </w:rPr>
        <w:t xml:space="preserve">precisó que </w:t>
      </w:r>
      <w:r w:rsidRPr="00AA699E" w:rsidR="003013EC">
        <w:rPr>
          <w:rFonts w:ascii="Palatino Linotype" w:hAnsi="Palatino Linotype" w:eastAsia="Calibri" w:cs="Tahoma"/>
          <w:iCs/>
          <w:sz w:val="22"/>
          <w:szCs w:val="22"/>
          <w:lang w:val="es-ES" w:eastAsia="es-ES_tradnl"/>
        </w:rPr>
        <w:t>los registros estaban</w:t>
      </w:r>
      <w:r w:rsidRPr="00AA699E" w:rsidR="00285A9C">
        <w:rPr>
          <w:rFonts w:ascii="Palatino Linotype" w:hAnsi="Palatino Linotype" w:eastAsia="Calibri" w:cs="Tahoma"/>
          <w:iCs/>
          <w:sz w:val="22"/>
          <w:szCs w:val="22"/>
          <w:lang w:val="es-ES" w:eastAsia="es-ES_tradnl"/>
        </w:rPr>
        <w:t xml:space="preserve"> en proceso al tiempo de </w:t>
      </w:r>
      <w:r w:rsidRPr="00AA699E" w:rsidR="003013EC">
        <w:rPr>
          <w:rFonts w:ascii="Palatino Linotype" w:hAnsi="Palatino Linotype" w:eastAsia="Calibri" w:cs="Tahoma"/>
          <w:iCs/>
          <w:sz w:val="22"/>
          <w:szCs w:val="22"/>
          <w:lang w:val="es-ES" w:eastAsia="es-ES_tradnl"/>
        </w:rPr>
        <w:t xml:space="preserve">dar </w:t>
      </w:r>
      <w:r w:rsidRPr="00AA699E" w:rsidR="00285A9C">
        <w:rPr>
          <w:rFonts w:ascii="Palatino Linotype" w:hAnsi="Palatino Linotype" w:eastAsia="Calibri" w:cs="Tahoma"/>
          <w:iCs/>
          <w:sz w:val="22"/>
          <w:szCs w:val="22"/>
          <w:lang w:val="es-ES" w:eastAsia="es-ES_tradnl"/>
        </w:rPr>
        <w:t xml:space="preserve">respuesta </w:t>
      </w:r>
      <w:r w:rsidRPr="00AA699E" w:rsidR="003013EC">
        <w:rPr>
          <w:rFonts w:ascii="Palatino Linotype" w:hAnsi="Palatino Linotype" w:eastAsia="Calibri" w:cs="Tahoma"/>
          <w:iCs/>
          <w:sz w:val="22"/>
          <w:szCs w:val="22"/>
          <w:lang w:val="es-ES" w:eastAsia="es-ES_tradnl"/>
        </w:rPr>
        <w:t>a</w:t>
      </w:r>
      <w:r w:rsidRPr="00AA699E" w:rsidR="00285A9C">
        <w:rPr>
          <w:rFonts w:ascii="Palatino Linotype" w:hAnsi="Palatino Linotype" w:eastAsia="Calibri" w:cs="Tahoma"/>
          <w:iCs/>
          <w:sz w:val="22"/>
          <w:szCs w:val="22"/>
          <w:lang w:val="es-ES" w:eastAsia="es-ES_tradnl"/>
        </w:rPr>
        <w:t xml:space="preserve"> la solicitud</w:t>
      </w:r>
      <w:r w:rsidRPr="00AA699E">
        <w:rPr>
          <w:rFonts w:ascii="Palatino Linotype" w:hAnsi="Palatino Linotype" w:eastAsia="Calibri" w:cs="Tahoma"/>
          <w:iCs/>
          <w:sz w:val="22"/>
          <w:szCs w:val="22"/>
          <w:lang w:val="es-ES" w:eastAsia="es-ES_tradnl"/>
        </w:rPr>
        <w:t xml:space="preserve">; </w:t>
      </w:r>
      <w:r w:rsidRPr="00AA699E" w:rsidR="00453B05">
        <w:rPr>
          <w:rFonts w:ascii="Palatino Linotype" w:hAnsi="Palatino Linotype"/>
          <w:sz w:val="22"/>
          <w:szCs w:val="22"/>
        </w:rPr>
        <w:t xml:space="preserve">ante dicha circunstancia, la parte Recurrente se inconformó de la entrega de información que no corresponde con lo peticionado, </w:t>
      </w:r>
      <w:r w:rsidRPr="00AA699E" w:rsidR="003013EC">
        <w:rPr>
          <w:rFonts w:ascii="Palatino Linotype" w:hAnsi="Palatino Linotype" w:cs="Tahoma" w:eastAsiaTheme="minorHAnsi"/>
          <w:bCs/>
          <w:iCs/>
          <w:color w:val="000000" w:themeColor="text1"/>
          <w:sz w:val="22"/>
          <w:szCs w:val="22"/>
          <w:lang w:val="es-ES" w:eastAsia="en-US"/>
        </w:rPr>
        <w:t>al señalar que no le habían entregado lo solicitado</w:t>
      </w:r>
      <w:r w:rsidRPr="00AA699E" w:rsidR="00453B05">
        <w:rPr>
          <w:rFonts w:ascii="Palatino Linotype" w:hAnsi="Palatino Linotype" w:cs="Tahoma" w:eastAsiaTheme="minorHAnsi"/>
          <w:bCs/>
          <w:iCs/>
          <w:color w:val="000000" w:themeColor="text1"/>
          <w:sz w:val="22"/>
          <w:szCs w:val="22"/>
          <w:lang w:val="es-ES" w:eastAsia="en-US"/>
        </w:rPr>
        <w:t>, lo cual actualiza el supuesto previsto en el artículo 179, fracción VI, de la Ley de Transparencia y Acceso a la Información Pública del Estado de México y Municipios</w:t>
      </w:r>
      <w:r w:rsidRPr="00AA699E" w:rsidR="00453B05">
        <w:rPr>
          <w:rFonts w:ascii="Palatino Linotype" w:hAnsi="Palatino Linotype" w:cs="Tahoma" w:eastAsiaTheme="minorHAnsi"/>
          <w:bCs/>
          <w:iCs/>
          <w:color w:val="000000" w:themeColor="text1"/>
          <w:sz w:val="22"/>
          <w:szCs w:val="22"/>
          <w:shd w:val="clear" w:color="auto" w:fill="FFFFFF"/>
          <w:lang w:eastAsia="en-US"/>
        </w:rPr>
        <w:t>;</w:t>
      </w:r>
      <w:r w:rsidRPr="00AA699E" w:rsidR="00453B05">
        <w:rPr>
          <w:rFonts w:ascii="Palatino Linotype" w:hAnsi="Palatino Linotype" w:eastAsia="Calibri" w:cs="Tahoma"/>
          <w:color w:val="000000"/>
          <w:sz w:val="22"/>
          <w:szCs w:val="22"/>
          <w:lang w:eastAsia="en-US"/>
        </w:rPr>
        <w:t xml:space="preserve"> </w:t>
      </w:r>
      <w:r w:rsidRPr="00AA699E" w:rsidR="00453B05">
        <w:rPr>
          <w:rFonts w:ascii="Palatino Linotype" w:hAnsi="Palatino Linotype" w:eastAsia="Calibri"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AA699E" w:rsidR="00453B05">
        <w:rPr>
          <w:rFonts w:ascii="Palatino Linotype" w:hAnsi="Palatino Linotype" w:cs="Tahoma" w:eastAsiaTheme="minorHAnsi"/>
          <w:color w:val="000000" w:themeColor="text1"/>
          <w:sz w:val="22"/>
          <w:szCs w:val="22"/>
          <w:lang w:val="es-ES" w:eastAsia="en-US"/>
        </w:rPr>
        <w:lastRenderedPageBreak/>
        <w:t>Así las cosas, una vez admitido y notificado los Recursos de Revisión a las partes, estas</w:t>
      </w:r>
      <w:r w:rsidRPr="00AA699E" w:rsidR="00453B05">
        <w:rPr>
          <w:rFonts w:ascii="Palatino Linotype" w:hAnsi="Palatino Linotype" w:cs="Tahoma" w:eastAsiaTheme="minorHAnsi"/>
          <w:bCs/>
          <w:iCs/>
          <w:color w:val="000000" w:themeColor="text1"/>
          <w:sz w:val="22"/>
          <w:szCs w:val="22"/>
          <w:lang w:val="es-ES"/>
        </w:rPr>
        <w:t xml:space="preserve"> fueron omisas en realizar manifestaciones o alegatos.</w:t>
      </w:r>
      <w:r w:rsidRPr="00AA699E" w:rsidR="003013EC">
        <w:rPr>
          <w:rFonts w:ascii="Palatino Linotype" w:hAnsi="Palatino Linotype" w:cs="Tahoma" w:eastAsiaTheme="minorHAnsi"/>
          <w:bCs/>
          <w:iCs/>
          <w:color w:val="000000" w:themeColor="text1"/>
          <w:sz w:val="22"/>
          <w:szCs w:val="22"/>
          <w:lang w:val="es-ES"/>
        </w:rPr>
        <w:t xml:space="preserve"> </w:t>
      </w:r>
      <w:r w:rsidRPr="00AA699E">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w:t>
      </w:r>
      <w:proofErr w:type="spellStart"/>
      <w:r w:rsidRPr="00AA699E">
        <w:rPr>
          <w:rFonts w:ascii="Palatino Linotype" w:hAnsi="Palatino Linotype" w:cs="Tahoma"/>
          <w:iCs/>
          <w:sz w:val="22"/>
          <w:szCs w:val="22"/>
        </w:rPr>
        <w:t>recursal</w:t>
      </w:r>
      <w:proofErr w:type="spellEnd"/>
      <w:r w:rsidRPr="00AA699E">
        <w:rPr>
          <w:rFonts w:ascii="Palatino Linotype" w:hAnsi="Palatino Linotype" w:cs="Tahoma"/>
          <w:iCs/>
          <w:sz w:val="22"/>
          <w:szCs w:val="22"/>
        </w:rPr>
        <w:t xml:space="preserve">; </w:t>
      </w:r>
      <w:r w:rsidRPr="00AA69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AA699E"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AA699E" w:rsidR="009245F5" w:rsidP="009245F5" w:rsidRDefault="009245F5" w14:paraId="74232835" w14:textId="77777777">
      <w:pPr>
        <w:spacing w:line="360" w:lineRule="auto"/>
        <w:ind w:right="-28"/>
        <w:jc w:val="both"/>
        <w:rPr>
          <w:rFonts w:ascii="Palatino Linotype" w:hAnsi="Palatino Linotype" w:cs="Tahoma"/>
          <w:b/>
          <w:sz w:val="22"/>
          <w:szCs w:val="22"/>
        </w:rPr>
      </w:pPr>
      <w:r w:rsidRPr="00AA699E">
        <w:rPr>
          <w:rFonts w:ascii="Palatino Linotype" w:hAnsi="Palatino Linotype" w:cs="Tahoma"/>
          <w:b/>
          <w:sz w:val="22"/>
          <w:szCs w:val="22"/>
          <w:lang w:val="es-ES"/>
        </w:rPr>
        <w:t xml:space="preserve">CUARTO. </w:t>
      </w:r>
      <w:r w:rsidRPr="00AA699E">
        <w:rPr>
          <w:rFonts w:ascii="Palatino Linotype" w:hAnsi="Palatino Linotype" w:cs="Tahoma"/>
          <w:b/>
          <w:sz w:val="22"/>
          <w:szCs w:val="22"/>
        </w:rPr>
        <w:t>Marco normativo aplicable en materia de transparencia y acceso a la información pública.</w:t>
      </w:r>
    </w:p>
    <w:p w:rsidRPr="00AA699E" w:rsidR="009245F5" w:rsidP="009245F5" w:rsidRDefault="009245F5" w14:paraId="03CA74E4" w14:textId="77777777">
      <w:pPr>
        <w:spacing w:line="360" w:lineRule="auto"/>
        <w:ind w:right="-28"/>
        <w:jc w:val="both"/>
        <w:rPr>
          <w:rFonts w:ascii="Palatino Linotype" w:hAnsi="Palatino Linotype" w:cs="Tahoma"/>
          <w:b/>
          <w:sz w:val="22"/>
          <w:szCs w:val="22"/>
        </w:rPr>
      </w:pPr>
    </w:p>
    <w:p w:rsidRPr="00AA699E"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A699E"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A699E"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A699E"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AA699E"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AA699E"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A699E"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AA699E"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AA69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A699E" w:rsidR="004B24EF" w:rsidP="004B24EF" w:rsidRDefault="004B24EF" w14:paraId="1B842888" w14:textId="77777777">
      <w:pPr>
        <w:spacing w:line="360" w:lineRule="auto"/>
        <w:ind w:right="-28"/>
        <w:jc w:val="both"/>
        <w:rPr>
          <w:rFonts w:ascii="Palatino Linotype" w:hAnsi="Palatino Linotype" w:cs="Tahoma"/>
          <w:b/>
          <w:sz w:val="22"/>
          <w:szCs w:val="22"/>
          <w:lang w:val="es-ES"/>
        </w:rPr>
      </w:pPr>
    </w:p>
    <w:p w:rsidRPr="00AA699E"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AA699E">
        <w:rPr>
          <w:rFonts w:ascii="Palatino Linotype" w:hAnsi="Palatino Linotype" w:cs="Tahoma"/>
          <w:b/>
          <w:sz w:val="22"/>
          <w:szCs w:val="22"/>
        </w:rPr>
        <w:t>QUINTO. Estudio de Fondo.</w:t>
      </w:r>
    </w:p>
    <w:p w:rsidRPr="00AA699E"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AA699E" w:rsidR="003C78F5" w:rsidP="00F41BDB" w:rsidRDefault="003C78F5" w14:paraId="2BD52781" w14:textId="5CA53125">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Expuestas las posturas de las partes, se procede al análisis del agravio hecho valer por el Particular, concerniente a la </w:t>
      </w:r>
      <w:r w:rsidRPr="00AA699E" w:rsidR="00946E3D">
        <w:rPr>
          <w:rFonts w:ascii="Palatino Linotype" w:hAnsi="Palatino Linotype" w:cs="Tahoma"/>
          <w:bCs/>
          <w:iCs/>
          <w:sz w:val="22"/>
          <w:szCs w:val="22"/>
        </w:rPr>
        <w:t>información que no corresponde con lo solicitado</w:t>
      </w:r>
      <w:r w:rsidRPr="00AA699E">
        <w:rPr>
          <w:rFonts w:ascii="Palatino Linotype" w:hAnsi="Palatino Linotype" w:cs="Tahoma"/>
          <w:bCs/>
          <w:iCs/>
          <w:sz w:val="22"/>
          <w:szCs w:val="22"/>
        </w:rPr>
        <w:t>; para lo cual, en principio es necesario señalar que, de la lectura de la solicitud de información, se logra observar que el Particular solicit</w:t>
      </w:r>
      <w:r w:rsidRPr="00AA699E" w:rsidR="00453B05">
        <w:rPr>
          <w:rFonts w:ascii="Palatino Linotype" w:hAnsi="Palatino Linotype" w:cs="Tahoma"/>
          <w:bCs/>
          <w:iCs/>
          <w:sz w:val="22"/>
          <w:szCs w:val="22"/>
        </w:rPr>
        <w:t>ó</w:t>
      </w:r>
      <w:r w:rsidRPr="00AA699E">
        <w:rPr>
          <w:rFonts w:ascii="Palatino Linotype" w:hAnsi="Palatino Linotype" w:cs="Tahoma"/>
          <w:bCs/>
          <w:iCs/>
          <w:sz w:val="22"/>
          <w:szCs w:val="22"/>
        </w:rPr>
        <w:t xml:space="preserve"> </w:t>
      </w:r>
      <w:r w:rsidRPr="00AA699E" w:rsidR="00946E3D">
        <w:rPr>
          <w:rFonts w:ascii="Palatino Linotype" w:hAnsi="Palatino Linotype" w:cs="Tahoma"/>
          <w:bCs/>
          <w:iCs/>
          <w:sz w:val="22"/>
          <w:szCs w:val="22"/>
        </w:rPr>
        <w:t xml:space="preserve">el </w:t>
      </w:r>
      <w:r w:rsidRPr="00AA699E" w:rsidR="0067417F">
        <w:rPr>
          <w:rFonts w:ascii="Palatino Linotype" w:hAnsi="Palatino Linotype" w:cs="Tahoma"/>
          <w:bCs/>
          <w:iCs/>
          <w:sz w:val="22"/>
          <w:szCs w:val="22"/>
        </w:rPr>
        <w:t>gasto de lonas,</w:t>
      </w:r>
      <w:r w:rsidRPr="00AA699E" w:rsidR="000074BF">
        <w:rPr>
          <w:rFonts w:ascii="Palatino Linotype" w:hAnsi="Palatino Linotype" w:cs="Tahoma"/>
          <w:bCs/>
          <w:iCs/>
          <w:sz w:val="22"/>
          <w:szCs w:val="22"/>
        </w:rPr>
        <w:t xml:space="preserve"> carteles</w:t>
      </w:r>
      <w:r w:rsidRPr="00AA699E" w:rsidR="0067417F">
        <w:rPr>
          <w:rFonts w:ascii="Palatino Linotype" w:hAnsi="Palatino Linotype" w:cs="Tahoma"/>
          <w:bCs/>
          <w:iCs/>
          <w:sz w:val="22"/>
          <w:szCs w:val="22"/>
        </w:rPr>
        <w:t xml:space="preserve"> u otro medio de publicidad,</w:t>
      </w:r>
      <w:r w:rsidRPr="00AA699E" w:rsidR="000074BF">
        <w:rPr>
          <w:rFonts w:ascii="Palatino Linotype" w:hAnsi="Palatino Linotype" w:cs="Tahoma"/>
          <w:bCs/>
          <w:iCs/>
          <w:sz w:val="22"/>
          <w:szCs w:val="22"/>
        </w:rPr>
        <w:t xml:space="preserve"> utilizados para </w:t>
      </w:r>
      <w:r w:rsidRPr="00AA699E" w:rsidR="0067417F">
        <w:rPr>
          <w:rFonts w:ascii="Palatino Linotype" w:hAnsi="Palatino Linotype" w:cs="Tahoma"/>
          <w:bCs/>
          <w:iCs/>
          <w:sz w:val="22"/>
          <w:szCs w:val="22"/>
        </w:rPr>
        <w:t xml:space="preserve">anunciar </w:t>
      </w:r>
      <w:r w:rsidRPr="00AA699E" w:rsidR="000074BF">
        <w:rPr>
          <w:rFonts w:ascii="Palatino Linotype" w:hAnsi="Palatino Linotype" w:cs="Tahoma"/>
          <w:bCs/>
          <w:iCs/>
          <w:sz w:val="22"/>
          <w:szCs w:val="22"/>
        </w:rPr>
        <w:t xml:space="preserve">los descuentos de </w:t>
      </w:r>
      <w:r w:rsidRPr="00AA699E" w:rsidR="0067417F">
        <w:rPr>
          <w:rFonts w:ascii="Palatino Linotype" w:hAnsi="Palatino Linotype" w:cs="Tahoma"/>
          <w:bCs/>
          <w:iCs/>
          <w:sz w:val="22"/>
          <w:szCs w:val="22"/>
        </w:rPr>
        <w:t>predial</w:t>
      </w:r>
      <w:r w:rsidRPr="00AA699E" w:rsidR="000074BF">
        <w:rPr>
          <w:rFonts w:ascii="Palatino Linotype" w:hAnsi="Palatino Linotype" w:cs="Tahoma"/>
          <w:bCs/>
          <w:iCs/>
          <w:sz w:val="22"/>
          <w:szCs w:val="22"/>
        </w:rPr>
        <w:t xml:space="preserve"> y agua para el mes de septiembre y octubre de dos mil veintidós. </w:t>
      </w:r>
    </w:p>
    <w:p w:rsidRPr="00AA699E" w:rsidR="00946E3D" w:rsidP="00F41BDB" w:rsidRDefault="00946E3D" w14:paraId="26507989" w14:textId="0966F6FE">
      <w:pPr>
        <w:spacing w:line="360" w:lineRule="auto"/>
        <w:ind w:right="-28"/>
        <w:contextualSpacing/>
        <w:jc w:val="both"/>
        <w:rPr>
          <w:rFonts w:ascii="Palatino Linotype" w:hAnsi="Palatino Linotype" w:cs="Tahoma"/>
          <w:bCs/>
          <w:iCs/>
          <w:sz w:val="22"/>
          <w:szCs w:val="22"/>
        </w:rPr>
      </w:pPr>
    </w:p>
    <w:p w:rsidRPr="00AA699E" w:rsidR="00B56A54" w:rsidP="00F41BDB" w:rsidRDefault="00B56A54" w14:paraId="07530AAE" w14:textId="03DA005A">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Al respecto, este Instituto realizó una búsqueda en la página oficial Tecámac, y localizó en su apartado de gacetas municipales, la Gaceta Municipal, número veintitrés, del ocho de septiembre de dos mil veintidós (consultada el veinticinco de enero de dos mil veintidós, en la liga </w:t>
      </w:r>
      <w:hyperlink w:history="1" r:id="rId8">
        <w:r w:rsidRPr="00AA699E" w:rsidR="001C371F">
          <w:rPr>
            <w:rStyle w:val="Hipervnculo"/>
            <w:rFonts w:ascii="Palatino Linotype" w:hAnsi="Palatino Linotype" w:cs="Tahoma"/>
            <w:bCs/>
            <w:iCs/>
            <w:sz w:val="22"/>
            <w:szCs w:val="22"/>
          </w:rPr>
          <w:t>https://www.tecamac.gob.mx/archivos/gacetas_municipales/2022/g23.pdf</w:t>
        </w:r>
      </w:hyperlink>
      <w:r w:rsidRPr="00AA699E">
        <w:rPr>
          <w:rFonts w:ascii="Palatino Linotype" w:hAnsi="Palatino Linotype" w:cs="Tahoma"/>
          <w:bCs/>
          <w:iCs/>
          <w:sz w:val="22"/>
          <w:szCs w:val="22"/>
        </w:rPr>
        <w:t>)</w:t>
      </w:r>
      <w:r w:rsidRPr="00AA699E" w:rsidR="001C371F">
        <w:rPr>
          <w:rFonts w:ascii="Palatino Linotype" w:hAnsi="Palatino Linotype" w:cs="Tahoma"/>
          <w:bCs/>
          <w:iCs/>
          <w:sz w:val="22"/>
          <w:szCs w:val="22"/>
        </w:rPr>
        <w:t xml:space="preserve">, la cual contiene el sexto Punto del día de la Vigésima Quinta Sesión Ordinaria de Cabildo, en la cual </w:t>
      </w:r>
      <w:r w:rsidRPr="00AA699E" w:rsidR="001C371F">
        <w:rPr>
          <w:rFonts w:ascii="Palatino Linotype" w:hAnsi="Palatino Linotype" w:cs="Tahoma"/>
          <w:bCs/>
          <w:iCs/>
          <w:sz w:val="22"/>
          <w:szCs w:val="22"/>
        </w:rPr>
        <w:lastRenderedPageBreak/>
        <w:t>informa que el Ayuntamiento, como medida de apoyo a la ciudadanía, así como, para reforzar las estrategias recaudatorias, determinó necesario implementar el programa de apoyo “Juntos por un Mejor Gobierno”, en el cual se busca aplicar descuentos para el pago del impuesto predial o el pago de  derechos de agua potable, drenaje, alcantarillado y recepción de los caudales de aguas residuales para su tratamiento, en el caso de que los usuarios tengan multas, recargos y gastos de ejecución, durante diversos meses, entre los cuales se encuentra septiembre y octubre, tal como se muestra a continuación:</w:t>
      </w:r>
    </w:p>
    <w:p w:rsidRPr="00AA699E" w:rsidR="001C371F" w:rsidP="00F41BDB" w:rsidRDefault="001C371F" w14:paraId="5D4C27C7" w14:textId="77777777">
      <w:pPr>
        <w:spacing w:line="360" w:lineRule="auto"/>
        <w:ind w:right="-28"/>
        <w:contextualSpacing/>
        <w:jc w:val="both"/>
        <w:rPr>
          <w:rFonts w:ascii="Palatino Linotype" w:hAnsi="Palatino Linotype" w:cs="Tahoma"/>
          <w:bCs/>
          <w:iCs/>
          <w:sz w:val="22"/>
          <w:szCs w:val="22"/>
        </w:rPr>
      </w:pPr>
    </w:p>
    <w:p w:rsidRPr="00AA699E" w:rsidR="001C371F" w:rsidP="001C371F" w:rsidRDefault="001C371F" w14:paraId="4D9EE824" w14:textId="4545A1F3">
      <w:pPr>
        <w:spacing w:line="360" w:lineRule="auto"/>
        <w:ind w:right="-28"/>
        <w:contextualSpacing/>
        <w:jc w:val="center"/>
        <w:rPr>
          <w:rFonts w:ascii="Palatino Linotype" w:hAnsi="Palatino Linotype" w:cs="Tahoma"/>
          <w:bCs/>
          <w:iCs/>
          <w:sz w:val="22"/>
          <w:szCs w:val="22"/>
        </w:rPr>
      </w:pPr>
      <w:r w:rsidRPr="00AA699E">
        <w:rPr>
          <w:rFonts w:ascii="Palatino Linotype" w:hAnsi="Palatino Linotype" w:cs="Tahoma"/>
          <w:bCs/>
          <w:iCs/>
          <w:noProof/>
          <w:sz w:val="22"/>
          <w:szCs w:val="22"/>
          <w:lang w:eastAsia="es-MX"/>
        </w:rPr>
        <w:drawing>
          <wp:inline distT="0" distB="0" distL="0" distR="0" wp14:anchorId="1B62B5CE" wp14:editId="26AE5703">
            <wp:extent cx="5040000" cy="2520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000" cy="2520000"/>
                    </a:xfrm>
                    <a:prstGeom prst="rect">
                      <a:avLst/>
                    </a:prstGeom>
                  </pic:spPr>
                </pic:pic>
              </a:graphicData>
            </a:graphic>
          </wp:inline>
        </w:drawing>
      </w:r>
    </w:p>
    <w:p w:rsidRPr="00AA699E" w:rsidR="001C371F" w:rsidP="001C371F" w:rsidRDefault="001C371F" w14:paraId="69AD4EE7" w14:textId="617A404A">
      <w:pPr>
        <w:spacing w:line="360" w:lineRule="auto"/>
        <w:ind w:right="-28"/>
        <w:contextualSpacing/>
        <w:jc w:val="center"/>
        <w:rPr>
          <w:rFonts w:ascii="Palatino Linotype" w:hAnsi="Palatino Linotype" w:cs="Tahoma"/>
          <w:bCs/>
          <w:iCs/>
          <w:sz w:val="22"/>
          <w:szCs w:val="22"/>
        </w:rPr>
      </w:pPr>
      <w:r w:rsidRPr="00AA699E">
        <w:rPr>
          <w:rFonts w:ascii="Palatino Linotype" w:hAnsi="Palatino Linotype" w:cs="Tahoma"/>
          <w:bCs/>
          <w:iCs/>
          <w:sz w:val="22"/>
          <w:szCs w:val="22"/>
        </w:rPr>
        <w:t>…</w:t>
      </w:r>
    </w:p>
    <w:p w:rsidRPr="00AA699E" w:rsidR="001C371F" w:rsidP="001C371F" w:rsidRDefault="001C371F" w14:paraId="2A013F69" w14:textId="5BA3C159">
      <w:pPr>
        <w:spacing w:line="360" w:lineRule="auto"/>
        <w:ind w:right="-28"/>
        <w:contextualSpacing/>
        <w:jc w:val="center"/>
        <w:rPr>
          <w:rFonts w:ascii="Palatino Linotype" w:hAnsi="Palatino Linotype" w:cs="Tahoma"/>
          <w:bCs/>
          <w:iCs/>
          <w:sz w:val="22"/>
          <w:szCs w:val="22"/>
        </w:rPr>
      </w:pPr>
      <w:r w:rsidRPr="00AA699E">
        <w:rPr>
          <w:rFonts w:ascii="Palatino Linotype" w:hAnsi="Palatino Linotype" w:cs="Tahoma"/>
          <w:bCs/>
          <w:iCs/>
          <w:noProof/>
          <w:sz w:val="22"/>
          <w:szCs w:val="22"/>
          <w:lang w:eastAsia="es-MX"/>
        </w:rPr>
        <w:drawing>
          <wp:inline distT="0" distB="0" distL="0" distR="0" wp14:anchorId="343D5B8F" wp14:editId="45308F0B">
            <wp:extent cx="5038724" cy="2514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45359"/>
                    <a:stretch/>
                  </pic:blipFill>
                  <pic:spPr bwMode="auto">
                    <a:xfrm>
                      <a:off x="0" y="0"/>
                      <a:ext cx="5040000" cy="2515237"/>
                    </a:xfrm>
                    <a:prstGeom prst="rect">
                      <a:avLst/>
                    </a:prstGeom>
                    <a:ln>
                      <a:noFill/>
                    </a:ln>
                    <a:extLst>
                      <a:ext uri="{53640926-AAD7-44D8-BBD7-CCE9431645EC}">
                        <a14:shadowObscured xmlns:a14="http://schemas.microsoft.com/office/drawing/2010/main"/>
                      </a:ext>
                    </a:extLst>
                  </pic:spPr>
                </pic:pic>
              </a:graphicData>
            </a:graphic>
          </wp:inline>
        </w:drawing>
      </w:r>
    </w:p>
    <w:p w:rsidRPr="00AA699E" w:rsidR="001C371F" w:rsidP="001C371F" w:rsidRDefault="001C371F" w14:paraId="7BED5757" w14:textId="5C8E477A">
      <w:pPr>
        <w:spacing w:line="360" w:lineRule="auto"/>
        <w:ind w:right="-28"/>
        <w:contextualSpacing/>
        <w:jc w:val="center"/>
        <w:rPr>
          <w:rFonts w:ascii="Palatino Linotype" w:hAnsi="Palatino Linotype" w:cs="Tahoma"/>
          <w:bCs/>
          <w:iCs/>
          <w:sz w:val="22"/>
          <w:szCs w:val="22"/>
        </w:rPr>
      </w:pPr>
      <w:r w:rsidRPr="00AA699E">
        <w:rPr>
          <w:rFonts w:ascii="Palatino Linotype" w:hAnsi="Palatino Linotype" w:cs="Tahoma"/>
          <w:bCs/>
          <w:iCs/>
          <w:noProof/>
          <w:sz w:val="22"/>
          <w:szCs w:val="22"/>
          <w:lang w:eastAsia="es-MX"/>
        </w:rPr>
        <w:lastRenderedPageBreak/>
        <w:drawing>
          <wp:inline distT="0" distB="0" distL="0" distR="0" wp14:anchorId="59590968" wp14:editId="4AA6D6B5">
            <wp:extent cx="5039326" cy="209740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4429"/>
                    <a:stretch/>
                  </pic:blipFill>
                  <pic:spPr bwMode="auto">
                    <a:xfrm>
                      <a:off x="0" y="0"/>
                      <a:ext cx="5040000" cy="2097686"/>
                    </a:xfrm>
                    <a:prstGeom prst="rect">
                      <a:avLst/>
                    </a:prstGeom>
                    <a:ln>
                      <a:noFill/>
                    </a:ln>
                    <a:extLst>
                      <a:ext uri="{53640926-AAD7-44D8-BBD7-CCE9431645EC}">
                        <a14:shadowObscured xmlns:a14="http://schemas.microsoft.com/office/drawing/2010/main"/>
                      </a:ext>
                    </a:extLst>
                  </pic:spPr>
                </pic:pic>
              </a:graphicData>
            </a:graphic>
          </wp:inline>
        </w:drawing>
      </w:r>
    </w:p>
    <w:p w:rsidRPr="00AA699E" w:rsidR="00B56A54" w:rsidP="00F41BDB" w:rsidRDefault="00B56A54" w14:paraId="17CD7A86" w14:textId="77777777">
      <w:pPr>
        <w:spacing w:line="360" w:lineRule="auto"/>
        <w:ind w:right="-28"/>
        <w:contextualSpacing/>
        <w:jc w:val="both"/>
        <w:rPr>
          <w:rFonts w:ascii="Palatino Linotype" w:hAnsi="Palatino Linotype" w:cs="Tahoma"/>
          <w:bCs/>
          <w:iCs/>
          <w:sz w:val="22"/>
          <w:szCs w:val="22"/>
        </w:rPr>
      </w:pPr>
    </w:p>
    <w:p w:rsidRPr="00AA699E" w:rsidR="001C371F" w:rsidP="00F41BDB" w:rsidRDefault="001C371F" w14:paraId="7D87C1A1" w14:textId="2E2436D9">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Además, este Instituto localizó </w:t>
      </w:r>
      <w:r w:rsidRPr="00AA699E" w:rsidR="00140BF0">
        <w:rPr>
          <w:rFonts w:ascii="Palatino Linotype" w:hAnsi="Palatino Linotype" w:cs="Tahoma"/>
          <w:bCs/>
          <w:iCs/>
          <w:sz w:val="22"/>
          <w:szCs w:val="22"/>
        </w:rPr>
        <w:t>en la cuenta oficial del Ayuntamiento, de la red social “Facebook”, la siguiente imagen publicitaria:</w:t>
      </w:r>
    </w:p>
    <w:p w:rsidRPr="00AA699E" w:rsidR="00140BF0" w:rsidP="00F41BDB" w:rsidRDefault="00140BF0" w14:paraId="3E58FB2C" w14:textId="77777777">
      <w:pPr>
        <w:spacing w:line="360" w:lineRule="auto"/>
        <w:ind w:right="-28"/>
        <w:contextualSpacing/>
        <w:jc w:val="both"/>
        <w:rPr>
          <w:rFonts w:ascii="Palatino Linotype" w:hAnsi="Palatino Linotype" w:cs="Tahoma"/>
          <w:bCs/>
          <w:iCs/>
          <w:sz w:val="22"/>
          <w:szCs w:val="22"/>
        </w:rPr>
      </w:pPr>
    </w:p>
    <w:p w:rsidRPr="00AA699E" w:rsidR="00140BF0" w:rsidP="00F41BDB" w:rsidRDefault="00AA699E" w14:paraId="76A8A6BD" w14:textId="059E6792">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pict w14:anchorId="008B36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2.25pt;height:263.25pt" type="#_x0000_t75">
            <v:imagedata o:title="308164263_463496599151872_3767297599017892754_n" r:id="rId11"/>
          </v:shape>
        </w:pict>
      </w:r>
    </w:p>
    <w:p w:rsidRPr="00AA699E" w:rsidR="00B56A54" w:rsidP="00F41BDB" w:rsidRDefault="00B56A54" w14:paraId="40E21AD4" w14:textId="4F2324D4">
      <w:pPr>
        <w:spacing w:line="360" w:lineRule="auto"/>
        <w:ind w:right="-28"/>
        <w:contextualSpacing/>
        <w:jc w:val="both"/>
        <w:rPr>
          <w:rFonts w:ascii="Palatino Linotype" w:hAnsi="Palatino Linotype" w:cs="Tahoma"/>
          <w:bCs/>
          <w:iCs/>
          <w:sz w:val="22"/>
          <w:szCs w:val="22"/>
        </w:rPr>
      </w:pPr>
    </w:p>
    <w:p w:rsidRPr="00AA699E" w:rsidR="00E5662F" w:rsidP="00F41BDB" w:rsidRDefault="00E5662F" w14:paraId="31251062" w14:textId="4ADFE5D9">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Conforme a lo anterior, se logra vislumbrar que en el presente caso, el Particular requiere tener acceso sobre la publicidad que se le dio al programa “Juntos por un Mejor Gobierno”, en el cual se otorgaron descuentos en el pago del impuesto predial y derechos de agua potable, </w:t>
      </w:r>
      <w:r w:rsidRPr="00AA699E">
        <w:rPr>
          <w:rFonts w:ascii="Palatino Linotype" w:hAnsi="Palatino Linotype" w:cs="Tahoma"/>
          <w:bCs/>
          <w:iCs/>
          <w:sz w:val="22"/>
          <w:szCs w:val="22"/>
        </w:rPr>
        <w:lastRenderedPageBreak/>
        <w:t>drenaje, alcantarillado y recepción de los caudales de aguas residuales para su tratamiento, durante los meses de septiembre y octubre del dos mil veintidós.</w:t>
      </w:r>
    </w:p>
    <w:p w:rsidRPr="00AA699E" w:rsidR="00E5662F" w:rsidP="00F41BDB" w:rsidRDefault="00E5662F" w14:paraId="75F24CA0" w14:textId="77777777">
      <w:pPr>
        <w:spacing w:line="360" w:lineRule="auto"/>
        <w:ind w:right="-28"/>
        <w:contextualSpacing/>
        <w:jc w:val="both"/>
        <w:rPr>
          <w:rFonts w:ascii="Palatino Linotype" w:hAnsi="Palatino Linotype" w:cs="Tahoma"/>
          <w:bCs/>
          <w:iCs/>
          <w:sz w:val="22"/>
          <w:szCs w:val="22"/>
        </w:rPr>
      </w:pPr>
    </w:p>
    <w:p w:rsidRPr="00AA699E" w:rsidR="00212EC6" w:rsidP="00D37B22" w:rsidRDefault="00212EC6" w14:paraId="6230FC97" w14:textId="2DE330F6">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Ahora bien, respecto </w:t>
      </w:r>
      <w:r w:rsidRPr="00AA699E" w:rsidR="00E5662F">
        <w:rPr>
          <w:rFonts w:ascii="Palatino Linotype" w:hAnsi="Palatino Linotype" w:cs="Tahoma"/>
          <w:bCs/>
          <w:iCs/>
          <w:sz w:val="22"/>
          <w:szCs w:val="22"/>
        </w:rPr>
        <w:t>a los gastos efectuados, el Glosario de Términos del</w:t>
      </w:r>
      <w:r w:rsidRPr="00AA699E" w:rsidR="00D37B22">
        <w:rPr>
          <w:rFonts w:ascii="Palatino Linotype" w:hAnsi="Palatino Linotype" w:cs="Tahoma"/>
          <w:bCs/>
          <w:iCs/>
          <w:sz w:val="22"/>
          <w:szCs w:val="22"/>
        </w:rPr>
        <w:t xml:space="preserve"> Manual para la Planeación, Programación y Presupuesto de Egresos Municipal para el Ejercicio Fiscal de dos mil veintidós, </w:t>
      </w:r>
      <w:r w:rsidRPr="00AA699E">
        <w:rPr>
          <w:rFonts w:ascii="Palatino Linotype" w:hAnsi="Palatino Linotype" w:cs="Tahoma"/>
          <w:bCs/>
          <w:iCs/>
          <w:sz w:val="22"/>
          <w:szCs w:val="22"/>
        </w:rPr>
        <w:t xml:space="preserve">establece </w:t>
      </w:r>
      <w:r w:rsidRPr="00AA699E" w:rsidR="00E5662F">
        <w:rPr>
          <w:rFonts w:ascii="Palatino Linotype" w:hAnsi="Palatino Linotype" w:cs="Tahoma"/>
          <w:bCs/>
          <w:iCs/>
          <w:sz w:val="22"/>
          <w:szCs w:val="22"/>
        </w:rPr>
        <w:t>que una erogación es un desembolso expresando en dinero, con la finalidad de cubrir diversas obligaciones contraídas por una dependencia o entidad p</w:t>
      </w:r>
      <w:r w:rsidRPr="00AA699E" w:rsidR="00FF2D57">
        <w:rPr>
          <w:rFonts w:ascii="Palatino Linotype" w:hAnsi="Palatino Linotype" w:cs="Tahoma"/>
          <w:bCs/>
          <w:iCs/>
          <w:sz w:val="22"/>
          <w:szCs w:val="22"/>
        </w:rPr>
        <w:t>ública; además, establece que el gasto contraído es el monto económico de los bienes obtenidos o servicios devengados y convenidos previamente.</w:t>
      </w:r>
    </w:p>
    <w:p w:rsidRPr="00AA699E" w:rsidR="00E5662F" w:rsidP="00D37B22" w:rsidRDefault="00E5662F" w14:paraId="414A64EC" w14:textId="77777777">
      <w:pPr>
        <w:spacing w:line="360" w:lineRule="auto"/>
        <w:ind w:right="-28"/>
        <w:contextualSpacing/>
        <w:jc w:val="both"/>
        <w:rPr>
          <w:rFonts w:ascii="Palatino Linotype" w:hAnsi="Palatino Linotype" w:cs="Tahoma"/>
          <w:bCs/>
          <w:iCs/>
          <w:sz w:val="22"/>
          <w:szCs w:val="22"/>
        </w:rPr>
      </w:pPr>
    </w:p>
    <w:p w:rsidRPr="00AA699E" w:rsidR="00E5662F" w:rsidP="00E5662F" w:rsidRDefault="00FF2D57" w14:paraId="0944D827" w14:textId="153B4192">
      <w:pPr>
        <w:spacing w:line="360" w:lineRule="auto"/>
        <w:jc w:val="both"/>
        <w:rPr>
          <w:rFonts w:ascii="Palatino Linotype" w:hAnsi="Palatino Linotype" w:cs="Tahoma" w:eastAsiaTheme="minorHAnsi"/>
          <w:iCs/>
          <w:color w:val="000000" w:themeColor="text1"/>
          <w:sz w:val="22"/>
          <w:szCs w:val="22"/>
          <w:lang w:eastAsia="en-US"/>
        </w:rPr>
      </w:pPr>
      <w:r w:rsidRPr="00AA699E">
        <w:rPr>
          <w:rFonts w:ascii="Palatino Linotype" w:hAnsi="Palatino Linotype" w:cs="Tahoma" w:eastAsiaTheme="minorHAnsi"/>
          <w:bCs/>
          <w:color w:val="000000" w:themeColor="text1"/>
          <w:sz w:val="22"/>
          <w:szCs w:val="22"/>
          <w:lang w:val="es-ES_tradnl" w:eastAsia="en-US"/>
        </w:rPr>
        <w:t>Además</w:t>
      </w:r>
      <w:r w:rsidRPr="00AA699E" w:rsidR="00E5662F">
        <w:rPr>
          <w:rFonts w:ascii="Palatino Linotype" w:hAnsi="Palatino Linotype" w:cs="Tahoma" w:eastAsiaTheme="minorHAnsi"/>
          <w:color w:val="000000" w:themeColor="text1"/>
          <w:sz w:val="22"/>
          <w:szCs w:val="22"/>
          <w:lang w:eastAsia="en-US"/>
        </w:rPr>
        <w:t xml:space="preserve">, </w:t>
      </w:r>
      <w:r w:rsidRPr="00AA699E" w:rsidR="00E5662F">
        <w:rPr>
          <w:rFonts w:ascii="Palatino Linotype" w:hAnsi="Palatino Linotype" w:cs="Tahoma" w:eastAsiaTheme="minorHAnsi"/>
          <w:iCs/>
          <w:color w:val="000000" w:themeColor="text1"/>
          <w:sz w:val="22"/>
          <w:szCs w:val="22"/>
          <w:lang w:eastAsia="en-US"/>
        </w:rPr>
        <w:t xml:space="preserve">el Manual </w:t>
      </w:r>
      <w:r w:rsidRPr="00AA699E">
        <w:rPr>
          <w:rFonts w:ascii="Palatino Linotype" w:hAnsi="Palatino Linotype" w:cs="Tahoma" w:eastAsiaTheme="minorHAnsi"/>
          <w:iCs/>
          <w:color w:val="000000" w:themeColor="text1"/>
          <w:sz w:val="22"/>
          <w:szCs w:val="22"/>
          <w:lang w:eastAsia="en-US"/>
        </w:rPr>
        <w:t>referido</w:t>
      </w:r>
      <w:r w:rsidRPr="00AA699E" w:rsidR="00E5662F">
        <w:rPr>
          <w:rFonts w:ascii="Palatino Linotype" w:hAnsi="Palatino Linotype" w:cs="Tahoma" w:eastAsiaTheme="minorHAnsi"/>
          <w:iCs/>
          <w:color w:val="000000" w:themeColor="text1"/>
          <w:sz w:val="22"/>
          <w:szCs w:val="22"/>
          <w:lang w:eastAsia="en-US"/>
        </w:rPr>
        <w:t xml:space="preserve"> establece los capítulos, subcapítulos, partidas genéricas y específicas de gasto, que se deben establecer en el Presupuesto de Egresos Municipal, </w:t>
      </w:r>
      <w:r w:rsidRPr="00AA699E">
        <w:rPr>
          <w:rFonts w:ascii="Palatino Linotype" w:hAnsi="Palatino Linotype" w:cs="Tahoma" w:eastAsiaTheme="minorHAnsi"/>
          <w:iCs/>
          <w:color w:val="000000" w:themeColor="text1"/>
          <w:sz w:val="22"/>
          <w:szCs w:val="22"/>
          <w:lang w:eastAsia="en-US"/>
        </w:rPr>
        <w:t xml:space="preserve">entre las cuales, se encuentra el Subcapítulo </w:t>
      </w:r>
      <w:r w:rsidRPr="00AA699E">
        <w:rPr>
          <w:rFonts w:ascii="Palatino Linotype" w:hAnsi="Palatino Linotype" w:cs="Tahoma" w:eastAsiaTheme="minorHAnsi"/>
          <w:b/>
          <w:iCs/>
          <w:color w:val="000000" w:themeColor="text1"/>
          <w:sz w:val="22"/>
          <w:szCs w:val="22"/>
          <w:lang w:eastAsia="en-US"/>
        </w:rPr>
        <w:t xml:space="preserve">3600 Servicios de Comunicación Social y Publicidad, </w:t>
      </w:r>
      <w:r w:rsidRPr="00AA699E">
        <w:rPr>
          <w:rFonts w:ascii="Palatino Linotype" w:hAnsi="Palatino Linotype" w:cs="Tahoma" w:eastAsiaTheme="minorHAnsi"/>
          <w:iCs/>
          <w:color w:val="000000" w:themeColor="text1"/>
          <w:sz w:val="22"/>
          <w:szCs w:val="22"/>
          <w:lang w:eastAsia="en-US"/>
        </w:rPr>
        <w:t>que corresponden a 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generar ingresos para los entes públicos, los cuales incluye la contratación de servicios de impresión y publicación de información.</w:t>
      </w:r>
    </w:p>
    <w:p w:rsidRPr="00AA699E" w:rsidR="00212EC6" w:rsidP="00D37B22" w:rsidRDefault="00212EC6" w14:paraId="0C57298A" w14:textId="77777777">
      <w:pPr>
        <w:spacing w:line="360" w:lineRule="auto"/>
        <w:ind w:right="-28"/>
        <w:contextualSpacing/>
        <w:jc w:val="both"/>
        <w:rPr>
          <w:rFonts w:ascii="Palatino Linotype" w:hAnsi="Palatino Linotype" w:cs="Tahoma"/>
          <w:bCs/>
          <w:iCs/>
          <w:sz w:val="22"/>
          <w:szCs w:val="22"/>
        </w:rPr>
      </w:pPr>
    </w:p>
    <w:p w:rsidRPr="00AA699E" w:rsidR="00FF2D57" w:rsidP="00FF2D57" w:rsidRDefault="00FF2D57" w14:paraId="658376CF" w14:textId="57ACACF8">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Conforme a lo anterior, se logra vislumbrar que la pretensión del ahora Recurrente es obtener el gasto realizado o comprometido, para realizar la publicidad en lonas, carteles o cualquier otro medio, respecto a los descuentos y apoyos, en el pago del impuesto predial y derechos de agua potable, drenaje, alcantarillado y recepción de los caudales de aguas residuales para su tratamiento, durante los meses de septiembre y octubre del dos mil veintidós, derivados del  programa “Juntos por un Mejor Gobierno”. </w:t>
      </w:r>
    </w:p>
    <w:p w:rsidRPr="00AA699E" w:rsidR="00FF2D57" w:rsidP="00D37B22" w:rsidRDefault="00FF2D57" w14:paraId="0F08F3F3" w14:textId="77777777">
      <w:pPr>
        <w:spacing w:line="360" w:lineRule="auto"/>
        <w:ind w:right="-28"/>
        <w:contextualSpacing/>
        <w:jc w:val="both"/>
        <w:rPr>
          <w:rFonts w:ascii="Palatino Linotype" w:hAnsi="Palatino Linotype" w:cs="Tahoma"/>
          <w:bCs/>
          <w:iCs/>
          <w:sz w:val="22"/>
          <w:szCs w:val="22"/>
        </w:rPr>
      </w:pPr>
    </w:p>
    <w:p w:rsidRPr="00AA699E" w:rsidR="00FF2D57" w:rsidP="00FF2D57" w:rsidRDefault="00FF2D57" w14:paraId="06225317" w14:textId="5F04F327">
      <w:pPr>
        <w:spacing w:line="360" w:lineRule="auto"/>
        <w:jc w:val="both"/>
        <w:rPr>
          <w:rFonts w:ascii="Palatino Linotype" w:hAnsi="Palatino Linotype" w:eastAsia="Calibri" w:cs="Tahoma"/>
          <w:bCs/>
          <w:iCs/>
          <w:color w:val="000000"/>
          <w:sz w:val="22"/>
          <w:szCs w:val="24"/>
          <w:lang w:eastAsia="es-MX"/>
        </w:rPr>
      </w:pPr>
      <w:r w:rsidRPr="00AA699E">
        <w:rPr>
          <w:rFonts w:ascii="Palatino Linotype" w:hAnsi="Palatino Linotype" w:cs="Tahoma"/>
          <w:bCs/>
          <w:iCs/>
          <w:sz w:val="22"/>
          <w:szCs w:val="22"/>
        </w:rPr>
        <w:lastRenderedPageBreak/>
        <w:t xml:space="preserve">Ahora bien, se procede analizar la respuesta otorgada, para lo cual, en principio </w:t>
      </w:r>
      <w:r w:rsidRPr="00AA699E" w:rsidR="00267CF6">
        <w:rPr>
          <w:rFonts w:ascii="Palatino Linotype" w:hAnsi="Palatino Linotype" w:cs="Tahoma"/>
          <w:bCs/>
          <w:iCs/>
          <w:sz w:val="22"/>
          <w:szCs w:val="22"/>
        </w:rPr>
        <w:t xml:space="preserve">cabe precisar </w:t>
      </w:r>
      <w:r w:rsidRPr="00AA699E">
        <w:rPr>
          <w:rFonts w:ascii="Palatino Linotype" w:hAnsi="Palatino Linotype" w:cs="Tahoma"/>
          <w:bCs/>
          <w:iCs/>
          <w:sz w:val="22"/>
          <w:szCs w:val="22"/>
        </w:rPr>
        <w:t xml:space="preserve">que de las constancias que obran en el expediente, no se logra vislumbrar </w:t>
      </w:r>
      <w:r w:rsidRPr="00AA699E" w:rsidR="00267CF6">
        <w:rPr>
          <w:rFonts w:ascii="Palatino Linotype" w:hAnsi="Palatino Linotype" w:cs="Tahoma"/>
          <w:bCs/>
          <w:iCs/>
          <w:sz w:val="22"/>
          <w:szCs w:val="22"/>
        </w:rPr>
        <w:t xml:space="preserve">a </w:t>
      </w:r>
      <w:r w:rsidRPr="00AA699E">
        <w:rPr>
          <w:rFonts w:ascii="Palatino Linotype" w:hAnsi="Palatino Linotype" w:cs="Tahoma"/>
          <w:bCs/>
          <w:iCs/>
          <w:sz w:val="22"/>
          <w:szCs w:val="22"/>
        </w:rPr>
        <w:t>que unidad administrativa el Sujeto Obligado turno la solicitud;</w:t>
      </w:r>
      <w:r w:rsidRPr="00AA699E" w:rsidR="00267CF6">
        <w:rPr>
          <w:rFonts w:ascii="Palatino Linotype" w:hAnsi="Palatino Linotype" w:cs="Tahoma"/>
          <w:bCs/>
          <w:iCs/>
          <w:sz w:val="22"/>
          <w:szCs w:val="22"/>
        </w:rPr>
        <w:t xml:space="preserve"> por lo que,</w:t>
      </w:r>
      <w:r w:rsidRPr="00AA699E">
        <w:rPr>
          <w:rFonts w:ascii="Palatino Linotype" w:hAnsi="Palatino Linotype" w:cs="Tahoma"/>
          <w:bCs/>
          <w:iCs/>
          <w:sz w:val="22"/>
          <w:szCs w:val="22"/>
        </w:rPr>
        <w:t xml:space="preserve"> </w:t>
      </w:r>
      <w:r w:rsidRPr="00AA699E">
        <w:rPr>
          <w:rFonts w:ascii="Palatino Linotype" w:hAnsi="Palatino Linotype" w:eastAsia="Calibri" w:cs="Tahoma"/>
          <w:bCs/>
          <w:color w:val="000000"/>
          <w:sz w:val="22"/>
          <w:szCs w:val="24"/>
          <w:lang w:eastAsia="es-MX"/>
        </w:rPr>
        <w:t xml:space="preserve">es necesario hacer referencia </w:t>
      </w:r>
      <w:r w:rsidRPr="00AA699E">
        <w:rPr>
          <w:rFonts w:ascii="Palatino Linotype" w:hAnsi="Palatino Linotype" w:eastAsia="Calibri" w:cs="Tahoma"/>
          <w:color w:val="000000"/>
          <w:sz w:val="22"/>
          <w:szCs w:val="24"/>
          <w:lang w:eastAsia="es-MX"/>
        </w:rPr>
        <w:t xml:space="preserve">al </w:t>
      </w:r>
      <w:r w:rsidRPr="00AA699E">
        <w:rPr>
          <w:rFonts w:ascii="Palatino Linotype" w:hAnsi="Palatino Linotype" w:eastAsia="Calibri" w:cs="Tahoma"/>
          <w:b/>
          <w:color w:val="000000"/>
          <w:sz w:val="22"/>
          <w:szCs w:val="24"/>
          <w:lang w:eastAsia="es-MX"/>
        </w:rPr>
        <w:t>procedimiento de búsqueda que deben de seguir los Sujetos Obligados para localizar la información</w:t>
      </w:r>
      <w:r w:rsidRPr="00AA699E">
        <w:rPr>
          <w:rFonts w:ascii="Palatino Linotype" w:hAnsi="Palatino Linotype" w:eastAsia="Calibri" w:cs="Tahoma"/>
          <w:color w:val="000000"/>
          <w:sz w:val="22"/>
          <w:szCs w:val="24"/>
          <w:lang w:eastAsia="es-MX"/>
        </w:rPr>
        <w:t>, el cual se encuentra previsto en los artículos</w:t>
      </w:r>
      <w:r w:rsidRPr="00AA699E">
        <w:rPr>
          <w:rFonts w:ascii="Palatino Linotype" w:hAnsi="Palatino Linotype" w:eastAsia="Calibri" w:cs="Tahoma"/>
          <w:bCs/>
          <w:color w:val="000000"/>
          <w:sz w:val="22"/>
          <w:szCs w:val="24"/>
          <w:lang w:eastAsia="es-MX"/>
        </w:rPr>
        <w:t xml:space="preserve"> 160 y 162 de la Ley de Transparencia y Acceso a la Información Pública del Estado de México y Municipios, mismo que es el siguiente:</w:t>
      </w:r>
    </w:p>
    <w:p w:rsidRPr="00AA699E" w:rsidR="00FF2D57" w:rsidP="00FF2D57" w:rsidRDefault="00FF2D57" w14:paraId="6DDA5452"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Pr="00AA699E" w:rsidR="00FF2D57" w:rsidP="00FF2D57" w:rsidRDefault="00FF2D57" w14:paraId="6BE1CC1E"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AA699E">
        <w:rPr>
          <w:rFonts w:ascii="Palatino Linotype" w:hAnsi="Palatino Linotype" w:eastAsia="Calibri"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AA699E" w:rsidR="00FF2D57" w:rsidP="00FF2D57" w:rsidRDefault="00FF2D57" w14:paraId="50607E54" w14:textId="77777777">
      <w:p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p>
    <w:p w:rsidRPr="00AA699E" w:rsidR="00FF2D57" w:rsidP="00FF2D57" w:rsidRDefault="00FF2D57" w14:paraId="20DB37DB"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AA699E">
        <w:rPr>
          <w:rFonts w:ascii="Palatino Linotype" w:hAnsi="Palatino Linotype" w:eastAsia="Calibri" w:cs="Tahoma"/>
          <w:bCs/>
          <w:color w:val="000000"/>
          <w:sz w:val="22"/>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AA699E" w:rsidR="00FF2D57" w:rsidP="00FF2D57" w:rsidRDefault="00FF2D57" w14:paraId="14FA9026"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Pr="00AA699E" w:rsidR="00FF2D57" w:rsidP="002979D3" w:rsidRDefault="00FF2D57" w14:paraId="6B78AF22" w14:textId="05DCA5E1">
      <w:pPr>
        <w:spacing w:line="360" w:lineRule="auto"/>
        <w:jc w:val="both"/>
        <w:rPr>
          <w:rFonts w:ascii="Palatino Linotype" w:hAnsi="Palatino Linotype" w:eastAsia="Calibri" w:cs="Tahoma"/>
          <w:color w:val="000000"/>
          <w:sz w:val="22"/>
          <w:szCs w:val="22"/>
          <w:lang w:val="es-ES" w:eastAsia="es-MX"/>
        </w:rPr>
      </w:pPr>
      <w:r w:rsidRPr="00AA699E">
        <w:rPr>
          <w:rFonts w:ascii="Palatino Linotype" w:hAnsi="Palatino Linotype" w:eastAsia="Calibri" w:cs="Tahoma"/>
          <w:color w:val="000000"/>
          <w:sz w:val="22"/>
          <w:szCs w:val="24"/>
          <w:lang w:val="es-ES" w:eastAsia="es-MX"/>
        </w:rPr>
        <w:t>Así, a efecto de determinar si el Sujeto Obligado siguió el procedimiento antes descrito, es necesario traer a colación, los artículos 39, fracción III</w:t>
      </w:r>
      <w:r w:rsidRPr="00AA699E" w:rsidR="002979D3">
        <w:rPr>
          <w:rFonts w:ascii="Palatino Linotype" w:hAnsi="Palatino Linotype" w:eastAsia="Calibri" w:cs="Tahoma"/>
          <w:color w:val="000000"/>
          <w:sz w:val="22"/>
          <w:szCs w:val="24"/>
          <w:lang w:val="es-ES" w:eastAsia="es-MX"/>
        </w:rPr>
        <w:t>,</w:t>
      </w:r>
      <w:r w:rsidRPr="00AA699E">
        <w:rPr>
          <w:rFonts w:ascii="Palatino Linotype" w:hAnsi="Palatino Linotype" w:eastAsia="Calibri" w:cs="Tahoma"/>
          <w:color w:val="000000"/>
          <w:sz w:val="22"/>
          <w:szCs w:val="24"/>
          <w:lang w:val="es-ES" w:eastAsia="es-MX"/>
        </w:rPr>
        <w:t xml:space="preserve"> y 43, fracción II del Bando Municipal, dos mil veintidós, de Tecámac, así como, los diversos 2. 142, 2. 145, fracción II, 2.147, fracción II y 2. 150, fracción VII</w:t>
      </w:r>
      <w:r w:rsidRPr="00AA699E" w:rsidR="002979D3">
        <w:rPr>
          <w:rFonts w:ascii="Palatino Linotype" w:hAnsi="Palatino Linotype" w:eastAsia="Calibri" w:cs="Tahoma"/>
          <w:color w:val="000000"/>
          <w:sz w:val="22"/>
          <w:szCs w:val="24"/>
          <w:lang w:val="es-ES" w:eastAsia="es-MX"/>
        </w:rPr>
        <w:t>, 2.151, 2.152, 2.153 y 2.154</w:t>
      </w:r>
      <w:r w:rsidRPr="00AA699E">
        <w:rPr>
          <w:rFonts w:ascii="Palatino Linotype" w:hAnsi="Palatino Linotype" w:eastAsia="Calibri" w:cs="Tahoma"/>
          <w:color w:val="000000"/>
          <w:sz w:val="22"/>
          <w:szCs w:val="24"/>
          <w:lang w:val="es-ES" w:eastAsia="es-MX"/>
        </w:rPr>
        <w:t xml:space="preserve"> del Código Reglamentario Municipal de Tecámac, que precisa</w:t>
      </w:r>
      <w:r w:rsidRPr="00AA699E" w:rsidR="00267CF6">
        <w:rPr>
          <w:rFonts w:ascii="Palatino Linotype" w:hAnsi="Palatino Linotype" w:eastAsia="Calibri" w:cs="Tahoma"/>
          <w:color w:val="000000"/>
          <w:sz w:val="22"/>
          <w:szCs w:val="24"/>
          <w:lang w:val="es-ES" w:eastAsia="es-MX"/>
        </w:rPr>
        <w:t xml:space="preserve">n que el Sujeto Obligado, para el ejercicio </w:t>
      </w:r>
      <w:r w:rsidRPr="00AA699E" w:rsidR="00267CF6">
        <w:rPr>
          <w:rFonts w:ascii="Palatino Linotype" w:hAnsi="Palatino Linotype" w:eastAsia="Calibri" w:cs="Tahoma"/>
          <w:color w:val="000000"/>
          <w:sz w:val="22"/>
          <w:szCs w:val="22"/>
          <w:lang w:val="es-ES" w:eastAsia="es-MX"/>
        </w:rPr>
        <w:t>de sus funciones, se conforma de diversas unidades administrativas, entre las cuales se encuentra</w:t>
      </w:r>
      <w:r w:rsidRPr="00AA699E" w:rsidR="002979D3">
        <w:rPr>
          <w:rFonts w:ascii="Palatino Linotype" w:hAnsi="Palatino Linotype" w:eastAsia="Calibri" w:cs="Tahoma"/>
          <w:color w:val="000000"/>
          <w:sz w:val="22"/>
          <w:szCs w:val="22"/>
          <w:lang w:val="es-ES" w:eastAsia="es-MX"/>
        </w:rPr>
        <w:t xml:space="preserve"> la </w:t>
      </w:r>
      <w:r w:rsidRPr="00AA699E">
        <w:rPr>
          <w:rFonts w:ascii="Palatino Linotype" w:hAnsi="Palatino Linotype" w:eastAsia="Calibri" w:cs="Tahoma"/>
          <w:b/>
          <w:bCs/>
          <w:color w:val="000000"/>
          <w:sz w:val="22"/>
          <w:szCs w:val="22"/>
          <w:lang w:val="es-ES" w:eastAsia="es-MX"/>
        </w:rPr>
        <w:t>Tesorería Municipal</w:t>
      </w:r>
      <w:r w:rsidRPr="00AA699E" w:rsidR="002979D3">
        <w:rPr>
          <w:rFonts w:ascii="Palatino Linotype" w:hAnsi="Palatino Linotype" w:eastAsia="Calibri" w:cs="Tahoma"/>
          <w:color w:val="000000"/>
          <w:sz w:val="22"/>
          <w:szCs w:val="22"/>
          <w:lang w:val="es-ES" w:eastAsia="es-MX"/>
        </w:rPr>
        <w:t xml:space="preserve"> encargada de la </w:t>
      </w:r>
      <w:r w:rsidRPr="00AA699E">
        <w:rPr>
          <w:rFonts w:ascii="Palatino Linotype" w:hAnsi="Palatino Linotype" w:eastAsia="Calibri" w:cs="Tahoma"/>
          <w:color w:val="000000"/>
          <w:sz w:val="22"/>
          <w:szCs w:val="22"/>
          <w:lang w:val="es-ES" w:eastAsia="es-MX"/>
        </w:rPr>
        <w:t>administración de ingresos y egresos</w:t>
      </w:r>
      <w:r w:rsidRPr="00AA699E" w:rsidR="002979D3">
        <w:rPr>
          <w:rFonts w:ascii="Palatino Linotype" w:hAnsi="Palatino Linotype" w:eastAsia="Calibri" w:cs="Tahoma"/>
          <w:color w:val="000000"/>
          <w:sz w:val="22"/>
          <w:szCs w:val="22"/>
          <w:lang w:val="es-ES" w:eastAsia="es-MX"/>
        </w:rPr>
        <w:t xml:space="preserve"> del Ayuntamiento</w:t>
      </w:r>
      <w:r w:rsidRPr="00AA699E" w:rsidR="00267CF6">
        <w:rPr>
          <w:rFonts w:ascii="Palatino Linotype" w:hAnsi="Palatino Linotype" w:eastAsia="Calibri" w:cs="Tahoma"/>
          <w:color w:val="000000"/>
          <w:sz w:val="22"/>
          <w:szCs w:val="22"/>
          <w:lang w:val="es-ES" w:eastAsia="es-MX"/>
        </w:rPr>
        <w:t>;</w:t>
      </w:r>
      <w:r w:rsidRPr="00AA699E">
        <w:rPr>
          <w:rFonts w:ascii="Palatino Linotype" w:hAnsi="Palatino Linotype" w:eastAsia="Calibri" w:cs="Tahoma"/>
          <w:color w:val="000000"/>
          <w:sz w:val="22"/>
          <w:szCs w:val="22"/>
          <w:lang w:val="es-ES" w:eastAsia="es-MX"/>
        </w:rPr>
        <w:t xml:space="preserve"> así como determinar, liquidar, recuadrar o administrar </w:t>
      </w:r>
      <w:r w:rsidRPr="00AA699E" w:rsidR="00267CF6">
        <w:rPr>
          <w:rFonts w:ascii="Palatino Linotype" w:hAnsi="Palatino Linotype" w:eastAsia="Calibri" w:cs="Tahoma"/>
          <w:color w:val="000000"/>
          <w:sz w:val="22"/>
          <w:szCs w:val="22"/>
          <w:lang w:val="es-ES" w:eastAsia="es-MX"/>
        </w:rPr>
        <w:t xml:space="preserve">las contribuciones; lo anterior  por medio de la </w:t>
      </w:r>
      <w:proofErr w:type="spellStart"/>
      <w:r w:rsidRPr="00AA699E">
        <w:rPr>
          <w:rFonts w:ascii="Palatino Linotype" w:hAnsi="Palatino Linotype" w:eastAsia="Calibri" w:cs="Tahoma"/>
          <w:b/>
          <w:bCs/>
          <w:color w:val="000000"/>
          <w:sz w:val="22"/>
          <w:szCs w:val="22"/>
          <w:lang w:val="es-ES" w:eastAsia="es-MX"/>
        </w:rPr>
        <w:t>Subtesorería</w:t>
      </w:r>
      <w:proofErr w:type="spellEnd"/>
      <w:r w:rsidRPr="00AA699E">
        <w:rPr>
          <w:rFonts w:ascii="Palatino Linotype" w:hAnsi="Palatino Linotype" w:eastAsia="Calibri" w:cs="Tahoma"/>
          <w:b/>
          <w:bCs/>
          <w:color w:val="000000"/>
          <w:sz w:val="22"/>
          <w:szCs w:val="22"/>
          <w:lang w:val="es-ES" w:eastAsia="es-MX"/>
        </w:rPr>
        <w:t xml:space="preserve"> </w:t>
      </w:r>
      <w:r w:rsidRPr="00AA699E">
        <w:rPr>
          <w:rFonts w:ascii="Palatino Linotype" w:hAnsi="Palatino Linotype" w:eastAsia="Calibri" w:cs="Tahoma"/>
          <w:b/>
          <w:bCs/>
          <w:color w:val="000000"/>
          <w:sz w:val="22"/>
          <w:szCs w:val="22"/>
          <w:lang w:val="es-ES" w:eastAsia="es-MX"/>
        </w:rPr>
        <w:lastRenderedPageBreak/>
        <w:t>de Egresos</w:t>
      </w:r>
      <w:r w:rsidRPr="00AA699E" w:rsidR="002979D3">
        <w:rPr>
          <w:rFonts w:ascii="Palatino Linotype" w:hAnsi="Palatino Linotype" w:eastAsia="Calibri" w:cs="Tahoma"/>
          <w:color w:val="000000"/>
          <w:sz w:val="22"/>
          <w:szCs w:val="22"/>
          <w:lang w:val="es-ES" w:eastAsia="es-MX"/>
        </w:rPr>
        <w:t xml:space="preserve"> que custodia</w:t>
      </w:r>
      <w:r w:rsidRPr="00AA699E">
        <w:rPr>
          <w:rFonts w:ascii="Palatino Linotype" w:hAnsi="Palatino Linotype" w:eastAsia="Calibri" w:cs="Tahoma"/>
          <w:color w:val="000000"/>
          <w:sz w:val="22"/>
          <w:szCs w:val="22"/>
          <w:lang w:val="es-ES" w:eastAsia="es-MX"/>
        </w:rPr>
        <w:t xml:space="preserve"> las facturas que previamente hayan sido revisadas para que se progra</w:t>
      </w:r>
      <w:r w:rsidRPr="00AA699E" w:rsidR="00267CF6">
        <w:rPr>
          <w:rFonts w:ascii="Palatino Linotype" w:hAnsi="Palatino Linotype" w:eastAsia="Calibri" w:cs="Tahoma"/>
          <w:color w:val="000000"/>
          <w:sz w:val="22"/>
          <w:szCs w:val="22"/>
          <w:lang w:val="es-ES" w:eastAsia="es-MX"/>
        </w:rPr>
        <w:t>m</w:t>
      </w:r>
      <w:r w:rsidRPr="00AA699E" w:rsidR="002979D3">
        <w:rPr>
          <w:rFonts w:ascii="Palatino Linotype" w:hAnsi="Palatino Linotype" w:eastAsia="Calibri" w:cs="Tahoma"/>
          <w:color w:val="000000"/>
          <w:sz w:val="22"/>
          <w:szCs w:val="22"/>
          <w:lang w:val="es-ES" w:eastAsia="es-MX"/>
        </w:rPr>
        <w:t>e el pago de las mismas.</w:t>
      </w:r>
    </w:p>
    <w:p w:rsidRPr="00AA699E" w:rsidR="002979D3" w:rsidP="002979D3" w:rsidRDefault="002979D3" w14:paraId="39E7E210" w14:textId="77777777">
      <w:pPr>
        <w:spacing w:line="360" w:lineRule="auto"/>
        <w:jc w:val="both"/>
        <w:rPr>
          <w:rFonts w:ascii="Palatino Linotype" w:hAnsi="Palatino Linotype" w:eastAsia="Calibri" w:cs="Tahoma"/>
          <w:color w:val="000000"/>
          <w:sz w:val="22"/>
          <w:szCs w:val="24"/>
          <w:lang w:val="es-ES" w:eastAsia="es-MX"/>
        </w:rPr>
      </w:pPr>
    </w:p>
    <w:p w:rsidRPr="00AA699E" w:rsidR="002979D3" w:rsidP="002979D3" w:rsidRDefault="002979D3" w14:paraId="1EB64183" w14:textId="41C3B784">
      <w:pPr>
        <w:spacing w:line="360" w:lineRule="auto"/>
        <w:jc w:val="both"/>
        <w:rPr>
          <w:rFonts w:ascii="Palatino Linotype" w:hAnsi="Palatino Linotype" w:eastAsia="Calibri" w:cs="Tahoma"/>
          <w:color w:val="000000"/>
          <w:sz w:val="22"/>
          <w:szCs w:val="24"/>
          <w:lang w:val="es-ES" w:eastAsia="es-MX"/>
        </w:rPr>
      </w:pPr>
      <w:r w:rsidRPr="00AA699E">
        <w:rPr>
          <w:rFonts w:ascii="Palatino Linotype" w:hAnsi="Palatino Linotype" w:eastAsia="Calibri" w:cs="Tahoma"/>
          <w:color w:val="000000"/>
          <w:sz w:val="22"/>
          <w:szCs w:val="24"/>
          <w:lang w:val="es-ES" w:eastAsia="es-MX"/>
        </w:rPr>
        <w:t>Para tal circunstancia, dicha área contara con la Subdirección de Recursos Materiales de la Dirección de Administración, encargada de la ejecución de los procedimientos administrativos necesarios para adquirir, arrendar y contratar los bienes o servicios requeridos por la Administración Pública Municipal.</w:t>
      </w:r>
    </w:p>
    <w:p w:rsidRPr="00AA699E" w:rsidR="002979D3" w:rsidP="002979D3" w:rsidRDefault="002979D3" w14:paraId="50FBFE0E" w14:textId="77777777">
      <w:pPr>
        <w:spacing w:line="360" w:lineRule="auto"/>
        <w:jc w:val="both"/>
        <w:rPr>
          <w:rFonts w:ascii="Palatino Linotype" w:hAnsi="Palatino Linotype" w:eastAsia="Calibri" w:cs="Tahoma"/>
          <w:color w:val="000000"/>
          <w:lang w:val="es-ES" w:eastAsia="es-MX"/>
        </w:rPr>
      </w:pPr>
    </w:p>
    <w:p w:rsidRPr="00AA699E" w:rsidR="00FF2D57" w:rsidP="00FF2D57" w:rsidRDefault="00FF2D57" w14:paraId="2B9B1F5F" w14:textId="3A34AC28">
      <w:pPr>
        <w:spacing w:line="360" w:lineRule="auto"/>
        <w:jc w:val="both"/>
        <w:rPr>
          <w:rFonts w:ascii="Palatino Linotype" w:hAnsi="Palatino Linotype" w:eastAsia="Calibri" w:cs="Tahoma"/>
          <w:color w:val="000000"/>
          <w:sz w:val="22"/>
          <w:szCs w:val="24"/>
          <w:lang w:val="es-ES" w:eastAsia="es-MX"/>
        </w:rPr>
      </w:pPr>
      <w:r w:rsidRPr="00AA699E">
        <w:rPr>
          <w:rFonts w:ascii="Palatino Linotype" w:hAnsi="Palatino Linotype" w:eastAsia="Calibri" w:cs="Tahoma"/>
          <w:color w:val="000000"/>
          <w:sz w:val="22"/>
          <w:szCs w:val="24"/>
          <w:lang w:val="es-ES" w:eastAsia="es-MX"/>
        </w:rPr>
        <w:t xml:space="preserve">De tales circunstancias, se logra vislumbrar que el Sujeto Obligado </w:t>
      </w:r>
      <w:r w:rsidRPr="00AA699E" w:rsidR="002979D3">
        <w:rPr>
          <w:rFonts w:ascii="Palatino Linotype" w:hAnsi="Palatino Linotype" w:eastAsia="Calibri" w:cs="Tahoma"/>
          <w:color w:val="000000"/>
          <w:sz w:val="22"/>
          <w:szCs w:val="24"/>
          <w:lang w:val="es-ES" w:eastAsia="es-MX"/>
        </w:rPr>
        <w:t xml:space="preserve">no </w:t>
      </w:r>
      <w:r w:rsidRPr="00AA699E">
        <w:rPr>
          <w:rFonts w:ascii="Palatino Linotype" w:hAnsi="Palatino Linotype" w:eastAsia="Calibri" w:cs="Tahoma"/>
          <w:color w:val="000000"/>
          <w:sz w:val="22"/>
          <w:szCs w:val="24"/>
          <w:lang w:val="es-ES" w:eastAsia="es-MX"/>
        </w:rPr>
        <w:t>cumplió con el procedimiento de búsqueda</w:t>
      </w:r>
      <w:r w:rsidRPr="00AA699E" w:rsidR="002979D3">
        <w:rPr>
          <w:rFonts w:ascii="Palatino Linotype" w:hAnsi="Palatino Linotype" w:eastAsia="Calibri" w:cs="Tahoma"/>
          <w:color w:val="000000"/>
          <w:sz w:val="22"/>
          <w:szCs w:val="24"/>
          <w:lang w:val="es-ES" w:eastAsia="es-MX"/>
        </w:rPr>
        <w:t>, establecido en el artículo 162 de la Ley de Transparencia y Acceso a la Información Pública del Estado de México y Municipios</w:t>
      </w:r>
      <w:r w:rsidRPr="00AA699E">
        <w:rPr>
          <w:rFonts w:ascii="Palatino Linotype" w:hAnsi="Palatino Linotype" w:eastAsia="Calibri" w:cs="Tahoma"/>
          <w:color w:val="000000"/>
          <w:sz w:val="22"/>
          <w:szCs w:val="24"/>
          <w:lang w:val="es-ES" w:eastAsia="es-MX"/>
        </w:rPr>
        <w:t xml:space="preserve">, </w:t>
      </w:r>
      <w:r w:rsidRPr="00AA699E" w:rsidR="002979D3">
        <w:rPr>
          <w:rFonts w:ascii="Palatino Linotype" w:hAnsi="Palatino Linotype" w:eastAsia="Calibri" w:cs="Tahoma"/>
          <w:color w:val="000000"/>
          <w:sz w:val="22"/>
          <w:szCs w:val="24"/>
          <w:lang w:val="es-ES" w:eastAsia="es-MX"/>
        </w:rPr>
        <w:t>al no turnar la solicitud de información a las áreas que se encontraban adscritas a la Tesorería Municipal, la cuales se encargan de ver los procedimientos de contratación de servicios o bien, de realizar las erogaciones.</w:t>
      </w:r>
    </w:p>
    <w:p w:rsidRPr="00AA699E" w:rsidR="00D37B22" w:rsidP="00D37B22" w:rsidRDefault="00D37B22" w14:paraId="1F4FFA45" w14:textId="4A90EA08">
      <w:pPr>
        <w:spacing w:line="360" w:lineRule="auto"/>
        <w:ind w:right="-28"/>
        <w:contextualSpacing/>
        <w:jc w:val="both"/>
        <w:rPr>
          <w:rFonts w:ascii="Palatino Linotype" w:hAnsi="Palatino Linotype" w:cs="Tahoma"/>
          <w:bCs/>
          <w:iCs/>
          <w:sz w:val="22"/>
          <w:szCs w:val="22"/>
        </w:rPr>
      </w:pPr>
    </w:p>
    <w:p w:rsidRPr="00AA699E" w:rsidR="002979D3" w:rsidP="002979D3" w:rsidRDefault="002979D3" w14:paraId="089E2632" w14:textId="1A63CD75">
      <w:pPr>
        <w:spacing w:line="360" w:lineRule="auto"/>
        <w:ind w:right="-28"/>
        <w:contextualSpacing/>
        <w:jc w:val="both"/>
        <w:rPr>
          <w:rFonts w:ascii="Palatino Linotype" w:hAnsi="Palatino Linotype" w:cs="Tahoma"/>
          <w:sz w:val="22"/>
          <w:szCs w:val="22"/>
        </w:rPr>
      </w:pPr>
      <w:r w:rsidRPr="00AA699E">
        <w:rPr>
          <w:rFonts w:ascii="Palatino Linotype" w:hAnsi="Palatino Linotype" w:cs="Tahoma"/>
          <w:bCs/>
          <w:iCs/>
          <w:sz w:val="22"/>
          <w:szCs w:val="22"/>
        </w:rPr>
        <w:t>Sin menoscabar lo anterior, se procede analizar la respuesta entregada por el Sujeto Obligado, en donde únicamente refirió que l</w:t>
      </w:r>
      <w:r w:rsidRPr="00AA699E">
        <w:rPr>
          <w:rFonts w:ascii="Palatino Linotype" w:hAnsi="Palatino Linotype" w:cs="Tahoma"/>
          <w:sz w:val="22"/>
          <w:szCs w:val="22"/>
        </w:rPr>
        <w:t>os registros estaban en proceso, sin precisar a qué se refería con dicha afirmación; esto es, no precisó a que circunstancia se refería a estar en proceso los registros. En otras palabras, el Ayuntamiento no fue claro en su respuesta, ya que no indicó se había celebrado alguna contratación para realizar la publicidad, o bien, si tenía el gasto comprometido, pero a la fecha de respuesta aún no se había realizado el pago respectivo, lo cual da co</w:t>
      </w:r>
      <w:r w:rsidRPr="00AA699E" w:rsidR="001D0B1F">
        <w:rPr>
          <w:rFonts w:ascii="Palatino Linotype" w:hAnsi="Palatino Linotype" w:cs="Tahoma"/>
          <w:sz w:val="22"/>
          <w:szCs w:val="22"/>
        </w:rPr>
        <w:t xml:space="preserve">mo resultado que la contestación resulte </w:t>
      </w:r>
      <w:r w:rsidRPr="00AA699E" w:rsidR="001D0B1F">
        <w:rPr>
          <w:rFonts w:ascii="Palatino Linotype" w:hAnsi="Palatino Linotype" w:cs="Tahoma"/>
          <w:b/>
          <w:sz w:val="22"/>
          <w:szCs w:val="22"/>
        </w:rPr>
        <w:t>incongruente.</w:t>
      </w:r>
    </w:p>
    <w:p w:rsidRPr="00AA699E" w:rsidR="002979D3" w:rsidP="002979D3" w:rsidRDefault="002979D3" w14:paraId="6862215C" w14:textId="77777777">
      <w:pPr>
        <w:spacing w:line="360" w:lineRule="auto"/>
        <w:ind w:right="-28"/>
        <w:contextualSpacing/>
        <w:jc w:val="both"/>
        <w:rPr>
          <w:rFonts w:ascii="Palatino Linotype" w:hAnsi="Palatino Linotype" w:cs="Tahoma"/>
          <w:sz w:val="22"/>
          <w:szCs w:val="22"/>
        </w:rPr>
      </w:pPr>
    </w:p>
    <w:p w:rsidRPr="00AA699E" w:rsidR="002979D3" w:rsidP="002979D3" w:rsidRDefault="002979D3" w14:paraId="0A5FC04B" w14:textId="4CA4A758">
      <w:pPr>
        <w:spacing w:line="360" w:lineRule="auto"/>
        <w:ind w:right="-28"/>
        <w:contextualSpacing/>
        <w:jc w:val="both"/>
        <w:rPr>
          <w:rFonts w:ascii="Palatino Linotype" w:hAnsi="Palatino Linotype" w:cs="Tahoma"/>
          <w:sz w:val="22"/>
          <w:szCs w:val="22"/>
        </w:rPr>
      </w:pPr>
      <w:r w:rsidRPr="00AA699E">
        <w:rPr>
          <w:rFonts w:ascii="Palatino Linotype" w:hAnsi="Palatino Linotype" w:cs="Tahoma"/>
          <w:bCs/>
          <w:iCs/>
          <w:sz w:val="22"/>
          <w:szCs w:val="22"/>
          <w:lang w:val="es-ES"/>
        </w:rPr>
        <w:t>S</w:t>
      </w:r>
      <w:r w:rsidRPr="00AA699E">
        <w:rPr>
          <w:rFonts w:ascii="Palatino Linotype" w:hAnsi="Palatino Linotype" w:eastAsia="Calibri" w:cs="Tahoma"/>
          <w:color w:val="000000" w:themeColor="text1"/>
          <w:sz w:val="22"/>
          <w:szCs w:val="22"/>
          <w:lang w:val="es-ES" w:eastAsia="en-US"/>
        </w:rPr>
        <w:t xml:space="preserve">obre el tema </w:t>
      </w:r>
      <w:r w:rsidRPr="00AA699E">
        <w:rPr>
          <w:rFonts w:ascii="Palatino Linotype" w:hAnsi="Palatino Linotype" w:eastAsia="Calibri"/>
          <w:color w:val="000000" w:themeColor="text1"/>
          <w:sz w:val="22"/>
          <w:szCs w:val="22"/>
          <w:lang w:eastAsia="en-US"/>
        </w:rPr>
        <w:t xml:space="preserve">el </w:t>
      </w:r>
      <w:r w:rsidRPr="00AA699E">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AA699E">
        <w:rPr>
          <w:rFonts w:ascii="Palatino Linotype" w:hAnsi="Palatino Linotype"/>
          <w:sz w:val="22"/>
          <w:szCs w:val="22"/>
          <w:lang w:val="es-ES"/>
        </w:rPr>
        <w:t>imismo,</w:t>
      </w:r>
      <w:r w:rsidRPr="00AA699E">
        <w:rPr>
          <w:rFonts w:ascii="Palatino Linotype" w:hAnsi="Palatino Linotype" w:cs="Tahoma"/>
          <w:sz w:val="22"/>
          <w:lang w:eastAsia="es-MX"/>
        </w:rPr>
        <w:t xml:space="preserve"> resulta necesario traer</w:t>
      </w:r>
      <w:r w:rsidRPr="00AA699E">
        <w:rPr>
          <w:rFonts w:ascii="Palatino Linotype" w:hAnsi="Palatino Linotype" w:eastAsia="Calibri" w:cs="Tahoma"/>
          <w:bCs/>
          <w:sz w:val="22"/>
          <w:szCs w:val="22"/>
          <w:lang w:val="es-ES" w:eastAsia="en-US"/>
        </w:rPr>
        <w:t xml:space="preserve"> por analogía, el </w:t>
      </w:r>
      <w:r w:rsidRPr="00AA699E">
        <w:rPr>
          <w:rFonts w:ascii="Palatino Linotype" w:hAnsi="Palatino Linotype" w:eastAsia="Calibri" w:cs="Tahoma"/>
          <w:bCs/>
          <w:color w:val="000000" w:themeColor="text1"/>
          <w:sz w:val="22"/>
          <w:szCs w:val="22"/>
          <w:lang w:eastAsia="en-US"/>
        </w:rPr>
        <w:t xml:space="preserve">Criterio de interpretación con clave de registro </w:t>
      </w:r>
      <w:r w:rsidRPr="00AA699E">
        <w:rPr>
          <w:rFonts w:ascii="Palatino Linotype" w:hAnsi="Palatino Linotype" w:eastAsia="Calibri" w:cs="Tahoma"/>
          <w:color w:val="000000" w:themeColor="text1"/>
          <w:sz w:val="22"/>
          <w:szCs w:val="22"/>
          <w:lang w:eastAsia="en-US"/>
        </w:rPr>
        <w:t>SO/002/2017, de la Segunda Época</w:t>
      </w:r>
      <w:r w:rsidRPr="00AA699E">
        <w:rPr>
          <w:rFonts w:ascii="Palatino Linotype" w:hAnsi="Palatino Linotype" w:eastAsia="Calibri" w:cs="Tahoma"/>
          <w:bCs/>
          <w:sz w:val="22"/>
          <w:szCs w:val="22"/>
          <w:lang w:val="es-ES" w:eastAsia="en-US"/>
        </w:rPr>
        <w:t xml:space="preserve">, emitido por el Instituto Nacional de </w:t>
      </w:r>
      <w:r w:rsidRPr="00AA699E">
        <w:rPr>
          <w:rFonts w:ascii="Palatino Linotype" w:hAnsi="Palatino Linotype" w:eastAsia="Calibri" w:cs="Tahoma"/>
          <w:bCs/>
          <w:sz w:val="22"/>
          <w:szCs w:val="22"/>
          <w:lang w:val="es-ES" w:eastAsia="en-US"/>
        </w:rPr>
        <w:lastRenderedPageBreak/>
        <w:t>Transparencia, Acceso a la Información y Protección de Datos Personales, que señala lo siguiente:</w:t>
      </w:r>
    </w:p>
    <w:p w:rsidRPr="00AA699E" w:rsidR="002979D3" w:rsidP="002979D3" w:rsidRDefault="002979D3" w14:paraId="1660A8B5" w14:textId="77777777">
      <w:pPr>
        <w:spacing w:line="360" w:lineRule="auto"/>
        <w:jc w:val="both"/>
        <w:rPr>
          <w:rFonts w:ascii="Palatino Linotype" w:hAnsi="Palatino Linotype" w:eastAsia="Calibri" w:cs="Tahoma"/>
          <w:bCs/>
          <w:sz w:val="22"/>
          <w:szCs w:val="22"/>
          <w:lang w:val="es-ES" w:eastAsia="en-US"/>
        </w:rPr>
      </w:pPr>
    </w:p>
    <w:p w:rsidRPr="00AA699E" w:rsidR="002979D3" w:rsidP="002979D3" w:rsidRDefault="002979D3" w14:paraId="1534E8B8" w14:textId="77777777">
      <w:pPr>
        <w:spacing w:line="360" w:lineRule="auto"/>
        <w:ind w:left="567" w:right="567"/>
        <w:jc w:val="both"/>
        <w:rPr>
          <w:rFonts w:ascii="Palatino Linotype" w:hAnsi="Palatino Linotype" w:eastAsia="Calibri" w:cs="Tahoma"/>
          <w:i/>
          <w:lang w:eastAsia="en-US"/>
        </w:rPr>
      </w:pPr>
      <w:r w:rsidRPr="00AA699E">
        <w:rPr>
          <w:rFonts w:ascii="Palatino Linotype" w:hAnsi="Palatino Linotype" w:eastAsia="Calibri" w:cs="Tahoma"/>
          <w:b/>
          <w:bCs/>
          <w:i/>
          <w:lang w:eastAsia="en-US"/>
        </w:rPr>
        <w:t xml:space="preserve">“Congruencia y exhaustividad. Sus alcances para garantizar el derecho de acceso a la información. </w:t>
      </w:r>
      <w:r w:rsidRPr="00AA699E">
        <w:rPr>
          <w:rFonts w:ascii="Palatino Linotype" w:hAnsi="Palatino Linotype" w:eastAsia="Calibri" w:cs="Tahoma"/>
          <w:bCs/>
          <w:i/>
          <w:lang w:eastAsia="en-US"/>
        </w:rPr>
        <w:t xml:space="preserve">De conformidad con el artículo </w:t>
      </w:r>
      <w:r w:rsidRPr="00AA699E">
        <w:rPr>
          <w:rFonts w:ascii="Palatino Linotype" w:hAnsi="Palatino Linotype" w:eastAsia="Calibri" w:cs="Tahoma"/>
          <w:bCs/>
          <w:i/>
          <w:lang w:val="es-ES_tradnl" w:eastAsia="en-US"/>
        </w:rPr>
        <w:t>3 de la Ley Federal de Procedimiento Administrativo</w:t>
      </w:r>
      <w:r w:rsidRPr="00AA699E">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AA699E">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AA699E">
        <w:rPr>
          <w:rFonts w:ascii="Palatino Linotype" w:hAnsi="Palatino Linotype" w:eastAsia="Calibri" w:cs="Tahoma"/>
          <w:bCs/>
          <w:i/>
          <w:lang w:eastAsia="en-US"/>
        </w:rPr>
        <w:t xml:space="preserve">; mientras que </w:t>
      </w:r>
      <w:r w:rsidRPr="00AA699E">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AA699E" w:rsidR="002979D3" w:rsidP="002979D3" w:rsidRDefault="002979D3" w14:paraId="29D0A0D4" w14:textId="77777777">
      <w:pPr>
        <w:spacing w:line="360" w:lineRule="auto"/>
        <w:jc w:val="both"/>
        <w:rPr>
          <w:rFonts w:ascii="Palatino Linotype" w:hAnsi="Palatino Linotype" w:eastAsia="Calibri"/>
          <w:color w:val="000000" w:themeColor="text1"/>
          <w:sz w:val="22"/>
          <w:szCs w:val="22"/>
          <w:lang w:eastAsia="en-US"/>
        </w:rPr>
      </w:pPr>
    </w:p>
    <w:p w:rsidRPr="00AA699E" w:rsidR="002979D3" w:rsidP="001D0B1F" w:rsidRDefault="002979D3" w14:paraId="6AA77548" w14:textId="4517A0C1">
      <w:pPr>
        <w:spacing w:line="360" w:lineRule="auto"/>
        <w:jc w:val="both"/>
        <w:rPr>
          <w:rFonts w:ascii="Palatino Linotype" w:hAnsi="Palatino Linotype" w:eastAsia="Calibri"/>
          <w:b/>
          <w:color w:val="000000" w:themeColor="text1"/>
          <w:sz w:val="22"/>
          <w:szCs w:val="22"/>
          <w:lang w:val="es-ES" w:eastAsia="en-US"/>
        </w:rPr>
      </w:pPr>
      <w:r w:rsidRPr="00AA699E">
        <w:rPr>
          <w:rFonts w:ascii="Palatino Linotype" w:hAnsi="Palatino Linotype" w:eastAsia="Calibri"/>
          <w:color w:val="000000" w:themeColor="text1"/>
          <w:sz w:val="22"/>
          <w:szCs w:val="22"/>
          <w:lang w:eastAsia="en-US"/>
        </w:rPr>
        <w:t xml:space="preserve">Del citado criterio, se desprende que </w:t>
      </w:r>
      <w:r w:rsidRPr="00AA699E">
        <w:rPr>
          <w:rFonts w:ascii="Palatino Linotype" w:hAnsi="Palatino Linotype" w:eastAsia="Calibri"/>
          <w:bCs/>
          <w:color w:val="000000" w:themeColor="text1"/>
          <w:sz w:val="22"/>
          <w:szCs w:val="22"/>
          <w:lang w:eastAsia="en-US"/>
        </w:rPr>
        <w:t>todo acto administrativo debe apegarse al</w:t>
      </w:r>
      <w:r w:rsidRPr="00AA699E">
        <w:rPr>
          <w:rFonts w:ascii="Palatino Linotype" w:hAnsi="Palatino Linotype" w:eastAsia="Calibri"/>
          <w:color w:val="000000" w:themeColor="text1"/>
          <w:sz w:val="22"/>
          <w:szCs w:val="22"/>
          <w:lang w:val="es-ES" w:eastAsia="en-US"/>
        </w:rPr>
        <w:t xml:space="preserve"> </w:t>
      </w:r>
      <w:r w:rsidRPr="00AA699E">
        <w:rPr>
          <w:rFonts w:ascii="Palatino Linotype" w:hAnsi="Palatino Linotype" w:eastAsia="Calibri"/>
          <w:b/>
          <w:color w:val="000000" w:themeColor="text1"/>
          <w:sz w:val="22"/>
          <w:szCs w:val="22"/>
          <w:lang w:val="es-ES" w:eastAsia="en-US"/>
        </w:rPr>
        <w:t xml:space="preserve">Principio de Congruencia, </w:t>
      </w:r>
      <w:r w:rsidRPr="00AA699E">
        <w:rPr>
          <w:rFonts w:ascii="Palatino Linotype" w:hAnsi="Palatino Linotype" w:eastAsia="Calibri"/>
          <w:color w:val="000000" w:themeColor="text1"/>
          <w:sz w:val="22"/>
          <w:szCs w:val="22"/>
          <w:lang w:val="es-ES" w:eastAsia="en-US"/>
        </w:rPr>
        <w:t>el cual</w:t>
      </w:r>
      <w:r w:rsidRPr="00AA699E">
        <w:rPr>
          <w:rFonts w:ascii="Palatino Linotype" w:hAnsi="Palatino Linotype" w:eastAsia="Calibri"/>
          <w:b/>
          <w:color w:val="000000" w:themeColor="text1"/>
          <w:sz w:val="22"/>
          <w:szCs w:val="22"/>
          <w:lang w:val="es-ES" w:eastAsia="en-US"/>
        </w:rPr>
        <w:t xml:space="preserve"> </w:t>
      </w:r>
      <w:r w:rsidRPr="00AA699E">
        <w:rPr>
          <w:rFonts w:ascii="Palatino Linotype" w:hAnsi="Palatino Linotype" w:eastAsia="Calibri"/>
          <w:color w:val="000000" w:themeColor="text1"/>
          <w:sz w:val="22"/>
          <w:szCs w:val="22"/>
          <w:lang w:val="es-ES" w:eastAsia="en-US"/>
        </w:rPr>
        <w:t>implica que exista concordancia entre el requerimiento formulado y la respuesta entregada; lo cual no aconteció, pues como se refirió, el Sujeto Obligado proporcionó un dato que no corresponde con lo solicitado</w:t>
      </w:r>
      <w:r w:rsidRPr="00AA699E" w:rsidR="001D0B1F">
        <w:rPr>
          <w:rFonts w:ascii="Palatino Linotype" w:hAnsi="Palatino Linotype" w:eastAsia="Calibri"/>
          <w:color w:val="000000" w:themeColor="text1"/>
          <w:sz w:val="22"/>
          <w:szCs w:val="22"/>
          <w:lang w:val="es-ES" w:eastAsia="en-US"/>
        </w:rPr>
        <w:t xml:space="preserve"> y, por lo tanto, el agravio resulta </w:t>
      </w:r>
      <w:r w:rsidRPr="00AA699E" w:rsidR="001D0B1F">
        <w:rPr>
          <w:rFonts w:ascii="Palatino Linotype" w:hAnsi="Palatino Linotype" w:eastAsia="Calibri"/>
          <w:b/>
          <w:color w:val="000000" w:themeColor="text1"/>
          <w:sz w:val="22"/>
          <w:szCs w:val="22"/>
          <w:lang w:val="es-ES" w:eastAsia="en-US"/>
        </w:rPr>
        <w:t>FUNDADO.</w:t>
      </w:r>
    </w:p>
    <w:p w:rsidRPr="00AA699E" w:rsidR="001D0B1F" w:rsidP="001D0B1F" w:rsidRDefault="001D0B1F" w14:paraId="414D147C" w14:textId="77777777">
      <w:pPr>
        <w:spacing w:line="360" w:lineRule="auto"/>
        <w:jc w:val="both"/>
        <w:rPr>
          <w:rFonts w:ascii="Palatino Linotype" w:hAnsi="Palatino Linotype" w:eastAsia="Calibri"/>
          <w:b/>
          <w:color w:val="000000" w:themeColor="text1"/>
          <w:sz w:val="22"/>
          <w:szCs w:val="22"/>
          <w:lang w:val="es-ES" w:eastAsia="en-US"/>
        </w:rPr>
      </w:pPr>
    </w:p>
    <w:p w:rsidRPr="00AA699E" w:rsidR="001D0B1F" w:rsidP="001D0B1F" w:rsidRDefault="001D0B1F" w14:paraId="4E59F3A9" w14:textId="2C9BF254">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eastAsia="Calibri"/>
          <w:color w:val="000000" w:themeColor="text1"/>
          <w:sz w:val="22"/>
          <w:szCs w:val="22"/>
          <w:lang w:val="es-ES" w:eastAsia="en-US"/>
        </w:rPr>
        <w:t xml:space="preserve">En ese orden de ideas, el Sujeto Obligado, para atender el requerimiento de información, deberá realizar una búsqueda exhaustiva y razonable en las unidades administrativas competentes, entre las cuales se encuentra la </w:t>
      </w:r>
      <w:proofErr w:type="spellStart"/>
      <w:r w:rsidRPr="00AA699E">
        <w:rPr>
          <w:rFonts w:ascii="Palatino Linotype" w:hAnsi="Palatino Linotype" w:eastAsia="Calibri"/>
          <w:color w:val="000000" w:themeColor="text1"/>
          <w:sz w:val="22"/>
          <w:szCs w:val="22"/>
          <w:lang w:val="es-ES" w:eastAsia="en-US"/>
        </w:rPr>
        <w:t>Subtesorería</w:t>
      </w:r>
      <w:proofErr w:type="spellEnd"/>
      <w:r w:rsidRPr="00AA699E">
        <w:rPr>
          <w:rFonts w:ascii="Palatino Linotype" w:hAnsi="Palatino Linotype" w:eastAsia="Calibri"/>
          <w:color w:val="000000" w:themeColor="text1"/>
          <w:sz w:val="22"/>
          <w:szCs w:val="22"/>
          <w:lang w:val="es-ES" w:eastAsia="en-US"/>
        </w:rPr>
        <w:t xml:space="preserve"> de Egresos y las áreas que la integran a esta, a efecto de que proporcione el documento donde conste </w:t>
      </w:r>
      <w:r w:rsidRPr="00AA699E">
        <w:rPr>
          <w:rFonts w:ascii="Palatino Linotype" w:hAnsi="Palatino Linotype" w:cs="Tahoma"/>
          <w:bCs/>
          <w:iCs/>
          <w:sz w:val="22"/>
          <w:szCs w:val="22"/>
        </w:rPr>
        <w:t>el gasto realizado o comprometido</w:t>
      </w:r>
      <w:r w:rsidRPr="00AA699E" w:rsidR="005F3461">
        <w:rPr>
          <w:rFonts w:ascii="Palatino Linotype" w:hAnsi="Palatino Linotype" w:cs="Tahoma"/>
          <w:bCs/>
          <w:iCs/>
          <w:sz w:val="22"/>
          <w:szCs w:val="22"/>
        </w:rPr>
        <w:t xml:space="preserve"> al veintitrés de septiembre de dos mil veintidós</w:t>
      </w:r>
      <w:r w:rsidRPr="00AA699E">
        <w:rPr>
          <w:rFonts w:ascii="Palatino Linotype" w:hAnsi="Palatino Linotype" w:cs="Tahoma"/>
          <w:bCs/>
          <w:iCs/>
          <w:sz w:val="22"/>
          <w:szCs w:val="22"/>
        </w:rPr>
        <w:t>, para realizar la publicidad en lonas, carteles o cualquier otro medio, respecto a los descuentos y apoyos</w:t>
      </w:r>
      <w:r w:rsidRPr="00AA699E" w:rsidR="005F3461">
        <w:rPr>
          <w:rFonts w:ascii="Palatino Linotype" w:hAnsi="Palatino Linotype" w:cs="Tahoma"/>
          <w:bCs/>
          <w:iCs/>
          <w:sz w:val="22"/>
          <w:szCs w:val="22"/>
        </w:rPr>
        <w:t xml:space="preserve"> para el</w:t>
      </w:r>
      <w:r w:rsidRPr="00AA699E">
        <w:rPr>
          <w:rFonts w:ascii="Palatino Linotype" w:hAnsi="Palatino Linotype" w:cs="Tahoma"/>
          <w:bCs/>
          <w:iCs/>
          <w:sz w:val="22"/>
          <w:szCs w:val="22"/>
        </w:rPr>
        <w:t xml:space="preserve"> pago del impuesto predial y derechos de agua potable, drenaje, alcantarillado y recepción de los </w:t>
      </w:r>
      <w:r w:rsidRPr="00AA699E">
        <w:rPr>
          <w:rFonts w:ascii="Palatino Linotype" w:hAnsi="Palatino Linotype" w:cs="Tahoma"/>
          <w:bCs/>
          <w:iCs/>
          <w:sz w:val="22"/>
          <w:szCs w:val="22"/>
        </w:rPr>
        <w:lastRenderedPageBreak/>
        <w:t xml:space="preserve">caudales de aguas residuales para su tratamiento, durante los meses de septiembre y octubre del dos mil veintidós, derivados del  programa “Juntos por un Mejor Gobierno”. </w:t>
      </w:r>
    </w:p>
    <w:p w:rsidRPr="00AA699E" w:rsidR="001D0B1F" w:rsidP="001D0B1F" w:rsidRDefault="001D0B1F" w14:paraId="6BE58910" w14:textId="77777777">
      <w:pPr>
        <w:spacing w:line="360" w:lineRule="auto"/>
        <w:ind w:right="-28"/>
        <w:contextualSpacing/>
        <w:jc w:val="both"/>
        <w:rPr>
          <w:rFonts w:ascii="Palatino Linotype" w:hAnsi="Palatino Linotype" w:cs="Tahoma"/>
          <w:bCs/>
          <w:iCs/>
          <w:sz w:val="22"/>
          <w:szCs w:val="22"/>
        </w:rPr>
      </w:pPr>
    </w:p>
    <w:p w:rsidRPr="00AA699E" w:rsidR="001D0B1F" w:rsidP="001D0B1F" w:rsidRDefault="005F3461" w14:paraId="367EDF6F" w14:textId="76E1F36C">
      <w:pPr>
        <w:spacing w:line="360" w:lineRule="auto"/>
        <w:jc w:val="both"/>
        <w:rPr>
          <w:rFonts w:ascii="Palatino Linotype" w:hAnsi="Palatino Linotype" w:eastAsia="Calibri" w:cs="Tahoma"/>
          <w:bCs/>
          <w:color w:val="000000" w:themeColor="text1"/>
          <w:sz w:val="22"/>
          <w:szCs w:val="22"/>
          <w:lang w:eastAsia="en-US"/>
        </w:rPr>
      </w:pPr>
      <w:r w:rsidRPr="00AA699E">
        <w:rPr>
          <w:rFonts w:ascii="Palatino Linotype" w:hAnsi="Palatino Linotype" w:eastAsia="Calibri" w:cs="Tahoma"/>
          <w:bCs/>
          <w:color w:val="000000" w:themeColor="text1"/>
          <w:sz w:val="22"/>
          <w:szCs w:val="22"/>
          <w:lang w:eastAsia="en-US"/>
        </w:rPr>
        <w:t xml:space="preserve">Lo anterior, toma relevancia, pues conforme a los artículos 92, fracciones XXIX y XXXII, de la Ley de Transparencia y Acceso a la Información Pública del Estado de México y Municipios, los sujetos obligados deben de publicar los contratos derivados de los procedimiento de licitación pública, invitación restringida y adjudicación directa (incluidos los contratos pedido), así como, el monto </w:t>
      </w:r>
      <w:r w:rsidRPr="00AA699E" w:rsidR="00225E32">
        <w:rPr>
          <w:rFonts w:ascii="Palatino Linotype" w:hAnsi="Palatino Linotype" w:eastAsia="Calibri" w:cs="Tahoma"/>
          <w:bCs/>
          <w:color w:val="000000" w:themeColor="text1"/>
          <w:sz w:val="22"/>
          <w:szCs w:val="22"/>
          <w:lang w:eastAsia="en-US"/>
        </w:rPr>
        <w:t>y modificaciones.</w:t>
      </w:r>
    </w:p>
    <w:p w:rsidRPr="00AA699E" w:rsidR="00FF2D57" w:rsidP="00D37B22" w:rsidRDefault="00FF2D57" w14:paraId="13518EA5" w14:textId="77777777">
      <w:pPr>
        <w:spacing w:line="360" w:lineRule="auto"/>
        <w:ind w:right="-28"/>
        <w:contextualSpacing/>
        <w:jc w:val="both"/>
        <w:rPr>
          <w:rFonts w:ascii="Palatino Linotype" w:hAnsi="Palatino Linotype" w:cs="Tahoma"/>
          <w:bCs/>
          <w:iCs/>
          <w:sz w:val="22"/>
          <w:szCs w:val="22"/>
        </w:rPr>
      </w:pPr>
    </w:p>
    <w:p w:rsidRPr="00AA699E" w:rsidR="00D37B22" w:rsidP="00D37B22" w:rsidRDefault="00225E32" w14:paraId="4E1E1A41" w14:textId="21BA1EAC">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Además, es de señalar que los </w:t>
      </w:r>
      <w:r w:rsidRPr="00AA699E" w:rsidR="00D37B22">
        <w:rPr>
          <w:rFonts w:ascii="Palatino Linotype" w:hAnsi="Palatino Linotype" w:cs="Tahoma"/>
          <w:bCs/>
          <w:iCs/>
          <w:sz w:val="22"/>
          <w:szCs w:val="22"/>
        </w:rPr>
        <w:t>Sujetos Obligados deben generar pólizas contables que corresponden a un</w:t>
      </w:r>
      <w:r w:rsidRPr="00AA699E" w:rsidR="006D624E">
        <w:rPr>
          <w:rFonts w:ascii="Palatino Linotype" w:hAnsi="Palatino Linotype" w:cs="Tahoma"/>
          <w:bCs/>
          <w:iCs/>
          <w:sz w:val="22"/>
          <w:szCs w:val="22"/>
        </w:rPr>
        <w:t xml:space="preserve"> </w:t>
      </w:r>
      <w:r w:rsidRPr="00AA699E" w:rsidR="00D37B22">
        <w:rPr>
          <w:rFonts w:ascii="Palatino Linotype" w:hAnsi="Palatino Linotype" w:cs="Tahoma"/>
          <w:bCs/>
          <w:iCs/>
          <w:sz w:val="22"/>
          <w:szCs w:val="22"/>
        </w:rPr>
        <w:t>documento en el que se asientan las operaciones desarrolladas, por el municipio y toda la</w:t>
      </w:r>
      <w:r w:rsidRPr="00AA699E" w:rsidR="006D624E">
        <w:rPr>
          <w:rFonts w:ascii="Palatino Linotype" w:hAnsi="Palatino Linotype" w:cs="Tahoma"/>
          <w:bCs/>
          <w:iCs/>
          <w:sz w:val="22"/>
          <w:szCs w:val="22"/>
        </w:rPr>
        <w:t xml:space="preserve"> </w:t>
      </w:r>
      <w:r w:rsidRPr="00AA699E" w:rsidR="00D37B22">
        <w:rPr>
          <w:rFonts w:ascii="Palatino Linotype" w:hAnsi="Palatino Linotype" w:cs="Tahoma"/>
          <w:bCs/>
          <w:iCs/>
          <w:sz w:val="22"/>
          <w:szCs w:val="22"/>
        </w:rPr>
        <w:t>información necesaria para su identificación, de conformidad con la Guía Técnica 8 “La</w:t>
      </w:r>
      <w:r w:rsidRPr="00AA699E" w:rsidR="006D624E">
        <w:rPr>
          <w:rFonts w:ascii="Palatino Linotype" w:hAnsi="Palatino Linotype" w:cs="Tahoma"/>
          <w:bCs/>
          <w:iCs/>
          <w:sz w:val="22"/>
          <w:szCs w:val="22"/>
        </w:rPr>
        <w:t xml:space="preserve"> </w:t>
      </w:r>
      <w:r w:rsidRPr="00AA699E" w:rsidR="00D37B22">
        <w:rPr>
          <w:rFonts w:ascii="Palatino Linotype" w:hAnsi="Palatino Linotype" w:cs="Tahoma"/>
          <w:bCs/>
          <w:iCs/>
          <w:sz w:val="22"/>
          <w:szCs w:val="22"/>
        </w:rPr>
        <w:t>Contabilidad y la Cuenta Pública Municipal”; además, dichas pólizas se dividen en las</w:t>
      </w:r>
      <w:r w:rsidRPr="00AA699E" w:rsidR="006D624E">
        <w:rPr>
          <w:rFonts w:ascii="Palatino Linotype" w:hAnsi="Palatino Linotype" w:cs="Tahoma"/>
          <w:bCs/>
          <w:iCs/>
          <w:sz w:val="22"/>
          <w:szCs w:val="22"/>
        </w:rPr>
        <w:t xml:space="preserve"> </w:t>
      </w:r>
      <w:r w:rsidRPr="00AA699E" w:rsidR="00D37B22">
        <w:rPr>
          <w:rFonts w:ascii="Palatino Linotype" w:hAnsi="Palatino Linotype" w:cs="Tahoma"/>
          <w:bCs/>
          <w:iCs/>
          <w:sz w:val="22"/>
          <w:szCs w:val="22"/>
        </w:rPr>
        <w:t>siguientes:</w:t>
      </w:r>
      <w:r w:rsidRPr="00AA699E" w:rsidR="00D37B22">
        <w:rPr>
          <w:rFonts w:ascii="Palatino Linotype" w:hAnsi="Palatino Linotype" w:cs="Tahoma"/>
          <w:bCs/>
          <w:iCs/>
          <w:sz w:val="22"/>
          <w:szCs w:val="22"/>
        </w:rPr>
        <w:cr/>
      </w:r>
    </w:p>
    <w:p w:rsidRPr="00AA699E" w:rsidR="006D624E" w:rsidP="006D624E" w:rsidRDefault="006D624E" w14:paraId="68E8FE3D" w14:textId="41DEC9CB">
      <w:pPr>
        <w:pStyle w:val="Prrafodelista"/>
        <w:numPr>
          <w:ilvl w:val="0"/>
          <w:numId w:val="49"/>
        </w:numPr>
        <w:spacing w:line="360" w:lineRule="auto"/>
        <w:ind w:right="-28"/>
        <w:jc w:val="both"/>
        <w:rPr>
          <w:rFonts w:ascii="Palatino Linotype" w:hAnsi="Palatino Linotype" w:cs="Tahoma"/>
          <w:bCs/>
          <w:iCs/>
          <w:szCs w:val="22"/>
        </w:rPr>
      </w:pPr>
      <w:r w:rsidRPr="00AA699E">
        <w:rPr>
          <w:rFonts w:ascii="Palatino Linotype" w:hAnsi="Palatino Linotype" w:cs="Tahoma"/>
          <w:b/>
          <w:iCs/>
          <w:szCs w:val="22"/>
        </w:rPr>
        <w:t>Póliza de Egresos:</w:t>
      </w:r>
      <w:r w:rsidRPr="00AA699E">
        <w:rPr>
          <w:rFonts w:ascii="Palatino Linotype" w:hAnsi="Palatino Linotype" w:cs="Tahoma"/>
          <w:bCs/>
          <w:iCs/>
          <w:szCs w:val="22"/>
        </w:rPr>
        <w:t xml:space="preserve"> Corresponde a aquella donde se anotan las operaciones que implique egresos, es decir, la salida de dinero, en efectivo o transferencia, para el municipio.</w:t>
      </w:r>
    </w:p>
    <w:p w:rsidRPr="00AA699E" w:rsidR="00225E32" w:rsidP="00225E32" w:rsidRDefault="00225E32" w14:paraId="7C377D2E" w14:textId="77777777">
      <w:pPr>
        <w:pStyle w:val="Prrafodelista"/>
        <w:spacing w:line="360" w:lineRule="auto"/>
        <w:ind w:right="-28"/>
        <w:jc w:val="both"/>
        <w:rPr>
          <w:rFonts w:ascii="Palatino Linotype" w:hAnsi="Palatino Linotype" w:cs="Tahoma"/>
          <w:bCs/>
          <w:iCs/>
          <w:szCs w:val="22"/>
        </w:rPr>
      </w:pPr>
    </w:p>
    <w:p w:rsidRPr="00AA699E" w:rsidR="006D624E" w:rsidP="006D624E" w:rsidRDefault="006D624E" w14:paraId="1B4A5921" w14:textId="7D6BC8C8">
      <w:pPr>
        <w:pStyle w:val="Prrafodelista"/>
        <w:numPr>
          <w:ilvl w:val="0"/>
          <w:numId w:val="49"/>
        </w:numPr>
        <w:spacing w:line="360" w:lineRule="auto"/>
        <w:ind w:right="-28"/>
        <w:jc w:val="both"/>
        <w:rPr>
          <w:rFonts w:ascii="Palatino Linotype" w:hAnsi="Palatino Linotype" w:cs="Tahoma"/>
          <w:bCs/>
          <w:iCs/>
          <w:szCs w:val="22"/>
        </w:rPr>
      </w:pPr>
      <w:r w:rsidRPr="00AA699E">
        <w:rPr>
          <w:rFonts w:ascii="Palatino Linotype" w:hAnsi="Palatino Linotype" w:cs="Tahoma"/>
          <w:b/>
          <w:iCs/>
          <w:szCs w:val="22"/>
        </w:rPr>
        <w:t>Póliza Cheque:</w:t>
      </w:r>
      <w:r w:rsidRPr="00AA699E">
        <w:rPr>
          <w:rFonts w:ascii="Palatino Linotype" w:hAnsi="Palatino Linotype" w:cs="Tahoma"/>
          <w:bCs/>
          <w:iCs/>
          <w:szCs w:val="22"/>
        </w:rPr>
        <w:t xml:space="preserve"> Es la que se elabora cuando la operación implique una salida de dinero del municipio, a través de un cheque.</w:t>
      </w:r>
    </w:p>
    <w:p w:rsidRPr="00AA699E" w:rsidR="006D624E" w:rsidP="006D624E" w:rsidRDefault="006D624E" w14:paraId="2B02A97A" w14:textId="77777777">
      <w:pPr>
        <w:pStyle w:val="Prrafodelista"/>
        <w:spacing w:line="360" w:lineRule="auto"/>
        <w:ind w:right="-28"/>
        <w:jc w:val="both"/>
        <w:rPr>
          <w:rFonts w:ascii="Palatino Linotype" w:hAnsi="Palatino Linotype" w:cs="Tahoma"/>
          <w:bCs/>
          <w:iCs/>
          <w:szCs w:val="22"/>
        </w:rPr>
      </w:pPr>
    </w:p>
    <w:p w:rsidRPr="00AA699E" w:rsidR="006D624E" w:rsidP="006D624E" w:rsidRDefault="006D624E" w14:paraId="0E4A1046" w14:textId="77777777">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En ese orden de ideas, los Lineamientos para la Integración y Entrega del Informe Trimestral</w:t>
      </w:r>
    </w:p>
    <w:p w:rsidRPr="00AA699E" w:rsidR="006D624E" w:rsidP="006D624E" w:rsidRDefault="006D624E" w14:paraId="2D2042EE" w14:textId="61A62DA7">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t xml:space="preserve">Municipal, dos mil veintidós, entre los formatos que maneja en el </w:t>
      </w:r>
      <w:r w:rsidRPr="00AA699E">
        <w:rPr>
          <w:rFonts w:ascii="Palatino Linotype" w:hAnsi="Palatino Linotype" w:cs="Tahoma"/>
          <w:b/>
          <w:iCs/>
          <w:sz w:val="22"/>
          <w:szCs w:val="22"/>
        </w:rPr>
        <w:t>Módulo 1</w:t>
      </w:r>
      <w:r w:rsidRPr="00AA699E">
        <w:rPr>
          <w:rFonts w:ascii="Palatino Linotype" w:hAnsi="Palatino Linotype" w:cs="Tahoma"/>
          <w:bCs/>
          <w:iCs/>
          <w:sz w:val="22"/>
          <w:szCs w:val="22"/>
        </w:rPr>
        <w:t>, se advierte que se encuentran Póliza de Egresos y Póliza Cheque, con los documentos comprobatorios, mismos que serán entregados al Órgano Superior de Fiscalización del Estado de México.</w:t>
      </w:r>
    </w:p>
    <w:p w:rsidRPr="00AA699E" w:rsidR="006D624E" w:rsidP="006D624E" w:rsidRDefault="006D624E" w14:paraId="3F325561" w14:textId="77777777">
      <w:pPr>
        <w:spacing w:line="360" w:lineRule="auto"/>
        <w:ind w:right="-28"/>
        <w:contextualSpacing/>
        <w:jc w:val="both"/>
        <w:rPr>
          <w:rFonts w:ascii="Palatino Linotype" w:hAnsi="Palatino Linotype" w:cs="Tahoma"/>
          <w:bCs/>
          <w:iCs/>
          <w:sz w:val="22"/>
          <w:szCs w:val="22"/>
        </w:rPr>
      </w:pPr>
    </w:p>
    <w:p w:rsidRPr="00AA699E" w:rsidR="006D624E" w:rsidP="006D624E" w:rsidRDefault="006D624E" w14:paraId="779E02CA" w14:textId="30568BFA">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cs="Tahoma"/>
          <w:bCs/>
          <w:iCs/>
          <w:sz w:val="22"/>
          <w:szCs w:val="22"/>
        </w:rPr>
        <w:lastRenderedPageBreak/>
        <w:t xml:space="preserve">Además, en el apartado de </w:t>
      </w:r>
      <w:r w:rsidRPr="00AA699E">
        <w:rPr>
          <w:rFonts w:ascii="Palatino Linotype" w:hAnsi="Palatino Linotype" w:cs="Tahoma"/>
          <w:b/>
          <w:iCs/>
          <w:sz w:val="22"/>
          <w:szCs w:val="22"/>
        </w:rPr>
        <w:t>“Aspectos a tomar en cuenta para la integración de las Pólizas contables y documentación comprobatoria”</w:t>
      </w:r>
      <w:r w:rsidRPr="00AA699E">
        <w:rPr>
          <w:rFonts w:ascii="Palatino Linotype" w:hAnsi="Palatino Linotype" w:cs="Tahoma"/>
          <w:bCs/>
          <w:iCs/>
          <w:sz w:val="22"/>
          <w:szCs w:val="22"/>
        </w:rPr>
        <w:t>, se precisa que dichos documentos deberán contener las imágenes de la documentación comprobatoria y justificativa de los egresos y de las respectivas pólizas, de la entidad.</w:t>
      </w:r>
    </w:p>
    <w:p w:rsidRPr="00AA699E" w:rsidR="006D624E" w:rsidP="006D624E" w:rsidRDefault="006D624E" w14:paraId="39088D46" w14:textId="77777777">
      <w:pPr>
        <w:spacing w:line="360" w:lineRule="auto"/>
        <w:ind w:right="-28"/>
        <w:contextualSpacing/>
        <w:jc w:val="both"/>
        <w:rPr>
          <w:rFonts w:ascii="Palatino Linotype" w:hAnsi="Palatino Linotype" w:cs="Tahoma"/>
          <w:bCs/>
          <w:iCs/>
          <w:sz w:val="22"/>
          <w:szCs w:val="22"/>
        </w:rPr>
      </w:pPr>
    </w:p>
    <w:p w:rsidRPr="00AA699E" w:rsidR="008959FD" w:rsidP="008959FD" w:rsidRDefault="00225E32" w14:paraId="168AA7BA" w14:textId="209177EF">
      <w:pPr>
        <w:spacing w:line="360" w:lineRule="auto"/>
        <w:jc w:val="both"/>
        <w:rPr>
          <w:rFonts w:ascii="Palatino Linotype" w:hAnsi="Palatino Linotype" w:eastAsia="Calibri" w:cs="Tahoma"/>
          <w:bCs/>
          <w:iCs/>
          <w:color w:val="000000" w:themeColor="text1"/>
          <w:sz w:val="22"/>
          <w:szCs w:val="22"/>
          <w:lang w:eastAsia="en-US"/>
        </w:rPr>
      </w:pPr>
      <w:r w:rsidRPr="00AA699E">
        <w:rPr>
          <w:rFonts w:ascii="Palatino Linotype" w:hAnsi="Palatino Linotype" w:eastAsia="Calibri" w:cs="Tahoma"/>
          <w:bCs/>
          <w:iCs/>
          <w:color w:val="000000"/>
          <w:sz w:val="22"/>
          <w:szCs w:val="24"/>
          <w:lang w:eastAsia="es-MX"/>
        </w:rPr>
        <w:t>Por tales consideraciones, se considera que el Sujeto Obligado debe contar con documentos en sus archivos que den cuenta de lo solicitado, por lo que, en el presente caso, deberá proporcionar aquellos donde conste el gasto realizado o comprometido, entre los cuales, se encuentra el Contrato realizado o las pólizas contables, los cuales se establecen de manera enunciativa, más no limitativa;</w:t>
      </w:r>
      <w:r w:rsidRPr="00AA699E" w:rsidR="00283363">
        <w:rPr>
          <w:rFonts w:ascii="Palatino Linotype" w:hAnsi="Palatino Linotype" w:eastAsia="Calibri" w:cs="Tahoma"/>
          <w:color w:val="000000" w:themeColor="text1"/>
          <w:sz w:val="22"/>
          <w:szCs w:val="22"/>
          <w:lang w:eastAsia="en-US"/>
        </w:rPr>
        <w:t xml:space="preserve"> </w:t>
      </w:r>
      <w:r w:rsidRPr="00AA699E" w:rsidR="008959FD">
        <w:rPr>
          <w:rFonts w:ascii="Palatino Linotype" w:hAnsi="Palatino Linotype" w:eastAsia="Calibri" w:cs="Tahoma"/>
          <w:color w:val="000000" w:themeColor="text1"/>
          <w:sz w:val="22"/>
          <w:szCs w:val="22"/>
          <w:lang w:eastAsia="en-US"/>
        </w:rPr>
        <w:t>d</w:t>
      </w:r>
      <w:proofErr w:type="spellStart"/>
      <w:r w:rsidRPr="00AA699E" w:rsidR="008959FD">
        <w:rPr>
          <w:rFonts w:ascii="Palatino Linotype" w:hAnsi="Palatino Linotype" w:eastAsia="Calibri" w:cs="Tahoma"/>
          <w:bCs/>
          <w:iCs/>
          <w:color w:val="000000" w:themeColor="text1"/>
          <w:sz w:val="22"/>
          <w:szCs w:val="22"/>
          <w:lang w:val="es-ES" w:eastAsia="en-US"/>
        </w:rPr>
        <w:t>icha</w:t>
      </w:r>
      <w:proofErr w:type="spellEnd"/>
      <w:r w:rsidRPr="00AA699E" w:rsidR="008959FD">
        <w:rPr>
          <w:rFonts w:ascii="Palatino Linotype" w:hAnsi="Palatino Linotype" w:eastAsia="Calibri" w:cs="Tahoma"/>
          <w:bCs/>
          <w:iCs/>
          <w:color w:val="000000" w:themeColor="text1"/>
          <w:sz w:val="22"/>
          <w:szCs w:val="22"/>
          <w:lang w:val="es-ES" w:eastAsia="en-US"/>
        </w:rPr>
        <w:t xml:space="preserve"> determinación toma relevancia, pues </w:t>
      </w:r>
      <w:r w:rsidRPr="00AA699E" w:rsidR="008959FD">
        <w:rPr>
          <w:rFonts w:ascii="Palatino Linotype" w:hAnsi="Palatino Linotype" w:eastAsia="Calibri" w:cs="Tahoma"/>
          <w:bCs/>
          <w:iCs/>
          <w:color w:val="000000" w:themeColor="text1"/>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AA699E" w:rsidR="008959FD" w:rsidP="008959FD" w:rsidRDefault="008959FD" w14:paraId="6051489C" w14:textId="77777777">
      <w:pPr>
        <w:spacing w:line="360" w:lineRule="auto"/>
        <w:jc w:val="both"/>
        <w:rPr>
          <w:rFonts w:ascii="Palatino Linotype" w:hAnsi="Palatino Linotype" w:eastAsia="Calibri" w:cs="Tahoma"/>
          <w:bCs/>
          <w:color w:val="000000" w:themeColor="text1"/>
          <w:sz w:val="22"/>
          <w:szCs w:val="22"/>
          <w:lang w:eastAsia="en-US"/>
        </w:rPr>
      </w:pPr>
    </w:p>
    <w:p w:rsidRPr="00AA699E" w:rsidR="008959FD" w:rsidP="008959FD" w:rsidRDefault="008959FD" w14:paraId="295B71CC" w14:textId="77777777">
      <w:pPr>
        <w:spacing w:line="360" w:lineRule="auto"/>
        <w:jc w:val="both"/>
        <w:rPr>
          <w:rFonts w:ascii="Palatino Linotype" w:hAnsi="Palatino Linotype" w:eastAsia="Calibri" w:cs="Tahoma"/>
          <w:color w:val="000000" w:themeColor="text1"/>
          <w:sz w:val="22"/>
          <w:szCs w:val="24"/>
          <w:lang w:val="es-ES" w:eastAsia="en-US"/>
        </w:rPr>
      </w:pPr>
      <w:r w:rsidRPr="00AA699E">
        <w:rPr>
          <w:rFonts w:ascii="Palatino Linotype" w:hAnsi="Palatino Linotype" w:eastAsia="Calibri" w:cs="Tahoma"/>
          <w:color w:val="000000" w:themeColor="text1"/>
          <w:sz w:val="22"/>
          <w:szCs w:val="24"/>
          <w:lang w:val="es-ES" w:eastAsia="en-U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AA699E" w:rsidR="008959FD" w:rsidP="008959FD" w:rsidRDefault="008959FD" w14:paraId="342972E1" w14:textId="77777777">
      <w:pPr>
        <w:spacing w:line="360" w:lineRule="auto"/>
        <w:jc w:val="both"/>
        <w:rPr>
          <w:rFonts w:ascii="Palatino Linotype" w:hAnsi="Palatino Linotype" w:eastAsia="Calibri" w:cs="Tahoma"/>
          <w:i/>
          <w:iCs/>
          <w:color w:val="000000" w:themeColor="text1"/>
          <w:sz w:val="22"/>
          <w:szCs w:val="22"/>
          <w:lang w:val="es-ES" w:eastAsia="en-US"/>
        </w:rPr>
      </w:pPr>
    </w:p>
    <w:p w:rsidRPr="00AA699E" w:rsidR="008959FD" w:rsidP="008959FD" w:rsidRDefault="008959FD" w14:paraId="3528FE6D" w14:textId="4A3435C6">
      <w:pPr>
        <w:spacing w:line="360" w:lineRule="auto"/>
        <w:jc w:val="both"/>
        <w:rPr>
          <w:rFonts w:ascii="Palatino Linotype" w:hAnsi="Palatino Linotype" w:eastAsia="Calibri" w:cs="Tahoma"/>
          <w:color w:val="000000" w:themeColor="text1"/>
          <w:sz w:val="22"/>
          <w:szCs w:val="24"/>
          <w:lang w:val="es-ES" w:eastAsia="en-US"/>
        </w:rPr>
      </w:pPr>
      <w:r w:rsidRPr="00AA699E">
        <w:rPr>
          <w:rFonts w:ascii="Palatino Linotype" w:hAnsi="Palatino Linotype" w:eastAsia="Calibri" w:cs="Tahoma"/>
          <w:color w:val="000000" w:themeColor="text1"/>
          <w:sz w:val="22"/>
          <w:szCs w:val="24"/>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AA699E">
        <w:rPr>
          <w:rFonts w:ascii="Palatino Linotype" w:hAnsi="Palatino Linotype" w:eastAsia="Calibri" w:cs="Tahoma"/>
          <w:color w:val="000000" w:themeColor="text1"/>
          <w:sz w:val="22"/>
          <w:szCs w:val="24"/>
          <w:lang w:val="es-ES" w:eastAsia="en-US"/>
        </w:rPr>
        <w:lastRenderedPageBreak/>
        <w:t>que, en el presente caso, deberán entregar la expresión documental que contenga los dato</w:t>
      </w:r>
      <w:r w:rsidRPr="00AA699E" w:rsidR="00283363">
        <w:rPr>
          <w:rFonts w:ascii="Palatino Linotype" w:hAnsi="Palatino Linotype" w:eastAsia="Calibri" w:cs="Tahoma"/>
          <w:color w:val="000000" w:themeColor="text1"/>
          <w:sz w:val="22"/>
          <w:szCs w:val="24"/>
          <w:lang w:val="es-ES" w:eastAsia="en-US"/>
        </w:rPr>
        <w:t>s solicitados</w:t>
      </w:r>
      <w:r w:rsidRPr="00AA699E">
        <w:rPr>
          <w:rFonts w:ascii="Palatino Linotype" w:hAnsi="Palatino Linotype" w:eastAsia="Calibri" w:cs="Tahoma"/>
          <w:color w:val="000000" w:themeColor="text1"/>
          <w:sz w:val="22"/>
          <w:szCs w:val="24"/>
          <w:lang w:val="es-ES" w:eastAsia="en-US"/>
        </w:rPr>
        <w:t>.</w:t>
      </w:r>
    </w:p>
    <w:p w:rsidRPr="00AA699E" w:rsidR="00225E32" w:rsidP="008959FD" w:rsidRDefault="00225E32" w14:paraId="1AE20401" w14:textId="77777777">
      <w:pPr>
        <w:spacing w:line="360" w:lineRule="auto"/>
        <w:jc w:val="both"/>
        <w:rPr>
          <w:rFonts w:ascii="Palatino Linotype" w:hAnsi="Palatino Linotype" w:eastAsia="Calibri" w:cs="Tahoma"/>
          <w:color w:val="000000" w:themeColor="text1"/>
          <w:sz w:val="22"/>
          <w:szCs w:val="24"/>
          <w:lang w:val="es-ES" w:eastAsia="en-US"/>
        </w:rPr>
      </w:pPr>
    </w:p>
    <w:p w:rsidRPr="00AA699E" w:rsidR="00225E32" w:rsidP="004233D4" w:rsidRDefault="00225E32" w14:paraId="6BC06584" w14:textId="627AF81C">
      <w:pPr>
        <w:spacing w:line="360" w:lineRule="auto"/>
        <w:jc w:val="both"/>
        <w:rPr>
          <w:rFonts w:ascii="Palatino Linotype" w:hAnsi="Palatino Linotype" w:eastAsia="Calibri" w:cs="Tahoma"/>
          <w:color w:val="000000" w:themeColor="text1"/>
          <w:sz w:val="22"/>
          <w:szCs w:val="24"/>
          <w:lang w:eastAsia="en-US"/>
        </w:rPr>
      </w:pPr>
      <w:r w:rsidRPr="00AA699E">
        <w:rPr>
          <w:rFonts w:ascii="Palatino Linotype" w:hAnsi="Palatino Linotype" w:eastAsia="Calibri" w:cs="Tahoma"/>
          <w:color w:val="000000" w:themeColor="text1"/>
          <w:sz w:val="22"/>
          <w:szCs w:val="24"/>
          <w:lang w:val="es-ES" w:eastAsia="en-US"/>
        </w:rPr>
        <w:t xml:space="preserve">Ahora bien, es necesario precisar </w:t>
      </w:r>
      <w:r w:rsidRPr="00AA699E" w:rsidR="004233D4">
        <w:rPr>
          <w:rFonts w:ascii="Palatino Linotype" w:hAnsi="Palatino Linotype" w:eastAsia="Calibri" w:cs="Tahoma"/>
          <w:color w:val="000000" w:themeColor="text1"/>
          <w:sz w:val="22"/>
          <w:szCs w:val="24"/>
          <w:lang w:val="es-ES" w:eastAsia="en-US"/>
        </w:rPr>
        <w:t xml:space="preserve">que la revisión de la Vigésima Quinta Sesión Ordinaria de Cabildo, el apoyo del programa “Juntos por un Mejor Gobierno”, relacionado con los Derechos de Agua Potable, Drenaje, Alcantarillado y Recepción de los Caudales de Aguas Residuales para su Tratamiento, será brindado por el </w:t>
      </w:r>
      <w:r w:rsidRPr="00AA699E" w:rsidR="004233D4">
        <w:rPr>
          <w:rFonts w:ascii="Palatino Linotype" w:hAnsi="Palatino Linotype" w:eastAsia="Calibri" w:cs="Tahoma"/>
          <w:color w:val="000000" w:themeColor="text1"/>
          <w:sz w:val="22"/>
          <w:szCs w:val="24"/>
          <w:lang w:eastAsia="en-US"/>
        </w:rPr>
        <w:t xml:space="preserve">Organismo Público Descentralizado para la Prestación de los Servicios de Agua Potable, Alcantarillado y Saneamiento del Municipio de Tecámac, que conforme al Directorio de Sujetos Obligados publicado en la página oficial de este Instituto, es un Sujeto Obligado distinto al Ayuntamiento, tal como se muestra a continuación: </w:t>
      </w:r>
    </w:p>
    <w:p w:rsidRPr="00AA699E" w:rsidR="004233D4" w:rsidP="004233D4" w:rsidRDefault="004233D4" w14:paraId="41416CFA" w14:textId="77777777">
      <w:pPr>
        <w:spacing w:line="360" w:lineRule="auto"/>
        <w:jc w:val="both"/>
        <w:rPr>
          <w:rFonts w:ascii="Palatino Linotype" w:hAnsi="Palatino Linotype" w:eastAsia="Calibri" w:cs="Tahoma"/>
          <w:color w:val="000000" w:themeColor="text1"/>
          <w:sz w:val="22"/>
          <w:szCs w:val="24"/>
          <w:lang w:val="es-ES" w:eastAsia="en-US"/>
        </w:rPr>
      </w:pPr>
    </w:p>
    <w:p w:rsidRPr="00AA699E" w:rsidR="004233D4" w:rsidP="004233D4" w:rsidRDefault="004233D4" w14:paraId="0D475409" w14:textId="37FFD267">
      <w:pPr>
        <w:spacing w:line="360" w:lineRule="auto"/>
        <w:jc w:val="both"/>
        <w:rPr>
          <w:rFonts w:ascii="Palatino Linotype" w:hAnsi="Palatino Linotype" w:eastAsia="Calibri" w:cs="Tahoma"/>
          <w:color w:val="000000" w:themeColor="text1"/>
          <w:sz w:val="22"/>
          <w:szCs w:val="24"/>
          <w:lang w:val="es-ES" w:eastAsia="en-US"/>
        </w:rPr>
      </w:pPr>
      <w:r w:rsidRPr="00AA699E">
        <w:rPr>
          <w:rFonts w:ascii="Palatino Linotype" w:hAnsi="Palatino Linotype" w:eastAsia="Calibri" w:cs="Tahoma"/>
          <w:noProof/>
          <w:color w:val="000000" w:themeColor="text1"/>
          <w:sz w:val="22"/>
          <w:szCs w:val="24"/>
          <w:lang w:eastAsia="es-MX"/>
        </w:rPr>
        <w:drawing>
          <wp:inline distT="0" distB="0" distL="0" distR="0" wp14:anchorId="6C377A01" wp14:editId="43BDFC1F">
            <wp:extent cx="5742940" cy="1031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031875"/>
                    </a:xfrm>
                    <a:prstGeom prst="rect">
                      <a:avLst/>
                    </a:prstGeom>
                  </pic:spPr>
                </pic:pic>
              </a:graphicData>
            </a:graphic>
          </wp:inline>
        </w:drawing>
      </w:r>
    </w:p>
    <w:p w:rsidRPr="00AA699E" w:rsidR="004233D4" w:rsidP="004233D4" w:rsidRDefault="004233D4" w14:paraId="6A7DFDE9" w14:textId="1020CB8A">
      <w:pPr>
        <w:spacing w:line="360" w:lineRule="auto"/>
        <w:jc w:val="center"/>
        <w:rPr>
          <w:rFonts w:ascii="Palatino Linotype" w:hAnsi="Palatino Linotype" w:eastAsia="Calibri" w:cs="Tahoma"/>
          <w:color w:val="000000" w:themeColor="text1"/>
          <w:sz w:val="22"/>
          <w:szCs w:val="24"/>
          <w:lang w:val="es-ES" w:eastAsia="en-US"/>
        </w:rPr>
      </w:pPr>
      <w:r w:rsidRPr="00AA699E">
        <w:rPr>
          <w:rFonts w:ascii="Palatino Linotype" w:hAnsi="Palatino Linotype" w:eastAsia="Calibri" w:cs="Tahoma"/>
          <w:color w:val="000000" w:themeColor="text1"/>
          <w:sz w:val="22"/>
          <w:szCs w:val="24"/>
          <w:lang w:val="es-ES" w:eastAsia="en-US"/>
        </w:rPr>
        <w:t>…</w:t>
      </w:r>
    </w:p>
    <w:p w:rsidRPr="00AA699E" w:rsidR="004233D4" w:rsidP="006B70AE" w:rsidRDefault="006B70AE" w14:paraId="552D1DD6" w14:textId="5A9CF800">
      <w:pPr>
        <w:spacing w:line="360" w:lineRule="auto"/>
        <w:jc w:val="both"/>
        <w:rPr>
          <w:rFonts w:ascii="Palatino Linotype" w:hAnsi="Palatino Linotype" w:eastAsia="Calibri" w:cs="Tahoma"/>
          <w:color w:val="000000" w:themeColor="text1"/>
          <w:sz w:val="22"/>
          <w:szCs w:val="24"/>
          <w:lang w:val="es-ES" w:eastAsia="en-US"/>
        </w:rPr>
      </w:pPr>
      <w:r w:rsidRPr="00AA699E">
        <w:rPr>
          <w:rFonts w:ascii="Palatino Linotype" w:hAnsi="Palatino Linotype" w:eastAsia="Calibri" w:cs="Tahoma"/>
          <w:noProof/>
          <w:color w:val="000000" w:themeColor="text1"/>
          <w:sz w:val="22"/>
          <w:szCs w:val="24"/>
          <w:lang w:eastAsia="es-MX"/>
        </w:rPr>
        <w:drawing>
          <wp:inline distT="0" distB="0" distL="0" distR="0" wp14:anchorId="52E30D69" wp14:editId="7081B7E2">
            <wp:extent cx="5742940" cy="14979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97965"/>
                    </a:xfrm>
                    <a:prstGeom prst="rect">
                      <a:avLst/>
                    </a:prstGeom>
                  </pic:spPr>
                </pic:pic>
              </a:graphicData>
            </a:graphic>
          </wp:inline>
        </w:drawing>
      </w:r>
    </w:p>
    <w:p w:rsidRPr="00AA699E" w:rsidR="006B70AE" w:rsidP="008959FD" w:rsidRDefault="006B70AE" w14:paraId="3DD46815" w14:textId="77777777">
      <w:pPr>
        <w:spacing w:line="360" w:lineRule="auto"/>
        <w:jc w:val="both"/>
        <w:rPr>
          <w:rFonts w:ascii="Palatino Linotype" w:hAnsi="Palatino Linotype" w:eastAsia="Calibri" w:cs="Tahoma"/>
          <w:color w:val="000000" w:themeColor="text1"/>
          <w:sz w:val="22"/>
          <w:szCs w:val="24"/>
          <w:lang w:val="es-ES" w:eastAsia="en-US"/>
        </w:rPr>
      </w:pPr>
    </w:p>
    <w:p w:rsidRPr="00AA699E" w:rsidR="006B70AE" w:rsidP="006B70AE" w:rsidRDefault="006B70AE" w14:paraId="6806573F" w14:textId="118A6DA5">
      <w:pPr>
        <w:spacing w:line="360" w:lineRule="auto"/>
        <w:ind w:right="-28"/>
        <w:contextualSpacing/>
        <w:jc w:val="both"/>
        <w:rPr>
          <w:rFonts w:ascii="Palatino Linotype" w:hAnsi="Palatino Linotype" w:cs="Tahoma"/>
          <w:bCs/>
          <w:iCs/>
          <w:sz w:val="22"/>
          <w:szCs w:val="22"/>
        </w:rPr>
      </w:pPr>
      <w:r w:rsidRPr="00AA699E">
        <w:rPr>
          <w:rFonts w:ascii="Palatino Linotype" w:hAnsi="Palatino Linotype" w:eastAsia="Calibri" w:cs="Tahoma"/>
          <w:color w:val="000000" w:themeColor="text1"/>
          <w:sz w:val="22"/>
          <w:szCs w:val="24"/>
          <w:lang w:val="es-ES" w:eastAsia="en-US"/>
        </w:rPr>
        <w:t xml:space="preserve">Por lo que, para el caso de que el Ayuntamiento no haya realizado publicidad </w:t>
      </w:r>
      <w:r w:rsidRPr="00AA699E">
        <w:rPr>
          <w:rFonts w:ascii="Palatino Linotype" w:hAnsi="Palatino Linotype" w:cs="Tahoma"/>
          <w:bCs/>
          <w:iCs/>
          <w:sz w:val="22"/>
          <w:szCs w:val="22"/>
        </w:rPr>
        <w:t xml:space="preserve">respecto a los descuentos y apoyos para el pago de derechos de agua potable, drenaje, alcantarillado y recepción de los caudales de aguas residuales para su tratamiento, durante los meses de septiembre y octubre del dos mil veintidós, derivados del  programa “Juntos por un Mejor </w:t>
      </w:r>
      <w:r w:rsidRPr="00AA699E">
        <w:rPr>
          <w:rFonts w:ascii="Palatino Linotype" w:hAnsi="Palatino Linotype" w:cs="Tahoma"/>
          <w:bCs/>
          <w:iCs/>
          <w:sz w:val="22"/>
          <w:szCs w:val="22"/>
        </w:rPr>
        <w:lastRenderedPageBreak/>
        <w:t>Gobierno”, deberá hacerlo del conocimiento del Recurrente, de manera clara y precisa, en términos del artículo 19, párrafo segundo, de la Ley de la materia.</w:t>
      </w:r>
    </w:p>
    <w:p w:rsidRPr="00AA699E" w:rsidR="006B70AE" w:rsidP="008959FD" w:rsidRDefault="006B70AE" w14:paraId="124EDF5D" w14:textId="77777777">
      <w:pPr>
        <w:spacing w:line="360" w:lineRule="auto"/>
        <w:jc w:val="both"/>
        <w:rPr>
          <w:rFonts w:ascii="Palatino Linotype" w:hAnsi="Palatino Linotype" w:eastAsia="Calibri" w:cs="Tahoma"/>
          <w:color w:val="000000" w:themeColor="text1"/>
          <w:sz w:val="22"/>
          <w:szCs w:val="24"/>
          <w:lang w:val="es-ES" w:eastAsia="en-US"/>
        </w:rPr>
      </w:pPr>
    </w:p>
    <w:p w:rsidRPr="00AA699E" w:rsidR="00C307D2" w:rsidP="00C307D2" w:rsidRDefault="008959FD" w14:paraId="2E968309" w14:textId="77777777">
      <w:pPr>
        <w:spacing w:line="360" w:lineRule="auto"/>
        <w:jc w:val="both"/>
        <w:rPr>
          <w:rFonts w:ascii="Palatino Linotype" w:hAnsi="Palatino Linotype" w:eastAsia="Calibri" w:cs="Tahoma"/>
          <w:bCs/>
          <w:iCs/>
          <w:color w:val="000000"/>
          <w:sz w:val="22"/>
          <w:szCs w:val="22"/>
          <w:lang w:val="es-ES" w:eastAsia="en-US"/>
        </w:rPr>
      </w:pPr>
      <w:r w:rsidRPr="00AA699E">
        <w:rPr>
          <w:rFonts w:ascii="Palatino Linotype" w:hAnsi="Palatino Linotype" w:cs="Tahoma"/>
          <w:sz w:val="22"/>
          <w:szCs w:val="24"/>
          <w:lang w:val="es-ES"/>
        </w:rPr>
        <w:t xml:space="preserve">Ahora bien, no </w:t>
      </w:r>
      <w:r w:rsidRPr="00AA699E">
        <w:rPr>
          <w:rFonts w:ascii="Palatino Linotype" w:hAnsi="Palatino Linotype" w:eastAsia="Calibri" w:cs="Tahoma"/>
          <w:bCs/>
          <w:iCs/>
          <w:color w:val="000000"/>
          <w:sz w:val="22"/>
          <w:szCs w:val="22"/>
          <w:lang w:val="es-ES_tradnl" w:eastAsia="en-US"/>
        </w:rPr>
        <w:t>pasa desapercibido para este Instituto que los documentos que den cuenta de lo solicitado, pudieran contener datos o información clasificada; por lo que, en el supuesto, deberá elaborar la versión pública respectiva; a</w:t>
      </w:r>
      <w:r w:rsidRPr="00AA699E">
        <w:rPr>
          <w:rFonts w:ascii="Palatino Linotype" w:hAnsi="Palatino Linotype" w:eastAsia="Calibri"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A699E" w:rsidR="00C307D2" w:rsidP="00C307D2" w:rsidRDefault="00C307D2" w14:paraId="1088D894" w14:textId="77777777">
      <w:pPr>
        <w:spacing w:line="360" w:lineRule="auto"/>
        <w:jc w:val="both"/>
        <w:rPr>
          <w:rFonts w:ascii="Palatino Linotype" w:hAnsi="Palatino Linotype" w:eastAsia="Calibri" w:cs="Tahoma"/>
          <w:bCs/>
          <w:iCs/>
          <w:color w:val="000000"/>
          <w:sz w:val="22"/>
          <w:szCs w:val="22"/>
          <w:lang w:val="es-ES" w:eastAsia="en-US"/>
        </w:rPr>
      </w:pPr>
    </w:p>
    <w:p w:rsidRPr="00AA699E" w:rsidR="0045563D" w:rsidP="00C307D2" w:rsidRDefault="008959FD" w14:paraId="71C119A1" w14:textId="7A4DAA3D">
      <w:pPr>
        <w:spacing w:line="360" w:lineRule="auto"/>
        <w:jc w:val="both"/>
        <w:rPr>
          <w:rFonts w:ascii="Palatino Linotype" w:hAnsi="Palatino Linotype" w:eastAsia="Calibri" w:cs="Tahoma"/>
          <w:bCs/>
          <w:iCs/>
          <w:color w:val="000000"/>
          <w:sz w:val="22"/>
          <w:szCs w:val="22"/>
          <w:lang w:val="es-ES" w:eastAsia="en-US"/>
        </w:rPr>
      </w:pPr>
      <w:r w:rsidRPr="00AA699E">
        <w:rPr>
          <w:rFonts w:ascii="Palatino Linotype" w:hAnsi="Palatino Linotype" w:eastAsia="Calibri"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AA699E" w:rsidR="0050715D" w:rsidP="009245F5" w:rsidRDefault="0050715D" w14:paraId="3719CABE" w14:textId="77777777">
      <w:pPr>
        <w:spacing w:line="360" w:lineRule="auto"/>
        <w:ind w:right="-28"/>
        <w:contextualSpacing/>
        <w:jc w:val="both"/>
        <w:rPr>
          <w:rFonts w:ascii="Palatino Linotype" w:hAnsi="Palatino Linotype" w:eastAsia="Calibri" w:cs="Tahoma"/>
          <w:bCs/>
          <w:sz w:val="22"/>
          <w:szCs w:val="22"/>
          <w:lang w:eastAsia="en-US"/>
        </w:rPr>
      </w:pPr>
    </w:p>
    <w:p w:rsidRPr="00AA699E" w:rsidR="009245F5" w:rsidP="009245F5" w:rsidRDefault="009245F5" w14:paraId="73AEA806" w14:textId="77777777">
      <w:pPr>
        <w:spacing w:line="360" w:lineRule="auto"/>
        <w:ind w:right="-28"/>
        <w:jc w:val="both"/>
        <w:rPr>
          <w:rFonts w:ascii="Palatino Linotype" w:hAnsi="Palatino Linotype" w:cs="Tahoma"/>
          <w:b/>
          <w:sz w:val="22"/>
          <w:szCs w:val="22"/>
        </w:rPr>
      </w:pPr>
      <w:r w:rsidRPr="00AA699E">
        <w:rPr>
          <w:rFonts w:ascii="Palatino Linotype" w:hAnsi="Palatino Linotype" w:cs="Tahoma"/>
          <w:b/>
          <w:sz w:val="22"/>
          <w:szCs w:val="22"/>
        </w:rPr>
        <w:t xml:space="preserve">SEXTO. Decisión. </w:t>
      </w:r>
    </w:p>
    <w:p w:rsidRPr="00AA699E" w:rsidR="009245F5" w:rsidP="009245F5" w:rsidRDefault="009245F5" w14:paraId="0E70E398" w14:textId="77777777">
      <w:pPr>
        <w:spacing w:line="360" w:lineRule="auto"/>
        <w:ind w:right="-28"/>
        <w:jc w:val="both"/>
        <w:rPr>
          <w:rFonts w:ascii="Palatino Linotype" w:hAnsi="Palatino Linotype" w:cs="Tahoma"/>
          <w:b/>
          <w:sz w:val="22"/>
          <w:szCs w:val="22"/>
        </w:rPr>
      </w:pPr>
    </w:p>
    <w:p w:rsidRPr="00AA699E" w:rsidR="006B70AE" w:rsidP="00225E32" w:rsidRDefault="009245F5" w14:paraId="069D1EEC" w14:textId="77777777">
      <w:pPr>
        <w:autoSpaceDE w:val="0"/>
        <w:autoSpaceDN w:val="0"/>
        <w:adjustRightInd w:val="0"/>
        <w:spacing w:line="360" w:lineRule="auto"/>
        <w:jc w:val="both"/>
        <w:rPr>
          <w:rFonts w:ascii="Palatino Linotype" w:hAnsi="Palatino Linotype" w:eastAsia="Calibri" w:cs="Tahoma"/>
          <w:bCs/>
          <w:sz w:val="22"/>
          <w:szCs w:val="22"/>
          <w:lang w:eastAsia="en-US"/>
        </w:rPr>
      </w:pPr>
      <w:r w:rsidRPr="00AA699E">
        <w:rPr>
          <w:rFonts w:ascii="Palatino Linotype" w:hAnsi="Palatino Linotype" w:eastAsia="Calibri" w:cs="Tahoma"/>
          <w:bCs/>
          <w:sz w:val="22"/>
          <w:szCs w:val="22"/>
          <w:lang w:eastAsia="en-US"/>
        </w:rPr>
        <w:t xml:space="preserve">Con fundamento en el artículo 186, fracción III, de la Ley de Transparencia y Acceso a la Información Pública del Estado de México y Municipios, este Instituto considera procedente </w:t>
      </w:r>
      <w:r w:rsidRPr="00AA699E">
        <w:rPr>
          <w:rFonts w:ascii="Palatino Linotype" w:hAnsi="Palatino Linotype" w:eastAsia="Calibri" w:cs="Tahoma"/>
          <w:b/>
          <w:bCs/>
          <w:sz w:val="22"/>
          <w:szCs w:val="22"/>
          <w:lang w:eastAsia="en-US"/>
        </w:rPr>
        <w:t xml:space="preserve">REVOCAR </w:t>
      </w:r>
      <w:r w:rsidRPr="00AA699E">
        <w:rPr>
          <w:rFonts w:ascii="Palatino Linotype" w:hAnsi="Palatino Linotype" w:eastAsia="Calibri" w:cs="Tahoma"/>
          <w:bCs/>
          <w:sz w:val="22"/>
          <w:szCs w:val="22"/>
          <w:lang w:eastAsia="en-US"/>
        </w:rPr>
        <w:t xml:space="preserve">la respuesta otorgada a la solicitud de información </w:t>
      </w:r>
      <w:r w:rsidRPr="00AA699E" w:rsidR="00C307D2">
        <w:rPr>
          <w:rFonts w:ascii="Palatino Linotype" w:hAnsi="Palatino Linotype" w:eastAsia="Calibri" w:cs="Tahoma"/>
          <w:bCs/>
          <w:sz w:val="22"/>
          <w:szCs w:val="22"/>
          <w:lang w:eastAsia="en-US"/>
        </w:rPr>
        <w:t>00364/TECAMAC/IP/2022</w:t>
      </w:r>
      <w:r w:rsidRPr="00AA699E">
        <w:rPr>
          <w:rFonts w:ascii="Palatino Linotype" w:hAnsi="Palatino Linotype" w:eastAsia="Calibri" w:cs="Tahoma"/>
          <w:bCs/>
          <w:sz w:val="22"/>
          <w:szCs w:val="22"/>
          <w:lang w:eastAsia="en-US"/>
        </w:rPr>
        <w:t xml:space="preserve">, a efecto de que previa búsqueda exhaustiva y razonable, en todas las </w:t>
      </w:r>
      <w:r w:rsidRPr="00AA699E" w:rsidR="00225E32">
        <w:rPr>
          <w:rFonts w:ascii="Palatino Linotype" w:hAnsi="Palatino Linotype" w:eastAsia="Calibri" w:cs="Tahoma"/>
          <w:bCs/>
          <w:sz w:val="22"/>
          <w:szCs w:val="22"/>
          <w:lang w:eastAsia="en-US"/>
        </w:rPr>
        <w:t xml:space="preserve">unidades administrativas </w:t>
      </w:r>
      <w:r w:rsidRPr="00AA699E">
        <w:rPr>
          <w:rFonts w:ascii="Palatino Linotype" w:hAnsi="Palatino Linotype" w:eastAsia="Calibri" w:cs="Tahoma"/>
          <w:bCs/>
          <w:sz w:val="22"/>
          <w:szCs w:val="22"/>
          <w:lang w:eastAsia="en-US"/>
        </w:rPr>
        <w:t xml:space="preserve">competentes, entre las cuales no podrá omitir a la </w:t>
      </w:r>
      <w:proofErr w:type="spellStart"/>
      <w:r w:rsidRPr="00AA699E" w:rsidR="00C307D2">
        <w:rPr>
          <w:rFonts w:ascii="Palatino Linotype" w:hAnsi="Palatino Linotype" w:eastAsia="Calibri" w:cs="Tahoma"/>
          <w:bCs/>
          <w:sz w:val="22"/>
          <w:szCs w:val="22"/>
          <w:lang w:eastAsia="en-US"/>
        </w:rPr>
        <w:t>Subtesorería</w:t>
      </w:r>
      <w:proofErr w:type="spellEnd"/>
      <w:r w:rsidRPr="00AA699E" w:rsidR="00C307D2">
        <w:rPr>
          <w:rFonts w:ascii="Palatino Linotype" w:hAnsi="Palatino Linotype" w:eastAsia="Calibri" w:cs="Tahoma"/>
          <w:bCs/>
          <w:sz w:val="22"/>
          <w:szCs w:val="22"/>
          <w:lang w:eastAsia="en-US"/>
        </w:rPr>
        <w:t xml:space="preserve"> de Egresos</w:t>
      </w:r>
      <w:r w:rsidRPr="00AA699E" w:rsidR="00225E32">
        <w:rPr>
          <w:rFonts w:ascii="Palatino Linotype" w:hAnsi="Palatino Linotype" w:eastAsia="Calibri" w:cs="Tahoma"/>
          <w:bCs/>
          <w:sz w:val="22"/>
          <w:szCs w:val="22"/>
          <w:lang w:eastAsia="en-US"/>
        </w:rPr>
        <w:t xml:space="preserve"> y sus áreas</w:t>
      </w:r>
      <w:r w:rsidRPr="00AA699E">
        <w:rPr>
          <w:rFonts w:ascii="Palatino Linotype" w:hAnsi="Palatino Linotype" w:eastAsia="Calibri" w:cs="Tahoma"/>
          <w:bCs/>
          <w:sz w:val="22"/>
          <w:szCs w:val="22"/>
          <w:lang w:eastAsia="en-US"/>
        </w:rPr>
        <w:t xml:space="preserve">,  </w:t>
      </w:r>
      <w:r w:rsidRPr="00AA699E" w:rsidR="00225E32">
        <w:rPr>
          <w:rFonts w:ascii="Palatino Linotype" w:hAnsi="Palatino Linotype" w:eastAsia="Calibri" w:cs="Tahoma"/>
          <w:bCs/>
          <w:sz w:val="22"/>
          <w:szCs w:val="22"/>
          <w:lang w:eastAsia="en-US"/>
        </w:rPr>
        <w:t xml:space="preserve">a efecto de que </w:t>
      </w:r>
      <w:r w:rsidRPr="00AA699E">
        <w:rPr>
          <w:rFonts w:ascii="Palatino Linotype" w:hAnsi="Palatino Linotype" w:eastAsia="Calibri" w:cs="Tahoma"/>
          <w:bCs/>
          <w:sz w:val="22"/>
          <w:szCs w:val="22"/>
          <w:lang w:eastAsia="en-US"/>
        </w:rPr>
        <w:t xml:space="preserve">entregue, a través del Sistema de Acceso a la Información Mexiquense (SAIMEX), </w:t>
      </w:r>
      <w:r w:rsidRPr="00AA699E" w:rsidR="00225E32">
        <w:rPr>
          <w:rFonts w:ascii="Palatino Linotype" w:hAnsi="Palatino Linotype" w:eastAsia="Calibri" w:cs="Tahoma"/>
          <w:bCs/>
          <w:sz w:val="22"/>
          <w:szCs w:val="22"/>
          <w:lang w:eastAsia="en-US"/>
        </w:rPr>
        <w:t xml:space="preserve">los documentos donde conste el gasto efectuado o comprometido al veintitrés de septiembre de </w:t>
      </w:r>
      <w:r w:rsidRPr="00AA699E" w:rsidR="00225E32">
        <w:rPr>
          <w:rFonts w:ascii="Palatino Linotype" w:hAnsi="Palatino Linotype" w:eastAsia="Calibri" w:cs="Tahoma"/>
          <w:bCs/>
          <w:sz w:val="22"/>
          <w:szCs w:val="22"/>
          <w:lang w:eastAsia="en-US"/>
        </w:rPr>
        <w:lastRenderedPageBreak/>
        <w:t xml:space="preserve">dos mil veintidós, para realizar la publicidad en lonas, carteles o cualquier otro medio, respecto a los descuentos y apoyos para el pago del impuesto predial y derechos de agua potable, drenaje, alcantarillado y recepción de los caudales de aguas residuales para su tratamiento, durante los meses de septiembre y octubre del dos mil veintidós, derivados del  programa “Juntos por un Mejor Gobierno”. </w:t>
      </w:r>
    </w:p>
    <w:p w:rsidRPr="00AA699E" w:rsidR="006B70AE" w:rsidP="00225E32" w:rsidRDefault="006B70AE" w14:paraId="31A1D822" w14:textId="77777777">
      <w:pPr>
        <w:autoSpaceDE w:val="0"/>
        <w:autoSpaceDN w:val="0"/>
        <w:adjustRightInd w:val="0"/>
        <w:spacing w:line="360" w:lineRule="auto"/>
        <w:jc w:val="both"/>
        <w:rPr>
          <w:rFonts w:ascii="Palatino Linotype" w:hAnsi="Palatino Linotype" w:eastAsia="Calibri" w:cs="Tahoma"/>
          <w:bCs/>
          <w:sz w:val="22"/>
          <w:szCs w:val="22"/>
          <w:lang w:eastAsia="en-US"/>
        </w:rPr>
      </w:pPr>
    </w:p>
    <w:p w:rsidRPr="00AA699E" w:rsidR="0050715D" w:rsidP="00225E32" w:rsidRDefault="00FA1017" w14:paraId="4E9BA1B7" w14:textId="1413C0B3">
      <w:pPr>
        <w:autoSpaceDE w:val="0"/>
        <w:autoSpaceDN w:val="0"/>
        <w:adjustRightInd w:val="0"/>
        <w:spacing w:line="360" w:lineRule="auto"/>
        <w:jc w:val="both"/>
        <w:rPr>
          <w:rFonts w:ascii="Palatino Linotype" w:hAnsi="Palatino Linotype" w:eastAsia="Calibri" w:cs="Tahoma"/>
          <w:bCs/>
          <w:sz w:val="22"/>
          <w:szCs w:val="22"/>
          <w:lang w:eastAsia="en-US"/>
        </w:rPr>
      </w:pPr>
      <w:r w:rsidRPr="00AA699E">
        <w:rPr>
          <w:rFonts w:ascii="Palatino Linotype" w:hAnsi="Palatino Linotype" w:eastAsia="Calibri" w:cs="Tahoma"/>
          <w:bCs/>
          <w:sz w:val="22"/>
          <w:szCs w:val="22"/>
          <w:lang w:eastAsia="en-US"/>
        </w:rPr>
        <w:t>Además, de ser necesario, deberá proporcionar el Acuerdo de Clasificación donde el Comité de Transparencia, confirme la eliminación de los datos o información clasificada</w:t>
      </w:r>
      <w:r w:rsidRPr="00AA699E" w:rsidR="00225E32">
        <w:rPr>
          <w:rFonts w:ascii="Palatino Linotype" w:hAnsi="Palatino Linotype" w:eastAsia="Calibri" w:cs="Tahoma"/>
          <w:bCs/>
          <w:sz w:val="22"/>
          <w:szCs w:val="22"/>
          <w:lang w:eastAsia="en-US"/>
        </w:rPr>
        <w:t>.</w:t>
      </w:r>
      <w:r w:rsidRPr="00AA699E" w:rsidR="006B70AE">
        <w:rPr>
          <w:rFonts w:ascii="Palatino Linotype" w:hAnsi="Palatino Linotype" w:eastAsia="Calibri" w:cs="Tahoma"/>
          <w:bCs/>
          <w:sz w:val="22"/>
          <w:szCs w:val="22"/>
          <w:lang w:eastAsia="en-US"/>
        </w:rPr>
        <w:t xml:space="preserve"> Para el caso, de que el Ayuntamiento no haya efectuado </w:t>
      </w:r>
      <w:r w:rsidRPr="00AA699E" w:rsidR="006B70AE">
        <w:rPr>
          <w:rFonts w:ascii="Palatino Linotype" w:hAnsi="Palatino Linotype" w:eastAsia="Calibri" w:cs="Tahoma"/>
          <w:color w:val="000000" w:themeColor="text1"/>
          <w:sz w:val="22"/>
          <w:szCs w:val="24"/>
          <w:lang w:val="es-ES" w:eastAsia="en-US"/>
        </w:rPr>
        <w:t xml:space="preserve">publicidad </w:t>
      </w:r>
      <w:r w:rsidRPr="00AA699E" w:rsidR="006B70AE">
        <w:rPr>
          <w:rFonts w:ascii="Palatino Linotype" w:hAnsi="Palatino Linotype" w:cs="Tahoma"/>
          <w:bCs/>
          <w:iCs/>
          <w:sz w:val="22"/>
          <w:szCs w:val="22"/>
        </w:rPr>
        <w:t>respecto a los descuentos y apoyos para el pago de derechos de agua potable, drenaje, alcantarillado y recepción de los caudales de aguas residuales para su tratamiento, referidos, deberá hacerlo del conocimiento del Recurrente, de manera clara y precisa.</w:t>
      </w:r>
    </w:p>
    <w:p w:rsidRPr="00AA699E" w:rsidR="00FA1017" w:rsidP="009245F5" w:rsidRDefault="00FA1017" w14:paraId="58E84417" w14:textId="77777777">
      <w:pPr>
        <w:spacing w:line="360" w:lineRule="auto"/>
        <w:jc w:val="both"/>
        <w:rPr>
          <w:rFonts w:ascii="Palatino Linotype" w:hAnsi="Palatino Linotype" w:cs="Tahoma"/>
          <w:sz w:val="22"/>
          <w:szCs w:val="22"/>
        </w:rPr>
      </w:pPr>
    </w:p>
    <w:p w:rsidRPr="00AA699E"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AA699E">
        <w:rPr>
          <w:rFonts w:ascii="Palatino Linotype" w:hAnsi="Palatino Linotype" w:eastAsia="Calibri" w:cs="Tahoma"/>
          <w:b/>
          <w:bCs/>
          <w:iCs/>
          <w:sz w:val="22"/>
          <w:szCs w:val="22"/>
          <w:lang w:val="es-ES" w:eastAsia="en-US"/>
        </w:rPr>
        <w:t>Términos de la Resolución para conocimiento del Particular.</w:t>
      </w:r>
    </w:p>
    <w:p w:rsidRPr="00AA699E"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AA699E" w:rsidR="00E15395" w:rsidP="00225E32" w:rsidRDefault="00A362D6" w14:paraId="62C7FB20" w14:textId="1610BAFC">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AA699E">
        <w:rPr>
          <w:rFonts w:ascii="Palatino Linotype" w:hAnsi="Palatino Linotype" w:eastAsia="Calibri" w:cs="Tahoma"/>
          <w:bCs/>
          <w:sz w:val="22"/>
          <w:szCs w:val="22"/>
          <w:lang w:eastAsia="en-US"/>
        </w:rPr>
        <w:t xml:space="preserve">Se le hace del conocimiento a la ahora Recurrente, que, en el presente caso, se le da la razón, pues el Ente Recurrido no </w:t>
      </w:r>
      <w:r w:rsidRPr="00AA699E" w:rsidR="009656E5">
        <w:rPr>
          <w:rFonts w:ascii="Palatino Linotype" w:hAnsi="Palatino Linotype" w:eastAsia="Calibri" w:cs="Tahoma"/>
          <w:bCs/>
          <w:sz w:val="22"/>
          <w:szCs w:val="22"/>
          <w:lang w:eastAsia="en-US"/>
        </w:rPr>
        <w:t xml:space="preserve">proporcionó la información solicitada, </w:t>
      </w:r>
      <w:r w:rsidRPr="00AA699E" w:rsidR="00225E32">
        <w:rPr>
          <w:rFonts w:ascii="Palatino Linotype" w:hAnsi="Palatino Linotype" w:eastAsia="Calibri" w:cs="Tahoma"/>
          <w:bCs/>
          <w:sz w:val="22"/>
          <w:szCs w:val="22"/>
          <w:lang w:eastAsia="en-US"/>
        </w:rPr>
        <w:t>por lo que, deberá proporcionarle el gasto realizado o comprometido a la fecha de la solicitud, referente a los apoyos otorgados en atención al programa “Juntos por un Mejor Gobierno”.</w:t>
      </w:r>
    </w:p>
    <w:p w:rsidRPr="00AA699E" w:rsidR="00E15395" w:rsidP="00E15395" w:rsidRDefault="00E15395" w14:paraId="0C2413AF"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AA699E" w:rsidR="009245F5" w:rsidP="00E15395" w:rsidRDefault="009245F5" w14:paraId="0F3CCBDF" w14:textId="5F13D89E">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AA699E">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AA699E"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Pr="00AA699E"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AA699E">
        <w:rPr>
          <w:rFonts w:ascii="Palatino Linotype" w:hAnsi="Palatino Linotype" w:eastAsia="Calibri" w:cs="Tahoma"/>
          <w:bCs/>
          <w:iCs/>
          <w:sz w:val="22"/>
          <w:szCs w:val="22"/>
          <w:lang w:eastAsia="en-US"/>
        </w:rPr>
        <w:t>Por lo expuesto y fundado, este Pleno:</w:t>
      </w:r>
    </w:p>
    <w:p w:rsidRPr="00AA699E"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Pr="00AA699E"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sidRPr="00AA699E">
        <w:rPr>
          <w:rFonts w:ascii="Palatino Linotype" w:hAnsi="Palatino Linotype" w:eastAsia="Calibri" w:cs="Tahoma"/>
          <w:b/>
          <w:bCs/>
          <w:sz w:val="22"/>
          <w:szCs w:val="22"/>
          <w:lang w:eastAsia="en-US"/>
        </w:rPr>
        <w:t>R E S U E L V E</w:t>
      </w:r>
    </w:p>
    <w:p w:rsidRPr="00AA699E" w:rsidR="009245F5" w:rsidP="009245F5" w:rsidRDefault="009245F5" w14:paraId="1EA1703F" w14:textId="77777777">
      <w:pPr>
        <w:spacing w:line="360" w:lineRule="auto"/>
        <w:ind w:right="-28"/>
        <w:jc w:val="center"/>
        <w:rPr>
          <w:rFonts w:ascii="Palatino Linotype" w:hAnsi="Palatino Linotype" w:cs="Tahoma"/>
          <w:b/>
          <w:bCs/>
          <w:sz w:val="22"/>
          <w:szCs w:val="22"/>
        </w:rPr>
      </w:pPr>
    </w:p>
    <w:p w:rsidRPr="00AA699E" w:rsidR="009245F5" w:rsidP="00E15395" w:rsidRDefault="009245F5" w14:paraId="325BE84B" w14:textId="3BD12575">
      <w:pPr>
        <w:widowControl w:val="0"/>
        <w:spacing w:line="360" w:lineRule="auto"/>
        <w:jc w:val="both"/>
        <w:rPr>
          <w:rFonts w:ascii="Palatino Linotype" w:hAnsi="Palatino Linotype" w:eastAsia="Calibri"/>
          <w:sz w:val="22"/>
          <w:szCs w:val="22"/>
        </w:rPr>
      </w:pPr>
      <w:r w:rsidRPr="00AA699E">
        <w:rPr>
          <w:rFonts w:ascii="Palatino Linotype" w:hAnsi="Palatino Linotype" w:eastAsia="Calibri"/>
          <w:b/>
          <w:bCs/>
          <w:sz w:val="22"/>
          <w:szCs w:val="22"/>
        </w:rPr>
        <w:t xml:space="preserve">PRIMERO. </w:t>
      </w:r>
      <w:r w:rsidRPr="00AA699E">
        <w:rPr>
          <w:rFonts w:ascii="Palatino Linotype" w:hAnsi="Palatino Linotype" w:eastAsia="Calibri"/>
          <w:sz w:val="22"/>
          <w:szCs w:val="22"/>
        </w:rPr>
        <w:t xml:space="preserve">Se </w:t>
      </w:r>
      <w:r w:rsidRPr="00AA699E">
        <w:rPr>
          <w:rFonts w:ascii="Palatino Linotype" w:hAnsi="Palatino Linotype" w:eastAsia="Calibri"/>
          <w:b/>
          <w:bCs/>
          <w:sz w:val="22"/>
          <w:szCs w:val="22"/>
        </w:rPr>
        <w:t xml:space="preserve">REVOCA </w:t>
      </w:r>
      <w:r w:rsidRPr="00AA699E">
        <w:rPr>
          <w:rFonts w:ascii="Palatino Linotype" w:hAnsi="Palatino Linotype" w:eastAsia="Calibri"/>
          <w:bCs/>
          <w:sz w:val="22"/>
          <w:szCs w:val="22"/>
        </w:rPr>
        <w:t>la</w:t>
      </w:r>
      <w:r w:rsidRPr="00AA699E">
        <w:rPr>
          <w:rFonts w:ascii="Palatino Linotype" w:hAnsi="Palatino Linotype" w:eastAsia="Calibri"/>
          <w:b/>
          <w:bCs/>
          <w:sz w:val="22"/>
          <w:szCs w:val="22"/>
        </w:rPr>
        <w:t xml:space="preserve"> </w:t>
      </w:r>
      <w:r w:rsidRPr="00AA699E">
        <w:rPr>
          <w:rFonts w:ascii="Palatino Linotype" w:hAnsi="Palatino Linotype" w:eastAsia="Calibri"/>
          <w:sz w:val="22"/>
          <w:szCs w:val="22"/>
        </w:rPr>
        <w:t xml:space="preserve">respuesta entregada por el </w:t>
      </w:r>
      <w:r w:rsidRPr="00AA699E" w:rsidR="00247B00">
        <w:rPr>
          <w:rFonts w:ascii="Palatino Linotype" w:hAnsi="Palatino Linotype" w:eastAsia="Calibri"/>
          <w:sz w:val="22"/>
          <w:szCs w:val="22"/>
        </w:rPr>
        <w:t xml:space="preserve">Ayuntamiento de Tecámac </w:t>
      </w:r>
      <w:r w:rsidRPr="00AA699E">
        <w:rPr>
          <w:rFonts w:ascii="Palatino Linotype" w:hAnsi="Palatino Linotype" w:eastAsia="Calibri"/>
          <w:sz w:val="22"/>
          <w:szCs w:val="22"/>
        </w:rPr>
        <w:t>a la solicitud de información</w:t>
      </w:r>
      <w:r w:rsidRPr="00AA699E">
        <w:rPr>
          <w:rFonts w:ascii="Palatino Linotype" w:hAnsi="Palatino Linotype" w:eastAsia="Calibri"/>
          <w:b/>
          <w:bCs/>
          <w:sz w:val="22"/>
          <w:szCs w:val="22"/>
        </w:rPr>
        <w:t xml:space="preserve"> </w:t>
      </w:r>
      <w:r w:rsidRPr="00AA699E" w:rsidR="00247B00">
        <w:rPr>
          <w:rFonts w:ascii="Palatino Linotype" w:hAnsi="Palatino Linotype" w:eastAsia="Calibri"/>
          <w:sz w:val="22"/>
          <w:szCs w:val="22"/>
        </w:rPr>
        <w:t xml:space="preserve">00364/TECAMAC/IP/2022 </w:t>
      </w:r>
      <w:r w:rsidRPr="00AA699E">
        <w:rPr>
          <w:rFonts w:ascii="Palatino Linotype" w:hAnsi="Palatino Linotype" w:eastAsia="Calibri"/>
          <w:sz w:val="22"/>
          <w:szCs w:val="22"/>
        </w:rPr>
        <w:t>por resultar FUNDADAS las razones o motivos de inconformidad hechos valer por el Recurrente, en términos de los considerandos QUINTO y SEXTO de la presente Resolución.</w:t>
      </w:r>
    </w:p>
    <w:p w:rsidRPr="00AA699E" w:rsidR="000D4580" w:rsidP="00E15395" w:rsidRDefault="000D4580" w14:paraId="6ABDE249" w14:textId="77777777">
      <w:pPr>
        <w:widowControl w:val="0"/>
        <w:spacing w:line="360" w:lineRule="auto"/>
        <w:jc w:val="both"/>
        <w:rPr>
          <w:rFonts w:ascii="Palatino Linotype" w:hAnsi="Palatino Linotype" w:eastAsia="Calibri"/>
          <w:sz w:val="22"/>
          <w:szCs w:val="22"/>
        </w:rPr>
      </w:pPr>
    </w:p>
    <w:p w:rsidRPr="00AA699E" w:rsidR="009245F5" w:rsidP="009245F5" w:rsidRDefault="009245F5" w14:paraId="0343F9D0" w14:textId="7AA9F9E1">
      <w:pPr>
        <w:autoSpaceDE w:val="0"/>
        <w:autoSpaceDN w:val="0"/>
        <w:adjustRightInd w:val="0"/>
        <w:spacing w:line="360" w:lineRule="auto"/>
        <w:ind w:right="-28"/>
        <w:jc w:val="both"/>
        <w:rPr>
          <w:rFonts w:ascii="Palatino Linotype" w:hAnsi="Palatino Linotype" w:cs="Tahoma"/>
          <w:sz w:val="22"/>
          <w:szCs w:val="22"/>
        </w:rPr>
      </w:pPr>
      <w:r w:rsidRPr="00AA699E">
        <w:rPr>
          <w:rFonts w:ascii="Palatino Linotype" w:hAnsi="Palatino Linotype" w:cs="Tahoma"/>
          <w:b/>
          <w:bCs/>
          <w:sz w:val="22"/>
          <w:szCs w:val="22"/>
        </w:rPr>
        <w:t xml:space="preserve">SEGUNDO. </w:t>
      </w:r>
      <w:r w:rsidRPr="00AA699E">
        <w:rPr>
          <w:rFonts w:ascii="Palatino Linotype" w:hAnsi="Palatino Linotype" w:cs="Tahoma"/>
          <w:sz w:val="22"/>
          <w:szCs w:val="22"/>
        </w:rPr>
        <w:t xml:space="preserve">Se </w:t>
      </w:r>
      <w:r w:rsidRPr="00AA699E">
        <w:rPr>
          <w:rFonts w:ascii="Palatino Linotype" w:hAnsi="Palatino Linotype" w:cs="Tahoma"/>
          <w:b/>
          <w:sz w:val="22"/>
          <w:szCs w:val="22"/>
        </w:rPr>
        <w:t xml:space="preserve">ORDENA </w:t>
      </w:r>
      <w:r w:rsidRPr="00AA699E">
        <w:rPr>
          <w:rFonts w:ascii="Palatino Linotype" w:hAnsi="Palatino Linotype" w:cs="Tahoma"/>
          <w:sz w:val="22"/>
          <w:szCs w:val="22"/>
        </w:rPr>
        <w:t xml:space="preserve">al </w:t>
      </w:r>
      <w:r w:rsidRPr="00AA699E">
        <w:rPr>
          <w:rFonts w:ascii="Palatino Linotype" w:hAnsi="Palatino Linotype" w:cs="Tahoma"/>
          <w:color w:val="0D0D0D" w:themeColor="text1" w:themeTint="F2"/>
          <w:sz w:val="22"/>
          <w:szCs w:val="22"/>
        </w:rPr>
        <w:t>Sujeto Obligado</w:t>
      </w:r>
      <w:r w:rsidRPr="00AA699E">
        <w:rPr>
          <w:rFonts w:ascii="Palatino Linotype" w:hAnsi="Palatino Linotype" w:cs="Tahoma"/>
          <w:sz w:val="22"/>
          <w:szCs w:val="22"/>
        </w:rPr>
        <w:t xml:space="preserve">, a efecto de que, previa búsqueda exhaustiva y razonable en </w:t>
      </w:r>
      <w:r w:rsidRPr="00AA699E" w:rsidR="0050715D">
        <w:rPr>
          <w:rFonts w:ascii="Palatino Linotype" w:hAnsi="Palatino Linotype" w:cs="Tahoma"/>
          <w:sz w:val="22"/>
          <w:szCs w:val="22"/>
        </w:rPr>
        <w:t>las</w:t>
      </w:r>
      <w:r w:rsidRPr="00AA699E">
        <w:rPr>
          <w:rFonts w:ascii="Palatino Linotype" w:hAnsi="Palatino Linotype" w:cs="Tahoma"/>
          <w:sz w:val="22"/>
          <w:szCs w:val="22"/>
        </w:rPr>
        <w:t xml:space="preserve"> áreas competentes, entregue, </w:t>
      </w:r>
      <w:r w:rsidRPr="00AA699E">
        <w:rPr>
          <w:rFonts w:ascii="Palatino Linotype" w:hAnsi="Palatino Linotype" w:cs="Tahoma"/>
          <w:bCs/>
          <w:iCs/>
          <w:sz w:val="22"/>
          <w:szCs w:val="22"/>
        </w:rPr>
        <w:t xml:space="preserve">a través del Sistema de Acceso a la Información Mexiquense (SAIMEX), </w:t>
      </w:r>
      <w:r w:rsidRPr="00AA699E" w:rsidR="006B70AE">
        <w:rPr>
          <w:rFonts w:ascii="Palatino Linotype" w:hAnsi="Palatino Linotype" w:cs="Tahoma"/>
          <w:bCs/>
          <w:iCs/>
          <w:sz w:val="22"/>
          <w:szCs w:val="22"/>
        </w:rPr>
        <w:t>en su caso, en versión pública, los documentos donde conste lo siguiente</w:t>
      </w:r>
      <w:r w:rsidRPr="00AA699E">
        <w:rPr>
          <w:rFonts w:ascii="Palatino Linotype" w:hAnsi="Palatino Linotype" w:cs="Tahoma"/>
          <w:bCs/>
          <w:iCs/>
          <w:sz w:val="22"/>
          <w:szCs w:val="22"/>
        </w:rPr>
        <w:t>:</w:t>
      </w:r>
      <w:r w:rsidRPr="00AA699E">
        <w:rPr>
          <w:rFonts w:ascii="Palatino Linotype" w:hAnsi="Palatino Linotype" w:cs="Tahoma"/>
          <w:sz w:val="22"/>
          <w:szCs w:val="22"/>
        </w:rPr>
        <w:t xml:space="preserve"> </w:t>
      </w:r>
    </w:p>
    <w:p w:rsidRPr="00AA699E" w:rsidR="009245F5" w:rsidP="009245F5" w:rsidRDefault="009245F5" w14:paraId="61D35F5A" w14:textId="77777777">
      <w:pPr>
        <w:autoSpaceDE w:val="0"/>
        <w:autoSpaceDN w:val="0"/>
        <w:adjustRightInd w:val="0"/>
        <w:spacing w:line="360" w:lineRule="auto"/>
        <w:ind w:right="-28"/>
        <w:jc w:val="both"/>
        <w:rPr>
          <w:rFonts w:ascii="Palatino Linotype" w:hAnsi="Palatino Linotype" w:cs="Tahoma"/>
          <w:bCs/>
          <w:iCs/>
          <w:sz w:val="22"/>
          <w:szCs w:val="22"/>
        </w:rPr>
      </w:pPr>
    </w:p>
    <w:p w:rsidRPr="00AA699E" w:rsidR="009245F5" w:rsidP="006B70AE" w:rsidRDefault="00B2644B" w14:paraId="04FDE1C8" w14:textId="2578ADCE">
      <w:pPr>
        <w:pStyle w:val="Prrafodelista"/>
        <w:numPr>
          <w:ilvl w:val="0"/>
          <w:numId w:val="46"/>
        </w:numPr>
        <w:tabs>
          <w:tab w:val="left" w:pos="4962"/>
        </w:tabs>
        <w:spacing w:line="360" w:lineRule="auto"/>
        <w:ind w:right="-28"/>
        <w:jc w:val="both"/>
        <w:rPr>
          <w:rFonts w:ascii="Palatino Linotype" w:hAnsi="Palatino Linotype" w:eastAsia="Calibri" w:cs="Tahoma"/>
          <w:iCs/>
          <w:szCs w:val="22"/>
          <w:lang w:eastAsia="es-ES_tradnl"/>
        </w:rPr>
      </w:pPr>
      <w:r w:rsidRPr="00AA699E">
        <w:rPr>
          <w:rFonts w:ascii="Palatino Linotype" w:hAnsi="Palatino Linotype" w:cs="Tahoma"/>
          <w:bCs/>
          <w:szCs w:val="22"/>
        </w:rPr>
        <w:t xml:space="preserve">El </w:t>
      </w:r>
      <w:r w:rsidRPr="00AA699E" w:rsidR="006B70AE">
        <w:rPr>
          <w:rFonts w:ascii="Palatino Linotype" w:hAnsi="Palatino Linotype" w:cs="Tahoma"/>
          <w:bCs/>
          <w:szCs w:val="22"/>
        </w:rPr>
        <w:t>gasto efectuado o comprometido al veintitrés de septiembre de dos mil veintidós, para realizar la publicidad en lonas, carteles o cualquier otro medio, respecto a los descuentos y apoyos para el pago del impuesto predial y derechos de agua potable, drenaje, alcantarillado y recepción de los caudales de aguas residuales para su tratamiento, durante los meses de septiembre y octubre del dos mil veintidós, derivados del  programa “Juntos por un Mejor Gobierno”.</w:t>
      </w:r>
    </w:p>
    <w:p w:rsidRPr="00AA699E" w:rsidR="00247B00" w:rsidP="00247B00" w:rsidRDefault="00247B00" w14:paraId="46E769EF" w14:textId="77777777">
      <w:pPr>
        <w:pStyle w:val="Prrafodelista"/>
        <w:tabs>
          <w:tab w:val="left" w:pos="4962"/>
        </w:tabs>
        <w:spacing w:line="360" w:lineRule="auto"/>
        <w:ind w:right="-28"/>
        <w:jc w:val="both"/>
        <w:rPr>
          <w:rFonts w:ascii="Palatino Linotype" w:hAnsi="Palatino Linotype" w:eastAsia="Calibri" w:cs="Tahoma"/>
          <w:iCs/>
          <w:szCs w:val="22"/>
          <w:lang w:eastAsia="es-ES_tradnl"/>
        </w:rPr>
      </w:pPr>
    </w:p>
    <w:p w:rsidRPr="00AA699E" w:rsidR="006B70AE" w:rsidP="006B70AE" w:rsidRDefault="006B70AE" w14:paraId="40392469" w14:textId="77777777">
      <w:pPr>
        <w:spacing w:line="360" w:lineRule="auto"/>
        <w:ind w:right="-93"/>
        <w:jc w:val="both"/>
        <w:rPr>
          <w:rFonts w:ascii="Palatino Linotype" w:hAnsi="Palatino Linotype" w:eastAsia="Calibri" w:cs="Tahoma"/>
          <w:bCs/>
          <w:sz w:val="22"/>
          <w:szCs w:val="22"/>
          <w:lang w:eastAsia="en-US"/>
        </w:rPr>
      </w:pPr>
      <w:r w:rsidRPr="00AA699E">
        <w:rPr>
          <w:rFonts w:ascii="Palatino Linotype" w:hAnsi="Palatino Linotype" w:eastAsia="Calibri" w:cs="Tahoma"/>
          <w:bCs/>
          <w:sz w:val="22"/>
          <w:szCs w:val="22"/>
          <w:lang w:eastAsia="en-US"/>
        </w:rPr>
        <w:t>Además, en su caso, deberá proporcionar, el Acuerdo de Clasificación donde el Comité de Transparencia, confirme la clasificación de los datos o información testada en las versiones públicas, en términos de los artículos 49, fracciones II y VIII y 132, fracción II de la Ley de Transparencia y Acceso a la Información Pública del Estado de México y Municipios.</w:t>
      </w:r>
    </w:p>
    <w:p w:rsidRPr="00AA699E" w:rsidR="0050715D" w:rsidP="009245F5" w:rsidRDefault="0050715D" w14:paraId="30694FBF" w14:textId="77777777">
      <w:pPr>
        <w:spacing w:line="360" w:lineRule="auto"/>
        <w:ind w:right="-28"/>
        <w:jc w:val="both"/>
        <w:rPr>
          <w:rFonts w:ascii="Palatino Linotype" w:hAnsi="Palatino Linotype" w:eastAsia="Calibri" w:cs="Tahoma"/>
          <w:b/>
          <w:bCs/>
          <w:color w:val="000000" w:themeColor="text1"/>
          <w:sz w:val="22"/>
          <w:szCs w:val="22"/>
          <w:lang w:eastAsia="en-US"/>
        </w:rPr>
      </w:pPr>
    </w:p>
    <w:p w:rsidRPr="00AA699E" w:rsidR="006B70AE" w:rsidP="009245F5" w:rsidRDefault="006B70AE" w14:paraId="6B369A2C" w14:textId="725909BA">
      <w:pPr>
        <w:spacing w:line="360" w:lineRule="auto"/>
        <w:ind w:right="-28"/>
        <w:jc w:val="both"/>
        <w:rPr>
          <w:rFonts w:ascii="Palatino Linotype" w:hAnsi="Palatino Linotype" w:eastAsia="Calibri" w:cs="Tahoma"/>
          <w:b/>
          <w:bCs/>
          <w:color w:val="000000" w:themeColor="text1"/>
          <w:sz w:val="22"/>
          <w:szCs w:val="22"/>
          <w:lang w:eastAsia="en-US"/>
        </w:rPr>
      </w:pPr>
      <w:r w:rsidRPr="00AA699E">
        <w:rPr>
          <w:rFonts w:ascii="Palatino Linotype" w:hAnsi="Palatino Linotype" w:eastAsia="Calibri" w:cs="Tahoma"/>
          <w:bCs/>
          <w:sz w:val="22"/>
          <w:szCs w:val="22"/>
          <w:lang w:eastAsia="en-US"/>
        </w:rPr>
        <w:t xml:space="preserve">Para el caso, de que el Ayuntamiento no haya efectuado </w:t>
      </w:r>
      <w:r w:rsidRPr="00AA699E">
        <w:rPr>
          <w:rFonts w:ascii="Palatino Linotype" w:hAnsi="Palatino Linotype" w:eastAsia="Calibri" w:cs="Tahoma"/>
          <w:color w:val="000000" w:themeColor="text1"/>
          <w:sz w:val="22"/>
          <w:szCs w:val="24"/>
          <w:lang w:val="es-ES" w:eastAsia="en-US"/>
        </w:rPr>
        <w:t xml:space="preserve">publicidad </w:t>
      </w:r>
      <w:r w:rsidRPr="00AA699E">
        <w:rPr>
          <w:rFonts w:ascii="Palatino Linotype" w:hAnsi="Palatino Linotype" w:cs="Tahoma"/>
          <w:bCs/>
          <w:iCs/>
          <w:sz w:val="22"/>
          <w:szCs w:val="22"/>
        </w:rPr>
        <w:t>respecto a los descuentos y apoyos para el pago de derechos de agua potable, drenaje, alcantarillado y recepción de los caudales de aguas residuales para su tratamiento, referidos, deberá hacerlo del conocimiento del Recurrente, de manera clara y precisa.</w:t>
      </w:r>
    </w:p>
    <w:p w:rsidRPr="00AA699E" w:rsidR="009245F5" w:rsidP="009245F5" w:rsidRDefault="009245F5" w14:paraId="4F1663F7" w14:textId="4D6F39B2">
      <w:pPr>
        <w:spacing w:line="360" w:lineRule="auto"/>
        <w:ind w:right="-28"/>
        <w:jc w:val="both"/>
        <w:rPr>
          <w:rFonts w:ascii="Palatino Linotype" w:hAnsi="Palatino Linotype" w:cs="Tahoma"/>
          <w:i/>
          <w:color w:val="000000" w:themeColor="text1"/>
          <w:sz w:val="22"/>
          <w:szCs w:val="22"/>
        </w:rPr>
      </w:pPr>
      <w:r w:rsidRPr="00AA699E">
        <w:rPr>
          <w:rFonts w:ascii="Palatino Linotype" w:hAnsi="Palatino Linotype" w:eastAsia="Calibri" w:cs="Tahoma"/>
          <w:b/>
          <w:bCs/>
          <w:color w:val="000000" w:themeColor="text1"/>
          <w:sz w:val="22"/>
          <w:szCs w:val="22"/>
          <w:lang w:eastAsia="en-US"/>
        </w:rPr>
        <w:lastRenderedPageBreak/>
        <w:t xml:space="preserve">TERCERO. </w:t>
      </w:r>
      <w:r w:rsidRPr="00AA699E">
        <w:rPr>
          <w:rFonts w:ascii="Palatino Linotype" w:hAnsi="Palatino Linotype" w:cs="Tahoma"/>
          <w:b/>
          <w:color w:val="000000" w:themeColor="text1"/>
          <w:sz w:val="22"/>
          <w:szCs w:val="22"/>
        </w:rPr>
        <w:t xml:space="preserve">NOTIFÍQUESE </w:t>
      </w:r>
      <w:r w:rsidRPr="00AA699E">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A699E"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AA699E"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AA699E">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A699E" w:rsidR="00E15395" w:rsidP="009245F5" w:rsidRDefault="00E15395" w14:paraId="39A5C2D0" w14:textId="77777777">
      <w:pPr>
        <w:spacing w:line="360" w:lineRule="auto"/>
        <w:ind w:right="-28"/>
        <w:jc w:val="both"/>
        <w:rPr>
          <w:rFonts w:ascii="Palatino Linotype" w:hAnsi="Palatino Linotype" w:eastAsia="Calibri" w:cs="Tahoma"/>
          <w:color w:val="000000"/>
          <w:sz w:val="22"/>
          <w:szCs w:val="22"/>
          <w:lang w:val="es-ES" w:eastAsia="es-MX"/>
        </w:rPr>
      </w:pPr>
    </w:p>
    <w:p w:rsidRPr="00AA699E" w:rsidR="009245F5" w:rsidP="00AA699E" w:rsidRDefault="009245F5" w14:paraId="62DAB2A1" w14:textId="5CD70EF8">
      <w:pPr>
        <w:spacing w:line="360" w:lineRule="auto"/>
        <w:jc w:val="both"/>
        <w:rPr>
          <w:rFonts w:ascii="Palatino Linotype" w:hAnsi="Palatino Linotype" w:eastAsia="Calibri" w:cs="Tahoma"/>
          <w:iCs/>
          <w:color w:val="000000"/>
          <w:sz w:val="22"/>
          <w:szCs w:val="22"/>
          <w:lang w:eastAsia="en-US"/>
        </w:rPr>
      </w:pPr>
      <w:r w:rsidRPr="00AA699E">
        <w:rPr>
          <w:rFonts w:ascii="Palatino Linotype" w:hAnsi="Palatino Linotype" w:eastAsia="Calibri" w:cs="Tahoma"/>
          <w:b/>
          <w:bCs/>
          <w:iCs/>
          <w:color w:val="000000"/>
          <w:sz w:val="22"/>
          <w:szCs w:val="22"/>
          <w:lang w:eastAsia="en-US"/>
        </w:rPr>
        <w:t>CUARTO. NOTIFÍQUESE</w:t>
      </w:r>
      <w:r w:rsidRPr="00AA699E">
        <w:rPr>
          <w:rFonts w:ascii="Palatino Linotype" w:hAnsi="Palatino Linotype" w:eastAsia="Calibri" w:cs="Tahoma"/>
          <w:iCs/>
          <w:color w:val="000000"/>
          <w:sz w:val="22"/>
          <w:szCs w:val="22"/>
          <w:lang w:eastAsia="en-US"/>
        </w:rPr>
        <w:t xml:space="preserve"> al Recurrente la presente Resolución, asimismo, se hace de su conocimiento que de conformidad con lo establecido en el artículo 196 de la Ley de Transparencia y Acceso a la </w:t>
      </w:r>
      <w:bookmarkStart w:name="_GoBack" w:id="1"/>
      <w:bookmarkEnd w:id="1"/>
      <w:r w:rsidRPr="00AA699E">
        <w:rPr>
          <w:rFonts w:ascii="Palatino Linotype" w:hAnsi="Palatino Linotype" w:eastAsia="Calibri" w:cs="Tahoma"/>
          <w:iCs/>
          <w:color w:val="000000"/>
          <w:sz w:val="22"/>
          <w:szCs w:val="22"/>
          <w:lang w:eastAsia="en-US"/>
        </w:rPr>
        <w:t>Información Pública del Estado de México y Municipios podrá promover el Juicio de Amparo en los términos de las leyes aplicables.</w:t>
      </w:r>
    </w:p>
    <w:p w:rsidRPr="00AA699E" w:rsidR="009245F5" w:rsidP="00AA699E" w:rsidRDefault="009245F5" w14:paraId="7B03A500" w14:textId="77777777">
      <w:pPr>
        <w:spacing w:line="360" w:lineRule="auto"/>
        <w:ind w:right="-28"/>
        <w:jc w:val="both"/>
        <w:rPr>
          <w:rFonts w:ascii="Palatino Linotype" w:hAnsi="Palatino Linotype" w:cs="Tahoma"/>
          <w:sz w:val="22"/>
          <w:szCs w:val="22"/>
        </w:rPr>
      </w:pPr>
    </w:p>
    <w:p w:rsidR="009245F5" w:rsidP="00AA699E" w:rsidRDefault="009245F5" w14:paraId="148EC2F0" w14:textId="128E7877">
      <w:pPr>
        <w:spacing w:line="360" w:lineRule="auto"/>
        <w:jc w:val="both"/>
        <w:rPr>
          <w:rFonts w:ascii="Palatino Linotype" w:hAnsi="Palatino Linotype" w:eastAsia="Calibri" w:cs="Tahoma"/>
          <w:sz w:val="22"/>
          <w:szCs w:val="22"/>
          <w:lang w:val="es-ES" w:eastAsia="es-ES_tradnl"/>
        </w:rPr>
      </w:pPr>
      <w:r w:rsidRPr="00AA699E">
        <w:rPr>
          <w:rFonts w:ascii="Palatino Linotype" w:hAnsi="Palatino Linotype" w:eastAsia="Calibri" w:cs="Tahoma"/>
          <w:sz w:val="22"/>
          <w:szCs w:val="22"/>
          <w:lang w:val="es-ES" w:eastAsia="es-ES_tradnl"/>
        </w:rPr>
        <w:t xml:space="preserve">ASÍ LO RESUELVE, </w:t>
      </w:r>
      <w:r w:rsidRPr="00AA699E">
        <w:rPr>
          <w:rFonts w:ascii="Palatino Linotype" w:hAnsi="Palatino Linotype" w:eastAsia="Calibri" w:cs="Tahoma"/>
          <w:bCs/>
          <w:sz w:val="22"/>
          <w:szCs w:val="22"/>
          <w:lang w:val="es-ES" w:eastAsia="es-ES_tradnl"/>
        </w:rPr>
        <w:t xml:space="preserve">POR </w:t>
      </w:r>
      <w:r w:rsidRPr="00AA699E">
        <w:rPr>
          <w:rFonts w:ascii="Palatino Linotype" w:hAnsi="Palatino Linotype" w:eastAsia="Calibri" w:cs="Tahoma"/>
          <w:b/>
          <w:bCs/>
          <w:sz w:val="22"/>
          <w:szCs w:val="22"/>
          <w:lang w:val="es-ES" w:eastAsia="es-ES_tradnl"/>
        </w:rPr>
        <w:t>UNANIMIDAD</w:t>
      </w:r>
      <w:r w:rsidRPr="00AA699E">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AA699E" w:rsidR="00247B00">
        <w:rPr>
          <w:rFonts w:ascii="Palatino Linotype" w:hAnsi="Palatino Linotype" w:eastAsia="Calibri" w:cs="Tahoma"/>
          <w:sz w:val="22"/>
          <w:szCs w:val="22"/>
          <w:lang w:val="es-ES" w:eastAsia="es-ES_tradnl"/>
        </w:rPr>
        <w:t>CUARTA</w:t>
      </w:r>
      <w:r w:rsidRPr="00AA699E">
        <w:rPr>
          <w:rFonts w:ascii="Palatino Linotype" w:hAnsi="Palatino Linotype" w:eastAsia="Calibri" w:cs="Tahoma"/>
          <w:sz w:val="22"/>
          <w:szCs w:val="22"/>
          <w:lang w:val="es-ES" w:eastAsia="es-ES_tradnl"/>
        </w:rPr>
        <w:t xml:space="preserve"> SESIÓN ORDINARIA, </w:t>
      </w:r>
      <w:r w:rsidRPr="00AA699E" w:rsidR="0068048C">
        <w:rPr>
          <w:rFonts w:ascii="Palatino Linotype" w:hAnsi="Palatino Linotype" w:eastAsia="Calibri" w:cs="Tahoma"/>
          <w:sz w:val="22"/>
          <w:szCs w:val="22"/>
          <w:lang w:val="es-ES" w:eastAsia="es-ES_tradnl"/>
        </w:rPr>
        <w:t xml:space="preserve">CELEBRADA EL </w:t>
      </w:r>
      <w:r w:rsidRPr="00AA699E" w:rsidR="006B70AE">
        <w:rPr>
          <w:rFonts w:ascii="Palatino Linotype" w:hAnsi="Palatino Linotype" w:eastAsia="Calibri" w:cs="Tahoma"/>
          <w:sz w:val="22"/>
          <w:szCs w:val="22"/>
          <w:lang w:val="es-ES" w:eastAsia="es-ES_tradnl"/>
        </w:rPr>
        <w:t>PRIMERO DE FEBRERO DE DOS MIL VEINTIDÓS</w:t>
      </w:r>
      <w:r w:rsidRPr="00AA699E" w:rsidR="0068048C">
        <w:rPr>
          <w:rFonts w:ascii="Palatino Linotype" w:hAnsi="Palatino Linotype" w:eastAsia="Calibri" w:cs="Tahoma"/>
          <w:sz w:val="22"/>
          <w:szCs w:val="22"/>
          <w:lang w:val="es-ES" w:eastAsia="es-ES_tradnl"/>
        </w:rPr>
        <w:t>,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3439B">
      <w:headerReference w:type="even" r:id="rId14"/>
      <w:headerReference w:type="default" r:id="rId15"/>
      <w:footerReference w:type="default" r:id="rId16"/>
      <w:headerReference w:type="first" r:id="rId17"/>
      <w:footerReference w:type="first" r:id="rId18"/>
      <w:pgSz w:w="12240" w:h="15840" w:orient="portrait"/>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075" w:rsidP="00FC7A26" w:rsidRDefault="00E24075" w14:paraId="74F2CC5A" w14:textId="77777777">
      <w:r>
        <w:separator/>
      </w:r>
    </w:p>
  </w:endnote>
  <w:endnote w:type="continuationSeparator" w:id="0">
    <w:p w:rsidR="00E24075" w:rsidP="00FC7A26" w:rsidRDefault="00E24075" w14:paraId="2A09FA94" w14:textId="77777777">
      <w:r>
        <w:continuationSeparator/>
      </w:r>
    </w:p>
  </w:endnote>
  <w:endnote w:type="continuationNotice" w:id="1">
    <w:p w:rsidR="00E24075" w:rsidRDefault="00E24075" w14:paraId="0CEA9C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F3461" w:rsidRDefault="005F3461" w14:paraId="54BFC472" w14:textId="77777777">
            <w:pPr>
              <w:pStyle w:val="Piedepgina"/>
              <w:jc w:val="right"/>
              <w:rPr>
                <w:sz w:val="26"/>
                <w:szCs w:val="26"/>
              </w:rPr>
            </w:pPr>
          </w:p>
          <w:p w:rsidR="005F3461" w:rsidRDefault="005F3461"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699E">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699E">
              <w:rPr>
                <w:b/>
                <w:bCs/>
                <w:noProof/>
              </w:rPr>
              <w:t>25</w:t>
            </w:r>
            <w:r>
              <w:rPr>
                <w:b/>
                <w:bCs/>
                <w:sz w:val="24"/>
                <w:szCs w:val="24"/>
              </w:rPr>
              <w:fldChar w:fldCharType="end"/>
            </w:r>
          </w:p>
        </w:sdtContent>
      </w:sdt>
    </w:sdtContent>
  </w:sdt>
  <w:p w:rsidR="005F3461" w:rsidRDefault="005F3461"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5F3461" w14:paraId="215FCE47" w14:textId="77777777">
    <w:pPr>
      <w:pStyle w:val="Piedepgina"/>
      <w:jc w:val="right"/>
    </w:pPr>
  </w:p>
  <w:p w:rsidR="005F3461" w:rsidRDefault="005F3461" w14:paraId="73795115" w14:textId="77777777">
    <w:pPr>
      <w:pStyle w:val="Piedepgina"/>
      <w:jc w:val="right"/>
    </w:pPr>
  </w:p>
  <w:p w:rsidR="005F3461" w:rsidRDefault="005F3461" w14:paraId="102883EC" w14:textId="77777777">
    <w:pPr>
      <w:pStyle w:val="Piedepgina"/>
      <w:jc w:val="right"/>
    </w:pPr>
  </w:p>
  <w:p w:rsidR="005F3461" w:rsidRDefault="005F3461"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69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699E">
      <w:rPr>
        <w:b/>
        <w:bCs/>
        <w:noProof/>
      </w:rPr>
      <w:t>25</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075" w:rsidP="00FC7A26" w:rsidRDefault="00E24075" w14:paraId="7F9BFCA0" w14:textId="77777777">
      <w:r>
        <w:separator/>
      </w:r>
    </w:p>
  </w:footnote>
  <w:footnote w:type="continuationSeparator" w:id="0">
    <w:p w:rsidR="00E24075" w:rsidP="00FC7A26" w:rsidRDefault="00E24075" w14:paraId="53A4B0C7" w14:textId="77777777">
      <w:r>
        <w:continuationSeparator/>
      </w:r>
    </w:p>
  </w:footnote>
  <w:footnote w:type="continuationNotice" w:id="1">
    <w:p w:rsidR="00E24075" w:rsidRDefault="00E24075" w14:paraId="5FCEC7BD"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AA699E"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5F3461" w:rsidP="005F3461" w:rsidRDefault="00AA699E"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5F3461" w:rsidTr="00AF6ADC" w14:paraId="54DC5BBB" w14:textId="77777777">
      <w:trPr>
        <w:trHeight w:val="70"/>
      </w:trPr>
      <w:tc>
        <w:tcPr>
          <w:tcW w:w="2552" w:type="dxa"/>
          <w:shd w:val="clear" w:color="auto" w:fill="auto"/>
        </w:tcPr>
        <w:p w:rsidRPr="005C106F" w:rsidR="005F3461" w:rsidP="005F3461" w:rsidRDefault="005F3461"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5F3461" w:rsidTr="00A021B4" w14:paraId="19911F35" w14:textId="77777777">
            <w:trPr>
              <w:trHeight w:val="128"/>
            </w:trPr>
            <w:tc>
              <w:tcPr>
                <w:tcW w:w="2408" w:type="dxa"/>
                <w:vAlign w:val="bottom"/>
              </w:tcPr>
              <w:p w:rsidRPr="008B41A2" w:rsidR="005F3461" w:rsidP="005F3461" w:rsidRDefault="005F3461"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5F3461" w:rsidP="00B43BFA" w:rsidRDefault="005F3461" w14:paraId="79E321B5" w14:textId="24C361E9">
                <w:pPr>
                  <w:tabs>
                    <w:tab w:val="right" w:pos="8838"/>
                  </w:tabs>
                  <w:ind w:left="-28" w:right="683"/>
                  <w:rPr>
                    <w:rFonts w:ascii="Palatino Linotype" w:hAnsi="Palatino Linotype" w:eastAsia="Calibri" w:cs="Tahoma"/>
                    <w:sz w:val="22"/>
                    <w:szCs w:val="22"/>
                  </w:rPr>
                </w:pPr>
                <w:r w:rsidRPr="00782062">
                  <w:rPr>
                    <w:rFonts w:ascii="Palatino Linotype" w:hAnsi="Palatino Linotype" w:eastAsia="Calibri" w:cs="Tahoma"/>
                    <w:sz w:val="22"/>
                    <w:szCs w:val="22"/>
                    <w:lang w:val="es-MX"/>
                  </w:rPr>
                  <w:t>15611/INFOEM/IP/RR/2022</w:t>
                </w:r>
              </w:p>
            </w:tc>
          </w:tr>
          <w:tr w:rsidR="005F3461" w:rsidTr="00A021B4" w14:paraId="5FC9045B" w14:textId="77777777">
            <w:trPr>
              <w:trHeight w:val="251"/>
            </w:trPr>
            <w:tc>
              <w:tcPr>
                <w:tcW w:w="2408" w:type="dxa"/>
              </w:tcPr>
              <w:p w:rsidRPr="008B41A2" w:rsidR="005F3461" w:rsidP="005F3461" w:rsidRDefault="005F3461"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5F3461" w:rsidP="00782062" w:rsidRDefault="005F3461" w14:paraId="5B3372D4" w14:textId="2F1B08BC">
                <w:pPr>
                  <w:tabs>
                    <w:tab w:val="right" w:pos="8838"/>
                  </w:tabs>
                  <w:ind w:right="273"/>
                  <w:jc w:val="both"/>
                  <w:rPr>
                    <w:rFonts w:ascii="Palatino Linotype" w:hAnsi="Palatino Linotype" w:eastAsia="Calibri" w:cs="Tahoma"/>
                    <w:sz w:val="22"/>
                    <w:szCs w:val="22"/>
                    <w:lang w:val="es-MX"/>
                  </w:rPr>
                </w:pPr>
                <w:r w:rsidRPr="00782062">
                  <w:rPr>
                    <w:rFonts w:ascii="Palatino Linotype" w:hAnsi="Palatino Linotype" w:eastAsia="Calibri" w:cs="Tahoma"/>
                    <w:sz w:val="22"/>
                    <w:szCs w:val="22"/>
                  </w:rPr>
                  <w:t>Ayuntamiento de Tecámac</w:t>
                </w:r>
              </w:p>
            </w:tc>
          </w:tr>
          <w:tr w:rsidR="005F3461" w:rsidTr="00A021B4" w14:paraId="0EA3B3B7" w14:textId="77777777">
            <w:trPr>
              <w:trHeight w:val="251"/>
            </w:trPr>
            <w:tc>
              <w:tcPr>
                <w:tcW w:w="2408" w:type="dxa"/>
              </w:tcPr>
              <w:p w:rsidRPr="008B41A2" w:rsidR="005F3461" w:rsidP="005F3461" w:rsidRDefault="005F3461"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5F3461" w:rsidP="005F3461" w:rsidRDefault="005F3461"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5F3461" w:rsidP="005F3461" w:rsidRDefault="005F3461" w14:paraId="39322C5A" w14:textId="77777777">
          <w:pPr>
            <w:tabs>
              <w:tab w:val="right" w:pos="8838"/>
            </w:tabs>
            <w:ind w:left="-28"/>
            <w:rPr>
              <w:rFonts w:ascii="Arial" w:hAnsi="Arial" w:eastAsia="Calibri" w:cs="Arial"/>
              <w:b/>
            </w:rPr>
          </w:pPr>
        </w:p>
      </w:tc>
    </w:tr>
  </w:tbl>
  <w:p w:rsidR="005F3461" w:rsidP="005F3461" w:rsidRDefault="005F3461" w14:paraId="413B7D7D" w14:textId="77777777">
    <w:pPr>
      <w:pStyle w:val="Encabezado"/>
      <w:rPr>
        <w:sz w:val="14"/>
      </w:rPr>
    </w:pPr>
  </w:p>
  <w:p w:rsidRPr="00443C6B" w:rsidR="005F3461" w:rsidP="005F3461" w:rsidRDefault="005F3461"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5F3461" w:rsidTr="07452E46" w14:paraId="0296A02D" w14:textId="77777777">
      <w:trPr>
        <w:trHeight w:val="302"/>
      </w:trPr>
      <w:tc>
        <w:tcPr>
          <w:tcW w:w="2420" w:type="dxa"/>
          <w:tcMar/>
        </w:tcPr>
        <w:p w:rsidRPr="00D3618F" w:rsidR="005F3461" w:rsidP="005F3461" w:rsidRDefault="005F3461"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5F3461" w:rsidP="00E06BA5" w:rsidRDefault="005F3461" w14:paraId="328710A7" w14:textId="6A63AAA5">
          <w:pPr>
            <w:tabs>
              <w:tab w:val="right" w:pos="8838"/>
            </w:tabs>
            <w:ind w:left="-28"/>
            <w:jc w:val="both"/>
            <w:rPr>
              <w:rFonts w:ascii="Palatino Linotype" w:hAnsi="Palatino Linotype" w:eastAsia="Calibri" w:cs="Tahoma"/>
              <w:sz w:val="22"/>
              <w:szCs w:val="22"/>
              <w:lang w:eastAsia="en-US"/>
            </w:rPr>
          </w:pPr>
          <w:r w:rsidRPr="00782062">
            <w:rPr>
              <w:rFonts w:ascii="Palatino Linotype" w:hAnsi="Palatino Linotype" w:eastAsia="Calibri" w:cs="Tahoma"/>
              <w:sz w:val="22"/>
              <w:szCs w:val="22"/>
              <w:lang w:val="es-MX" w:eastAsia="en-US"/>
            </w:rPr>
            <w:t>15611/INFOEM/IP/RR/2022</w:t>
          </w:r>
        </w:p>
      </w:tc>
    </w:tr>
    <w:tr w:rsidRPr="00264223" w:rsidR="005F3461" w:rsidTr="07452E46" w14:paraId="612E08F0" w14:textId="77777777">
      <w:trPr>
        <w:trHeight w:val="110"/>
      </w:trPr>
      <w:tc>
        <w:tcPr>
          <w:tcW w:w="2420" w:type="dxa"/>
          <w:tcMar/>
        </w:tcPr>
        <w:p w:rsidRPr="00D3618F" w:rsidR="005F3461" w:rsidP="005F3461" w:rsidRDefault="005F3461"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5F3461" w:rsidP="07452E46" w:rsidRDefault="00E02E36" w14:paraId="717CF0C7" w14:textId="006731C4">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07452E46" w:rsidR="07452E46">
            <w:rPr>
              <w:rFonts w:ascii="Palatino Linotype" w:hAnsi="Palatino Linotype" w:eastAsia="Calibri" w:cs="Tahoma"/>
              <w:sz w:val="22"/>
              <w:szCs w:val="22"/>
              <w:highlight w:val="black"/>
              <w:lang w:val="es-MX" w:eastAsia="en-US"/>
            </w:rPr>
            <w:t>XXXXXXXXX</w:t>
          </w:r>
        </w:p>
      </w:tc>
    </w:tr>
    <w:tr w:rsidRPr="00264223" w:rsidR="005F3461" w:rsidTr="07452E46" w14:paraId="3A9CDB69" w14:textId="77777777">
      <w:trPr>
        <w:trHeight w:val="248"/>
      </w:trPr>
      <w:tc>
        <w:tcPr>
          <w:tcW w:w="2420" w:type="dxa"/>
          <w:tcMar/>
        </w:tcPr>
        <w:p w:rsidRPr="00D3618F" w:rsidR="005F3461" w:rsidP="005F3461" w:rsidRDefault="005F3461"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5F3461" w:rsidP="00782062" w:rsidRDefault="005F3461" w14:paraId="7E37B80E" w14:textId="41E4B015">
          <w:pPr>
            <w:tabs>
              <w:tab w:val="right" w:pos="8838"/>
            </w:tabs>
            <w:jc w:val="both"/>
            <w:rPr>
              <w:rFonts w:ascii="Palatino Linotype" w:hAnsi="Palatino Linotype" w:eastAsia="Calibri" w:cs="Tahoma"/>
              <w:sz w:val="22"/>
              <w:szCs w:val="22"/>
              <w:lang w:val="es-MX" w:eastAsia="en-US"/>
            </w:rPr>
          </w:pPr>
          <w:r w:rsidRPr="00782062">
            <w:rPr>
              <w:rFonts w:ascii="Palatino Linotype" w:hAnsi="Palatino Linotype" w:eastAsia="Calibri" w:cs="Tahoma"/>
              <w:sz w:val="22"/>
              <w:szCs w:val="22"/>
              <w:lang w:eastAsia="en-US"/>
            </w:rPr>
            <w:t>Ayuntamiento de Tecámac</w:t>
          </w:r>
        </w:p>
      </w:tc>
    </w:tr>
    <w:tr w:rsidRPr="00264223" w:rsidR="005F3461" w:rsidTr="07452E46" w14:paraId="1AF8B0BB" w14:textId="77777777">
      <w:trPr>
        <w:trHeight w:val="248"/>
      </w:trPr>
      <w:tc>
        <w:tcPr>
          <w:tcW w:w="2420" w:type="dxa"/>
          <w:tcMar/>
        </w:tcPr>
        <w:p w:rsidRPr="00D3618F" w:rsidR="005F3461" w:rsidP="005F3461" w:rsidRDefault="005F3461"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5F3461" w:rsidP="00E06BA5" w:rsidRDefault="005F3461"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F3461" w:rsidP="00E06BA5" w:rsidRDefault="00AA699E"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1D36DBA"/>
    <w:multiLevelType w:val="hybridMultilevel"/>
    <w:tmpl w:val="9BB4C1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2F2B52D5"/>
    <w:multiLevelType w:val="hybridMultilevel"/>
    <w:tmpl w:val="9AB0BA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5"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7"/>
  </w:num>
  <w:num w:numId="2">
    <w:abstractNumId w:val="34"/>
  </w:num>
  <w:num w:numId="3">
    <w:abstractNumId w:val="17"/>
  </w:num>
  <w:num w:numId="4">
    <w:abstractNumId w:val="37"/>
  </w:num>
  <w:num w:numId="5">
    <w:abstractNumId w:val="10"/>
  </w:num>
  <w:num w:numId="6">
    <w:abstractNumId w:val="2"/>
  </w:num>
  <w:num w:numId="7">
    <w:abstractNumId w:val="15"/>
  </w:num>
  <w:num w:numId="8">
    <w:abstractNumId w:val="40"/>
  </w:num>
  <w:num w:numId="9">
    <w:abstractNumId w:val="36"/>
  </w:num>
  <w:num w:numId="10">
    <w:abstractNumId w:val="33"/>
  </w:num>
  <w:num w:numId="11">
    <w:abstractNumId w:val="23"/>
  </w:num>
  <w:num w:numId="12">
    <w:abstractNumId w:val="19"/>
  </w:num>
  <w:num w:numId="13">
    <w:abstractNumId w:val="43"/>
  </w:num>
  <w:num w:numId="14">
    <w:abstractNumId w:val="26"/>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5"/>
  </w:num>
  <w:num w:numId="20">
    <w:abstractNumId w:val="47"/>
  </w:num>
  <w:num w:numId="21">
    <w:abstractNumId w:val="44"/>
  </w:num>
  <w:num w:numId="22">
    <w:abstractNumId w:val="18"/>
  </w:num>
  <w:num w:numId="23">
    <w:abstractNumId w:val="20"/>
  </w:num>
  <w:num w:numId="24">
    <w:abstractNumId w:val="25"/>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46"/>
  </w:num>
  <w:num w:numId="30">
    <w:abstractNumId w:val="38"/>
  </w:num>
  <w:num w:numId="31">
    <w:abstractNumId w:val="31"/>
  </w:num>
  <w:num w:numId="32">
    <w:abstractNumId w:val="8"/>
  </w:num>
  <w:num w:numId="33">
    <w:abstractNumId w:val="24"/>
  </w:num>
  <w:num w:numId="34">
    <w:abstractNumId w:val="6"/>
  </w:num>
  <w:num w:numId="35">
    <w:abstractNumId w:val="30"/>
  </w:num>
  <w:num w:numId="36">
    <w:abstractNumId w:val="39"/>
  </w:num>
  <w:num w:numId="37">
    <w:abstractNumId w:val="0"/>
  </w:num>
  <w:num w:numId="38">
    <w:abstractNumId w:val="28"/>
  </w:num>
  <w:num w:numId="39">
    <w:abstractNumId w:val="29"/>
  </w:num>
  <w:num w:numId="40">
    <w:abstractNumId w:val="22"/>
  </w:num>
  <w:num w:numId="41">
    <w:abstractNumId w:val="45"/>
  </w:num>
  <w:num w:numId="42">
    <w:abstractNumId w:val="1"/>
  </w:num>
  <w:num w:numId="43">
    <w:abstractNumId w:val="9"/>
  </w:num>
  <w:num w:numId="44">
    <w:abstractNumId w:val="32"/>
  </w:num>
  <w:num w:numId="45">
    <w:abstractNumId w:val="14"/>
  </w:num>
  <w:num w:numId="46">
    <w:abstractNumId w:val="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2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074BF"/>
    <w:rsid w:val="00011665"/>
    <w:rsid w:val="0002223D"/>
    <w:rsid w:val="000227D4"/>
    <w:rsid w:val="00041105"/>
    <w:rsid w:val="00042AF8"/>
    <w:rsid w:val="00046E37"/>
    <w:rsid w:val="000500C2"/>
    <w:rsid w:val="00053263"/>
    <w:rsid w:val="00057F3C"/>
    <w:rsid w:val="00061CF3"/>
    <w:rsid w:val="00091543"/>
    <w:rsid w:val="000A0CEF"/>
    <w:rsid w:val="000A65B6"/>
    <w:rsid w:val="000B6C16"/>
    <w:rsid w:val="000C31E9"/>
    <w:rsid w:val="000C37FA"/>
    <w:rsid w:val="000D4580"/>
    <w:rsid w:val="000E606C"/>
    <w:rsid w:val="000F1A23"/>
    <w:rsid w:val="000F5957"/>
    <w:rsid w:val="001013A5"/>
    <w:rsid w:val="00102665"/>
    <w:rsid w:val="001120F6"/>
    <w:rsid w:val="0012783F"/>
    <w:rsid w:val="00131B30"/>
    <w:rsid w:val="00135E85"/>
    <w:rsid w:val="00137BB0"/>
    <w:rsid w:val="00140BF0"/>
    <w:rsid w:val="0014223F"/>
    <w:rsid w:val="001440F3"/>
    <w:rsid w:val="0014762D"/>
    <w:rsid w:val="001507B4"/>
    <w:rsid w:val="00150B3D"/>
    <w:rsid w:val="00154666"/>
    <w:rsid w:val="001567FA"/>
    <w:rsid w:val="00156E72"/>
    <w:rsid w:val="00161D14"/>
    <w:rsid w:val="00165C2C"/>
    <w:rsid w:val="001843B4"/>
    <w:rsid w:val="001875A9"/>
    <w:rsid w:val="001904EF"/>
    <w:rsid w:val="00190D99"/>
    <w:rsid w:val="001B246F"/>
    <w:rsid w:val="001B3B9E"/>
    <w:rsid w:val="001B4158"/>
    <w:rsid w:val="001C0F48"/>
    <w:rsid w:val="001C371F"/>
    <w:rsid w:val="001C759E"/>
    <w:rsid w:val="001D0721"/>
    <w:rsid w:val="001D0B1F"/>
    <w:rsid w:val="001D7087"/>
    <w:rsid w:val="001E1338"/>
    <w:rsid w:val="001E78ED"/>
    <w:rsid w:val="001F27B3"/>
    <w:rsid w:val="001F36FC"/>
    <w:rsid w:val="001F52E3"/>
    <w:rsid w:val="001F566D"/>
    <w:rsid w:val="00200F81"/>
    <w:rsid w:val="00201AA5"/>
    <w:rsid w:val="00207F72"/>
    <w:rsid w:val="00212EC6"/>
    <w:rsid w:val="00221416"/>
    <w:rsid w:val="00225E32"/>
    <w:rsid w:val="002365A5"/>
    <w:rsid w:val="00242575"/>
    <w:rsid w:val="002425E2"/>
    <w:rsid w:val="00243DBC"/>
    <w:rsid w:val="00244FC7"/>
    <w:rsid w:val="002460D9"/>
    <w:rsid w:val="00247B00"/>
    <w:rsid w:val="00256424"/>
    <w:rsid w:val="00263744"/>
    <w:rsid w:val="00267CF6"/>
    <w:rsid w:val="0027557D"/>
    <w:rsid w:val="00283363"/>
    <w:rsid w:val="00285630"/>
    <w:rsid w:val="00285A9C"/>
    <w:rsid w:val="00286FC0"/>
    <w:rsid w:val="002979D3"/>
    <w:rsid w:val="002A40CB"/>
    <w:rsid w:val="002A469E"/>
    <w:rsid w:val="002A49D0"/>
    <w:rsid w:val="002A7B9E"/>
    <w:rsid w:val="002B025D"/>
    <w:rsid w:val="002B0427"/>
    <w:rsid w:val="002B1BBE"/>
    <w:rsid w:val="002C073E"/>
    <w:rsid w:val="002C356D"/>
    <w:rsid w:val="002D5C1D"/>
    <w:rsid w:val="002D6121"/>
    <w:rsid w:val="002F3B8D"/>
    <w:rsid w:val="002F3D3B"/>
    <w:rsid w:val="002F62E6"/>
    <w:rsid w:val="003013EC"/>
    <w:rsid w:val="00305AF4"/>
    <w:rsid w:val="0031159D"/>
    <w:rsid w:val="00311CA5"/>
    <w:rsid w:val="00314625"/>
    <w:rsid w:val="0031567C"/>
    <w:rsid w:val="00330AE8"/>
    <w:rsid w:val="003336F8"/>
    <w:rsid w:val="00341710"/>
    <w:rsid w:val="00344AEB"/>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A22DE"/>
    <w:rsid w:val="003B0494"/>
    <w:rsid w:val="003B4E6E"/>
    <w:rsid w:val="003C0E2C"/>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233D4"/>
    <w:rsid w:val="00430266"/>
    <w:rsid w:val="0043243E"/>
    <w:rsid w:val="00437FA1"/>
    <w:rsid w:val="00443F40"/>
    <w:rsid w:val="00450D31"/>
    <w:rsid w:val="00452014"/>
    <w:rsid w:val="00453B05"/>
    <w:rsid w:val="0045563D"/>
    <w:rsid w:val="00461E91"/>
    <w:rsid w:val="00463F05"/>
    <w:rsid w:val="00467E46"/>
    <w:rsid w:val="00475BFB"/>
    <w:rsid w:val="00483128"/>
    <w:rsid w:val="00485D00"/>
    <w:rsid w:val="00486CD6"/>
    <w:rsid w:val="00497F35"/>
    <w:rsid w:val="004A0B13"/>
    <w:rsid w:val="004A4A62"/>
    <w:rsid w:val="004B22AD"/>
    <w:rsid w:val="004B24EF"/>
    <w:rsid w:val="004C3C05"/>
    <w:rsid w:val="004C636B"/>
    <w:rsid w:val="004D726A"/>
    <w:rsid w:val="004E0D54"/>
    <w:rsid w:val="004F45D5"/>
    <w:rsid w:val="004F4774"/>
    <w:rsid w:val="00501A5E"/>
    <w:rsid w:val="0050715D"/>
    <w:rsid w:val="00510B7F"/>
    <w:rsid w:val="00511CFF"/>
    <w:rsid w:val="0051321B"/>
    <w:rsid w:val="0052168E"/>
    <w:rsid w:val="00522D01"/>
    <w:rsid w:val="0052368A"/>
    <w:rsid w:val="00525A8A"/>
    <w:rsid w:val="00532E87"/>
    <w:rsid w:val="00533909"/>
    <w:rsid w:val="00533D48"/>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A71"/>
    <w:rsid w:val="00580E40"/>
    <w:rsid w:val="0058347D"/>
    <w:rsid w:val="00586C7F"/>
    <w:rsid w:val="005A117F"/>
    <w:rsid w:val="005A56BF"/>
    <w:rsid w:val="005A78BC"/>
    <w:rsid w:val="005B1591"/>
    <w:rsid w:val="005B2724"/>
    <w:rsid w:val="005B28D5"/>
    <w:rsid w:val="005D02A6"/>
    <w:rsid w:val="005D7143"/>
    <w:rsid w:val="005E1ED0"/>
    <w:rsid w:val="005E5B10"/>
    <w:rsid w:val="005E7B22"/>
    <w:rsid w:val="005F3461"/>
    <w:rsid w:val="005F7F1D"/>
    <w:rsid w:val="00600CBA"/>
    <w:rsid w:val="006041D2"/>
    <w:rsid w:val="00605324"/>
    <w:rsid w:val="0061307F"/>
    <w:rsid w:val="006138AA"/>
    <w:rsid w:val="00615F5E"/>
    <w:rsid w:val="00622A40"/>
    <w:rsid w:val="0063645E"/>
    <w:rsid w:val="00646ED4"/>
    <w:rsid w:val="00646F2C"/>
    <w:rsid w:val="00647F5E"/>
    <w:rsid w:val="00651A13"/>
    <w:rsid w:val="00651CBC"/>
    <w:rsid w:val="006528FC"/>
    <w:rsid w:val="00654867"/>
    <w:rsid w:val="006569DA"/>
    <w:rsid w:val="00657DAD"/>
    <w:rsid w:val="0066424F"/>
    <w:rsid w:val="00673937"/>
    <w:rsid w:val="0067417F"/>
    <w:rsid w:val="006762A8"/>
    <w:rsid w:val="0068048C"/>
    <w:rsid w:val="006869B3"/>
    <w:rsid w:val="0069111A"/>
    <w:rsid w:val="00694683"/>
    <w:rsid w:val="00697530"/>
    <w:rsid w:val="006A2922"/>
    <w:rsid w:val="006A397F"/>
    <w:rsid w:val="006A40B6"/>
    <w:rsid w:val="006A6335"/>
    <w:rsid w:val="006B0EDC"/>
    <w:rsid w:val="006B123A"/>
    <w:rsid w:val="006B1909"/>
    <w:rsid w:val="006B42FD"/>
    <w:rsid w:val="006B70AE"/>
    <w:rsid w:val="006C7888"/>
    <w:rsid w:val="006D624E"/>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2062"/>
    <w:rsid w:val="00785507"/>
    <w:rsid w:val="00785563"/>
    <w:rsid w:val="00796584"/>
    <w:rsid w:val="007B0305"/>
    <w:rsid w:val="007B06F7"/>
    <w:rsid w:val="007B6774"/>
    <w:rsid w:val="007C3692"/>
    <w:rsid w:val="007D165C"/>
    <w:rsid w:val="007D251E"/>
    <w:rsid w:val="007D27B6"/>
    <w:rsid w:val="007D6069"/>
    <w:rsid w:val="007E4724"/>
    <w:rsid w:val="007E6BB3"/>
    <w:rsid w:val="007E7CE1"/>
    <w:rsid w:val="007F1526"/>
    <w:rsid w:val="007F610D"/>
    <w:rsid w:val="0080704F"/>
    <w:rsid w:val="008142FA"/>
    <w:rsid w:val="00814BA4"/>
    <w:rsid w:val="00817B26"/>
    <w:rsid w:val="00823EE0"/>
    <w:rsid w:val="00825AC4"/>
    <w:rsid w:val="008305EC"/>
    <w:rsid w:val="00830C1C"/>
    <w:rsid w:val="0083345D"/>
    <w:rsid w:val="0083373C"/>
    <w:rsid w:val="00835910"/>
    <w:rsid w:val="00836858"/>
    <w:rsid w:val="00841274"/>
    <w:rsid w:val="00846822"/>
    <w:rsid w:val="00847CE9"/>
    <w:rsid w:val="00851384"/>
    <w:rsid w:val="008537FC"/>
    <w:rsid w:val="008624BC"/>
    <w:rsid w:val="008640E0"/>
    <w:rsid w:val="00867A39"/>
    <w:rsid w:val="00876E04"/>
    <w:rsid w:val="00890A3A"/>
    <w:rsid w:val="008959FD"/>
    <w:rsid w:val="00896C40"/>
    <w:rsid w:val="008A69CA"/>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23D2C"/>
    <w:rsid w:val="0092440D"/>
    <w:rsid w:val="009245F5"/>
    <w:rsid w:val="0092732B"/>
    <w:rsid w:val="00930F5B"/>
    <w:rsid w:val="009418F2"/>
    <w:rsid w:val="00941F39"/>
    <w:rsid w:val="00944027"/>
    <w:rsid w:val="00944B5C"/>
    <w:rsid w:val="00945867"/>
    <w:rsid w:val="00945D21"/>
    <w:rsid w:val="00946E3D"/>
    <w:rsid w:val="00952ABF"/>
    <w:rsid w:val="00954468"/>
    <w:rsid w:val="00954868"/>
    <w:rsid w:val="009652C3"/>
    <w:rsid w:val="009656E5"/>
    <w:rsid w:val="00965C5B"/>
    <w:rsid w:val="00966F9B"/>
    <w:rsid w:val="00966FFF"/>
    <w:rsid w:val="0097069D"/>
    <w:rsid w:val="00972688"/>
    <w:rsid w:val="00977B7D"/>
    <w:rsid w:val="00981561"/>
    <w:rsid w:val="00983CE8"/>
    <w:rsid w:val="00984724"/>
    <w:rsid w:val="00984D58"/>
    <w:rsid w:val="00986D11"/>
    <w:rsid w:val="0099096D"/>
    <w:rsid w:val="0099215D"/>
    <w:rsid w:val="00993E89"/>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A699E"/>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3A30"/>
    <w:rsid w:val="00B03EDE"/>
    <w:rsid w:val="00B101A9"/>
    <w:rsid w:val="00B12743"/>
    <w:rsid w:val="00B25D10"/>
    <w:rsid w:val="00B2644B"/>
    <w:rsid w:val="00B27233"/>
    <w:rsid w:val="00B32716"/>
    <w:rsid w:val="00B3694D"/>
    <w:rsid w:val="00B43BFA"/>
    <w:rsid w:val="00B5003B"/>
    <w:rsid w:val="00B55179"/>
    <w:rsid w:val="00B5595F"/>
    <w:rsid w:val="00B56A54"/>
    <w:rsid w:val="00B613D5"/>
    <w:rsid w:val="00B6798C"/>
    <w:rsid w:val="00B71C2B"/>
    <w:rsid w:val="00B71EEE"/>
    <w:rsid w:val="00B7344D"/>
    <w:rsid w:val="00B738E0"/>
    <w:rsid w:val="00B77C41"/>
    <w:rsid w:val="00B828E2"/>
    <w:rsid w:val="00B86D0D"/>
    <w:rsid w:val="00B91719"/>
    <w:rsid w:val="00B946CE"/>
    <w:rsid w:val="00BA012E"/>
    <w:rsid w:val="00BA0ACE"/>
    <w:rsid w:val="00BA0B7F"/>
    <w:rsid w:val="00BA6085"/>
    <w:rsid w:val="00BB2B58"/>
    <w:rsid w:val="00BB38FC"/>
    <w:rsid w:val="00BB545F"/>
    <w:rsid w:val="00BB56EF"/>
    <w:rsid w:val="00BB6380"/>
    <w:rsid w:val="00BB69EF"/>
    <w:rsid w:val="00BC2FD2"/>
    <w:rsid w:val="00BC4DCF"/>
    <w:rsid w:val="00BC4E30"/>
    <w:rsid w:val="00BC5193"/>
    <w:rsid w:val="00BD3344"/>
    <w:rsid w:val="00BE2986"/>
    <w:rsid w:val="00BE4C73"/>
    <w:rsid w:val="00BF14ED"/>
    <w:rsid w:val="00BF19D2"/>
    <w:rsid w:val="00C03811"/>
    <w:rsid w:val="00C039D4"/>
    <w:rsid w:val="00C1189C"/>
    <w:rsid w:val="00C12628"/>
    <w:rsid w:val="00C1369F"/>
    <w:rsid w:val="00C17433"/>
    <w:rsid w:val="00C22667"/>
    <w:rsid w:val="00C23B57"/>
    <w:rsid w:val="00C24093"/>
    <w:rsid w:val="00C25E9D"/>
    <w:rsid w:val="00C307D2"/>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36D5"/>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271C4"/>
    <w:rsid w:val="00D3439B"/>
    <w:rsid w:val="00D3482D"/>
    <w:rsid w:val="00D34C71"/>
    <w:rsid w:val="00D3577B"/>
    <w:rsid w:val="00D357A4"/>
    <w:rsid w:val="00D3649E"/>
    <w:rsid w:val="00D37B22"/>
    <w:rsid w:val="00D44317"/>
    <w:rsid w:val="00D45413"/>
    <w:rsid w:val="00D5420F"/>
    <w:rsid w:val="00D6284F"/>
    <w:rsid w:val="00D6464E"/>
    <w:rsid w:val="00D66241"/>
    <w:rsid w:val="00D66AF5"/>
    <w:rsid w:val="00D71B3E"/>
    <w:rsid w:val="00D73E54"/>
    <w:rsid w:val="00D761B6"/>
    <w:rsid w:val="00D94DA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36"/>
    <w:rsid w:val="00E02E8F"/>
    <w:rsid w:val="00E03817"/>
    <w:rsid w:val="00E04FF9"/>
    <w:rsid w:val="00E06BA5"/>
    <w:rsid w:val="00E11A73"/>
    <w:rsid w:val="00E15395"/>
    <w:rsid w:val="00E209FC"/>
    <w:rsid w:val="00E22215"/>
    <w:rsid w:val="00E2314B"/>
    <w:rsid w:val="00E24075"/>
    <w:rsid w:val="00E25C61"/>
    <w:rsid w:val="00E3439B"/>
    <w:rsid w:val="00E35B9A"/>
    <w:rsid w:val="00E42633"/>
    <w:rsid w:val="00E46B98"/>
    <w:rsid w:val="00E5662F"/>
    <w:rsid w:val="00E61D50"/>
    <w:rsid w:val="00E62F3C"/>
    <w:rsid w:val="00E64564"/>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584D"/>
    <w:rsid w:val="00EF62C1"/>
    <w:rsid w:val="00F005E6"/>
    <w:rsid w:val="00F04C66"/>
    <w:rsid w:val="00F06FBA"/>
    <w:rsid w:val="00F070C7"/>
    <w:rsid w:val="00F100DD"/>
    <w:rsid w:val="00F20BDB"/>
    <w:rsid w:val="00F30C0E"/>
    <w:rsid w:val="00F40F07"/>
    <w:rsid w:val="00F41BDB"/>
    <w:rsid w:val="00F44F10"/>
    <w:rsid w:val="00F4556A"/>
    <w:rsid w:val="00F46B4A"/>
    <w:rsid w:val="00F47135"/>
    <w:rsid w:val="00F57C4C"/>
    <w:rsid w:val="00F74A11"/>
    <w:rsid w:val="00F838CE"/>
    <w:rsid w:val="00FA1017"/>
    <w:rsid w:val="00FA74D3"/>
    <w:rsid w:val="00FB1090"/>
    <w:rsid w:val="00FB27E1"/>
    <w:rsid w:val="00FB4F87"/>
    <w:rsid w:val="00FB6698"/>
    <w:rsid w:val="00FC4947"/>
    <w:rsid w:val="00FC7A26"/>
    <w:rsid w:val="00FD1F42"/>
    <w:rsid w:val="00FD61F9"/>
    <w:rsid w:val="00FE5B29"/>
    <w:rsid w:val="00FE609E"/>
    <w:rsid w:val="00FE6964"/>
    <w:rsid w:val="00FF2D57"/>
    <w:rsid w:val="00FF434E"/>
    <w:rsid w:val="00FF459A"/>
    <w:rsid w:val="00FF7945"/>
    <w:rsid w:val="07452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1A73"/>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UnresolvedMention" w:customStyle="1">
    <w:name w:val="Unresolved Mention"/>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character" w:styleId="normaltextrun" w:customStyle="1">
    <w:name w:val="normaltextrun"/>
    <w:basedOn w:val="Fuentedeprrafopredeter"/>
    <w:rsid w:val="00FA1017"/>
  </w:style>
  <w:style w:type="character" w:styleId="eop" w:customStyle="1">
    <w:name w:val="eop"/>
    <w:basedOn w:val="Fuentedeprrafopredeter"/>
    <w:rsid w:val="00FA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6922234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178157717">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67711022">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ecamac.gob.mx/archivos/gacetas_municipales/2022/g23.pdf" TargetMode="External" Id="rId8" /><Relationship Type="http://schemas.openxmlformats.org/officeDocument/2006/relationships/image" Target="media/image5.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jpe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1.xml" Id="rId14" /><Relationship Type="http://schemas.openxmlformats.org/officeDocument/2006/relationships/glossaryDocument" Target="glossary/document.xml" Id="R733e38b5eb3343ff"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c24bf6-17fd-41db-bf27-c0d53b168a40}"/>
      </w:docPartPr>
      <w:docPartBody>
        <w:p w14:paraId="6E495E0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CE3A-2110-4571-A61B-490975B9E3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2023-01-25T19:29:00.0000000Z</dcterms:created>
  <dcterms:modified xsi:type="dcterms:W3CDTF">2023-03-09T16:21:33.6768341Z</dcterms:modified>
</coreProperties>
</file>