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treinta y uno de mayo de dos mil veintitrés.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15774/INFOEM/IP/RR/2022</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un particular que no proporcionó nombre o seudónimo</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por parte del </w:t>
      </w:r>
      <w:r w:rsidDel="00000000" w:rsidR="00000000" w:rsidRPr="00000000">
        <w:rPr>
          <w:rFonts w:ascii="Palatino Linotype" w:cs="Palatino Linotype" w:eastAsia="Palatino Linotype" w:hAnsi="Palatino Linotype"/>
          <w:b w:val="1"/>
          <w:rtl w:val="0"/>
        </w:rPr>
        <w:t xml:space="preserve">Ayuntamiento de Coacalco de Berriozábal,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veintidós de septiembre de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00345/COACALCO/IP/2022,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Rule="auto"/>
        <w:ind w:left="851" w:right="902" w:firstLine="0"/>
        <w:jc w:val="both"/>
        <w:rPr>
          <w:rFonts w:ascii="Palatino Linotype" w:cs="Palatino Linotype" w:eastAsia="Palatino Linotype" w:hAnsi="Palatino Linotype"/>
          <w:b w:val="1"/>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 “Todas las facturas pagadas por el ayuntamiento de Coacalco en los meses de Junio, Julio, Agosto y hasta el día de hoy</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w:t>
      </w:r>
      <w:r w:rsidDel="00000000" w:rsidR="00000000" w:rsidRPr="00000000">
        <w:rPr>
          <w:rFonts w:ascii="Palatino Linotype" w:cs="Palatino Linotype" w:eastAsia="Palatino Linotype" w:hAnsi="Palatino Linotype"/>
          <w:b w:val="1"/>
          <w:rtl w:val="0"/>
        </w:rPr>
        <w:t xml:space="preserve">de SAIMEX</w:t>
      </w:r>
      <w:r w:rsidDel="00000000" w:rsidR="00000000" w:rsidRPr="00000000">
        <w:rPr>
          <w:rtl w:val="0"/>
        </w:rPr>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b w:val="1"/>
        </w:rPr>
      </w:pPr>
      <w:bookmarkStart w:colFirst="0" w:colLast="0" w:name="_heading=h.3dy6vkm" w:id="1"/>
      <w:bookmarkEnd w:id="1"/>
      <w:r w:rsidDel="00000000" w:rsidR="00000000" w:rsidRPr="00000000">
        <w:rPr>
          <w:rFonts w:ascii="Palatino Linotype" w:cs="Palatino Linotype" w:eastAsia="Palatino Linotype" w:hAnsi="Palatino Linotype"/>
          <w:b w:val="1"/>
          <w:rtl w:val="0"/>
        </w:rPr>
        <w:t xml:space="preserve">2. Prórroga.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trece de octubre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solicitó prórroga mediante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argumentando lo siguiente:</w:t>
      </w:r>
      <w:r w:rsidDel="00000000" w:rsidR="00000000" w:rsidRPr="00000000">
        <w:rPr>
          <w:rtl w:val="0"/>
        </w:rPr>
      </w:r>
    </w:p>
    <w:p w:rsidR="00000000" w:rsidDel="00000000" w:rsidP="00000000" w:rsidRDefault="00000000" w:rsidRPr="00000000" w14:paraId="00000008">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09">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atención a la prórroga solicitada por parte de la Tesorería Municipal, el comité de Transparencia en la trigésima segunda sesión extraordinaria de fecha diez de octubre del presente, por unanimidad aprobó la prórroga con la finalidad de que dicha área recabe la información solicitada y de cumplimiento al folio 00345/COACALCO/IP/2022...”</w:t>
      </w:r>
    </w:p>
    <w:p w:rsidR="00000000" w:rsidDel="00000000" w:rsidP="00000000" w:rsidRDefault="00000000" w:rsidRPr="00000000" w14:paraId="0000000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refiere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rsidR="00000000" w:rsidDel="00000000" w:rsidP="00000000" w:rsidRDefault="00000000" w:rsidRPr="00000000" w14:paraId="0000000B">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Respuesta. </w:t>
      </w:r>
      <w:r w:rsidDel="00000000" w:rsidR="00000000" w:rsidRPr="00000000">
        <w:rPr>
          <w:rFonts w:ascii="Palatino Linotype" w:cs="Palatino Linotype" w:eastAsia="Palatino Linotype" w:hAnsi="Palatino Linotype"/>
          <w:rtl w:val="0"/>
        </w:rPr>
        <w:t xml:space="preserve">Con fecha</w:t>
      </w:r>
      <w:r w:rsidDel="00000000" w:rsidR="00000000" w:rsidRPr="00000000">
        <w:rPr>
          <w:rFonts w:ascii="Palatino Linotype" w:cs="Palatino Linotype" w:eastAsia="Palatino Linotype" w:hAnsi="Palatino Linotype"/>
          <w:b w:val="1"/>
          <w:rtl w:val="0"/>
        </w:rPr>
        <w:t xml:space="preserve"> veinticuatro de octubre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C">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“…le contestamos que:</w:t>
      </w:r>
    </w:p>
    <w:p w:rsidR="00000000" w:rsidDel="00000000" w:rsidP="00000000" w:rsidRDefault="00000000" w:rsidRPr="00000000" w14:paraId="0000000D">
      <w:pPr>
        <w:spacing w:after="240" w:before="24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artículo 53 Fracción II y 163 de la Ley de Transparencia y Acceso a la Información Pública del Estado de México y Municipios, se da respuesta a la presente solicitud con el oficio que emite la Tesorería Municipal del cual se anexa copia, así como la respuesta integradora por parte de la Unidad de Transparencia cumpliendo en tiempo y forma con lo solicitado...” (sic)</w:t>
      </w:r>
      <w:r w:rsidDel="00000000" w:rsidR="00000000" w:rsidRPr="00000000">
        <w:rPr>
          <w:rtl w:val="0"/>
        </w:rPr>
      </w:r>
    </w:p>
    <w:p w:rsidR="00000000" w:rsidDel="00000000" w:rsidP="00000000" w:rsidRDefault="00000000" w:rsidRPr="00000000" w14:paraId="0000000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adjuntó lo siguiente:</w:t>
      </w:r>
    </w:p>
    <w:p w:rsidR="00000000" w:rsidDel="00000000" w:rsidP="00000000" w:rsidRDefault="00000000" w:rsidRPr="00000000" w14:paraId="0000000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PM/UT/CAMG/1234/2022, de fecha veinticuatro de octubre de dos mil veintidós, signado por el Titular de la Unidad de Transparencia y Protección de Datos Personales, mediante el cual notifica la respuesta emitida por la Tesorería Municipal.</w:t>
      </w:r>
    </w:p>
    <w:p w:rsidR="00000000" w:rsidDel="00000000" w:rsidP="00000000" w:rsidRDefault="00000000" w:rsidRPr="00000000" w14:paraId="0000001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TM/1706/2022, de fecha diecinueve de octubre de dos mil veintidós, signado por la Coordinadora de Jurídico adscrita a la Tesorería Municipal, mediante el cual, en atención a la solicitud de información, manifestó que  la información solicitada se trataba de documentos que remiten de manera física las dependencias administrativas del Sujeto Obligado, las cuales -facturas- se integran a los expedientes correspondientes, sin que sean integradas a un mismo expediente, sino que se encuentran en variadas carpetas dentro del archivo de trámite y concentración, asimismo señaló que dicha documentación puede contener datos personales como Registro Federal de Contribuyentes, domicilio, sello digital y código QR, que deben ser protegidos al considerarse como información confidencial, con fundamento en lo dispuesto por el artículo 143, fracción I de la Ley de Transparencia y Acceso a la Información Pública del Estado de México y Municipios, precisando que no toda la información que integra las facturas pagadas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es información pública, más aún cuando los proveedores son personas físicas.</w:t>
      </w:r>
    </w:p>
    <w:p w:rsidR="00000000" w:rsidDel="00000000" w:rsidP="00000000" w:rsidRDefault="00000000" w:rsidRPr="00000000" w14:paraId="0000001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refiere que de la información solicitada, es decir, las facturas pagadas por el Ayuntamiento en los meses de junio, julio, agosto y hasta el 22 de septiembre de dos mil veintidós, existen aproximadamente 60 carpetas con 200 hojas cada una, en las que se debe revisar documento por documento para acceder a todas las facturas pagadas del periodo comprendido del 01 de junio al 22 de septiembre de dos mil veintidós, y, una vez filtrada la información se deberá realizar el análisis de documentos respecto a los datos personales que pudieran contener las facturas y que sean susceptibles de clasificarse, a efecto de realizar la versión pública para ponerla  a disposición de la persona solicitante, previa aprobación del Comité de Transparencia.</w:t>
      </w:r>
    </w:p>
    <w:p w:rsidR="00000000" w:rsidDel="00000000" w:rsidP="00000000" w:rsidRDefault="00000000" w:rsidRPr="00000000" w14:paraId="00000012">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manera, la servidora pública habilitada de la Tesorería Municipal refirió que sólo cuenta con un servidor público que da atención a los requerimientos de la Unidad de Transparencia y este a su vez, tiene diversas funciones asignadas, razón por la cual las capacidades técnicas y humanas de dicha Dependencia se ven sobrepasadas, dado que para atender cabalmente la solicitud de información se requiere llevar a cabo el análisis, estudio o procesamiento de documentos y elaboración de versiones públicas, así como proyectos para su clasificación, lo cual implicaría destinar un número significativo de días, horas y personal exclusivo para atender dicho requerimiento, sin embargo, esto impediría la correcta realización de las demás actividades y atribuciones a cargo de la Tesorería Municipal pudiendo dañar notoriamente el cumplimiento de sus obligaciones y con ello la afectación al correcto funcionamiento de la administración pública municipal del Sujeto Obligado.</w:t>
      </w:r>
    </w:p>
    <w:p w:rsidR="00000000" w:rsidDel="00000000" w:rsidP="00000000" w:rsidRDefault="00000000" w:rsidRPr="00000000" w14:paraId="00000013">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Atendiendo a lo anterior, en pro de tutelar y garantizar la transparencia y el derecho humano al acceso a la información pública, solicitó, con fundamento en lo dispuesto por los artículos 158 y 164 de la Ley de Transparencia Estatal, se cambie la modalidad de entrega de la información y se ponga a disposición del solicitante, los documentos en consulta directa, salvo la información clasificada, dado que el procesamiento de la información para dar respuesta a la solicitud, sobrepasa las capacidades técnicas, administrativas y humanas que dispone la Tesorería Municipal, solicitando se turnara el asunto al Comité de Transparencia para que dictamine la procedencia y se establezcan días y horarios hábiles en los que el particular pueda acudir a realizar la consulta, para lo cual propuso el horario de 09:30 a 17:00 horas de lunes a viernes, acudiendo a la Tesorería Municipal previa cita con la Coordinadora de Jurídico adscrita a la Tesorería Municipal.</w:t>
      </w:r>
    </w:p>
    <w:p w:rsidR="00000000" w:rsidDel="00000000" w:rsidP="00000000" w:rsidRDefault="00000000" w:rsidRPr="00000000" w14:paraId="00000014">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Fragmento del Acta del Comité de Transparencia mediante la cual se sometió a consideración del Comité, como punto 7 el orden del día el Análisis y en su caso confirmación, modificación o revocación de la versión pública de información que obra en la Tesorería Municipal, que guarda relación con la solicitud 00345/COACALCO/IP/2022.</w:t>
      </w:r>
    </w:p>
    <w:p w:rsidR="00000000" w:rsidDel="00000000" w:rsidP="00000000" w:rsidRDefault="00000000" w:rsidRPr="00000000" w14:paraId="0000001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veinticuatro de octubre de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16">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17">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CAMBIO EN LA MODALIDAD DE ENTREGA DE LA INFORMACIÓN” (sic)</w:t>
      </w:r>
    </w:p>
    <w:p w:rsidR="00000000" w:rsidDel="00000000" w:rsidP="00000000" w:rsidRDefault="00000000" w:rsidRPr="00000000" w14:paraId="00000018">
      <w:pPr>
        <w:spacing w:line="360" w:lineRule="auto"/>
        <w:jc w:val="both"/>
        <w:rPr>
          <w:rFonts w:ascii="Palatino Linotype" w:cs="Palatino Linotype" w:eastAsia="Palatino Linotype" w:hAnsi="Palatino Linotype"/>
        </w:rPr>
      </w:pPr>
      <w:bookmarkStart w:colFirst="0" w:colLast="0" w:name="_heading=h.30j0zll" w:id="2"/>
      <w:bookmarkEnd w:id="2"/>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19">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CAMBIO EN LA MODALIDAD DE ENTREGA DE LA INFORMACIÓN” (sic)</w:t>
      </w:r>
    </w:p>
    <w:p w:rsidR="00000000" w:rsidDel="00000000" w:rsidP="00000000" w:rsidRDefault="00000000" w:rsidRPr="00000000" w14:paraId="0000001A">
      <w:pPr>
        <w:tabs>
          <w:tab w:val="left" w:leader="none" w:pos="3525"/>
        </w:tabs>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adjuntó a su recurso el acuse de 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SAIMEX. </w:t>
        <w:tab/>
      </w:r>
    </w:p>
    <w:p w:rsidR="00000000" w:rsidDel="00000000" w:rsidP="00000000" w:rsidRDefault="00000000" w:rsidRPr="00000000" w14:paraId="0000001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veintisiete de octubre de dos mil veintidós,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rPr>
      </w:pPr>
      <w:bookmarkStart w:colFirst="0" w:colLast="0" w:name="_heading=h.2s8eyo1" w:id="3"/>
      <w:bookmarkEnd w:id="3"/>
      <w:r w:rsidDel="00000000" w:rsidR="00000000" w:rsidRPr="00000000">
        <w:rPr>
          <w:rFonts w:ascii="Palatino Linotype" w:cs="Palatino Linotype" w:eastAsia="Palatino Linotype" w:hAnsi="Palatino Linotype"/>
          <w:b w:val="1"/>
          <w:rtl w:val="0"/>
        </w:rPr>
        <w:t xml:space="preserve">7. Manifestaciones</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siete de noviembre de dos mil veintidós,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a través de SAIMEX, su informe justificado, mediante el cual, en atención a los motivos de inconformidad aducidos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ratificó en lo sustancial la respuesta emitida en primera instancia, para lo cual adjuntó lo siguiente:</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TM/1845/2022 de fecha uno de noviembre de dos mil veintidós, signado por la Coordinadora de Jurídico adscrita a la Tesorería Municipal, mediante el cual refiere que la Tesorería Municipal solicitó el cambio de modalidad en la entrega con fundamento en lo dispuesto por los artículos 158 y 164 de la Ley de Transparencia y Acceso a la Información Pública del Estado de México y Municipios, reiterando que, con el propósito de tutelar el derecho humano al acceso a la información pública y dar cumplimiento a lo solicitado, pone a disposición del particular las documentales solicitadas; por lo que previa cita deberá acudir a la Tesorería Municipal, para lo cual proporcionó la dirección de las oficinas en la que se encuentra de la misma, el horario de atención, y el nombre del servidor público quien le atendería, y, finalmente, señaló que el solicitante podría aportar el medio que considerara para que le fuera proporcionada la información, o bien, cubrir el pago de los derechos correspondientes a la expedición de copias simples o certificadas, así como, por la reproducción de la información en medio magnético o disco compacto; lo anterior, con fundamento en lo dispuesto por los artículos 158 y 164 de la Ley de Transparencia y Acceso a la Información Pública del Estado de México y Municipios.</w:t>
      </w:r>
    </w:p>
    <w:p w:rsidR="00000000" w:rsidDel="00000000" w:rsidP="00000000" w:rsidRDefault="00000000" w:rsidRPr="00000000" w14:paraId="0000001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Fragmento del Acta del Comité de Transparencia mediante la cual se sometió a consideración del Comité, como punto 3 el orden del día el cambio de modalidad a consulta directa de la información solicitada por la Tesorería Municipal, para otorgar respuesta al Recurso de Revisión 15774/INFOEM/IP/RR/2022, de la solicitud de acceso a la información 00345/COACALCO/IP/2022.</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analizados los documentos referidos, los mismos se hicieron del conocimiento de la persona solicitante con la finalidad de que manifestara lo que a su derecho estimara conveniente, siendo omisa en ejercer dicha prerrogativa.</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Solicitud de reporte de incidencia.</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veintitrés de mayo de dos mil veintidós, </w:t>
      </w:r>
      <w:r w:rsidDel="00000000" w:rsidR="00000000" w:rsidRPr="00000000">
        <w:rPr>
          <w:rFonts w:ascii="Palatino Linotype" w:cs="Palatino Linotype" w:eastAsia="Palatino Linotype" w:hAnsi="Palatino Linotype"/>
          <w:rtl w:val="0"/>
        </w:rPr>
        <w:t xml:space="preserve">se realizó la consulta, a través de correo electrónico, a la Dirección General de Informática</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sobre las incidencias presentadas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atender la solicitud de información respecto de la solicitud que dio origen al recurso de revisión que se resuelve, tal como se advierte a continuación:</w:t>
      </w:r>
    </w:p>
    <w:p w:rsidR="00000000" w:rsidDel="00000000" w:rsidP="00000000" w:rsidRDefault="00000000" w:rsidRPr="00000000" w14:paraId="00000022">
      <w:pPr>
        <w:widowControl w:val="0"/>
        <w:spacing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500000" cy="885245"/>
            <wp:effectExtent b="0" l="0" r="0" t="0"/>
            <wp:docPr id="56396805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500000" cy="88524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 Reporte de incidencia.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veintitrés de mayo de dos mil veintidós, </w:t>
      </w:r>
      <w:r w:rsidDel="00000000" w:rsidR="00000000" w:rsidRPr="00000000">
        <w:rPr>
          <w:rFonts w:ascii="Palatino Linotype" w:cs="Palatino Linotype" w:eastAsia="Palatino Linotype" w:hAnsi="Palatino Linotype"/>
          <w:rtl w:val="0"/>
        </w:rPr>
        <w:t xml:space="preserve">en respuesta al correo electrónico referido en el punto anterior,</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Dirección General de Informática, a través de correo informó que a la fecha no se tenía reporte de llamada alguna, ni tampoco se tenía registro de incidencia por parte del Sujeto Obligado, como se advierte a continuación:</w:t>
      </w:r>
    </w:p>
    <w:p w:rsidR="00000000" w:rsidDel="00000000" w:rsidP="00000000" w:rsidRDefault="00000000" w:rsidRPr="00000000" w14:paraId="00000024">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Pr>
        <w:drawing>
          <wp:inline distB="0" distT="0" distL="0" distR="0">
            <wp:extent cx="4500000" cy="581633"/>
            <wp:effectExtent b="0" l="0" r="0" t="0"/>
            <wp:docPr id="56396806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500000" cy="58163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10.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veinticuatro de mayo de dos mil veintitrés, </w:t>
      </w:r>
      <w:r w:rsidDel="00000000" w:rsidR="00000000" w:rsidRPr="00000000">
        <w:rPr>
          <w:rFonts w:ascii="Palatino Linotype" w:cs="Palatino Linotype" w:eastAsia="Palatino Linotype" w:hAnsi="Palatino Linotype"/>
          <w:rtl w:val="0"/>
        </w:rPr>
        <w:t xml:space="preserve">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11. 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veinticuatro de mayo de dos mil veintitrés</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2C">
      <w:pPr>
        <w:numPr>
          <w:ilvl w:val="0"/>
          <w:numId w:val="1"/>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2D">
      <w:pPr>
        <w:numPr>
          <w:ilvl w:val="0"/>
          <w:numId w:val="1"/>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2E">
      <w:pPr>
        <w:numPr>
          <w:ilvl w:val="0"/>
          <w:numId w:val="1"/>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2F">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4">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35">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3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12. Requerimiento adicional.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veinticuatro de mayo de dos mil veintitrés</w:t>
      </w:r>
      <w:r w:rsidDel="00000000" w:rsidR="00000000" w:rsidRPr="00000000">
        <w:rPr>
          <w:rFonts w:ascii="Palatino Linotype" w:cs="Palatino Linotype" w:eastAsia="Palatino Linotype" w:hAnsi="Palatino Linotype"/>
          <w:rtl w:val="0"/>
        </w:rPr>
        <w:t xml:space="preserve">, se envió por correo electrónico un requerimiento de información adicional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cual consistió en lo siguiente: </w:t>
      </w:r>
      <w:r w:rsidDel="00000000" w:rsidR="00000000" w:rsidRPr="00000000">
        <w:rPr>
          <w:rtl w:val="0"/>
        </w:rPr>
      </w:r>
    </w:p>
    <w:p w:rsidR="00000000" w:rsidDel="00000000" w:rsidP="00000000" w:rsidRDefault="00000000" w:rsidRPr="00000000" w14:paraId="00000038">
      <w:pPr>
        <w:tabs>
          <w:tab w:val="left" w:leader="none" w:pos="8222"/>
        </w:tabs>
        <w:spacing w:after="120" w:before="120"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9">
      <w:pPr>
        <w:ind w:left="567" w:right="618" w:firstLine="0"/>
        <w:jc w:val="right"/>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Asunto:</w:t>
      </w:r>
      <w:r w:rsidDel="00000000" w:rsidR="00000000" w:rsidRPr="00000000">
        <w:rPr>
          <w:rFonts w:ascii="Palatino Linotype" w:cs="Palatino Linotype" w:eastAsia="Palatino Linotype" w:hAnsi="Palatino Linotype"/>
          <w:i w:val="1"/>
          <w:sz w:val="22"/>
          <w:szCs w:val="22"/>
          <w:rtl w:val="0"/>
        </w:rPr>
        <w:t xml:space="preserve"> Requerimiento de información</w:t>
      </w:r>
    </w:p>
    <w:p w:rsidR="00000000" w:rsidDel="00000000" w:rsidP="00000000" w:rsidRDefault="00000000" w:rsidRPr="00000000" w14:paraId="0000003A">
      <w:pPr>
        <w:ind w:left="567" w:right="618" w:firstLine="0"/>
        <w:jc w:val="right"/>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Metepec, Estado de México, a 24 de mayo de 2023</w:t>
      </w:r>
    </w:p>
    <w:p w:rsidR="00000000" w:rsidDel="00000000" w:rsidP="00000000" w:rsidRDefault="00000000" w:rsidRPr="00000000" w14:paraId="0000003B">
      <w:pPr>
        <w:widowControl w:val="0"/>
        <w:ind w:left="567" w:right="618"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3C">
      <w:pPr>
        <w:widowControl w:val="0"/>
        <w:ind w:left="567"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César Augusto Magdaleno Guerrero</w:t>
      </w:r>
    </w:p>
    <w:p w:rsidR="00000000" w:rsidDel="00000000" w:rsidP="00000000" w:rsidRDefault="00000000" w:rsidRPr="00000000" w14:paraId="0000003D">
      <w:pPr>
        <w:widowControl w:val="0"/>
        <w:ind w:left="567"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Titular de la Unidad de Transparencia </w:t>
      </w:r>
    </w:p>
    <w:p w:rsidR="00000000" w:rsidDel="00000000" w:rsidP="00000000" w:rsidRDefault="00000000" w:rsidRPr="00000000" w14:paraId="0000003E">
      <w:pPr>
        <w:widowControl w:val="0"/>
        <w:ind w:left="567"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y Protección de Datos Personales</w:t>
      </w:r>
    </w:p>
    <w:p w:rsidR="00000000" w:rsidDel="00000000" w:rsidP="00000000" w:rsidRDefault="00000000" w:rsidRPr="00000000" w14:paraId="0000003F">
      <w:pPr>
        <w:widowControl w:val="0"/>
        <w:ind w:left="567" w:right="618" w:firstLine="1.0000000000000142"/>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Ayuntamiento de Coacalco de Berriozabal</w:t>
      </w:r>
    </w:p>
    <w:p w:rsidR="00000000" w:rsidDel="00000000" w:rsidP="00000000" w:rsidRDefault="00000000" w:rsidRPr="00000000" w14:paraId="00000040">
      <w:pPr>
        <w:widowControl w:val="0"/>
        <w:ind w:left="567" w:right="618" w:firstLine="1.0000000000000142"/>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 r e s e n t e:</w:t>
      </w:r>
    </w:p>
    <w:p w:rsidR="00000000" w:rsidDel="00000000" w:rsidP="00000000" w:rsidRDefault="00000000" w:rsidRPr="00000000" w14:paraId="00000041">
      <w:pPr>
        <w:widowControl w:val="0"/>
        <w:spacing w:after="120" w:before="120" w:lineRule="auto"/>
        <w:ind w:left="567" w:right="61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2">
      <w:pPr>
        <w:widowControl w:val="0"/>
        <w:spacing w:after="120" w:before="120"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las constancias que integran el expediente del recurso de revisión </w:t>
      </w:r>
      <w:r w:rsidDel="00000000" w:rsidR="00000000" w:rsidRPr="00000000">
        <w:rPr>
          <w:rFonts w:ascii="Palatino Linotype" w:cs="Palatino Linotype" w:eastAsia="Palatino Linotype" w:hAnsi="Palatino Linotype"/>
          <w:b w:val="1"/>
          <w:i w:val="1"/>
          <w:sz w:val="22"/>
          <w:szCs w:val="22"/>
          <w:rtl w:val="0"/>
        </w:rPr>
        <w:t xml:space="preserve">15774/INFOEM/IP/RR/2022; </w:t>
      </w:r>
      <w:r w:rsidDel="00000000" w:rsidR="00000000" w:rsidRPr="00000000">
        <w:rPr>
          <w:rFonts w:ascii="Palatino Linotype" w:cs="Palatino Linotype" w:eastAsia="Palatino Linotype" w:hAnsi="Palatino Linotype"/>
          <w:i w:val="1"/>
          <w:sz w:val="22"/>
          <w:szCs w:val="22"/>
          <w:rtl w:val="0"/>
        </w:rPr>
        <w:t xml:space="preserve">se desprende que en respuesta a la solicitud de información </w:t>
      </w:r>
      <w:r w:rsidDel="00000000" w:rsidR="00000000" w:rsidRPr="00000000">
        <w:rPr>
          <w:rFonts w:ascii="Palatino Linotype" w:cs="Palatino Linotype" w:eastAsia="Palatino Linotype" w:hAnsi="Palatino Linotype"/>
          <w:b w:val="1"/>
          <w:i w:val="1"/>
          <w:sz w:val="22"/>
          <w:szCs w:val="22"/>
          <w:rtl w:val="0"/>
        </w:rPr>
        <w:t xml:space="preserve">00345/COACALCO/IP/2022, </w:t>
      </w:r>
      <w:r w:rsidDel="00000000" w:rsidR="00000000" w:rsidRPr="00000000">
        <w:rPr>
          <w:rFonts w:ascii="Palatino Linotype" w:cs="Palatino Linotype" w:eastAsia="Palatino Linotype" w:hAnsi="Palatino Linotype"/>
          <w:i w:val="1"/>
          <w:sz w:val="22"/>
          <w:szCs w:val="22"/>
          <w:rtl w:val="0"/>
        </w:rPr>
        <w:t xml:space="preserve">con fundamento en el artículo 158 de la Ley de Transparencia y Acceso a la Información Pública del Estado de México y Municipios, </w:t>
      </w:r>
      <w:r w:rsidDel="00000000" w:rsidR="00000000" w:rsidRPr="00000000">
        <w:rPr>
          <w:rFonts w:ascii="Palatino Linotype" w:cs="Palatino Linotype" w:eastAsia="Palatino Linotype" w:hAnsi="Palatino Linotype"/>
          <w:b w:val="1"/>
          <w:i w:val="1"/>
          <w:sz w:val="22"/>
          <w:szCs w:val="22"/>
          <w:rtl w:val="0"/>
        </w:rPr>
        <w:t xml:space="preserve">propuso el cambio de la modalidad</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 entrega a consulta directa, </w:t>
      </w:r>
      <w:r w:rsidDel="00000000" w:rsidR="00000000" w:rsidRPr="00000000">
        <w:rPr>
          <w:rFonts w:ascii="Palatino Linotype" w:cs="Palatino Linotype" w:eastAsia="Palatino Linotype" w:hAnsi="Palatino Linotype"/>
          <w:i w:val="1"/>
          <w:sz w:val="22"/>
          <w:szCs w:val="22"/>
          <w:rtl w:val="0"/>
        </w:rPr>
        <w:t xml:space="preserve">con base en el pronunciamiento emitido por el Tesorero Municipal, quien argumentó en lo medular, que la información solicitada se trata de documentos que remiten de manera física las dependencias administrativas del Sujeto Obligado, las cuales -facturas- se integran a los expedientes correspondientes, sin que sean integradas a un mismo expediente, sino que se encuentran en variadas carpetas dentro del archivo de trámite y concentración, asimismo señaló que dicha documentación puede contener datos personales que deben ser protegidos al considerarse como información confidencial, por lo que informó que existen aproximadamente 60 carpetas con 200 hojas cada una, en las que se debe revisar documento por documento para acceder a todas las facturas pagadas del periodo comprendido del 01 de junio al 22 de septiembre de dos mil veintidós, y, una vez filtrada la información se deberá realzar el análisis de documentos respecto a los datos personales que pudieran contener las facturas y que sean susceptibles de clasificarse, a efecto de realizar la versión pública para ponerla  a disposición de la persona solicitante, previa aprobación del Comité de Transparencia.</w:t>
      </w:r>
    </w:p>
    <w:p w:rsidR="00000000" w:rsidDel="00000000" w:rsidP="00000000" w:rsidRDefault="00000000" w:rsidRPr="00000000" w14:paraId="00000043">
      <w:pPr>
        <w:widowControl w:val="0"/>
        <w:spacing w:after="120" w:before="120"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Asimismo, la Tesorería Municipal refirió que solo cuenta con un servidor público que da atención a los requerimientos de la Unidad de Transparencia y este a su vez, tiene diversas funciones asignadas, razón por la cual las capacidades técnicas y humanas de dicha Dependencia se ven sobrepasadas, dado que para atender cabalmente la solicitud de información se requiere llevar a cabo el análisis, estudio o procesamiento de documentos y elaboración e versiones públicas, así como proyectos para su clasificación, lo cual implicaría destinar un número significativo de días, horas y personal exclusivo para atender dicho requerimiento, sin embargo, esto impediría la correcta realización de las demás actividades y atribuciones a cargo de la Tesorería Municipal pudiendo dañar notoriamente el cumplimiento de sus obligaciones y con ello la afectación al correcto funcionamiento de la administración pública municipal del Sujeto Obligado.</w:t>
      </w:r>
    </w:p>
    <w:p w:rsidR="00000000" w:rsidDel="00000000" w:rsidP="00000000" w:rsidRDefault="00000000" w:rsidRPr="00000000" w14:paraId="00000044">
      <w:pPr>
        <w:widowControl w:val="0"/>
        <w:spacing w:after="120" w:before="120"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Sin embargo, se tiene que dejó de justificar, de manera clara, las razones o motivos que lo llevaron hacer dicho cambio de modalidad en el caso que nos ocupa, toda vez que el servidor público habilitado de la Tesorería Municipal, no especificó respecto de la solicitud que dio origen al recurso de revisión que nos ocupa, de manera enunciativa, más no limitativa, lo siguiente:</w:t>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tabs>
          <w:tab w:val="left" w:leader="none" w:pos="1134"/>
        </w:tabs>
        <w:spacing w:after="120" w:before="120" w:lineRule="auto"/>
        <w:ind w:left="851" w:right="618" w:hanging="5"/>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El número de hojas de la información solicitada, es decir, concretamente de las facturas, del cual se pudiera conocer cuántos documentos había generado o bien, cuando menos un aproximado;</w:t>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tabs>
          <w:tab w:val="left" w:leader="none" w:pos="1134"/>
        </w:tabs>
        <w:spacing w:after="120" w:before="120" w:lineRule="auto"/>
        <w:ind w:left="851" w:right="618" w:hanging="5"/>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Tampoco acreditó que lo peticionado implicaba un análisis, procesamiento o estudio de documentos cuya reproducción sobrepasará las capacidades técnicas, administrativas y humanas del </w:t>
      </w:r>
      <w:r w:rsidDel="00000000" w:rsidR="00000000" w:rsidRPr="00000000">
        <w:rPr>
          <w:rFonts w:ascii="Palatino Linotype" w:cs="Palatino Linotype" w:eastAsia="Palatino Linotype" w:hAnsi="Palatino Linotype"/>
          <w:b w:val="1"/>
          <w:i w:val="1"/>
          <w:sz w:val="22"/>
          <w:szCs w:val="22"/>
          <w:rtl w:val="0"/>
        </w:rPr>
        <w:t xml:space="preserve">Sujeto Obligado,</w:t>
      </w:r>
      <w:r w:rsidDel="00000000" w:rsidR="00000000" w:rsidRPr="00000000">
        <w:rPr>
          <w:rFonts w:ascii="Palatino Linotype" w:cs="Palatino Linotype" w:eastAsia="Palatino Linotype" w:hAnsi="Palatino Linotype"/>
          <w:i w:val="1"/>
          <w:sz w:val="22"/>
          <w:szCs w:val="22"/>
          <w:rtl w:val="0"/>
        </w:rPr>
        <w:t xml:space="preserve"> pues si bien precisó el número de personas que se encontraban en el área competente, el número de expedientes y el número de hojas que integra cada uno, no refirió con exactitud el número de hojas aproximadas de lo solicitado.</w:t>
      </w:r>
    </w:p>
    <w:p w:rsidR="00000000" w:rsidDel="00000000" w:rsidP="00000000" w:rsidRDefault="00000000" w:rsidRPr="00000000" w14:paraId="00000047">
      <w:pPr>
        <w:widowControl w:val="0"/>
        <w:spacing w:after="120" w:before="120"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tal sentido, se carece de los elementos que permitan justificar que, efectivamente, existe la necesidad de realizar el cambio de modalidad, lo anterior en términos de los señalado por el artículo 155 fracción V, 158 y 164 de la Ley de Transparencia y Acceso a la Información Pública del Estado de México y Municipios. </w:t>
      </w:r>
    </w:p>
    <w:p w:rsidR="00000000" w:rsidDel="00000000" w:rsidP="00000000" w:rsidRDefault="00000000" w:rsidRPr="00000000" w14:paraId="00000048">
      <w:pPr>
        <w:widowControl w:val="0"/>
        <w:spacing w:after="120" w:before="120"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tanto, con fundamento en el artículo 14, fracciones I, II, V y XVI del Reglamento Interior del Instituto de Transparencia, Acceso a la Información Pública y Protección de Datos Personales del Estado de México y Municipios publicado en la Gaceta del Gobierno el 14 de marzo de 2023; con el objeto de contar con los elementos necesarios para la elaboración del proyecto de resolución correspondiente, </w:t>
      </w:r>
      <w:r w:rsidDel="00000000" w:rsidR="00000000" w:rsidRPr="00000000">
        <w:rPr>
          <w:rFonts w:ascii="Palatino Linotype" w:cs="Palatino Linotype" w:eastAsia="Palatino Linotype" w:hAnsi="Palatino Linotype"/>
          <w:b w:val="1"/>
          <w:i w:val="1"/>
          <w:sz w:val="22"/>
          <w:szCs w:val="22"/>
          <w:rtl w:val="0"/>
        </w:rPr>
        <w:t xml:space="preserve">se requiere informe lo siguiente </w:t>
      </w:r>
      <w:r w:rsidDel="00000000" w:rsidR="00000000" w:rsidRPr="00000000">
        <w:rPr>
          <w:rFonts w:ascii="Palatino Linotype" w:cs="Palatino Linotype" w:eastAsia="Palatino Linotype" w:hAnsi="Palatino Linotype"/>
          <w:b w:val="1"/>
          <w:i w:val="1"/>
          <w:sz w:val="22"/>
          <w:szCs w:val="22"/>
          <w:u w:val="single"/>
          <w:rtl w:val="0"/>
        </w:rPr>
        <w:t xml:space="preserve">respecto a la solicitud de información con número de folio 00345/COACALCO/IP/2022</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9">
      <w:pPr>
        <w:widowControl w:val="0"/>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Manifieste, de manera clara y precisa, las razones y fundamentos suficientes que impiden la entrega de la información a través del SAIMEX.</w:t>
      </w:r>
    </w:p>
    <w:p w:rsidR="00000000" w:rsidDel="00000000" w:rsidP="00000000" w:rsidRDefault="00000000" w:rsidRPr="00000000" w14:paraId="0000004A">
      <w:pPr>
        <w:widowControl w:val="0"/>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Se refiera </w:t>
      </w:r>
      <w:r w:rsidDel="00000000" w:rsidR="00000000" w:rsidRPr="00000000">
        <w:rPr>
          <w:rFonts w:ascii="Palatino Linotype" w:cs="Palatino Linotype" w:eastAsia="Palatino Linotype" w:hAnsi="Palatino Linotype"/>
          <w:b w:val="1"/>
          <w:i w:val="1"/>
          <w:sz w:val="22"/>
          <w:szCs w:val="22"/>
          <w:u w:val="single"/>
          <w:rtl w:val="0"/>
        </w:rPr>
        <w:t xml:space="preserve">con exactitud</w:t>
      </w:r>
      <w:r w:rsidDel="00000000" w:rsidR="00000000" w:rsidRPr="00000000">
        <w:rPr>
          <w:rFonts w:ascii="Palatino Linotype" w:cs="Palatino Linotype" w:eastAsia="Palatino Linotype" w:hAnsi="Palatino Linotype"/>
          <w:i w:val="1"/>
          <w:sz w:val="22"/>
          <w:szCs w:val="22"/>
          <w:rtl w:val="0"/>
        </w:rPr>
        <w:t xml:space="preserve">, al cúmulo de información de que se trata, es decir, el número de hojas que integran las facturas requeridas, y </w:t>
      </w:r>
      <w:r w:rsidDel="00000000" w:rsidR="00000000" w:rsidRPr="00000000">
        <w:rPr>
          <w:rFonts w:ascii="Palatino Linotype" w:cs="Palatino Linotype" w:eastAsia="Palatino Linotype" w:hAnsi="Palatino Linotype"/>
          <w:b w:val="1"/>
          <w:i w:val="1"/>
          <w:sz w:val="22"/>
          <w:szCs w:val="22"/>
          <w:u w:val="single"/>
          <w:rtl w:val="0"/>
        </w:rPr>
        <w:t xml:space="preserve">sí excede las capacidades del SAIMEX</w:t>
      </w:r>
      <w:r w:rsidDel="00000000" w:rsidR="00000000" w:rsidRPr="00000000">
        <w:rPr>
          <w:rFonts w:ascii="Palatino Linotype" w:cs="Palatino Linotype" w:eastAsia="Palatino Linotype" w:hAnsi="Palatino Linotype"/>
          <w:i w:val="1"/>
          <w:sz w:val="22"/>
          <w:szCs w:val="22"/>
          <w:rtl w:val="0"/>
        </w:rPr>
        <w:t xml:space="preserve">, esto </w:t>
      </w:r>
      <w:r w:rsidDel="00000000" w:rsidR="00000000" w:rsidRPr="00000000">
        <w:rPr>
          <w:rFonts w:ascii="Palatino Linotype" w:cs="Palatino Linotype" w:eastAsia="Palatino Linotype" w:hAnsi="Palatino Linotype"/>
          <w:b w:val="1"/>
          <w:i w:val="1"/>
          <w:sz w:val="22"/>
          <w:szCs w:val="22"/>
          <w:u w:val="single"/>
          <w:rtl w:val="0"/>
        </w:rPr>
        <w:t xml:space="preserve">mediante el reporte de incidencias realizado con el área de soporte técnico del INFOEM</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4B">
      <w:pPr>
        <w:widowControl w:val="0"/>
        <w:spacing w:after="120" w:before="120"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la información solicitada, sobrepasa las capacidades técnicas administrativas y humanas del Sujeto Obligado para cumplir con la solicitud, en los plazos establecidos para dichos efectos, </w:t>
      </w:r>
      <w:r w:rsidDel="00000000" w:rsidR="00000000" w:rsidRPr="00000000">
        <w:rPr>
          <w:rFonts w:ascii="Palatino Linotype" w:cs="Palatino Linotype" w:eastAsia="Palatino Linotype" w:hAnsi="Palatino Linotype"/>
          <w:b w:val="1"/>
          <w:i w:val="1"/>
          <w:sz w:val="22"/>
          <w:szCs w:val="22"/>
          <w:u w:val="single"/>
          <w:rtl w:val="0"/>
        </w:rPr>
        <w:t xml:space="preserve">con los respectivos medios de convicción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C">
      <w:pPr>
        <w:widowControl w:val="0"/>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13. Desahogo del requerimiento adicional.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fue omiso en emitir pronunciamiento alguno con relación al requerimiento de información.</w:t>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E">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50">
      <w:pPr>
        <w:spacing w:after="240" w:before="240" w:line="360" w:lineRule="auto"/>
        <w:jc w:val="both"/>
        <w:rPr>
          <w:rFonts w:ascii="Palatino Linotype" w:cs="Palatino Linotype" w:eastAsia="Palatino Linotype" w:hAnsi="Palatino Linotype"/>
        </w:rPr>
      </w:pPr>
      <w:bookmarkStart w:colFirst="0" w:colLast="0" w:name="_heading=h.tyjcwt" w:id="4"/>
      <w:bookmarkEnd w:id="4"/>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5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veinticuatro de octubre de dos mil veintidós,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veinticuatro de octubre de dos mil veintidós</w:t>
      </w:r>
      <w:r w:rsidDel="00000000" w:rsidR="00000000" w:rsidRPr="00000000">
        <w:rPr>
          <w:rFonts w:ascii="Palatino Linotype" w:cs="Palatino Linotype" w:eastAsia="Palatino Linotype" w:hAnsi="Palatino Linotype"/>
          <w:rtl w:val="0"/>
        </w:rPr>
        <w:t xml:space="preserve">, esto es, el mismo día en que tuvo conocimiento de la respuesta impugnada.</w:t>
      </w:r>
    </w:p>
    <w:p w:rsidR="00000000" w:rsidDel="00000000" w:rsidP="00000000" w:rsidRDefault="00000000" w:rsidRPr="00000000" w14:paraId="0000005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000000" w:rsidDel="00000000" w:rsidP="00000000" w:rsidRDefault="00000000" w:rsidRPr="00000000" w14:paraId="0000005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“RECURSO DE RECLAMACIÓN. SU INTERPOSICIÓN NO ES EXTEMPORÁNEA SI SE REALIZA ANTES DE QUE INICIE EL PLAZO PARA HACERLO</w:t>
      </w:r>
      <w:r w:rsidDel="00000000" w:rsidR="00000000" w:rsidRPr="00000000">
        <w:rPr>
          <w:rFonts w:ascii="Palatino Linotype" w:cs="Palatino Linotype" w:eastAsia="Palatino Linotype" w:hAnsi="Palatino Linotype"/>
          <w:i w:val="1"/>
          <w:sz w:val="22"/>
          <w:szCs w:val="22"/>
          <w:rtl w:val="0"/>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rPr>
      </w:pPr>
      <w:bookmarkStart w:colFirst="0" w:colLast="0" w:name="_heading=h.3znysh7" w:id="5"/>
      <w:bookmarkEnd w:id="5"/>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5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sustentar lo anterior, es de suma importancia mencionar que si bien la persona solicitante </w:t>
      </w:r>
      <w:r w:rsidDel="00000000" w:rsidR="00000000" w:rsidRPr="00000000">
        <w:rPr>
          <w:rFonts w:ascii="Palatino Linotype" w:cs="Palatino Linotype" w:eastAsia="Palatino Linotype" w:hAnsi="Palatino Linotype"/>
          <w:b w:val="1"/>
          <w:rtl w:val="0"/>
        </w:rPr>
        <w:t xml:space="preserve">no proporcionó nombre o seudónimo </w:t>
      </w:r>
      <w:r w:rsidDel="00000000" w:rsidR="00000000" w:rsidRPr="00000000">
        <w:rPr>
          <w:rFonts w:ascii="Palatino Linotype" w:cs="Palatino Linotype" w:eastAsia="Palatino Linotype" w:hAnsi="Palatino Linotype"/>
          <w:rtl w:val="0"/>
        </w:rPr>
        <w:t xml:space="preserve">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56">
      <w:pP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5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por lo que, en el presente caso, al haber sido presentado el recurso de revisión vía SAIMEX, dicho requisito resulta innecesario.</w:t>
      </w:r>
    </w:p>
    <w:p w:rsidR="00000000" w:rsidDel="00000000" w:rsidP="00000000" w:rsidRDefault="00000000" w:rsidRPr="00000000" w14:paraId="0000005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VIII del ordenamiento legal citado, que a la letra dice: </w:t>
      </w:r>
    </w:p>
    <w:p w:rsidR="00000000" w:rsidDel="00000000" w:rsidP="00000000" w:rsidRDefault="00000000" w:rsidRPr="00000000" w14:paraId="00000059">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A">
      <w:pPr>
        <w:tabs>
          <w:tab w:val="left" w:leader="none" w:pos="7936"/>
        </w:tabs>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5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w:t>
      </w:r>
      <w:r w:rsidDel="00000000" w:rsidR="00000000" w:rsidRPr="00000000">
        <w:rPr>
          <w:rFonts w:ascii="Palatino Linotype" w:cs="Palatino Linotype" w:eastAsia="Palatino Linotype" w:hAnsi="Palatino Linotype"/>
          <w:i w:val="1"/>
          <w:sz w:val="22"/>
          <w:szCs w:val="22"/>
          <w:rtl w:val="0"/>
        </w:rPr>
        <w:t xml:space="preserve">La notificación, entrega o puesta a disposición de información en una modalidad o formato distinto al solicitado</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5C">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información proporcionada en respuesta y en informe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r w:rsidDel="00000000" w:rsidR="00000000" w:rsidRPr="00000000">
        <w:rPr>
          <w:rtl w:val="0"/>
        </w:rPr>
      </w:r>
    </w:p>
    <w:p w:rsidR="00000000" w:rsidDel="00000000" w:rsidP="00000000" w:rsidRDefault="00000000" w:rsidRPr="00000000" w14:paraId="0000005D">
      <w:pPr>
        <w:spacing w:after="240" w:before="240" w:line="360" w:lineRule="auto"/>
        <w:ind w:right="51"/>
        <w:jc w:val="both"/>
        <w:rPr>
          <w:rFonts w:ascii="Palatino Linotype" w:cs="Palatino Linotype" w:eastAsia="Palatino Linotype" w:hAnsi="Palatino Linotype"/>
        </w:rPr>
      </w:pPr>
      <w:bookmarkStart w:colFirst="0" w:colLast="0" w:name="_heading=h.2et92p0" w:id="6"/>
      <w:bookmarkEnd w:id="6"/>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consistente en lo siguiente:</w:t>
      </w:r>
    </w:p>
    <w:p w:rsidR="00000000" w:rsidDel="00000000" w:rsidP="00000000" w:rsidRDefault="00000000" w:rsidRPr="00000000" w14:paraId="0000005E">
      <w:pPr>
        <w:spacing w:after="240" w:before="240" w:line="360" w:lineRule="auto"/>
        <w:ind w:left="426"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Todas las facturas pagadas por el ayuntamiento en los meses de junio, julio, agosto y hasta el veintidós de septiembre.</w:t>
      </w:r>
    </w:p>
    <w:p w:rsidR="00000000" w:rsidDel="00000000" w:rsidP="00000000" w:rsidRDefault="00000000" w:rsidRPr="00000000" w14:paraId="0000005F">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la Unidad de Transparencia, remitió el pronunciamiento emitido por la Coordinadora de Jurídico adscrita a la Tesorería Municipal, quien manifestó que  la información solicitada se trataba de documentos que remiten de manera física las dependencias administrativas del Sujeto Obligado, las cuales -facturas- se integran a los expedientes correspondientes, sin que sean integradas a un mismo expediente, sino que se encuentran en variadas carpetas dentro del archivo de trámite y concentración, asimismo señaló que dicha documentación puede contener datos personales como Registro Federal de Contribuyentes, domicilio, sello digital y código QR, que deben ser protegidos al considerarse como información confidencial, con fundamento en lo dispuesto por el artículo 143, fracción I de la Ley de Transparencia y Acceso a la Información Pública del Estado de México y Municipios, precisando que no toda la información que integra las facturas pagadas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es información pública, más aún cuando los proveedores son personas físicas.</w:t>
      </w:r>
    </w:p>
    <w:p w:rsidR="00000000" w:rsidDel="00000000" w:rsidP="00000000" w:rsidRDefault="00000000" w:rsidRPr="00000000" w14:paraId="0000006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refirió que de la información solicitada, es decir, las facturas pagadas por el Ayuntamiento en los meses de junio, julio, agosto y hasta el veintidós de septiembre de dos mil veintidós, existen aproximadamente 60 carpetas con 200 hojas cada una, en las que se debe revisar documento por documento para acceder a todas las facturas pagadas del periodo comprendido del uno de junio al veintidós de septiembre de dos mil veintidós, y, una vez filtrada la información se deberá realzar el análisis de documentos respecto a los datos personales que pudieran contener las facturas y que sean susceptibles de clasificarse, a efecto de realizar la versión pública para ponerla a disposición de la persona solicitante, previa aprobación del Comité de Transparencia.</w:t>
      </w:r>
    </w:p>
    <w:p w:rsidR="00000000" w:rsidDel="00000000" w:rsidP="00000000" w:rsidRDefault="00000000" w:rsidRPr="00000000" w14:paraId="00000061">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manera, la servidora pública habilitada de la Tesorería Municipal refirió que el área solo cuenta con un servidor público que da atención a los requerimientos de la Unidad de Transparencia y este a su vez, tiene diversas funciones asignadas, razón por la cual las capacidades técnicas y humanas de dicha Dependencia se ven sobrepasadas, dado que para atender cabalmente la solicitud de información se requiere llevar a cabo el análisis, estudio o procesamiento de documentos y elaboración e versiones públicas, así como proyectos para su clasificación, lo cual implicaría destinar un número significativo de días, horas y personal exclusivo para atender dicho requerimiento, sin embargo, esto impediría la correcta realización de las demás actividades y atribuciones a cargo de la Tesorería Municipal pudiendo dañar notoriamente el cumplimiento de sus obligaciones y con ello la afectación al correcto funcionamiento de la administración pública municipal del Sujeto Obligado.</w:t>
      </w:r>
    </w:p>
    <w:p w:rsidR="00000000" w:rsidDel="00000000" w:rsidP="00000000" w:rsidRDefault="00000000" w:rsidRPr="00000000" w14:paraId="00000062">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Atendiendo a lo anterior, en pro de tutelar y garantizar la transparencia y el derecho humano al acceso a la información pública, solicitó, con fundamento en lo dispuesto por los artículos 158 y 164 de la Ley de Transparencia Estatal, se cambie la modalidad de entrega de la información y se ponga a disposición del solicitante, los documentos en consulta directa, salvo la información clasificada, dado que el procesamiento de la información para dar respuesta a la solicitud, sobrepasa las capacidades técnicas, administrativas y humanas que dispone la Tesorería Municipal, solicitando se turnara el asunto al Comité de Transparencia para que dictamine la procedencia y se establezcan días y horarios hábiles en los que el particular pueda acudir a realizar la consulta, para lo cual propuso el horario de 09:30 a 17:00 horas de lunes a viernes, acudiendo a la Tesorería Municipal previa cita con la Coordinadora de Jurídico adscrita a la Tesorería Municipal.</w:t>
      </w:r>
    </w:p>
    <w:p w:rsidR="00000000" w:rsidDel="00000000" w:rsidP="00000000" w:rsidRDefault="00000000" w:rsidRPr="00000000" w14:paraId="0000006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no estar conforme con los términos de la respuesta otorgada a su solicitud, la persona solicitante interpuso el recurso de revisión que ahora nos ocupa, en el que señaló como motivo de inconformidad el cambio de modalidad en la entrega de la información pretendido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64">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admitido el recurso de revisión, en términos del artículo 185 fracción II</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000000" w:rsidDel="00000000" w:rsidP="00000000" w:rsidRDefault="00000000" w:rsidRPr="00000000" w14:paraId="00000065">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En tal sentido,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través de la Coordinadora de Jurídico adscrita a la Tesorería Municipal, ratificó en lo sustancial la respuesta emitida en primera instancia, asimismo, remitió un fragmento del Acta del Comité de Transparencia mediante la cual se sometió a consideración del Comité, como punto 3 el orden del día el cambio de modalidad a consulta directa de la información solicitada por la Tesorería Municipal, para otorgar respuesta al Recurso de Revisión 15774/INFOEM/IP/RR/2022, de la solicitud de acceso a la información 00345/COACALCO/IP/2022, aprobándose mediante el acuerdo ACT/TRANSCOA/EXT/33/2022, como se lee enseguida:</w:t>
      </w:r>
    </w:p>
    <w:p w:rsidR="00000000" w:rsidDel="00000000" w:rsidP="00000000" w:rsidRDefault="00000000" w:rsidRPr="00000000" w14:paraId="00000066">
      <w:pPr>
        <w:spacing w:after="280" w:before="28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428000" cy="1818333"/>
            <wp:effectExtent b="0" l="0" r="0" t="0"/>
            <wp:docPr id="563968059" name="image8.png"/>
            <a:graphic>
              <a:graphicData uri="http://schemas.openxmlformats.org/drawingml/2006/picture">
                <pic:pic>
                  <pic:nvPicPr>
                    <pic:cNvPr id="0" name="image8.png"/>
                    <pic:cNvPicPr preferRelativeResize="0"/>
                  </pic:nvPicPr>
                  <pic:blipFill>
                    <a:blip r:embed="rId10"/>
                    <a:srcRect b="0" l="0" r="0" t="36640"/>
                    <a:stretch>
                      <a:fillRect/>
                    </a:stretch>
                  </pic:blipFill>
                  <pic:spPr>
                    <a:xfrm>
                      <a:off x="0" y="0"/>
                      <a:ext cx="4428000" cy="1818333"/>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del análisis de las constancias que integran el expediente en que se actúa, así como de la materia sobre la que versa la solicitud de acceso a la información pública, se reitera que la información proporcionada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su respuesta, no cumple con lo establecido por los artículos 4, 12 y 24 último párrafo, de la Ley de Transparencia y Acceso a la Información Pública del Estado de México y Municipios; de ahí que los motivos de inconformidad 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acontecen parcialmente fundados para revocar las respuestas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razón de las consideraciones de derecho que a continuación se exponen:</w:t>
      </w:r>
    </w:p>
    <w:p w:rsidR="00000000" w:rsidDel="00000000" w:rsidP="00000000" w:rsidRDefault="00000000" w:rsidRPr="00000000" w14:paraId="00000068">
      <w:pPr>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Del cambio de modalidad</w:t>
      </w:r>
    </w:p>
    <w:p w:rsidR="00000000" w:rsidDel="00000000" w:rsidP="00000000" w:rsidRDefault="00000000" w:rsidRPr="00000000" w14:paraId="0000006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solicitud de información se desprende que la persona solicitante requirió como modalidad de entrega de la información el SAIMEX, sistema que tiene como propósito facilitar en la entidad el ejercicio del derecho humano de acceso a la información pública, de forma sencilla y gratuita, como se ilustra a continuación:</w:t>
      </w:r>
    </w:p>
    <w:p w:rsidR="00000000" w:rsidDel="00000000" w:rsidP="00000000" w:rsidRDefault="00000000" w:rsidRPr="00000000" w14:paraId="0000006A">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03240" cy="1770380"/>
            <wp:effectExtent b="0" l="0" r="0" t="0"/>
            <wp:docPr id="56396806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603240" cy="177038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w:t>
      </w:r>
      <w:r w:rsidDel="00000000" w:rsidR="00000000" w:rsidRPr="00000000">
        <w:rPr>
          <w:rFonts w:ascii="Palatino Linotype" w:cs="Palatino Linotype" w:eastAsia="Palatino Linotype" w:hAnsi="Palatino Linotype"/>
          <w:b w:val="1"/>
          <w:u w:val="single"/>
          <w:rtl w:val="0"/>
        </w:rPr>
        <w:t xml:space="preserve">respecto al cambio de modalidad</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conviene mencionar que el artículo 155, fracción V, de la Ley de Transparencia y Acceso a la Información Pública del Estado de México y Municipios, precisa que, para presentar una solicitud, el particular podrá señalar </w:t>
      </w:r>
      <w:r w:rsidDel="00000000" w:rsidR="00000000" w:rsidRPr="00000000">
        <w:rPr>
          <w:rFonts w:ascii="Palatino Linotype" w:cs="Palatino Linotype" w:eastAsia="Palatino Linotype" w:hAnsi="Palatino Linotype"/>
          <w:b w:val="1"/>
          <w:rtl w:val="0"/>
        </w:rPr>
        <w:t xml:space="preserve">la modalidad en la que prefiere se otorgue el acceso a la información</w:t>
      </w:r>
      <w:r w:rsidDel="00000000" w:rsidR="00000000" w:rsidRPr="00000000">
        <w:rPr>
          <w:rFonts w:ascii="Palatino Linotype" w:cs="Palatino Linotype" w:eastAsia="Palatino Linotype" w:hAnsi="Palatino Linotype"/>
          <w:rtl w:val="0"/>
        </w:rPr>
        <w:t xml:space="preserve">,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CD-Rom (con costo), copias simples (con costo), copias certificadas (con costo), consulta directa (sin costo), o bien, cualquier otro que determine la persona solicitante.</w:t>
      </w:r>
    </w:p>
    <w:p w:rsidR="00000000" w:rsidDel="00000000" w:rsidP="00000000" w:rsidRDefault="00000000" w:rsidRPr="00000000" w14:paraId="0000006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158, dispone que, de manera excepcional, cuando de manera fundada y motivada lo determine el Sujeto Obligado, </w:t>
      </w:r>
      <w:r w:rsidDel="00000000" w:rsidR="00000000" w:rsidRPr="00000000">
        <w:rPr>
          <w:rFonts w:ascii="Palatino Linotype" w:cs="Palatino Linotype" w:eastAsia="Palatino Linotype" w:hAnsi="Palatino Linotype"/>
          <w:b w:val="1"/>
          <w:rtl w:val="0"/>
        </w:rPr>
        <w:t xml:space="preserve">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r w:rsidDel="00000000" w:rsidR="00000000" w:rsidRPr="00000000">
        <w:rPr>
          <w:rtl w:val="0"/>
        </w:rPr>
      </w:r>
    </w:p>
    <w:p w:rsidR="00000000" w:rsidDel="00000000" w:rsidP="00000000" w:rsidRDefault="00000000" w:rsidRPr="00000000" w14:paraId="0000006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el acceso a la información debe darse en la modalidad de entrega elegida por el solicitante,  y sólo para los casos en que se encuentren impedidos los sujetos obligados podrán ofrecer otra u otras modalidades debiendo fundar y motivar adecuadamente el cambio de modalidad en la entrega de la información</w:t>
      </w:r>
      <w:r w:rsidDel="00000000" w:rsidR="00000000" w:rsidRPr="00000000">
        <w:rPr>
          <w:rFonts w:ascii="Palatino Linotype" w:cs="Palatino Linotype" w:eastAsia="Palatino Linotype" w:hAnsi="Palatino Linotype"/>
          <w:vertAlign w:val="superscript"/>
          <w:rtl w:val="0"/>
        </w:rPr>
        <w:t xml:space="preserve"> </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rsidR="00000000" w:rsidDel="00000000" w:rsidP="00000000" w:rsidRDefault="00000000" w:rsidRPr="00000000" w14:paraId="0000006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“FUNDAMENTACIÓN Y MOTIVACIÓN DE LOS ACTOS ADMINISTRATIVOS</w:t>
      </w:r>
      <w:r w:rsidDel="00000000" w:rsidR="00000000" w:rsidRPr="00000000">
        <w:rPr>
          <w:rFonts w:ascii="Palatino Linotype" w:cs="Palatino Linotype" w:eastAsia="Palatino Linotype" w:hAnsi="Palatino Linotype"/>
          <w:i w:val="1"/>
          <w:sz w:val="22"/>
          <w:szCs w:val="22"/>
          <w:rtl w:val="0"/>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rsidR="00000000" w:rsidDel="00000000" w:rsidP="00000000" w:rsidRDefault="00000000" w:rsidRPr="00000000" w14:paraId="0000006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rsidR="00000000" w:rsidDel="00000000" w:rsidP="00000000" w:rsidRDefault="00000000" w:rsidRPr="00000000" w14:paraId="00000070">
      <w:pPr>
        <w:spacing w:after="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160.</w:t>
      </w:r>
      <w:r w:rsidDel="00000000" w:rsidR="00000000" w:rsidRPr="00000000">
        <w:rPr>
          <w:rFonts w:ascii="Palatino Linotype" w:cs="Palatino Linotype" w:eastAsia="Palatino Linotype" w:hAnsi="Palatino Linotype"/>
          <w:i w:val="1"/>
          <w:sz w:val="22"/>
          <w:szCs w:val="22"/>
          <w:rtl w:val="0"/>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000000" w:rsidDel="00000000" w:rsidP="00000000" w:rsidRDefault="00000000" w:rsidRPr="00000000" w14:paraId="00000071">
      <w:pPr>
        <w:spacing w:after="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164.</w:t>
      </w:r>
      <w:r w:rsidDel="00000000" w:rsidR="00000000" w:rsidRPr="00000000">
        <w:rPr>
          <w:rFonts w:ascii="Palatino Linotype" w:cs="Palatino Linotype" w:eastAsia="Palatino Linotype" w:hAnsi="Palatino Linotype"/>
          <w:i w:val="1"/>
          <w:sz w:val="22"/>
          <w:szCs w:val="22"/>
          <w:rtl w:val="0"/>
        </w:rPr>
        <w:t xml:space="preserve"> El acceso se dará en la modalidad de entrega y, en su caso, de envío elegidos por el solicitante. Cuando la información no pueda entregarse o enviarse en la modalidad solicitada, </w:t>
      </w:r>
      <w:r w:rsidDel="00000000" w:rsidR="00000000" w:rsidRPr="00000000">
        <w:rPr>
          <w:rFonts w:ascii="Palatino Linotype" w:cs="Palatino Linotype" w:eastAsia="Palatino Linotype" w:hAnsi="Palatino Linotype"/>
          <w:i w:val="1"/>
          <w:sz w:val="22"/>
          <w:szCs w:val="22"/>
          <w:u w:val="single"/>
          <w:rtl w:val="0"/>
        </w:rPr>
        <w:t xml:space="preserve">el sujeto obligado deberá ofrecer otra u otras modalidades de entrega.</w:t>
      </w:r>
      <w:r w:rsidDel="00000000" w:rsidR="00000000" w:rsidRPr="00000000">
        <w:rPr>
          <w:rFonts w:ascii="Palatino Linotype" w:cs="Palatino Linotype" w:eastAsia="Palatino Linotype" w:hAnsi="Palatino Linotype"/>
          <w:i w:val="1"/>
          <w:sz w:val="22"/>
          <w:szCs w:val="22"/>
          <w:rtl w:val="0"/>
        </w:rPr>
        <w:t xml:space="preserve"> En cualquier caso, se deberá fundar y motivar la necesidad de ofrecer otras modalidades.” (Sic)</w:t>
      </w:r>
    </w:p>
    <w:p w:rsidR="00000000" w:rsidDel="00000000" w:rsidP="00000000" w:rsidRDefault="00000000" w:rsidRPr="00000000" w14:paraId="0000007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cual, los Sujetos Obligados podrán poner a disposición de los particulares,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rsidR="00000000" w:rsidDel="00000000" w:rsidP="00000000" w:rsidRDefault="00000000" w:rsidRPr="00000000" w14:paraId="0000007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Del="00000000" w:rsidR="00000000" w:rsidRPr="00000000">
        <w:rPr>
          <w:rFonts w:ascii="Palatino Linotype" w:cs="Palatino Linotype" w:eastAsia="Palatino Linotype" w:hAnsi="Palatino Linotype"/>
          <w:b w:val="1"/>
          <w:rtl w:val="0"/>
        </w:rPr>
        <w:t xml:space="preserve">en la medida de lo posible, en la forma solicitada por el interesado, salvo que exista un impedimento justificado para atenderla</w:t>
      </w:r>
      <w:r w:rsidDel="00000000" w:rsidR="00000000" w:rsidRPr="00000000">
        <w:rPr>
          <w:rFonts w:ascii="Palatino Linotype" w:cs="Palatino Linotype" w:eastAsia="Palatino Linotype" w:hAnsi="Palatino Linotype"/>
          <w:rtl w:val="0"/>
        </w:rPr>
        <w:t xml:space="preserve">, en cuyo caso, deberán exponerse las razones por las cuales no es posible utilizar el medio de reproducción solicitado; en este sentido, la entrega de la información en una modalidad distinta a la elegida por la particular </w:t>
      </w:r>
      <w:r w:rsidDel="00000000" w:rsidR="00000000" w:rsidRPr="00000000">
        <w:rPr>
          <w:rFonts w:ascii="Palatino Linotype" w:cs="Palatino Linotype" w:eastAsia="Palatino Linotype" w:hAnsi="Palatino Linotype"/>
          <w:b w:val="1"/>
          <w:rtl w:val="0"/>
        </w:rPr>
        <w:t xml:space="preserve">sólo procede, en caso de que se acredite la imposibilidad de atenderla.</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7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cuando se justifique el impedimento, </w:t>
      </w:r>
      <w:r w:rsidDel="00000000" w:rsidR="00000000" w:rsidRPr="00000000">
        <w:rPr>
          <w:rFonts w:ascii="Palatino Linotype" w:cs="Palatino Linotype" w:eastAsia="Palatino Linotype" w:hAnsi="Palatino Linotype"/>
          <w:b w:val="1"/>
          <w:rtl w:val="0"/>
        </w:rPr>
        <w:t xml:space="preserve">los Sujetos Obligados deberán ofrecer al particular otras modalidades de entrega que permita la información</w:t>
      </w:r>
      <w:r w:rsidDel="00000000" w:rsidR="00000000" w:rsidRPr="00000000">
        <w:rPr>
          <w:rFonts w:ascii="Palatino Linotype" w:cs="Palatino Linotype" w:eastAsia="Palatino Linotype" w:hAnsi="Palatino Linotype"/>
          <w:rtl w:val="0"/>
        </w:rPr>
        <w:t xml:space="preserve">, como consulta 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rsidR="00000000" w:rsidDel="00000000" w:rsidP="00000000" w:rsidRDefault="00000000" w:rsidRPr="00000000" w14:paraId="00000075">
      <w:pPr>
        <w:spacing w:after="120" w:before="120" w:lineRule="auto"/>
        <w:ind w:left="851" w:right="90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“Modalidad de entrega. Procedencia de proporcionar la información solicitada en una diversa a la elegida por el solicitante.</w:t>
      </w:r>
      <w:r w:rsidDel="00000000" w:rsidR="00000000" w:rsidRPr="00000000">
        <w:rPr>
          <w:rFonts w:ascii="Palatino Linotype" w:cs="Palatino Linotype" w:eastAsia="Palatino Linotype" w:hAnsi="Palatino Linotype"/>
          <w:i w:val="1"/>
          <w:sz w:val="22"/>
          <w:szCs w:val="22"/>
          <w:rtl w:val="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Del="00000000" w:rsidR="00000000" w:rsidRPr="00000000">
        <w:rPr>
          <w:rFonts w:ascii="Palatino Linotype" w:cs="Palatino Linotype" w:eastAsia="Palatino Linotype" w:hAnsi="Palatino Linotype"/>
          <w:b w:val="1"/>
          <w:i w:val="1"/>
          <w:sz w:val="22"/>
          <w:szCs w:val="22"/>
          <w:u w:val="single"/>
          <w:rtl w:val="0"/>
        </w:rPr>
        <w:t xml:space="preserve">en todas las modalidades que permita el documento de que se trate, procurando reducir, en todo momento, los costos de entrega.”</w:t>
      </w:r>
    </w:p>
    <w:p w:rsidR="00000000" w:rsidDel="00000000" w:rsidP="00000000" w:rsidRDefault="00000000" w:rsidRPr="00000000" w14:paraId="00000076">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Del citado criterio, se desprende que cuando</w:t>
      </w:r>
      <w:r w:rsidDel="00000000" w:rsidR="00000000" w:rsidRPr="00000000">
        <w:rPr>
          <w:rFonts w:ascii="Palatino Linotype" w:cs="Palatino Linotype" w:eastAsia="Palatino Linotype" w:hAnsi="Palatino Linotype"/>
          <w:b w:val="1"/>
          <w:rtl w:val="0"/>
        </w:rPr>
        <w:t xml:space="preserve"> la información no pueda entregarse o enviarse en la modalidad elegida, </w:t>
      </w:r>
      <w:r w:rsidDel="00000000" w:rsidR="00000000" w:rsidRPr="00000000">
        <w:rPr>
          <w:rFonts w:ascii="Palatino Linotype" w:cs="Palatino Linotype" w:eastAsia="Palatino Linotype" w:hAnsi="Palatino Linotype"/>
          <w:rtl w:val="0"/>
        </w:rPr>
        <w:t xml:space="preserve">para que la obligación de acceso a la información se tenga por cumplida, </w:t>
      </w:r>
      <w:r w:rsidDel="00000000" w:rsidR="00000000" w:rsidRPr="00000000">
        <w:rPr>
          <w:rFonts w:ascii="Palatino Linotype" w:cs="Palatino Linotype" w:eastAsia="Palatino Linotype" w:hAnsi="Palatino Linotype"/>
          <w:b w:val="1"/>
          <w:rtl w:val="0"/>
        </w:rPr>
        <w:t xml:space="preserve">el Sujeto Obligado deberá ofrecer otra u otras modalidades de entrega.</w:t>
      </w:r>
      <w:r w:rsidDel="00000000" w:rsidR="00000000" w:rsidRPr="00000000">
        <w:rPr>
          <w:rFonts w:ascii="Palatino Linotype" w:cs="Palatino Linotype" w:eastAsia="Palatino Linotype" w:hAnsi="Palatino Linotype"/>
          <w:rtl w:val="0"/>
        </w:rPr>
        <w:t xml:space="preserve"> En cualquier caso, </w:t>
      </w:r>
      <w:r w:rsidDel="00000000" w:rsidR="00000000" w:rsidRPr="00000000">
        <w:rPr>
          <w:rFonts w:ascii="Palatino Linotype" w:cs="Palatino Linotype" w:eastAsia="Palatino Linotype" w:hAnsi="Palatino Linotype"/>
          <w:b w:val="1"/>
          <w:rtl w:val="0"/>
        </w:rPr>
        <w:t xml:space="preserve">se deberá fundar y motivar la necesidad de ofrecer otras modalidades</w:t>
      </w:r>
      <w:r w:rsidDel="00000000" w:rsidR="00000000" w:rsidRPr="00000000">
        <w:rPr>
          <w:rFonts w:ascii="Palatino Linotype" w:cs="Palatino Linotype" w:eastAsia="Palatino Linotype" w:hAnsi="Palatino Linotype"/>
          <w:rtl w:val="0"/>
        </w:rPr>
        <w:t xml:space="preserve"> que lo permitan, </w:t>
      </w:r>
      <w:r w:rsidDel="00000000" w:rsidR="00000000" w:rsidRPr="00000000">
        <w:rPr>
          <w:rFonts w:ascii="Palatino Linotype" w:cs="Palatino Linotype" w:eastAsia="Palatino Linotype" w:hAnsi="Palatino Linotype"/>
          <w:b w:val="1"/>
          <w:rtl w:val="0"/>
        </w:rPr>
        <w:t xml:space="preserve">procurando reducir los costos de entrega.</w:t>
      </w:r>
    </w:p>
    <w:p w:rsidR="00000000" w:rsidDel="00000000" w:rsidP="00000000" w:rsidRDefault="00000000" w:rsidRPr="00000000" w14:paraId="0000007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es menester recordar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pretendió justificar el cambio de modalidad bajo el argumento de que la información que se solicita constituye un cúmulo de documentos de un volumen considerable, lo cual requiere procesamiento y revisión para verificar si contiene información que deba ser clasificada como confidencial y/o reservada, para posteriormente escanearla, cuya entrega y procesamiento sobrepasa las capacidades técnicas, administrativas y humanas de la unidad administrativa.</w:t>
      </w:r>
    </w:p>
    <w:p w:rsidR="00000000" w:rsidDel="00000000" w:rsidP="00000000" w:rsidRDefault="00000000" w:rsidRPr="00000000" w14:paraId="00000078">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indicó, en lo medular que contaba con un servidor público que da atención a los requerimientos de la Unidad de Transparencia y este a su vez, tiene asignadas diversas funciones, razón por la cual las capacidades técnicas y humanas de la Tesorería Municipal se ven sobrepasadas, dado que para atender cabalmente la solicitud de información se requiere llevar a cabo el análisis, estudio o procesamiento de documentos y elaboración e versiones públicas, así como proyectos para su clasificación, lo cual implicaría destinar un número significativo de días, horas y personal exclusivo para atender dicho requerimiento, sin embargo, esto impediría la correcta realización de las demás actividades y atribuciones a cargo de la Tesorería Municipal pudiendo dañar notoriamente el cumplimiento de sus obligaciones y con ello la afectación al correcto funcionamiento de la administración pública municipal del Sujeto Obligado.</w:t>
      </w:r>
    </w:p>
    <w:p w:rsidR="00000000" w:rsidDel="00000000" w:rsidP="00000000" w:rsidRDefault="00000000" w:rsidRPr="00000000" w14:paraId="0000007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sometió a consideración del Comité de Transparencia el cambio de modalidad en la entrega de la información, poniendo a disposición de la persona solicitante la información a través de consulta directa.</w:t>
      </w:r>
    </w:p>
    <w:p w:rsidR="00000000" w:rsidDel="00000000" w:rsidP="00000000" w:rsidRDefault="00000000" w:rsidRPr="00000000" w14:paraId="0000007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mencionar que este Instituto consultó a la Dirección General de Informática sobre las incidencias presentadas por el </w:t>
      </w:r>
      <w:r w:rsidDel="00000000" w:rsidR="00000000" w:rsidRPr="00000000">
        <w:rPr>
          <w:rFonts w:ascii="Palatino Linotype" w:cs="Palatino Linotype" w:eastAsia="Palatino Linotype" w:hAnsi="Palatino Linotype"/>
          <w:b w:val="1"/>
          <w:rtl w:val="0"/>
        </w:rPr>
        <w:t xml:space="preserve">Ayuntamiento de Coacalco de Berriozabal</w:t>
      </w:r>
      <w:r w:rsidDel="00000000" w:rsidR="00000000" w:rsidRPr="00000000">
        <w:rPr>
          <w:rFonts w:ascii="Palatino Linotype" w:cs="Palatino Linotype" w:eastAsia="Palatino Linotype" w:hAnsi="Palatino Linotype"/>
          <w:rtl w:val="0"/>
        </w:rPr>
        <w:t xml:space="preserve">, para atender la solicitud de información que motivó el respecto de la solicitud que dio origen al recurso de revisión que se resuelve, así como el peso de la información, obteniendo como respuesta lo siguiente: </w:t>
      </w:r>
    </w:p>
    <w:p w:rsidR="00000000" w:rsidDel="00000000" w:rsidP="00000000" w:rsidRDefault="00000000" w:rsidRPr="00000000" w14:paraId="0000007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sz w:val="22"/>
          <w:szCs w:val="22"/>
          <w:rtl w:val="0"/>
        </w:rPr>
        <w:t xml:space="preserve">Buenas tardes en atención a su petición, donde solicita se informe si existe registro alguno de las incidencias reportadas por parte del Ayuntamiento de Coacalco de Berriozabal, al respecto me permito informar que a la fecha no se tiene reportado llamada alguna, ni tampoco se tiene registro de incidencia por parte del Sujeto Obligado en comento.</w:t>
      </w:r>
    </w:p>
    <w:p w:rsidR="00000000" w:rsidDel="00000000" w:rsidP="00000000" w:rsidRDefault="00000000" w:rsidRPr="00000000" w14:paraId="0000007C">
      <w:pPr>
        <w:spacing w:after="120" w:before="12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Ahora bien en relación al peso máximo de archivos que soporta el SAIMEX para adjuntar como respuesta a las solicitudes de información, al respecto hago de su conocimiento que el sistema, tiene el soporte tecnológico para que se puedan adjuntar archivos con un peso aproximado de hasta 500Mb o un equivalente de hasta 8,000 hojas, garantizando que el solicitante no tenga problemas en la descarga de la información usando conexiones a internet convencionales, bajo parámetros de escaneo en resolución máxima de 150Dpi's, escala de grises y formato "PDF" extraído directamente del escáner.“</w:t>
      </w:r>
      <w:r w:rsidDel="00000000" w:rsidR="00000000" w:rsidRPr="00000000">
        <w:rPr>
          <w:rtl w:val="0"/>
        </w:rPr>
      </w:r>
    </w:p>
    <w:p w:rsidR="00000000" w:rsidDel="00000000" w:rsidP="00000000" w:rsidRDefault="00000000" w:rsidRPr="00000000" w14:paraId="0000007D">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la Dirección General de Informática señaló que NO se tenía reporte de llamada o registro de incidencia por parte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asimismo refirió que el Sistema de Acceso a la Información Mexiquense (SAIMEX), cuenta con la capacidad de recibir archivos con un peso aproximado de hasta 500Mb, que corresponde a un aproximado de 8,000 hojas.</w:t>
      </w:r>
    </w:p>
    <w:p w:rsidR="00000000" w:rsidDel="00000000" w:rsidP="00000000" w:rsidRDefault="00000000" w:rsidRPr="00000000" w14:paraId="0000007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como se señaló en los antecedentes del presente recurso, se requirió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mediante correo electrónico a efecto de que precisara de manera clara, la cantidad de hojas que integran las facturas materia de la solicitud, sin embargo, fue omiso en desahogar dicho requerimiento.</w:t>
      </w:r>
    </w:p>
    <w:p w:rsidR="00000000" w:rsidDel="00000000" w:rsidP="00000000" w:rsidRDefault="00000000" w:rsidRPr="00000000" w14:paraId="0000007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del análisis de la información proporcionada se desprende que no aportó mayores elementos que permitan a este Organismo determinar que efectivamente, existen impedimentos para entregar la información requerida  través de SAIMEX, al no haber precisado de manera concreta la cantidad de hojas o el peso que integra la información solicitada, siendo de suma importancia mencionar que </w:t>
      </w:r>
      <w:r w:rsidDel="00000000" w:rsidR="00000000" w:rsidRPr="00000000">
        <w:rPr>
          <w:rFonts w:ascii="Palatino Linotype" w:cs="Palatino Linotype" w:eastAsia="Palatino Linotype" w:hAnsi="Palatino Linotype"/>
          <w:b w:val="1"/>
          <w:rtl w:val="0"/>
        </w:rPr>
        <w:t xml:space="preserve">la persona solicitante no pretende acceder a la totalidad de los documentos que integran los expedientes respectivos, </w:t>
      </w:r>
      <w:r w:rsidDel="00000000" w:rsidR="00000000" w:rsidRPr="00000000">
        <w:rPr>
          <w:rFonts w:ascii="Palatino Linotype" w:cs="Palatino Linotype" w:eastAsia="Palatino Linotype" w:hAnsi="Palatino Linotype"/>
          <w:b w:val="1"/>
          <w:u w:val="single"/>
          <w:rtl w:val="0"/>
        </w:rPr>
        <w:t xml:space="preserve">sino que únicamente requiere se le haga entrega de las facturas que fueron pagadas en el periodo señalado.</w:t>
      </w:r>
      <w:r w:rsidDel="00000000" w:rsidR="00000000" w:rsidRPr="00000000">
        <w:rPr>
          <w:rtl w:val="0"/>
        </w:rPr>
      </w:r>
    </w:p>
    <w:p w:rsidR="00000000" w:rsidDel="00000000" w:rsidP="00000000" w:rsidRDefault="00000000" w:rsidRPr="00000000" w14:paraId="00000080">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sustentar lo anterior, es oportuno referir que,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000000" w:rsidDel="00000000" w:rsidP="00000000" w:rsidRDefault="00000000" w:rsidRPr="00000000" w14:paraId="00000081">
      <w:pPr>
        <w:numPr>
          <w:ilvl w:val="0"/>
          <w:numId w:val="4"/>
        </w:numPr>
        <w:spacing w:after="240" w:before="24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razones por las cuales la información implicaba un análisis, estudio o procesamiento de datos;</w:t>
      </w:r>
    </w:p>
    <w:p w:rsidR="00000000" w:rsidDel="00000000" w:rsidP="00000000" w:rsidRDefault="00000000" w:rsidRPr="00000000" w14:paraId="00000082">
      <w:pPr>
        <w:numPr>
          <w:ilvl w:val="0"/>
          <w:numId w:val="4"/>
        </w:numPr>
        <w:spacing w:after="240" w:before="24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qué motivo el tiempo, que se le otorga al Sujeto Obligado para dar respuesta, en la modalidad elegida a la solicitud de información, no le es suficiente, y</w:t>
      </w:r>
    </w:p>
    <w:p w:rsidR="00000000" w:rsidDel="00000000" w:rsidP="00000000" w:rsidRDefault="00000000" w:rsidRPr="00000000" w14:paraId="00000083">
      <w:pPr>
        <w:numPr>
          <w:ilvl w:val="0"/>
          <w:numId w:val="4"/>
        </w:numPr>
        <w:spacing w:after="240" w:before="24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cantidad de recursos humanos y materiales con los que cuenta el Sujeto Obligado son insuficientes.</w:t>
      </w:r>
    </w:p>
    <w:p w:rsidR="00000000" w:rsidDel="00000000" w:rsidP="00000000" w:rsidRDefault="00000000" w:rsidRPr="00000000" w14:paraId="0000008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este Instituto reitera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señaló de manera puntual las imposibilidades para dar atención a la solicitud, esto en observancia a las siguientes circunstancias:</w:t>
      </w:r>
    </w:p>
    <w:p w:rsidR="00000000" w:rsidDel="00000000" w:rsidP="00000000" w:rsidRDefault="00000000" w:rsidRPr="00000000" w14:paraId="00000085">
      <w:pPr>
        <w:numPr>
          <w:ilvl w:val="0"/>
          <w:numId w:val="3"/>
        </w:numPr>
        <w:pBdr>
          <w:top w:space="0" w:sz="0" w:val="nil"/>
          <w:left w:space="0" w:sz="0" w:val="nil"/>
          <w:bottom w:space="0" w:sz="0" w:val="nil"/>
          <w:right w:space="0" w:sz="0" w:val="nil"/>
          <w:between w:space="0" w:sz="0" w:val="nil"/>
        </w:pBdr>
        <w:spacing w:after="160" w:before="240" w:line="360" w:lineRule="auto"/>
        <w:ind w:left="78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número de hojas o peso aproximado de </w:t>
      </w:r>
      <w:r w:rsidDel="00000000" w:rsidR="00000000" w:rsidRPr="00000000">
        <w:rPr>
          <w:rFonts w:ascii="Palatino Linotype" w:cs="Palatino Linotype" w:eastAsia="Palatino Linotype" w:hAnsi="Palatino Linotype"/>
          <w:b w:val="1"/>
          <w:rtl w:val="0"/>
        </w:rPr>
        <w:t xml:space="preserve">la información solicitada</w:t>
      </w:r>
      <w:r w:rsidDel="00000000" w:rsidR="00000000" w:rsidRPr="00000000">
        <w:rPr>
          <w:rFonts w:ascii="Palatino Linotype" w:cs="Palatino Linotype" w:eastAsia="Palatino Linotype" w:hAnsi="Palatino Linotype"/>
          <w:rtl w:val="0"/>
        </w:rPr>
        <w:t xml:space="preserve">, del cual se pudiera conocer cuántos documentos había generado o bien, cuando menos un aproximado, </w:t>
      </w:r>
      <w:r w:rsidDel="00000000" w:rsidR="00000000" w:rsidRPr="00000000">
        <w:rPr>
          <w:rFonts w:ascii="Palatino Linotype" w:cs="Palatino Linotype" w:eastAsia="Palatino Linotype" w:hAnsi="Palatino Linotype"/>
          <w:b w:val="1"/>
          <w:rtl w:val="0"/>
        </w:rPr>
        <w:t xml:space="preserve">en virtud de que se pronunció sobre la totalidad de documentos que integran los 60 expedientes, es decir, 200 hojas por cada carpeta.</w:t>
      </w:r>
      <w:r w:rsidDel="00000000" w:rsidR="00000000" w:rsidRPr="00000000">
        <w:rPr>
          <w:rtl w:val="0"/>
        </w:rPr>
      </w:r>
    </w:p>
    <w:p w:rsidR="00000000" w:rsidDel="00000000" w:rsidP="00000000" w:rsidRDefault="00000000" w:rsidRPr="00000000" w14:paraId="00000086">
      <w:pPr>
        <w:numPr>
          <w:ilvl w:val="0"/>
          <w:numId w:val="3"/>
        </w:numPr>
        <w:pBdr>
          <w:top w:space="0" w:sz="0" w:val="nil"/>
          <w:left w:space="0" w:sz="0" w:val="nil"/>
          <w:bottom w:space="0" w:sz="0" w:val="nil"/>
          <w:right w:space="0" w:sz="0" w:val="nil"/>
          <w:between w:space="0" w:sz="0" w:val="nil"/>
        </w:pBdr>
        <w:spacing w:after="160" w:before="240" w:line="360" w:lineRule="auto"/>
        <w:ind w:left="78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Tampoco acreditó que </w:t>
      </w:r>
      <w:r w:rsidDel="00000000" w:rsidR="00000000" w:rsidRPr="00000000">
        <w:rPr>
          <w:rFonts w:ascii="Palatino Linotype" w:cs="Palatino Linotype" w:eastAsia="Palatino Linotype" w:hAnsi="Palatino Linotype"/>
          <w:b w:val="1"/>
          <w:rtl w:val="0"/>
        </w:rPr>
        <w:t xml:space="preserve">la información solicitada</w:t>
      </w:r>
      <w:r w:rsidDel="00000000" w:rsidR="00000000" w:rsidRPr="00000000">
        <w:rPr>
          <w:rFonts w:ascii="Palatino Linotype" w:cs="Palatino Linotype" w:eastAsia="Palatino Linotype" w:hAnsi="Palatino Linotype"/>
          <w:rtl w:val="0"/>
        </w:rPr>
        <w:t xml:space="preserve"> implicaba un análisis, procesamiento o estudio de documentos cuya reproducción sobrepasará las capacidades técnicas, administrativas y humanas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pues si bien precisó el número de personas que se encuentra en el área competente, asimismo que la información se localiza en 60 carpetas que se integran por 200 hojas, no refirió, de manera clara y precisa, el número de hojas o el peso aproximado exclusivamente de lo solicitado; </w:t>
      </w:r>
      <w:r w:rsidDel="00000000" w:rsidR="00000000" w:rsidRPr="00000000">
        <w:rPr>
          <w:rFonts w:ascii="Palatino Linotype" w:cs="Palatino Linotype" w:eastAsia="Palatino Linotype" w:hAnsi="Palatino Linotype"/>
          <w:b w:val="1"/>
          <w:rtl w:val="0"/>
        </w:rPr>
        <w:t xml:space="preserve">en virtud de que se pronunció sobre la totalidad de documentos que integran los expedientes o carpetas,</w:t>
      </w:r>
      <w:r w:rsidDel="00000000" w:rsidR="00000000" w:rsidRPr="00000000">
        <w:rPr>
          <w:rFonts w:ascii="Palatino Linotype" w:cs="Palatino Linotype" w:eastAsia="Palatino Linotype" w:hAnsi="Palatino Linotype"/>
          <w:rtl w:val="0"/>
        </w:rPr>
        <w:t xml:space="preserve"> por lo que </w:t>
      </w:r>
      <w:r w:rsidDel="00000000" w:rsidR="00000000" w:rsidRPr="00000000">
        <w:rPr>
          <w:rFonts w:ascii="Palatino Linotype" w:cs="Palatino Linotype" w:eastAsia="Palatino Linotype" w:hAnsi="Palatino Linotype"/>
          <w:u w:val="single"/>
          <w:rtl w:val="0"/>
        </w:rPr>
        <w:t xml:space="preserve">no proporcionó los elementos necesarios para acreditar el cambio de modalidad</w:t>
      </w:r>
      <w:r w:rsidDel="00000000" w:rsidR="00000000" w:rsidRPr="00000000">
        <w:rPr>
          <w:rFonts w:ascii="Palatino Linotype" w:cs="Palatino Linotype" w:eastAsia="Palatino Linotype" w:hAnsi="Palatino Linotype"/>
          <w:rtl w:val="0"/>
        </w:rPr>
        <w:t xml:space="preserve">, razón por la cual este Instituto no tiene certeza sobre la necesidad del cambio de modalidad pretendido, a efecto de garantizar la entrega de la información solicitada dentro del plazo establecido en la normatividad aplicable.</w:t>
      </w:r>
    </w:p>
    <w:p w:rsidR="00000000" w:rsidDel="00000000" w:rsidP="00000000" w:rsidRDefault="00000000" w:rsidRPr="00000000" w14:paraId="0000008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lo anterior, es de señalar que el Organismo Garante Nacional, ha considerado que no resulta suficiente justificar una imposibilidad técnica y humana para acreditar un cambio de modalidad, sino que es necesario demostrar otros impedimentos como la cantidad y formato de la documentación, que fuera de imposible reproducción en el medio elegido por los solicitantes, que la información ameritara el cruce de información en los sistemas de datos, entre otros; con el fin de privilegiar el Principio de Gratuidad y Máxima Publicidad; argumentos que encuentran sustento dentro diversas de sus resoluciones de Recursos de Inconformidad como el RIA 136/20, RIA 140/20, RIA 153/20 RIA 237/20, RIA 257/20, RIA 258/20, entre otros.</w:t>
      </w:r>
    </w:p>
    <w:p w:rsidR="00000000" w:rsidDel="00000000" w:rsidP="00000000" w:rsidRDefault="00000000" w:rsidRPr="00000000" w14:paraId="00000088">
      <w:pPr>
        <w:tabs>
          <w:tab w:val="left" w:leader="none" w:pos="975"/>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se colige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fundados; situación que se robustece, con el hecho de que tampoco vio la posibilidad de poner a disposición la información, en el resto de modalidades establecidas en la Ley de la materia.</w:t>
      </w:r>
    </w:p>
    <w:p w:rsidR="00000000" w:rsidDel="00000000" w:rsidP="00000000" w:rsidRDefault="00000000" w:rsidRPr="00000000" w14:paraId="0000008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las cosas así, conviene invocar el contenido del Capítulo X de Lineamientos Generales en Materia de Clasificación y Desclasificación de la Información, así como para la Elaboración de Versiones Públicas, respecto a la consulta directa, que señala:</w:t>
      </w:r>
    </w:p>
    <w:p w:rsidR="00000000" w:rsidDel="00000000" w:rsidP="00000000" w:rsidRDefault="00000000" w:rsidRPr="00000000" w14:paraId="0000008A">
      <w:pPr>
        <w:spacing w:after="120" w:before="120" w:lineRule="auto"/>
        <w:ind w:left="851" w:right="902"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CAPÍTULO X</w:t>
      </w:r>
    </w:p>
    <w:p w:rsidR="00000000" w:rsidDel="00000000" w:rsidP="00000000" w:rsidRDefault="00000000" w:rsidRPr="00000000" w14:paraId="0000008B">
      <w:pPr>
        <w:spacing w:after="120" w:before="120" w:lineRule="auto"/>
        <w:ind w:left="851" w:right="902"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 CONSULTA DIRECTA</w:t>
      </w:r>
    </w:p>
    <w:p w:rsidR="00000000" w:rsidDel="00000000" w:rsidP="00000000" w:rsidRDefault="00000000" w:rsidRPr="00000000" w14:paraId="0000008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Sexagésimo séptimo</w:t>
      </w:r>
      <w:r w:rsidDel="00000000" w:rsidR="00000000" w:rsidRPr="00000000">
        <w:rPr>
          <w:rFonts w:ascii="Palatino Linotype" w:cs="Palatino Linotype" w:eastAsia="Palatino Linotype" w:hAnsi="Palatino Linotype"/>
          <w:i w:val="1"/>
          <w:sz w:val="22"/>
          <w:szCs w:val="22"/>
          <w:rtl w:val="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Del="00000000" w:rsidR="00000000" w:rsidRPr="00000000">
        <w:rPr>
          <w:rFonts w:ascii="Palatino Linotype" w:cs="Palatino Linotype" w:eastAsia="Palatino Linotype" w:hAnsi="Palatino Linotype"/>
          <w:b w:val="1"/>
          <w:i w:val="1"/>
          <w:sz w:val="22"/>
          <w:szCs w:val="22"/>
          <w:rtl w:val="0"/>
        </w:rPr>
        <w:t xml:space="preserve">deberá emitir la resolución en la que funde y motive la clasificación</w:t>
      </w:r>
      <w:r w:rsidDel="00000000" w:rsidR="00000000" w:rsidRPr="00000000">
        <w:rPr>
          <w:rFonts w:ascii="Palatino Linotype" w:cs="Palatino Linotype" w:eastAsia="Palatino Linotype" w:hAnsi="Palatino Linotype"/>
          <w:i w:val="1"/>
          <w:sz w:val="22"/>
          <w:szCs w:val="22"/>
          <w:rtl w:val="0"/>
        </w:rPr>
        <w:t xml:space="preserve"> de las partes o secciones que no podrán dejarse a la vista del solicitante. </w:t>
      </w:r>
    </w:p>
    <w:p w:rsidR="00000000" w:rsidDel="00000000" w:rsidP="00000000" w:rsidRDefault="00000000" w:rsidRPr="00000000" w14:paraId="0000008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Sexagésimo octavo</w:t>
      </w:r>
      <w:r w:rsidDel="00000000" w:rsidR="00000000" w:rsidRPr="00000000">
        <w:rPr>
          <w:rFonts w:ascii="Palatino Linotype" w:cs="Palatino Linotype" w:eastAsia="Palatino Linotype" w:hAnsi="Palatino Linotype"/>
          <w:i w:val="1"/>
          <w:sz w:val="22"/>
          <w:szCs w:val="22"/>
          <w:rtl w:val="0"/>
        </w:rPr>
        <w:t xml:space="preserve">. En la </w:t>
      </w:r>
      <w:r w:rsidDel="00000000" w:rsidR="00000000" w:rsidRPr="00000000">
        <w:rPr>
          <w:rFonts w:ascii="Palatino Linotype" w:cs="Palatino Linotype" w:eastAsia="Palatino Linotype" w:hAnsi="Palatino Linotype"/>
          <w:b w:val="1"/>
          <w:i w:val="1"/>
          <w:sz w:val="22"/>
          <w:szCs w:val="22"/>
          <w:rtl w:val="0"/>
        </w:rPr>
        <w:t xml:space="preserve">resolución del Comité de Transparencia</w:t>
      </w:r>
      <w:r w:rsidDel="00000000" w:rsidR="00000000" w:rsidRPr="00000000">
        <w:rPr>
          <w:rFonts w:ascii="Palatino Linotype" w:cs="Palatino Linotype" w:eastAsia="Palatino Linotype" w:hAnsi="Palatino Linotype"/>
          <w:i w:val="1"/>
          <w:sz w:val="22"/>
          <w:szCs w:val="22"/>
          <w:rtl w:val="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rsidR="00000000" w:rsidDel="00000000" w:rsidP="00000000" w:rsidRDefault="00000000" w:rsidRPr="00000000" w14:paraId="0000008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Sexagésimo noveno</w:t>
      </w:r>
      <w:r w:rsidDel="00000000" w:rsidR="00000000" w:rsidRPr="00000000">
        <w:rPr>
          <w:rFonts w:ascii="Palatino Linotype" w:cs="Palatino Linotype" w:eastAsia="Palatino Linotype" w:hAnsi="Palatino Linotype"/>
          <w:i w:val="1"/>
          <w:sz w:val="22"/>
          <w:szCs w:val="22"/>
          <w:rtl w:val="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rsidR="00000000" w:rsidDel="00000000" w:rsidP="00000000" w:rsidRDefault="00000000" w:rsidRPr="00000000" w14:paraId="0000008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Septuagésimo</w:t>
      </w:r>
      <w:r w:rsidDel="00000000" w:rsidR="00000000" w:rsidRPr="00000000">
        <w:rPr>
          <w:rFonts w:ascii="Palatino Linotype" w:cs="Palatino Linotype" w:eastAsia="Palatino Linotype" w:hAnsi="Palatino Linotype"/>
          <w:i w:val="1"/>
          <w:sz w:val="22"/>
          <w:szCs w:val="22"/>
          <w:rtl w:val="0"/>
        </w:rPr>
        <w:t xml:space="preserve">. Para el desahogo de las actuaciones tendientes a permitir la consulta directa, en los casos en que ésta resulte procedente, los sujetos obligados deberán observar lo siguiente: </w:t>
      </w:r>
    </w:p>
    <w:p w:rsidR="00000000" w:rsidDel="00000000" w:rsidP="00000000" w:rsidRDefault="00000000" w:rsidRPr="00000000" w14:paraId="0000009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000000" w:rsidDel="00000000" w:rsidP="00000000" w:rsidRDefault="00000000" w:rsidRPr="00000000" w14:paraId="0000009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En su caso, la procedencia de los ajustes razonables solicitados y/o la procedencia de acceso en la lengua indígena requerida; </w:t>
      </w:r>
    </w:p>
    <w:p w:rsidR="00000000" w:rsidDel="00000000" w:rsidP="00000000" w:rsidRDefault="00000000" w:rsidRPr="00000000" w14:paraId="0000009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rsidR="00000000" w:rsidDel="00000000" w:rsidP="00000000" w:rsidRDefault="00000000" w:rsidRPr="00000000" w14:paraId="0000009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Proporcionar al solicitante las facilidades y asistencia requerida para la consulta de los documentos;</w:t>
      </w:r>
    </w:p>
    <w:p w:rsidR="00000000" w:rsidDel="00000000" w:rsidP="00000000" w:rsidRDefault="00000000" w:rsidRPr="00000000" w14:paraId="0000009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Abstenerse de requerir al solicitante que acredite interés alguno; </w:t>
      </w:r>
    </w:p>
    <w:p w:rsidR="00000000" w:rsidDel="00000000" w:rsidP="00000000" w:rsidRDefault="00000000" w:rsidRPr="00000000" w14:paraId="0000009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Adoptar las medidas técnicas, físicas, administrativas y demás que resulten necesarias para garantizar la integridad de la información a consultar, de conformidad con las características específicas del documento solicitado, tales como: </w:t>
      </w:r>
    </w:p>
    <w:p w:rsidR="00000000" w:rsidDel="00000000" w:rsidP="00000000" w:rsidRDefault="00000000" w:rsidRPr="00000000" w14:paraId="00000096">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i w:val="1"/>
          <w:sz w:val="22"/>
          <w:szCs w:val="22"/>
          <w:rtl w:val="0"/>
        </w:rPr>
        <w:t xml:space="preserve"> Contar con instalaciones y mobiliario adecuado para asegurar tanto la integridad del documento consultado, como para proporcionar al solicitante las mejores condiciones para poder llevar a cabo la consulta directa; </w:t>
      </w:r>
    </w:p>
    <w:p w:rsidR="00000000" w:rsidDel="00000000" w:rsidP="00000000" w:rsidRDefault="00000000" w:rsidRPr="00000000" w14:paraId="00000097">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w:t>
      </w:r>
      <w:r w:rsidDel="00000000" w:rsidR="00000000" w:rsidRPr="00000000">
        <w:rPr>
          <w:rFonts w:ascii="Palatino Linotype" w:cs="Palatino Linotype" w:eastAsia="Palatino Linotype" w:hAnsi="Palatino Linotype"/>
          <w:i w:val="1"/>
          <w:sz w:val="22"/>
          <w:szCs w:val="22"/>
          <w:rtl w:val="0"/>
        </w:rPr>
        <w:t xml:space="preserve"> Equipo y personal de vigilancia;</w:t>
      </w:r>
    </w:p>
    <w:p w:rsidR="00000000" w:rsidDel="00000000" w:rsidP="00000000" w:rsidRDefault="00000000" w:rsidRPr="00000000" w14:paraId="00000098">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w:t>
      </w:r>
      <w:r w:rsidDel="00000000" w:rsidR="00000000" w:rsidRPr="00000000">
        <w:rPr>
          <w:rFonts w:ascii="Palatino Linotype" w:cs="Palatino Linotype" w:eastAsia="Palatino Linotype" w:hAnsi="Palatino Linotype"/>
          <w:i w:val="1"/>
          <w:sz w:val="22"/>
          <w:szCs w:val="22"/>
          <w:rtl w:val="0"/>
        </w:rPr>
        <w:t xml:space="preserve"> Plan de acción contra robo o vandalismo; </w:t>
      </w:r>
    </w:p>
    <w:p w:rsidR="00000000" w:rsidDel="00000000" w:rsidP="00000000" w:rsidRDefault="00000000" w:rsidRPr="00000000" w14:paraId="00000099">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w:t>
      </w:r>
      <w:r w:rsidDel="00000000" w:rsidR="00000000" w:rsidRPr="00000000">
        <w:rPr>
          <w:rFonts w:ascii="Palatino Linotype" w:cs="Palatino Linotype" w:eastAsia="Palatino Linotype" w:hAnsi="Palatino Linotype"/>
          <w:i w:val="1"/>
          <w:sz w:val="22"/>
          <w:szCs w:val="22"/>
          <w:rtl w:val="0"/>
        </w:rPr>
        <w:t xml:space="preserve"> Extintores de fuego de gas inocuo; </w:t>
      </w:r>
    </w:p>
    <w:p w:rsidR="00000000" w:rsidDel="00000000" w:rsidP="00000000" w:rsidRDefault="00000000" w:rsidRPr="00000000" w14:paraId="0000009A">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w:t>
      </w:r>
      <w:r w:rsidDel="00000000" w:rsidR="00000000" w:rsidRPr="00000000">
        <w:rPr>
          <w:rFonts w:ascii="Palatino Linotype" w:cs="Palatino Linotype" w:eastAsia="Palatino Linotype" w:hAnsi="Palatino Linotype"/>
          <w:i w:val="1"/>
          <w:sz w:val="22"/>
          <w:szCs w:val="22"/>
          <w:rtl w:val="0"/>
        </w:rPr>
        <w:t xml:space="preserve"> Registro e identificación del personal autorizado para el tratamiento de los documentos o expedientes a revisar;</w:t>
      </w:r>
    </w:p>
    <w:p w:rsidR="00000000" w:rsidDel="00000000" w:rsidP="00000000" w:rsidRDefault="00000000" w:rsidRPr="00000000" w14:paraId="0000009B">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w:t>
      </w:r>
      <w:r w:rsidDel="00000000" w:rsidR="00000000" w:rsidRPr="00000000">
        <w:rPr>
          <w:rFonts w:ascii="Palatino Linotype" w:cs="Palatino Linotype" w:eastAsia="Palatino Linotype" w:hAnsi="Palatino Linotype"/>
          <w:i w:val="1"/>
          <w:sz w:val="22"/>
          <w:szCs w:val="22"/>
          <w:rtl w:val="0"/>
        </w:rPr>
        <w:t xml:space="preserve"> Registro e identificación de los particulares autorizados para llevar a cabo la consulta directa, y </w:t>
      </w:r>
    </w:p>
    <w:p w:rsidR="00000000" w:rsidDel="00000000" w:rsidP="00000000" w:rsidRDefault="00000000" w:rsidRPr="00000000" w14:paraId="0000009C">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g)</w:t>
      </w:r>
      <w:r w:rsidDel="00000000" w:rsidR="00000000" w:rsidRPr="00000000">
        <w:rPr>
          <w:rFonts w:ascii="Palatino Linotype" w:cs="Palatino Linotype" w:eastAsia="Palatino Linotype" w:hAnsi="Palatino Linotype"/>
          <w:i w:val="1"/>
          <w:sz w:val="22"/>
          <w:szCs w:val="22"/>
          <w:rtl w:val="0"/>
        </w:rPr>
        <w:t xml:space="preserve"> Las demás que, a criterio de los sujetos obligados, resulten necesarias. </w:t>
      </w:r>
    </w:p>
    <w:p w:rsidR="00000000" w:rsidDel="00000000" w:rsidP="00000000" w:rsidRDefault="00000000" w:rsidRPr="00000000" w14:paraId="0000009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Hacer del conocimiento del solicitante, previo al acceso a la información, las reglas a que se sujetará la consulta para garantizar la integridad de los documentos, y</w:t>
      </w:r>
    </w:p>
    <w:p w:rsidR="00000000" w:rsidDel="00000000" w:rsidP="00000000" w:rsidRDefault="00000000" w:rsidRPr="00000000" w14:paraId="0000009E">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Para el caso de documentos que contengan partes o secciones clasificadas como reservadas o confidenciales, el sujeto obligado deberá hacer del conocimiento del solicitante, </w:t>
      </w:r>
      <w:r w:rsidDel="00000000" w:rsidR="00000000" w:rsidRPr="00000000">
        <w:rPr>
          <w:rFonts w:ascii="Palatino Linotype" w:cs="Palatino Linotype" w:eastAsia="Palatino Linotype" w:hAnsi="Palatino Linotype"/>
          <w:b w:val="1"/>
          <w:i w:val="1"/>
          <w:sz w:val="22"/>
          <w:szCs w:val="22"/>
          <w:rtl w:val="0"/>
        </w:rPr>
        <w:t xml:space="preserve">previo al acceso a la información, la resolución debidamente fundada y motivada del Comité de Transparencia, en la que se clasificaron las partes o secciones que no podrán dejarse a la vista del solicitante. </w:t>
      </w:r>
    </w:p>
    <w:p w:rsidR="00000000" w:rsidDel="00000000" w:rsidP="00000000" w:rsidRDefault="00000000" w:rsidRPr="00000000" w14:paraId="0000009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Septuagésimo primero. </w:t>
      </w:r>
      <w:r w:rsidDel="00000000" w:rsidR="00000000" w:rsidRPr="00000000">
        <w:rPr>
          <w:rFonts w:ascii="Palatino Linotype" w:cs="Palatino Linotype" w:eastAsia="Palatino Linotype" w:hAnsi="Palatino Linotype"/>
          <w:i w:val="1"/>
          <w:sz w:val="22"/>
          <w:szCs w:val="22"/>
          <w:rtl w:val="0"/>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rsidR="00000000" w:rsidDel="00000000" w:rsidP="00000000" w:rsidRDefault="00000000" w:rsidRPr="00000000" w14:paraId="000000A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solicitante deberá observar en todo momento las reglas que el sujeto obligado haya hecho de su conocimiento para efectos de la conservación de los documentos. </w:t>
      </w:r>
    </w:p>
    <w:p w:rsidR="00000000" w:rsidDel="00000000" w:rsidP="00000000" w:rsidRDefault="00000000" w:rsidRPr="00000000" w14:paraId="000000A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Septuagésimo segundo.</w:t>
      </w:r>
      <w:r w:rsidDel="00000000" w:rsidR="00000000" w:rsidRPr="00000000">
        <w:rPr>
          <w:rFonts w:ascii="Palatino Linotype" w:cs="Palatino Linotype" w:eastAsia="Palatino Linotype" w:hAnsi="Palatino Linotype"/>
          <w:i w:val="1"/>
          <w:sz w:val="22"/>
          <w:szCs w:val="22"/>
          <w:rtl w:val="0"/>
        </w:rPr>
        <w:t xml:space="preserve"> El solicitante deberá realizar la consulta de los documentos requeridos en el lugar, horarios y con la persona destinada para tal efecto. </w:t>
      </w:r>
    </w:p>
    <w:p w:rsidR="00000000" w:rsidDel="00000000" w:rsidP="00000000" w:rsidRDefault="00000000" w:rsidRPr="00000000" w14:paraId="000000A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rsidR="00000000" w:rsidDel="00000000" w:rsidP="00000000" w:rsidRDefault="00000000" w:rsidRPr="00000000" w14:paraId="000000A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Septuagésimo tercero</w:t>
      </w:r>
      <w:r w:rsidDel="00000000" w:rsidR="00000000" w:rsidRPr="00000000">
        <w:rPr>
          <w:rFonts w:ascii="Palatino Linotype" w:cs="Palatino Linotype" w:eastAsia="Palatino Linotype" w:hAnsi="Palatino Linotype"/>
          <w:i w:val="1"/>
          <w:sz w:val="22"/>
          <w:szCs w:val="22"/>
          <w:rtl w:val="0"/>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rsidR="00000000" w:rsidDel="00000000" w:rsidP="00000000" w:rsidRDefault="00000000" w:rsidRPr="00000000" w14:paraId="000000A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deberá ser entregada sin costo, cuando implique la entrega de no más de veinte hojas simples.”</w:t>
      </w:r>
    </w:p>
    <w:p w:rsidR="00000000" w:rsidDel="00000000" w:rsidP="00000000" w:rsidRDefault="00000000" w:rsidRPr="00000000" w14:paraId="000000A5">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se reitera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justificó el impedimento para remitir la información solicitada vía SAIMEX, al no haberse acreditado de manera fehaciente la imposibilidad humana, técnica y administrativa para validar el cambio de modalidad, en virtud de que no aportó elementos argumentativos que demostraran una imposibilidad para atender la solicitud de información que motivó el recurso de revisión que nos ocupan, </w:t>
      </w:r>
      <w:r w:rsidDel="00000000" w:rsidR="00000000" w:rsidRPr="00000000">
        <w:rPr>
          <w:rFonts w:ascii="Palatino Linotype" w:cs="Palatino Linotype" w:eastAsia="Palatino Linotype" w:hAnsi="Palatino Linotype"/>
          <w:b w:val="1"/>
          <w:rtl w:val="0"/>
        </w:rPr>
        <w:t xml:space="preserve">resultando improcedente el cambio de modalidad propuesto por el Sujeto Obligado</w:t>
      </w:r>
      <w:r w:rsidDel="00000000" w:rsidR="00000000" w:rsidRPr="00000000">
        <w:rPr>
          <w:rFonts w:ascii="Palatino Linotype" w:cs="Palatino Linotype" w:eastAsia="Palatino Linotype" w:hAnsi="Palatino Linotype"/>
          <w:rtl w:val="0"/>
        </w:rPr>
        <w:t xml:space="preserve"> y, por tanto, se continúa con el análisis de la naturaleza de la información, para determinar su entrega en la modalidad elegida por la persona solicitante. </w:t>
      </w:r>
    </w:p>
    <w:p w:rsidR="00000000" w:rsidDel="00000000" w:rsidP="00000000" w:rsidRDefault="00000000" w:rsidRPr="00000000" w14:paraId="000000A6">
      <w:pPr>
        <w:spacing w:after="240" w:before="240" w:line="360" w:lineRule="auto"/>
        <w:jc w:val="both"/>
        <w:rPr>
          <w:rFonts w:ascii="Palatino Linotype" w:cs="Palatino Linotype" w:eastAsia="Palatino Linotype" w:hAnsi="Palatino Linotype"/>
        </w:rPr>
      </w:pPr>
      <w:bookmarkStart w:colFirst="0" w:colLast="0" w:name="_heading=h.17dp8vu" w:id="7"/>
      <w:bookmarkEnd w:id="7"/>
      <w:r w:rsidDel="00000000" w:rsidR="00000000" w:rsidRPr="00000000">
        <w:rPr>
          <w:rFonts w:ascii="Palatino Linotype" w:cs="Palatino Linotype" w:eastAsia="Palatino Linotype" w:hAnsi="Palatino Linotype"/>
          <w:rtl w:val="0"/>
        </w:rPr>
        <w:t xml:space="preserve">Bajo esta línea de pensamiento, resulta oportuno recordar que la materia de la solicitud lo fueron las facturas pagadas por el ayuntamiento del uno de junio al veintidós de septiembre de dos mil veintidós, por lo que solicitud fue turnada a la Tesorería Municipal, al ser el único Órgano de la Administración Pública Municipal autorizado para la recaudación de los impuestos y derechos municipales y demás contribuciones de los particulares de conformidad con los artículos artículo 93 y 95, fracciones I , y IV de la Ley Orgánica Municipal del Estado de México, así mismo es responsable de efectuar las erogaciones que realice con cargo al presupuesto aprobado por el Ayuntamiento.</w:t>
      </w:r>
    </w:p>
    <w:p w:rsidR="00000000" w:rsidDel="00000000" w:rsidP="00000000" w:rsidRDefault="00000000" w:rsidRPr="00000000" w14:paraId="000000A7">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por cuanto hace a las facturas, materia de la solicitud, no obsta mencionar que el Glosario de Términos Hacendarios que emite el Instituto Hacendario del Estado de México, define el término “factura” como el documento fiscal que emite la persona física o moral para comprobar la venta o adquisición de un bien y/o servicio.</w:t>
      </w:r>
    </w:p>
    <w:p w:rsidR="00000000" w:rsidDel="00000000" w:rsidP="00000000" w:rsidRDefault="00000000" w:rsidRPr="00000000" w14:paraId="000000A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000000" w:rsidDel="00000000" w:rsidP="00000000" w:rsidRDefault="00000000" w:rsidRPr="00000000" w14:paraId="000000A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ello, los artículos 342, 343, 344 y 345 del Código Financiero del Estado de México y Municipios, disponen el sistema y las políticas que deben seguirse para llevar el registro contable y presupuestal de las operaciones financieras, en los siguientes términos:</w:t>
      </w:r>
    </w:p>
    <w:p w:rsidR="00000000" w:rsidDel="00000000" w:rsidP="00000000" w:rsidRDefault="00000000" w:rsidRPr="00000000" w14:paraId="000000AA">
      <w:pPr>
        <w:spacing w:after="120" w:before="120" w:lineRule="auto"/>
        <w:ind w:left="862" w:right="86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342.-</w:t>
      </w:r>
      <w:r w:rsidDel="00000000" w:rsidR="00000000" w:rsidRPr="00000000">
        <w:rPr>
          <w:rFonts w:ascii="Palatino Linotype" w:cs="Palatino Linotype" w:eastAsia="Palatino Linotype" w:hAnsi="Palatino Linotype"/>
          <w:i w:val="1"/>
          <w:sz w:val="22"/>
          <w:szCs w:val="22"/>
          <w:rtl w:val="0"/>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000000" w:rsidDel="00000000" w:rsidP="00000000" w:rsidRDefault="00000000" w:rsidRPr="00000000" w14:paraId="000000AB">
      <w:pPr>
        <w:spacing w:after="120" w:before="120" w:lineRule="auto"/>
        <w:ind w:left="862" w:right="86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En el caso de los municipios,</w:t>
      </w:r>
      <w:r w:rsidDel="00000000" w:rsidR="00000000" w:rsidRPr="00000000">
        <w:rPr>
          <w:rFonts w:ascii="Palatino Linotype" w:cs="Palatino Linotype" w:eastAsia="Palatino Linotype" w:hAnsi="Palatino Linotype"/>
          <w:i w:val="1"/>
          <w:sz w:val="22"/>
          <w:szCs w:val="22"/>
          <w:rtl w:val="0"/>
        </w:rPr>
        <w:t xml:space="preserve"> el registro a que se refiere el párrafo anterior, se realizará conforme al sistema y a las disposiciones en materia de </w:t>
      </w:r>
      <w:r w:rsidDel="00000000" w:rsidR="00000000" w:rsidRPr="00000000">
        <w:rPr>
          <w:rFonts w:ascii="Palatino Linotype" w:cs="Palatino Linotype" w:eastAsia="Palatino Linotype" w:hAnsi="Palatino Linotype"/>
          <w:b w:val="1"/>
          <w:i w:val="1"/>
          <w:sz w:val="22"/>
          <w:szCs w:val="22"/>
          <w:rtl w:val="0"/>
        </w:rPr>
        <w:t xml:space="preserve">planeación, programación, presupuestación, evaluación y contabilidad gubernamental</w:t>
      </w:r>
      <w:r w:rsidDel="00000000" w:rsidR="00000000" w:rsidRPr="00000000">
        <w:rPr>
          <w:rFonts w:ascii="Palatino Linotype" w:cs="Palatino Linotype" w:eastAsia="Palatino Linotype" w:hAnsi="Palatino Linotype"/>
          <w:i w:val="1"/>
          <w:sz w:val="22"/>
          <w:szCs w:val="22"/>
          <w:rtl w:val="0"/>
        </w:rPr>
        <w:t xml:space="preserve">, que se aprueben en el marco del Sistema de Coordinación Hacendaria del Estado de México.</w:t>
      </w:r>
    </w:p>
    <w:p w:rsidR="00000000" w:rsidDel="00000000" w:rsidP="00000000" w:rsidRDefault="00000000" w:rsidRPr="00000000" w14:paraId="000000AC">
      <w:pPr>
        <w:spacing w:after="120" w:before="120" w:lineRule="auto"/>
        <w:ind w:left="862" w:right="86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343.-</w:t>
      </w:r>
      <w:r w:rsidDel="00000000" w:rsidR="00000000" w:rsidRPr="00000000">
        <w:rPr>
          <w:rFonts w:ascii="Palatino Linotype" w:cs="Palatino Linotype" w:eastAsia="Palatino Linotype" w:hAnsi="Palatino Linotype"/>
          <w:i w:val="1"/>
          <w:sz w:val="22"/>
          <w:szCs w:val="22"/>
          <w:rtl w:val="0"/>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rsidR="00000000" w:rsidDel="00000000" w:rsidP="00000000" w:rsidRDefault="00000000" w:rsidRPr="00000000" w14:paraId="000000AD">
      <w:pPr>
        <w:spacing w:after="120" w:before="120" w:lineRule="auto"/>
        <w:ind w:left="862" w:right="86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sistema de contabilidad sobre base acumulativa total, se sustentará en las normas emitidas por el Consejo Nacional de Armonización Contable.</w:t>
      </w:r>
    </w:p>
    <w:p w:rsidR="00000000" w:rsidDel="00000000" w:rsidP="00000000" w:rsidRDefault="00000000" w:rsidRPr="00000000" w14:paraId="000000AE">
      <w:pPr>
        <w:spacing w:after="120" w:before="120" w:lineRule="auto"/>
        <w:ind w:left="862" w:right="86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344.- Los Entes Públicos, a través de cualquiera de sus unidades administrativas, de acuerdo con su naturaleza jurídica y según corresponda, </w:t>
      </w:r>
      <w:r w:rsidDel="00000000" w:rsidR="00000000" w:rsidRPr="00000000">
        <w:rPr>
          <w:rFonts w:ascii="Palatino Linotype" w:cs="Palatino Linotype" w:eastAsia="Palatino Linotype" w:hAnsi="Palatino Linotype"/>
          <w:b w:val="1"/>
          <w:i w:val="1"/>
          <w:sz w:val="22"/>
          <w:szCs w:val="22"/>
          <w:u w:val="single"/>
          <w:rtl w:val="0"/>
        </w:rPr>
        <w:t xml:space="preserve">registrarán contablemente el efecto patrimonial y presupuestal de las operaciones financieras que realicen, en el momento en que ocurran, con base en el sistema y políticas de registro establecidas, en el caso de los Municipios, se hará por la Tesorería</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AF">
      <w:pPr>
        <w:spacing w:after="120" w:before="120" w:lineRule="auto"/>
        <w:ind w:left="862" w:right="86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Del="00000000" w:rsidR="00000000" w:rsidRPr="00000000">
        <w:rPr>
          <w:rFonts w:ascii="Palatino Linotype" w:cs="Palatino Linotype" w:eastAsia="Palatino Linotype" w:hAnsi="Palatino Linotype"/>
          <w:i w:val="1"/>
          <w:sz w:val="22"/>
          <w:szCs w:val="22"/>
          <w:rtl w:val="0"/>
        </w:rPr>
        <w:t xml:space="preserve">según corresponda, así como de los órganos internos de control, </w:t>
      </w:r>
      <w:r w:rsidDel="00000000" w:rsidR="00000000" w:rsidRPr="00000000">
        <w:rPr>
          <w:rFonts w:ascii="Palatino Linotype" w:cs="Palatino Linotype" w:eastAsia="Palatino Linotype" w:hAnsi="Palatino Linotype"/>
          <w:b w:val="1"/>
          <w:i w:val="1"/>
          <w:sz w:val="22"/>
          <w:szCs w:val="22"/>
          <w:rtl w:val="0"/>
        </w:rPr>
        <w:t xml:space="preserve">por un término de cinco años,</w:t>
      </w:r>
      <w:r w:rsidDel="00000000" w:rsidR="00000000" w:rsidRPr="00000000">
        <w:rPr>
          <w:rFonts w:ascii="Palatino Linotype" w:cs="Palatino Linotype" w:eastAsia="Palatino Linotype" w:hAnsi="Palatino Linotype"/>
          <w:i w:val="1"/>
          <w:sz w:val="22"/>
          <w:szCs w:val="22"/>
          <w:rtl w:val="0"/>
        </w:rPr>
        <w:t xml:space="preserve"> contados a partir del ejercicio presupuestal siguiente al que corresponda,</w:t>
      </w:r>
      <w:r w:rsidDel="00000000" w:rsidR="00000000" w:rsidRPr="00000000">
        <w:rPr>
          <w:rFonts w:ascii="Palatino Linotype" w:cs="Palatino Linotype" w:eastAsia="Palatino Linotype" w:hAnsi="Palatino Linotype"/>
          <w:b w:val="1"/>
          <w:i w:val="1"/>
          <w:sz w:val="22"/>
          <w:szCs w:val="22"/>
          <w:rtl w:val="0"/>
        </w:rPr>
        <w:t xml:space="preserve"> en el caso de los Municipios, dicha obligación corresponderá a la Tesorería.</w:t>
      </w:r>
    </w:p>
    <w:p w:rsidR="00000000" w:rsidDel="00000000" w:rsidP="00000000" w:rsidRDefault="00000000" w:rsidRPr="00000000" w14:paraId="000000B0">
      <w:pPr>
        <w:spacing w:after="120" w:before="120" w:lineRule="auto"/>
        <w:ind w:left="862" w:right="86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documentos de carácter histórico, se estará a lo dispuesto por la legislación de la materia.</w:t>
      </w:r>
    </w:p>
    <w:p w:rsidR="00000000" w:rsidDel="00000000" w:rsidP="00000000" w:rsidRDefault="00000000" w:rsidRPr="00000000" w14:paraId="000000B1">
      <w:pPr>
        <w:spacing w:after="120" w:before="120" w:lineRule="auto"/>
        <w:ind w:left="862" w:right="86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2">
      <w:pPr>
        <w:spacing w:after="120" w:before="120" w:lineRule="auto"/>
        <w:ind w:left="862" w:right="86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345.-</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Del="00000000" w:rsidR="00000000" w:rsidRPr="00000000">
        <w:rPr>
          <w:rFonts w:ascii="Palatino Linotype" w:cs="Palatino Linotype" w:eastAsia="Palatino Linotype" w:hAnsi="Palatino Linotype"/>
          <w:b w:val="1"/>
          <w:i w:val="1"/>
          <w:sz w:val="22"/>
          <w:szCs w:val="22"/>
          <w:u w:val="single"/>
          <w:rtl w:val="0"/>
        </w:rPr>
        <w:t xml:space="preserve">Tratándose de los comprobantes fiscales digitales, estos deberán estar agregados en forma electrónica a cada póliza de registro contable</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B3">
      <w:pPr>
        <w:spacing w:after="120" w:before="120" w:lineRule="auto"/>
        <w:ind w:left="862" w:right="86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Del="00000000" w:rsidR="00000000" w:rsidRPr="00000000">
        <w:rPr>
          <w:rFonts w:ascii="Palatino Linotype" w:cs="Palatino Linotype" w:eastAsia="Palatino Linotype" w:hAnsi="Palatino Linotype"/>
          <w:b w:val="1"/>
          <w:i w:val="1"/>
          <w:sz w:val="22"/>
          <w:szCs w:val="22"/>
          <w:rtl w:val="0"/>
        </w:rPr>
        <w:t xml:space="preserve">deberán estar agregados en forma electrónica a cada póliza de registro contable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4">
      <w:pPr>
        <w:spacing w:after="120" w:before="120" w:lineRule="auto"/>
        <w:ind w:left="862" w:right="86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El plazo señalado en este artículo empezará a contar a partir de la publicación en el Periódico Oficial, del decreto correspondiente.</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B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000000" w:rsidDel="00000000" w:rsidP="00000000" w:rsidRDefault="00000000" w:rsidRPr="00000000" w14:paraId="000000B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rsidR="00000000" w:rsidDel="00000000" w:rsidP="00000000" w:rsidRDefault="00000000" w:rsidRPr="00000000" w14:paraId="000000B7">
      <w:pPr>
        <w:spacing w:after="120" w:before="120" w:lineRule="auto"/>
        <w:ind w:left="851" w:right="900" w:hanging="9.000000000000057"/>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CONTABLE</w:t>
      </w:r>
    </w:p>
    <w:p w:rsidR="00000000" w:rsidDel="00000000" w:rsidP="00000000" w:rsidRDefault="00000000" w:rsidRPr="00000000" w14:paraId="000000B8">
      <w:pPr>
        <w:spacing w:after="120" w:before="120" w:lineRule="auto"/>
        <w:ind w:left="851" w:right="900" w:hanging="9.000000000000057"/>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Asiento que se realiza en los libros de contabilidad de las actividades relacionadas con el ingreso y egresos de un ente económico.”</w:t>
      </w:r>
    </w:p>
    <w:p w:rsidR="00000000" w:rsidDel="00000000" w:rsidP="00000000" w:rsidRDefault="00000000" w:rsidRPr="00000000" w14:paraId="000000B9">
      <w:pPr>
        <w:spacing w:after="120" w:before="120" w:lineRule="auto"/>
        <w:ind w:left="851" w:right="900" w:hanging="9.000000000000057"/>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PRESUPUESTARIO</w:t>
      </w:r>
    </w:p>
    <w:p w:rsidR="00000000" w:rsidDel="00000000" w:rsidP="00000000" w:rsidRDefault="00000000" w:rsidRPr="00000000" w14:paraId="000000BA">
      <w:pPr>
        <w:spacing w:after="120" w:before="120" w:lineRule="auto"/>
        <w:ind w:left="851" w:right="900" w:hanging="9.000000000000057"/>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Asiento contable de las erogaciones realizadas por las dependencias y entidades con relación a la asignación, modificación y ejercicio de los recursos presupuestarios que se les hayan autorizado.”</w:t>
      </w:r>
    </w:p>
    <w:p w:rsidR="00000000" w:rsidDel="00000000" w:rsidP="00000000" w:rsidRDefault="00000000" w:rsidRPr="00000000" w14:paraId="000000B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rsidR="00000000" w:rsidDel="00000000" w:rsidP="00000000" w:rsidRDefault="00000000" w:rsidRPr="00000000" w14:paraId="000000B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se establece que el sistema de contabilidad sobre base acumulativa total se sustentará en los principios de contabilidad gubernamental.</w:t>
      </w:r>
    </w:p>
    <w:p w:rsidR="00000000" w:rsidDel="00000000" w:rsidP="00000000" w:rsidRDefault="00000000" w:rsidRPr="00000000" w14:paraId="000000B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000000" w:rsidDel="00000000" w:rsidP="00000000" w:rsidRDefault="00000000" w:rsidRPr="00000000" w14:paraId="000000B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Correlativo a lo anterior, es preciso referir una definición de </w:t>
      </w:r>
      <w:r w:rsidDel="00000000" w:rsidR="00000000" w:rsidRPr="00000000">
        <w:rPr>
          <w:rFonts w:ascii="Palatino Linotype" w:cs="Palatino Linotype" w:eastAsia="Palatino Linotype" w:hAnsi="Palatino Linotype"/>
          <w:i w:val="1"/>
          <w:rtl w:val="0"/>
        </w:rPr>
        <w:t xml:space="preserve">póliza contable</w:t>
      </w:r>
      <w:r w:rsidDel="00000000" w:rsidR="00000000" w:rsidRPr="00000000">
        <w:rPr>
          <w:rFonts w:ascii="Palatino Linotype" w:cs="Palatino Linotype" w:eastAsia="Palatino Linotype" w:hAnsi="Palatino Linotype"/>
          <w:rtl w:val="0"/>
        </w:rPr>
        <w:t xml:space="preserve">, la cual, primeramente, no está definida en el Código Financiero del Estado de México y Municipios; no obstante, el ya mencionado Glosario la define como:</w:t>
      </w:r>
    </w:p>
    <w:p w:rsidR="00000000" w:rsidDel="00000000" w:rsidP="00000000" w:rsidRDefault="00000000" w:rsidRPr="00000000" w14:paraId="000000BF">
      <w:pPr>
        <w:spacing w:after="120" w:before="120" w:lineRule="auto"/>
        <w:ind w:left="862"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PÓLIZA CONTABLE</w:t>
      </w:r>
    </w:p>
    <w:p w:rsidR="00000000" w:rsidDel="00000000" w:rsidP="00000000" w:rsidRDefault="00000000" w:rsidRPr="00000000" w14:paraId="000000C0">
      <w:pPr>
        <w:spacing w:after="120" w:before="120" w:lineRule="auto"/>
        <w:ind w:left="862"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Documento en el cual se asientan en forma individual todas y cada una de las operaciones desarrolladas por una institución, así como la información necesaria para la identificación de dichas operaciones.” </w:t>
      </w:r>
    </w:p>
    <w:p w:rsidR="00000000" w:rsidDel="00000000" w:rsidP="00000000" w:rsidRDefault="00000000" w:rsidRPr="00000000" w14:paraId="000000C1">
      <w:pPr>
        <w:spacing w:after="240" w:before="240"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Así, se advierte que la </w:t>
      </w:r>
      <w:r w:rsidDel="00000000" w:rsidR="00000000" w:rsidRPr="00000000">
        <w:rPr>
          <w:rFonts w:ascii="Palatino Linotype" w:cs="Palatino Linotype" w:eastAsia="Palatino Linotype" w:hAnsi="Palatino Linotype"/>
          <w:i w:val="1"/>
          <w:rtl w:val="0"/>
        </w:rPr>
        <w:t xml:space="preserve">póliza contable</w:t>
      </w:r>
      <w:r w:rsidDel="00000000" w:rsidR="00000000" w:rsidRPr="00000000">
        <w:rPr>
          <w:rFonts w:ascii="Palatino Linotype" w:cs="Palatino Linotype" w:eastAsia="Palatino Linotype" w:hAnsi="Palatino Linotype"/>
          <w:rtl w:val="0"/>
        </w:rPr>
        <w:t xml:space="preserve"> constituye un registro contable y presupuestal con el que cuentan los Municipios para el registro de operaciones relacionadas con ingresos y egresos y </w:t>
      </w:r>
      <w:r w:rsidDel="00000000" w:rsidR="00000000" w:rsidRPr="00000000">
        <w:rPr>
          <w:rFonts w:ascii="Palatino Linotype" w:cs="Palatino Linotype" w:eastAsia="Palatino Linotype" w:hAnsi="Palatino Linotype"/>
          <w:b w:val="1"/>
          <w:u w:val="single"/>
          <w:rtl w:val="0"/>
        </w:rPr>
        <w:t xml:space="preserve">se anexan los documentos o comprobantes que justifiquen las anotaciones y cantidades en ellas registradas</w:t>
      </w:r>
      <w:r w:rsidDel="00000000" w:rsidR="00000000" w:rsidRPr="00000000">
        <w:rPr>
          <w:rFonts w:ascii="Palatino Linotype" w:cs="Palatino Linotype" w:eastAsia="Palatino Linotype" w:hAnsi="Palatino Linotype"/>
          <w:rtl w:val="0"/>
        </w:rPr>
        <w:t xml:space="preserve">, lo que permite la identificación plena de dichas operaciones.</w:t>
      </w:r>
      <w:r w:rsidDel="00000000" w:rsidR="00000000" w:rsidRPr="00000000">
        <w:rPr>
          <w:rtl w:val="0"/>
        </w:rPr>
      </w:r>
    </w:p>
    <w:p w:rsidR="00000000" w:rsidDel="00000000" w:rsidP="00000000" w:rsidRDefault="00000000" w:rsidRPr="00000000" w14:paraId="000000C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existen diversos tipos de pólizas contables de acuerdo a las operaciones realizadas, dentro de las cuales, encontramos las </w:t>
      </w:r>
      <w:r w:rsidDel="00000000" w:rsidR="00000000" w:rsidRPr="00000000">
        <w:rPr>
          <w:rFonts w:ascii="Palatino Linotype" w:cs="Palatino Linotype" w:eastAsia="Palatino Linotype" w:hAnsi="Palatino Linotype"/>
          <w:i w:val="1"/>
          <w:rtl w:val="0"/>
        </w:rPr>
        <w:t xml:space="preserve">pólizas de egresos e ingresos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las primeras son aquellas en las cuales </w:t>
      </w:r>
      <w:r w:rsidDel="00000000" w:rsidR="00000000" w:rsidRPr="00000000">
        <w:rPr>
          <w:rFonts w:ascii="Palatino Linotype" w:cs="Palatino Linotype" w:eastAsia="Palatino Linotype" w:hAnsi="Palatino Linotype"/>
          <w:b w:val="1"/>
          <w:u w:val="single"/>
          <w:rtl w:val="0"/>
        </w:rPr>
        <w:t xml:space="preserve">se anotan diariamente las operaciones que representan gastos, es decir, salidas de dinero</w:t>
      </w:r>
      <w:r w:rsidDel="00000000" w:rsidR="00000000" w:rsidRPr="00000000">
        <w:rPr>
          <w:rFonts w:ascii="Palatino Linotype" w:cs="Palatino Linotype" w:eastAsia="Palatino Linotype" w:hAnsi="Palatino Linotype"/>
          <w:rtl w:val="0"/>
        </w:rPr>
        <w:t xml:space="preserve"> para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las que además, </w:t>
      </w:r>
      <w:r w:rsidDel="00000000" w:rsidR="00000000" w:rsidRPr="00000000">
        <w:rPr>
          <w:rFonts w:ascii="Palatino Linotype" w:cs="Palatino Linotype" w:eastAsia="Palatino Linotype" w:hAnsi="Palatino Linotype"/>
          <w:b w:val="1"/>
          <w:u w:val="single"/>
          <w:rtl w:val="0"/>
        </w:rPr>
        <w:t xml:space="preserve">deben encontrarse acompañadas de las documentales que sirven de soporte de dicho movimiento</w:t>
      </w:r>
      <w:r w:rsidDel="00000000" w:rsidR="00000000" w:rsidRPr="00000000">
        <w:rPr>
          <w:rFonts w:ascii="Palatino Linotype" w:cs="Palatino Linotype" w:eastAsia="Palatino Linotype" w:hAnsi="Palatino Linotype"/>
          <w:rtl w:val="0"/>
        </w:rPr>
        <w:t xml:space="preserve">, en atención a las segundas, registran todas la entradas de dinero independientemente de la modalidad, ya sea en efectivo, transferencia, cheque o pagaré, mediante la expedición de facturas.</w:t>
      </w:r>
    </w:p>
    <w:p w:rsidR="00000000" w:rsidDel="00000000" w:rsidP="00000000" w:rsidRDefault="00000000" w:rsidRPr="00000000" w14:paraId="000000C3">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lo anterior, como ya ha sido mencionado en la normatividad antes citada, todo registro contable y presupuestal deberá estar soportado con los documentos comprobatorios originales, como lo son las </w:t>
      </w:r>
      <w:r w:rsidDel="00000000" w:rsidR="00000000" w:rsidRPr="00000000">
        <w:rPr>
          <w:rFonts w:ascii="Palatino Linotype" w:cs="Palatino Linotype" w:eastAsia="Palatino Linotype" w:hAnsi="Palatino Linotype"/>
          <w:i w:val="1"/>
          <w:rtl w:val="0"/>
        </w:rPr>
        <w:t xml:space="preserve">facturas o comprobantes fiscales digitales por internet,</w:t>
      </w:r>
      <w:r w:rsidDel="00000000" w:rsidR="00000000" w:rsidRPr="00000000">
        <w:rPr>
          <w:rFonts w:ascii="Palatino Linotype" w:cs="Palatino Linotype" w:eastAsia="Palatino Linotype" w:hAnsi="Palatino Linotype"/>
          <w:rtl w:val="0"/>
        </w:rPr>
        <w:t xml:space="preserve">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rsidR="00000000" w:rsidDel="00000000" w:rsidP="00000000" w:rsidRDefault="00000000" w:rsidRPr="00000000" w14:paraId="000000C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se puede advertir que, de la información requerida, los documentos que pueden satisfacer el requerimiento del particular serían precisamente los documentos o comprobantes que justifiquen las anotaciones y cantidades en ellas, que acompañan los registros contables del ente fiscalizable.</w:t>
      </w:r>
    </w:p>
    <w:p w:rsidR="00000000" w:rsidDel="00000000" w:rsidP="00000000" w:rsidRDefault="00000000" w:rsidRPr="00000000" w14:paraId="000000C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cabe referir que la Ley de Fiscalización Superior del Estado de México, toda vez que señala que los municipios que conforman el Estado de México, entre ellos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es considerado como ente fiscalizable, como así lo señala el artículo 4 fracción II de la Ley de Fiscalización Superior del Estado de México, el cual señala:</w:t>
      </w:r>
    </w:p>
    <w:p w:rsidR="00000000" w:rsidDel="00000000" w:rsidP="00000000" w:rsidRDefault="00000000" w:rsidRPr="00000000" w14:paraId="000000C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Son sujetos de fiscalización:</w:t>
      </w:r>
    </w:p>
    <w:p w:rsidR="00000000" w:rsidDel="00000000" w:rsidP="00000000" w:rsidRDefault="00000000" w:rsidRPr="00000000" w14:paraId="000000C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Los municipios del Estado de México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ordenamiento legal referido señala en su artículo 8, fracción XI, lo siguiente: </w:t>
      </w:r>
    </w:p>
    <w:p w:rsidR="00000000" w:rsidDel="00000000" w:rsidP="00000000" w:rsidRDefault="00000000" w:rsidRPr="00000000" w14:paraId="000000CA">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w:t>
      </w:r>
      <w:r w:rsidDel="00000000" w:rsidR="00000000" w:rsidRPr="00000000">
        <w:rPr>
          <w:rFonts w:ascii="Palatino Linotype" w:cs="Palatino Linotype" w:eastAsia="Palatino Linotype" w:hAnsi="Palatino Linotype"/>
          <w:i w:val="1"/>
          <w:sz w:val="22"/>
          <w:szCs w:val="22"/>
          <w:rtl w:val="0"/>
        </w:rPr>
        <w:t xml:space="preserve">. El Órgano Superior tendrá las siguientes atribuciones:</w:t>
      </w:r>
    </w:p>
    <w:p w:rsidR="00000000" w:rsidDel="00000000" w:rsidP="00000000" w:rsidRDefault="00000000" w:rsidRPr="00000000" w14:paraId="000000CB">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C">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Establecer los lineamientos, criterios, procedimientos, métodos y sistemas para las acciones de control y evaluación, necesarios para la fiscalización de las cuentas públicas y los informes trimestrales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tesitura, los “Lineamientos para la integración y entrega del Informe Trimestral Municipal 2022”, emitidos por el Órgano Superior de Fiscalización del Estado de México, OSFEM, mismos que establecen los criterios, formatos y documentación necesaria para presentar los informes trimestrales por parte de los entes fiscalizables, integrando la información en cuatro Módulos que contienen la información que se detalla a continuación:</w:t>
      </w:r>
    </w:p>
    <w:p w:rsidR="00000000" w:rsidDel="00000000" w:rsidP="00000000" w:rsidRDefault="00000000" w:rsidRPr="00000000" w14:paraId="000000CE">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240000" cy="1722565"/>
            <wp:effectExtent b="0" l="0" r="0" t="0"/>
            <wp:docPr id="563968061" name="image10.png"/>
            <a:graphic>
              <a:graphicData uri="http://schemas.openxmlformats.org/drawingml/2006/picture">
                <pic:pic>
                  <pic:nvPicPr>
                    <pic:cNvPr id="0" name="image10.png"/>
                    <pic:cNvPicPr preferRelativeResize="0"/>
                  </pic:nvPicPr>
                  <pic:blipFill>
                    <a:blip r:embed="rId12"/>
                    <a:srcRect b="4799" l="0" r="0" t="5011"/>
                    <a:stretch>
                      <a:fillRect/>
                    </a:stretch>
                  </pic:blipFill>
                  <pic:spPr>
                    <a:xfrm>
                      <a:off x="0" y="0"/>
                      <a:ext cx="3240000" cy="1722565"/>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su vez los Módulos se dividen en submódulos, de los que destaca, en relación con el análisis que nos ocupa, el submódulo relativo a “Pólizas”, del Módulo 1:</w:t>
      </w:r>
    </w:p>
    <w:p w:rsidR="00000000" w:rsidDel="00000000" w:rsidP="00000000" w:rsidRDefault="00000000" w:rsidRPr="00000000" w14:paraId="000000D0">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148000" cy="3031829"/>
            <wp:effectExtent b="0" l="0" r="0" t="0"/>
            <wp:docPr id="56396806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148000" cy="303182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2184400</wp:posOffset>
                </wp:positionV>
                <wp:extent cx="4961255" cy="856615"/>
                <wp:effectExtent b="0" l="0" r="0" t="0"/>
                <wp:wrapNone/>
                <wp:docPr id="563968055" name=""/>
                <a:graphic>
                  <a:graphicData uri="http://schemas.microsoft.com/office/word/2010/wordprocessingShape">
                    <wps:wsp>
                      <wps:cNvSpPr/>
                      <wps:cNvPr id="2" name="Shape 2"/>
                      <wps:spPr>
                        <a:xfrm>
                          <a:off x="2908235" y="3394555"/>
                          <a:ext cx="4875530" cy="770890"/>
                        </a:xfrm>
                        <a:prstGeom prst="rect">
                          <a:avLst/>
                        </a:prstGeom>
                        <a:noFill/>
                        <a:ln cap="flat" cmpd="sng" w="28575">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2184400</wp:posOffset>
                </wp:positionV>
                <wp:extent cx="4961255" cy="856615"/>
                <wp:effectExtent b="0" l="0" r="0" t="0"/>
                <wp:wrapNone/>
                <wp:docPr id="563968055"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4961255" cy="856615"/>
                        </a:xfrm>
                        <a:prstGeom prst="rect"/>
                        <a:ln/>
                      </pic:spPr>
                    </pic:pic>
                  </a:graphicData>
                </a:graphic>
              </wp:anchor>
            </w:drawing>
          </mc:Fallback>
        </mc:AlternateContent>
      </w:r>
    </w:p>
    <w:p w:rsidR="00000000" w:rsidDel="00000000" w:rsidP="00000000" w:rsidRDefault="00000000" w:rsidRPr="00000000" w14:paraId="000000D1">
      <w:pPr>
        <w:spacing w:after="240" w:before="240" w:line="360" w:lineRule="auto"/>
        <w:jc w:val="both"/>
        <w:rPr>
          <w:rFonts w:ascii="Palatino Linotype" w:cs="Palatino Linotype" w:eastAsia="Palatino Linotype" w:hAnsi="Palatino Linotype"/>
        </w:rPr>
      </w:pPr>
      <w:bookmarkStart w:colFirst="0" w:colLast="0" w:name="_heading=h.26in1rg" w:id="8"/>
      <w:bookmarkEnd w:id="8"/>
      <w:r w:rsidDel="00000000" w:rsidR="00000000" w:rsidRPr="00000000">
        <w:rPr>
          <w:rFonts w:ascii="Palatino Linotype" w:cs="Palatino Linotype" w:eastAsia="Palatino Linotype" w:hAnsi="Palatino Linotype"/>
          <w:rtl w:val="0"/>
        </w:rPr>
        <w:t xml:space="preserve">Como se advierte en la imagen anterior, el submódulo “Pólizas”, se integra por las pólizas de ingresos, las pólizas de diario, y las pólizas de egresos y las pólizas de cheque, </w:t>
      </w:r>
      <w:r w:rsidDel="00000000" w:rsidR="00000000" w:rsidRPr="00000000">
        <w:rPr>
          <w:rFonts w:ascii="Palatino Linotype" w:cs="Palatino Linotype" w:eastAsia="Palatino Linotype" w:hAnsi="Palatino Linotype"/>
          <w:b w:val="1"/>
          <w:u w:val="single"/>
          <w:rtl w:val="0"/>
        </w:rPr>
        <w:t xml:space="preserve">cada tipo con los respectivos documentos comprobatorios</w:t>
      </w:r>
      <w:r w:rsidDel="00000000" w:rsidR="00000000" w:rsidRPr="00000000">
        <w:rPr>
          <w:rFonts w:ascii="Palatino Linotype" w:cs="Palatino Linotype" w:eastAsia="Palatino Linotype" w:hAnsi="Palatino Linotype"/>
          <w:u w:val="single"/>
          <w:rtl w:val="0"/>
        </w:rPr>
        <w:t xml:space="preserve">,</w:t>
      </w:r>
      <w:r w:rsidDel="00000000" w:rsidR="00000000" w:rsidRPr="00000000">
        <w:rPr>
          <w:rFonts w:ascii="Palatino Linotype" w:cs="Palatino Linotype" w:eastAsia="Palatino Linotype" w:hAnsi="Palatino Linotype"/>
          <w:rtl w:val="0"/>
        </w:rPr>
        <w:t xml:space="preserve"> información que se debe grabar en 3 discos compactos, cada uno con un mes del trimestre, de conformidad con los Lineamientos para la integración y entrega del Informe Trimestral, como se ilustra a continuación:</w:t>
      </w:r>
    </w:p>
    <w:p w:rsidR="00000000" w:rsidDel="00000000" w:rsidP="00000000" w:rsidRDefault="00000000" w:rsidRPr="00000000" w14:paraId="000000D2">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600000" cy="2090323"/>
            <wp:effectExtent b="0" l="0" r="0" t="0"/>
            <wp:docPr id="563968064"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3600000" cy="209032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4470400</wp:posOffset>
                </wp:positionH>
                <wp:positionV relativeFrom="paragraph">
                  <wp:posOffset>1333500</wp:posOffset>
                </wp:positionV>
                <wp:extent cx="276225" cy="171450"/>
                <wp:effectExtent b="0" l="0" r="0" t="0"/>
                <wp:wrapNone/>
                <wp:docPr id="563968056" name=""/>
                <a:graphic>
                  <a:graphicData uri="http://schemas.microsoft.com/office/word/2010/wordprocessingShape">
                    <wps:wsp>
                      <wps:cNvCnPr/>
                      <wps:spPr>
                        <a:xfrm flipH="1">
                          <a:off x="5226938" y="3713325"/>
                          <a:ext cx="238125" cy="133350"/>
                        </a:xfrm>
                        <a:prstGeom prst="straightConnector1">
                          <a:avLst/>
                        </a:prstGeom>
                        <a:noFill/>
                        <a:ln cap="flat" cmpd="sng" w="38100">
                          <a:solidFill>
                            <a:srgbClr val="C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4470400</wp:posOffset>
                </wp:positionH>
                <wp:positionV relativeFrom="paragraph">
                  <wp:posOffset>1333500</wp:posOffset>
                </wp:positionV>
                <wp:extent cx="276225" cy="171450"/>
                <wp:effectExtent b="0" l="0" r="0" t="0"/>
                <wp:wrapNone/>
                <wp:docPr id="563968056"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276225" cy="171450"/>
                        </a:xfrm>
                        <a:prstGeom prst="rect"/>
                        <a:ln/>
                      </pic:spPr>
                    </pic:pic>
                  </a:graphicData>
                </a:graphic>
              </wp:anchor>
            </w:drawing>
          </mc:Fallback>
        </mc:AlternateContent>
      </w:r>
    </w:p>
    <w:p w:rsidR="00000000" w:rsidDel="00000000" w:rsidP="00000000" w:rsidRDefault="00000000" w:rsidRPr="00000000" w14:paraId="000000D3">
      <w:pPr>
        <w:spacing w:after="240" w:before="240" w:line="360" w:lineRule="auto"/>
        <w:jc w:val="both"/>
        <w:rPr>
          <w:rFonts w:ascii="Palatino Linotype" w:cs="Palatino Linotype" w:eastAsia="Palatino Linotype" w:hAnsi="Palatino Linotype"/>
        </w:rPr>
      </w:pPr>
      <w:bookmarkStart w:colFirst="0" w:colLast="0" w:name="_heading=h.35nkun2" w:id="9"/>
      <w:bookmarkEnd w:id="9"/>
      <w:r w:rsidDel="00000000" w:rsidR="00000000" w:rsidRPr="00000000">
        <w:rPr>
          <w:rFonts w:ascii="Palatino Linotype" w:cs="Palatino Linotype" w:eastAsia="Palatino Linotype" w:hAnsi="Palatino Linotype"/>
          <w:rtl w:val="0"/>
        </w:rPr>
        <w:t xml:space="preserve">Así, derivado de la interpretación del requerimiento de información, se considera que la persona solicitante se encuentra interesada en los </w:t>
      </w:r>
      <w:r w:rsidDel="00000000" w:rsidR="00000000" w:rsidRPr="00000000">
        <w:rPr>
          <w:rFonts w:ascii="Palatino Linotype" w:cs="Palatino Linotype" w:eastAsia="Palatino Linotype" w:hAnsi="Palatino Linotype"/>
          <w:i w:val="1"/>
          <w:rtl w:val="0"/>
        </w:rPr>
        <w:t xml:space="preserve">documentos comprobatorios que amparan las pólizas de egresos o las pólizas de cheque</w:t>
      </w:r>
      <w:r w:rsidDel="00000000" w:rsidR="00000000" w:rsidRPr="00000000">
        <w:rPr>
          <w:rFonts w:ascii="Palatino Linotype" w:cs="Palatino Linotype" w:eastAsia="Palatino Linotype" w:hAnsi="Palatino Linotype"/>
          <w:rtl w:val="0"/>
        </w:rPr>
        <w:t xml:space="preserve">, teniendo por finalidad las primeras la de registrar cualquier operación contable en la que se produzca una salida de efectivo o erogaciones, y las segundas en caso de tratarse de una erogación que se realiza a través de un cheque, documentos que por su naturaleza, forman parte del informe trimestral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debe remitir al OSFEM,  de manera trimestral.</w:t>
      </w:r>
    </w:p>
    <w:p w:rsidR="00000000" w:rsidDel="00000000" w:rsidP="00000000" w:rsidRDefault="00000000" w:rsidRPr="00000000" w14:paraId="000000D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Con base en lo anterior, es de suma importancia puntualizar que los </w:t>
      </w:r>
      <w:r w:rsidDel="00000000" w:rsidR="00000000" w:rsidRPr="00000000">
        <w:rPr>
          <w:rFonts w:ascii="Palatino Linotype" w:cs="Palatino Linotype" w:eastAsia="Palatino Linotype" w:hAnsi="Palatino Linotype"/>
          <w:b w:val="1"/>
          <w:u w:val="single"/>
          <w:rtl w:val="0"/>
        </w:rPr>
        <w:t xml:space="preserve">documentos comprobatorios</w:t>
      </w:r>
      <w:r w:rsidDel="00000000" w:rsidR="00000000" w:rsidRPr="00000000">
        <w:rPr>
          <w:rFonts w:ascii="Palatino Linotype" w:cs="Palatino Linotype" w:eastAsia="Palatino Linotype" w:hAnsi="Palatino Linotype"/>
          <w:b w:val="1"/>
          <w:rtl w:val="0"/>
        </w:rPr>
        <w:t xml:space="preserve"> de las pólizas de egresos y las pólizas de cheque, </w:t>
      </w:r>
      <w:r w:rsidDel="00000000" w:rsidR="00000000" w:rsidRPr="00000000">
        <w:rPr>
          <w:rFonts w:ascii="Palatino Linotype" w:cs="Palatino Linotype" w:eastAsia="Palatino Linotype" w:hAnsi="Palatino Linotype"/>
          <w:b w:val="1"/>
          <w:u w:val="single"/>
          <w:rtl w:val="0"/>
        </w:rPr>
        <w:t xml:space="preserve">deben encontrarse digitalizados</w:t>
      </w:r>
      <w:r w:rsidDel="00000000" w:rsidR="00000000" w:rsidRPr="00000000">
        <w:rPr>
          <w:rFonts w:ascii="Palatino Linotype" w:cs="Palatino Linotype" w:eastAsia="Palatino Linotype" w:hAnsi="Palatino Linotype"/>
          <w:rtl w:val="0"/>
        </w:rPr>
        <w:t xml:space="preserve"> para dar cumplimiento a la obligación fiscal prevista en la normativa, circunstancia que cobra relevancia toda vez que no se pierde de vista que la Servidora Pública Habilitada adscrita a la Tesorería Municipal, manifestó que “</w:t>
      </w:r>
      <w:r w:rsidDel="00000000" w:rsidR="00000000" w:rsidRPr="00000000">
        <w:rPr>
          <w:rFonts w:ascii="Palatino Linotype" w:cs="Palatino Linotype" w:eastAsia="Palatino Linotype" w:hAnsi="Palatino Linotype"/>
          <w:i w:val="1"/>
          <w:rtl w:val="0"/>
        </w:rPr>
        <w:t xml:space="preserve">la información solicitada se trataba de </w:t>
      </w:r>
      <w:r w:rsidDel="00000000" w:rsidR="00000000" w:rsidRPr="00000000">
        <w:rPr>
          <w:rFonts w:ascii="Palatino Linotype" w:cs="Palatino Linotype" w:eastAsia="Palatino Linotype" w:hAnsi="Palatino Linotype"/>
          <w:b w:val="1"/>
          <w:i w:val="1"/>
          <w:u w:val="single"/>
          <w:rtl w:val="0"/>
        </w:rPr>
        <w:t xml:space="preserve">documentos que remiten de manera física</w:t>
      </w:r>
      <w:r w:rsidDel="00000000" w:rsidR="00000000" w:rsidRPr="00000000">
        <w:rPr>
          <w:rFonts w:ascii="Palatino Linotype" w:cs="Palatino Linotype" w:eastAsia="Palatino Linotype" w:hAnsi="Palatino Linotype"/>
          <w:i w:val="1"/>
          <w:rtl w:val="0"/>
        </w:rPr>
        <w:t xml:space="preserve"> las dependencias administrativas del Sujeto Obligado</w:t>
      </w:r>
      <w:r w:rsidDel="00000000" w:rsidR="00000000" w:rsidRPr="00000000">
        <w:rPr>
          <w:rFonts w:ascii="Palatino Linotype" w:cs="Palatino Linotype" w:eastAsia="Palatino Linotype" w:hAnsi="Palatino Linotype"/>
          <w:rtl w:val="0"/>
        </w:rPr>
        <w:t xml:space="preserve">” (sic), es decir, si bien, otorgando el beneficio de la duda a la servidora pública habilitada, las facturas de pago pudieran encontrarse en formato físico, también lo es que dichas documentales, al formar parte de los informes trimestrales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como ente fiscalizable, remire al OSFEM, </w:t>
      </w:r>
      <w:r w:rsidDel="00000000" w:rsidR="00000000" w:rsidRPr="00000000">
        <w:rPr>
          <w:rFonts w:ascii="Palatino Linotype" w:cs="Palatino Linotype" w:eastAsia="Palatino Linotype" w:hAnsi="Palatino Linotype"/>
          <w:b w:val="1"/>
          <w:u w:val="single"/>
          <w:rtl w:val="0"/>
        </w:rPr>
        <w:t xml:space="preserve">deben encontrarse en formato digital</w:t>
      </w:r>
      <w:r w:rsidDel="00000000" w:rsidR="00000000" w:rsidRPr="00000000">
        <w:rPr>
          <w:rFonts w:ascii="Palatino Linotype" w:cs="Palatino Linotype" w:eastAsia="Palatino Linotype" w:hAnsi="Palatino Linotype"/>
          <w:b w:val="1"/>
          <w:rtl w:val="0"/>
        </w:rPr>
        <w:t xml:space="preserve"> y además </w:t>
      </w:r>
      <w:r w:rsidDel="00000000" w:rsidR="00000000" w:rsidRPr="00000000">
        <w:rPr>
          <w:rFonts w:ascii="Palatino Linotype" w:cs="Palatino Linotype" w:eastAsia="Palatino Linotype" w:hAnsi="Palatino Linotype"/>
          <w:b w:val="1"/>
          <w:u w:val="single"/>
          <w:rtl w:val="0"/>
        </w:rPr>
        <w:t xml:space="preserve">deben estar plenamente identificables </w:t>
      </w:r>
      <w:r w:rsidDel="00000000" w:rsidR="00000000" w:rsidRPr="00000000">
        <w:rPr>
          <w:rFonts w:ascii="Palatino Linotype" w:cs="Palatino Linotype" w:eastAsia="Palatino Linotype" w:hAnsi="Palatino Linotype"/>
          <w:b w:val="1"/>
          <w:rtl w:val="0"/>
        </w:rPr>
        <w:t xml:space="preserve">en los discos respectivos que integran el Modulo 1 del Informe Trimestral.</w:t>
      </w:r>
    </w:p>
    <w:p w:rsidR="00000000" w:rsidDel="00000000" w:rsidP="00000000" w:rsidRDefault="00000000" w:rsidRPr="00000000" w14:paraId="000000D5">
      <w:pPr>
        <w:spacing w:after="240" w:before="240" w:line="360" w:lineRule="auto"/>
        <w:jc w:val="both"/>
        <w:rPr>
          <w:rFonts w:ascii="Palatino Linotype" w:cs="Palatino Linotype" w:eastAsia="Palatino Linotype" w:hAnsi="Palatino Linotype"/>
        </w:rPr>
      </w:pPr>
      <w:bookmarkStart w:colFirst="0" w:colLast="0" w:name="_heading=h.1ksv4uv" w:id="10"/>
      <w:bookmarkEnd w:id="10"/>
      <w:r w:rsidDel="00000000" w:rsidR="00000000" w:rsidRPr="00000000">
        <w:rPr>
          <w:rFonts w:ascii="Palatino Linotype" w:cs="Palatino Linotype" w:eastAsia="Palatino Linotype" w:hAnsi="Palatino Linotype"/>
          <w:rtl w:val="0"/>
        </w:rPr>
        <w:t xml:space="preserve">Para sustentar lo anterior es preciso mencionar que el Instructivo del Módulo 1, establece los formatos así como el instructivo de llenado para el adecuado cumplimiento de la presentación del Informe, del cual se desprende que el formato correspondiente a las Pólizas de egresos y las Pólizas de cheque, debe contener en el apartado de “Descripción”, de manera breve y especifica el hecho que generó el asiento, observando el siguiente orden:</w:t>
      </w:r>
    </w:p>
    <w:p w:rsidR="00000000" w:rsidDel="00000000" w:rsidP="00000000" w:rsidRDefault="00000000" w:rsidRPr="00000000" w14:paraId="000000D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0225" cy="1400175"/>
            <wp:effectExtent b="0" l="0" r="0" t="0"/>
            <wp:docPr id="563968067"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610225"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en la descripción de la póliza de debe referir el número de Comprobantes Fiscales Digitales por Internet, CFDI´s, que integran la póliza.</w:t>
      </w:r>
    </w:p>
    <w:p w:rsidR="00000000" w:rsidDel="00000000" w:rsidP="00000000" w:rsidRDefault="00000000" w:rsidRPr="00000000" w14:paraId="000000D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expuesto, es evidente que contrario a lo manifestado por la servidora pública habilitada, la entrega de la información no implica realizar la búsqueda de las documentales requeridas en la solicitud en 60 carpetas físicas compuestas por 200 hojas cada una, sino más bien, localizar los documentos que sirvieron de base para integrar el o los informes trimestrales, y que correspondan con los documentos comprobatorios de las pólizas de egresos y de cheques de los meses de junio, julio, agosto y al 22 de septiembre de dos mil veintidós, toda vez que, se insiste, dichos documentos deben encontrarse plenamente identificados a efecto de cumplir con la obligación fiscal impuesta por la normativa aplicable.</w:t>
      </w:r>
    </w:p>
    <w:p w:rsidR="00000000" w:rsidDel="00000000" w:rsidP="00000000" w:rsidRDefault="00000000" w:rsidRPr="00000000" w14:paraId="000000D9">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Con base en lo anterior, en observancia del principio de máxima publicidad, se estima que para tener por colmado el requerimiento de información, es dable ordenar, previa búsqueda exhaustiva y razonable, la entrega de las facturas pagadas del uno de junio al veintidós de septiembre de dos mil veintidós.</w:t>
      </w:r>
    </w:p>
    <w:p w:rsidR="00000000" w:rsidDel="00000000" w:rsidP="00000000" w:rsidRDefault="00000000" w:rsidRPr="00000000" w14:paraId="000000D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sustentar dicha determinación es aplicable el Criterio Reiterado 02/19, emitido por el Pleno de este Instituto, que es del tenor literal siguiente:</w:t>
      </w:r>
    </w:p>
    <w:p w:rsidR="00000000" w:rsidDel="00000000" w:rsidP="00000000" w:rsidRDefault="00000000" w:rsidRPr="00000000" w14:paraId="000000D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BÚSQUEDA EXHAUSTIVA. SU EJERCICIO PARA LOCALIZAR LA INFORMACIÓN SOLICITADA, NO CONSTITUYE UNA INVESTIGACIÓN A LA CUAL SE REFIERE EL ARTÍCULO 12 DE LA LEY DE TRANSPARENCIA Y ACCESO A LA INFORMACIÓN PÚBLICA DEL ESTADO DE MÉXICO Y MUNICIPIOS</w:t>
      </w:r>
      <w:r w:rsidDel="00000000" w:rsidR="00000000" w:rsidRPr="00000000">
        <w:rPr>
          <w:rFonts w:ascii="Palatino Linotype" w:cs="Palatino Linotype" w:eastAsia="Palatino Linotype" w:hAnsi="Palatino Linotype"/>
          <w:i w:val="1"/>
          <w:sz w:val="22"/>
          <w:szCs w:val="22"/>
          <w:rtl w:val="0"/>
        </w:rPr>
        <w:t xml:space="preserve">. 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rsidR="00000000" w:rsidDel="00000000" w:rsidP="00000000" w:rsidRDefault="00000000" w:rsidRPr="00000000" w14:paraId="000000D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debe resaltarse que dentro de la documentación que pudiera otorgarse para efecto de dar cumplimiento a la presente resolución, estos pudieran contener información de carácter confidencial susceptible de ser resguardada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y para lo cual se deberá emitir una versión pública con estricto apego al procedimiento que se detallará en el considerando siguiente, siendo de suma importancia mencionar que </w:t>
      </w:r>
      <w:r w:rsidDel="00000000" w:rsidR="00000000" w:rsidRPr="00000000">
        <w:rPr>
          <w:rFonts w:ascii="Palatino Linotype" w:cs="Palatino Linotype" w:eastAsia="Palatino Linotype" w:hAnsi="Palatino Linotype"/>
          <w:b w:val="1"/>
          <w:rtl w:val="0"/>
        </w:rPr>
        <w:t xml:space="preserve">los datos referidos por el Sujeto Obligado, tales como Registro Federal de Contribuyentes, RFC y domicilio fiscal, </w:t>
      </w:r>
      <w:r w:rsidDel="00000000" w:rsidR="00000000" w:rsidRPr="00000000">
        <w:rPr>
          <w:rFonts w:ascii="Palatino Linotype" w:cs="Palatino Linotype" w:eastAsia="Palatino Linotype" w:hAnsi="Palatino Linotype"/>
          <w:b w:val="1"/>
          <w:u w:val="single"/>
          <w:rtl w:val="0"/>
        </w:rPr>
        <w:t xml:space="preserve">no son susceptibles de clasificarse</w:t>
      </w:r>
      <w:r w:rsidDel="00000000" w:rsidR="00000000" w:rsidRPr="00000000">
        <w:rPr>
          <w:rFonts w:ascii="Palatino Linotype" w:cs="Palatino Linotype" w:eastAsia="Palatino Linotype" w:hAnsi="Palatino Linotype"/>
          <w:rtl w:val="0"/>
        </w:rPr>
        <w:t xml:space="preserve">, aun tratándose de proveedores que sean personas físicas.</w:t>
      </w:r>
    </w:p>
    <w:p w:rsidR="00000000" w:rsidDel="00000000" w:rsidP="00000000" w:rsidRDefault="00000000" w:rsidRPr="00000000" w14:paraId="000000DE">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en virtud de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y/o contratos que vayan a ser entregados en cumplimiento a la obligación e transparencia.</w:t>
      </w:r>
    </w:p>
    <w:p w:rsidR="00000000" w:rsidDel="00000000" w:rsidP="00000000" w:rsidRDefault="00000000" w:rsidRPr="00000000" w14:paraId="000000DF">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000000" w:rsidDel="00000000" w:rsidP="00000000" w:rsidRDefault="00000000" w:rsidRPr="00000000" w14:paraId="000000E0">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rsidR="00000000" w:rsidDel="00000000" w:rsidP="00000000" w:rsidRDefault="00000000" w:rsidRPr="00000000" w14:paraId="000000E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Robustece lo anterior el criterio orientador 04/21 emitido por el Instituto Nacional de Transparencia, Acceso a la Información y Protección de Datos Personales, INAI, el cual refiere:</w:t>
      </w:r>
    </w:p>
    <w:p w:rsidR="00000000" w:rsidDel="00000000" w:rsidP="00000000" w:rsidRDefault="00000000" w:rsidRPr="00000000" w14:paraId="000000E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Federal de Contribuyentes (RFC) de personas físicas proveedoras o contratistas. </w:t>
      </w:r>
      <w:r w:rsidDel="00000000" w:rsidR="00000000" w:rsidRPr="00000000">
        <w:rPr>
          <w:rFonts w:ascii="Palatino Linotype" w:cs="Palatino Linotype" w:eastAsia="Palatino Linotype" w:hAnsi="Palatino Linotype"/>
          <w:i w:val="1"/>
          <w:sz w:val="22"/>
          <w:szCs w:val="22"/>
          <w:rtl w:val="0"/>
        </w:rPr>
        <w:t xml:space="preserve">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rsidR="00000000" w:rsidDel="00000000" w:rsidP="00000000" w:rsidRDefault="00000000" w:rsidRPr="00000000" w14:paraId="000000E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Mientras que en el caso del </w:t>
      </w:r>
      <w:r w:rsidDel="00000000" w:rsidR="00000000" w:rsidRPr="00000000">
        <w:rPr>
          <w:rFonts w:ascii="Palatino Linotype" w:cs="Palatino Linotype" w:eastAsia="Palatino Linotype" w:hAnsi="Palatino Linotype"/>
          <w:b w:val="1"/>
          <w:rtl w:val="0"/>
        </w:rPr>
        <w:t xml:space="preserve">folio fiscal</w:t>
      </w:r>
      <w:r w:rsidDel="00000000" w:rsidR="00000000" w:rsidRPr="00000000">
        <w:rPr>
          <w:rFonts w:ascii="Palatino Linotype" w:cs="Palatino Linotype" w:eastAsia="Palatino Linotype" w:hAnsi="Palatino Linotype"/>
          <w:rtl w:val="0"/>
        </w:rPr>
        <w:t xml:space="preserve">, la </w:t>
      </w:r>
      <w:r w:rsidDel="00000000" w:rsidR="00000000" w:rsidRPr="00000000">
        <w:rPr>
          <w:rFonts w:ascii="Palatino Linotype" w:cs="Palatino Linotype" w:eastAsia="Palatino Linotype" w:hAnsi="Palatino Linotype"/>
          <w:b w:val="1"/>
          <w:rtl w:val="0"/>
        </w:rPr>
        <w:t xml:space="preserve">cadena original, </w:t>
      </w:r>
      <w:r w:rsidDel="00000000" w:rsidR="00000000" w:rsidRPr="00000000">
        <w:rPr>
          <w:rFonts w:ascii="Palatino Linotype" w:cs="Palatino Linotype" w:eastAsia="Palatino Linotype" w:hAnsi="Palatino Linotype"/>
          <w:rtl w:val="0"/>
        </w:rPr>
        <w:t xml:space="preserve">los</w:t>
      </w:r>
      <w:r w:rsidDel="00000000" w:rsidR="00000000" w:rsidRPr="00000000">
        <w:rPr>
          <w:rFonts w:ascii="Palatino Linotype" w:cs="Palatino Linotype" w:eastAsia="Palatino Linotype" w:hAnsi="Palatino Linotype"/>
          <w:b w:val="1"/>
          <w:rtl w:val="0"/>
        </w:rPr>
        <w:t xml:space="preserve"> códigos bidimensionales o códigos QR,</w:t>
      </w:r>
      <w:r w:rsidDel="00000000" w:rsidR="00000000" w:rsidRPr="00000000">
        <w:rPr>
          <w:rFonts w:ascii="Palatino Linotype" w:cs="Palatino Linotype" w:eastAsia="Palatino Linotype" w:hAnsi="Palatino Linotype"/>
          <w:rtl w:val="0"/>
        </w:rPr>
        <w:t xml:space="preserve"> y, en general, cualquier información de carácter fiscal,  pudiera contener un Comprobante Fiscal Digital por Internet, CFDI,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por tanto,  clasificarse como información confidencial, de manera fundada y motivada en términos del artículo 143, fracción I de la Ley de Transparencia y Acceso a la Información Pública del Estado de México y Municipios.</w:t>
      </w:r>
    </w:p>
    <w:p w:rsidR="00000000" w:rsidDel="00000000" w:rsidP="00000000" w:rsidRDefault="00000000" w:rsidRPr="00000000" w14:paraId="000000E4">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devienen fundados, siendo procedente </w:t>
      </w:r>
      <w:r w:rsidDel="00000000" w:rsidR="00000000" w:rsidRPr="00000000">
        <w:rPr>
          <w:rFonts w:ascii="Palatino Linotype" w:cs="Palatino Linotype" w:eastAsia="Palatino Linotype" w:hAnsi="Palatino Linotype"/>
          <w:i w:val="1"/>
          <w:rtl w:val="0"/>
        </w:rPr>
        <w:t xml:space="preserve">Revocar </w:t>
      </w:r>
      <w:r w:rsidDel="00000000" w:rsidR="00000000" w:rsidRPr="00000000">
        <w:rPr>
          <w:rFonts w:ascii="Palatino Linotype" w:cs="Palatino Linotype" w:eastAsia="Palatino Linotype" w:hAnsi="Palatino Linotype"/>
          <w:rtl w:val="0"/>
        </w:rPr>
        <w:t xml:space="preserve">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III de la Ley de Transparencia y Acceso a la Información Pública del Estado de México y Municipios.</w:t>
      </w:r>
    </w:p>
    <w:p w:rsidR="00000000" w:rsidDel="00000000" w:rsidP="00000000" w:rsidRDefault="00000000" w:rsidRPr="00000000" w14:paraId="000000E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Finalmente, debe señalarse que de ser el caso en que los documentos que vayan a ser entregados por el</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sujeto obligado, para dar cumplimiento a la presente resolución, contengan datos que deban ser clasificados,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000000" w:rsidDel="00000000" w:rsidP="00000000" w:rsidRDefault="00000000" w:rsidRPr="00000000" w14:paraId="000000E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0E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E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0E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0E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 </w:t>
      </w:r>
      <w:r w:rsidDel="00000000" w:rsidR="00000000" w:rsidRPr="00000000">
        <w:rPr>
          <w:rFonts w:ascii="Palatino Linotype" w:cs="Palatino Linotype" w:eastAsia="Palatino Linotype" w:hAnsi="Palatino Linotype"/>
          <w:i w:val="1"/>
          <w:sz w:val="22"/>
          <w:szCs w:val="22"/>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E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0E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0E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0F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0F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0F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0F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F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0F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F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0F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F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F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0F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 el Lineamiento Quincuagésimo segundo de los Lineamientos Generales en Materia de Clasificación y Desclasificación de la Información, así como para la Elaboración de Versiones Públicas, establece lo siguiente:</w:t>
      </w:r>
    </w:p>
    <w:p w:rsidR="00000000" w:rsidDel="00000000" w:rsidP="00000000" w:rsidRDefault="00000000" w:rsidRPr="00000000" w14:paraId="000000FC">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0FD">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especifico de la clasificación y elaboración de versiones públicas de documentos que contengan información confidencial, las áreas de los sujetos obligados deberán: </w:t>
      </w:r>
    </w:p>
    <w:p w:rsidR="00000000" w:rsidDel="00000000" w:rsidP="00000000" w:rsidRDefault="00000000" w:rsidRPr="00000000" w14:paraId="000000FE">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Fijar la fecha en que se elaboró la versión pública y la fecha en la cual el Comité de Transparencia confirmó dicha versión;</w:t>
      </w:r>
    </w:p>
    <w:p w:rsidR="00000000" w:rsidDel="00000000" w:rsidP="00000000" w:rsidRDefault="00000000" w:rsidRPr="00000000" w14:paraId="000000FF">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Señalar dentro del documento el tipo de información confidencial que fue testada en cada caso específico, de conformidad con el lineamiento trigésimo octavo; y</w:t>
      </w:r>
    </w:p>
    <w:p w:rsidR="00000000" w:rsidDel="00000000" w:rsidP="00000000" w:rsidRDefault="00000000" w:rsidRPr="00000000" w14:paraId="00000100">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Señalar las personas o instancias autorizadas a acceder a la información clasificada.</w:t>
      </w:r>
    </w:p>
    <w:p w:rsidR="00000000" w:rsidDel="00000000" w:rsidP="00000000" w:rsidRDefault="00000000" w:rsidRPr="00000000" w14:paraId="00000101">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02">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Deberá observar el Lineamiento Quincuagésimo tercero de los Lineamientos Generales en Materia de Clasificación y Desclasificación de la Información supraindicados, que establece los formatos para la clasificación de los documentos, conforme a lo siguiente: </w:t>
      </w:r>
      <w:r w:rsidDel="00000000" w:rsidR="00000000" w:rsidRPr="00000000">
        <w:rPr>
          <w:rtl w:val="0"/>
        </w:rPr>
      </w:r>
    </w:p>
    <w:p w:rsidR="00000000" w:rsidDel="00000000" w:rsidP="00000000" w:rsidRDefault="00000000" w:rsidRPr="00000000" w14:paraId="00000103">
      <w:pPr>
        <w:ind w:left="851" w:right="900"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p>
    <w:p w:rsidR="00000000" w:rsidDel="00000000" w:rsidP="00000000" w:rsidRDefault="00000000" w:rsidRPr="00000000" w14:paraId="00000104">
      <w:pPr>
        <w:ind w:left="851" w:right="900"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ELEMENTOS PARA LA CLASIFICACIÓN </w:t>
      </w:r>
    </w:p>
    <w:p w:rsidR="00000000" w:rsidDel="00000000" w:rsidP="00000000" w:rsidRDefault="00000000" w:rsidRPr="00000000" w14:paraId="00000105">
      <w:pPr>
        <w:ind w:left="851" w:right="900"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tercero. </w:t>
      </w:r>
      <w:r w:rsidDel="00000000" w:rsidR="00000000" w:rsidRPr="00000000">
        <w:rPr>
          <w:rFonts w:ascii="Palatino Linotype" w:cs="Palatino Linotype" w:eastAsia="Palatino Linotype" w:hAnsi="Palatino Linotype"/>
          <w:b w:val="1"/>
          <w:i w:val="1"/>
          <w:sz w:val="22"/>
          <w:szCs w:val="22"/>
          <w:u w:val="single"/>
          <w:rtl w:val="0"/>
        </w:rPr>
        <w:t xml:space="preserve">El formato para señalar la clasificación de un documento o expediente que contenga información reservada</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es el siguiente: </w:t>
      </w:r>
    </w:p>
    <w:p w:rsidR="00000000" w:rsidDel="00000000" w:rsidP="00000000" w:rsidRDefault="00000000" w:rsidRPr="00000000" w14:paraId="00000107">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295775" cy="295275"/>
            <wp:effectExtent b="0" l="0" r="0" t="0"/>
            <wp:docPr id="563968066" name="image7.png"/>
            <a:graphic>
              <a:graphicData uri="http://schemas.openxmlformats.org/drawingml/2006/picture">
                <pic:pic>
                  <pic:nvPicPr>
                    <pic:cNvPr id="0" name="image7.png"/>
                    <pic:cNvPicPr preferRelativeResize="0"/>
                  </pic:nvPicPr>
                  <pic:blipFill>
                    <a:blip r:embed="rId18"/>
                    <a:srcRect b="95731" l="0" r="0" t="0"/>
                    <a:stretch>
                      <a:fillRect/>
                    </a:stretch>
                  </pic:blipFill>
                  <pic:spPr>
                    <a:xfrm>
                      <a:off x="0" y="0"/>
                      <a:ext cx="42957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333875" cy="1866900"/>
            <wp:effectExtent b="0" l="0" r="0" t="0"/>
            <wp:docPr id="563968069" name="image7.png"/>
            <a:graphic>
              <a:graphicData uri="http://schemas.openxmlformats.org/drawingml/2006/picture">
                <pic:pic>
                  <pic:nvPicPr>
                    <pic:cNvPr id="0" name="image7.png"/>
                    <pic:cNvPicPr preferRelativeResize="0"/>
                  </pic:nvPicPr>
                  <pic:blipFill>
                    <a:blip r:embed="rId18"/>
                    <a:srcRect b="42060" l="0" r="0" t="30910"/>
                    <a:stretch>
                      <a:fillRect/>
                    </a:stretch>
                  </pic:blipFill>
                  <pic:spPr>
                    <a:xfrm>
                      <a:off x="0" y="0"/>
                      <a:ext cx="4333875"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333875" cy="2819400"/>
            <wp:effectExtent b="0" l="0" r="0" t="0"/>
            <wp:docPr id="563968068" name="image7.png"/>
            <a:graphic>
              <a:graphicData uri="http://schemas.openxmlformats.org/drawingml/2006/picture">
                <pic:pic>
                  <pic:nvPicPr>
                    <pic:cNvPr id="0" name="image7.png"/>
                    <pic:cNvPicPr preferRelativeResize="0"/>
                  </pic:nvPicPr>
                  <pic:blipFill>
                    <a:blip r:embed="rId18"/>
                    <a:srcRect b="1515" l="0" r="0" t="57660"/>
                    <a:stretch>
                      <a:fillRect/>
                    </a:stretch>
                  </pic:blipFill>
                  <pic:spPr>
                    <a:xfrm>
                      <a:off x="0" y="0"/>
                      <a:ext cx="4333875"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que integren un expediente reservado en su totalidad no deberán marcarse en lo individual.</w:t>
      </w:r>
    </w:p>
    <w:p w:rsidR="00000000" w:rsidDel="00000000" w:rsidP="00000000" w:rsidRDefault="00000000" w:rsidRPr="00000000" w14:paraId="0000010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Una vez desclasificados los expedientes, si existieren documentos que tuvieran el carácter de reservados deberán permanecer o ser marcados.”</w:t>
      </w:r>
    </w:p>
    <w:p w:rsidR="00000000" w:rsidDel="00000000" w:rsidP="00000000" w:rsidRDefault="00000000" w:rsidRPr="00000000" w14:paraId="0000010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deberá observar los Lineamientos Quincuagésimo sexto, Quincuagésimo séptimo y Quincuagésimo octavo, establecen lo siguiente:</w:t>
      </w:r>
    </w:p>
    <w:p w:rsidR="00000000" w:rsidDel="00000000" w:rsidP="00000000" w:rsidRDefault="00000000" w:rsidRPr="00000000" w14:paraId="0000010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sexto</w:t>
      </w:r>
      <w:r w:rsidDel="00000000" w:rsidR="00000000" w:rsidRPr="00000000">
        <w:rPr>
          <w:rFonts w:ascii="Palatino Linotype" w:cs="Palatino Linotype" w:eastAsia="Palatino Linotype" w:hAnsi="Palatino Linotype"/>
          <w:i w:val="1"/>
          <w:sz w:val="22"/>
          <w:szCs w:val="22"/>
          <w:rtl w:val="0"/>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rsidR="00000000" w:rsidDel="00000000" w:rsidP="00000000" w:rsidRDefault="00000000" w:rsidRPr="00000000" w14:paraId="0000010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0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1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1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1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1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1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1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117">
      <w:pPr>
        <w:spacing w:after="240" w:before="240" w:line="360" w:lineRule="auto"/>
        <w:jc w:val="both"/>
        <w:rPr>
          <w:rFonts w:ascii="Palatino Linotype" w:cs="Palatino Linotype" w:eastAsia="Palatino Linotype" w:hAnsi="Palatino Linotype"/>
          <w:b w:val="1"/>
        </w:rPr>
      </w:pPr>
      <w:bookmarkStart w:colFirst="0" w:colLast="0" w:name="_heading=h.1fob9te" w:id="11"/>
      <w:bookmarkEnd w:id="11"/>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rtl w:val="0"/>
        </w:rPr>
        <w:t xml:space="preserve"> 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rtl w:val="0"/>
        </w:rPr>
        <w:t xml:space="preserve">15774/INFOEM/IP/RR/2022,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 se</w:t>
      </w:r>
      <w:r w:rsidDel="00000000" w:rsidR="00000000" w:rsidRPr="00000000">
        <w:rPr>
          <w:rFonts w:ascii="Palatino Linotype" w:cs="Palatino Linotype" w:eastAsia="Palatino Linotype" w:hAnsi="Palatino Linotype"/>
          <w:b w:val="1"/>
          <w:rtl w:val="0"/>
        </w:rPr>
        <w:t xml:space="preserve"> Revoca </w:t>
      </w:r>
      <w:r w:rsidDel="00000000" w:rsidR="00000000" w:rsidRPr="00000000">
        <w:rPr>
          <w:rFonts w:ascii="Palatino Linotype" w:cs="Palatino Linotype" w:eastAsia="Palatino Linotype" w:hAnsi="Palatino Linotype"/>
          <w:rtl w:val="0"/>
        </w:rPr>
        <w:t xml:space="preserve">la respuesta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118">
      <w:pPr>
        <w:spacing w:after="240" w:before="240" w:line="360" w:lineRule="auto"/>
        <w:jc w:val="both"/>
        <w:rPr>
          <w:rFonts w:ascii="Palatino Linotype" w:cs="Palatino Linotype" w:eastAsia="Palatino Linotype" w:hAnsi="Palatino Linotype"/>
        </w:rPr>
      </w:pPr>
      <w:bookmarkStart w:colFirst="0" w:colLast="0" w:name="_heading=h.4d34og8" w:id="12"/>
      <w:bookmarkEnd w:id="12"/>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 los Considerandos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Quinto </w:t>
      </w:r>
      <w:r w:rsidDel="00000000" w:rsidR="00000000" w:rsidRPr="00000000">
        <w:rPr>
          <w:rFonts w:ascii="Palatino Linotype" w:cs="Palatino Linotype" w:eastAsia="Palatino Linotype" w:hAnsi="Palatino Linotype"/>
          <w:rtl w:val="0"/>
        </w:rPr>
        <w:t xml:space="preserve">de esta resolución, haga entrega, vía SAIMEX, en versión pública de ser procedente, de lo siguiente:</w:t>
      </w:r>
    </w:p>
    <w:p w:rsidR="00000000" w:rsidDel="00000000" w:rsidP="00000000" w:rsidRDefault="00000000" w:rsidRPr="00000000" w14:paraId="00000119">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Facturas pagadas por el Ayuntamiento del uno de junio al veintidós de septiembre de dos mil veintidós. </w:t>
      </w:r>
    </w:p>
    <w:p w:rsidR="00000000" w:rsidDel="00000000" w:rsidP="00000000" w:rsidRDefault="00000000" w:rsidRPr="00000000" w14:paraId="0000011A">
      <w:pPr>
        <w:ind w:left="284" w:right="4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Del="00000000" w:rsidR="00000000" w:rsidRPr="00000000">
        <w:rPr>
          <w:rFonts w:ascii="Palatino Linotype" w:cs="Palatino Linotype" w:eastAsia="Palatino Linotype" w:hAnsi="Palatino Linotype"/>
          <w:b w:val="1"/>
          <w:i w:val="1"/>
          <w:sz w:val="20"/>
          <w:szCs w:val="20"/>
          <w:rtl w:val="0"/>
        </w:rPr>
        <w:t xml:space="preserve">Recurrente</w:t>
      </w:r>
      <w:r w:rsidDel="00000000" w:rsidR="00000000" w:rsidRPr="00000000">
        <w:rPr>
          <w:rFonts w:ascii="Palatino Linotype" w:cs="Palatino Linotype" w:eastAsia="Palatino Linotype" w:hAnsi="Palatino Linotype"/>
          <w:i w:val="1"/>
          <w:sz w:val="20"/>
          <w:szCs w:val="20"/>
          <w:rtl w:val="0"/>
        </w:rPr>
        <w:t xml:space="preserve">, mismo que igualmente hará de su conocimiento.</w:t>
      </w:r>
    </w:p>
    <w:p w:rsidR="00000000" w:rsidDel="00000000" w:rsidP="00000000" w:rsidRDefault="00000000" w:rsidRPr="00000000" w14:paraId="0000011B">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11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1E">
      <w:pPr>
        <w:spacing w:line="360" w:lineRule="auto"/>
        <w:jc w:val="both"/>
        <w:rPr>
          <w:rFonts w:ascii="Palatino Linotype" w:cs="Palatino Linotype" w:eastAsia="Palatino Linotype" w:hAnsi="Palatino Linotype"/>
        </w:rPr>
      </w:pPr>
      <w:bookmarkStart w:colFirst="0" w:colLast="0" w:name="_heading=h.lnxbz9" w:id="13"/>
      <w:bookmarkEnd w:id="13"/>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TREINTA Y UNO DE MAYO  DE DOS MIL VEINTITRÉS, ANTE EL SECRETARIO TÉCNICO DEL PLENO ALEXIS TAPIA RAMÍREZ.</w:t>
      </w:r>
    </w:p>
    <w:p w:rsidR="00000000" w:rsidDel="00000000" w:rsidP="00000000" w:rsidRDefault="00000000" w:rsidRPr="00000000" w14:paraId="0000011F">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0">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1">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2">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3">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4">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5">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6">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7">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8">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9">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A">
      <w:pPr>
        <w:spacing w:line="360" w:lineRule="auto"/>
        <w:jc w:val="both"/>
        <w:rPr>
          <w:rFonts w:ascii="Palatino Linotype" w:cs="Palatino Linotype" w:eastAsia="Palatino Linotype" w:hAnsi="Palatino Linotype"/>
        </w:rPr>
      </w:pPr>
      <w:bookmarkStart w:colFirst="0" w:colLast="0" w:name="_heading=h.3rdcrjn" w:id="14"/>
      <w:bookmarkEnd w:id="14"/>
      <w:r w:rsidDel="00000000" w:rsidR="00000000" w:rsidRPr="00000000">
        <w:rPr>
          <w:rtl w:val="0"/>
        </w:rPr>
      </w:r>
    </w:p>
    <w:p w:rsidR="00000000" w:rsidDel="00000000" w:rsidP="00000000" w:rsidRDefault="00000000" w:rsidRPr="00000000" w14:paraId="0000012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D">
      <w:pPr>
        <w:spacing w:line="360" w:lineRule="auto"/>
        <w:jc w:val="both"/>
        <w:rPr>
          <w:rFonts w:ascii="Palatino Linotype" w:cs="Palatino Linotype" w:eastAsia="Palatino Linotype" w:hAnsi="Palatino Linotype"/>
        </w:rPr>
      </w:pPr>
      <w:bookmarkStart w:colFirst="0" w:colLast="0" w:name="_heading=h.1t3h5sf" w:id="15"/>
      <w:bookmarkEnd w:id="15"/>
      <w:r w:rsidDel="00000000" w:rsidR="00000000" w:rsidRPr="00000000">
        <w:rPr>
          <w:rtl w:val="0"/>
        </w:rPr>
      </w:r>
    </w:p>
    <w:p w:rsidR="00000000" w:rsidDel="00000000" w:rsidP="00000000" w:rsidRDefault="00000000" w:rsidRPr="00000000" w14:paraId="0000012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8">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9" w:type="default"/>
      <w:headerReference r:id="rId20" w:type="first"/>
      <w:footerReference r:id="rId21" w:type="default"/>
      <w:footerReference r:id="rId22"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1">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39">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13A">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 w:id="1">
    <w:p w:rsidR="00000000" w:rsidDel="00000000" w:rsidP="00000000" w:rsidRDefault="00000000" w:rsidRPr="00000000" w14:paraId="0000013B">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 w:id="2">
    <w:p w:rsidR="00000000" w:rsidDel="00000000" w:rsidP="00000000" w:rsidRDefault="00000000" w:rsidRPr="00000000" w14:paraId="0000013C">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Consultable en: </w:t>
      </w:r>
    </w:p>
    <w:p w:rsidR="00000000" w:rsidDel="00000000" w:rsidP="00000000" w:rsidRDefault="00000000" w:rsidRPr="00000000" w14:paraId="0000013D">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hyperlink r:id="rId1">
        <w:r w:rsidDel="00000000" w:rsidR="00000000" w:rsidRPr="00000000">
          <w:rPr>
            <w:rFonts w:ascii="Palatino Linotype" w:cs="Palatino Linotype" w:eastAsia="Palatino Linotype" w:hAnsi="Palatino Linotype"/>
            <w:color w:val="0000ff"/>
            <w:sz w:val="16"/>
            <w:szCs w:val="16"/>
            <w:u w:val="single"/>
            <w:rtl w:val="0"/>
          </w:rPr>
          <w:t xml:space="preserve">https://www.indetec.gob.mx/delivery?srv=0&amp;sl=3&amp;path=/biblioteca/Especiales/386_Glosario_Terminos_Proceso_Planeacion.pdf</w:t>
        </w:r>
      </w:hyperlink>
      <w:r w:rsidDel="00000000" w:rsidR="00000000" w:rsidRPr="00000000">
        <w:rPr>
          <w:rFonts w:ascii="Palatino Linotype" w:cs="Palatino Linotype" w:eastAsia="Palatino Linotype" w:hAnsi="Palatino Linotype"/>
          <w:color w:val="000000"/>
          <w:sz w:val="16"/>
          <w:szCs w:val="16"/>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-1080122</wp:posOffset>
          </wp:positionH>
          <wp:positionV relativeFrom="paragraph">
            <wp:posOffset>-262865</wp:posOffset>
          </wp:positionV>
          <wp:extent cx="7809865" cy="10165715"/>
          <wp:effectExtent b="0" l="0" r="0" t="0"/>
          <wp:wrapNone/>
          <wp:docPr id="56396806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13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40">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15774/INFOEM/IP/RR/2022</w:t>
          </w:r>
        </w:p>
      </w:tc>
    </w:tr>
    <w:tr>
      <w:trPr>
        <w:cantSplit w:val="0"/>
        <w:trHeight w:val="130" w:hRule="atLeast"/>
        <w:tblHeader w:val="0"/>
      </w:trPr>
      <w:tc>
        <w:tcPr>
          <w:shd w:fill="auto" w:val="clear"/>
          <w:vAlign w:val="center"/>
        </w:tcPr>
        <w:p w:rsidR="00000000" w:rsidDel="00000000" w:rsidP="00000000" w:rsidRDefault="00000000" w:rsidRPr="00000000" w14:paraId="0000014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42">
          <w:pPr>
            <w:ind w:left="-45" w:firstLine="0"/>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14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44">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Coacalco de Berriozábal</w:t>
          </w:r>
        </w:p>
      </w:tc>
    </w:tr>
    <w:tr>
      <w:trPr>
        <w:cantSplit w:val="0"/>
        <w:tblHeader w:val="0"/>
      </w:trPr>
      <w:tc>
        <w:tcPr>
          <w:shd w:fill="auto" w:val="clear"/>
          <w:vAlign w:val="center"/>
        </w:tcPr>
        <w:p w:rsidR="00000000" w:rsidDel="00000000" w:rsidP="00000000" w:rsidRDefault="00000000" w:rsidRPr="00000000" w14:paraId="0000014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46">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47">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-1080116</wp:posOffset>
          </wp:positionH>
          <wp:positionV relativeFrom="paragraph">
            <wp:posOffset>-488294</wp:posOffset>
          </wp:positionV>
          <wp:extent cx="7809865" cy="10165715"/>
          <wp:effectExtent b="0" l="0" r="0" t="0"/>
          <wp:wrapNone/>
          <wp:docPr id="56396805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4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4B">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15774/INFOEM/IP/RR/2022</w:t>
          </w:r>
        </w:p>
      </w:tc>
    </w:tr>
    <w:tr>
      <w:trPr>
        <w:cantSplit w:val="0"/>
        <w:trHeight w:val="228" w:hRule="atLeast"/>
        <w:tblHeader w:val="0"/>
      </w:trPr>
      <w:tc>
        <w:tcPr>
          <w:shd w:fill="auto" w:val="clear"/>
          <w:vAlign w:val="center"/>
        </w:tcPr>
        <w:p w:rsidR="00000000" w:rsidDel="00000000" w:rsidP="00000000" w:rsidRDefault="00000000" w:rsidRPr="00000000" w14:paraId="0000014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4D">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Coacalco de Berriozábal</w:t>
          </w:r>
        </w:p>
      </w:tc>
    </w:tr>
    <w:tr>
      <w:trPr>
        <w:cantSplit w:val="0"/>
        <w:tblHeader w:val="0"/>
      </w:trPr>
      <w:tc>
        <w:tcPr>
          <w:shd w:fill="auto" w:val="clear"/>
          <w:vAlign w:val="center"/>
        </w:tcPr>
        <w:p w:rsidR="00000000" w:rsidDel="00000000" w:rsidP="00000000" w:rsidRDefault="00000000" w:rsidRPr="00000000" w14:paraId="0000014E">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4F">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50">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2">
    <w:lvl w:ilvl="0">
      <w:start w:val="1"/>
      <w:numFmt w:val="bullet"/>
      <w:lvlText w:val="●"/>
      <w:lvlJc w:val="left"/>
      <w:pPr>
        <w:ind w:left="3196" w:hanging="360"/>
      </w:pPr>
      <w:rPr>
        <w:rFonts w:ascii="Noto Sans Symbols" w:cs="Noto Sans Symbols" w:eastAsia="Noto Sans Symbols" w:hAnsi="Noto Sans Symbols"/>
      </w:rPr>
    </w:lvl>
    <w:lvl w:ilvl="1">
      <w:start w:val="1"/>
      <w:numFmt w:val="bullet"/>
      <w:lvlText w:val="o"/>
      <w:lvlJc w:val="left"/>
      <w:pPr>
        <w:ind w:left="3916" w:hanging="360"/>
      </w:pPr>
      <w:rPr>
        <w:rFonts w:ascii="Courier New" w:cs="Courier New" w:eastAsia="Courier New" w:hAnsi="Courier New"/>
      </w:rPr>
    </w:lvl>
    <w:lvl w:ilvl="2">
      <w:start w:val="1"/>
      <w:numFmt w:val="bullet"/>
      <w:lvlText w:val="▪"/>
      <w:lvlJc w:val="left"/>
      <w:pPr>
        <w:ind w:left="4636" w:hanging="360"/>
      </w:pPr>
      <w:rPr>
        <w:rFonts w:ascii="Noto Sans Symbols" w:cs="Noto Sans Symbols" w:eastAsia="Noto Sans Symbols" w:hAnsi="Noto Sans Symbols"/>
      </w:rPr>
    </w:lvl>
    <w:lvl w:ilvl="3">
      <w:start w:val="1"/>
      <w:numFmt w:val="bullet"/>
      <w:lvlText w:val="●"/>
      <w:lvlJc w:val="left"/>
      <w:pPr>
        <w:ind w:left="5356" w:hanging="360"/>
      </w:pPr>
      <w:rPr>
        <w:rFonts w:ascii="Noto Sans Symbols" w:cs="Noto Sans Symbols" w:eastAsia="Noto Sans Symbols" w:hAnsi="Noto Sans Symbols"/>
      </w:rPr>
    </w:lvl>
    <w:lvl w:ilvl="4">
      <w:start w:val="1"/>
      <w:numFmt w:val="bullet"/>
      <w:lvlText w:val="o"/>
      <w:lvlJc w:val="left"/>
      <w:pPr>
        <w:ind w:left="6076" w:hanging="360"/>
      </w:pPr>
      <w:rPr>
        <w:rFonts w:ascii="Courier New" w:cs="Courier New" w:eastAsia="Courier New" w:hAnsi="Courier New"/>
      </w:rPr>
    </w:lvl>
    <w:lvl w:ilvl="5">
      <w:start w:val="1"/>
      <w:numFmt w:val="bullet"/>
      <w:lvlText w:val="▪"/>
      <w:lvlJc w:val="left"/>
      <w:pPr>
        <w:ind w:left="6796" w:hanging="360"/>
      </w:pPr>
      <w:rPr>
        <w:rFonts w:ascii="Noto Sans Symbols" w:cs="Noto Sans Symbols" w:eastAsia="Noto Sans Symbols" w:hAnsi="Noto Sans Symbols"/>
      </w:rPr>
    </w:lvl>
    <w:lvl w:ilvl="6">
      <w:start w:val="1"/>
      <w:numFmt w:val="bullet"/>
      <w:lvlText w:val="●"/>
      <w:lvlJc w:val="left"/>
      <w:pPr>
        <w:ind w:left="7516" w:hanging="360"/>
      </w:pPr>
      <w:rPr>
        <w:rFonts w:ascii="Noto Sans Symbols" w:cs="Noto Sans Symbols" w:eastAsia="Noto Sans Symbols" w:hAnsi="Noto Sans Symbols"/>
      </w:rPr>
    </w:lvl>
    <w:lvl w:ilvl="7">
      <w:start w:val="1"/>
      <w:numFmt w:val="bullet"/>
      <w:lvlText w:val="o"/>
      <w:lvlJc w:val="left"/>
      <w:pPr>
        <w:ind w:left="8236" w:hanging="360"/>
      </w:pPr>
      <w:rPr>
        <w:rFonts w:ascii="Courier New" w:cs="Courier New" w:eastAsia="Courier New" w:hAnsi="Courier New"/>
      </w:rPr>
    </w:lvl>
    <w:lvl w:ilvl="8">
      <w:start w:val="1"/>
      <w:numFmt w:val="bullet"/>
      <w:lvlText w:val="▪"/>
      <w:lvlJc w:val="left"/>
      <w:pPr>
        <w:ind w:left="8956" w:hanging="360"/>
      </w:pPr>
      <w:rPr>
        <w:rFonts w:ascii="Noto Sans Symbols" w:cs="Noto Sans Symbols" w:eastAsia="Noto Sans Symbols" w:hAnsi="Noto Sans Symbols"/>
      </w:rPr>
    </w:lvl>
  </w:abstractNum>
  <w:abstractNum w:abstractNumId="3">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29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9" w:customStyle="1">
    <w:name w:val="Table Normal9"/>
    <w:tblPr>
      <w:tblCellMar>
        <w:top w:w="0.0" w:type="dxa"/>
        <w:left w:w="0.0" w:type="dxa"/>
        <w:bottom w:w="0.0" w:type="dxa"/>
        <w:right w:w="0.0" w:type="dxa"/>
      </w:tblCellMar>
    </w:tblPr>
  </w:style>
  <w:style w:type="table" w:styleId="TableNormal8" w:customStyle="1">
    <w:name w:val="Table Normal8"/>
    <w:tblPr>
      <w:tblCellMar>
        <w:top w:w="0.0" w:type="dxa"/>
        <w:left w:w="0.0" w:type="dxa"/>
        <w:bottom w:w="0.0" w:type="dxa"/>
        <w:right w:w="0.0" w:type="dxa"/>
      </w:tblCellMar>
    </w:tblPr>
  </w:style>
  <w:style w:type="table" w:styleId="TableNormal70" w:customStyle="1">
    <w:name w:val="Table Normal7"/>
    <w:tblPr>
      <w:tblCellMar>
        <w:top w:w="0.0" w:type="dxa"/>
        <w:left w:w="0.0" w:type="dxa"/>
        <w:bottom w:w="0.0" w:type="dxa"/>
        <w:right w:w="0.0" w:type="dxa"/>
      </w:tblCellMar>
    </w:tblPr>
  </w:style>
  <w:style w:type="table" w:styleId="TableNormal60" w:customStyle="1">
    <w:name w:val="Table Normal6"/>
    <w:tblPr>
      <w:tblCellMar>
        <w:top w:w="0.0" w:type="dxa"/>
        <w:left w:w="0.0" w:type="dxa"/>
        <w:bottom w:w="0.0" w:type="dxa"/>
        <w:right w:w="0.0" w:type="dxa"/>
      </w:tblCellMar>
    </w:tblPr>
  </w:style>
  <w:style w:type="table" w:styleId="TableNormal50" w:customStyle="1">
    <w:name w:val="Table Normal5"/>
    <w:tblPr>
      <w:tblCellMar>
        <w:top w:w="0.0" w:type="dxa"/>
        <w:left w:w="0.0" w:type="dxa"/>
        <w:bottom w:w="0.0" w:type="dxa"/>
        <w:right w:w="0.0" w:type="dxa"/>
      </w:tblCellMar>
    </w:tblPr>
  </w:style>
  <w:style w:type="table" w:styleId="TableNormal40" w:customStyle="1">
    <w:name w:val="Table Normal4"/>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5" w:customStyle="1">
    <w:name w:val="5"/>
    <w:basedOn w:val="TableNormal10"/>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left w:w="115.0" w:type="dxa"/>
        <w:right w:w="115.0" w:type="dxa"/>
      </w:tblCellMar>
    </w:tblPr>
  </w:style>
  <w:style w:type="character" w:styleId="Mencinsinresolver3" w:customStyle="1">
    <w:name w:val="Mención sin resolver3"/>
    <w:basedOn w:val="Fuentedeprrafopredeter"/>
    <w:uiPriority w:val="99"/>
    <w:semiHidden w:val="1"/>
    <w:unhideWhenUsed w:val="1"/>
    <w:rsid w:val="0094565C"/>
    <w:rPr>
      <w:color w:val="605e5c"/>
      <w:shd w:color="auto" w:fill="e1dfdd" w:val="clear"/>
    </w:rPr>
  </w:style>
  <w:style w:type="table" w:styleId="2" w:customStyle="1">
    <w:name w:val="2"/>
    <w:basedOn w:val="TableNormal10"/>
    <w:tblPr>
      <w:tblStyleRowBandSize w:val="1"/>
      <w:tblStyleColBandSize w:val="1"/>
      <w:tblCellMar>
        <w:left w:w="115.0" w:type="dxa"/>
        <w:right w:w="115.0" w:type="dxa"/>
      </w:tblCellMar>
    </w:tblPr>
  </w:style>
  <w:style w:type="table" w:styleId="1" w:customStyle="1">
    <w:name w:val="1"/>
    <w:basedOn w:val="TableNormal10"/>
    <w:tblPr>
      <w:tblStyleRowBandSize w:val="1"/>
      <w:tblStyleColBandSize w:val="1"/>
      <w:tblCellMar>
        <w:left w:w="115.0" w:type="dxa"/>
        <w:right w:w="115.0" w:type="dxa"/>
      </w:tblCellMar>
    </w:tblPr>
  </w:style>
  <w:style w:type="table" w:styleId="9" w:customStyle="1">
    <w:name w:val="9"/>
    <w:basedOn w:val="TableNormal20"/>
    <w:tblPr>
      <w:tblStyleRowBandSize w:val="1"/>
      <w:tblStyleColBandSize w:val="1"/>
      <w:tblCellMar>
        <w:left w:w="115.0" w:type="dxa"/>
        <w:right w:w="115.0" w:type="dxa"/>
      </w:tblCellMar>
    </w:tblPr>
  </w:style>
  <w:style w:type="table" w:styleId="8" w:customStyle="1">
    <w:name w:val="8"/>
    <w:basedOn w:val="TableNormal20"/>
    <w:tblPr>
      <w:tblStyleRowBandSize w:val="1"/>
      <w:tblStyleColBandSize w:val="1"/>
      <w:tblCellMar>
        <w:left w:w="115.0" w:type="dxa"/>
        <w:right w:w="115.0" w:type="dxa"/>
      </w:tblCellMar>
    </w:tblPr>
  </w:style>
  <w:style w:type="table" w:styleId="7" w:customStyle="1">
    <w:name w:val="7"/>
    <w:basedOn w:val="TableNormal30"/>
    <w:tblPr>
      <w:tblStyleRowBandSize w:val="1"/>
      <w:tblStyleColBandSize w:val="1"/>
      <w:tblCellMar>
        <w:left w:w="115.0" w:type="dxa"/>
        <w:right w:w="115.0" w:type="dxa"/>
      </w:tblCellMar>
    </w:tblPr>
  </w:style>
  <w:style w:type="table" w:styleId="6" w:customStyle="1">
    <w:name w:val="6"/>
    <w:basedOn w:val="TableNormal30"/>
    <w:tblPr>
      <w:tblStyleRowBandSize w:val="1"/>
      <w:tblStyleColBandSize w:val="1"/>
      <w:tblCellMar>
        <w:left w:w="115.0" w:type="dxa"/>
        <w:right w:w="115.0" w:type="dxa"/>
      </w:tblCellMar>
    </w:tblPr>
  </w:style>
  <w:style w:type="table" w:styleId="20" w:customStyle="1">
    <w:name w:val="20"/>
    <w:basedOn w:val="TableNormal40"/>
    <w:tblPr>
      <w:tblStyleRowBandSize w:val="1"/>
      <w:tblStyleColBandSize w:val="1"/>
      <w:tblCellMar>
        <w:left w:w="115.0" w:type="dxa"/>
        <w:right w:w="115.0" w:type="dxa"/>
      </w:tblCellMar>
    </w:tblPr>
  </w:style>
  <w:style w:type="table" w:styleId="19" w:customStyle="1">
    <w:name w:val="19"/>
    <w:basedOn w:val="TableNormal40"/>
    <w:tblPr>
      <w:tblStyleRowBandSize w:val="1"/>
      <w:tblStyleColBandSize w:val="1"/>
      <w:tblCellMar>
        <w:left w:w="115.0" w:type="dxa"/>
        <w:right w:w="115.0" w:type="dxa"/>
      </w:tblCellMar>
    </w:tblPr>
  </w:style>
  <w:style w:type="table" w:styleId="18" w:customStyle="1">
    <w:name w:val="18"/>
    <w:basedOn w:val="TableNormal50"/>
    <w:tblPr>
      <w:tblStyleRowBandSize w:val="1"/>
      <w:tblStyleColBandSize w:val="1"/>
      <w:tblCellMar>
        <w:left w:w="115.0" w:type="dxa"/>
        <w:right w:w="115.0" w:type="dxa"/>
      </w:tblCellMar>
    </w:tblPr>
  </w:style>
  <w:style w:type="table" w:styleId="17" w:customStyle="1">
    <w:name w:val="17"/>
    <w:basedOn w:val="TableNormal50"/>
    <w:tblPr>
      <w:tblStyleRowBandSize w:val="1"/>
      <w:tblStyleColBandSize w:val="1"/>
      <w:tblCellMar>
        <w:left w:w="115.0" w:type="dxa"/>
        <w:right w:w="115.0" w:type="dxa"/>
      </w:tblCellMar>
    </w:tblPr>
  </w:style>
  <w:style w:type="table" w:styleId="16" w:customStyle="1">
    <w:name w:val="16"/>
    <w:basedOn w:val="TableNormal60"/>
    <w:tblPr>
      <w:tblStyleRowBandSize w:val="1"/>
      <w:tblStyleColBandSize w:val="1"/>
      <w:tblCellMar>
        <w:left w:w="115.0" w:type="dxa"/>
        <w:right w:w="115.0" w:type="dxa"/>
      </w:tblCellMar>
    </w:tblPr>
  </w:style>
  <w:style w:type="table" w:styleId="15" w:customStyle="1">
    <w:name w:val="15"/>
    <w:basedOn w:val="TableNormal60"/>
    <w:tblPr>
      <w:tblStyleRowBandSize w:val="1"/>
      <w:tblStyleColBandSize w:val="1"/>
      <w:tblCellMar>
        <w:left w:w="115.0" w:type="dxa"/>
        <w:right w:w="115.0" w:type="dxa"/>
      </w:tblCellMar>
    </w:tblPr>
  </w:style>
  <w:style w:type="table" w:styleId="14" w:customStyle="1">
    <w:name w:val="14"/>
    <w:basedOn w:val="TableNormal70"/>
    <w:tblPr>
      <w:tblStyleRowBandSize w:val="1"/>
      <w:tblStyleColBandSize w:val="1"/>
      <w:tblCellMar>
        <w:left w:w="115.0" w:type="dxa"/>
        <w:right w:w="115.0" w:type="dxa"/>
      </w:tblCellMar>
    </w:tblPr>
  </w:style>
  <w:style w:type="table" w:styleId="13" w:customStyle="1">
    <w:name w:val="13"/>
    <w:basedOn w:val="TableNormal70"/>
    <w:tblPr>
      <w:tblStyleRowBandSize w:val="1"/>
      <w:tblStyleColBandSize w:val="1"/>
      <w:tblCellMar>
        <w:left w:w="115.0" w:type="dxa"/>
        <w:right w:w="115.0" w:type="dxa"/>
      </w:tblCellMar>
    </w:tblPr>
  </w:style>
  <w:style w:type="character" w:styleId="rse6dlih" w:customStyle="1">
    <w:name w:val="rse6dlih"/>
    <w:basedOn w:val="Fuentedeprrafopredeter"/>
    <w:rsid w:val="00190860"/>
  </w:style>
  <w:style w:type="table" w:styleId="12" w:customStyle="1">
    <w:name w:val="12"/>
    <w:basedOn w:val="TableNormal8"/>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1" w:customStyle="1">
    <w:name w:val="11"/>
    <w:basedOn w:val="TableNormal8"/>
    <w:tblPr>
      <w:tblStyleRowBandSize w:val="1"/>
      <w:tblStyleColBandSize w:val="1"/>
      <w:tblCellMar>
        <w:left w:w="115.0" w:type="dxa"/>
        <w:right w:w="115.0" w:type="dxa"/>
      </w:tblCellMar>
    </w:tblPr>
  </w:style>
  <w:style w:type="table" w:styleId="10" w:customStyle="1">
    <w:name w:val="10"/>
    <w:basedOn w:val="TableNormal8"/>
    <w:tblPr>
      <w:tblStyleRowBandSize w:val="1"/>
      <w:tblStyleColBandSize w:val="1"/>
      <w:tblCellMar>
        <w:left w:w="115.0" w:type="dxa"/>
        <w:right w:w="115.0" w:type="dxa"/>
      </w:tblCellMar>
    </w:tblPr>
  </w:style>
  <w:style w:type="table" w:styleId="24" w:customStyle="1">
    <w:name w:val="24"/>
    <w:basedOn w:val="TableNormal9"/>
    <w:tblPr>
      <w:tblStyleRowBandSize w:val="1"/>
      <w:tblStyleColBandSize w:val="1"/>
      <w:tblCellMar>
        <w:left w:w="115.0" w:type="dxa"/>
        <w:right w:w="115.0" w:type="dxa"/>
      </w:tblCellMar>
    </w:tblPr>
  </w:style>
  <w:style w:type="table" w:styleId="23" w:customStyle="1">
    <w:name w:val="23"/>
    <w:basedOn w:val="TableNormal9"/>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22" w:customStyle="1">
    <w:name w:val="22"/>
    <w:basedOn w:val="TableNormal9"/>
    <w:tblPr>
      <w:tblStyleRowBandSize w:val="1"/>
      <w:tblStyleColBandSize w:val="1"/>
      <w:tblCellMar>
        <w:left w:w="115.0" w:type="dxa"/>
        <w:right w:w="115.0" w:type="dxa"/>
      </w:tblCellMar>
    </w:tblPr>
  </w:style>
  <w:style w:type="table" w:styleId="21" w:customStyle="1">
    <w:name w:val="21"/>
    <w:basedOn w:val="TableNormal9"/>
    <w:tblPr>
      <w:tblStyleRowBandSize w:val="1"/>
      <w:tblStyleColBandSize w:val="1"/>
      <w:tblCellMar>
        <w:left w:w="115.0" w:type="dxa"/>
        <w:right w:w="115.0" w:type="dxa"/>
      </w:tblCellMar>
    </w:tblPr>
  </w:style>
  <w:style w:type="table" w:styleId="a" w:customStyle="1">
    <w:basedOn w:val="TableNormal7"/>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7"/>
    <w:tblPr>
      <w:tblStyleRowBandSize w:val="1"/>
      <w:tblStyleColBandSize w:val="1"/>
      <w:tblCellMar>
        <w:left w:w="115.0" w:type="dxa"/>
        <w:right w:w="115.0" w:type="dxa"/>
      </w:tblCellMar>
    </w:tblPr>
  </w:style>
  <w:style w:type="table" w:styleId="a2" w:customStyle="1">
    <w:basedOn w:val="TableNormal7"/>
    <w:tblPr>
      <w:tblStyleRowBandSize w:val="1"/>
      <w:tblStyleColBandSize w:val="1"/>
      <w:tblCellMar>
        <w:left w:w="115.0" w:type="dxa"/>
        <w:right w:w="115.0" w:type="dxa"/>
      </w:tblCellMar>
    </w:tblPr>
  </w:style>
  <w:style w:type="table" w:styleId="a3" w:customStyle="1">
    <w:basedOn w:val="TableNormal6"/>
    <w:tblPr>
      <w:tblStyleRowBandSize w:val="1"/>
      <w:tblStyleColBandSize w:val="1"/>
      <w:tblCellMar>
        <w:left w:w="115.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4" w:customStyle="1">
    <w:basedOn w:val="TableNormal6"/>
    <w:tblPr>
      <w:tblStyleRowBandSize w:val="1"/>
      <w:tblStyleColBandSize w:val="1"/>
      <w:tblCellMar>
        <w:left w:w="115.0" w:type="dxa"/>
        <w:right w:w="115.0" w:type="dxa"/>
      </w:tblCellMar>
    </w:tblPr>
  </w:style>
  <w:style w:type="table" w:styleId="a5" w:customStyle="1">
    <w:basedOn w:val="TableNormal6"/>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character" w:styleId="Mencinsinresolver4" w:customStyle="1">
    <w:name w:val="Mención sin resolver4"/>
    <w:basedOn w:val="Fuentedeprrafopredeter"/>
    <w:uiPriority w:val="99"/>
    <w:semiHidden w:val="1"/>
    <w:unhideWhenUsed w:val="1"/>
    <w:rsid w:val="00B70D09"/>
    <w:rPr>
      <w:color w:val="605e5c"/>
      <w:shd w:color="auto" w:fill="e1dfdd" w:val="clear"/>
    </w:rPr>
  </w:style>
  <w:style w:type="table" w:styleId="a9" w:customStyle="1">
    <w:basedOn w:val="TableNormal4"/>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a" w:customStyle="1">
    <w:basedOn w:val="TableNormal4"/>
    <w:tblPr>
      <w:tblStyleRowBandSize w:val="1"/>
      <w:tblStyleColBandSize w:val="1"/>
      <w:tblCellMar>
        <w:left w:w="115.0" w:type="dxa"/>
        <w:right w:w="115.0" w:type="dxa"/>
      </w:tblCellMar>
    </w:tblPr>
  </w:style>
  <w:style w:type="table" w:styleId="ab" w:customStyle="1">
    <w:basedOn w:val="TableNormal4"/>
    <w:tblPr>
      <w:tblStyleRowBandSize w:val="1"/>
      <w:tblStyleColBandSize w:val="1"/>
      <w:tblCellMar>
        <w:left w:w="115.0" w:type="dxa"/>
        <w:right w:w="115.0" w:type="dxa"/>
      </w:tblCellMar>
    </w:tblPr>
  </w:style>
  <w:style w:type="paragraph" w:styleId="Saludo">
    <w:name w:val="Salutation"/>
    <w:basedOn w:val="Normal"/>
    <w:next w:val="Normal"/>
    <w:link w:val="SaludoCar"/>
    <w:uiPriority w:val="99"/>
    <w:unhideWhenUsed w:val="1"/>
    <w:rsid w:val="00E47E56"/>
  </w:style>
  <w:style w:type="character" w:styleId="SaludoCar" w:customStyle="1">
    <w:name w:val="Saludo Car"/>
    <w:basedOn w:val="Fuentedeprrafopredeter"/>
    <w:link w:val="Saludo"/>
    <w:uiPriority w:val="99"/>
    <w:rsid w:val="00E47E56"/>
  </w:style>
  <w:style w:type="paragraph" w:styleId="Listaconvietas">
    <w:name w:val="List Bullet"/>
    <w:basedOn w:val="Normal"/>
    <w:uiPriority w:val="99"/>
    <w:unhideWhenUsed w:val="1"/>
    <w:rsid w:val="00E47E56"/>
    <w:pPr>
      <w:tabs>
        <w:tab w:val="num" w:pos="720"/>
      </w:tabs>
      <w:ind w:left="720" w:hanging="720"/>
      <w:contextualSpacing w:val="1"/>
    </w:pPr>
  </w:style>
  <w:style w:type="paragraph" w:styleId="Listaconvietas2">
    <w:name w:val="List Bullet 2"/>
    <w:basedOn w:val="Normal"/>
    <w:uiPriority w:val="99"/>
    <w:unhideWhenUsed w:val="1"/>
    <w:rsid w:val="00E47E56"/>
    <w:pPr>
      <w:tabs>
        <w:tab w:val="num" w:pos="720"/>
      </w:tabs>
      <w:ind w:left="720" w:hanging="720"/>
      <w:contextualSpacing w:val="1"/>
    </w:pPr>
  </w:style>
  <w:style w:type="paragraph" w:styleId="Descripcin">
    <w:name w:val="caption"/>
    <w:basedOn w:val="Normal"/>
    <w:next w:val="Normal"/>
    <w:uiPriority w:val="35"/>
    <w:unhideWhenUsed w:val="1"/>
    <w:qFormat w:val="1"/>
    <w:rsid w:val="00E47E56"/>
    <w:pPr>
      <w:spacing w:after="200"/>
    </w:pPr>
    <w:rPr>
      <w:i w:val="1"/>
      <w:iCs w:val="1"/>
      <w:color w:val="1f497d" w:themeColor="text2"/>
      <w:sz w:val="18"/>
      <w:szCs w:val="18"/>
    </w:rPr>
  </w:style>
  <w:style w:type="table" w:styleId="ac" w:customStyle="1">
    <w:basedOn w:val="TableNormal3"/>
    <w:tblPr>
      <w:tblStyleRowBandSize w:val="1"/>
      <w:tblStyleColBandSize w:val="1"/>
      <w:tblCellMar>
        <w:left w:w="108.0" w:type="dxa"/>
        <w:right w:w="108.0" w:type="dxa"/>
      </w:tblCellMar>
    </w:tblPr>
  </w:style>
  <w:style w:type="table" w:styleId="ad" w:customStyle="1">
    <w:basedOn w:val="TableNormal3"/>
    <w:tblPr>
      <w:tblStyleRowBandSize w:val="1"/>
      <w:tblStyleColBandSize w:val="1"/>
      <w:tblCellMar>
        <w:left w:w="108.0" w:type="dxa"/>
        <w:right w:w="108.0" w:type="dxa"/>
      </w:tblCellMar>
    </w:tblPr>
  </w:style>
  <w:style w:type="table" w:styleId="ae" w:customStyle="1">
    <w:basedOn w:val="TableNormal3"/>
    <w:tblPr>
      <w:tblStyleRowBandSize w:val="1"/>
      <w:tblStyleColBandSize w:val="1"/>
      <w:tblCellMar>
        <w:left w:w="108.0" w:type="dxa"/>
        <w:right w:w="108.0" w:type="dxa"/>
      </w:tblCellMar>
    </w:tblPr>
  </w:style>
  <w:style w:type="table" w:styleId="af" w:customStyle="1">
    <w:basedOn w:val="TableNormal3"/>
    <w:tblPr>
      <w:tblStyleRowBandSize w:val="1"/>
      <w:tblStyleColBandSize w:val="1"/>
      <w:tblCellMar>
        <w:left w:w="115.0" w:type="dxa"/>
        <w:right w:w="115.0" w:type="dxa"/>
      </w:tblCellMar>
    </w:tblPr>
  </w:style>
  <w:style w:type="table" w:styleId="af0" w:customStyle="1">
    <w:basedOn w:val="TableNormal3"/>
    <w:tblPr>
      <w:tblStyleRowBandSize w:val="1"/>
      <w:tblStyleColBandSize w:val="1"/>
      <w:tblCellMar>
        <w:left w:w="115.0" w:type="dxa"/>
        <w:right w:w="115.0" w:type="dxa"/>
      </w:tblCellMar>
    </w:tblPr>
  </w:style>
  <w:style w:type="table" w:styleId="af1" w:customStyle="1">
    <w:basedOn w:val="TableNormal2"/>
    <w:tblPr>
      <w:tblStyleRowBandSize w:val="1"/>
      <w:tblStyleColBandSize w:val="1"/>
      <w:tblCellMar>
        <w:left w:w="115.0" w:type="dxa"/>
        <w:right w:w="115.0" w:type="dxa"/>
      </w:tblCellMar>
    </w:tblPr>
  </w:style>
  <w:style w:type="table" w:styleId="af2" w:customStyle="1">
    <w:basedOn w:val="TableNormal2"/>
    <w:tblPr>
      <w:tblStyleRowBandSize w:val="1"/>
      <w:tblStyleColBandSize w:val="1"/>
      <w:tblCellMar>
        <w:left w:w="115.0" w:type="dxa"/>
        <w:right w:w="115.0" w:type="dxa"/>
      </w:tblCellMar>
    </w:tblPr>
  </w:style>
  <w:style w:type="table" w:styleId="af3" w:customStyle="1">
    <w:basedOn w:val="TableNormal1"/>
    <w:tblPr>
      <w:tblStyleRowBandSize w:val="1"/>
      <w:tblStyleColBandSize w:val="1"/>
      <w:tblCellMar>
        <w:left w:w="115.0" w:type="dxa"/>
        <w:right w:w="115.0" w:type="dxa"/>
      </w:tblCellMar>
    </w:tblPr>
  </w:style>
  <w:style w:type="table" w:styleId="af4" w:customStyle="1">
    <w:basedOn w:val="TableNormal1"/>
    <w:tblPr>
      <w:tblStyleRowBandSize w:val="1"/>
      <w:tblStyleColBandSize w:val="1"/>
      <w:tblCellMar>
        <w:left w:w="115.0" w:type="dxa"/>
        <w:right w:w="115.0" w:type="dxa"/>
      </w:tblCellMar>
    </w:tblPr>
  </w:style>
  <w:style w:type="character" w:styleId="Mencinsinresolver5" w:customStyle="1">
    <w:name w:val="Mención sin resolver5"/>
    <w:basedOn w:val="Fuentedeprrafopredeter"/>
    <w:uiPriority w:val="99"/>
    <w:semiHidden w:val="1"/>
    <w:unhideWhenUsed w:val="1"/>
    <w:rsid w:val="00C70AEE"/>
    <w:rPr>
      <w:color w:val="605e5c"/>
      <w:shd w:color="auto" w:fill="e1dfdd" w:val="clear"/>
    </w:rPr>
  </w:style>
  <w:style w:type="table" w:styleId="af5" w:customStyle="1">
    <w:basedOn w:val="TableNormal0"/>
    <w:tblPr>
      <w:tblStyleRowBandSize w:val="1"/>
      <w:tblStyleColBandSize w:val="1"/>
      <w:tblCellMar>
        <w:left w:w="115.0" w:type="dxa"/>
        <w:right w:w="115.0" w:type="dxa"/>
      </w:tblCellMar>
    </w:tblPr>
  </w:style>
  <w:style w:type="table" w:styleId="af6"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4.png"/><Relationship Id="rId22" Type="http://schemas.openxmlformats.org/officeDocument/2006/relationships/footer" Target="footer1.xml"/><Relationship Id="rId10" Type="http://schemas.openxmlformats.org/officeDocument/2006/relationships/image" Target="media/image8.png"/><Relationship Id="rId21" Type="http://schemas.openxmlformats.org/officeDocument/2006/relationships/footer" Target="footer2.xml"/><Relationship Id="rId13" Type="http://schemas.openxmlformats.org/officeDocument/2006/relationships/image" Target="media/image3.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15" Type="http://schemas.openxmlformats.org/officeDocument/2006/relationships/image" Target="media/image6.png"/><Relationship Id="rId14" Type="http://schemas.openxmlformats.org/officeDocument/2006/relationships/image" Target="media/image11.png"/><Relationship Id="rId17" Type="http://schemas.openxmlformats.org/officeDocument/2006/relationships/image" Target="media/image9.png"/><Relationship Id="rId16" Type="http://schemas.openxmlformats.org/officeDocument/2006/relationships/image" Target="media/image12.png"/><Relationship Id="rId5" Type="http://schemas.openxmlformats.org/officeDocument/2006/relationships/numbering" Target="numbering.xml"/><Relationship Id="rId19" Type="http://schemas.openxmlformats.org/officeDocument/2006/relationships/header" Target="header2.xml"/><Relationship Id="rId6" Type="http://schemas.openxmlformats.org/officeDocument/2006/relationships/styles" Target="styles.xml"/><Relationship Id="rId18" Type="http://schemas.openxmlformats.org/officeDocument/2006/relationships/image" Target="media/image7.png"/><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wKmQMYdq9MDQeAVwXNssdCeqBA==">CgMxLjAyCGguZ2pkZ3hzMgloLjNkeTZ2a20yCWguMzBqMHpsbDIJaC4yczhleW8xMghoLnR5amN3dDIJaC4zem55c2g3MgloLjJldDkycDAyCWguMTdkcDh2dTIJaC4yNmluMXJnMgloLjM1bmt1bjIyCWguMWtzdjR1djIJaC4xZm9iOXRlMgloLjRkMzRvZzgyCGgubG54Yno5MgloLjNyZGNyam4yCWguMXQzaDVzZjgAciExS0p5MTRZV1ZnaFBmQWJDekFGZGp3WG1saU1uckVtUE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2023-06-07T00:14:00Z</dcterms:created>
  <dc:creator>iMac</dc:creator>
</cp:coreProperties>
</file>