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6129A3" w:rsidRDefault="009F09BC" w:rsidP="00247898">
      <w:pPr>
        <w:tabs>
          <w:tab w:val="left" w:pos="3465"/>
        </w:tabs>
        <w:spacing w:line="360" w:lineRule="auto"/>
        <w:jc w:val="both"/>
        <w:rPr>
          <w:rFonts w:ascii="Palatino Linotype" w:hAnsi="Palatino Linotype"/>
          <w:color w:val="000000" w:themeColor="text1"/>
        </w:rPr>
      </w:pPr>
      <w:r w:rsidRPr="003F1E8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6129A3">
        <w:rPr>
          <w:rFonts w:ascii="Palatino Linotype" w:hAnsi="Palatino Linotype"/>
          <w:color w:val="000000" w:themeColor="text1"/>
        </w:rPr>
        <w:t>uno (01)</w:t>
      </w:r>
      <w:r w:rsidR="009F015F" w:rsidRPr="006129A3">
        <w:rPr>
          <w:rFonts w:ascii="Palatino Linotype" w:hAnsi="Palatino Linotype"/>
          <w:color w:val="000000" w:themeColor="text1"/>
        </w:rPr>
        <w:t xml:space="preserve"> de noviembre de dos mil veintitrés.</w:t>
      </w:r>
    </w:p>
    <w:p w:rsidR="00247898" w:rsidRPr="003F1E88" w:rsidRDefault="00247898" w:rsidP="00247898">
      <w:pPr>
        <w:tabs>
          <w:tab w:val="left" w:pos="3465"/>
        </w:tabs>
        <w:spacing w:line="360" w:lineRule="auto"/>
        <w:jc w:val="both"/>
        <w:rPr>
          <w:rFonts w:ascii="Palatino Linotype" w:hAnsi="Palatino Linotype"/>
          <w:color w:val="000000" w:themeColor="text1"/>
        </w:rPr>
      </w:pPr>
    </w:p>
    <w:p w:rsidR="009F09BC" w:rsidRPr="003F1E88" w:rsidRDefault="009F09BC" w:rsidP="00247898">
      <w:pPr>
        <w:spacing w:line="360" w:lineRule="auto"/>
        <w:jc w:val="both"/>
        <w:rPr>
          <w:rFonts w:ascii="Palatino Linotype" w:hAnsi="Palatino Linotype"/>
          <w:color w:val="000000" w:themeColor="text1"/>
        </w:rPr>
      </w:pPr>
      <w:r w:rsidRPr="003F1E88">
        <w:rPr>
          <w:rFonts w:ascii="Palatino Linotype" w:hAnsi="Palatino Linotype"/>
          <w:b/>
          <w:color w:val="000000" w:themeColor="text1"/>
        </w:rPr>
        <w:t>VISTO</w:t>
      </w:r>
      <w:r w:rsidRPr="003F1E88">
        <w:rPr>
          <w:rFonts w:ascii="Palatino Linotype" w:hAnsi="Palatino Linotype"/>
          <w:color w:val="000000" w:themeColor="text1"/>
        </w:rPr>
        <w:t xml:space="preserve"> </w:t>
      </w:r>
      <w:r w:rsidR="008A699B" w:rsidRPr="003F1E88">
        <w:rPr>
          <w:rFonts w:ascii="Palatino Linotype" w:hAnsi="Palatino Linotype"/>
          <w:color w:val="000000" w:themeColor="text1"/>
        </w:rPr>
        <w:t>e</w:t>
      </w:r>
      <w:r w:rsidRPr="003F1E88">
        <w:rPr>
          <w:rFonts w:ascii="Palatino Linotype" w:hAnsi="Palatino Linotype"/>
          <w:color w:val="000000" w:themeColor="text1"/>
        </w:rPr>
        <w:t xml:space="preserve">l expediente electrónico formado con motivo del recurso de revisión </w:t>
      </w:r>
      <w:r w:rsidR="009F015F" w:rsidRPr="009F015F">
        <w:rPr>
          <w:rFonts w:ascii="Palatino Linotype" w:hAnsi="Palatino Linotype"/>
          <w:b/>
          <w:bCs/>
          <w:color w:val="000000" w:themeColor="text1"/>
        </w:rPr>
        <w:t>06978/INFOEM/IP/RR/2023</w:t>
      </w:r>
      <w:r w:rsidRPr="003F1E88">
        <w:rPr>
          <w:rFonts w:ascii="Palatino Linotype" w:hAnsi="Palatino Linotype"/>
          <w:color w:val="000000" w:themeColor="text1"/>
        </w:rPr>
        <w:t>,</w:t>
      </w:r>
      <w:r w:rsidRPr="003F1E88">
        <w:rPr>
          <w:rFonts w:ascii="Palatino Linotype" w:hAnsi="Palatino Linotype" w:cs="Arial"/>
          <w:b/>
          <w:bCs/>
          <w:color w:val="000000" w:themeColor="text1"/>
        </w:rPr>
        <w:t xml:space="preserve"> </w:t>
      </w:r>
      <w:r w:rsidR="009F015F">
        <w:rPr>
          <w:rFonts w:ascii="Palatino Linotype" w:hAnsi="Palatino Linotype"/>
          <w:color w:val="000000" w:themeColor="text1"/>
        </w:rPr>
        <w:t>promovido por una persona que no proporciono datos de identificación</w:t>
      </w:r>
      <w:r w:rsidR="009F015F">
        <w:rPr>
          <w:rFonts w:ascii="Palatino Linotype" w:hAnsi="Palatino Linotype"/>
          <w:b/>
          <w:color w:val="000000" w:themeColor="text1"/>
        </w:rPr>
        <w:t xml:space="preserve"> </w:t>
      </w:r>
      <w:r w:rsidR="009F015F" w:rsidRPr="006129A3">
        <w:rPr>
          <w:rFonts w:ascii="Palatino Linotype" w:hAnsi="Palatino Linotype"/>
          <w:color w:val="000000" w:themeColor="text1"/>
        </w:rPr>
        <w:t>y</w:t>
      </w:r>
      <w:r w:rsidR="00CF6037" w:rsidRPr="003F1E88">
        <w:rPr>
          <w:rFonts w:ascii="Palatino Linotype" w:hAnsi="Palatino Linotype"/>
          <w:b/>
          <w:color w:val="000000" w:themeColor="text1"/>
        </w:rPr>
        <w:t xml:space="preserve"> </w:t>
      </w:r>
      <w:r w:rsidRPr="003F1E88">
        <w:rPr>
          <w:rFonts w:ascii="Palatino Linotype" w:hAnsi="Palatino Linotype"/>
          <w:color w:val="000000" w:themeColor="text1"/>
        </w:rPr>
        <w:t xml:space="preserve">a quien en lo sucesivo se le identificará como </w:t>
      </w:r>
      <w:r w:rsidR="00C860B1" w:rsidRPr="003F1E88">
        <w:rPr>
          <w:rFonts w:ascii="Palatino Linotype" w:hAnsi="Palatino Linotype"/>
          <w:b/>
          <w:color w:val="000000" w:themeColor="text1"/>
        </w:rPr>
        <w:t>EL RECURRENTE</w:t>
      </w:r>
      <w:r w:rsidR="009F015F">
        <w:rPr>
          <w:rFonts w:ascii="Palatino Linotype" w:hAnsi="Palatino Linotype" w:cs="Arial"/>
          <w:color w:val="000000" w:themeColor="text1"/>
        </w:rPr>
        <w:t>, en contra de la respuesta de la</w:t>
      </w:r>
      <w:r w:rsidRPr="003F1E88">
        <w:rPr>
          <w:rFonts w:ascii="Palatino Linotype" w:hAnsi="Palatino Linotype" w:cs="Arial"/>
          <w:color w:val="000000" w:themeColor="text1"/>
        </w:rPr>
        <w:t xml:space="preserve"> </w:t>
      </w:r>
      <w:r w:rsidR="009F015F" w:rsidRPr="006306EE">
        <w:rPr>
          <w:rFonts w:ascii="Palatino Linotype" w:hAnsi="Palatino Linotype" w:cs="Arial"/>
          <w:b/>
          <w:color w:val="000000" w:themeColor="text1"/>
        </w:rPr>
        <w:t>C</w:t>
      </w:r>
      <w:r w:rsidR="009F015F" w:rsidRPr="009F015F">
        <w:rPr>
          <w:rFonts w:ascii="Palatino Linotype" w:hAnsi="Palatino Linotype"/>
          <w:b/>
          <w:bCs/>
          <w:color w:val="000000" w:themeColor="text1"/>
        </w:rPr>
        <w:t>oordinación General de Comunicación Social</w:t>
      </w:r>
      <w:r w:rsidRPr="003F1E88">
        <w:rPr>
          <w:rFonts w:ascii="Palatino Linotype" w:hAnsi="Palatino Linotype" w:cs="Arial"/>
          <w:b/>
          <w:color w:val="000000" w:themeColor="text1"/>
        </w:rPr>
        <w:t>,</w:t>
      </w:r>
      <w:r w:rsidRPr="003F1E88">
        <w:rPr>
          <w:rFonts w:ascii="Palatino Linotype" w:hAnsi="Palatino Linotype"/>
          <w:b/>
          <w:color w:val="000000" w:themeColor="text1"/>
        </w:rPr>
        <w:t xml:space="preserve"> </w:t>
      </w:r>
      <w:r w:rsidRPr="003F1E88">
        <w:rPr>
          <w:rFonts w:ascii="Palatino Linotype" w:hAnsi="Palatino Linotype"/>
          <w:color w:val="000000" w:themeColor="text1"/>
        </w:rPr>
        <w:t xml:space="preserve">en </w:t>
      </w:r>
      <w:r w:rsidR="006129A3">
        <w:rPr>
          <w:rFonts w:ascii="Palatino Linotype" w:hAnsi="Palatino Linotype"/>
          <w:color w:val="000000" w:themeColor="text1"/>
        </w:rPr>
        <w:t>adelante</w:t>
      </w:r>
      <w:r w:rsidRPr="003F1E88">
        <w:rPr>
          <w:rFonts w:ascii="Palatino Linotype" w:hAnsi="Palatino Linotype"/>
          <w:color w:val="000000" w:themeColor="text1"/>
        </w:rPr>
        <w:t xml:space="preserve"> el</w:t>
      </w:r>
      <w:r w:rsidRPr="003F1E88">
        <w:rPr>
          <w:rFonts w:ascii="Palatino Linotype" w:hAnsi="Palatino Linotype"/>
          <w:b/>
          <w:color w:val="000000" w:themeColor="text1"/>
        </w:rPr>
        <w:t xml:space="preserve"> SUJETO OBLIGADO</w:t>
      </w:r>
      <w:r w:rsidRPr="003F1E88">
        <w:rPr>
          <w:rFonts w:ascii="Palatino Linotype" w:hAnsi="Palatino Linotype"/>
          <w:color w:val="000000" w:themeColor="text1"/>
        </w:rPr>
        <w:t>, se procede a dictar la presente resolución, con base en los siguientes:</w:t>
      </w:r>
    </w:p>
    <w:p w:rsidR="00555F20" w:rsidRPr="003F1E88" w:rsidRDefault="00555F20" w:rsidP="00247898">
      <w:pPr>
        <w:spacing w:line="360" w:lineRule="auto"/>
        <w:jc w:val="both"/>
        <w:rPr>
          <w:rFonts w:ascii="Palatino Linotype" w:hAnsi="Palatino Linotype"/>
          <w:color w:val="000000" w:themeColor="text1"/>
        </w:rPr>
      </w:pPr>
    </w:p>
    <w:p w:rsidR="009F09BC" w:rsidRPr="003F1E88" w:rsidRDefault="009F09BC" w:rsidP="00247898">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3F1E88">
        <w:rPr>
          <w:rFonts w:ascii="Palatino Linotype" w:hAnsi="Palatino Linotype"/>
          <w:b/>
          <w:color w:val="000000" w:themeColor="text1"/>
          <w:sz w:val="24"/>
          <w:szCs w:val="24"/>
        </w:rPr>
        <w:t>ANTECEDENTES</w:t>
      </w:r>
      <w:bookmarkEnd w:id="0"/>
      <w:bookmarkEnd w:id="1"/>
      <w:bookmarkEnd w:id="2"/>
    </w:p>
    <w:p w:rsidR="00247898" w:rsidRPr="003F1E88" w:rsidRDefault="00247898" w:rsidP="00247898">
      <w:pPr>
        <w:rPr>
          <w:rFonts w:ascii="Palatino Linotype" w:hAnsi="Palatino Linotype"/>
        </w:rPr>
      </w:pPr>
    </w:p>
    <w:p w:rsidR="009F09BC" w:rsidRPr="003F1E88" w:rsidRDefault="00C611F4" w:rsidP="00247898">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3F1E88">
        <w:rPr>
          <w:rFonts w:ascii="Palatino Linotype" w:eastAsia="Calibri" w:hAnsi="Palatino Linotype" w:cs="Arial"/>
          <w:color w:val="000000" w:themeColor="text1"/>
          <w:lang w:val="es-ES"/>
        </w:rPr>
        <w:t>En fecha</w:t>
      </w:r>
      <w:r w:rsidR="009F09BC" w:rsidRPr="003F1E88">
        <w:rPr>
          <w:rFonts w:ascii="Palatino Linotype" w:eastAsia="Calibri" w:hAnsi="Palatino Linotype" w:cs="Arial"/>
          <w:color w:val="000000" w:themeColor="text1"/>
          <w:lang w:val="es-ES"/>
        </w:rPr>
        <w:t xml:space="preserve"> </w:t>
      </w:r>
      <w:r w:rsidR="009F015F" w:rsidRPr="009F015F">
        <w:rPr>
          <w:rFonts w:ascii="Palatino Linotype" w:eastAsia="Calibri" w:hAnsi="Palatino Linotype" w:cs="Arial"/>
          <w:b/>
          <w:color w:val="000000" w:themeColor="text1"/>
          <w:lang w:val="es-ES"/>
        </w:rPr>
        <w:t>veinte de septiembre</w:t>
      </w:r>
      <w:r w:rsidR="00E61C13" w:rsidRPr="009F015F">
        <w:rPr>
          <w:rFonts w:ascii="Palatino Linotype" w:eastAsia="Calibri" w:hAnsi="Palatino Linotype" w:cs="Arial"/>
          <w:b/>
          <w:color w:val="000000" w:themeColor="text1"/>
          <w:lang w:val="es-ES"/>
        </w:rPr>
        <w:t xml:space="preserve"> de dos mil </w:t>
      </w:r>
      <w:r w:rsidR="004D465B" w:rsidRPr="009F015F">
        <w:rPr>
          <w:rFonts w:ascii="Palatino Linotype" w:eastAsia="Calibri" w:hAnsi="Palatino Linotype" w:cs="Arial"/>
          <w:b/>
          <w:color w:val="000000" w:themeColor="text1"/>
          <w:lang w:val="es-ES"/>
        </w:rPr>
        <w:t>veintitrés</w:t>
      </w:r>
      <w:r w:rsidR="009F09BC" w:rsidRPr="003F1E88">
        <w:rPr>
          <w:rFonts w:ascii="Palatino Linotype" w:hAnsi="Palatino Linotype"/>
          <w:b/>
          <w:color w:val="000000" w:themeColor="text1"/>
        </w:rPr>
        <w:t xml:space="preserve">, </w:t>
      </w:r>
      <w:r w:rsidR="009F09BC" w:rsidRPr="003F1E88">
        <w:rPr>
          <w:rFonts w:ascii="Palatino Linotype" w:eastAsia="Calibri" w:hAnsi="Palatino Linotype" w:cs="Arial"/>
          <w:color w:val="000000" w:themeColor="text1"/>
          <w:lang w:val="es-ES"/>
        </w:rPr>
        <w:t xml:space="preserve">se presentó ante el </w:t>
      </w:r>
      <w:r w:rsidR="009F09BC" w:rsidRPr="003F1E88">
        <w:rPr>
          <w:rFonts w:ascii="Palatino Linotype" w:eastAsia="Calibri" w:hAnsi="Palatino Linotype" w:cs="Arial"/>
          <w:b/>
          <w:color w:val="000000" w:themeColor="text1"/>
          <w:lang w:val="es-ES"/>
        </w:rPr>
        <w:t>SUJETO OBLIGADO</w:t>
      </w:r>
      <w:r w:rsidR="009F09BC" w:rsidRPr="003F1E88">
        <w:rPr>
          <w:rFonts w:ascii="Palatino Linotype" w:eastAsia="Calibri" w:hAnsi="Palatino Linotype" w:cs="Arial"/>
          <w:color w:val="000000" w:themeColor="text1"/>
        </w:rPr>
        <w:t xml:space="preserve"> vía </w:t>
      </w:r>
      <w:r w:rsidR="008A699B" w:rsidRPr="003F1E88">
        <w:rPr>
          <w:rFonts w:ascii="Palatino Linotype" w:eastAsia="Calibri" w:hAnsi="Palatino Linotype" w:cs="Arial"/>
          <w:color w:val="000000" w:themeColor="text1"/>
          <w:lang w:val="es-ES"/>
        </w:rPr>
        <w:t>SAIMEX, la solicitud</w:t>
      </w:r>
      <w:r w:rsidR="009F09BC" w:rsidRPr="003F1E88">
        <w:rPr>
          <w:rFonts w:ascii="Palatino Linotype" w:eastAsia="Calibri" w:hAnsi="Palatino Linotype" w:cs="Arial"/>
          <w:color w:val="000000" w:themeColor="text1"/>
          <w:lang w:val="es-ES"/>
        </w:rPr>
        <w:t xml:space="preserve"> de información pública</w:t>
      </w:r>
      <w:r w:rsidR="008A699B" w:rsidRPr="003F1E88">
        <w:rPr>
          <w:rFonts w:ascii="Palatino Linotype" w:eastAsia="Calibri" w:hAnsi="Palatino Linotype" w:cs="Arial"/>
          <w:color w:val="000000" w:themeColor="text1"/>
          <w:lang w:val="es-ES"/>
        </w:rPr>
        <w:t xml:space="preserve"> registrada</w:t>
      </w:r>
      <w:r w:rsidR="009F09BC" w:rsidRPr="003F1E88">
        <w:rPr>
          <w:rFonts w:ascii="Palatino Linotype" w:eastAsia="Calibri" w:hAnsi="Palatino Linotype" w:cs="Arial"/>
          <w:color w:val="000000" w:themeColor="text1"/>
          <w:lang w:val="es-ES"/>
        </w:rPr>
        <w:t xml:space="preserve"> con </w:t>
      </w:r>
      <w:r w:rsidR="008A699B" w:rsidRPr="003F1E88">
        <w:rPr>
          <w:rFonts w:ascii="Palatino Linotype" w:eastAsia="Calibri" w:hAnsi="Palatino Linotype" w:cs="Arial"/>
          <w:color w:val="000000" w:themeColor="text1"/>
          <w:lang w:val="es-ES"/>
        </w:rPr>
        <w:t xml:space="preserve">el </w:t>
      </w:r>
      <w:r w:rsidR="009F09BC" w:rsidRPr="003F1E88">
        <w:rPr>
          <w:rFonts w:ascii="Palatino Linotype" w:eastAsia="Calibri" w:hAnsi="Palatino Linotype" w:cs="Arial"/>
          <w:color w:val="000000" w:themeColor="text1"/>
          <w:lang w:val="es-ES"/>
        </w:rPr>
        <w:t>número</w:t>
      </w:r>
      <w:r w:rsidR="009F09BC" w:rsidRPr="003F1E88">
        <w:rPr>
          <w:rFonts w:ascii="Palatino Linotype" w:hAnsi="Palatino Linotype"/>
          <w:b/>
          <w:bCs/>
          <w:color w:val="000000" w:themeColor="text1"/>
        </w:rPr>
        <w:t xml:space="preserve"> </w:t>
      </w:r>
      <w:r w:rsidR="009F015F" w:rsidRPr="009F015F">
        <w:rPr>
          <w:rFonts w:ascii="Palatino Linotype" w:hAnsi="Palatino Linotype"/>
          <w:b/>
          <w:bCs/>
          <w:color w:val="000000" w:themeColor="text1"/>
        </w:rPr>
        <w:t>00036/CGCS/IP/2023</w:t>
      </w:r>
      <w:r w:rsidR="009F09BC" w:rsidRPr="003F1E88">
        <w:rPr>
          <w:rFonts w:ascii="Palatino Linotype" w:hAnsi="Palatino Linotype"/>
          <w:b/>
          <w:bCs/>
          <w:color w:val="000000" w:themeColor="text1"/>
        </w:rPr>
        <w:t xml:space="preserve">; </w:t>
      </w:r>
      <w:r w:rsidR="006129A3">
        <w:rPr>
          <w:rFonts w:ascii="Palatino Linotype" w:eastAsia="Calibri" w:hAnsi="Palatino Linotype" w:cs="Arial"/>
          <w:color w:val="000000" w:themeColor="text1"/>
          <w:lang w:val="es-ES"/>
        </w:rPr>
        <w:t>en la que</w:t>
      </w:r>
      <w:r w:rsidR="009F09BC" w:rsidRPr="003F1E88">
        <w:rPr>
          <w:rFonts w:ascii="Palatino Linotype" w:eastAsia="Calibri" w:hAnsi="Palatino Linotype" w:cs="Arial"/>
          <w:color w:val="000000" w:themeColor="text1"/>
          <w:lang w:val="es-ES"/>
        </w:rPr>
        <w:t xml:space="preserve"> solicitó la siguiente información:</w:t>
      </w:r>
    </w:p>
    <w:p w:rsidR="008A699B" w:rsidRPr="003F1E88" w:rsidRDefault="008A699B" w:rsidP="00247898">
      <w:pPr>
        <w:pStyle w:val="Prrafodelista"/>
        <w:spacing w:line="360" w:lineRule="auto"/>
        <w:ind w:left="0"/>
        <w:jc w:val="both"/>
        <w:rPr>
          <w:rFonts w:ascii="Palatino Linotype" w:eastAsia="Calibri" w:hAnsi="Palatino Linotype" w:cs="Arial"/>
          <w:color w:val="000000" w:themeColor="text1"/>
          <w:lang w:val="es-ES"/>
        </w:rPr>
      </w:pPr>
    </w:p>
    <w:p w:rsidR="009F09BC" w:rsidRPr="003F1E88" w:rsidRDefault="00EB1CE2" w:rsidP="00247898">
      <w:pPr>
        <w:pStyle w:val="Prrafodelista"/>
        <w:spacing w:line="360" w:lineRule="auto"/>
        <w:ind w:left="425" w:right="476"/>
        <w:jc w:val="both"/>
        <w:rPr>
          <w:rFonts w:ascii="Palatino Linotype" w:hAnsi="Palatino Linotype"/>
          <w:i/>
          <w:color w:val="000000" w:themeColor="text1"/>
        </w:rPr>
      </w:pPr>
      <w:r w:rsidRPr="003F1E88">
        <w:rPr>
          <w:rFonts w:ascii="Palatino Linotype" w:hAnsi="Palatino Linotype"/>
          <w:i/>
          <w:color w:val="000000" w:themeColor="text1"/>
        </w:rPr>
        <w:t>“</w:t>
      </w:r>
      <w:r w:rsidR="009F015F">
        <w:rPr>
          <w:rFonts w:ascii="Palatino Linotype" w:hAnsi="Palatino Linotype"/>
          <w:i/>
          <w:color w:val="000000" w:themeColor="text1"/>
        </w:rPr>
        <w:t>1</w:t>
      </w:r>
      <w:r w:rsidR="009F015F" w:rsidRPr="009F015F">
        <w:rPr>
          <w:rFonts w:ascii="Palatino Linotype" w:hAnsi="Palatino Linotype"/>
          <w:i/>
          <w:color w:val="000000" w:themeColor="text1"/>
        </w:rPr>
        <w:t xml:space="preserve">. Solicito el listado de servidores públicos que del año 2017-2023, se les incremento,en el nivel, categoria y salario, documento que justifique el aumento de salario, documento enviado a la Secretaría de Finanzas para su autorización. 2. Número de plazas, que estan permiso, servidor público de permiso, documento que acredite la justificación del permiso, y la renovación si fuere el caso. 3. Plazas sindicalizadas que estan en permiso, nombre de los servidores públicos de permiso, </w:t>
      </w:r>
      <w:r w:rsidR="009F015F" w:rsidRPr="009F015F">
        <w:rPr>
          <w:rFonts w:ascii="Palatino Linotype" w:hAnsi="Palatino Linotype"/>
          <w:i/>
          <w:color w:val="000000" w:themeColor="text1"/>
        </w:rPr>
        <w:lastRenderedPageBreak/>
        <w:t>documento que acredite la justificación para el permiso y renovación si fuere el caso. 4. Número de plazas vacantes y justificación para no poder ocuparlas.</w:t>
      </w:r>
      <w:r w:rsidR="009F015F">
        <w:rPr>
          <w:rFonts w:ascii="Palatino Linotype" w:hAnsi="Palatino Linotype"/>
          <w:i/>
          <w:color w:val="000000" w:themeColor="text1"/>
        </w:rPr>
        <w:t>”</w:t>
      </w:r>
    </w:p>
    <w:p w:rsidR="008A699B" w:rsidRPr="003F1E88" w:rsidRDefault="008A699B" w:rsidP="00247898">
      <w:pPr>
        <w:pStyle w:val="Prrafodelista"/>
        <w:spacing w:line="360" w:lineRule="auto"/>
        <w:ind w:left="851" w:right="34"/>
        <w:jc w:val="both"/>
        <w:rPr>
          <w:rFonts w:ascii="Palatino Linotype" w:hAnsi="Palatino Linotype"/>
          <w:color w:val="000000" w:themeColor="text1"/>
        </w:rPr>
      </w:pPr>
    </w:p>
    <w:p w:rsidR="009F09BC" w:rsidRPr="006129A3" w:rsidRDefault="009F09BC" w:rsidP="00247898">
      <w:pPr>
        <w:pStyle w:val="Prrafodelista"/>
        <w:numPr>
          <w:ilvl w:val="0"/>
          <w:numId w:val="23"/>
        </w:numPr>
        <w:spacing w:line="360" w:lineRule="auto"/>
        <w:ind w:left="709" w:right="34" w:hanging="283"/>
        <w:jc w:val="both"/>
        <w:rPr>
          <w:rFonts w:ascii="Palatino Linotype" w:hAnsi="Palatino Linotype"/>
          <w:color w:val="000000" w:themeColor="text1"/>
        </w:rPr>
      </w:pPr>
      <w:r w:rsidRPr="006129A3">
        <w:rPr>
          <w:rFonts w:ascii="Palatino Linotype" w:eastAsia="Times New Roman" w:hAnsi="Palatino Linotype" w:cs="Arial"/>
          <w:color w:val="000000" w:themeColor="text1"/>
          <w:lang w:val="es-ES"/>
        </w:rPr>
        <w:t>Se eligió como modalidad de entrega de la información</w:t>
      </w:r>
      <w:r w:rsidRPr="006129A3">
        <w:rPr>
          <w:rFonts w:ascii="Palatino Linotype" w:hAnsi="Palatino Linotype"/>
          <w:color w:val="000000" w:themeColor="text1"/>
        </w:rPr>
        <w:t xml:space="preserve">: A través del </w:t>
      </w:r>
      <w:r w:rsidRPr="006129A3">
        <w:rPr>
          <w:rFonts w:ascii="Palatino Linotype" w:hAnsi="Palatino Linotype"/>
          <w:b/>
          <w:color w:val="000000" w:themeColor="text1"/>
        </w:rPr>
        <w:t>SAIMEX</w:t>
      </w:r>
      <w:r w:rsidR="0069487D" w:rsidRPr="006129A3">
        <w:rPr>
          <w:rFonts w:ascii="Palatino Linotype" w:hAnsi="Palatino Linotype"/>
          <w:b/>
          <w:color w:val="000000" w:themeColor="text1"/>
        </w:rPr>
        <w:t>.</w:t>
      </w:r>
    </w:p>
    <w:p w:rsidR="009F015F" w:rsidRPr="003F1E88" w:rsidRDefault="009F015F" w:rsidP="009F015F">
      <w:pPr>
        <w:pStyle w:val="Prrafodelista"/>
        <w:spacing w:line="360" w:lineRule="auto"/>
        <w:ind w:left="709" w:right="34"/>
        <w:jc w:val="both"/>
        <w:rPr>
          <w:rFonts w:ascii="Palatino Linotype" w:hAnsi="Palatino Linotype"/>
          <w:color w:val="000000" w:themeColor="text1"/>
        </w:rPr>
      </w:pPr>
    </w:p>
    <w:p w:rsidR="00E61C13" w:rsidRPr="003F1E88" w:rsidRDefault="001E7EE5" w:rsidP="00716911">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3F1E88">
        <w:rPr>
          <w:rFonts w:ascii="Palatino Linotype" w:hAnsi="Palatino Linotype" w:cs="Arial"/>
          <w:color w:val="000000" w:themeColor="text1"/>
        </w:rPr>
        <w:t>Posteriormente, en fecha</w:t>
      </w:r>
      <w:r w:rsidR="00C860B1" w:rsidRPr="003F1E88">
        <w:rPr>
          <w:rFonts w:ascii="Palatino Linotype" w:hAnsi="Palatino Linotype" w:cs="Arial"/>
          <w:color w:val="000000" w:themeColor="text1"/>
        </w:rPr>
        <w:t xml:space="preserve"> </w:t>
      </w:r>
      <w:r w:rsidR="009F015F" w:rsidRPr="009F015F">
        <w:rPr>
          <w:rFonts w:ascii="Palatino Linotype" w:hAnsi="Palatino Linotype" w:cs="Arial"/>
          <w:b/>
          <w:color w:val="000000" w:themeColor="text1"/>
        </w:rPr>
        <w:t>once de octubre</w:t>
      </w:r>
      <w:r w:rsidR="002C4997" w:rsidRPr="009F015F">
        <w:rPr>
          <w:rFonts w:ascii="Palatino Linotype" w:hAnsi="Palatino Linotype" w:cs="Arial"/>
          <w:b/>
          <w:color w:val="000000" w:themeColor="text1"/>
        </w:rPr>
        <w:t xml:space="preserve"> de dos mil </w:t>
      </w:r>
      <w:r w:rsidR="004D465B" w:rsidRPr="009F015F">
        <w:rPr>
          <w:rFonts w:ascii="Palatino Linotype" w:hAnsi="Palatino Linotype" w:cs="Arial"/>
          <w:b/>
          <w:color w:val="000000" w:themeColor="text1"/>
        </w:rPr>
        <w:t>veintitrés</w:t>
      </w:r>
      <w:r w:rsidR="009F09BC" w:rsidRPr="003F1E88">
        <w:rPr>
          <w:rFonts w:ascii="Palatino Linotype" w:hAnsi="Palatino Linotype" w:cs="Arial"/>
          <w:color w:val="000000" w:themeColor="text1"/>
        </w:rPr>
        <w:t xml:space="preserve">, el </w:t>
      </w:r>
      <w:r w:rsidR="009F09BC" w:rsidRPr="003F1E88">
        <w:rPr>
          <w:rFonts w:ascii="Palatino Linotype" w:hAnsi="Palatino Linotype" w:cs="Arial"/>
          <w:b/>
          <w:color w:val="000000" w:themeColor="text1"/>
        </w:rPr>
        <w:t>SUJETO OBLIGADO,</w:t>
      </w:r>
      <w:r w:rsidR="00EB1CE2" w:rsidRPr="003F1E88">
        <w:rPr>
          <w:rFonts w:ascii="Palatino Linotype" w:hAnsi="Palatino Linotype" w:cs="Arial"/>
          <w:color w:val="000000" w:themeColor="text1"/>
        </w:rPr>
        <w:t xml:space="preserve"> dio respuesta a través del archivo electrónico denominado </w:t>
      </w:r>
      <w:hyperlink r:id="rId8" w:tgtFrame="_blank" w:history="1">
        <w:r w:rsidR="006129A3">
          <w:rPr>
            <w:rStyle w:val="Hipervnculo"/>
            <w:b/>
            <w:bCs/>
            <w:color w:val="auto"/>
            <w:u w:val="none"/>
          </w:rPr>
          <w:t>contestacio</w:t>
        </w:r>
        <w:r w:rsidR="006129A3" w:rsidRPr="006306EE">
          <w:rPr>
            <w:rStyle w:val="Hipervnculo"/>
            <w:b/>
            <w:bCs/>
            <w:color w:val="auto"/>
            <w:u w:val="none"/>
          </w:rPr>
          <w:t>n</w:t>
        </w:r>
        <w:r w:rsidR="006306EE" w:rsidRPr="006306EE">
          <w:rPr>
            <w:rStyle w:val="Hipervnculo"/>
            <w:b/>
            <w:bCs/>
            <w:color w:val="auto"/>
            <w:u w:val="none"/>
          </w:rPr>
          <w:t xml:space="preserve"> 3610-12-2023-022055.pdf</w:t>
        </w:r>
      </w:hyperlink>
      <w:r w:rsidR="00EB1CE2" w:rsidRPr="006306EE">
        <w:rPr>
          <w:rStyle w:val="Hipervnculo"/>
          <w:bCs/>
          <w:color w:val="auto"/>
          <w:u w:val="none"/>
        </w:rPr>
        <w:t>,</w:t>
      </w:r>
      <w:r w:rsidR="00EB1CE2" w:rsidRPr="003F1E88">
        <w:rPr>
          <w:rFonts w:ascii="Palatino Linotype" w:hAnsi="Palatino Linotype" w:cs="Arial"/>
          <w:i/>
        </w:rPr>
        <w:t xml:space="preserve"> </w:t>
      </w:r>
      <w:r w:rsidR="009F015F">
        <w:rPr>
          <w:rFonts w:ascii="Palatino Linotype" w:hAnsi="Palatino Linotype" w:cs="Arial"/>
        </w:rPr>
        <w:t>cuyo contenido</w:t>
      </w:r>
      <w:r w:rsidR="00B02F5F">
        <w:rPr>
          <w:rFonts w:ascii="Palatino Linotype" w:hAnsi="Palatino Linotype" w:cs="Arial"/>
        </w:rPr>
        <w:t xml:space="preserve"> se muestra</w:t>
      </w:r>
      <w:r w:rsidR="00FB00E5" w:rsidRPr="003F1E88">
        <w:rPr>
          <w:rFonts w:ascii="Palatino Linotype" w:hAnsi="Palatino Linotype" w:cs="Arial"/>
        </w:rPr>
        <w:t xml:space="preserve"> a continuación:</w:t>
      </w:r>
    </w:p>
    <w:p w:rsidR="00C611F4" w:rsidRPr="003F1E88" w:rsidRDefault="009F015F" w:rsidP="009F015F">
      <w:pPr>
        <w:pStyle w:val="Prrafodelista"/>
        <w:tabs>
          <w:tab w:val="left" w:pos="0"/>
        </w:tabs>
        <w:spacing w:line="360" w:lineRule="auto"/>
        <w:ind w:left="0" w:right="49"/>
        <w:jc w:val="center"/>
        <w:rPr>
          <w:rFonts w:ascii="Palatino Linotype" w:hAnsi="Palatino Linotype" w:cs="Arial"/>
          <w:i/>
          <w:color w:val="000000" w:themeColor="text1"/>
        </w:rPr>
      </w:pPr>
      <w:r>
        <w:rPr>
          <w:rFonts w:ascii="Palatino Linotype" w:hAnsi="Palatino Linotype" w:cs="Arial"/>
          <w:i/>
          <w:noProof/>
          <w:color w:val="000000" w:themeColor="text1"/>
          <w:lang w:val="es-MX" w:eastAsia="es-MX"/>
        </w:rPr>
        <w:lastRenderedPageBreak/>
        <w:drawing>
          <wp:inline distT="0" distB="0" distL="0" distR="0">
            <wp:extent cx="4914900" cy="63912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6391275"/>
                    </a:xfrm>
                    <a:prstGeom prst="rect">
                      <a:avLst/>
                    </a:prstGeom>
                    <a:noFill/>
                    <a:ln>
                      <a:noFill/>
                    </a:ln>
                  </pic:spPr>
                </pic:pic>
              </a:graphicData>
            </a:graphic>
          </wp:inline>
        </w:drawing>
      </w:r>
    </w:p>
    <w:p w:rsidR="00EB1CE2" w:rsidRPr="003F1E88" w:rsidRDefault="009F015F" w:rsidP="00247898">
      <w:pPr>
        <w:pStyle w:val="Prrafodelista"/>
        <w:tabs>
          <w:tab w:val="left" w:pos="0"/>
        </w:tabs>
        <w:spacing w:line="360" w:lineRule="auto"/>
        <w:ind w:left="0" w:right="49"/>
        <w:jc w:val="center"/>
        <w:rPr>
          <w:rFonts w:ascii="Palatino Linotype" w:hAnsi="Palatino Linotype" w:cs="Arial"/>
          <w:i/>
          <w:color w:val="000000" w:themeColor="text1"/>
        </w:rPr>
      </w:pPr>
      <w:r>
        <w:rPr>
          <w:rFonts w:ascii="Palatino Linotype" w:hAnsi="Palatino Linotype" w:cs="Arial"/>
          <w:i/>
          <w:noProof/>
          <w:color w:val="000000" w:themeColor="text1"/>
          <w:lang w:val="es-MX" w:eastAsia="es-MX"/>
        </w:rPr>
        <w:lastRenderedPageBreak/>
        <w:drawing>
          <wp:inline distT="0" distB="0" distL="0" distR="0">
            <wp:extent cx="4810125" cy="63055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125" cy="6305550"/>
                    </a:xfrm>
                    <a:prstGeom prst="rect">
                      <a:avLst/>
                    </a:prstGeom>
                    <a:noFill/>
                    <a:ln>
                      <a:noFill/>
                    </a:ln>
                  </pic:spPr>
                </pic:pic>
              </a:graphicData>
            </a:graphic>
          </wp:inline>
        </w:drawing>
      </w:r>
    </w:p>
    <w:p w:rsidR="00555F20" w:rsidRPr="003F1E88" w:rsidRDefault="00555F20" w:rsidP="00247898">
      <w:pPr>
        <w:pStyle w:val="Prrafodelista"/>
        <w:tabs>
          <w:tab w:val="left" w:pos="0"/>
        </w:tabs>
        <w:spacing w:line="360" w:lineRule="auto"/>
        <w:ind w:left="0" w:right="49"/>
        <w:jc w:val="center"/>
        <w:rPr>
          <w:rFonts w:ascii="Palatino Linotype" w:hAnsi="Palatino Linotype" w:cs="Arial"/>
          <w:i/>
          <w:color w:val="000000" w:themeColor="text1"/>
        </w:rPr>
      </w:pPr>
    </w:p>
    <w:p w:rsidR="00555F20" w:rsidRPr="003F1E88" w:rsidRDefault="00555F20" w:rsidP="00247898">
      <w:pPr>
        <w:pStyle w:val="Prrafodelista"/>
        <w:tabs>
          <w:tab w:val="left" w:pos="0"/>
        </w:tabs>
        <w:spacing w:line="360" w:lineRule="auto"/>
        <w:ind w:left="0" w:right="49"/>
        <w:jc w:val="center"/>
        <w:rPr>
          <w:rFonts w:ascii="Palatino Linotype" w:hAnsi="Palatino Linotype" w:cs="Arial"/>
          <w:i/>
          <w:color w:val="000000" w:themeColor="text1"/>
        </w:rPr>
      </w:pPr>
    </w:p>
    <w:p w:rsidR="00555F20" w:rsidRPr="003F1E88" w:rsidRDefault="00555F20" w:rsidP="00247898">
      <w:pPr>
        <w:pStyle w:val="Prrafodelista"/>
        <w:tabs>
          <w:tab w:val="left" w:pos="0"/>
        </w:tabs>
        <w:spacing w:line="360" w:lineRule="auto"/>
        <w:ind w:left="0" w:right="49"/>
        <w:jc w:val="center"/>
        <w:rPr>
          <w:rFonts w:ascii="Palatino Linotype" w:hAnsi="Palatino Linotype" w:cs="Arial"/>
          <w:i/>
          <w:color w:val="000000" w:themeColor="text1"/>
        </w:rPr>
      </w:pPr>
    </w:p>
    <w:p w:rsidR="009F09BC" w:rsidRPr="003F1E88" w:rsidRDefault="001E7EE5" w:rsidP="00C611F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3F1E88">
        <w:rPr>
          <w:rFonts w:ascii="Palatino Linotype" w:eastAsia="Times New Roman" w:hAnsi="Palatino Linotype" w:cs="Arial"/>
          <w:color w:val="000000" w:themeColor="text1"/>
          <w:lang w:val="es-ES"/>
        </w:rPr>
        <w:lastRenderedPageBreak/>
        <w:t xml:space="preserve">Inconforme con lo anterior, en fecha </w:t>
      </w:r>
      <w:r w:rsidR="00AB7935" w:rsidRPr="00AB7935">
        <w:rPr>
          <w:rFonts w:ascii="Palatino Linotype" w:eastAsia="Times New Roman" w:hAnsi="Palatino Linotype" w:cs="Arial"/>
          <w:b/>
          <w:color w:val="000000" w:themeColor="text1"/>
          <w:lang w:val="es-ES"/>
        </w:rPr>
        <w:t>doce de octubre</w:t>
      </w:r>
      <w:r w:rsidR="009F09BC" w:rsidRPr="00AB7935">
        <w:rPr>
          <w:rFonts w:ascii="Palatino Linotype" w:eastAsia="Times New Roman" w:hAnsi="Palatino Linotype" w:cs="Arial"/>
          <w:b/>
          <w:color w:val="000000" w:themeColor="text1"/>
          <w:lang w:val="es-ES"/>
        </w:rPr>
        <w:t xml:space="preserve"> de </w:t>
      </w:r>
      <w:r w:rsidR="00025C53" w:rsidRPr="00AB7935">
        <w:rPr>
          <w:rFonts w:ascii="Palatino Linotype" w:eastAsia="Times New Roman" w:hAnsi="Palatino Linotype" w:cs="Arial"/>
          <w:b/>
          <w:color w:val="000000" w:themeColor="text1"/>
          <w:lang w:val="es-ES"/>
        </w:rPr>
        <w:t xml:space="preserve">dos mil </w:t>
      </w:r>
      <w:r w:rsidR="004D465B" w:rsidRPr="00AB7935">
        <w:rPr>
          <w:rFonts w:ascii="Palatino Linotype" w:eastAsia="Times New Roman" w:hAnsi="Palatino Linotype" w:cs="Arial"/>
          <w:b/>
          <w:color w:val="000000" w:themeColor="text1"/>
          <w:lang w:val="es-ES"/>
        </w:rPr>
        <w:t>veintitrés</w:t>
      </w:r>
      <w:r w:rsidR="009F09BC" w:rsidRPr="003F1E88">
        <w:rPr>
          <w:rFonts w:ascii="Palatino Linotype" w:eastAsia="Times New Roman" w:hAnsi="Palatino Linotype" w:cs="Arial"/>
          <w:color w:val="000000" w:themeColor="text1"/>
          <w:lang w:val="es-ES"/>
        </w:rPr>
        <w:t xml:space="preserve">, el particular interpuso </w:t>
      </w:r>
      <w:r w:rsidR="002C4997" w:rsidRPr="003F1E88">
        <w:rPr>
          <w:rFonts w:ascii="Palatino Linotype" w:eastAsia="Times New Roman" w:hAnsi="Palatino Linotype" w:cs="Arial"/>
          <w:color w:val="000000" w:themeColor="text1"/>
          <w:lang w:val="es-ES"/>
        </w:rPr>
        <w:t>e</w:t>
      </w:r>
      <w:r w:rsidR="009F09BC" w:rsidRPr="003F1E88">
        <w:rPr>
          <w:rFonts w:ascii="Palatino Linotype" w:eastAsia="Times New Roman" w:hAnsi="Palatino Linotype" w:cs="Arial"/>
          <w:color w:val="000000" w:themeColor="text1"/>
          <w:lang w:val="es-ES"/>
        </w:rPr>
        <w:t xml:space="preserve">l </w:t>
      </w:r>
      <w:r w:rsidR="00AB7935">
        <w:rPr>
          <w:rFonts w:ascii="Palatino Linotype" w:eastAsia="Times New Roman" w:hAnsi="Palatino Linotype" w:cs="Arial"/>
          <w:color w:val="000000" w:themeColor="text1"/>
          <w:lang w:val="es-ES"/>
        </w:rPr>
        <w:t xml:space="preserve">presente </w:t>
      </w:r>
      <w:r w:rsidR="009F09BC" w:rsidRPr="003F1E88">
        <w:rPr>
          <w:rFonts w:ascii="Palatino Linotype" w:eastAsia="Times New Roman" w:hAnsi="Palatino Linotype" w:cs="Arial"/>
          <w:color w:val="000000" w:themeColor="text1"/>
          <w:lang w:val="es-ES"/>
        </w:rPr>
        <w:t>recurso de revisión, manifestando l</w:t>
      </w:r>
      <w:r w:rsidR="002C4997" w:rsidRPr="003F1E88">
        <w:rPr>
          <w:rFonts w:ascii="Palatino Linotype" w:eastAsia="Times New Roman" w:hAnsi="Palatino Linotype" w:cs="Arial"/>
          <w:color w:val="000000" w:themeColor="text1"/>
          <w:lang w:val="es-ES"/>
        </w:rPr>
        <w:t>a</w:t>
      </w:r>
      <w:r w:rsidR="009F09BC" w:rsidRPr="003F1E88">
        <w:rPr>
          <w:rFonts w:ascii="Palatino Linotype" w:eastAsia="Times New Roman" w:hAnsi="Palatino Linotype" w:cs="Arial"/>
          <w:color w:val="000000" w:themeColor="text1"/>
          <w:lang w:val="es-ES"/>
        </w:rPr>
        <w:t xml:space="preserve">s </w:t>
      </w:r>
      <w:r w:rsidR="002C4997" w:rsidRPr="003F1E88">
        <w:rPr>
          <w:rFonts w:ascii="Palatino Linotype" w:eastAsia="Times New Roman" w:hAnsi="Palatino Linotype" w:cs="Arial"/>
          <w:color w:val="000000" w:themeColor="text1"/>
          <w:lang w:val="es-ES"/>
        </w:rPr>
        <w:t>siguientes</w:t>
      </w:r>
      <w:r w:rsidR="009F09BC" w:rsidRPr="003F1E88">
        <w:rPr>
          <w:rFonts w:ascii="Palatino Linotype" w:eastAsia="Times New Roman" w:hAnsi="Palatino Linotype" w:cs="Arial"/>
          <w:color w:val="000000" w:themeColor="text1"/>
          <w:lang w:val="es-ES"/>
        </w:rPr>
        <w:t xml:space="preserve"> razones o motivos de inconformidad:</w:t>
      </w:r>
    </w:p>
    <w:p w:rsidR="009F09BC" w:rsidRPr="006129A3" w:rsidRDefault="009F09BC" w:rsidP="00247898">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6129A3" w:rsidRDefault="009F09BC" w:rsidP="00247898">
      <w:pPr>
        <w:pStyle w:val="Prrafodelista"/>
        <w:numPr>
          <w:ilvl w:val="0"/>
          <w:numId w:val="23"/>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6129A3">
        <w:rPr>
          <w:rStyle w:val="Ttulo2Car"/>
          <w:rFonts w:ascii="Palatino Linotype" w:hAnsi="Palatino Linotype"/>
          <w:b/>
          <w:color w:val="000000" w:themeColor="text1"/>
          <w:sz w:val="22"/>
          <w:szCs w:val="24"/>
        </w:rPr>
        <w:t>Acto impugnado</w:t>
      </w:r>
      <w:bookmarkEnd w:id="3"/>
      <w:r w:rsidRPr="006129A3">
        <w:rPr>
          <w:rStyle w:val="Ttulo2Car"/>
          <w:rFonts w:ascii="Palatino Linotype" w:hAnsi="Palatino Linotype"/>
          <w:b/>
          <w:color w:val="000000" w:themeColor="text1"/>
          <w:sz w:val="22"/>
          <w:szCs w:val="24"/>
        </w:rPr>
        <w:t xml:space="preserve">: </w:t>
      </w:r>
      <w:r w:rsidRPr="006129A3">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AB7935" w:rsidRPr="006129A3">
        <w:rPr>
          <w:rStyle w:val="Ttulo2Car"/>
          <w:rFonts w:ascii="Palatino Linotype" w:hAnsi="Palatino Linotype"/>
          <w:i/>
          <w:color w:val="000000" w:themeColor="text1"/>
          <w:sz w:val="22"/>
          <w:szCs w:val="24"/>
        </w:rPr>
        <w:t>L</w:t>
      </w:r>
      <w:r w:rsidR="00AB7935" w:rsidRPr="006129A3">
        <w:rPr>
          <w:rFonts w:ascii="Palatino Linotype" w:eastAsiaTheme="majorEastAsia" w:hAnsi="Palatino Linotype" w:cstheme="majorBidi"/>
          <w:i/>
          <w:color w:val="000000" w:themeColor="text1"/>
          <w:sz w:val="22"/>
        </w:rPr>
        <w:t>a respuesta del sujeto obligado.</w:t>
      </w:r>
      <w:r w:rsidRPr="006129A3">
        <w:rPr>
          <w:rFonts w:ascii="Palatino Linotype" w:hAnsi="Palatino Linotype"/>
          <w:color w:val="000000" w:themeColor="text1"/>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6129A3" w:rsidRDefault="009F09BC" w:rsidP="00247898">
      <w:pPr>
        <w:pStyle w:val="Prrafodelista"/>
        <w:numPr>
          <w:ilvl w:val="0"/>
          <w:numId w:val="23"/>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6129A3">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6129A3">
        <w:rPr>
          <w:rFonts w:ascii="Palatino Linotype" w:hAnsi="Palatino Linotype"/>
          <w:b/>
          <w:color w:val="000000" w:themeColor="text1"/>
          <w:sz w:val="22"/>
        </w:rPr>
        <w:t xml:space="preserve"> </w:t>
      </w:r>
      <w:r w:rsidRPr="006129A3">
        <w:rPr>
          <w:rFonts w:ascii="Palatino Linotype" w:hAnsi="Palatino Linotype"/>
          <w:i/>
          <w:color w:val="000000" w:themeColor="text1"/>
          <w:sz w:val="22"/>
        </w:rPr>
        <w:t>“</w:t>
      </w:r>
      <w:r w:rsidR="00AB7935" w:rsidRPr="006129A3">
        <w:rPr>
          <w:rFonts w:ascii="Palatino Linotype" w:hAnsi="Palatino Linotype"/>
          <w:i/>
          <w:color w:val="000000" w:themeColor="text1"/>
          <w:sz w:val="22"/>
        </w:rPr>
        <w:t>El sujeto obligado menciona no tener o generar información, como ciudadano, no se cuenta con el concepto exacto, pero la Ley de Transparencia marca que es obligación orientar al ciudadano, sino se tiene salario nivel, categoría, porque en el portal SAIMEX hay variación de remuneraciones. También sino hay plazas en permiso, ¿cuál es la denominación que utilizan? Permisos, comisiones, etc. Por lo que se denota el como se oculta la información, siendo el mismo caso para las sindicalizadas</w:t>
      </w:r>
      <w:r w:rsidRPr="006129A3">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EB1CE2" w:rsidRPr="006129A3" w:rsidRDefault="00EB1CE2" w:rsidP="00247898">
      <w:pPr>
        <w:pStyle w:val="Prrafodelista"/>
        <w:spacing w:line="360" w:lineRule="auto"/>
        <w:jc w:val="both"/>
        <w:rPr>
          <w:rFonts w:ascii="Palatino Linotype" w:hAnsi="Palatino Linotype"/>
          <w:i/>
          <w:color w:val="000000" w:themeColor="text1"/>
          <w:sz w:val="22"/>
        </w:rPr>
      </w:pPr>
    </w:p>
    <w:p w:rsidR="009F09BC" w:rsidRPr="003F1E88" w:rsidRDefault="00CC5B2F" w:rsidP="00247898">
      <w:pPr>
        <w:pStyle w:val="Prrafodelista"/>
        <w:numPr>
          <w:ilvl w:val="0"/>
          <w:numId w:val="15"/>
        </w:numPr>
        <w:spacing w:line="360" w:lineRule="auto"/>
        <w:ind w:left="0" w:firstLine="0"/>
        <w:jc w:val="both"/>
        <w:rPr>
          <w:rFonts w:ascii="Palatino Linotype" w:hAnsi="Palatino Linotype"/>
          <w:i/>
          <w:color w:val="000000" w:themeColor="text1"/>
        </w:rPr>
      </w:pPr>
      <w:r w:rsidRPr="003F1E88">
        <w:rPr>
          <w:rFonts w:ascii="Palatino Linotype" w:eastAsia="Calibri" w:hAnsi="Palatino Linotype" w:cs="Arial"/>
          <w:color w:val="000000" w:themeColor="text1"/>
          <w:lang w:val="es-ES"/>
        </w:rPr>
        <w:t>La Comisionada</w:t>
      </w:r>
      <w:r w:rsidR="009F09BC" w:rsidRPr="003F1E88">
        <w:rPr>
          <w:rFonts w:ascii="Palatino Linotype" w:eastAsia="Calibri" w:hAnsi="Palatino Linotype" w:cs="Arial"/>
          <w:color w:val="000000" w:themeColor="text1"/>
          <w:lang w:val="es-ES"/>
        </w:rPr>
        <w:t xml:space="preserve"> Ponente</w:t>
      </w:r>
      <w:r w:rsidR="006129A3">
        <w:rPr>
          <w:rFonts w:ascii="Palatino Linotype" w:eastAsia="Calibri" w:hAnsi="Palatino Linotype" w:cs="Arial"/>
          <w:color w:val="000000" w:themeColor="text1"/>
          <w:lang w:val="es-ES"/>
        </w:rPr>
        <w:t>,</w:t>
      </w:r>
      <w:r w:rsidR="009F09BC" w:rsidRPr="003F1E88">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00FB00E5" w:rsidRPr="003F1E88">
        <w:rPr>
          <w:rFonts w:ascii="Palatino Linotype" w:eastAsia="Calibri" w:hAnsi="Palatino Linotype" w:cs="Arial"/>
          <w:color w:val="000000" w:themeColor="text1"/>
          <w:lang w:val="es-ES"/>
        </w:rPr>
        <w:t>fecha</w:t>
      </w:r>
      <w:r w:rsidR="00B02F5F">
        <w:rPr>
          <w:rFonts w:ascii="Palatino Linotype" w:eastAsia="Calibri" w:hAnsi="Palatino Linotype" w:cs="Arial"/>
          <w:color w:val="000000" w:themeColor="text1"/>
          <w:lang w:val="es-ES"/>
        </w:rPr>
        <w:t xml:space="preserve"> </w:t>
      </w:r>
      <w:r w:rsidR="00B02F5F">
        <w:rPr>
          <w:rFonts w:ascii="Palatino Linotype" w:eastAsia="Calibri" w:hAnsi="Palatino Linotype" w:cs="Arial"/>
          <w:b/>
          <w:color w:val="000000" w:themeColor="text1"/>
          <w:lang w:val="es-ES"/>
        </w:rPr>
        <w:t>dieciséis de octubre de dos mil veintitrés</w:t>
      </w:r>
      <w:r w:rsidR="009F09BC" w:rsidRPr="003F1E88">
        <w:rPr>
          <w:rFonts w:ascii="Palatino Linotype" w:eastAsia="Calibri" w:hAnsi="Palatino Linotype" w:cs="Arial"/>
          <w:color w:val="000000" w:themeColor="text1"/>
          <w:lang w:val="es-ES"/>
        </w:rPr>
        <w:t xml:space="preserve">, puso a disposición de las partes el expediente electrónico </w:t>
      </w:r>
      <w:r w:rsidR="009F09BC" w:rsidRPr="003F1E88">
        <w:rPr>
          <w:rFonts w:ascii="Palatino Linotype" w:eastAsia="Calibri" w:hAnsi="Palatino Linotype" w:cs="Arial"/>
          <w:color w:val="000000" w:themeColor="text1"/>
        </w:rPr>
        <w:t xml:space="preserve">vía </w:t>
      </w:r>
      <w:r w:rsidR="009F09BC" w:rsidRPr="003F1E88">
        <w:rPr>
          <w:rFonts w:ascii="Palatino Linotype" w:eastAsia="Calibri" w:hAnsi="Palatino Linotype" w:cs="Arial"/>
          <w:b/>
          <w:color w:val="000000" w:themeColor="text1"/>
          <w:lang w:val="es-ES"/>
        </w:rPr>
        <w:t xml:space="preserve">SAIMEX </w:t>
      </w:r>
      <w:r w:rsidR="009F09BC" w:rsidRPr="003F1E88">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3F1E88">
        <w:rPr>
          <w:rFonts w:ascii="Palatino Linotype" w:eastAsia="Calibri" w:hAnsi="Palatino Linotype" w:cs="Arial"/>
          <w:b/>
          <w:color w:val="000000" w:themeColor="text1"/>
          <w:lang w:val="es-ES"/>
        </w:rPr>
        <w:t>SUJETO OBLIGADO</w:t>
      </w:r>
      <w:r w:rsidR="009F09BC" w:rsidRPr="003F1E88">
        <w:rPr>
          <w:rFonts w:ascii="Palatino Linotype" w:eastAsia="Calibri" w:hAnsi="Palatino Linotype" w:cs="Arial"/>
          <w:color w:val="000000" w:themeColor="text1"/>
          <w:lang w:val="es-ES"/>
        </w:rPr>
        <w:t xml:space="preserve"> presentará el Informe Justificado procedente.</w:t>
      </w:r>
    </w:p>
    <w:p w:rsidR="009F09BC" w:rsidRPr="003F1E88" w:rsidRDefault="009F09BC" w:rsidP="00247898">
      <w:pPr>
        <w:pStyle w:val="Prrafodelista"/>
        <w:spacing w:line="360" w:lineRule="auto"/>
        <w:ind w:left="0"/>
        <w:jc w:val="both"/>
        <w:rPr>
          <w:rFonts w:ascii="Palatino Linotype" w:hAnsi="Palatino Linotype"/>
          <w:color w:val="000000" w:themeColor="text1"/>
        </w:rPr>
      </w:pPr>
    </w:p>
    <w:p w:rsidR="00925CB7" w:rsidRDefault="00B02F5F" w:rsidP="00247898">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Una vez transcurrido el plazo decretado con anterioridad, tanto </w:t>
      </w:r>
      <w:r w:rsidR="009F09BC" w:rsidRPr="00B02F5F">
        <w:rPr>
          <w:rFonts w:ascii="Palatino Linotype" w:hAnsi="Palatino Linotype"/>
          <w:b/>
          <w:color w:val="000000" w:themeColor="text1"/>
        </w:rPr>
        <w:t>El</w:t>
      </w:r>
      <w:r w:rsidR="009F09BC" w:rsidRPr="003F1E88">
        <w:rPr>
          <w:rFonts w:ascii="Palatino Linotype" w:hAnsi="Palatino Linotype"/>
          <w:color w:val="000000" w:themeColor="text1"/>
        </w:rPr>
        <w:t xml:space="preserve"> </w:t>
      </w:r>
      <w:r w:rsidR="009F09BC" w:rsidRPr="003F1E88">
        <w:rPr>
          <w:rFonts w:ascii="Palatino Linotype" w:hAnsi="Palatino Linotype"/>
          <w:b/>
          <w:color w:val="000000" w:themeColor="text1"/>
        </w:rPr>
        <w:t xml:space="preserve">SUJETO </w:t>
      </w:r>
      <w:r w:rsidR="009F09BC" w:rsidRPr="003F1E88">
        <w:rPr>
          <w:rFonts w:ascii="Palatino Linotype" w:eastAsia="Calibri" w:hAnsi="Palatino Linotype" w:cs="Arial"/>
          <w:b/>
          <w:color w:val="000000" w:themeColor="text1"/>
          <w:lang w:val="es-ES"/>
        </w:rPr>
        <w:t>OBLIGADO</w:t>
      </w:r>
      <w:r>
        <w:rPr>
          <w:rFonts w:ascii="Palatino Linotype" w:hAnsi="Palatino Linotype"/>
          <w:color w:val="000000" w:themeColor="text1"/>
        </w:rPr>
        <w:t xml:space="preserve"> como </w:t>
      </w:r>
      <w:r w:rsidR="00A56791" w:rsidRPr="00B02F5F">
        <w:rPr>
          <w:rFonts w:ascii="Palatino Linotype" w:hAnsi="Palatino Linotype"/>
          <w:b/>
          <w:color w:val="000000" w:themeColor="text1"/>
        </w:rPr>
        <w:t>EL</w:t>
      </w:r>
      <w:r w:rsidR="009F09BC" w:rsidRPr="00B02F5F">
        <w:rPr>
          <w:rFonts w:ascii="Palatino Linotype" w:hAnsi="Palatino Linotype"/>
          <w:b/>
          <w:color w:val="000000" w:themeColor="text1"/>
        </w:rPr>
        <w:t xml:space="preserve"> PARTICULAR </w:t>
      </w:r>
      <w:r>
        <w:rPr>
          <w:rFonts w:ascii="Palatino Linotype" w:hAnsi="Palatino Linotype"/>
          <w:color w:val="000000" w:themeColor="text1"/>
        </w:rPr>
        <w:t>no realizaron manifestación alguna que a su derecho conviniera.</w:t>
      </w:r>
    </w:p>
    <w:p w:rsidR="00B02F5F" w:rsidRPr="00B02F5F" w:rsidRDefault="00B02F5F" w:rsidP="00B02F5F">
      <w:pPr>
        <w:pStyle w:val="Prrafodelista"/>
        <w:spacing w:line="360" w:lineRule="auto"/>
        <w:ind w:left="0"/>
        <w:jc w:val="both"/>
        <w:rPr>
          <w:rFonts w:ascii="Palatino Linotype" w:hAnsi="Palatino Linotype"/>
          <w:color w:val="000000" w:themeColor="text1"/>
        </w:rPr>
      </w:pPr>
    </w:p>
    <w:p w:rsidR="00970F0B" w:rsidRDefault="006306EE" w:rsidP="00970F0B">
      <w:pPr>
        <w:pStyle w:val="Prrafodelista"/>
        <w:numPr>
          <w:ilvl w:val="0"/>
          <w:numId w:val="15"/>
        </w:numPr>
        <w:spacing w:line="360" w:lineRule="auto"/>
        <w:ind w:left="0" w:firstLine="0"/>
        <w:contextualSpacing w:val="0"/>
        <w:jc w:val="both"/>
        <w:rPr>
          <w:rFonts w:ascii="Palatino Linotype" w:hAnsi="Palatino Linotype"/>
          <w:color w:val="000000" w:themeColor="text1"/>
        </w:rPr>
      </w:pPr>
      <w:r>
        <w:rPr>
          <w:rFonts w:ascii="Palatino Linotype" w:hAnsi="Palatino Linotype"/>
          <w:color w:val="000000" w:themeColor="text1"/>
        </w:rPr>
        <w:lastRenderedPageBreak/>
        <w:t>Finalmente</w:t>
      </w:r>
      <w:r w:rsidR="00E619AF" w:rsidRPr="003F1E88">
        <w:rPr>
          <w:rFonts w:ascii="Palatino Linotype" w:hAnsi="Palatino Linotype"/>
          <w:color w:val="000000" w:themeColor="text1"/>
        </w:rPr>
        <w:t>,</w:t>
      </w:r>
      <w:r w:rsidR="007601B1" w:rsidRPr="003F1E88">
        <w:rPr>
          <w:rFonts w:ascii="Palatino Linotype" w:hAnsi="Palatino Linotype"/>
          <w:color w:val="000000" w:themeColor="text1"/>
        </w:rPr>
        <w:t xml:space="preserve"> </w:t>
      </w:r>
      <w:r w:rsidR="00970F0B" w:rsidRPr="003F1E88">
        <w:rPr>
          <w:rFonts w:ascii="Palatino Linotype" w:hAnsi="Palatino Linotype"/>
          <w:color w:val="000000" w:themeColor="text1"/>
        </w:rPr>
        <w:t>en fecha</w:t>
      </w:r>
      <w:r w:rsidR="00D367B4" w:rsidRPr="003F1E88">
        <w:rPr>
          <w:rFonts w:ascii="Palatino Linotype" w:hAnsi="Palatino Linotype"/>
          <w:color w:val="000000" w:themeColor="text1"/>
        </w:rPr>
        <w:t xml:space="preserve"> </w:t>
      </w:r>
      <w:r w:rsidR="00B02F5F">
        <w:rPr>
          <w:rFonts w:ascii="Palatino Linotype" w:hAnsi="Palatino Linotype"/>
          <w:b/>
          <w:color w:val="000000" w:themeColor="text1"/>
        </w:rPr>
        <w:t>veintiséis de octubre de dos mil</w:t>
      </w:r>
      <w:r w:rsidR="00B673A8">
        <w:rPr>
          <w:rFonts w:ascii="Palatino Linotype" w:hAnsi="Palatino Linotype"/>
          <w:b/>
          <w:color w:val="000000" w:themeColor="text1"/>
        </w:rPr>
        <w:t xml:space="preserve"> </w:t>
      </w:r>
      <w:r w:rsidR="00B02F5F">
        <w:rPr>
          <w:rFonts w:ascii="Palatino Linotype" w:hAnsi="Palatino Linotype"/>
          <w:b/>
          <w:color w:val="000000" w:themeColor="text1"/>
        </w:rPr>
        <w:t>veintitrés,</w:t>
      </w:r>
      <w:r w:rsidR="00B673A8">
        <w:rPr>
          <w:rFonts w:ascii="Palatino Linotype" w:hAnsi="Palatino Linotype"/>
          <w:color w:val="000000" w:themeColor="text1"/>
        </w:rPr>
        <w:t xml:space="preserve"> </w:t>
      </w:r>
      <w:r w:rsidR="00B673A8" w:rsidRPr="00B673A8">
        <w:rPr>
          <w:rFonts w:ascii="Palatino Linotype" w:hAnsi="Palatino Linotype"/>
          <w:color w:val="000000" w:themeColor="text1"/>
        </w:rPr>
        <w:t>se decretó el cierre de instrucción y al no ex</w:t>
      </w:r>
      <w:r w:rsidR="00B673A8">
        <w:rPr>
          <w:rFonts w:ascii="Palatino Linotype" w:hAnsi="Palatino Linotype"/>
          <w:color w:val="000000" w:themeColor="text1"/>
        </w:rPr>
        <w:t>istir diligencias por realizar,</w:t>
      </w:r>
      <w:r w:rsidR="00B673A8" w:rsidRPr="00B673A8">
        <w:rPr>
          <w:rFonts w:ascii="Palatino Linotype" w:hAnsi="Palatino Linotype"/>
          <w:color w:val="000000" w:themeColor="text1"/>
        </w:rPr>
        <w:t xml:space="preserve"> se turnó el expediente a resolución correspondiente, por lo que no habiendo más que hacer constar, y ---------------------------------------------------------------------------------------------------</w:t>
      </w:r>
      <w:r>
        <w:rPr>
          <w:rFonts w:ascii="Palatino Linotype" w:hAnsi="Palatino Linotype"/>
          <w:color w:val="000000" w:themeColor="text1"/>
        </w:rPr>
        <w:t>----------------</w:t>
      </w:r>
    </w:p>
    <w:p w:rsidR="00B673A8" w:rsidRPr="00B673A8" w:rsidRDefault="00B673A8" w:rsidP="00B673A8">
      <w:pPr>
        <w:pStyle w:val="Prrafodelista"/>
        <w:rPr>
          <w:rFonts w:ascii="Palatino Linotype" w:hAnsi="Palatino Linotype"/>
          <w:color w:val="000000" w:themeColor="text1"/>
        </w:rPr>
      </w:pPr>
    </w:p>
    <w:p w:rsidR="00B673A8" w:rsidRPr="00B673A8" w:rsidRDefault="00B673A8" w:rsidP="00B673A8">
      <w:pPr>
        <w:pStyle w:val="Prrafodelista"/>
        <w:spacing w:line="360" w:lineRule="auto"/>
        <w:ind w:left="0"/>
        <w:contextualSpacing w:val="0"/>
        <w:jc w:val="both"/>
        <w:rPr>
          <w:rFonts w:ascii="Palatino Linotype" w:hAnsi="Palatino Linotype"/>
          <w:color w:val="000000" w:themeColor="text1"/>
        </w:rPr>
      </w:pPr>
    </w:p>
    <w:p w:rsidR="009F09BC" w:rsidRPr="003F1E88" w:rsidRDefault="009F09BC" w:rsidP="00247898">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3F1E88">
        <w:rPr>
          <w:rFonts w:ascii="Palatino Linotype" w:hAnsi="Palatino Linotype"/>
          <w:b/>
          <w:color w:val="000000" w:themeColor="text1"/>
          <w:sz w:val="24"/>
          <w:szCs w:val="24"/>
        </w:rPr>
        <w:t>CONSIDERANDO</w:t>
      </w:r>
      <w:bookmarkEnd w:id="133"/>
      <w:bookmarkEnd w:id="134"/>
    </w:p>
    <w:p w:rsidR="009F09BC" w:rsidRPr="003F1E88" w:rsidRDefault="009F09BC" w:rsidP="00247898">
      <w:pPr>
        <w:spacing w:line="360" w:lineRule="auto"/>
        <w:jc w:val="center"/>
        <w:rPr>
          <w:rFonts w:ascii="Palatino Linotype" w:hAnsi="Palatino Linotype"/>
          <w:color w:val="000000" w:themeColor="text1"/>
          <w:lang w:val="es-MX" w:eastAsia="en-US"/>
        </w:rPr>
      </w:pPr>
    </w:p>
    <w:p w:rsidR="009F09BC" w:rsidRPr="003F1E88" w:rsidRDefault="009F09BC" w:rsidP="00247898">
      <w:pPr>
        <w:pStyle w:val="Ttulo2"/>
        <w:spacing w:before="0" w:line="360" w:lineRule="auto"/>
        <w:jc w:val="both"/>
        <w:rPr>
          <w:rFonts w:ascii="Palatino Linotype" w:hAnsi="Palatino Linotype"/>
          <w:b/>
          <w:color w:val="000000" w:themeColor="text1"/>
          <w:sz w:val="24"/>
          <w:szCs w:val="24"/>
        </w:rPr>
      </w:pPr>
      <w:bookmarkStart w:id="135" w:name="_Toc491791303"/>
      <w:bookmarkStart w:id="136" w:name="_Toc83128579"/>
      <w:r w:rsidRPr="003F1E88">
        <w:rPr>
          <w:rFonts w:ascii="Palatino Linotype" w:hAnsi="Palatino Linotype"/>
          <w:b/>
          <w:color w:val="000000" w:themeColor="text1"/>
          <w:sz w:val="24"/>
          <w:szCs w:val="24"/>
        </w:rPr>
        <w:t>PRIMERO. De la competencia</w:t>
      </w:r>
      <w:bookmarkEnd w:id="135"/>
      <w:bookmarkEnd w:id="136"/>
    </w:p>
    <w:p w:rsidR="00353F1D" w:rsidRPr="003F1E88"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3F1E88">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3F1E88">
        <w:rPr>
          <w:rFonts w:ascii="Palatino Linotype" w:eastAsia="Calibri" w:hAnsi="Palatino Linotype" w:cs="Arial"/>
          <w:color w:val="000000" w:themeColor="text1"/>
        </w:rPr>
        <w:t>fracción</w:t>
      </w:r>
      <w:r w:rsidRPr="003F1E88">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3F1E88" w:rsidRDefault="009F09BC" w:rsidP="00247898">
      <w:pPr>
        <w:pStyle w:val="Prrafodelista"/>
        <w:spacing w:line="360" w:lineRule="auto"/>
        <w:ind w:left="0"/>
        <w:jc w:val="both"/>
        <w:rPr>
          <w:rFonts w:ascii="Palatino Linotype" w:eastAsia="Calibri" w:hAnsi="Palatino Linotype" w:cs="Times New Roman"/>
          <w:b/>
          <w:color w:val="000000" w:themeColor="text1"/>
          <w:lang w:val="es-ES"/>
        </w:rPr>
      </w:pPr>
    </w:p>
    <w:p w:rsidR="00970F0B" w:rsidRPr="003F1E88" w:rsidRDefault="009F09BC" w:rsidP="00970F0B">
      <w:pPr>
        <w:pStyle w:val="Ttulo2"/>
        <w:spacing w:before="0" w:line="360" w:lineRule="auto"/>
        <w:jc w:val="both"/>
        <w:rPr>
          <w:rFonts w:ascii="Palatino Linotype" w:hAnsi="Palatino Linotype"/>
          <w:b/>
          <w:color w:val="000000" w:themeColor="text1"/>
          <w:sz w:val="24"/>
          <w:szCs w:val="24"/>
        </w:rPr>
      </w:pPr>
      <w:bookmarkStart w:id="137" w:name="_Toc491791304"/>
      <w:bookmarkStart w:id="138" w:name="_Toc83128580"/>
      <w:r w:rsidRPr="003F1E88">
        <w:rPr>
          <w:rFonts w:ascii="Palatino Linotype" w:hAnsi="Palatino Linotype"/>
          <w:b/>
          <w:color w:val="000000" w:themeColor="text1"/>
          <w:sz w:val="24"/>
          <w:szCs w:val="24"/>
        </w:rPr>
        <w:t>SEGUNDO. De la oportunidad y procedencia.</w:t>
      </w:r>
      <w:bookmarkEnd w:id="137"/>
      <w:bookmarkEnd w:id="138"/>
    </w:p>
    <w:p w:rsidR="00EC4FF9" w:rsidRPr="003F1E88" w:rsidRDefault="00970F0B" w:rsidP="00EC4FF9">
      <w:pPr>
        <w:pStyle w:val="Prrafodelista"/>
        <w:numPr>
          <w:ilvl w:val="0"/>
          <w:numId w:val="15"/>
        </w:numPr>
        <w:spacing w:line="360" w:lineRule="auto"/>
        <w:ind w:left="0" w:firstLine="0"/>
        <w:jc w:val="both"/>
        <w:rPr>
          <w:rFonts w:ascii="Palatino Linotype" w:hAnsi="Palatino Linotype" w:cs="Arial"/>
          <w:color w:val="000000" w:themeColor="text1"/>
        </w:rPr>
      </w:pPr>
      <w:r w:rsidRPr="003F1E88">
        <w:rPr>
          <w:rFonts w:ascii="Palatino Linotype" w:eastAsia="Calibri" w:hAnsi="Palatino Linotype" w:cs="Arial"/>
          <w:color w:val="000000" w:themeColor="text1"/>
        </w:rPr>
        <w:t xml:space="preserve">El medio de impugnación fue presentado a través del </w:t>
      </w:r>
      <w:r w:rsidRPr="003F1E88">
        <w:rPr>
          <w:rFonts w:ascii="Palatino Linotype" w:eastAsia="Calibri" w:hAnsi="Palatino Linotype" w:cs="Arial"/>
          <w:b/>
          <w:color w:val="000000" w:themeColor="text1"/>
        </w:rPr>
        <w:t>SAIMEX,</w:t>
      </w:r>
      <w:r w:rsidRPr="003F1E88">
        <w:rPr>
          <w:rFonts w:ascii="Palatino Linotype" w:eastAsia="Calibri" w:hAnsi="Palatino Linotype" w:cs="Arial"/>
          <w:color w:val="000000" w:themeColor="text1"/>
        </w:rPr>
        <w:t xml:space="preserve"> en el formato previamente aprobado para tal efecto y dentro del plazo legal de quince días hábiles </w:t>
      </w:r>
      <w:r w:rsidRPr="003F1E88">
        <w:rPr>
          <w:rFonts w:ascii="Palatino Linotype" w:eastAsia="Calibri" w:hAnsi="Palatino Linotype" w:cs="Arial"/>
          <w:color w:val="000000" w:themeColor="text1"/>
        </w:rPr>
        <w:lastRenderedPageBreak/>
        <w:t xml:space="preserve">otorgados, surtiendo efectos al día hábil siguiente de haberse realizado la notificación; por lo que, para el caso en particular, se precisa que el </w:t>
      </w:r>
      <w:r w:rsidRPr="003F1E88">
        <w:rPr>
          <w:rFonts w:ascii="Palatino Linotype" w:eastAsia="Calibri" w:hAnsi="Palatino Linotype" w:cs="Arial"/>
          <w:b/>
          <w:color w:val="000000" w:themeColor="text1"/>
        </w:rPr>
        <w:t>SUJETO OBLIGADO</w:t>
      </w:r>
      <w:r w:rsidRPr="003F1E88">
        <w:rPr>
          <w:rFonts w:ascii="Palatino Linotype" w:eastAsia="Calibri" w:hAnsi="Palatino Linotype" w:cs="Arial"/>
          <w:color w:val="000000" w:themeColor="text1"/>
        </w:rPr>
        <w:t xml:space="preserve"> remitió su respuesta en fecha </w:t>
      </w:r>
      <w:r w:rsidR="00B738C3" w:rsidRPr="00B738C3">
        <w:rPr>
          <w:rFonts w:ascii="Palatino Linotype" w:eastAsia="Calibri" w:hAnsi="Palatino Linotype" w:cs="Arial"/>
          <w:b/>
          <w:color w:val="000000" w:themeColor="text1"/>
        </w:rPr>
        <w:t>once de octubre</w:t>
      </w:r>
      <w:r w:rsidRPr="00B738C3">
        <w:rPr>
          <w:rFonts w:ascii="Palatino Linotype" w:eastAsia="Calibri" w:hAnsi="Palatino Linotype" w:cs="Arial"/>
          <w:b/>
          <w:color w:val="000000" w:themeColor="text1"/>
        </w:rPr>
        <w:t xml:space="preserve"> de dos mil veintitrés</w:t>
      </w:r>
      <w:r w:rsidR="00B738C3">
        <w:rPr>
          <w:rFonts w:ascii="Palatino Linotype" w:eastAsia="Calibri" w:hAnsi="Palatino Linotype" w:cs="Arial"/>
          <w:color w:val="000000" w:themeColor="text1"/>
        </w:rPr>
        <w:t xml:space="preserve">, interponiendo </w:t>
      </w:r>
      <w:r w:rsidR="00B738C3" w:rsidRPr="00B738C3">
        <w:rPr>
          <w:rFonts w:ascii="Palatino Linotype" w:eastAsia="Calibri" w:hAnsi="Palatino Linotype" w:cs="Arial"/>
          <w:b/>
          <w:color w:val="000000" w:themeColor="text1"/>
        </w:rPr>
        <w:t>EL</w:t>
      </w:r>
      <w:r w:rsidRPr="00B738C3">
        <w:rPr>
          <w:rFonts w:ascii="Palatino Linotype" w:eastAsia="Calibri" w:hAnsi="Palatino Linotype" w:cs="Arial"/>
          <w:b/>
          <w:color w:val="000000" w:themeColor="text1"/>
        </w:rPr>
        <w:t xml:space="preserve"> RECURRENTE</w:t>
      </w:r>
      <w:r w:rsidRPr="003F1E88">
        <w:rPr>
          <w:rFonts w:ascii="Palatino Linotype" w:eastAsia="Calibri" w:hAnsi="Palatino Linotype" w:cs="Arial"/>
          <w:color w:val="000000" w:themeColor="text1"/>
        </w:rPr>
        <w:t xml:space="preserve"> </w:t>
      </w:r>
      <w:r w:rsidR="00EC4FF9" w:rsidRPr="003F1E88">
        <w:rPr>
          <w:rFonts w:ascii="Palatino Linotype" w:eastAsia="Calibri" w:hAnsi="Palatino Linotype" w:cs="Arial"/>
          <w:color w:val="000000" w:themeColor="text1"/>
        </w:rPr>
        <w:t xml:space="preserve">en contra de esta, el </w:t>
      </w:r>
      <w:r w:rsidRPr="003F1E88">
        <w:rPr>
          <w:rFonts w:ascii="Palatino Linotype" w:eastAsia="Calibri" w:hAnsi="Palatino Linotype" w:cs="Arial"/>
          <w:color w:val="000000" w:themeColor="text1"/>
        </w:rPr>
        <w:t>recu</w:t>
      </w:r>
      <w:r w:rsidR="00925CB7" w:rsidRPr="003F1E88">
        <w:rPr>
          <w:rFonts w:ascii="Palatino Linotype" w:eastAsia="Calibri" w:hAnsi="Palatino Linotype" w:cs="Arial"/>
          <w:color w:val="000000" w:themeColor="text1"/>
        </w:rPr>
        <w:t>rso de revisión correspondiente</w:t>
      </w:r>
      <w:r w:rsidRPr="003F1E88">
        <w:rPr>
          <w:rFonts w:ascii="Palatino Linotype" w:eastAsia="Calibri" w:hAnsi="Palatino Linotype" w:cs="Arial"/>
          <w:color w:val="000000" w:themeColor="text1"/>
        </w:rPr>
        <w:t xml:space="preserve"> en fecha </w:t>
      </w:r>
      <w:r w:rsidR="00B738C3" w:rsidRPr="00B738C3">
        <w:rPr>
          <w:rFonts w:ascii="Palatino Linotype" w:eastAsia="Calibri" w:hAnsi="Palatino Linotype" w:cs="Arial"/>
          <w:b/>
          <w:color w:val="000000" w:themeColor="text1"/>
        </w:rPr>
        <w:t>doce de octubre</w:t>
      </w:r>
      <w:r w:rsidRPr="00B738C3">
        <w:rPr>
          <w:rFonts w:ascii="Palatino Linotype" w:eastAsia="Calibri" w:hAnsi="Palatino Linotype" w:cs="Arial"/>
          <w:b/>
          <w:color w:val="000000" w:themeColor="text1"/>
        </w:rPr>
        <w:t xml:space="preserve"> de dos mil veintitrés</w:t>
      </w:r>
      <w:r w:rsidRPr="003F1E88">
        <w:rPr>
          <w:rFonts w:ascii="Palatino Linotype" w:eastAsia="Calibri" w:hAnsi="Palatino Linotype" w:cs="Arial"/>
          <w:color w:val="000000" w:themeColor="text1"/>
        </w:rPr>
        <w:t>, encontrándose así el particular dentro del plazo</w:t>
      </w:r>
      <w:r w:rsidRPr="003F1E88">
        <w:rPr>
          <w:rFonts w:ascii="Palatino Linotype" w:hAnsi="Palatino Linotype" w:cs="Arial"/>
          <w:color w:val="000000" w:themeColor="text1"/>
        </w:rPr>
        <w:t xml:space="preserve"> legalmente establecido para tal efecto.</w:t>
      </w:r>
    </w:p>
    <w:p w:rsidR="00EB1CE2" w:rsidRPr="003F1E88" w:rsidRDefault="00EB1CE2" w:rsidP="00EC4FF9">
      <w:pPr>
        <w:spacing w:line="360" w:lineRule="auto"/>
        <w:jc w:val="both"/>
        <w:rPr>
          <w:rFonts w:ascii="Palatino Linotype" w:eastAsia="Calibri" w:hAnsi="Palatino Linotype" w:cs="Arial"/>
          <w:color w:val="000000" w:themeColor="text1"/>
        </w:rPr>
      </w:pPr>
    </w:p>
    <w:p w:rsidR="00320E8C" w:rsidRPr="003F1E88" w:rsidRDefault="008E32EE" w:rsidP="00320E8C">
      <w:pPr>
        <w:pStyle w:val="Prrafodelista"/>
        <w:numPr>
          <w:ilvl w:val="0"/>
          <w:numId w:val="15"/>
        </w:numPr>
        <w:spacing w:line="360" w:lineRule="auto"/>
        <w:ind w:left="0" w:firstLine="0"/>
        <w:jc w:val="both"/>
        <w:rPr>
          <w:rFonts w:ascii="Palatino Linotype" w:hAnsi="Palatino Linotype"/>
          <w:color w:val="000000" w:themeColor="text1"/>
        </w:rPr>
      </w:pPr>
      <w:r w:rsidRPr="003F1E88">
        <w:rPr>
          <w:rFonts w:ascii="Palatino Linotype" w:eastAsia="Calibri" w:hAnsi="Palatino Linotype" w:cs="Arial"/>
          <w:color w:val="000000" w:themeColor="text1"/>
        </w:rPr>
        <w:t>Por último</w:t>
      </w:r>
      <w:r w:rsidR="009F09BC" w:rsidRPr="003F1E88">
        <w:rPr>
          <w:rFonts w:ascii="Palatino Linotype" w:eastAsia="Calibri" w:hAnsi="Palatino Linotype" w:cs="Arial"/>
          <w:color w:val="000000" w:themeColor="text1"/>
        </w:rPr>
        <w:t xml:space="preserve">, </w:t>
      </w:r>
      <w:r w:rsidR="00CF0D2B" w:rsidRPr="003F1E88">
        <w:rPr>
          <w:rFonts w:ascii="Palatino Linotype" w:eastAsia="Calibri" w:hAnsi="Palatino Linotype" w:cs="Arial"/>
          <w:color w:val="000000" w:themeColor="text1"/>
        </w:rPr>
        <w:t>e</w:t>
      </w:r>
      <w:r w:rsidR="009F09BC" w:rsidRPr="003F1E88">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139" w:name="_Toc34246179"/>
      <w:bookmarkStart w:id="140" w:name="_Toc50033991"/>
      <w:bookmarkStart w:id="141" w:name="_Toc51259588"/>
      <w:bookmarkStart w:id="142" w:name="_Toc83128581"/>
    </w:p>
    <w:p w:rsidR="0098774C" w:rsidRPr="003F1E88" w:rsidRDefault="0098774C" w:rsidP="0098774C">
      <w:pPr>
        <w:pStyle w:val="Prrafodelista"/>
        <w:spacing w:line="360" w:lineRule="auto"/>
        <w:ind w:left="0"/>
        <w:jc w:val="both"/>
        <w:rPr>
          <w:rFonts w:ascii="Palatino Linotype" w:hAnsi="Palatino Linotype"/>
          <w:b/>
          <w:color w:val="000000" w:themeColor="text1"/>
        </w:rPr>
      </w:pPr>
    </w:p>
    <w:p w:rsidR="00784F66" w:rsidRPr="00784F66" w:rsidRDefault="00784F66" w:rsidP="006129A3">
      <w:pPr>
        <w:pStyle w:val="Prrafodelista"/>
        <w:ind w:left="0"/>
        <w:jc w:val="both"/>
        <w:rPr>
          <w:rFonts w:ascii="Palatino Linotype" w:hAnsi="Palatino Linotype"/>
          <w:b/>
          <w:color w:val="000000" w:themeColor="text1"/>
        </w:rPr>
      </w:pPr>
      <w:r w:rsidRPr="00784F66">
        <w:rPr>
          <w:rFonts w:ascii="Palatino Linotype" w:hAnsi="Palatino Linotype"/>
          <w:b/>
          <w:color w:val="000000" w:themeColor="text1"/>
        </w:rPr>
        <w:t xml:space="preserve">TERCERO. </w:t>
      </w:r>
      <w:bookmarkStart w:id="143" w:name="_Toc501021589"/>
      <w:r w:rsidRPr="00784F66">
        <w:rPr>
          <w:rFonts w:ascii="Palatino Linotype" w:hAnsi="Palatino Linotype"/>
          <w:b/>
          <w:color w:val="000000" w:themeColor="text1"/>
        </w:rPr>
        <w:t>De las causales de sobreseimiento.</w:t>
      </w:r>
      <w:bookmarkEnd w:id="143"/>
    </w:p>
    <w:p w:rsidR="00784F66" w:rsidRPr="00784F66" w:rsidRDefault="00784F66" w:rsidP="00784F66">
      <w:pPr>
        <w:pStyle w:val="Prrafodelista"/>
        <w:jc w:val="both"/>
        <w:rPr>
          <w:rFonts w:ascii="Palatino Linotype" w:hAnsi="Palatino Linotype"/>
          <w:b/>
          <w:color w:val="000000" w:themeColor="text1"/>
          <w:lang w:val="es-MX"/>
        </w:rPr>
      </w:pPr>
    </w:p>
    <w:p w:rsidR="00784F66" w:rsidRPr="00784F66" w:rsidRDefault="00784F66" w:rsidP="00784F66">
      <w:pPr>
        <w:pStyle w:val="Prrafodelista"/>
        <w:numPr>
          <w:ilvl w:val="0"/>
          <w:numId w:val="47"/>
        </w:numPr>
        <w:jc w:val="both"/>
        <w:rPr>
          <w:rFonts w:ascii="Palatino Linotype" w:hAnsi="Palatino Linotype"/>
          <w:b/>
          <w:color w:val="000000" w:themeColor="text1"/>
        </w:rPr>
      </w:pPr>
      <w:bookmarkStart w:id="144" w:name="_Toc8387929"/>
      <w:bookmarkStart w:id="145" w:name="_Toc15589984"/>
      <w:bookmarkStart w:id="146" w:name="_Toc19214468"/>
      <w:bookmarkStart w:id="147" w:name="_Toc62153322"/>
      <w:bookmarkStart w:id="148" w:name="_Toc70526132"/>
      <w:r w:rsidRPr="00784F66">
        <w:rPr>
          <w:rFonts w:ascii="Palatino Linotype" w:hAnsi="Palatino Linotype"/>
          <w:b/>
          <w:color w:val="000000" w:themeColor="text1"/>
        </w:rPr>
        <w:t>De la solicitud de información.</w:t>
      </w:r>
      <w:bookmarkEnd w:id="144"/>
      <w:bookmarkEnd w:id="145"/>
      <w:bookmarkEnd w:id="146"/>
      <w:bookmarkEnd w:id="147"/>
      <w:bookmarkEnd w:id="148"/>
    </w:p>
    <w:p w:rsidR="00784F66" w:rsidRPr="004E31A0" w:rsidRDefault="00784F66" w:rsidP="004E31A0">
      <w:pPr>
        <w:pStyle w:val="Prrafodelista"/>
        <w:numPr>
          <w:ilvl w:val="0"/>
          <w:numId w:val="15"/>
        </w:numPr>
        <w:spacing w:line="360" w:lineRule="auto"/>
        <w:ind w:left="0" w:firstLine="0"/>
        <w:jc w:val="both"/>
        <w:rPr>
          <w:rFonts w:ascii="Palatino Linotype" w:hAnsi="Palatino Linotype"/>
          <w:b/>
          <w:color w:val="000000" w:themeColor="text1"/>
          <w:lang w:val="es-ES"/>
        </w:rPr>
      </w:pPr>
      <w:r w:rsidRPr="00784F66">
        <w:rPr>
          <w:rFonts w:ascii="Palatino Linotype" w:hAnsi="Palatino Linotype"/>
          <w:b/>
          <w:color w:val="000000" w:themeColor="text1"/>
          <w:lang w:val="es-ES"/>
        </w:rPr>
        <w:t xml:space="preserve"> </w:t>
      </w:r>
      <w:r w:rsidRPr="00784F66">
        <w:rPr>
          <w:rFonts w:ascii="Palatino Linotype" w:hAnsi="Palatino Linotype"/>
          <w:color w:val="000000" w:themeColor="text1"/>
          <w:lang w:val="es-ES"/>
        </w:rPr>
        <w:t xml:space="preserve">La solicitud de información consistió en requerir la información que ya se ha tenido a bien transcribir en el anterior párrafo 1, en respuesta, el </w:t>
      </w:r>
      <w:r w:rsidRPr="00784F66">
        <w:rPr>
          <w:rFonts w:ascii="Palatino Linotype" w:hAnsi="Palatino Linotype"/>
          <w:b/>
          <w:color w:val="000000" w:themeColor="text1"/>
          <w:lang w:val="es-ES"/>
        </w:rPr>
        <w:t>SUJETO OBLIGADO</w:t>
      </w:r>
      <w:r w:rsidRPr="00784F66">
        <w:rPr>
          <w:rFonts w:ascii="Palatino Linotype" w:hAnsi="Palatino Linotype"/>
          <w:color w:val="000000" w:themeColor="text1"/>
          <w:lang w:val="es-ES"/>
        </w:rPr>
        <w:t xml:space="preserve"> remitió un archivo denominado </w:t>
      </w:r>
      <w:r w:rsidRPr="00784F66">
        <w:rPr>
          <w:rFonts w:ascii="Palatino Linotype" w:hAnsi="Palatino Linotype"/>
          <w:b/>
          <w:color w:val="000000" w:themeColor="text1"/>
          <w:lang w:val="es-ES"/>
        </w:rPr>
        <w:t>contestacion 3610-12-2023-022055.pdf</w:t>
      </w:r>
      <w:r w:rsidRPr="00784F66">
        <w:rPr>
          <w:rFonts w:ascii="Palatino Linotype" w:hAnsi="Palatino Linotype"/>
          <w:color w:val="000000" w:themeColor="text1"/>
          <w:lang w:val="es-ES"/>
        </w:rPr>
        <w:t>, cuyo contenido se encuentra inmerso en el</w:t>
      </w:r>
      <w:r w:rsidR="00E5711B">
        <w:rPr>
          <w:rFonts w:ascii="Palatino Linotype" w:hAnsi="Palatino Linotype"/>
          <w:color w:val="000000" w:themeColor="text1"/>
          <w:lang w:val="es-ES"/>
        </w:rPr>
        <w:t xml:space="preserve"> numeral 2 del presente recurso;</w:t>
      </w:r>
      <w:r w:rsidRPr="00784F66">
        <w:rPr>
          <w:rFonts w:ascii="Palatino Linotype" w:hAnsi="Palatino Linotype"/>
          <w:color w:val="000000" w:themeColor="text1"/>
          <w:lang w:val="es-ES"/>
        </w:rPr>
        <w:t xml:space="preserve"> no conforme con lo anterior</w:t>
      </w:r>
      <w:r w:rsidRPr="00784F66">
        <w:rPr>
          <w:rFonts w:ascii="Palatino Linotype" w:hAnsi="Palatino Linotype"/>
          <w:b/>
          <w:color w:val="000000" w:themeColor="text1"/>
          <w:lang w:val="es-ES"/>
        </w:rPr>
        <w:t>,  EL PARTICULAR</w:t>
      </w:r>
      <w:r w:rsidRPr="00784F66">
        <w:rPr>
          <w:rFonts w:ascii="Palatino Linotype" w:hAnsi="Palatino Linotype"/>
          <w:color w:val="000000" w:themeColor="text1"/>
          <w:lang w:val="es-ES"/>
        </w:rPr>
        <w:t xml:space="preserve"> interpuso recurso de revisión en contra de la respuesta proporcionada por </w:t>
      </w:r>
      <w:r>
        <w:rPr>
          <w:rFonts w:ascii="Palatino Linotype" w:hAnsi="Palatino Linotype"/>
          <w:color w:val="000000" w:themeColor="text1"/>
          <w:lang w:val="es-ES"/>
        </w:rPr>
        <w:t>el</w:t>
      </w:r>
      <w:r>
        <w:rPr>
          <w:rFonts w:ascii="Palatino Linotype" w:hAnsi="Palatino Linotype"/>
          <w:b/>
          <w:color w:val="000000" w:themeColor="text1"/>
          <w:lang w:val="es-ES"/>
        </w:rPr>
        <w:t xml:space="preserve"> SUJETO OBLIGADO, </w:t>
      </w:r>
      <w:r>
        <w:rPr>
          <w:rFonts w:ascii="Palatino Linotype" w:hAnsi="Palatino Linotype"/>
          <w:color w:val="000000" w:themeColor="text1"/>
          <w:lang w:val="es-ES"/>
        </w:rPr>
        <w:t xml:space="preserve">señalando como motivo de inconformidad </w:t>
      </w:r>
      <w:r w:rsidR="004E31A0">
        <w:rPr>
          <w:rFonts w:ascii="Palatino Linotype" w:hAnsi="Palatino Linotype"/>
          <w:color w:val="000000" w:themeColor="text1"/>
          <w:lang w:val="es-ES"/>
        </w:rPr>
        <w:t>que: “</w:t>
      </w:r>
      <w:r w:rsidRPr="004E31A0">
        <w:rPr>
          <w:rFonts w:ascii="Palatino Linotype" w:hAnsi="Palatino Linotype"/>
          <w:i/>
          <w:color w:val="000000" w:themeColor="text1"/>
        </w:rPr>
        <w:t xml:space="preserve">El sujeto obligado menciona no tener o generar información, como ciudadano, no se cuenta con el concepto exacto, pero la Ley de Transparencia marca que es obligación orientar al ciudadano, sino se tiene salario nivel, </w:t>
      </w:r>
      <w:r w:rsidRPr="004E31A0">
        <w:rPr>
          <w:rFonts w:ascii="Palatino Linotype" w:hAnsi="Palatino Linotype"/>
          <w:i/>
          <w:color w:val="000000" w:themeColor="text1"/>
        </w:rPr>
        <w:lastRenderedPageBreak/>
        <w:t>categoría, porque en el portal SAIMEX hay variación de remuneraciones. También sino hay plazas en permiso, ¿cuál es la denominación que utilizan? Permisos, comisiones, etc. Por lo que se denota el como se oculta la información, siendo el mismo caso para las sindicalizadas</w:t>
      </w:r>
      <w:r w:rsidR="004E31A0">
        <w:rPr>
          <w:rFonts w:ascii="Palatino Linotype" w:hAnsi="Palatino Linotype"/>
          <w:i/>
          <w:color w:val="000000" w:themeColor="text1"/>
        </w:rPr>
        <w:t>”</w:t>
      </w:r>
    </w:p>
    <w:p w:rsidR="00784F66" w:rsidRDefault="00784F66" w:rsidP="00784F66">
      <w:pPr>
        <w:pStyle w:val="Prrafodelista"/>
        <w:spacing w:line="360" w:lineRule="auto"/>
        <w:ind w:left="0"/>
        <w:jc w:val="both"/>
        <w:rPr>
          <w:rFonts w:ascii="Palatino Linotype" w:hAnsi="Palatino Linotype"/>
          <w:b/>
          <w:color w:val="000000" w:themeColor="text1"/>
        </w:rPr>
      </w:pPr>
    </w:p>
    <w:p w:rsidR="004E31A0" w:rsidRPr="00AC2CF9" w:rsidRDefault="004E31A0" w:rsidP="004E31A0">
      <w:pPr>
        <w:pStyle w:val="Ttulo2"/>
        <w:numPr>
          <w:ilvl w:val="0"/>
          <w:numId w:val="47"/>
        </w:numPr>
        <w:spacing w:before="0" w:line="360" w:lineRule="auto"/>
        <w:rPr>
          <w:rFonts w:ascii="Palatino Linotype" w:hAnsi="Palatino Linotype"/>
          <w:b/>
          <w:color w:val="000000" w:themeColor="text1"/>
          <w:sz w:val="24"/>
          <w:szCs w:val="24"/>
        </w:rPr>
      </w:pPr>
      <w:bookmarkStart w:id="149" w:name="_Toc70526134"/>
      <w:r w:rsidRPr="00AC2CF9">
        <w:rPr>
          <w:rFonts w:ascii="Palatino Linotype" w:hAnsi="Palatino Linotype"/>
          <w:b/>
          <w:color w:val="000000" w:themeColor="text1"/>
          <w:sz w:val="24"/>
          <w:szCs w:val="24"/>
        </w:rPr>
        <w:t>Causal de sobreseimiento.</w:t>
      </w:r>
      <w:bookmarkEnd w:id="149"/>
    </w:p>
    <w:p w:rsidR="004E31A0" w:rsidRPr="00752B18" w:rsidRDefault="004E31A0" w:rsidP="004E31A0">
      <w:pPr>
        <w:pStyle w:val="Prrafodelista"/>
        <w:numPr>
          <w:ilvl w:val="0"/>
          <w:numId w:val="15"/>
        </w:numPr>
        <w:spacing w:line="360" w:lineRule="auto"/>
        <w:ind w:left="0" w:firstLine="0"/>
        <w:jc w:val="both"/>
        <w:rPr>
          <w:rFonts w:ascii="Palatino Linotype" w:hAnsi="Palatino Linotype"/>
          <w:color w:val="000000" w:themeColor="text1"/>
        </w:rPr>
      </w:pPr>
      <w:r w:rsidRPr="00752B18">
        <w:rPr>
          <w:rFonts w:ascii="Palatino Linotype" w:eastAsia="Times New Roman" w:hAnsi="Palatino Linotype"/>
          <w:color w:val="000000" w:themeColor="text1"/>
          <w:lang w:val="es-MX" w:eastAsia="en-US"/>
        </w:rPr>
        <w:t xml:space="preserve">En </w:t>
      </w:r>
      <w:r w:rsidRPr="00752B18">
        <w:rPr>
          <w:rFonts w:ascii="Palatino Linotype" w:eastAsia="Times New Roman" w:hAnsi="Palatino Linotype" w:cs="Arial"/>
          <w:color w:val="000000" w:themeColor="text1"/>
          <w:lang w:val="es-ES"/>
        </w:rPr>
        <w:t>ese</w:t>
      </w:r>
      <w:r w:rsidRPr="00752B18">
        <w:rPr>
          <w:rFonts w:ascii="Palatino Linotype" w:eastAsia="Times New Roman" w:hAnsi="Palatino Linotype"/>
          <w:color w:val="000000" w:themeColor="text1"/>
          <w:lang w:val="es-MX" w:eastAsia="en-US"/>
        </w:rPr>
        <w:t xml:space="preserve"> sentido, se estima dable traer a contexto </w:t>
      </w:r>
      <w:r w:rsidRPr="00752B18">
        <w:rPr>
          <w:rFonts w:ascii="Palatino Linotype" w:eastAsia="Batang" w:hAnsi="Palatino Linotype" w:cs="Arial"/>
          <w:color w:val="000000" w:themeColor="text1"/>
        </w:rPr>
        <w:t xml:space="preserve">la causal de sobreseimiento contenida en </w:t>
      </w:r>
      <w:r w:rsidRPr="00752B18">
        <w:rPr>
          <w:rFonts w:ascii="Palatino Linotype" w:hAnsi="Palatino Linotype" w:cs="Arial"/>
          <w:color w:val="000000" w:themeColor="text1"/>
        </w:rPr>
        <w:t xml:space="preserve">la </w:t>
      </w:r>
      <w:r w:rsidRPr="00EE78A1">
        <w:rPr>
          <w:rFonts w:ascii="Palatino Linotype" w:hAnsi="Palatino Linotype" w:cs="Arial"/>
          <w:b/>
          <w:color w:val="000000" w:themeColor="text1"/>
        </w:rPr>
        <w:t>fracción IV del artículo 192,</w:t>
      </w:r>
      <w:r w:rsidRPr="00752B18">
        <w:rPr>
          <w:rFonts w:ascii="Palatino Linotype" w:hAnsi="Palatino Linotype" w:cs="Arial"/>
          <w:color w:val="000000" w:themeColor="text1"/>
        </w:rPr>
        <w:t xml:space="preserve"> en relación con el artículo </w:t>
      </w:r>
      <w:r w:rsidRPr="00EE78A1">
        <w:rPr>
          <w:rFonts w:ascii="Palatino Linotype" w:hAnsi="Palatino Linotype" w:cs="Arial"/>
          <w:b/>
          <w:color w:val="000000" w:themeColor="text1"/>
        </w:rPr>
        <w:t xml:space="preserve">191 fracción V, </w:t>
      </w:r>
      <w:r w:rsidRPr="00752B18">
        <w:rPr>
          <w:rFonts w:ascii="Palatino Linotype" w:eastAsia="Batang" w:hAnsi="Palatino Linotype" w:cs="Arial"/>
          <w:color w:val="000000" w:themeColor="text1"/>
        </w:rPr>
        <w:t xml:space="preserve">de la </w:t>
      </w:r>
      <w:r w:rsidRPr="00752B18">
        <w:rPr>
          <w:rFonts w:ascii="Palatino Linotype" w:eastAsia="Batang" w:hAnsi="Palatino Linotype" w:cs="Arial"/>
          <w:b/>
          <w:color w:val="000000" w:themeColor="text1"/>
        </w:rPr>
        <w:t>Ley de Transparencia y Acceso a la Información Pública del Estado de México y Municipios</w:t>
      </w:r>
      <w:r w:rsidRPr="00752B18">
        <w:rPr>
          <w:rFonts w:ascii="Palatino Linotype" w:eastAsia="Batang" w:hAnsi="Palatino Linotype" w:cs="Arial"/>
          <w:color w:val="000000" w:themeColor="text1"/>
        </w:rPr>
        <w:t>, que establecen lo siguiente:</w:t>
      </w:r>
    </w:p>
    <w:p w:rsidR="004E31A0" w:rsidRPr="006129A3" w:rsidRDefault="004E31A0" w:rsidP="004E31A0">
      <w:pPr>
        <w:pStyle w:val="Prrafodelista"/>
        <w:spacing w:line="360" w:lineRule="auto"/>
        <w:ind w:left="0"/>
        <w:jc w:val="both"/>
        <w:rPr>
          <w:rFonts w:ascii="Palatino Linotype" w:hAnsi="Palatino Linotype"/>
          <w:color w:val="000000" w:themeColor="text1"/>
          <w:sz w:val="22"/>
        </w:rPr>
      </w:pPr>
    </w:p>
    <w:p w:rsidR="004E31A0" w:rsidRPr="006129A3" w:rsidRDefault="004E31A0" w:rsidP="004E31A0">
      <w:pPr>
        <w:pStyle w:val="Prrafodelista"/>
        <w:spacing w:line="360" w:lineRule="auto"/>
        <w:ind w:left="426" w:right="425"/>
        <w:jc w:val="both"/>
        <w:rPr>
          <w:rFonts w:ascii="Palatino Linotype" w:hAnsi="Palatino Linotype"/>
          <w:i/>
          <w:color w:val="000000" w:themeColor="text1"/>
          <w:sz w:val="22"/>
        </w:rPr>
      </w:pPr>
      <w:r w:rsidRPr="006129A3">
        <w:rPr>
          <w:rFonts w:ascii="Palatino Linotype" w:hAnsi="Palatino Linotype"/>
          <w:i/>
          <w:color w:val="000000" w:themeColor="text1"/>
          <w:sz w:val="22"/>
        </w:rPr>
        <w:t>"Artículo 192. El recurso será sobreseído, en todo o en parte, cuando una vez admitido, se actualicen alguno de los siguientes supuestos:</w:t>
      </w:r>
    </w:p>
    <w:p w:rsidR="004E31A0" w:rsidRPr="006129A3" w:rsidRDefault="004E31A0" w:rsidP="004E31A0">
      <w:pPr>
        <w:spacing w:line="360" w:lineRule="auto"/>
        <w:ind w:right="425"/>
        <w:jc w:val="both"/>
        <w:rPr>
          <w:rFonts w:ascii="Palatino Linotype" w:hAnsi="Palatino Linotype"/>
          <w:i/>
          <w:color w:val="000000" w:themeColor="text1"/>
          <w:sz w:val="22"/>
        </w:rPr>
      </w:pPr>
    </w:p>
    <w:p w:rsidR="004E31A0" w:rsidRPr="006129A3" w:rsidRDefault="004E31A0" w:rsidP="004E31A0">
      <w:pPr>
        <w:pStyle w:val="Prrafodelista"/>
        <w:spacing w:line="360" w:lineRule="auto"/>
        <w:ind w:left="426" w:right="425"/>
        <w:jc w:val="both"/>
        <w:rPr>
          <w:rFonts w:ascii="Palatino Linotype" w:hAnsi="Palatino Linotype"/>
          <w:i/>
          <w:color w:val="000000" w:themeColor="text1"/>
          <w:sz w:val="22"/>
        </w:rPr>
      </w:pPr>
      <w:r w:rsidRPr="006129A3">
        <w:rPr>
          <w:rFonts w:ascii="Palatino Linotype" w:hAnsi="Palatino Linotype"/>
          <w:b/>
          <w:i/>
          <w:color w:val="000000" w:themeColor="text1"/>
          <w:sz w:val="22"/>
        </w:rPr>
        <w:t>IV</w:t>
      </w:r>
      <w:r w:rsidRPr="006129A3">
        <w:rPr>
          <w:rFonts w:ascii="Palatino Linotype" w:hAnsi="Palatino Linotype"/>
          <w:i/>
          <w:color w:val="000000" w:themeColor="text1"/>
          <w:sz w:val="22"/>
        </w:rPr>
        <w:t xml:space="preserve">. </w:t>
      </w:r>
      <w:r w:rsidRPr="006129A3">
        <w:rPr>
          <w:rFonts w:ascii="Palatino Linotype" w:hAnsi="Palatino Linotype"/>
          <w:b/>
          <w:i/>
          <w:color w:val="000000" w:themeColor="text1"/>
          <w:sz w:val="22"/>
        </w:rPr>
        <w:t>Admitido el recurso de revisión, aparezca alguna causal de improcedencia en los términos de la presente Ley; y</w:t>
      </w:r>
      <w:r w:rsidRPr="006129A3">
        <w:rPr>
          <w:rFonts w:ascii="Palatino Linotype" w:hAnsi="Palatino Linotype"/>
          <w:i/>
          <w:color w:val="000000" w:themeColor="text1"/>
          <w:sz w:val="22"/>
        </w:rPr>
        <w:t>;</w:t>
      </w:r>
      <w:r w:rsidRPr="006129A3">
        <w:rPr>
          <w:rFonts w:ascii="Palatino Linotype" w:hAnsi="Palatino Linotype"/>
          <w:i/>
          <w:color w:val="000000" w:themeColor="text1"/>
          <w:sz w:val="22"/>
        </w:rPr>
        <w:cr/>
        <w:t>..."</w:t>
      </w:r>
    </w:p>
    <w:p w:rsidR="004E31A0" w:rsidRPr="006129A3" w:rsidRDefault="004E31A0" w:rsidP="004E31A0">
      <w:pPr>
        <w:pStyle w:val="Prrafodelista"/>
        <w:spacing w:line="360" w:lineRule="auto"/>
        <w:ind w:left="426" w:right="425"/>
        <w:jc w:val="both"/>
        <w:rPr>
          <w:rFonts w:ascii="Palatino Linotype" w:hAnsi="Palatino Linotype"/>
          <w:color w:val="000000" w:themeColor="text1"/>
          <w:sz w:val="22"/>
        </w:rPr>
      </w:pPr>
      <w:r w:rsidRPr="006129A3">
        <w:rPr>
          <w:rFonts w:ascii="Palatino Linotype" w:hAnsi="Palatino Linotype"/>
          <w:color w:val="000000" w:themeColor="text1"/>
          <w:sz w:val="22"/>
        </w:rPr>
        <w:t>Énfasis añadido</w:t>
      </w:r>
    </w:p>
    <w:p w:rsidR="004E31A0" w:rsidRPr="006129A3" w:rsidRDefault="004E31A0" w:rsidP="004E31A0">
      <w:pPr>
        <w:pStyle w:val="Prrafodelista"/>
        <w:spacing w:line="360" w:lineRule="auto"/>
        <w:ind w:left="426" w:right="425"/>
        <w:jc w:val="both"/>
        <w:rPr>
          <w:rFonts w:ascii="Palatino Linotype" w:hAnsi="Palatino Linotype"/>
          <w:color w:val="000000" w:themeColor="text1"/>
          <w:sz w:val="22"/>
        </w:rPr>
      </w:pPr>
    </w:p>
    <w:p w:rsidR="004E31A0" w:rsidRPr="006129A3" w:rsidRDefault="004E31A0" w:rsidP="004E31A0">
      <w:pPr>
        <w:pStyle w:val="Prrafodelista"/>
        <w:spacing w:line="360" w:lineRule="auto"/>
        <w:ind w:left="426" w:right="425"/>
        <w:jc w:val="both"/>
        <w:rPr>
          <w:rFonts w:ascii="Palatino Linotype" w:hAnsi="Palatino Linotype"/>
          <w:i/>
          <w:color w:val="000000" w:themeColor="text1"/>
          <w:sz w:val="22"/>
        </w:rPr>
      </w:pPr>
      <w:r w:rsidRPr="006129A3">
        <w:rPr>
          <w:rFonts w:ascii="Palatino Linotype" w:hAnsi="Palatino Linotype"/>
          <w:i/>
          <w:color w:val="000000" w:themeColor="text1"/>
          <w:sz w:val="22"/>
        </w:rPr>
        <w:t>Artículo 191. El recurso será desechado por improcedente cuando:</w:t>
      </w:r>
    </w:p>
    <w:p w:rsidR="004E31A0" w:rsidRPr="006129A3" w:rsidRDefault="004E31A0" w:rsidP="004E31A0">
      <w:pPr>
        <w:spacing w:line="360" w:lineRule="auto"/>
        <w:ind w:left="426" w:right="425"/>
        <w:jc w:val="both"/>
        <w:rPr>
          <w:rFonts w:ascii="Palatino Linotype" w:hAnsi="Palatino Linotype"/>
          <w:i/>
          <w:color w:val="000000" w:themeColor="text1"/>
          <w:sz w:val="22"/>
        </w:rPr>
      </w:pPr>
      <w:r w:rsidRPr="006129A3">
        <w:rPr>
          <w:rFonts w:ascii="Palatino Linotype" w:hAnsi="Palatino Linotype"/>
          <w:b/>
          <w:i/>
          <w:color w:val="000000" w:themeColor="text1"/>
          <w:sz w:val="22"/>
        </w:rPr>
        <w:t>Se impugne la veracidad de la información proporcionada;</w:t>
      </w:r>
      <w:r w:rsidRPr="006129A3">
        <w:rPr>
          <w:rFonts w:ascii="Palatino Linotype" w:hAnsi="Palatino Linotype"/>
          <w:i/>
          <w:color w:val="000000" w:themeColor="text1"/>
          <w:sz w:val="22"/>
        </w:rPr>
        <w:t>..."</w:t>
      </w:r>
    </w:p>
    <w:p w:rsidR="004E31A0" w:rsidRPr="006129A3" w:rsidRDefault="004E31A0" w:rsidP="004E31A0">
      <w:pPr>
        <w:spacing w:line="360" w:lineRule="auto"/>
        <w:ind w:right="425" w:firstLine="426"/>
        <w:jc w:val="both"/>
        <w:rPr>
          <w:rFonts w:ascii="Palatino Linotype" w:hAnsi="Palatino Linotype"/>
          <w:color w:val="000000" w:themeColor="text1"/>
          <w:sz w:val="22"/>
        </w:rPr>
      </w:pPr>
      <w:r w:rsidRPr="006129A3">
        <w:rPr>
          <w:rFonts w:ascii="Palatino Linotype" w:hAnsi="Palatino Linotype"/>
          <w:color w:val="000000" w:themeColor="text1"/>
          <w:sz w:val="22"/>
        </w:rPr>
        <w:t>Énfasis añadido</w:t>
      </w:r>
    </w:p>
    <w:p w:rsidR="00F17658" w:rsidRPr="006129A3" w:rsidRDefault="00F17658" w:rsidP="00F17658">
      <w:pPr>
        <w:spacing w:line="360" w:lineRule="auto"/>
        <w:ind w:right="425"/>
        <w:jc w:val="both"/>
        <w:rPr>
          <w:rFonts w:ascii="Palatino Linotype" w:hAnsi="Palatino Linotype"/>
          <w:color w:val="000000" w:themeColor="text1"/>
          <w:sz w:val="22"/>
        </w:rPr>
      </w:pPr>
    </w:p>
    <w:p w:rsidR="004E31A0" w:rsidRPr="00F17658" w:rsidRDefault="004E31A0" w:rsidP="004E31A0">
      <w:pPr>
        <w:pStyle w:val="Prrafodelista"/>
        <w:numPr>
          <w:ilvl w:val="0"/>
          <w:numId w:val="15"/>
        </w:numPr>
        <w:spacing w:line="360" w:lineRule="auto"/>
        <w:ind w:left="0" w:firstLine="0"/>
        <w:jc w:val="both"/>
        <w:rPr>
          <w:rFonts w:ascii="Palatino Linotype" w:hAnsi="Palatino Linotype"/>
          <w:color w:val="000000" w:themeColor="text1"/>
        </w:rPr>
      </w:pPr>
      <w:r w:rsidRPr="00AC2CF9">
        <w:rPr>
          <w:rFonts w:ascii="Palatino Linotype" w:eastAsia="Batang" w:hAnsi="Palatino Linotype" w:cs="Arial"/>
          <w:color w:val="000000" w:themeColor="text1"/>
        </w:rPr>
        <w:t>Al respecto, es oportuno señalar que la figura del sobreseimiento privilegia la existencia de elementos de fondo, tales como el</w:t>
      </w:r>
      <w:r>
        <w:rPr>
          <w:rFonts w:ascii="Palatino Linotype" w:eastAsia="Batang" w:hAnsi="Palatino Linotype" w:cs="Arial"/>
          <w:color w:val="000000" w:themeColor="text1"/>
        </w:rPr>
        <w:t xml:space="preserve"> que una vez </w:t>
      </w:r>
      <w:r w:rsidRPr="004E31A0">
        <w:rPr>
          <w:rFonts w:ascii="Palatino Linotype" w:eastAsia="Batang" w:hAnsi="Palatino Linotype" w:cs="Arial"/>
          <w:b/>
          <w:color w:val="000000" w:themeColor="text1"/>
          <w:u w:val="single"/>
        </w:rPr>
        <w:t>admitido el recurso de revisión aparezca alguna causal de improcedencia,</w:t>
      </w:r>
      <w:r w:rsidRPr="004E31A0">
        <w:rPr>
          <w:rFonts w:ascii="Palatino Linotype" w:eastAsia="Batang" w:hAnsi="Palatino Linotype" w:cs="Arial"/>
          <w:b/>
          <w:color w:val="000000" w:themeColor="text1"/>
        </w:rPr>
        <w:t xml:space="preserve"> </w:t>
      </w:r>
      <w:r w:rsidRPr="004E31A0">
        <w:rPr>
          <w:rFonts w:ascii="Palatino Linotype" w:eastAsia="Batang" w:hAnsi="Palatino Linotype" w:cs="Arial"/>
          <w:color w:val="000000" w:themeColor="text1"/>
        </w:rPr>
        <w:t>de</w:t>
      </w:r>
      <w:r w:rsidRPr="00AC2CF9">
        <w:rPr>
          <w:rFonts w:ascii="Palatino Linotype" w:eastAsia="Batang" w:hAnsi="Palatino Linotype" w:cs="Arial"/>
          <w:color w:val="000000" w:themeColor="text1"/>
        </w:rPr>
        <w:t xml:space="preserve"> ahí que la actualización de </w:t>
      </w:r>
      <w:r w:rsidRPr="00AC2CF9">
        <w:rPr>
          <w:rFonts w:ascii="Palatino Linotype" w:eastAsia="Batang" w:hAnsi="Palatino Linotype" w:cs="Arial"/>
          <w:color w:val="000000" w:themeColor="text1"/>
        </w:rPr>
        <w:lastRenderedPageBreak/>
        <w:t>alguno de éstos trae como consecuencia que el medio de impugnación se concluya sin que se analice el objeto</w:t>
      </w:r>
      <w:r>
        <w:rPr>
          <w:rFonts w:ascii="Palatino Linotype" w:eastAsia="Batang" w:hAnsi="Palatino Linotype" w:cs="Arial"/>
          <w:color w:val="000000" w:themeColor="text1"/>
        </w:rPr>
        <w:t xml:space="preserve"> de estudio planteado, es decir, que </w:t>
      </w:r>
      <w:r w:rsidRPr="00AC2CF9">
        <w:rPr>
          <w:rFonts w:ascii="Palatino Linotype" w:eastAsia="Batang" w:hAnsi="Palatino Linotype" w:cs="Arial"/>
          <w:color w:val="000000" w:themeColor="text1"/>
        </w:rPr>
        <w:t>se sobresea.</w:t>
      </w:r>
    </w:p>
    <w:p w:rsidR="00F17658" w:rsidRPr="00AC2CF9" w:rsidRDefault="00F17658" w:rsidP="00F17658">
      <w:pPr>
        <w:pStyle w:val="Prrafodelista"/>
        <w:spacing w:line="360" w:lineRule="auto"/>
        <w:ind w:left="0"/>
        <w:jc w:val="both"/>
        <w:rPr>
          <w:rFonts w:ascii="Palatino Linotype" w:hAnsi="Palatino Linotype"/>
          <w:color w:val="000000" w:themeColor="text1"/>
        </w:rPr>
      </w:pPr>
    </w:p>
    <w:p w:rsidR="00F17658" w:rsidRPr="00F17658" w:rsidRDefault="00F17658" w:rsidP="00F17658">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eastAsia="Batang" w:hAnsi="Palatino Linotype" w:cs="Arial"/>
          <w:color w:val="000000" w:themeColor="text1"/>
        </w:rPr>
        <w:t xml:space="preserve">Sirve como sustento a lo anterior, lo señalado por </w:t>
      </w:r>
      <w:r w:rsidRPr="00134CE6">
        <w:rPr>
          <w:rFonts w:ascii="Palatino Linotype" w:eastAsia="Batang" w:hAnsi="Palatino Linotype" w:cs="Arial"/>
          <w:color w:val="000000" w:themeColor="text1"/>
        </w:rPr>
        <w:t xml:space="preserve"> el procesalista Niceto Alcalá-Zamora y Castillo en su obra </w:t>
      </w:r>
      <w:r w:rsidRPr="00134CE6">
        <w:rPr>
          <w:rFonts w:ascii="Palatino Linotype" w:eastAsia="Batang" w:hAnsi="Palatino Linotype" w:cs="Arial"/>
          <w:i/>
          <w:color w:val="000000" w:themeColor="text1"/>
        </w:rPr>
        <w:t>“</w:t>
      </w:r>
      <w:r w:rsidRPr="00531473">
        <w:rPr>
          <w:rFonts w:ascii="Palatino Linotype" w:eastAsia="Calibri" w:hAnsi="Palatino Linotype" w:cs="Times New Roman"/>
          <w:color w:val="000000" w:themeColor="text1"/>
        </w:rPr>
        <w:t>Cuestiones</w:t>
      </w:r>
      <w:r w:rsidRPr="00134CE6">
        <w:rPr>
          <w:rFonts w:ascii="Palatino Linotype" w:eastAsia="Batang" w:hAnsi="Palatino Linotype" w:cs="Arial"/>
          <w:i/>
          <w:color w:val="000000" w:themeColor="text1"/>
        </w:rPr>
        <w:t xml:space="preserve"> de Terminología Procesal”</w:t>
      </w:r>
      <w:r w:rsidRPr="00134CE6">
        <w:rPr>
          <w:rFonts w:ascii="Palatino Linotype" w:eastAsia="Batang" w:hAnsi="Palatino Linotype" w:cs="Arial"/>
          <w:color w:val="000000" w:themeColor="text1"/>
        </w:rPr>
        <w:t xml:space="preserve">, el sobreseimiento es </w:t>
      </w:r>
      <w:r w:rsidRPr="00134CE6">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rsidR="00F17658" w:rsidRPr="00134CE6" w:rsidRDefault="00F17658" w:rsidP="00F17658">
      <w:pPr>
        <w:pStyle w:val="Prrafodelista"/>
        <w:spacing w:line="360" w:lineRule="auto"/>
        <w:ind w:left="0"/>
        <w:jc w:val="both"/>
        <w:rPr>
          <w:rFonts w:ascii="Palatino Linotype" w:hAnsi="Palatino Linotype"/>
          <w:color w:val="000000" w:themeColor="text1"/>
        </w:rPr>
      </w:pPr>
    </w:p>
    <w:p w:rsidR="00F17658" w:rsidRPr="00134CE6" w:rsidRDefault="00F17658" w:rsidP="00F17658">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eastAsia="Batang" w:hAnsi="Palatino Linotype" w:cs="Arial"/>
          <w:color w:val="000000" w:themeColor="text1"/>
        </w:rPr>
        <w:t xml:space="preserve">Asimismo, </w:t>
      </w:r>
      <w:r w:rsidRPr="00134CE6">
        <w:rPr>
          <w:rFonts w:ascii="Palatino Linotype" w:eastAsia="Batang" w:hAnsi="Palatino Linotype" w:cs="Arial"/>
          <w:color w:val="000000" w:themeColor="text1"/>
        </w:rPr>
        <w:t xml:space="preserve">Eduardo Pallares, en su artículo </w:t>
      </w:r>
      <w:r w:rsidRPr="00134CE6">
        <w:rPr>
          <w:rFonts w:ascii="Palatino Linotype" w:eastAsia="Batang" w:hAnsi="Palatino Linotype" w:cs="Arial"/>
          <w:i/>
          <w:color w:val="000000" w:themeColor="text1"/>
        </w:rPr>
        <w:t>“La caducidad y el sobreseimiento en el amparo”</w:t>
      </w:r>
      <w:r w:rsidRPr="00134CE6">
        <w:rPr>
          <w:rFonts w:ascii="Palatino Linotype" w:eastAsia="Batang" w:hAnsi="Palatino Linotype" w:cs="Arial"/>
          <w:color w:val="000000" w:themeColor="text1"/>
        </w:rPr>
        <w:t xml:space="preserve">, cita la definición de Aguilera Paz, aduciendo que se </w:t>
      </w:r>
      <w:r w:rsidRPr="00134CE6">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134CE6">
        <w:rPr>
          <w:rFonts w:ascii="Palatino Linotype" w:eastAsia="Batang" w:hAnsi="Palatino Linotype" w:cs="Arial"/>
          <w:color w:val="000000" w:themeColor="text1"/>
        </w:rPr>
        <w:t>. Asimismo señala que existe el sobreseimiento provisional y el definitivo</w:t>
      </w:r>
      <w:r w:rsidRPr="00134CE6">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rsidR="00F17658" w:rsidRPr="00134CE6" w:rsidRDefault="00F17658" w:rsidP="00F17658">
      <w:pPr>
        <w:pStyle w:val="Prrafodelista"/>
        <w:spacing w:line="360" w:lineRule="auto"/>
        <w:ind w:left="0"/>
        <w:jc w:val="both"/>
        <w:rPr>
          <w:rFonts w:ascii="Palatino Linotype" w:hAnsi="Palatino Linotype"/>
          <w:color w:val="000000" w:themeColor="text1"/>
        </w:rPr>
      </w:pPr>
    </w:p>
    <w:p w:rsidR="00F17658" w:rsidRPr="00134CE6" w:rsidRDefault="00F17658" w:rsidP="00F17658">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eastAsia="Batang" w:hAnsi="Palatino Linotype" w:cs="Arial"/>
          <w:color w:val="000000" w:themeColor="text1"/>
        </w:rPr>
        <w:t>Es así que,</w:t>
      </w:r>
      <w:r w:rsidRPr="00134CE6">
        <w:rPr>
          <w:rFonts w:ascii="Palatino Linotype" w:eastAsia="Batang" w:hAnsi="Palatino Linotype" w:cs="Arial"/>
          <w:color w:val="000000" w:themeColor="text1"/>
        </w:rPr>
        <w:t xml:space="preserve"> para la doctrina el sobreseimiento provoca que un procedimiento se suspenda o se resuelva en definitiva </w:t>
      </w:r>
      <w:r w:rsidRPr="00134CE6">
        <w:rPr>
          <w:rFonts w:ascii="Palatino Linotype" w:eastAsia="Batang" w:hAnsi="Palatino Linotype" w:cs="Arial"/>
          <w:b/>
          <w:color w:val="000000" w:themeColor="text1"/>
          <w:u w:val="single"/>
        </w:rPr>
        <w:t>sin que se entre al estudio de los agravios o motivos de inconformidad.</w:t>
      </w:r>
      <w:r w:rsidRPr="00134CE6">
        <w:rPr>
          <w:rFonts w:ascii="Palatino Linotype" w:eastAsia="Batang" w:hAnsi="Palatino Linotype" w:cs="Arial"/>
          <w:b/>
          <w:color w:val="000000" w:themeColor="text1"/>
        </w:rPr>
        <w:t xml:space="preserve"> </w:t>
      </w:r>
      <w:r w:rsidRPr="00134CE6">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rsidR="00F17658" w:rsidRPr="00134CE6" w:rsidRDefault="00F17658" w:rsidP="00F17658">
      <w:pPr>
        <w:pStyle w:val="Prrafodelista"/>
        <w:spacing w:before="240" w:after="240" w:line="360" w:lineRule="auto"/>
        <w:ind w:left="0" w:right="49"/>
        <w:jc w:val="both"/>
        <w:rPr>
          <w:rFonts w:ascii="Palatino Linotype" w:hAnsi="Palatino Linotype"/>
          <w:color w:val="000000" w:themeColor="text1"/>
        </w:rPr>
      </w:pPr>
    </w:p>
    <w:p w:rsidR="00F17658" w:rsidRPr="006129A3" w:rsidRDefault="00F17658" w:rsidP="00F17658">
      <w:pPr>
        <w:pStyle w:val="Prrafodelista"/>
        <w:spacing w:line="360" w:lineRule="auto"/>
        <w:ind w:left="567" w:right="616"/>
        <w:jc w:val="both"/>
        <w:rPr>
          <w:rFonts w:ascii="Palatino Linotype" w:hAnsi="Palatino Linotype"/>
          <w:color w:val="000000" w:themeColor="text1"/>
          <w:sz w:val="22"/>
        </w:rPr>
      </w:pPr>
      <w:r w:rsidRPr="006129A3">
        <w:rPr>
          <w:rFonts w:ascii="Palatino Linotype" w:eastAsia="Batang" w:hAnsi="Palatino Linotype" w:cs="Arial"/>
          <w:b/>
          <w:i/>
          <w:color w:val="000000" w:themeColor="text1"/>
          <w:sz w:val="22"/>
          <w:lang w:val="es-AR"/>
        </w:rPr>
        <w:lastRenderedPageBreak/>
        <w:t>SOBRESEIMIENTO EN EL JUICIO DE AMPARO DIRECTO. IMPIDE EL ESTUDIO DE LAS VIOLACIONES PROCESALES PLANTEADAS EN LOS CONCEPTOS DE VIOLACIÓN.</w:t>
      </w:r>
    </w:p>
    <w:p w:rsidR="00F17658" w:rsidRPr="006129A3" w:rsidRDefault="00F17658" w:rsidP="00F17658">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lang w:val="es-AR"/>
        </w:rPr>
      </w:pPr>
      <w:r w:rsidRPr="006129A3">
        <w:rPr>
          <w:rFonts w:ascii="Palatino Linotype" w:eastAsia="Batang" w:hAnsi="Palatino Linotype" w:cs="Arial"/>
          <w:b/>
          <w:i/>
          <w:color w:val="000000" w:themeColor="text1"/>
          <w:sz w:val="22"/>
          <w:lang w:val="es-AR"/>
        </w:rPr>
        <w:t>El sobreseimiento</w:t>
      </w:r>
      <w:r w:rsidRPr="006129A3">
        <w:rPr>
          <w:rFonts w:ascii="Palatino Linotype" w:eastAsia="Batang" w:hAnsi="Palatino Linotype" w:cs="Arial"/>
          <w:i/>
          <w:color w:val="000000" w:themeColor="text1"/>
          <w:sz w:val="22"/>
          <w:lang w:val="es-AR"/>
        </w:rPr>
        <w:t xml:space="preserve"> en el juicio de amparo directo </w:t>
      </w:r>
      <w:r w:rsidRPr="006129A3">
        <w:rPr>
          <w:rFonts w:ascii="Palatino Linotype" w:eastAsia="Batang" w:hAnsi="Palatino Linotype" w:cs="Arial"/>
          <w:b/>
          <w:i/>
          <w:color w:val="000000" w:themeColor="text1"/>
          <w:sz w:val="22"/>
          <w:lang w:val="es-AR"/>
        </w:rPr>
        <w:t>provoca la terminación de la controversia planteada</w:t>
      </w:r>
      <w:r w:rsidRPr="006129A3">
        <w:rPr>
          <w:rFonts w:ascii="Palatino Linotype" w:eastAsia="Batang" w:hAnsi="Palatino Linotype" w:cs="Arial"/>
          <w:i/>
          <w:color w:val="000000" w:themeColor="text1"/>
          <w:sz w:val="22"/>
          <w:lang w:val="es-AR"/>
        </w:rPr>
        <w:t xml:space="preserve"> por el quejoso en la demanda de amparo</w:t>
      </w:r>
      <w:r w:rsidRPr="006129A3">
        <w:rPr>
          <w:rFonts w:ascii="Palatino Linotype" w:eastAsia="Batang" w:hAnsi="Palatino Linotype" w:cs="Arial"/>
          <w:b/>
          <w:i/>
          <w:color w:val="000000" w:themeColor="text1"/>
          <w:sz w:val="22"/>
          <w:lang w:val="es-AR"/>
        </w:rPr>
        <w:t>, sin hacer un pronunciamiento de fondo sobre la legalidad o ilegalidad de la sentencia reclamada</w:t>
      </w:r>
      <w:r w:rsidRPr="006129A3">
        <w:rPr>
          <w:rFonts w:ascii="Palatino Linotype" w:eastAsia="Batang" w:hAnsi="Palatino Linotype" w:cs="Arial"/>
          <w:i/>
          <w:color w:val="000000" w:themeColor="text1"/>
          <w:sz w:val="22"/>
          <w:lang w:val="es-AR"/>
        </w:rPr>
        <w:t xml:space="preserve">. </w:t>
      </w:r>
      <w:r w:rsidRPr="006129A3">
        <w:rPr>
          <w:rFonts w:ascii="Palatino Linotype" w:eastAsia="Batang" w:hAnsi="Palatino Linotype" w:cs="Arial"/>
          <w:b/>
          <w:i/>
          <w:color w:val="000000" w:themeColor="text1"/>
          <w:sz w:val="22"/>
          <w:lang w:val="es-AR"/>
        </w:rPr>
        <w:t xml:space="preserve">Por consiguiente, si al sobreseerse en el juicio de amparo </w:t>
      </w:r>
      <w:r w:rsidRPr="006129A3">
        <w:rPr>
          <w:rFonts w:ascii="Palatino Linotype" w:eastAsia="Batang" w:hAnsi="Palatino Linotype" w:cs="Arial"/>
          <w:b/>
          <w:i/>
          <w:color w:val="000000" w:themeColor="text1"/>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129A3">
        <w:rPr>
          <w:rFonts w:ascii="Palatino Linotype" w:eastAsia="Batang" w:hAnsi="Palatino Linotype" w:cs="Arial"/>
          <w:i/>
          <w:color w:val="000000" w:themeColor="text1"/>
          <w:sz w:val="22"/>
          <w:lang w:val="es-AR"/>
        </w:rPr>
        <w:t>.</w:t>
      </w:r>
    </w:p>
    <w:p w:rsidR="00F17658" w:rsidRPr="006129A3" w:rsidRDefault="00F17658" w:rsidP="00F17658">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lang w:val="es-AR"/>
        </w:rPr>
      </w:pPr>
      <w:r w:rsidRPr="006129A3">
        <w:rPr>
          <w:rFonts w:ascii="Palatino Linotype" w:eastAsia="Batang" w:hAnsi="Palatino Linotype" w:cs="Arial"/>
          <w:i/>
          <w:color w:val="000000" w:themeColor="text1"/>
          <w:sz w:val="22"/>
          <w:lang w:val="es-AR"/>
        </w:rPr>
        <w:t>SÉPTIMO TRIBUNAL COLEGIADO EN MATERIA CIVIL DEL PRIMER CIRCUITO.</w:t>
      </w:r>
    </w:p>
    <w:p w:rsidR="00F17658" w:rsidRPr="006129A3" w:rsidRDefault="00F17658" w:rsidP="00F17658">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lang w:val="es-AR"/>
        </w:rPr>
      </w:pPr>
      <w:r w:rsidRPr="006129A3">
        <w:rPr>
          <w:rFonts w:ascii="Palatino Linotype" w:eastAsia="Batang" w:hAnsi="Palatino Linotype" w:cs="Arial"/>
          <w:i/>
          <w:color w:val="000000" w:themeColor="text1"/>
          <w:sz w:val="22"/>
          <w:lang w:val="es-AR"/>
        </w:rPr>
        <w:t>Amparo directo 699/2008. Mariana Leticia González Steele. 13 de noviembre de 2008. Unanimidad de votos. Ponente: Sara Judith Montalvo Trejo. Secretario: Arnulfo Mateos García.</w:t>
      </w:r>
    </w:p>
    <w:bookmarkEnd w:id="139"/>
    <w:bookmarkEnd w:id="140"/>
    <w:bookmarkEnd w:id="141"/>
    <w:bookmarkEnd w:id="142"/>
    <w:p w:rsidR="00F17658" w:rsidRPr="006129A3" w:rsidRDefault="00F17658" w:rsidP="00F17658">
      <w:pPr>
        <w:pStyle w:val="Prrafodelista"/>
        <w:spacing w:line="360" w:lineRule="auto"/>
        <w:ind w:left="0"/>
        <w:jc w:val="both"/>
        <w:rPr>
          <w:rFonts w:ascii="Palatino Linotype" w:hAnsi="Palatino Linotype"/>
          <w:color w:val="000000" w:themeColor="text1"/>
          <w:sz w:val="22"/>
        </w:rPr>
      </w:pPr>
    </w:p>
    <w:p w:rsidR="00E7611A" w:rsidRPr="00F17658" w:rsidRDefault="00F17658" w:rsidP="00F17658">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Aunado a lo anterior, </w:t>
      </w:r>
      <w:r w:rsidR="00E7611A" w:rsidRPr="00F17658">
        <w:rPr>
          <w:rFonts w:ascii="Palatino Linotype" w:hAnsi="Palatino Linotype"/>
          <w:color w:val="000000" w:themeColor="text1"/>
        </w:rPr>
        <w:t>resulta</w:t>
      </w:r>
      <w:r w:rsidR="0066337D" w:rsidRPr="00F17658">
        <w:rPr>
          <w:rFonts w:ascii="Palatino Linotype" w:hAnsi="Palatino Linotype"/>
          <w:color w:val="000000" w:themeColor="text1"/>
        </w:rPr>
        <w:t xml:space="preserve"> dable primeramente señalar</w:t>
      </w:r>
      <w:r w:rsidR="00A871B5" w:rsidRPr="00F17658">
        <w:rPr>
          <w:rFonts w:ascii="Palatino Linotype" w:hAnsi="Palatino Linotype"/>
          <w:color w:val="000000" w:themeColor="text1"/>
        </w:rPr>
        <w:t xml:space="preserve"> que</w:t>
      </w:r>
      <w:r w:rsidR="00E7611A" w:rsidRPr="00F17658">
        <w:rPr>
          <w:rFonts w:ascii="Palatino Linotype" w:hAnsi="Palatino Linotype"/>
          <w:color w:val="000000" w:themeColor="text1"/>
        </w:rPr>
        <w:t>,</w:t>
      </w:r>
      <w:r w:rsidR="00060552" w:rsidRPr="00F17658">
        <w:rPr>
          <w:rFonts w:ascii="Palatino Linotype" w:hAnsi="Palatino Linotype"/>
          <w:color w:val="000000" w:themeColor="text1"/>
        </w:rPr>
        <w:t xml:space="preserve"> </w:t>
      </w:r>
      <w:r w:rsidR="00E7611A" w:rsidRPr="00F17658">
        <w:rPr>
          <w:rFonts w:ascii="Palatino Linotype" w:hAnsi="Palatino Linotype"/>
          <w:color w:val="000000" w:themeColor="text1"/>
        </w:rPr>
        <w:t xml:space="preserve">este Instituto no está facultado para dudar de su veracidad o de su totalidad, ni de las respuestas, ni de las documentales que ponen a disposición de los solicitantes los sujetos obligados, situación que se aleja de las atribuciones de este Instituto </w:t>
      </w:r>
      <w:r w:rsidR="00E7611A" w:rsidRPr="00F17658">
        <w:rPr>
          <w:rFonts w:ascii="Palatino Linotype" w:hAnsi="Palatino Linotype"/>
          <w:i/>
          <w:color w:val="000000" w:themeColor="text1"/>
        </w:rPr>
        <w:t>máxime</w:t>
      </w:r>
      <w:r w:rsidR="00E7611A" w:rsidRPr="00F17658">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w:t>
      </w:r>
      <w:r w:rsidR="00EE4670" w:rsidRPr="00F17658">
        <w:rPr>
          <w:rFonts w:ascii="Palatino Linotype" w:hAnsi="Palatino Linotype"/>
          <w:color w:val="000000" w:themeColor="text1"/>
        </w:rPr>
        <w:t>nformación Mexiquense (SAIMEX).</w:t>
      </w:r>
    </w:p>
    <w:p w:rsidR="00E7611A" w:rsidRPr="003F1E88" w:rsidRDefault="00E7611A" w:rsidP="003C3777">
      <w:pPr>
        <w:pStyle w:val="Prrafodelista"/>
        <w:numPr>
          <w:ilvl w:val="0"/>
          <w:numId w:val="15"/>
        </w:numPr>
        <w:spacing w:line="360" w:lineRule="auto"/>
        <w:ind w:left="0" w:firstLine="0"/>
        <w:jc w:val="both"/>
        <w:rPr>
          <w:rFonts w:ascii="Palatino Linotype" w:hAnsi="Palatino Linotype"/>
        </w:rPr>
      </w:pPr>
      <w:r w:rsidRPr="003F1E88">
        <w:rPr>
          <w:rFonts w:ascii="Palatino Linotype" w:eastAsia="Palatino Linotype" w:hAnsi="Palatino Linotype" w:cs="Palatino Linotype"/>
          <w:color w:val="000000"/>
        </w:rPr>
        <w:lastRenderedPageBreak/>
        <w:t>Sirviendo</w:t>
      </w:r>
      <w:r w:rsidRPr="003F1E88">
        <w:rPr>
          <w:rFonts w:ascii="Palatino Linotype" w:hAnsi="Palatino Linotype"/>
        </w:rPr>
        <w:t xml:space="preserve"> de apoyo a lo anterior por analogía, el criterio 31-10 emitido por el ahora </w:t>
      </w:r>
      <w:r w:rsidRPr="003F1E88">
        <w:rPr>
          <w:rFonts w:ascii="Palatino Linotype" w:hAnsi="Palatino Linotype"/>
          <w:color w:val="000000" w:themeColor="text1"/>
        </w:rPr>
        <w:t>Instituto</w:t>
      </w:r>
      <w:r w:rsidRPr="003F1E88">
        <w:rPr>
          <w:rFonts w:ascii="Palatino Linotype" w:hAnsi="Palatino Linotype"/>
        </w:rPr>
        <w:t xml:space="preserve"> </w:t>
      </w:r>
      <w:r w:rsidRPr="003F1E88">
        <w:rPr>
          <w:rFonts w:ascii="Palatino Linotype" w:eastAsia="Palatino Linotype" w:hAnsi="Palatino Linotype" w:cs="Palatino Linotype"/>
          <w:color w:val="000000"/>
        </w:rPr>
        <w:t>Nacional</w:t>
      </w:r>
      <w:r w:rsidRPr="003F1E88">
        <w:rPr>
          <w:rFonts w:ascii="Palatino Linotype" w:hAnsi="Palatino Linotype"/>
        </w:rPr>
        <w:t xml:space="preserve"> de Transparencia, Acceso a la Información y Protección de Datos Personales, que a la letra dice:</w:t>
      </w:r>
    </w:p>
    <w:p w:rsidR="00E7611A" w:rsidRPr="006129A3" w:rsidRDefault="00E7611A" w:rsidP="00E7611A">
      <w:pPr>
        <w:pStyle w:val="Prrafodelista"/>
        <w:spacing w:line="360" w:lineRule="auto"/>
        <w:ind w:left="0"/>
        <w:rPr>
          <w:rFonts w:ascii="Palatino Linotype" w:hAnsi="Palatino Linotype"/>
          <w:sz w:val="22"/>
        </w:rPr>
      </w:pPr>
    </w:p>
    <w:p w:rsidR="00E7611A" w:rsidRPr="006129A3" w:rsidRDefault="00E7611A" w:rsidP="00E7611A">
      <w:pPr>
        <w:pStyle w:val="Default"/>
        <w:spacing w:line="360" w:lineRule="auto"/>
        <w:ind w:left="425" w:right="425"/>
        <w:jc w:val="both"/>
        <w:rPr>
          <w:rFonts w:ascii="Palatino Linotype" w:hAnsi="Palatino Linotype"/>
          <w:i/>
          <w:sz w:val="22"/>
        </w:rPr>
      </w:pPr>
      <w:r w:rsidRPr="006129A3">
        <w:rPr>
          <w:rFonts w:ascii="Palatino Linotype" w:hAnsi="Palatino Linotype"/>
          <w:i/>
          <w:sz w:val="22"/>
        </w:rPr>
        <w:t xml:space="preserve">“El Instituto Federal de Acceso a la Información y Protección de Datos </w:t>
      </w:r>
      <w:r w:rsidRPr="006129A3">
        <w:rPr>
          <w:rFonts w:ascii="Palatino Linotype" w:hAnsi="Palatino Linotype"/>
          <w:b/>
          <w:i/>
          <w:sz w:val="22"/>
        </w:rPr>
        <w:t>no cuenta con facultades para pronunciarse respecto de la veracidad de los documentos proporcionados por los sujetos obligados.</w:t>
      </w:r>
      <w:r w:rsidRPr="006129A3">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D654B" w:rsidRPr="006129A3" w:rsidRDefault="008D654B" w:rsidP="008D654B">
      <w:pPr>
        <w:pStyle w:val="Default"/>
        <w:spacing w:line="360" w:lineRule="auto"/>
        <w:ind w:right="425"/>
        <w:jc w:val="both"/>
        <w:rPr>
          <w:rFonts w:ascii="Palatino Linotype" w:hAnsi="Palatino Linotype"/>
          <w:i/>
          <w:sz w:val="22"/>
        </w:rPr>
      </w:pPr>
    </w:p>
    <w:p w:rsidR="00E7611A" w:rsidRPr="003F1E88" w:rsidRDefault="00E7611A" w:rsidP="003C3777">
      <w:pPr>
        <w:pStyle w:val="Prrafodelista"/>
        <w:numPr>
          <w:ilvl w:val="0"/>
          <w:numId w:val="15"/>
        </w:numPr>
        <w:spacing w:line="360" w:lineRule="auto"/>
        <w:ind w:left="0" w:firstLine="0"/>
        <w:jc w:val="both"/>
        <w:rPr>
          <w:rFonts w:ascii="Palatino Linotype" w:hAnsi="Palatino Linotype"/>
          <w:i/>
        </w:rPr>
      </w:pPr>
      <w:r w:rsidRPr="003F1E88">
        <w:rPr>
          <w:rFonts w:ascii="Palatino Linotype" w:hAnsi="Palatino Linotype" w:cs="Arial"/>
        </w:rPr>
        <w:t>Así como lo dispuesto por</w:t>
      </w:r>
      <w:r w:rsidRPr="003F1E88">
        <w:rPr>
          <w:rFonts w:ascii="Palatino Linotype" w:hAnsi="Palatino Linotype"/>
        </w:rPr>
        <w:t xml:space="preserve"> la </w:t>
      </w:r>
      <w:r w:rsidRPr="003F1E88">
        <w:rPr>
          <w:rFonts w:ascii="Palatino Linotype" w:hAnsi="Palatino Linotype"/>
          <w:b/>
        </w:rPr>
        <w:t xml:space="preserve">Ley de Transparencia y Acceso a la Información Pública del </w:t>
      </w:r>
      <w:r w:rsidRPr="003F1E88">
        <w:rPr>
          <w:rFonts w:ascii="Palatino Linotype" w:hAnsi="Palatino Linotype" w:cs="Arial"/>
          <w:b/>
        </w:rPr>
        <w:t>Estado</w:t>
      </w:r>
      <w:r w:rsidRPr="003F1E88">
        <w:rPr>
          <w:rFonts w:ascii="Palatino Linotype" w:hAnsi="Palatino Linotype"/>
          <w:b/>
        </w:rPr>
        <w:t xml:space="preserve"> de México y Municipios</w:t>
      </w:r>
      <w:r w:rsidRPr="003F1E88">
        <w:rPr>
          <w:rFonts w:ascii="Palatino Linotype" w:hAnsi="Palatino Linotype"/>
        </w:rPr>
        <w:t xml:space="preserve"> en su artículo 3, el cual establece que la </w:t>
      </w:r>
      <w:r w:rsidRPr="003F1E88">
        <w:rPr>
          <w:rFonts w:ascii="Palatino Linotype" w:eastAsia="Palatino Linotype" w:hAnsi="Palatino Linotype" w:cs="Palatino Linotype"/>
          <w:color w:val="000000"/>
        </w:rPr>
        <w:t>información</w:t>
      </w:r>
      <w:r w:rsidRPr="003F1E88">
        <w:rPr>
          <w:rFonts w:ascii="Palatino Linotype" w:hAnsi="Palatino Linotype"/>
        </w:rPr>
        <w:t xml:space="preserve"> </w:t>
      </w:r>
      <w:r w:rsidRPr="003F1E88">
        <w:rPr>
          <w:rFonts w:ascii="Palatino Linotype" w:eastAsia="Palatino Linotype" w:hAnsi="Palatino Linotype" w:cs="Palatino Linotype"/>
          <w:color w:val="000000"/>
        </w:rPr>
        <w:t>pública</w:t>
      </w:r>
      <w:r w:rsidRPr="003F1E88">
        <w:rPr>
          <w:rFonts w:ascii="Palatino Linotype" w:hAnsi="Palatino Linotype"/>
        </w:rPr>
        <w:t xml:space="preserve">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w:t>
      </w:r>
      <w:r w:rsidRPr="003F1E88">
        <w:rPr>
          <w:rFonts w:ascii="Palatino Linotype" w:hAnsi="Palatino Linotype"/>
        </w:rPr>
        <w:lastRenderedPageBreak/>
        <w:t>publicidad, veracidad, oportunidad entre otros, numeral en comento que a la letra señala:</w:t>
      </w:r>
    </w:p>
    <w:p w:rsidR="00E7611A" w:rsidRPr="006129A3" w:rsidRDefault="00E7611A" w:rsidP="00E7611A">
      <w:pPr>
        <w:pStyle w:val="Prrafodelista"/>
        <w:spacing w:line="360" w:lineRule="auto"/>
        <w:ind w:left="425" w:right="425"/>
        <w:jc w:val="both"/>
        <w:rPr>
          <w:rFonts w:ascii="Palatino Linotype" w:hAnsi="Palatino Linotype" w:cs="Arial"/>
          <w:b/>
          <w:i/>
          <w:sz w:val="22"/>
        </w:rPr>
      </w:pPr>
      <w:r w:rsidRPr="006129A3">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129A3">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rsidR="00E7611A" w:rsidRPr="006129A3" w:rsidRDefault="00E7611A" w:rsidP="00E7611A">
      <w:pPr>
        <w:pStyle w:val="Prrafodelista"/>
        <w:spacing w:before="240" w:line="360" w:lineRule="auto"/>
        <w:ind w:left="0"/>
        <w:jc w:val="both"/>
        <w:rPr>
          <w:rFonts w:ascii="Palatino Linotype" w:hAnsi="Palatino Linotype" w:cs="Arial"/>
          <w:i/>
          <w:color w:val="000000" w:themeColor="text1"/>
          <w:sz w:val="22"/>
        </w:rPr>
      </w:pPr>
    </w:p>
    <w:p w:rsidR="009937E2" w:rsidRPr="003F1E88" w:rsidRDefault="00E7611A" w:rsidP="008D654B">
      <w:pPr>
        <w:numPr>
          <w:ilvl w:val="0"/>
          <w:numId w:val="15"/>
        </w:numPr>
        <w:spacing w:line="360" w:lineRule="auto"/>
        <w:ind w:left="0" w:firstLine="0"/>
        <w:contextualSpacing/>
        <w:jc w:val="both"/>
        <w:rPr>
          <w:rFonts w:ascii="Palatino Linotype" w:hAnsi="Palatino Linotype"/>
        </w:rPr>
      </w:pPr>
      <w:r w:rsidRPr="003F1E88">
        <w:rPr>
          <w:rFonts w:ascii="Palatino Linotype" w:hAnsi="Palatino Linotype" w:cs="Arial"/>
        </w:rPr>
        <w:t>Numerales</w:t>
      </w:r>
      <w:r w:rsidRPr="003F1E88">
        <w:rPr>
          <w:rFonts w:ascii="Palatino Linotype" w:hAnsi="Palatino Linotype" w:cs="Arial"/>
          <w:noProof/>
          <w:lang w:eastAsia="es-MX"/>
        </w:rPr>
        <w:t xml:space="preserve"> que compelen al </w:t>
      </w:r>
      <w:r w:rsidRPr="003F1E88">
        <w:rPr>
          <w:rFonts w:ascii="Palatino Linotype" w:hAnsi="Palatino Linotype" w:cs="Arial"/>
          <w:b/>
          <w:noProof/>
          <w:lang w:eastAsia="es-MX"/>
        </w:rPr>
        <w:t>SUJETO OBLIGADO</w:t>
      </w:r>
      <w:r w:rsidR="009937E2" w:rsidRPr="003F1E88">
        <w:rPr>
          <w:rFonts w:ascii="Palatino Linotype" w:hAnsi="Palatino Linotype" w:cs="Arial"/>
          <w:b/>
          <w:noProof/>
          <w:lang w:eastAsia="es-MX"/>
        </w:rPr>
        <w:t xml:space="preserve"> </w:t>
      </w:r>
      <w:r w:rsidR="009937E2" w:rsidRPr="003F1E88">
        <w:rPr>
          <w:rFonts w:ascii="Palatino Linotype" w:hAnsi="Palatino Linotype" w:cs="Arial"/>
          <w:noProof/>
          <w:lang w:eastAsia="es-MX"/>
        </w:rPr>
        <w:t>a</w:t>
      </w:r>
      <w:r w:rsidRPr="003F1E88">
        <w:rPr>
          <w:rFonts w:ascii="Palatino Linotype" w:hAnsi="Palatino Linotype" w:cs="Arial"/>
          <w:noProof/>
          <w:lang w:eastAsia="es-MX"/>
        </w:rPr>
        <w:t xml:space="preserve"> apegarse en todo momento a los </w:t>
      </w:r>
      <w:r w:rsidRPr="003F1E88">
        <w:rPr>
          <w:rFonts w:ascii="Palatino Linotype" w:hAnsi="Palatino Linotype" w:cs="Arial"/>
        </w:rPr>
        <w:t>criterios</w:t>
      </w:r>
      <w:r w:rsidRPr="003F1E88">
        <w:rPr>
          <w:rFonts w:ascii="Palatino Linotype" w:hAnsi="Palatino Linotype" w:cs="Arial"/>
          <w:noProof/>
          <w:lang w:eastAsia="es-MX"/>
        </w:rPr>
        <w:t xml:space="preserve"> ya </w:t>
      </w:r>
      <w:r w:rsidRPr="003F1E88">
        <w:rPr>
          <w:rFonts w:ascii="Palatino Linotype" w:hAnsi="Palatino Linotype" w:cs="Arial"/>
        </w:rPr>
        <w:t>expuestos</w:t>
      </w:r>
      <w:r w:rsidRPr="003F1E88">
        <w:rPr>
          <w:rFonts w:ascii="Palatino Linotype" w:hAnsi="Palatino Linotype" w:cs="Arial"/>
          <w:noProof/>
          <w:lang w:eastAsia="es-MX"/>
        </w:rPr>
        <w:t>, impidiendo a este Órgano Colegiado cuestionar la veracidad de la información.</w:t>
      </w:r>
    </w:p>
    <w:p w:rsidR="009937E2" w:rsidRPr="003F1E88" w:rsidRDefault="009937E2" w:rsidP="009937E2">
      <w:pPr>
        <w:pStyle w:val="Prrafodelista"/>
        <w:spacing w:before="240" w:line="360" w:lineRule="auto"/>
        <w:ind w:left="360"/>
        <w:jc w:val="both"/>
        <w:rPr>
          <w:rFonts w:ascii="Palatino Linotype" w:hAnsi="Palatino Linotype"/>
        </w:rPr>
      </w:pPr>
    </w:p>
    <w:p w:rsidR="00EA6AAF" w:rsidRPr="00B06189" w:rsidRDefault="00EA6AAF" w:rsidP="00EA6AAF">
      <w:pPr>
        <w:numPr>
          <w:ilvl w:val="0"/>
          <w:numId w:val="15"/>
        </w:numPr>
        <w:spacing w:line="360" w:lineRule="auto"/>
        <w:ind w:left="0" w:firstLine="0"/>
        <w:contextualSpacing/>
        <w:jc w:val="both"/>
        <w:rPr>
          <w:rFonts w:ascii="Palatino Linotype" w:hAnsi="Palatino Linotype" w:cs="Arial"/>
        </w:rPr>
      </w:pPr>
      <w:r w:rsidRPr="00B06189">
        <w:rPr>
          <w:rFonts w:ascii="Palatino Linotype" w:eastAsia="MS Mincho" w:hAnsi="Palatino Linotype" w:cs="Arial"/>
        </w:rPr>
        <w:t>Ahora bien, respecto de la respuesta emitida</w:t>
      </w:r>
      <w:r w:rsidR="00B06189" w:rsidRPr="00B06189">
        <w:rPr>
          <w:rFonts w:ascii="Palatino Linotype" w:eastAsia="MS Mincho" w:hAnsi="Palatino Linotype" w:cs="Arial"/>
        </w:rPr>
        <w:t xml:space="preserve"> por el </w:t>
      </w:r>
      <w:r w:rsidR="00B06189" w:rsidRPr="00B06189">
        <w:rPr>
          <w:rFonts w:ascii="Palatino Linotype" w:eastAsia="MS Mincho" w:hAnsi="Palatino Linotype" w:cs="Arial"/>
          <w:b/>
        </w:rPr>
        <w:t>SUJETO OBLIGADO,</w:t>
      </w:r>
      <w:r w:rsidRPr="00B06189">
        <w:rPr>
          <w:rFonts w:ascii="Palatino Linotype" w:eastAsia="MS Mincho" w:hAnsi="Palatino Linotype" w:cs="Arial"/>
        </w:rPr>
        <w:t xml:space="preserve"> se arriba a la conclusión de que se está en presencia de un hecho negativo, </w:t>
      </w:r>
      <w:r w:rsidRPr="00B06189">
        <w:rPr>
          <w:rFonts w:ascii="Palatino Linotype" w:hAnsi="Palatino Linotype" w:cs="Arial"/>
        </w:rPr>
        <w:t xml:space="preserve">por lo que resulta obvio que la información requerida no puede obrar </w:t>
      </w:r>
      <w:r w:rsidRPr="00B06189">
        <w:rPr>
          <w:rFonts w:ascii="Palatino Linotype" w:eastAsia="MS Mincho" w:hAnsi="Palatino Linotype" w:cs="Arial"/>
        </w:rPr>
        <w:t>fácticamente</w:t>
      </w:r>
      <w:r w:rsidRPr="00B06189">
        <w:rPr>
          <w:rFonts w:ascii="Palatino Linotype" w:hAnsi="Palatino Linotype" w:cs="Arial"/>
        </w:rPr>
        <w:t xml:space="preserve"> en los archivos del </w:t>
      </w:r>
      <w:r w:rsidRPr="00B06189">
        <w:rPr>
          <w:rFonts w:ascii="Palatino Linotype" w:hAnsi="Palatino Linotype" w:cs="Arial"/>
          <w:b/>
        </w:rPr>
        <w:t>SUJETO OBLIGADO</w:t>
      </w:r>
      <w:r w:rsidRPr="00B06189">
        <w:rPr>
          <w:rFonts w:ascii="Palatino Linotype" w:hAnsi="Palatino Linotype" w:cs="Arial"/>
        </w:rPr>
        <w:t>, ya que no puede probarse por ser lógica y materialmente imposible, en razón de que, al no haber generado dicha información, no la posee, no administra, y no cuenta con la misma.</w:t>
      </w:r>
    </w:p>
    <w:p w:rsidR="00EA6AAF" w:rsidRPr="003F1E88" w:rsidRDefault="00EA6AAF" w:rsidP="00EA6AAF">
      <w:pPr>
        <w:spacing w:line="360" w:lineRule="auto"/>
        <w:contextualSpacing/>
        <w:jc w:val="both"/>
        <w:rPr>
          <w:rFonts w:ascii="Palatino Linotype" w:hAnsi="Palatino Linotype" w:cs="Arial"/>
          <w:highlight w:val="cyan"/>
        </w:rPr>
      </w:pPr>
    </w:p>
    <w:p w:rsidR="00EA6AAF" w:rsidRPr="00B06189" w:rsidRDefault="00EA6AAF" w:rsidP="00EA6AAF">
      <w:pPr>
        <w:numPr>
          <w:ilvl w:val="0"/>
          <w:numId w:val="15"/>
        </w:numPr>
        <w:spacing w:line="360" w:lineRule="auto"/>
        <w:ind w:left="0" w:firstLine="0"/>
        <w:contextualSpacing/>
        <w:jc w:val="both"/>
        <w:rPr>
          <w:rFonts w:ascii="Palatino Linotype" w:eastAsia="MS Mincho" w:hAnsi="Palatino Linotype" w:cs="Arial"/>
          <w:color w:val="000000" w:themeColor="text1"/>
        </w:rPr>
      </w:pPr>
      <w:r w:rsidRPr="00B06189">
        <w:rPr>
          <w:rFonts w:ascii="Palatino Linotype" w:eastAsia="Palatino Linotype" w:hAnsi="Palatino Linotype" w:cs="Palatino Linotype"/>
        </w:rPr>
        <w:t>En</w:t>
      </w:r>
      <w:r w:rsidRPr="00B06189">
        <w:rPr>
          <w:rFonts w:ascii="Palatino Linotype" w:hAnsi="Palatino Linotype" w:cs="Arial"/>
        </w:rPr>
        <w:t xml:space="preserve"> </w:t>
      </w:r>
      <w:r w:rsidRPr="00B06189">
        <w:rPr>
          <w:rFonts w:ascii="Palatino Linotype" w:hAnsi="Palatino Linotype"/>
          <w:color w:val="000000"/>
        </w:rPr>
        <w:t>este</w:t>
      </w:r>
      <w:r w:rsidRPr="00B06189">
        <w:rPr>
          <w:rFonts w:ascii="Palatino Linotype" w:hAnsi="Palatino Linotype" w:cs="Arial"/>
        </w:rPr>
        <w:t xml:space="preserve"> sentido, no se trata de un caso por el cual la negación del hecho implique la </w:t>
      </w:r>
      <w:r w:rsidRPr="00B06189">
        <w:rPr>
          <w:rFonts w:ascii="Palatino Linotype" w:eastAsia="MS Mincho" w:hAnsi="Palatino Linotype" w:cs="Arial"/>
        </w:rPr>
        <w:t>afirmación</w:t>
      </w:r>
      <w:r w:rsidRPr="00B06189">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Pr="00B06189">
        <w:rPr>
          <w:rFonts w:ascii="Palatino Linotype" w:hAnsi="Palatino Linotype" w:cs="Arial"/>
          <w:color w:val="222222"/>
        </w:rPr>
        <w:t>:</w:t>
      </w:r>
    </w:p>
    <w:p w:rsidR="00EA6AAF" w:rsidRPr="006129A3" w:rsidRDefault="00EA6AAF" w:rsidP="00EA6AAF">
      <w:pPr>
        <w:pStyle w:val="Prrafodelista"/>
        <w:ind w:left="426" w:right="476"/>
        <w:jc w:val="both"/>
        <w:rPr>
          <w:rFonts w:ascii="Palatino Linotype" w:hAnsi="Palatino Linotype" w:cs="Arial"/>
          <w:i/>
          <w:iCs/>
          <w:color w:val="222222"/>
          <w:sz w:val="22"/>
        </w:rPr>
      </w:pPr>
      <w:r w:rsidRPr="006129A3">
        <w:rPr>
          <w:rFonts w:ascii="Palatino Linotype" w:hAnsi="Palatino Linotype" w:cs="Arial"/>
          <w:b/>
          <w:bCs/>
          <w:i/>
          <w:iCs/>
          <w:color w:val="222222"/>
          <w:sz w:val="22"/>
        </w:rPr>
        <w:lastRenderedPageBreak/>
        <w:t xml:space="preserve">“HECHOS NEGATIVOS, NO SON SUSCEPTIBLES DE DEMOSTRACIÓN. </w:t>
      </w:r>
      <w:r w:rsidRPr="006129A3">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rsidR="00EA6AAF" w:rsidRPr="006129A3" w:rsidRDefault="00EA6AAF" w:rsidP="00EA6AAF">
      <w:pPr>
        <w:pStyle w:val="Prrafodelista"/>
        <w:shd w:val="clear" w:color="auto" w:fill="FFFFFF"/>
        <w:spacing w:line="360" w:lineRule="auto"/>
        <w:ind w:left="0" w:right="476"/>
        <w:jc w:val="both"/>
        <w:rPr>
          <w:rFonts w:ascii="Palatino Linotype" w:hAnsi="Palatino Linotype" w:cs="Arial"/>
          <w:i/>
          <w:iCs/>
          <w:color w:val="222222"/>
          <w:sz w:val="22"/>
        </w:rPr>
      </w:pPr>
    </w:p>
    <w:p w:rsidR="00EA6AAF" w:rsidRPr="00B06189" w:rsidRDefault="00EA6AAF" w:rsidP="00EA6AAF">
      <w:pPr>
        <w:numPr>
          <w:ilvl w:val="0"/>
          <w:numId w:val="15"/>
        </w:numPr>
        <w:spacing w:line="360" w:lineRule="auto"/>
        <w:ind w:left="0" w:firstLine="0"/>
        <w:contextualSpacing/>
        <w:jc w:val="both"/>
        <w:rPr>
          <w:rFonts w:ascii="Palatino Linotype" w:hAnsi="Palatino Linotype" w:cs="Arial"/>
          <w:iCs/>
          <w:color w:val="222222"/>
        </w:rPr>
      </w:pPr>
      <w:r w:rsidRPr="00B06189">
        <w:rPr>
          <w:rFonts w:ascii="Palatino Linotype" w:hAnsi="Palatino Linotype" w:cs="Arial"/>
          <w:iCs/>
          <w:color w:val="222222"/>
        </w:rPr>
        <w:t xml:space="preserve">De igual </w:t>
      </w:r>
      <w:r w:rsidRPr="00B06189">
        <w:rPr>
          <w:rFonts w:ascii="Palatino Linotype" w:hAnsi="Palatino Linotype" w:cs="Arial"/>
        </w:rPr>
        <w:t>forma</w:t>
      </w:r>
      <w:r w:rsidRPr="00B06189">
        <w:rPr>
          <w:rFonts w:ascii="Palatino Linotype" w:hAnsi="Palatino Linotype" w:cs="Arial"/>
          <w:iCs/>
          <w:color w:val="222222"/>
        </w:rPr>
        <w:t xml:space="preserve">, es </w:t>
      </w:r>
      <w:r w:rsidRPr="00B06189">
        <w:rPr>
          <w:rFonts w:ascii="Palatino Linotype" w:hAnsi="Palatino Linotype" w:cs="Arial"/>
        </w:rPr>
        <w:t>aplicable</w:t>
      </w:r>
      <w:r w:rsidRPr="00B06189">
        <w:rPr>
          <w:rFonts w:ascii="Palatino Linotype" w:hAnsi="Palatino Linotype" w:cs="Arial"/>
          <w:iCs/>
          <w:color w:val="222222"/>
        </w:rPr>
        <w:t xml:space="preserve"> el Criterio 7/2017, emitido en la Segunda Época por el </w:t>
      </w:r>
      <w:r w:rsidRPr="00B06189">
        <w:rPr>
          <w:rFonts w:ascii="Palatino Linotype" w:hAnsi="Palatino Linotype" w:cs="Arial"/>
        </w:rPr>
        <w:t>Instituto</w:t>
      </w:r>
      <w:r w:rsidRPr="00B06189">
        <w:rPr>
          <w:rFonts w:ascii="Palatino Linotype" w:hAnsi="Palatino Linotype" w:cs="Arial"/>
          <w:iCs/>
          <w:color w:val="222222"/>
        </w:rPr>
        <w:t xml:space="preserve"> </w:t>
      </w:r>
      <w:r w:rsidRPr="00B06189">
        <w:rPr>
          <w:rFonts w:ascii="Palatino Linotype" w:eastAsia="Palatino Linotype" w:hAnsi="Palatino Linotype" w:cs="Palatino Linotype"/>
        </w:rPr>
        <w:t>Nacional</w:t>
      </w:r>
      <w:r w:rsidRPr="00B06189">
        <w:rPr>
          <w:rFonts w:ascii="Palatino Linotype" w:hAnsi="Palatino Linotype" w:cs="Arial"/>
          <w:iCs/>
          <w:color w:val="222222"/>
        </w:rPr>
        <w:t xml:space="preserve"> de Transparencia, Acceso a la Información y Protección de Datos Personales, el cual señala lo siguiente:</w:t>
      </w:r>
    </w:p>
    <w:p w:rsidR="00EA6AAF" w:rsidRPr="006129A3" w:rsidRDefault="00EA6AAF" w:rsidP="00EA6AAF">
      <w:pPr>
        <w:pStyle w:val="Prrafodelista"/>
        <w:spacing w:line="360" w:lineRule="auto"/>
        <w:ind w:left="0"/>
        <w:jc w:val="both"/>
        <w:rPr>
          <w:rFonts w:ascii="Palatino Linotype" w:hAnsi="Palatino Linotype" w:cs="Arial"/>
          <w:iCs/>
          <w:color w:val="222222"/>
          <w:sz w:val="22"/>
        </w:rPr>
      </w:pPr>
    </w:p>
    <w:p w:rsidR="00EA6AAF" w:rsidRPr="006129A3" w:rsidRDefault="00EA6AAF" w:rsidP="00EA6AAF">
      <w:pPr>
        <w:tabs>
          <w:tab w:val="left" w:pos="426"/>
        </w:tabs>
        <w:ind w:left="426" w:right="476"/>
        <w:contextualSpacing/>
        <w:jc w:val="both"/>
        <w:rPr>
          <w:rFonts w:ascii="Palatino Linotype" w:eastAsia="MS Mincho" w:hAnsi="Palatino Linotype" w:cs="Arial"/>
          <w:color w:val="000000" w:themeColor="text1"/>
          <w:sz w:val="22"/>
        </w:rPr>
      </w:pPr>
      <w:r w:rsidRPr="006129A3">
        <w:rPr>
          <w:rFonts w:ascii="Palatino Linotype" w:eastAsia="MS Mincho" w:hAnsi="Palatino Linotype" w:cs="Arial"/>
          <w:color w:val="000000" w:themeColor="text1"/>
          <w:sz w:val="22"/>
        </w:rPr>
        <w:t xml:space="preserve"> “</w:t>
      </w:r>
      <w:r w:rsidRPr="006129A3">
        <w:rPr>
          <w:rFonts w:ascii="Palatino Linotype" w:hAnsi="Palatino Linotype" w:cs="Arial"/>
          <w:b/>
          <w:i/>
          <w:color w:val="222222"/>
          <w:sz w:val="22"/>
        </w:rPr>
        <w:t xml:space="preserve">Casos en los que no es necesario que el Comité de Transparencia confirme formalmente la inexistencia de la información. </w:t>
      </w:r>
      <w:r w:rsidRPr="006129A3">
        <w:rPr>
          <w:rFonts w:ascii="Palatino Linotype" w:hAnsi="Palatino Linotype" w:cs="Arial"/>
          <w:i/>
          <w:color w:val="222222"/>
          <w:sz w:val="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6129A3">
        <w:rPr>
          <w:rFonts w:ascii="Palatino Linotype" w:eastAsia="MS Mincho" w:hAnsi="Palatino Linotype" w:cs="Arial"/>
          <w:color w:val="000000" w:themeColor="text1"/>
          <w:sz w:val="22"/>
        </w:rPr>
        <w:t>”</w:t>
      </w:r>
    </w:p>
    <w:p w:rsidR="00EA6AAF" w:rsidRPr="006129A3" w:rsidRDefault="00EA6AAF" w:rsidP="00EA6AAF">
      <w:pPr>
        <w:pStyle w:val="Prrafodelista"/>
        <w:rPr>
          <w:rFonts w:ascii="Palatino Linotype" w:hAnsi="Palatino Linotype" w:cs="Arial"/>
          <w:sz w:val="22"/>
        </w:rPr>
      </w:pPr>
    </w:p>
    <w:p w:rsidR="00E7611A" w:rsidRPr="00B06189" w:rsidRDefault="00EA6AAF" w:rsidP="00B06189">
      <w:pPr>
        <w:numPr>
          <w:ilvl w:val="0"/>
          <w:numId w:val="15"/>
        </w:numPr>
        <w:spacing w:line="360" w:lineRule="auto"/>
        <w:ind w:left="0" w:firstLine="0"/>
        <w:contextualSpacing/>
        <w:jc w:val="both"/>
        <w:rPr>
          <w:rFonts w:ascii="Palatino Linotype" w:hAnsi="Palatino Linotype" w:cs="Arial"/>
        </w:rPr>
      </w:pPr>
      <w:r w:rsidRPr="00B06189">
        <w:rPr>
          <w:rFonts w:ascii="Palatino Linotype" w:hAnsi="Palatino Linotype" w:cs="Arial"/>
        </w:rPr>
        <w:t>Por otro lado</w:t>
      </w:r>
      <w:r w:rsidR="009937E2" w:rsidRPr="00B06189">
        <w:rPr>
          <w:rFonts w:ascii="Palatino Linotype" w:hAnsi="Palatino Linotype" w:cs="Arial"/>
        </w:rPr>
        <w:t xml:space="preserve">, </w:t>
      </w:r>
      <w:r w:rsidR="00B06189">
        <w:rPr>
          <w:rFonts w:ascii="Palatino Linotype" w:hAnsi="Palatino Linotype" w:cs="Arial"/>
        </w:rPr>
        <w:t xml:space="preserve">para efectos de precisión que, </w:t>
      </w:r>
      <w:r w:rsidR="00E7611A" w:rsidRPr="00B06189">
        <w:rPr>
          <w:rFonts w:ascii="Palatino Linotype" w:hAnsi="Palatino Linotype" w:cs="Arial"/>
        </w:rPr>
        <w:t>la respuesta fue e</w:t>
      </w:r>
      <w:r w:rsidR="00B06189">
        <w:rPr>
          <w:rFonts w:ascii="Palatino Linotype" w:hAnsi="Palatino Linotype" w:cs="Arial"/>
        </w:rPr>
        <w:t>mitida por el Servidor Público h</w:t>
      </w:r>
      <w:r w:rsidR="00E7611A" w:rsidRPr="00B06189">
        <w:rPr>
          <w:rFonts w:ascii="Palatino Linotype" w:hAnsi="Palatino Linotype" w:cs="Arial"/>
        </w:rPr>
        <w:t>abilitado que de acuerdo a sus facultades y competencias era el competente para pronunciarse al respecto</w:t>
      </w:r>
      <w:r w:rsidR="00B06189">
        <w:rPr>
          <w:rFonts w:ascii="Palatino Linotype" w:hAnsi="Palatino Linotype" w:cs="Arial"/>
        </w:rPr>
        <w:t>,</w:t>
      </w:r>
      <w:r w:rsidR="00E7611A" w:rsidRPr="00B06189">
        <w:rPr>
          <w:rFonts w:ascii="Palatino Linotype" w:hAnsi="Palatino Linotype" w:cs="Arial"/>
        </w:rPr>
        <w:t xml:space="preserve"> como es el </w:t>
      </w:r>
      <w:r w:rsidR="00B06189">
        <w:rPr>
          <w:rFonts w:ascii="Palatino Linotype" w:hAnsi="Palatino Linotype" w:cs="Arial"/>
        </w:rPr>
        <w:t>Suplente de la Titular de la Unidad de Transparencia</w:t>
      </w:r>
      <w:r w:rsidR="003C3777">
        <w:rPr>
          <w:rFonts w:ascii="Palatino Linotype" w:hAnsi="Palatino Linotype" w:cs="Arial"/>
        </w:rPr>
        <w:t xml:space="preserve"> de la Unidad de Transparencia de la Coordinación General de Comunicación Social, </w:t>
      </w:r>
      <w:r w:rsidRPr="00B06189">
        <w:rPr>
          <w:rFonts w:ascii="Palatino Linotype" w:hAnsi="Palatino Linotype" w:cs="Arial"/>
        </w:rPr>
        <w:t xml:space="preserve">de conformidad </w:t>
      </w:r>
      <w:r w:rsidR="00B06189">
        <w:rPr>
          <w:rFonts w:ascii="Palatino Linotype" w:hAnsi="Palatino Linotype" w:cs="Arial"/>
        </w:rPr>
        <w:t>con la Ley de Transparencia y Acceso a la Información Pública del Estado de México y sus Municipios.</w:t>
      </w:r>
    </w:p>
    <w:p w:rsidR="00EA6AAF" w:rsidRPr="00B06189" w:rsidRDefault="003F1E88" w:rsidP="00B06189">
      <w:pPr>
        <w:pStyle w:val="Prrafodelista"/>
        <w:tabs>
          <w:tab w:val="left" w:pos="1534"/>
        </w:tabs>
        <w:spacing w:before="240" w:line="360" w:lineRule="auto"/>
        <w:ind w:left="360"/>
        <w:jc w:val="both"/>
        <w:rPr>
          <w:rFonts w:ascii="Palatino Linotype" w:hAnsi="Palatino Linotype" w:cs="Arial"/>
        </w:rPr>
      </w:pPr>
      <w:r w:rsidRPr="00B06189">
        <w:rPr>
          <w:rFonts w:ascii="Palatino Linotype" w:hAnsi="Palatino Linotype" w:cs="Arial"/>
        </w:rPr>
        <w:tab/>
      </w:r>
    </w:p>
    <w:p w:rsidR="00E7611A" w:rsidRPr="003F1E88" w:rsidRDefault="00B06189" w:rsidP="00E7611A">
      <w:pPr>
        <w:pStyle w:val="Prrafodelista"/>
        <w:numPr>
          <w:ilvl w:val="0"/>
          <w:numId w:val="15"/>
        </w:numPr>
        <w:tabs>
          <w:tab w:val="left" w:pos="0"/>
          <w:tab w:val="left" w:pos="142"/>
        </w:tabs>
        <w:spacing w:line="360" w:lineRule="auto"/>
        <w:ind w:left="0" w:firstLine="0"/>
        <w:jc w:val="both"/>
        <w:rPr>
          <w:rFonts w:ascii="Palatino Linotype" w:eastAsia="MS Mincho" w:hAnsi="Palatino Linotype" w:cs="Arial"/>
        </w:rPr>
      </w:pPr>
      <w:r>
        <w:rPr>
          <w:rFonts w:ascii="Palatino Linotype" w:eastAsia="MS Mincho" w:hAnsi="Palatino Linotype" w:cs="Arial"/>
        </w:rPr>
        <w:lastRenderedPageBreak/>
        <w:t>Aunado</w:t>
      </w:r>
      <w:r w:rsidR="00E7611A" w:rsidRPr="003F1E88">
        <w:rPr>
          <w:rFonts w:ascii="Palatino Linotype" w:eastAsia="MS Mincho" w:hAnsi="Palatino Linotype" w:cs="Arial"/>
        </w:rPr>
        <w:t xml:space="preserve"> a lo anterior</w:t>
      </w:r>
      <w:r>
        <w:rPr>
          <w:rFonts w:ascii="Palatino Linotype" w:eastAsia="MS Mincho" w:hAnsi="Palatino Linotype" w:cs="Arial"/>
        </w:rPr>
        <w:t>,</w:t>
      </w:r>
      <w:r w:rsidR="00E7611A" w:rsidRPr="003F1E88">
        <w:rPr>
          <w:rFonts w:ascii="Palatino Linotype" w:eastAsia="MS Mincho" w:hAnsi="Palatino Linotype" w:cs="Arial"/>
        </w:rPr>
        <w:t xml:space="preserve"> </w:t>
      </w:r>
      <w:r w:rsidR="006129A3">
        <w:rPr>
          <w:rFonts w:ascii="Palatino Linotype" w:eastAsia="MS Mincho" w:hAnsi="Palatino Linotype" w:cs="Arial"/>
        </w:rPr>
        <w:t>s</w:t>
      </w:r>
      <w:r>
        <w:rPr>
          <w:rFonts w:ascii="Palatino Linotype" w:eastAsia="MS Mincho" w:hAnsi="Palatino Linotype" w:cs="Arial"/>
        </w:rPr>
        <w:t xml:space="preserve">e desprende que </w:t>
      </w:r>
      <w:r w:rsidR="00E7611A" w:rsidRPr="003F1E88">
        <w:rPr>
          <w:rFonts w:ascii="Palatino Linotype" w:eastAsia="MS Mincho" w:hAnsi="Palatino Linotype" w:cs="Arial"/>
        </w:rPr>
        <w:t xml:space="preserve">el </w:t>
      </w:r>
      <w:r w:rsidR="00E7611A" w:rsidRPr="003F1E88">
        <w:rPr>
          <w:rFonts w:ascii="Palatino Linotype" w:eastAsia="MS Mincho" w:hAnsi="Palatino Linotype" w:cs="Arial"/>
          <w:b/>
        </w:rPr>
        <w:t>SUJETO OBLIGADO</w:t>
      </w:r>
      <w:r w:rsidR="00E7611A" w:rsidRPr="003F1E88">
        <w:rPr>
          <w:rFonts w:ascii="Palatino Linotype" w:hAnsi="Palatino Linotype" w:cs="Arial"/>
        </w:rPr>
        <w:t xml:space="preserve">, acreditó que se cumple a cabalidad con el </w:t>
      </w:r>
      <w:r w:rsidR="00E7611A" w:rsidRPr="003F1E88">
        <w:rPr>
          <w:rFonts w:ascii="Palatino Linotype" w:eastAsia="MS Mincho" w:hAnsi="Palatino Linotype" w:cs="Arial"/>
        </w:rPr>
        <w:t xml:space="preserve">procedimiento de acceso a la información pública, descrito en el Título Séptimo de la Ley de </w:t>
      </w:r>
      <w:r w:rsidR="00E7611A" w:rsidRPr="003F1E88">
        <w:rPr>
          <w:rFonts w:ascii="Palatino Linotype" w:hAnsi="Palatino Linotype"/>
          <w:color w:val="000000"/>
        </w:rPr>
        <w:t>Transparencia</w:t>
      </w:r>
      <w:r w:rsidR="00E7611A" w:rsidRPr="003F1E88">
        <w:rPr>
          <w:rFonts w:ascii="Palatino Linotype" w:eastAsia="MS Mincho" w:hAnsi="Palatino Linotype" w:cs="Arial"/>
        </w:rPr>
        <w:t xml:space="preserve"> </w:t>
      </w:r>
      <w:r w:rsidR="00E7611A" w:rsidRPr="003F1E88">
        <w:rPr>
          <w:rFonts w:ascii="Palatino Linotype" w:hAnsi="Palatino Linotype"/>
          <w:color w:val="000000" w:themeColor="text1"/>
        </w:rPr>
        <w:t>Local</w:t>
      </w:r>
      <w:r w:rsidR="00E7611A" w:rsidRPr="003F1E88">
        <w:rPr>
          <w:rFonts w:ascii="Palatino Linotype" w:eastAsia="MS Mincho" w:hAnsi="Palatino Linotype" w:cs="Arial"/>
        </w:rPr>
        <w:t xml:space="preserve">, que describe los pasos que debe seguir la autoridad para atender las solicitudes que presenten las personas en ejercicio de su derecho, entre los cuales se encuentra el deber de las unidades de transparencia de turnar </w:t>
      </w:r>
      <w:r w:rsidR="00E7611A" w:rsidRPr="003F1E88">
        <w:rPr>
          <w:rFonts w:ascii="Palatino Linotype" w:eastAsia="MS Mincho" w:hAnsi="Palatino Linotype" w:cs="Arial"/>
          <w:i/>
        </w:rPr>
        <w:t xml:space="preserve">a todas las áreas competentes que cuenten con la información o deban tenerla de acuerdo a sus facultades, competencias y funciones, </w:t>
      </w:r>
      <w:r w:rsidR="00E7611A" w:rsidRPr="003F1E88">
        <w:rPr>
          <w:rFonts w:ascii="Palatino Linotype" w:eastAsia="MS Mincho" w:hAnsi="Palatino Linotype" w:cs="Arial"/>
          <w:b/>
          <w:i/>
          <w:u w:val="single"/>
        </w:rPr>
        <w:t>con el objeto de que realicen una búsqueda exhaustiva y razonable de la información solicitada</w:t>
      </w:r>
      <w:r w:rsidR="00E7611A" w:rsidRPr="003F1E88">
        <w:rPr>
          <w:rFonts w:ascii="Palatino Linotype" w:eastAsia="MS Mincho" w:hAnsi="Palatino Linotype" w:cs="Arial"/>
          <w:i/>
        </w:rPr>
        <w:t>,</w:t>
      </w:r>
      <w:r w:rsidR="00E7611A" w:rsidRPr="003F1E88">
        <w:rPr>
          <w:rFonts w:ascii="Palatino Linotype" w:eastAsia="MS Mincho" w:hAnsi="Palatino Linotype" w:cs="Arial"/>
        </w:rPr>
        <w:t xml:space="preserve"> según se asienta en el artículo 162 de la ley citada y se otorgue certeza al particular de sus pronunciamientos.</w:t>
      </w:r>
    </w:p>
    <w:p w:rsidR="00E7611A" w:rsidRPr="003F1E88" w:rsidRDefault="00E7611A" w:rsidP="00E7611A">
      <w:pPr>
        <w:pStyle w:val="Prrafodelista"/>
        <w:spacing w:line="360" w:lineRule="auto"/>
        <w:ind w:left="0"/>
        <w:jc w:val="both"/>
        <w:rPr>
          <w:rFonts w:ascii="Palatino Linotype" w:eastAsia="MS Mincho" w:hAnsi="Palatino Linotype" w:cs="Arial"/>
        </w:rPr>
      </w:pPr>
    </w:p>
    <w:p w:rsidR="00E7611A" w:rsidRPr="003F1E88" w:rsidRDefault="00E7611A" w:rsidP="00E7611A">
      <w:pPr>
        <w:pStyle w:val="Prrafodelista"/>
        <w:numPr>
          <w:ilvl w:val="0"/>
          <w:numId w:val="15"/>
        </w:numPr>
        <w:tabs>
          <w:tab w:val="left" w:pos="0"/>
          <w:tab w:val="left" w:pos="142"/>
        </w:tabs>
        <w:spacing w:line="360" w:lineRule="auto"/>
        <w:ind w:left="0" w:firstLine="0"/>
        <w:jc w:val="both"/>
        <w:rPr>
          <w:rFonts w:ascii="Palatino Linotype" w:eastAsia="MS Mincho" w:hAnsi="Palatino Linotype" w:cs="Arial"/>
        </w:rPr>
      </w:pPr>
      <w:r w:rsidRPr="003F1E88">
        <w:rPr>
          <w:rFonts w:ascii="Palatino Linotype" w:eastAsia="MS Mincho" w:hAnsi="Palatino Linotype" w:cs="Arial"/>
        </w:rPr>
        <w:t xml:space="preserve">Toda vez que es obligación del Titular de la Unidad de Transparencia identificar la unidad administrativa que resguarda el documento al que una persona pretende acceder, es practicar una adecuada gestión documental que nos permite localizar el documento, como bien señala el artículo 159 de la Ley de </w:t>
      </w:r>
      <w:r w:rsidRPr="003F1E88">
        <w:rPr>
          <w:rFonts w:ascii="Palatino Linotype" w:hAnsi="Palatino Linotype"/>
        </w:rPr>
        <w:t>Transparencia</w:t>
      </w:r>
      <w:r w:rsidRPr="003F1E88">
        <w:rPr>
          <w:rFonts w:ascii="Palatino Linotype" w:eastAsia="MS Mincho" w:hAnsi="Palatino Linotype" w:cs="Arial"/>
        </w:rPr>
        <w:t>.</w:t>
      </w:r>
    </w:p>
    <w:p w:rsidR="00E7611A" w:rsidRPr="003F1E88" w:rsidRDefault="00E7611A" w:rsidP="00E7611A">
      <w:pPr>
        <w:pStyle w:val="Prrafodelista"/>
        <w:rPr>
          <w:rFonts w:ascii="Palatino Linotype" w:eastAsia="MS Mincho" w:hAnsi="Palatino Linotype" w:cs="Arial"/>
        </w:rPr>
      </w:pPr>
    </w:p>
    <w:p w:rsidR="00E7611A" w:rsidRPr="003F1E88" w:rsidRDefault="00E7611A" w:rsidP="00E7611A">
      <w:pPr>
        <w:pStyle w:val="Prrafodelista"/>
        <w:numPr>
          <w:ilvl w:val="0"/>
          <w:numId w:val="15"/>
        </w:numPr>
        <w:tabs>
          <w:tab w:val="left" w:pos="0"/>
          <w:tab w:val="left" w:pos="142"/>
        </w:tabs>
        <w:spacing w:line="360" w:lineRule="auto"/>
        <w:ind w:left="0" w:firstLine="0"/>
        <w:jc w:val="both"/>
        <w:rPr>
          <w:rFonts w:ascii="Palatino Linotype" w:hAnsi="Palatino Linotype"/>
        </w:rPr>
      </w:pPr>
      <w:r w:rsidRPr="003F1E88">
        <w:rPr>
          <w:rFonts w:ascii="Palatino Linotype" w:hAnsi="Palatino Linotype"/>
        </w:rPr>
        <w:t xml:space="preserve">El </w:t>
      </w:r>
      <w:r w:rsidRPr="003F1E88">
        <w:rPr>
          <w:rFonts w:ascii="Palatino Linotype" w:eastAsia="MS Mincho" w:hAnsi="Palatino Linotype" w:cs="Arial"/>
        </w:rPr>
        <w:t>Titular</w:t>
      </w:r>
      <w:r w:rsidRPr="003F1E88">
        <w:rPr>
          <w:rFonts w:ascii="Palatino Linotype" w:hAnsi="Palatino Linotype"/>
        </w:rPr>
        <w:t xml:space="preserve"> de la Unidad de Transparencia tiene la obligación de cumplir con lo </w:t>
      </w:r>
      <w:r w:rsidRPr="003F1E88">
        <w:rPr>
          <w:rFonts w:ascii="Palatino Linotype" w:eastAsia="MS Mincho" w:hAnsi="Palatino Linotype" w:cs="Arial"/>
        </w:rPr>
        <w:t>que</w:t>
      </w:r>
      <w:r w:rsidRPr="003F1E88">
        <w:rPr>
          <w:rFonts w:ascii="Palatino Linotype" w:hAnsi="Palatino Linotype"/>
        </w:rPr>
        <w:t xml:space="preserve"> dispone la normatividad aplicable que, en primera instancia implica que solicite a </w:t>
      </w:r>
      <w:r w:rsidRPr="003F1E88">
        <w:rPr>
          <w:rFonts w:ascii="Palatino Linotype" w:eastAsia="MS Mincho" w:hAnsi="Palatino Linotype" w:cs="Arial"/>
        </w:rPr>
        <w:t>todas</w:t>
      </w:r>
      <w:r w:rsidRPr="003F1E88">
        <w:rPr>
          <w:rFonts w:ascii="Palatino Linotype" w:hAnsi="Palatino Linotype"/>
        </w:rPr>
        <w:t xml:space="preserve"> las áreas que pudieron haber generado o administrado la información requerida, la búsqueda de la </w:t>
      </w:r>
      <w:r w:rsidRPr="003F1E88">
        <w:rPr>
          <w:rFonts w:ascii="Palatino Linotype" w:hAnsi="Palatino Linotype"/>
          <w:color w:val="000000" w:themeColor="text1"/>
        </w:rPr>
        <w:t>misma</w:t>
      </w:r>
      <w:r w:rsidRPr="003F1E88">
        <w:rPr>
          <w:rFonts w:ascii="Palatino Linotype" w:hAnsi="Palatino Linotype"/>
        </w:rPr>
        <w:t>.</w:t>
      </w:r>
    </w:p>
    <w:p w:rsidR="00E7611A" w:rsidRPr="003F1E88" w:rsidRDefault="00E7611A" w:rsidP="00E7611A">
      <w:pPr>
        <w:pStyle w:val="Prrafodelista"/>
        <w:rPr>
          <w:rFonts w:ascii="Palatino Linotype" w:hAnsi="Palatino Linotype"/>
        </w:rPr>
      </w:pPr>
    </w:p>
    <w:p w:rsidR="00E7611A" w:rsidRPr="003F1E88" w:rsidRDefault="00E7611A" w:rsidP="00F17658">
      <w:pPr>
        <w:pStyle w:val="Prrafodelista"/>
        <w:numPr>
          <w:ilvl w:val="0"/>
          <w:numId w:val="15"/>
        </w:numPr>
        <w:tabs>
          <w:tab w:val="left" w:pos="0"/>
          <w:tab w:val="left" w:pos="142"/>
        </w:tabs>
        <w:spacing w:line="360" w:lineRule="auto"/>
        <w:ind w:left="0" w:firstLine="0"/>
        <w:jc w:val="both"/>
        <w:rPr>
          <w:rFonts w:ascii="Palatino Linotype" w:hAnsi="Palatino Linotype"/>
        </w:rPr>
      </w:pPr>
      <w:r w:rsidRPr="003F1E88">
        <w:rPr>
          <w:rFonts w:ascii="Palatino Linotype" w:hAnsi="Palatino Linotype"/>
        </w:rPr>
        <w:t>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que refieren:</w:t>
      </w:r>
    </w:p>
    <w:p w:rsidR="00E7611A" w:rsidRPr="006129A3" w:rsidRDefault="00E7611A" w:rsidP="00E7611A">
      <w:pPr>
        <w:pStyle w:val="Prrafodelista"/>
        <w:tabs>
          <w:tab w:val="left" w:pos="709"/>
        </w:tabs>
        <w:ind w:left="360" w:right="760"/>
        <w:rPr>
          <w:rFonts w:ascii="Palatino Linotype" w:hAnsi="Palatino Linotype" w:cs="Arial"/>
          <w:i/>
          <w:sz w:val="22"/>
          <w:lang w:eastAsia="es-MX"/>
        </w:rPr>
      </w:pPr>
      <w:r w:rsidRPr="006129A3">
        <w:rPr>
          <w:rFonts w:ascii="Palatino Linotype" w:hAnsi="Palatino Linotype" w:cs="Arial"/>
          <w:i/>
          <w:sz w:val="22"/>
          <w:lang w:eastAsia="es-MX"/>
        </w:rPr>
        <w:lastRenderedPageBreak/>
        <w:t xml:space="preserve">“Artículo 50. Los sujetos obligados contarán con un área responsable para la atención de las solicitudes de información, a la que se le denominará Unidad de Transparencia. </w:t>
      </w:r>
    </w:p>
    <w:p w:rsidR="00E7611A" w:rsidRPr="006129A3" w:rsidRDefault="00E7611A" w:rsidP="00E7611A">
      <w:pPr>
        <w:pStyle w:val="Prrafodelista"/>
        <w:tabs>
          <w:tab w:val="left" w:pos="709"/>
        </w:tabs>
        <w:ind w:left="360" w:right="760"/>
        <w:jc w:val="both"/>
        <w:rPr>
          <w:rFonts w:ascii="Palatino Linotype" w:hAnsi="Palatino Linotype" w:cs="Arial"/>
          <w:i/>
          <w:sz w:val="22"/>
          <w:lang w:eastAsia="es-MX"/>
        </w:rPr>
      </w:pPr>
    </w:p>
    <w:p w:rsidR="00E7611A" w:rsidRPr="006129A3" w:rsidRDefault="00E7611A" w:rsidP="00E7611A">
      <w:pPr>
        <w:pStyle w:val="Prrafodelista"/>
        <w:tabs>
          <w:tab w:val="left" w:pos="709"/>
        </w:tabs>
        <w:ind w:left="360" w:right="760"/>
        <w:jc w:val="both"/>
        <w:rPr>
          <w:rFonts w:ascii="Palatino Linotype" w:hAnsi="Palatino Linotype" w:cs="Arial"/>
          <w:i/>
          <w:sz w:val="22"/>
          <w:lang w:eastAsia="es-MX"/>
        </w:rPr>
      </w:pPr>
      <w:r w:rsidRPr="006129A3">
        <w:rPr>
          <w:rFonts w:ascii="Palatino Linotype" w:hAnsi="Palatino Linotype" w:cs="Arial"/>
          <w:i/>
          <w:sz w:val="22"/>
          <w:lang w:eastAsia="es-MX"/>
        </w:rPr>
        <w:t xml:space="preserve">Artículo 51. Los sujetos obligados designaran a un responsable para atender la Unidad de Transparencia, quien fungirá como enlace entre éstos y los solicitantes. </w:t>
      </w:r>
      <w:r w:rsidRPr="006129A3">
        <w:rPr>
          <w:rFonts w:ascii="Palatino Linotype" w:hAnsi="Palatino Linotype" w:cs="Arial"/>
          <w:b/>
          <w:i/>
          <w:sz w:val="22"/>
          <w:u w:val="single"/>
          <w:lang w:eastAsia="es-MX"/>
        </w:rPr>
        <w:t>Dicha Unidad será la encargada de tramitar internamente la solicitud de información</w:t>
      </w:r>
      <w:r w:rsidRPr="006129A3">
        <w:rPr>
          <w:rFonts w:ascii="Palatino Linotype" w:hAnsi="Palatino Linotype" w:cs="Arial"/>
          <w:i/>
          <w:sz w:val="22"/>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E7611A" w:rsidRPr="006129A3" w:rsidRDefault="00E7611A" w:rsidP="00E7611A">
      <w:pPr>
        <w:pStyle w:val="Prrafodelista"/>
        <w:tabs>
          <w:tab w:val="left" w:pos="709"/>
        </w:tabs>
        <w:ind w:left="360" w:right="760"/>
        <w:jc w:val="both"/>
        <w:rPr>
          <w:rFonts w:ascii="Palatino Linotype" w:hAnsi="Palatino Linotype" w:cs="Arial"/>
          <w:i/>
          <w:sz w:val="22"/>
          <w:lang w:eastAsia="es-MX"/>
        </w:rPr>
      </w:pPr>
      <w:r w:rsidRPr="006129A3">
        <w:rPr>
          <w:rFonts w:ascii="Palatino Linotype" w:hAnsi="Palatino Linotype" w:cs="Arial"/>
          <w:i/>
          <w:sz w:val="22"/>
          <w:lang w:eastAsia="es-MX"/>
        </w:rPr>
        <w:t>…</w:t>
      </w:r>
    </w:p>
    <w:p w:rsidR="00E7611A" w:rsidRPr="006129A3" w:rsidRDefault="00E7611A" w:rsidP="00E7611A">
      <w:pPr>
        <w:pStyle w:val="Prrafodelista"/>
        <w:tabs>
          <w:tab w:val="left" w:pos="709"/>
        </w:tabs>
        <w:ind w:left="360" w:right="760"/>
        <w:jc w:val="both"/>
        <w:rPr>
          <w:rFonts w:ascii="Palatino Linotype" w:hAnsi="Palatino Linotype" w:cs="Arial"/>
          <w:i/>
          <w:sz w:val="22"/>
          <w:lang w:eastAsia="es-MX"/>
        </w:rPr>
      </w:pPr>
      <w:r w:rsidRPr="006129A3">
        <w:rPr>
          <w:rFonts w:ascii="Palatino Linotype" w:hAnsi="Palatino Linotype" w:cs="Arial"/>
          <w:i/>
          <w:sz w:val="22"/>
          <w:lang w:eastAsia="es-MX"/>
        </w:rPr>
        <w:t>Artículo 53. Las Unidades de Transparencia tendrán las siguientes funciones:</w:t>
      </w:r>
    </w:p>
    <w:p w:rsidR="00E7611A" w:rsidRPr="006129A3" w:rsidRDefault="00E7611A" w:rsidP="00E7611A">
      <w:pPr>
        <w:pStyle w:val="Prrafodelista"/>
        <w:tabs>
          <w:tab w:val="left" w:pos="709"/>
        </w:tabs>
        <w:ind w:left="360" w:right="760"/>
        <w:jc w:val="both"/>
        <w:rPr>
          <w:rFonts w:ascii="Palatino Linotype" w:hAnsi="Palatino Linotype" w:cs="Arial"/>
          <w:i/>
          <w:sz w:val="22"/>
          <w:lang w:eastAsia="es-MX"/>
        </w:rPr>
      </w:pPr>
      <w:r w:rsidRPr="006129A3">
        <w:rPr>
          <w:rFonts w:ascii="Palatino Linotype" w:hAnsi="Palatino Linotype" w:cs="Arial"/>
          <w:i/>
          <w:sz w:val="22"/>
          <w:lang w:eastAsia="es-MX"/>
        </w:rPr>
        <w:t>…</w:t>
      </w:r>
    </w:p>
    <w:p w:rsidR="00E7611A" w:rsidRPr="006129A3" w:rsidRDefault="00E7611A" w:rsidP="00E7611A">
      <w:pPr>
        <w:pStyle w:val="Prrafodelista"/>
        <w:tabs>
          <w:tab w:val="left" w:pos="709"/>
        </w:tabs>
        <w:ind w:left="360" w:right="760"/>
        <w:jc w:val="both"/>
        <w:rPr>
          <w:rFonts w:ascii="Palatino Linotype" w:hAnsi="Palatino Linotype" w:cs="Arial"/>
          <w:i/>
          <w:sz w:val="22"/>
          <w:lang w:eastAsia="es-MX"/>
        </w:rPr>
      </w:pPr>
      <w:r w:rsidRPr="006129A3">
        <w:rPr>
          <w:rFonts w:ascii="Palatino Linotype" w:hAnsi="Palatino Linotype" w:cs="Arial"/>
          <w:i/>
          <w:sz w:val="22"/>
          <w:lang w:eastAsia="es-MX"/>
        </w:rPr>
        <w:t xml:space="preserve">II. Recibir, tramitar y dar respuesta a las solicitudes de acceso a la información; </w:t>
      </w:r>
    </w:p>
    <w:p w:rsidR="00E7611A" w:rsidRPr="006129A3" w:rsidRDefault="00E7611A" w:rsidP="00E7611A">
      <w:pPr>
        <w:pStyle w:val="Prrafodelista"/>
        <w:tabs>
          <w:tab w:val="left" w:pos="709"/>
        </w:tabs>
        <w:ind w:left="360" w:right="760"/>
        <w:jc w:val="both"/>
        <w:rPr>
          <w:rFonts w:ascii="Palatino Linotype" w:hAnsi="Palatino Linotype" w:cs="Arial"/>
          <w:i/>
          <w:sz w:val="22"/>
          <w:lang w:eastAsia="es-MX"/>
        </w:rPr>
      </w:pPr>
      <w:r w:rsidRPr="006129A3">
        <w:rPr>
          <w:rFonts w:ascii="Palatino Linotype" w:hAnsi="Palatino Linotype" w:cs="Arial"/>
          <w:i/>
          <w:sz w:val="22"/>
          <w:lang w:eastAsia="es-MX"/>
        </w:rPr>
        <w:t>…</w:t>
      </w:r>
    </w:p>
    <w:p w:rsidR="00E7611A" w:rsidRPr="006129A3" w:rsidRDefault="00E7611A" w:rsidP="00E7611A">
      <w:pPr>
        <w:pStyle w:val="Prrafodelista"/>
        <w:tabs>
          <w:tab w:val="left" w:pos="709"/>
        </w:tabs>
        <w:ind w:left="360" w:right="760"/>
        <w:jc w:val="both"/>
        <w:rPr>
          <w:rFonts w:ascii="Palatino Linotype" w:hAnsi="Palatino Linotype" w:cs="Arial"/>
          <w:b/>
          <w:i/>
          <w:sz w:val="22"/>
          <w:u w:val="single"/>
          <w:lang w:eastAsia="es-MX"/>
        </w:rPr>
      </w:pPr>
      <w:r w:rsidRPr="006129A3">
        <w:rPr>
          <w:rFonts w:ascii="Palatino Linotype" w:hAnsi="Palatino Linotype" w:cs="Arial"/>
          <w:b/>
          <w:i/>
          <w:sz w:val="22"/>
          <w:u w:val="single"/>
          <w:lang w:eastAsia="es-MX"/>
        </w:rPr>
        <w:t xml:space="preserve">IV. Realizar, con efectividad, los trámites internos necesarios para la atención de las solicitudes de acceso a la información; </w:t>
      </w:r>
    </w:p>
    <w:p w:rsidR="00E7611A" w:rsidRPr="006129A3" w:rsidRDefault="00E7611A" w:rsidP="00E7611A">
      <w:pPr>
        <w:pStyle w:val="Prrafodelista"/>
        <w:tabs>
          <w:tab w:val="left" w:pos="709"/>
        </w:tabs>
        <w:ind w:left="360" w:right="760"/>
        <w:jc w:val="both"/>
        <w:rPr>
          <w:rFonts w:ascii="Palatino Linotype" w:hAnsi="Palatino Linotype" w:cs="Arial"/>
          <w:i/>
          <w:sz w:val="22"/>
          <w:lang w:eastAsia="es-MX"/>
        </w:rPr>
      </w:pPr>
      <w:r w:rsidRPr="006129A3">
        <w:rPr>
          <w:rFonts w:ascii="Palatino Linotype" w:hAnsi="Palatino Linotype" w:cs="Arial"/>
          <w:i/>
          <w:sz w:val="22"/>
          <w:lang w:eastAsia="es-MX"/>
        </w:rPr>
        <w:t xml:space="preserve">V. Entregar, en su caso, a los particulares la información solicitada; </w:t>
      </w:r>
    </w:p>
    <w:p w:rsidR="00E7611A" w:rsidRPr="006129A3" w:rsidRDefault="00E7611A" w:rsidP="00E7611A">
      <w:pPr>
        <w:pStyle w:val="Prrafodelista"/>
        <w:tabs>
          <w:tab w:val="left" w:pos="709"/>
        </w:tabs>
        <w:ind w:left="360" w:right="760"/>
        <w:jc w:val="both"/>
        <w:rPr>
          <w:rFonts w:ascii="Palatino Linotype" w:hAnsi="Palatino Linotype" w:cs="Arial"/>
          <w:i/>
          <w:sz w:val="22"/>
          <w:lang w:eastAsia="es-MX"/>
        </w:rPr>
      </w:pPr>
      <w:r w:rsidRPr="006129A3">
        <w:rPr>
          <w:rFonts w:ascii="Palatino Linotype" w:hAnsi="Palatino Linotype" w:cs="Arial"/>
          <w:i/>
          <w:sz w:val="22"/>
          <w:lang w:eastAsia="es-MX"/>
        </w:rPr>
        <w:t>VI. Efectuar las notificaciones a los solicitantes;”</w:t>
      </w:r>
    </w:p>
    <w:p w:rsidR="00E7611A" w:rsidRPr="006129A3" w:rsidRDefault="00E7611A" w:rsidP="00E7611A">
      <w:pPr>
        <w:pStyle w:val="Prrafodelista"/>
        <w:tabs>
          <w:tab w:val="left" w:pos="709"/>
        </w:tabs>
        <w:spacing w:line="360" w:lineRule="auto"/>
        <w:ind w:left="357" w:right="760"/>
        <w:jc w:val="both"/>
        <w:rPr>
          <w:rFonts w:ascii="Palatino Linotype" w:hAnsi="Palatino Linotype" w:cs="Arial"/>
          <w:i/>
          <w:sz w:val="22"/>
          <w:lang w:eastAsia="es-MX"/>
        </w:rPr>
      </w:pPr>
    </w:p>
    <w:p w:rsidR="009937E2" w:rsidRPr="003F1E88" w:rsidRDefault="00E7611A" w:rsidP="00F17658">
      <w:pPr>
        <w:pStyle w:val="Prrafodelista"/>
        <w:numPr>
          <w:ilvl w:val="0"/>
          <w:numId w:val="15"/>
        </w:numPr>
        <w:tabs>
          <w:tab w:val="left" w:pos="0"/>
          <w:tab w:val="left" w:pos="142"/>
        </w:tabs>
        <w:spacing w:line="360" w:lineRule="auto"/>
        <w:ind w:left="0" w:firstLine="0"/>
        <w:jc w:val="both"/>
        <w:rPr>
          <w:rFonts w:ascii="Palatino Linotype" w:hAnsi="Palatino Linotype"/>
        </w:rPr>
      </w:pPr>
      <w:r w:rsidRPr="003F1E88">
        <w:rPr>
          <w:rFonts w:ascii="Palatino Linotype" w:hAnsi="Palatino Linotype"/>
        </w:rPr>
        <w:t>También lo es que su función primordial es la de turnar la solicitud a todas las Áreas que por su competencia pueden generar, administrar o poseer la información solicitada y poner a disposición de los solicitantes las respuestas que le sean remitidas, como se desprende del caso concreto.</w:t>
      </w:r>
    </w:p>
    <w:p w:rsidR="009937E2" w:rsidRPr="003F1E88" w:rsidRDefault="009937E2" w:rsidP="009937E2">
      <w:pPr>
        <w:spacing w:line="360" w:lineRule="auto"/>
        <w:jc w:val="both"/>
        <w:rPr>
          <w:rFonts w:ascii="Palatino Linotype" w:hAnsi="Palatino Linotype"/>
        </w:rPr>
      </w:pPr>
    </w:p>
    <w:p w:rsidR="00E7611A" w:rsidRPr="00F17658" w:rsidRDefault="009937E2" w:rsidP="00F17658">
      <w:pPr>
        <w:pStyle w:val="Prrafodelista"/>
        <w:numPr>
          <w:ilvl w:val="0"/>
          <w:numId w:val="15"/>
        </w:numPr>
        <w:tabs>
          <w:tab w:val="left" w:pos="0"/>
          <w:tab w:val="left" w:pos="142"/>
        </w:tabs>
        <w:spacing w:line="360" w:lineRule="auto"/>
        <w:ind w:left="0" w:firstLine="0"/>
        <w:jc w:val="both"/>
        <w:rPr>
          <w:rFonts w:ascii="Palatino Linotype" w:hAnsi="Palatino Linotype"/>
        </w:rPr>
      </w:pPr>
      <w:r w:rsidRPr="003F1E88">
        <w:rPr>
          <w:rFonts w:ascii="Palatino Linotype" w:hAnsi="Palatino Linotype"/>
        </w:rPr>
        <w:t>Una vez establecido lo anterior</w:t>
      </w:r>
      <w:r w:rsidR="00E7611A" w:rsidRPr="003F1E88">
        <w:rPr>
          <w:rFonts w:ascii="Palatino Linotype" w:hAnsi="Palatino Linotype"/>
        </w:rPr>
        <w:t xml:space="preserve">, se colige que quedo por colmado el derecho de acceso a la información del ahora </w:t>
      </w:r>
      <w:r w:rsidR="00E7611A" w:rsidRPr="003F1E88">
        <w:rPr>
          <w:rFonts w:ascii="Palatino Linotype" w:hAnsi="Palatino Linotype"/>
          <w:b/>
        </w:rPr>
        <w:t>RECURRENTE</w:t>
      </w:r>
      <w:r w:rsidR="00E7611A" w:rsidRPr="003F1E88">
        <w:rPr>
          <w:rFonts w:ascii="Palatino Linotype" w:hAnsi="Palatino Linotype"/>
        </w:rPr>
        <w:t>, mismo que corresponde a</w:t>
      </w:r>
      <w:r w:rsidR="00E7611A" w:rsidRPr="003F1E88">
        <w:rPr>
          <w:rFonts w:ascii="Palatino Linotype" w:hAnsi="Palatino Linotype" w:cs="Arial"/>
          <w:color w:val="000000"/>
          <w:lang w:eastAsia="es-MX"/>
        </w:rPr>
        <w:t xml:space="preserve">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w:t>
      </w:r>
      <w:r w:rsidR="00E7611A" w:rsidRPr="003F1E88">
        <w:rPr>
          <w:rFonts w:ascii="Palatino Linotype" w:hAnsi="Palatino Linotype" w:cs="Arial"/>
          <w:color w:val="000000"/>
          <w:lang w:eastAsia="es-MX"/>
        </w:rPr>
        <w:lastRenderedPageBreak/>
        <w:t>el</w:t>
      </w:r>
      <w:r w:rsidR="00E7611A" w:rsidRPr="003F1E88">
        <w:rPr>
          <w:rFonts w:ascii="Palatino Linotype" w:hAnsi="Palatino Linotype" w:cs="Arial"/>
          <w:color w:val="000000"/>
        </w:rPr>
        <w:t xml:space="preserve"> </w:t>
      </w:r>
      <w:r w:rsidR="00E7611A" w:rsidRPr="003F1E88">
        <w:rPr>
          <w:rFonts w:ascii="Palatino Linotype" w:hAnsi="Palatino Linotype" w:cs="Arial"/>
          <w:b/>
          <w:color w:val="000000"/>
        </w:rPr>
        <w:t>SUJETO OBLIGADO</w:t>
      </w:r>
      <w:r w:rsidR="00E7611A" w:rsidRPr="003F1E88">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E7611A" w:rsidRPr="003F1E88">
        <w:rPr>
          <w:rFonts w:ascii="Palatino Linotype" w:hAnsi="Palatino Linotype" w:cs="Arial"/>
          <w:b/>
          <w:color w:val="000000"/>
        </w:rPr>
        <w:t xml:space="preserve">Constitución Política de los Estados Unidos Mexicanos </w:t>
      </w:r>
      <w:r w:rsidR="00E7611A" w:rsidRPr="003F1E88">
        <w:rPr>
          <w:rFonts w:ascii="Palatino Linotype" w:hAnsi="Palatino Linotype" w:cs="Arial"/>
          <w:color w:val="000000"/>
        </w:rPr>
        <w:t xml:space="preserve">al señalar la obligación de “promover, </w:t>
      </w:r>
      <w:r w:rsidR="00E7611A" w:rsidRPr="003F1E88">
        <w:rPr>
          <w:rFonts w:ascii="Palatino Linotype" w:hAnsi="Palatino Linotype" w:cs="Arial"/>
          <w:b/>
          <w:color w:val="000000"/>
        </w:rPr>
        <w:t>respetar</w:t>
      </w:r>
      <w:r w:rsidR="00E7611A" w:rsidRPr="003F1E88">
        <w:rPr>
          <w:rFonts w:ascii="Palatino Linotype" w:hAnsi="Palatino Linotype" w:cs="Arial"/>
          <w:color w:val="000000"/>
        </w:rPr>
        <w:t xml:space="preserve">, proteger y </w:t>
      </w:r>
      <w:r w:rsidR="00E7611A" w:rsidRPr="003F1E88">
        <w:rPr>
          <w:rFonts w:ascii="Palatino Linotype" w:hAnsi="Palatino Linotype" w:cs="Arial"/>
          <w:b/>
          <w:color w:val="000000"/>
        </w:rPr>
        <w:t>garantizar</w:t>
      </w:r>
      <w:r w:rsidR="00E7611A" w:rsidRPr="003F1E88">
        <w:rPr>
          <w:rFonts w:ascii="Palatino Linotype" w:hAnsi="Palatino Linotype" w:cs="Arial"/>
          <w:color w:val="000000"/>
        </w:rPr>
        <w:t xml:space="preserve"> los derechos humanos”, entre los cuales se encuentra dicho derecho. </w:t>
      </w:r>
    </w:p>
    <w:p w:rsidR="00E7611A" w:rsidRPr="003F1E88" w:rsidRDefault="00E7611A" w:rsidP="00E7611A">
      <w:pPr>
        <w:numPr>
          <w:ilvl w:val="0"/>
          <w:numId w:val="15"/>
        </w:numPr>
        <w:tabs>
          <w:tab w:val="left" w:pos="284"/>
        </w:tabs>
        <w:spacing w:before="240" w:after="240" w:line="360" w:lineRule="auto"/>
        <w:ind w:left="0" w:firstLine="0"/>
        <w:contextualSpacing/>
        <w:jc w:val="both"/>
        <w:rPr>
          <w:rFonts w:ascii="Palatino Linotype" w:hAnsi="Palatino Linotype"/>
        </w:rPr>
      </w:pPr>
      <w:r w:rsidRPr="003F1E88">
        <w:rPr>
          <w:rFonts w:ascii="Palatino Linotype" w:hAnsi="Palatino Linotype"/>
        </w:rPr>
        <w:t xml:space="preserve">Definiendo el Derecho de Acceso a la Información Pública como: </w:t>
      </w:r>
      <w:r w:rsidRPr="003F1E88">
        <w:rPr>
          <w:rFonts w:ascii="Palatino Linotype" w:hAnsi="Palatino Linotype"/>
          <w:i/>
          <w:color w:val="000000"/>
        </w:rPr>
        <w:t>La igualdad de oportunidades para recibir, buscar e impartir información</w:t>
      </w:r>
      <w:r w:rsidRPr="003F1E88">
        <w:rPr>
          <w:rFonts w:ascii="Palatino Linotype" w:hAnsi="Palatino Linotype"/>
          <w:i/>
          <w:color w:val="000000"/>
          <w:vertAlign w:val="superscript"/>
        </w:rPr>
        <w:footnoteReference w:id="1"/>
      </w:r>
      <w:r w:rsidRPr="003F1E8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F1E88">
        <w:rPr>
          <w:rFonts w:ascii="Palatino Linotype" w:hAnsi="Palatino Linotype"/>
          <w:i/>
          <w:color w:val="000000"/>
          <w:vertAlign w:val="superscript"/>
        </w:rPr>
        <w:footnoteReference w:id="2"/>
      </w:r>
      <w:r w:rsidRPr="003F1E88">
        <w:rPr>
          <w:rFonts w:ascii="Palatino Linotype" w:hAnsi="Palatino Linotype"/>
          <w:color w:val="000000"/>
        </w:rPr>
        <w:t>que se constituye como una herramienta fundamental para ejercer</w:t>
      </w:r>
      <w:r w:rsidRPr="003F1E8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F1E88">
        <w:rPr>
          <w:rFonts w:ascii="Palatino Linotype" w:hAnsi="Palatino Linotype"/>
          <w:i/>
          <w:color w:val="000000"/>
          <w:vertAlign w:val="superscript"/>
        </w:rPr>
        <w:footnoteReference w:id="3"/>
      </w:r>
      <w:r w:rsidRPr="003F1E88">
        <w:rPr>
          <w:rFonts w:ascii="Palatino Linotype" w:hAnsi="Palatino Linotype"/>
          <w:color w:val="000000"/>
        </w:rPr>
        <w:t>fomentando</w:t>
      </w:r>
      <w:r w:rsidRPr="003F1E88">
        <w:rPr>
          <w:rFonts w:ascii="Palatino Linotype" w:hAnsi="Palatino Linotype"/>
          <w:i/>
          <w:color w:val="000000"/>
        </w:rPr>
        <w:t xml:space="preserve"> la transparencia de las actividades estatales y </w:t>
      </w:r>
      <w:r w:rsidRPr="003F1E88">
        <w:rPr>
          <w:rFonts w:ascii="Palatino Linotype" w:hAnsi="Palatino Linotype"/>
          <w:color w:val="000000"/>
        </w:rPr>
        <w:t>promoviendo</w:t>
      </w:r>
      <w:r w:rsidRPr="003F1E88">
        <w:rPr>
          <w:rFonts w:ascii="Palatino Linotype" w:hAnsi="Palatino Linotype"/>
          <w:i/>
          <w:color w:val="000000"/>
        </w:rPr>
        <w:t xml:space="preserve"> la responsabilidad de los funcionarios sobre su gestión pública,</w:t>
      </w:r>
      <w:r w:rsidRPr="003F1E88">
        <w:rPr>
          <w:rFonts w:ascii="Palatino Linotype" w:hAnsi="Palatino Linotype"/>
          <w:i/>
          <w:color w:val="000000"/>
          <w:vertAlign w:val="superscript"/>
        </w:rPr>
        <w:footnoteReference w:id="4"/>
      </w:r>
      <w:r w:rsidRPr="003F1E88">
        <w:rPr>
          <w:rFonts w:ascii="Palatino Linotype" w:hAnsi="Palatino Linotype"/>
          <w:color w:val="000000"/>
        </w:rPr>
        <w:t>que permite</w:t>
      </w:r>
      <w:r w:rsidRPr="003F1E88">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E7611A" w:rsidRPr="003F1E88" w:rsidRDefault="00E7611A" w:rsidP="00E7611A">
      <w:pPr>
        <w:tabs>
          <w:tab w:val="left" w:pos="284"/>
        </w:tabs>
        <w:contextualSpacing/>
        <w:rPr>
          <w:rFonts w:ascii="Palatino Linotype" w:hAnsi="Palatino Linotype"/>
        </w:rPr>
      </w:pPr>
    </w:p>
    <w:p w:rsidR="00E7611A" w:rsidRPr="003F1E88" w:rsidRDefault="00E7611A" w:rsidP="00E7611A">
      <w:pPr>
        <w:numPr>
          <w:ilvl w:val="0"/>
          <w:numId w:val="15"/>
        </w:numPr>
        <w:tabs>
          <w:tab w:val="left" w:pos="284"/>
        </w:tabs>
        <w:spacing w:before="240" w:after="240" w:line="360" w:lineRule="auto"/>
        <w:ind w:left="0" w:firstLine="0"/>
        <w:contextualSpacing/>
        <w:jc w:val="both"/>
        <w:rPr>
          <w:rFonts w:ascii="Palatino Linotype" w:hAnsi="Palatino Linotype"/>
          <w:i/>
        </w:rPr>
      </w:pPr>
      <w:r w:rsidRPr="003F1E88">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E7611A" w:rsidRPr="003F1E88" w:rsidRDefault="00E7611A" w:rsidP="00E7611A">
      <w:pPr>
        <w:tabs>
          <w:tab w:val="left" w:pos="284"/>
        </w:tabs>
        <w:spacing w:before="240" w:after="240" w:line="360" w:lineRule="auto"/>
        <w:contextualSpacing/>
        <w:jc w:val="both"/>
        <w:rPr>
          <w:rFonts w:ascii="Palatino Linotype" w:hAnsi="Palatino Linotype"/>
          <w:i/>
        </w:rPr>
      </w:pPr>
      <w:r w:rsidRPr="003F1E88">
        <w:rPr>
          <w:rFonts w:ascii="Palatino Linotype" w:hAnsi="Palatino Linotype"/>
          <w:i/>
        </w:rPr>
        <w:t xml:space="preserve"> </w:t>
      </w:r>
    </w:p>
    <w:p w:rsidR="00E7611A" w:rsidRPr="003F1E88" w:rsidRDefault="00E7611A" w:rsidP="00E7611A">
      <w:pPr>
        <w:numPr>
          <w:ilvl w:val="0"/>
          <w:numId w:val="15"/>
        </w:numPr>
        <w:tabs>
          <w:tab w:val="left" w:pos="284"/>
        </w:tabs>
        <w:spacing w:before="240" w:line="360" w:lineRule="auto"/>
        <w:ind w:left="0" w:firstLine="0"/>
        <w:contextualSpacing/>
        <w:jc w:val="both"/>
        <w:rPr>
          <w:rFonts w:ascii="Palatino Linotype" w:hAnsi="Palatino Linotype"/>
        </w:rPr>
      </w:pPr>
      <w:r w:rsidRPr="003F1E88">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F1E88">
        <w:rPr>
          <w:rFonts w:ascii="Palatino Linotype" w:hAnsi="Palatino Linotype" w:cs="Arial"/>
          <w:i/>
        </w:rPr>
        <w:t>por los principios de simplicidad, rapidez gratuidad del procedimiento, auxilio y orientación a los particulares</w:t>
      </w:r>
      <w:r w:rsidRPr="003F1E88">
        <w:rPr>
          <w:rFonts w:ascii="Palatino Linotype" w:hAnsi="Palatino Linotype" w:cs="Arial"/>
        </w:rPr>
        <w:t xml:space="preserve">, contemplando el derecho de las personas con discapacidad y hablantes de lengua indígena. </w:t>
      </w:r>
    </w:p>
    <w:p w:rsidR="00E7611A" w:rsidRPr="003F1E88" w:rsidRDefault="00E7611A" w:rsidP="00E7611A">
      <w:pPr>
        <w:tabs>
          <w:tab w:val="left" w:pos="284"/>
        </w:tabs>
        <w:spacing w:before="240" w:after="240" w:line="360" w:lineRule="auto"/>
        <w:contextualSpacing/>
        <w:jc w:val="both"/>
        <w:rPr>
          <w:rFonts w:ascii="Palatino Linotype" w:hAnsi="Palatino Linotype"/>
        </w:rPr>
      </w:pPr>
    </w:p>
    <w:p w:rsidR="00E7611A" w:rsidRDefault="00E7611A" w:rsidP="00E7611A">
      <w:pPr>
        <w:numPr>
          <w:ilvl w:val="0"/>
          <w:numId w:val="15"/>
        </w:numPr>
        <w:tabs>
          <w:tab w:val="left" w:pos="284"/>
        </w:tabs>
        <w:spacing w:before="240" w:after="240" w:line="360" w:lineRule="auto"/>
        <w:ind w:left="0" w:firstLine="0"/>
        <w:contextualSpacing/>
        <w:jc w:val="both"/>
        <w:rPr>
          <w:rFonts w:ascii="Palatino Linotype" w:hAnsi="Palatino Linotype"/>
        </w:rPr>
      </w:pPr>
      <w:r w:rsidRPr="003F1E88">
        <w:rPr>
          <w:rFonts w:ascii="Palatino Linotype" w:hAnsi="Palatino Linotype"/>
        </w:rPr>
        <w:t xml:space="preserve">Es así que la </w:t>
      </w:r>
      <w:r w:rsidRPr="003F1E88">
        <w:rPr>
          <w:rFonts w:ascii="Palatino Linotype" w:hAnsi="Palatino Linotype"/>
          <w:b/>
        </w:rPr>
        <w:t xml:space="preserve">Ley de Transparencia y Acceso a la Información Pública del Estado de México y Municipios, </w:t>
      </w:r>
      <w:r w:rsidRPr="003F1E88">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3F1E88">
        <w:rPr>
          <w:rFonts w:ascii="Palatino Linotype" w:hAnsi="Palatino Linotype"/>
          <w:b/>
        </w:rPr>
        <w:t xml:space="preserve"> </w:t>
      </w:r>
      <w:r w:rsidRPr="003F1E88">
        <w:rPr>
          <w:rFonts w:ascii="Palatino Linotype" w:hAnsi="Palatino Linotype"/>
        </w:rPr>
        <w:t xml:space="preserve">establece que </w:t>
      </w:r>
      <w:r w:rsidRPr="003F1E88">
        <w:rPr>
          <w:rFonts w:ascii="Palatino Linotype" w:hAnsi="Palatino Linotype"/>
          <w:b/>
          <w:i/>
          <w:u w:val="single"/>
        </w:rPr>
        <w:t>el recurso de revisión es la garantía secundaria</w:t>
      </w:r>
      <w:r w:rsidRPr="003F1E88">
        <w:rPr>
          <w:rFonts w:ascii="Palatino Linotype" w:hAnsi="Palatino Linotype"/>
          <w:b/>
          <w:i/>
        </w:rPr>
        <w:t xml:space="preserve"> mediante la cual se pretende reparar cualquier posible afectación al derecho de acceso a la información pública</w:t>
      </w:r>
      <w:r w:rsidRPr="003F1E88">
        <w:rPr>
          <w:rFonts w:ascii="Palatino Linotype" w:hAnsi="Palatino Linotype"/>
          <w:b/>
        </w:rPr>
        <w:t>, s</w:t>
      </w:r>
      <w:r w:rsidRPr="003F1E88">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E78A1" w:rsidRDefault="00EE78A1" w:rsidP="00EE78A1">
      <w:pPr>
        <w:pStyle w:val="Prrafodelista"/>
        <w:rPr>
          <w:rFonts w:ascii="Palatino Linotype" w:hAnsi="Palatino Linotype"/>
        </w:rPr>
      </w:pPr>
    </w:p>
    <w:p w:rsidR="00E5711B" w:rsidRDefault="00E5711B" w:rsidP="00E5711B">
      <w:pPr>
        <w:pStyle w:val="Prrafodelista"/>
        <w:numPr>
          <w:ilvl w:val="0"/>
          <w:numId w:val="15"/>
        </w:numPr>
        <w:spacing w:line="360" w:lineRule="auto"/>
        <w:ind w:left="0" w:firstLine="0"/>
        <w:jc w:val="both"/>
        <w:rPr>
          <w:rFonts w:ascii="Palatino Linotype" w:hAnsi="Palatino Linotype"/>
          <w:color w:val="000000" w:themeColor="text1"/>
        </w:rPr>
      </w:pPr>
      <w:r w:rsidRPr="00752B18">
        <w:rPr>
          <w:rFonts w:ascii="Palatino Linotype" w:hAnsi="Palatino Linotype" w:cs="Arial"/>
          <w:noProof/>
          <w:color w:val="000000" w:themeColor="text1"/>
          <w:lang w:eastAsia="es-MX"/>
        </w:rPr>
        <w:lastRenderedPageBreak/>
        <w:t>En ese tenor, por lo que hace a los motivos de inconformidad</w:t>
      </w:r>
      <w:r>
        <w:rPr>
          <w:rFonts w:ascii="Palatino Linotype" w:hAnsi="Palatino Linotype" w:cs="Arial"/>
          <w:noProof/>
          <w:color w:val="000000" w:themeColor="text1"/>
          <w:lang w:eastAsia="es-MX"/>
        </w:rPr>
        <w:t xml:space="preserve"> vertidos por </w:t>
      </w:r>
      <w:r>
        <w:rPr>
          <w:rFonts w:ascii="Palatino Linotype" w:hAnsi="Palatino Linotype" w:cs="Arial"/>
          <w:b/>
          <w:noProof/>
          <w:color w:val="000000" w:themeColor="text1"/>
          <w:lang w:eastAsia="es-MX"/>
        </w:rPr>
        <w:t>EL</w:t>
      </w:r>
      <w:r w:rsidRPr="00752B18">
        <w:rPr>
          <w:rFonts w:ascii="Palatino Linotype" w:hAnsi="Palatino Linotype" w:cs="Arial"/>
          <w:noProof/>
          <w:color w:val="000000" w:themeColor="text1"/>
          <w:lang w:eastAsia="es-MX"/>
        </w:rPr>
        <w:t xml:space="preserve"> </w:t>
      </w:r>
      <w:r w:rsidRPr="00752B18">
        <w:rPr>
          <w:rFonts w:ascii="Palatino Linotype" w:hAnsi="Palatino Linotype" w:cs="Arial"/>
          <w:b/>
          <w:noProof/>
          <w:color w:val="000000" w:themeColor="text1"/>
          <w:lang w:eastAsia="es-MX"/>
        </w:rPr>
        <w:t>RECURRENTE</w:t>
      </w:r>
      <w:r w:rsidRPr="00752B18">
        <w:rPr>
          <w:rFonts w:ascii="Palatino Linotype" w:hAnsi="Palatino Linotype" w:cs="Arial"/>
          <w:noProof/>
          <w:color w:val="000000" w:themeColor="text1"/>
          <w:lang w:eastAsia="es-MX"/>
        </w:rPr>
        <w:t>, los mismos resultan inatendibles al actualizarse la figura del sobreseimi</w:t>
      </w:r>
      <w:r>
        <w:rPr>
          <w:rFonts w:ascii="Palatino Linotype" w:hAnsi="Palatino Linotype" w:cs="Arial"/>
          <w:noProof/>
          <w:color w:val="000000" w:themeColor="text1"/>
          <w:lang w:eastAsia="es-MX"/>
        </w:rPr>
        <w:t>ento</w:t>
      </w:r>
      <w:r w:rsidRPr="00F17658">
        <w:rPr>
          <w:rFonts w:ascii="Palatino Linotype" w:eastAsia="Batang" w:hAnsi="Palatino Linotype" w:cs="Arial"/>
          <w:b/>
          <w:color w:val="000000" w:themeColor="text1"/>
        </w:rPr>
        <w:t xml:space="preserve">, </w:t>
      </w:r>
      <w:r>
        <w:rPr>
          <w:rFonts w:ascii="Palatino Linotype" w:eastAsia="Batang" w:hAnsi="Palatino Linotype" w:cs="Arial"/>
          <w:b/>
          <w:color w:val="000000" w:themeColor="text1"/>
        </w:rPr>
        <w:t xml:space="preserve">al dudar de la veracidad de la información </w:t>
      </w:r>
      <w:r>
        <w:rPr>
          <w:rFonts w:ascii="Palatino Linotype" w:eastAsia="Batang" w:hAnsi="Palatino Linotype" w:cs="Arial"/>
          <w:color w:val="000000" w:themeColor="text1"/>
        </w:rPr>
        <w:t xml:space="preserve">proporcionada por el </w:t>
      </w:r>
      <w:r>
        <w:rPr>
          <w:rFonts w:ascii="Palatino Linotype" w:eastAsia="Batang" w:hAnsi="Palatino Linotype" w:cs="Arial"/>
          <w:b/>
          <w:color w:val="000000" w:themeColor="text1"/>
        </w:rPr>
        <w:t>SUJETO OBLIGADO,</w:t>
      </w:r>
      <w:r w:rsidRPr="00E5711B">
        <w:rPr>
          <w:rFonts w:ascii="Palatino Linotype" w:eastAsia="Batang" w:hAnsi="Palatino Linotype" w:cs="Arial"/>
          <w:color w:val="000000" w:themeColor="text1"/>
        </w:rPr>
        <w:t xml:space="preserve"> en la respuesta</w:t>
      </w:r>
      <w:r>
        <w:rPr>
          <w:rFonts w:ascii="Palatino Linotype" w:eastAsia="Batang" w:hAnsi="Palatino Linotype" w:cs="Arial"/>
          <w:b/>
          <w:color w:val="000000" w:themeColor="text1"/>
        </w:rPr>
        <w:t xml:space="preserve"> </w:t>
      </w:r>
      <w:hyperlink r:id="rId11" w:tgtFrame="_blank" w:history="1">
        <w:r w:rsidRPr="00E5711B">
          <w:rPr>
            <w:rStyle w:val="Hipervnculo"/>
            <w:rFonts w:ascii="Palatino Linotype" w:eastAsia="Batang" w:hAnsi="Palatino Linotype" w:cs="Arial"/>
            <w:b/>
            <w:bCs/>
            <w:color w:val="auto"/>
            <w:u w:val="none"/>
          </w:rPr>
          <w:t>contestacion 3610-12-2023-022055.pdf</w:t>
        </w:r>
      </w:hyperlink>
      <w:r>
        <w:rPr>
          <w:rFonts w:ascii="Palatino Linotype" w:eastAsia="Batang" w:hAnsi="Palatino Linotype" w:cs="Arial"/>
          <w:b/>
        </w:rPr>
        <w:t xml:space="preserve">, </w:t>
      </w:r>
      <w:r>
        <w:rPr>
          <w:rFonts w:ascii="Palatino Linotype" w:eastAsia="Batang" w:hAnsi="Palatino Linotype" w:cs="Arial"/>
        </w:rPr>
        <w:t>lo</w:t>
      </w:r>
      <w:r w:rsidRPr="00E5711B">
        <w:rPr>
          <w:rFonts w:ascii="Palatino Linotype" w:eastAsia="Batang" w:hAnsi="Palatino Linotype" w:cs="Arial"/>
          <w:b/>
          <w:color w:val="000000" w:themeColor="text1"/>
        </w:rPr>
        <w:t xml:space="preserve"> </w:t>
      </w:r>
      <w:r w:rsidRPr="00F17658">
        <w:rPr>
          <w:rFonts w:ascii="Palatino Linotype" w:hAnsi="Palatino Linotype" w:cs="Arial"/>
          <w:noProof/>
          <w:color w:val="000000" w:themeColor="text1"/>
          <w:lang w:eastAsia="es-MX"/>
        </w:rPr>
        <w:t>que impide el estudio de los agravios planteados</w:t>
      </w:r>
      <w:r>
        <w:rPr>
          <w:rFonts w:ascii="Palatino Linotype" w:hAnsi="Palatino Linotype"/>
          <w:color w:val="000000" w:themeColor="text1"/>
        </w:rPr>
        <w:t>.</w:t>
      </w:r>
    </w:p>
    <w:p w:rsidR="00EE78A1" w:rsidRDefault="00EE78A1" w:rsidP="00EE78A1">
      <w:pPr>
        <w:pStyle w:val="Prrafodelista"/>
        <w:rPr>
          <w:rFonts w:ascii="Palatino Linotype" w:hAnsi="Palatino Linotype"/>
        </w:rPr>
      </w:pPr>
    </w:p>
    <w:p w:rsidR="00EE78A1" w:rsidRPr="00752B18" w:rsidRDefault="00EE78A1" w:rsidP="00EE78A1">
      <w:pPr>
        <w:pStyle w:val="Ttulo2"/>
        <w:numPr>
          <w:ilvl w:val="0"/>
          <w:numId w:val="46"/>
        </w:numPr>
        <w:spacing w:line="259" w:lineRule="auto"/>
        <w:rPr>
          <w:rFonts w:ascii="Palatino Linotype" w:hAnsi="Palatino Linotype"/>
          <w:b/>
          <w:color w:val="000000" w:themeColor="text1"/>
          <w:sz w:val="24"/>
          <w:szCs w:val="24"/>
        </w:rPr>
      </w:pPr>
      <w:bookmarkStart w:id="150" w:name="_Toc70526135"/>
      <w:r w:rsidRPr="00752B18">
        <w:rPr>
          <w:rFonts w:ascii="Palatino Linotype" w:hAnsi="Palatino Linotype"/>
          <w:b/>
          <w:color w:val="000000" w:themeColor="text1"/>
          <w:sz w:val="24"/>
          <w:szCs w:val="24"/>
        </w:rPr>
        <w:t>Determinación</w:t>
      </w:r>
      <w:bookmarkEnd w:id="150"/>
    </w:p>
    <w:p w:rsidR="00EE78A1" w:rsidRPr="00EE78A1" w:rsidRDefault="00EE78A1" w:rsidP="00D95875">
      <w:pPr>
        <w:pStyle w:val="Prrafodelista"/>
        <w:numPr>
          <w:ilvl w:val="0"/>
          <w:numId w:val="15"/>
        </w:numPr>
        <w:spacing w:line="360" w:lineRule="auto"/>
        <w:ind w:left="0" w:firstLine="0"/>
        <w:jc w:val="both"/>
        <w:rPr>
          <w:rFonts w:ascii="Palatino Linotype" w:hAnsi="Palatino Linotype"/>
          <w:color w:val="000000" w:themeColor="text1"/>
        </w:rPr>
      </w:pPr>
      <w:r w:rsidRPr="00EE78A1">
        <w:rPr>
          <w:rFonts w:ascii="Palatino Linotype" w:hAnsi="Palatino Linotype"/>
          <w:color w:val="000000" w:themeColor="text1"/>
        </w:rPr>
        <w:t xml:space="preserve">Atento a lo anterior, </w:t>
      </w:r>
      <w:r w:rsidRPr="00EE78A1">
        <w:rPr>
          <w:rFonts w:ascii="Palatino Linotype" w:hAnsi="Palatino Linotype" w:cs="Arial"/>
          <w:color w:val="000000" w:themeColor="text1"/>
          <w:lang w:val="es-CO"/>
        </w:rPr>
        <w:t xml:space="preserve">y en términos del artículo 186 fracción I este Pleno determina el </w:t>
      </w:r>
      <w:r w:rsidRPr="00EE78A1">
        <w:rPr>
          <w:rFonts w:ascii="Palatino Linotype" w:hAnsi="Palatino Linotype" w:cs="Arial"/>
          <w:b/>
          <w:color w:val="000000" w:themeColor="text1"/>
          <w:lang w:val="es-CO"/>
        </w:rPr>
        <w:t xml:space="preserve">SOBRESEIMIENTO </w:t>
      </w:r>
      <w:r w:rsidRPr="00EE78A1">
        <w:rPr>
          <w:rFonts w:ascii="Palatino Linotype" w:hAnsi="Palatino Linotype" w:cs="Arial"/>
          <w:color w:val="000000" w:themeColor="text1"/>
          <w:lang w:val="es-CO"/>
        </w:rPr>
        <w:t xml:space="preserve">del presente recurso de revisión, al actualizarse la causal contemplada en la </w:t>
      </w:r>
      <w:r w:rsidRPr="00EE78A1">
        <w:rPr>
          <w:rFonts w:ascii="Palatino Linotype" w:hAnsi="Palatino Linotype" w:cs="Arial"/>
          <w:b/>
          <w:color w:val="000000" w:themeColor="text1"/>
        </w:rPr>
        <w:t>fracción IV del artículo 192,</w:t>
      </w:r>
      <w:r w:rsidRPr="00EE78A1">
        <w:rPr>
          <w:rFonts w:ascii="Palatino Linotype" w:hAnsi="Palatino Linotype" w:cs="Arial"/>
          <w:color w:val="000000" w:themeColor="text1"/>
        </w:rPr>
        <w:t xml:space="preserve"> en relación con el artículo </w:t>
      </w:r>
      <w:r w:rsidRPr="00EE78A1">
        <w:rPr>
          <w:rFonts w:ascii="Palatino Linotype" w:hAnsi="Palatino Linotype" w:cs="Arial"/>
          <w:b/>
          <w:color w:val="000000" w:themeColor="text1"/>
        </w:rPr>
        <w:t xml:space="preserve">191 fracción V, </w:t>
      </w:r>
      <w:r w:rsidRPr="00EE78A1">
        <w:rPr>
          <w:rFonts w:ascii="Palatino Linotype" w:eastAsia="Batang" w:hAnsi="Palatino Linotype" w:cs="Arial"/>
          <w:color w:val="000000" w:themeColor="text1"/>
        </w:rPr>
        <w:t xml:space="preserve">de la </w:t>
      </w:r>
      <w:r w:rsidRPr="00EE78A1">
        <w:rPr>
          <w:rFonts w:ascii="Palatino Linotype" w:eastAsia="Batang" w:hAnsi="Palatino Linotype" w:cs="Arial"/>
          <w:b/>
          <w:color w:val="000000" w:themeColor="text1"/>
        </w:rPr>
        <w:t>Ley de Transparencia y Acceso a la Información Pública del Estado de México y Municipios</w:t>
      </w:r>
      <w:r w:rsidRPr="00EE78A1">
        <w:rPr>
          <w:rFonts w:ascii="Palatino Linotype" w:hAnsi="Palatino Linotype" w:cs="Arial"/>
          <w:color w:val="000000" w:themeColor="text1"/>
          <w:lang w:val="es-CO"/>
        </w:rPr>
        <w:t>.</w:t>
      </w:r>
    </w:p>
    <w:p w:rsidR="00EE78A1" w:rsidRPr="00EE78A1" w:rsidRDefault="00EE78A1" w:rsidP="00EE78A1">
      <w:pPr>
        <w:pStyle w:val="Prrafodelista"/>
        <w:spacing w:line="360" w:lineRule="auto"/>
        <w:ind w:left="0"/>
        <w:jc w:val="both"/>
        <w:rPr>
          <w:rFonts w:ascii="Palatino Linotype" w:hAnsi="Palatino Linotype"/>
          <w:color w:val="000000" w:themeColor="text1"/>
        </w:rPr>
      </w:pPr>
    </w:p>
    <w:p w:rsidR="00EE78A1" w:rsidRPr="00597734" w:rsidRDefault="00EE78A1" w:rsidP="00EE78A1">
      <w:pPr>
        <w:pStyle w:val="Prrafodelista"/>
        <w:numPr>
          <w:ilvl w:val="0"/>
          <w:numId w:val="15"/>
        </w:numPr>
        <w:spacing w:line="360" w:lineRule="auto"/>
        <w:ind w:left="0" w:firstLine="0"/>
        <w:jc w:val="both"/>
        <w:rPr>
          <w:rFonts w:ascii="Palatino Linotype" w:hAnsi="Palatino Linotype"/>
          <w:color w:val="000000" w:themeColor="text1"/>
        </w:rPr>
      </w:pPr>
      <w:r w:rsidRPr="00597734">
        <w:rPr>
          <w:rFonts w:ascii="Palatino Linotype" w:hAnsi="Palatino Linotype"/>
          <w:color w:val="000000" w:themeColor="text1"/>
        </w:rPr>
        <w:t>Finalmente, se informa a la parte recurrente que se dejan a salvo los derechos para interponer nuevas solicitudes de información ante los sujetos obligados que a sus intereses convenga.</w:t>
      </w:r>
    </w:p>
    <w:p w:rsidR="00EE78A1" w:rsidRPr="00134CE6" w:rsidRDefault="00EE78A1" w:rsidP="00EE78A1">
      <w:pPr>
        <w:pStyle w:val="Prrafodelista"/>
        <w:spacing w:line="360" w:lineRule="auto"/>
        <w:ind w:left="0"/>
        <w:jc w:val="both"/>
        <w:rPr>
          <w:rFonts w:ascii="Palatino Linotype" w:hAnsi="Palatino Linotype"/>
          <w:color w:val="000000" w:themeColor="text1"/>
        </w:rPr>
      </w:pPr>
    </w:p>
    <w:p w:rsidR="00C66A19" w:rsidRPr="00EE78A1" w:rsidRDefault="00EE78A1" w:rsidP="00EE78A1">
      <w:pPr>
        <w:pStyle w:val="Prrafodelista"/>
        <w:numPr>
          <w:ilvl w:val="0"/>
          <w:numId w:val="15"/>
        </w:numPr>
        <w:tabs>
          <w:tab w:val="left" w:pos="426"/>
        </w:tabs>
        <w:spacing w:before="240" w:after="240" w:line="360" w:lineRule="auto"/>
        <w:ind w:left="0" w:right="51" w:firstLine="0"/>
        <w:jc w:val="both"/>
        <w:rPr>
          <w:rFonts w:ascii="Palatino Linotype" w:hAnsi="Palatino Linotype"/>
          <w:color w:val="000000" w:themeColor="text1"/>
        </w:rPr>
      </w:pPr>
      <w:r w:rsidRPr="00EE78A1">
        <w:rPr>
          <w:rFonts w:ascii="Palatino Linotype" w:hAnsi="Palatino Linotype" w:cs="Arial"/>
          <w:color w:val="000000" w:themeColor="text1"/>
          <w:lang w:eastAsia="es-MX"/>
        </w:rPr>
        <w:t xml:space="preserve">Por lo anteriormente expuesto y fundado, este </w:t>
      </w:r>
      <w:r w:rsidRPr="00EE78A1">
        <w:rPr>
          <w:rFonts w:ascii="Palatino Linotype" w:hAnsi="Palatino Linotype" w:cs="Arial"/>
          <w:b/>
          <w:bCs/>
          <w:color w:val="000000" w:themeColor="text1"/>
          <w:lang w:eastAsia="es-MX"/>
        </w:rPr>
        <w:t>ÓRGANO GARANTE</w:t>
      </w:r>
      <w:r w:rsidRPr="00EE78A1">
        <w:rPr>
          <w:rFonts w:ascii="Palatino Linotype" w:hAnsi="Palatino Linotype" w:cs="Arial"/>
          <w:color w:val="000000" w:themeColor="text1"/>
          <w:lang w:eastAsia="es-MX"/>
        </w:rPr>
        <w:t xml:space="preserve"> emite los siguientes:</w:t>
      </w:r>
    </w:p>
    <w:p w:rsidR="00EE78A1" w:rsidRPr="00EE78A1" w:rsidRDefault="00EE78A1" w:rsidP="00EE78A1">
      <w:pPr>
        <w:pStyle w:val="Prrafodelista"/>
        <w:rPr>
          <w:rFonts w:ascii="Palatino Linotype" w:hAnsi="Palatino Linotype"/>
          <w:color w:val="000000" w:themeColor="text1"/>
          <w:highlight w:val="yellow"/>
        </w:rPr>
      </w:pPr>
    </w:p>
    <w:p w:rsidR="00EE78A1" w:rsidRPr="00134CE6" w:rsidRDefault="00EE78A1" w:rsidP="00EE78A1">
      <w:pPr>
        <w:pStyle w:val="Ttulo1"/>
        <w:spacing w:before="0" w:line="360" w:lineRule="auto"/>
        <w:jc w:val="center"/>
        <w:rPr>
          <w:rFonts w:ascii="Palatino Linotype" w:eastAsia="Calibri" w:hAnsi="Palatino Linotype"/>
          <w:b/>
          <w:color w:val="000000" w:themeColor="text1"/>
          <w:sz w:val="24"/>
          <w:szCs w:val="24"/>
          <w:lang w:val="es-ES"/>
        </w:rPr>
      </w:pPr>
      <w:r w:rsidRPr="00134CE6">
        <w:rPr>
          <w:rFonts w:ascii="Palatino Linotype" w:eastAsia="Calibri" w:hAnsi="Palatino Linotype"/>
          <w:b/>
          <w:color w:val="000000" w:themeColor="text1"/>
          <w:sz w:val="24"/>
          <w:szCs w:val="24"/>
          <w:lang w:val="es-ES"/>
        </w:rPr>
        <w:t>R E S O L U T I V O S</w:t>
      </w:r>
    </w:p>
    <w:p w:rsidR="00EE78A1" w:rsidRPr="00134CE6" w:rsidRDefault="00EE78A1" w:rsidP="00EE78A1">
      <w:pPr>
        <w:rPr>
          <w:rFonts w:ascii="Palatino Linotype" w:hAnsi="Palatino Linotype"/>
          <w:color w:val="000000" w:themeColor="text1"/>
          <w:lang w:val="es-ES"/>
        </w:rPr>
      </w:pPr>
    </w:p>
    <w:p w:rsidR="00EE78A1" w:rsidRPr="00452437" w:rsidRDefault="00EE78A1" w:rsidP="00EE78A1">
      <w:pPr>
        <w:spacing w:before="240" w:after="240" w:line="360" w:lineRule="auto"/>
        <w:jc w:val="both"/>
        <w:rPr>
          <w:rFonts w:ascii="Palatino Linotype" w:hAnsi="Palatino Linotype" w:cs="Arial"/>
        </w:rPr>
      </w:pPr>
      <w:r w:rsidRPr="00752B18">
        <w:rPr>
          <w:rFonts w:ascii="Palatino Linotype" w:hAnsi="Palatino Linotype" w:cs="Arial"/>
          <w:b/>
          <w:bCs/>
          <w:lang w:eastAsia="es-MX"/>
        </w:rPr>
        <w:t>PRIMERO</w:t>
      </w:r>
      <w:r w:rsidRPr="00752B18">
        <w:rPr>
          <w:rFonts w:ascii="Palatino Linotype" w:hAnsi="Palatino Linotype" w:cs="Arial"/>
        </w:rPr>
        <w:t xml:space="preserve">. Se </w:t>
      </w:r>
      <w:r w:rsidRPr="00752B18">
        <w:rPr>
          <w:rFonts w:ascii="Palatino Linotype" w:hAnsi="Palatino Linotype" w:cs="Arial"/>
          <w:b/>
        </w:rPr>
        <w:t xml:space="preserve">SOBRESEE </w:t>
      </w:r>
      <w:r w:rsidRPr="00752B18">
        <w:rPr>
          <w:rFonts w:ascii="Palatino Linotype" w:hAnsi="Palatino Linotype" w:cs="Arial"/>
        </w:rPr>
        <w:t>el Recurso de Revisión</w:t>
      </w:r>
      <w:r w:rsidRPr="00752B18">
        <w:rPr>
          <w:rFonts w:ascii="Palatino Linotype" w:hAnsi="Palatino Linotype" w:cs="Arial"/>
          <w:b/>
        </w:rPr>
        <w:t xml:space="preserve"> </w:t>
      </w:r>
      <w:r w:rsidRPr="00752B18">
        <w:rPr>
          <w:rFonts w:ascii="Palatino Linotype" w:hAnsi="Palatino Linotype" w:cs="Arial"/>
        </w:rPr>
        <w:t xml:space="preserve">número </w:t>
      </w:r>
      <w:r>
        <w:rPr>
          <w:rFonts w:ascii="Palatino Linotype" w:hAnsi="Palatino Linotype"/>
          <w:b/>
          <w:color w:val="000000" w:themeColor="text1"/>
        </w:rPr>
        <w:t>06978</w:t>
      </w:r>
      <w:r w:rsidRPr="00752B18">
        <w:rPr>
          <w:rFonts w:ascii="Palatino Linotype" w:hAnsi="Palatino Linotype"/>
          <w:b/>
          <w:color w:val="000000" w:themeColor="text1"/>
        </w:rPr>
        <w:t>/INFOEM/IP/RR/2023</w:t>
      </w:r>
      <w:r w:rsidR="006129A3">
        <w:rPr>
          <w:rFonts w:ascii="Palatino Linotype" w:hAnsi="Palatino Linotype"/>
          <w:b/>
          <w:color w:val="000000" w:themeColor="text1"/>
        </w:rPr>
        <w:t>,</w:t>
      </w:r>
      <w:r w:rsidRPr="00752B18">
        <w:rPr>
          <w:rFonts w:ascii="Palatino Linotype" w:hAnsi="Palatino Linotype"/>
        </w:rPr>
        <w:t xml:space="preserve"> conforme a </w:t>
      </w:r>
      <w:r w:rsidRPr="00EE78A1">
        <w:rPr>
          <w:rFonts w:ascii="Palatino Linotype" w:hAnsi="Palatino Linotype"/>
          <w:lang w:val="es-CO"/>
        </w:rPr>
        <w:t xml:space="preserve">la </w:t>
      </w:r>
      <w:r w:rsidRPr="00EE78A1">
        <w:rPr>
          <w:rFonts w:ascii="Palatino Linotype" w:hAnsi="Palatino Linotype"/>
          <w:b/>
        </w:rPr>
        <w:t>fracción IV del artículo 192,</w:t>
      </w:r>
      <w:r w:rsidRPr="00EE78A1">
        <w:rPr>
          <w:rFonts w:ascii="Palatino Linotype" w:hAnsi="Palatino Linotype"/>
        </w:rPr>
        <w:t xml:space="preserve"> en relación con el artículo </w:t>
      </w:r>
      <w:r w:rsidRPr="00EE78A1">
        <w:rPr>
          <w:rFonts w:ascii="Palatino Linotype" w:hAnsi="Palatino Linotype"/>
          <w:b/>
        </w:rPr>
        <w:t xml:space="preserve">191 fracción V, </w:t>
      </w:r>
      <w:r w:rsidRPr="00EE78A1">
        <w:rPr>
          <w:rFonts w:ascii="Palatino Linotype" w:hAnsi="Palatino Linotype"/>
        </w:rPr>
        <w:t xml:space="preserve">de la </w:t>
      </w:r>
      <w:r w:rsidRPr="00EE78A1">
        <w:rPr>
          <w:rFonts w:ascii="Palatino Linotype" w:hAnsi="Palatino Linotype"/>
          <w:b/>
        </w:rPr>
        <w:t xml:space="preserve">Ley de Transparencia y Acceso a la Información </w:t>
      </w:r>
      <w:r w:rsidRPr="00EE78A1">
        <w:rPr>
          <w:rFonts w:ascii="Palatino Linotype" w:hAnsi="Palatino Linotype"/>
          <w:b/>
        </w:rPr>
        <w:lastRenderedPageBreak/>
        <w:t>Pública del Estado de México y Municipios</w:t>
      </w:r>
      <w:r w:rsidRPr="00EE78A1">
        <w:rPr>
          <w:rFonts w:ascii="Palatino Linotype" w:hAnsi="Palatino Linotype"/>
          <w:lang w:val="es-CO"/>
        </w:rPr>
        <w:t>.</w:t>
      </w:r>
      <w:r w:rsidRPr="00752B18">
        <w:rPr>
          <w:rFonts w:ascii="Palatino Linotype" w:hAnsi="Palatino Linotype" w:cs="Arial"/>
          <w:b/>
        </w:rPr>
        <w:t xml:space="preserve">, </w:t>
      </w:r>
      <w:r w:rsidRPr="00752B18">
        <w:rPr>
          <w:rFonts w:ascii="Palatino Linotype" w:hAnsi="Palatino Linotype" w:cs="Arial"/>
        </w:rPr>
        <w:t xml:space="preserve">en términos del </w:t>
      </w:r>
      <w:r w:rsidR="006129A3">
        <w:rPr>
          <w:rFonts w:ascii="Palatino Linotype" w:hAnsi="Palatino Linotype" w:cs="Arial"/>
          <w:b/>
        </w:rPr>
        <w:t>c</w:t>
      </w:r>
      <w:r w:rsidRPr="00752B18">
        <w:rPr>
          <w:rFonts w:ascii="Palatino Linotype" w:hAnsi="Palatino Linotype" w:cs="Arial"/>
          <w:b/>
        </w:rPr>
        <w:t>onsiderando</w:t>
      </w:r>
      <w:r w:rsidRPr="00752B18">
        <w:rPr>
          <w:rFonts w:ascii="Palatino Linotype" w:hAnsi="Palatino Linotype" w:cs="Arial"/>
        </w:rPr>
        <w:t xml:space="preserve"> </w:t>
      </w:r>
      <w:r w:rsidRPr="00752B18">
        <w:rPr>
          <w:rFonts w:ascii="Palatino Linotype" w:hAnsi="Palatino Linotype" w:cs="Arial"/>
          <w:b/>
        </w:rPr>
        <w:t>TERCERO</w:t>
      </w:r>
      <w:r w:rsidRPr="00752B18">
        <w:rPr>
          <w:rFonts w:ascii="Palatino Linotype" w:hAnsi="Palatino Linotype" w:cs="Arial"/>
        </w:rPr>
        <w:t xml:space="preserve"> de la presente resolución.</w:t>
      </w:r>
    </w:p>
    <w:p w:rsidR="00EE78A1" w:rsidRPr="00452437" w:rsidRDefault="00EE78A1" w:rsidP="00EE78A1">
      <w:pPr>
        <w:shd w:val="clear" w:color="auto" w:fill="FFFFFF"/>
        <w:spacing w:before="240" w:after="360" w:line="360" w:lineRule="auto"/>
        <w:jc w:val="both"/>
        <w:rPr>
          <w:rStyle w:val="Ttulo2Car"/>
          <w:b/>
        </w:rPr>
      </w:pPr>
      <w:r w:rsidRPr="00452437">
        <w:rPr>
          <w:rFonts w:ascii="Palatino Linotype" w:eastAsia="Times New Roman" w:hAnsi="Palatino Linotype" w:cs="Arial"/>
          <w:b/>
        </w:rPr>
        <w:t>SEGUNDO.</w:t>
      </w:r>
      <w:r w:rsidRPr="00452437">
        <w:rPr>
          <w:rStyle w:val="Ttulo2Car"/>
        </w:rPr>
        <w:t xml:space="preserve"> </w:t>
      </w:r>
      <w:r w:rsidRPr="0035616B">
        <w:rPr>
          <w:rFonts w:ascii="Palatino Linotype" w:hAnsi="Palatino Linotype"/>
          <w:b/>
          <w:bCs/>
          <w:color w:val="222222"/>
          <w:lang w:val="es-ES"/>
        </w:rPr>
        <w:t>Notifíquese</w:t>
      </w:r>
      <w:r w:rsidRPr="0035616B">
        <w:rPr>
          <w:rFonts w:ascii="Palatino Linotype" w:eastAsia="MS Mincho" w:hAnsi="Palatino Linotype" w:cs="Arial"/>
          <w:b/>
          <w:bCs/>
          <w:color w:val="000000" w:themeColor="text1"/>
          <w:shd w:val="clear" w:color="auto" w:fill="FFFFFF"/>
        </w:rPr>
        <w:t xml:space="preserve"> </w:t>
      </w:r>
      <w:r w:rsidRPr="0035616B">
        <w:rPr>
          <w:rFonts w:ascii="Palatino Linotype" w:eastAsia="MS Mincho" w:hAnsi="Palatino Linotype"/>
          <w:color w:val="000000" w:themeColor="text1"/>
          <w:shd w:val="clear" w:color="auto" w:fill="FFFFFF"/>
        </w:rPr>
        <w:t>al Titular de la Unidad de Transparencia del</w:t>
      </w:r>
      <w:r w:rsidRPr="0035616B">
        <w:rPr>
          <w:rFonts w:ascii="Palatino Linotype" w:eastAsia="MS Mincho" w:hAnsi="Palatino Linotype"/>
          <w:b/>
          <w:bCs/>
          <w:color w:val="000000" w:themeColor="text1"/>
          <w:shd w:val="clear" w:color="auto" w:fill="FFFFFF"/>
        </w:rPr>
        <w:t xml:space="preserve"> SUJETO OBLIGADO</w:t>
      </w:r>
      <w:r w:rsidRPr="0035616B">
        <w:rPr>
          <w:rFonts w:ascii="Palatino Linotype" w:eastAsia="MS Mincho" w:hAnsi="Palatino Linotype"/>
          <w:color w:val="000000" w:themeColor="text1"/>
          <w:shd w:val="clear" w:color="auto" w:fill="FFFFFF"/>
        </w:rPr>
        <w:t xml:space="preserve"> vía </w:t>
      </w:r>
      <w:r w:rsidRPr="00103414">
        <w:rPr>
          <w:rFonts w:ascii="Palatino Linotype" w:eastAsia="MS Mincho" w:hAnsi="Palatino Linotype"/>
          <w:b/>
          <w:color w:val="000000" w:themeColor="text1"/>
          <w:shd w:val="clear" w:color="auto" w:fill="FFFFFF"/>
        </w:rPr>
        <w:t>SAIMEX</w:t>
      </w:r>
      <w:r w:rsidRPr="0035616B">
        <w:rPr>
          <w:rFonts w:ascii="Palatino Linotype" w:eastAsia="MS Mincho" w:hAnsi="Palatino Linotype"/>
          <w:color w:val="000000" w:themeColor="text1"/>
          <w:shd w:val="clear" w:color="auto" w:fill="FFFFFF"/>
        </w:rPr>
        <w:t>, la presente resolución.</w:t>
      </w:r>
    </w:p>
    <w:p w:rsidR="00EE78A1" w:rsidRDefault="00EE78A1" w:rsidP="00EE78A1">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cs="Arial"/>
          <w:b/>
        </w:rPr>
        <w:t>TERCERO</w:t>
      </w:r>
      <w:r w:rsidRPr="00452437">
        <w:rPr>
          <w:rFonts w:ascii="Palatino Linotype" w:hAnsi="Palatino Linotype"/>
          <w:b/>
          <w:color w:val="222222"/>
          <w:lang w:eastAsia="es-ES_tradnl"/>
        </w:rPr>
        <w:t>.</w:t>
      </w:r>
      <w:r w:rsidRPr="00452437">
        <w:rPr>
          <w:rFonts w:ascii="Palatino Linotype" w:hAnsi="Palatino Linotype"/>
          <w:b/>
          <w:color w:val="222222"/>
          <w:sz w:val="22"/>
          <w:szCs w:val="22"/>
          <w:lang w:eastAsia="es-ES_tradnl"/>
        </w:rPr>
        <w:t xml:space="preserve"> </w:t>
      </w:r>
      <w:r w:rsidRPr="00452437">
        <w:rPr>
          <w:rFonts w:ascii="Palatino Linotype" w:hAnsi="Palatino Linotype"/>
          <w:b/>
          <w:color w:val="222222"/>
          <w:lang w:eastAsia="es-ES_tradnl"/>
        </w:rPr>
        <w:t xml:space="preserve">Notifíquese </w:t>
      </w:r>
      <w:r w:rsidRPr="00D5729F">
        <w:rPr>
          <w:rFonts w:ascii="Palatino Linotype" w:hAnsi="Palatino Linotype"/>
          <w:color w:val="222222"/>
          <w:lang w:eastAsia="es-ES_tradnl"/>
        </w:rPr>
        <w:t>a</w:t>
      </w:r>
      <w:r w:rsidRPr="00452437">
        <w:rPr>
          <w:rFonts w:ascii="Palatino Linotype" w:hAnsi="Palatino Linotype"/>
          <w:b/>
          <w:color w:val="222222"/>
          <w:lang w:eastAsia="es-ES_tradnl"/>
        </w:rPr>
        <w:t xml:space="preserve"> </w:t>
      </w:r>
      <w:r w:rsidRPr="00452437">
        <w:rPr>
          <w:rFonts w:ascii="Palatino Linotype" w:hAnsi="Palatino Linotype"/>
          <w:b/>
          <w:szCs w:val="22"/>
        </w:rPr>
        <w:t>EL RECURRENTE</w:t>
      </w:r>
      <w:r w:rsidRPr="00452437">
        <w:rPr>
          <w:rFonts w:ascii="Palatino Linotype" w:hAnsi="Palatino Linotype"/>
          <w:color w:val="222222"/>
          <w:lang w:eastAsia="es-ES_tradnl"/>
        </w:rPr>
        <w:t xml:space="preserve"> la presente resolución</w:t>
      </w:r>
      <w:r>
        <w:rPr>
          <w:rFonts w:ascii="Palatino Linotype" w:hAnsi="Palatino Linotype"/>
          <w:color w:val="222222"/>
          <w:lang w:eastAsia="es-ES_tradnl"/>
        </w:rPr>
        <w:t>,</w:t>
      </w:r>
      <w:r w:rsidRPr="00452437">
        <w:rPr>
          <w:rFonts w:ascii="Palatino Linotype" w:hAnsi="Palatino Linotype"/>
          <w:color w:val="222222"/>
          <w:lang w:eastAsia="es-ES_tradnl"/>
        </w:rPr>
        <w:t xml:space="preserve"> vía </w:t>
      </w:r>
      <w:r w:rsidRPr="00103414">
        <w:rPr>
          <w:rFonts w:ascii="Palatino Linotype" w:hAnsi="Palatino Linotype"/>
          <w:b/>
          <w:color w:val="222222"/>
          <w:lang w:eastAsia="es-ES_tradnl"/>
        </w:rPr>
        <w:t>SAIMEX</w:t>
      </w:r>
      <w:r>
        <w:rPr>
          <w:rFonts w:ascii="Palatino Linotype" w:hAnsi="Palatino Linotype"/>
          <w:color w:val="222222"/>
          <w:lang w:eastAsia="es-ES_tradnl"/>
        </w:rPr>
        <w:t>.</w:t>
      </w:r>
    </w:p>
    <w:p w:rsidR="00EE78A1" w:rsidRPr="00452437" w:rsidRDefault="00EE78A1" w:rsidP="00EE78A1">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EE78A1" w:rsidRDefault="00EE78A1" w:rsidP="00EE78A1">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b/>
          <w:color w:val="222222"/>
          <w:lang w:eastAsia="es-ES_tradnl"/>
        </w:rPr>
        <w:t xml:space="preserve">CUARTO. </w:t>
      </w:r>
      <w:r w:rsidRPr="00DE5871">
        <w:rPr>
          <w:rFonts w:ascii="Palatino Linotype" w:eastAsia="MS Mincho" w:hAnsi="Palatino Linotype"/>
        </w:rPr>
        <w:t xml:space="preserve">Se hace del conocimiento de </w:t>
      </w:r>
      <w:r w:rsidRPr="00DE5871">
        <w:rPr>
          <w:rFonts w:ascii="Palatino Linotype" w:eastAsia="MS Mincho" w:hAnsi="Palatino Linotype"/>
          <w:b/>
        </w:rPr>
        <w:t>LA RECURRENTE</w:t>
      </w:r>
      <w:r w:rsidRPr="00DE5871">
        <w:rPr>
          <w:rFonts w:ascii="Palatino Linotype" w:hAnsi="Palatino Linotype"/>
        </w:rPr>
        <w:t xml:space="preserve"> </w:t>
      </w:r>
      <w:r w:rsidRPr="00DE587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DE5871">
        <w:rPr>
          <w:rFonts w:ascii="Palatino Linotype" w:eastAsia="MS Mincho" w:hAnsi="Palatino Linotype"/>
          <w:bCs/>
        </w:rPr>
        <w:t>vía juicio de amparo</w:t>
      </w:r>
      <w:r w:rsidRPr="00DE5871">
        <w:rPr>
          <w:rFonts w:ascii="Palatino Linotype" w:eastAsia="MS Mincho" w:hAnsi="Palatino Linotype"/>
        </w:rPr>
        <w:t> en los términos de las leyes aplicables.</w:t>
      </w:r>
    </w:p>
    <w:p w:rsidR="00272557" w:rsidRPr="001E72A2" w:rsidRDefault="00272557" w:rsidP="00272557">
      <w:pPr>
        <w:spacing w:before="240" w:after="240" w:line="360" w:lineRule="auto"/>
        <w:ind w:firstLine="1"/>
        <w:jc w:val="both"/>
        <w:rPr>
          <w:rFonts w:ascii="Palatino Linotype" w:hAnsi="Palatino Linotype"/>
          <w:smallCaps/>
        </w:rPr>
      </w:pPr>
      <w:r w:rsidRPr="001E72A2">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 EN LA TRIGÉSIMA NOVENA SESIÓN ORDINARIA CELEBRADA EL UNO (01) DE NOVIEMBRE DE DOS MIL VEINTITRÉS, ANTE EL SECRETARIO TÉCNICO DEL PLENO ALEXIS TAPIA RAMÍREZ. </w:t>
      </w:r>
      <w:bookmarkStart w:id="151" w:name="_GoBack"/>
      <w:bookmarkEnd w:id="151"/>
    </w:p>
    <w:p w:rsidR="009F09BC" w:rsidRPr="006129A3" w:rsidRDefault="009F09BC" w:rsidP="00247898">
      <w:pPr>
        <w:spacing w:line="360" w:lineRule="auto"/>
        <w:jc w:val="both"/>
        <w:rPr>
          <w:rFonts w:ascii="Palatino Linotype" w:hAnsi="Palatino Linotype"/>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spacing w:line="360" w:lineRule="auto"/>
        <w:jc w:val="both"/>
        <w:rPr>
          <w:rFonts w:ascii="Palatino Linotype" w:hAnsi="Palatino Linotype"/>
          <w:color w:val="000000" w:themeColor="text1"/>
        </w:rPr>
      </w:pPr>
    </w:p>
    <w:p w:rsidR="009F09BC" w:rsidRPr="00EA6AAF" w:rsidRDefault="009F09BC" w:rsidP="00247898">
      <w:pPr>
        <w:tabs>
          <w:tab w:val="left" w:pos="3374"/>
        </w:tabs>
        <w:spacing w:line="360" w:lineRule="auto"/>
        <w:jc w:val="both"/>
        <w:rPr>
          <w:rFonts w:ascii="Palatino Linotype" w:hAnsi="Palatino Linotype"/>
          <w:color w:val="000000" w:themeColor="text1"/>
        </w:rPr>
      </w:pPr>
      <w:r w:rsidRPr="00EA6AAF">
        <w:rPr>
          <w:rFonts w:ascii="Palatino Linotype" w:hAnsi="Palatino Linotype"/>
          <w:color w:val="000000" w:themeColor="text1"/>
        </w:rPr>
        <w:tab/>
      </w:r>
    </w:p>
    <w:p w:rsidR="0074110E" w:rsidRPr="00EA6AAF" w:rsidRDefault="0074110E" w:rsidP="00247898">
      <w:pPr>
        <w:tabs>
          <w:tab w:val="left" w:pos="3374"/>
        </w:tabs>
        <w:spacing w:line="360" w:lineRule="auto"/>
        <w:jc w:val="both"/>
        <w:rPr>
          <w:rFonts w:ascii="Palatino Linotype" w:hAnsi="Palatino Linotype"/>
          <w:color w:val="000000" w:themeColor="text1"/>
        </w:rPr>
      </w:pPr>
    </w:p>
    <w:p w:rsidR="0074110E" w:rsidRPr="00EA6AAF" w:rsidRDefault="0074110E" w:rsidP="00247898">
      <w:pPr>
        <w:tabs>
          <w:tab w:val="left" w:pos="3374"/>
        </w:tabs>
        <w:spacing w:line="360" w:lineRule="auto"/>
        <w:jc w:val="both"/>
        <w:rPr>
          <w:rFonts w:ascii="Palatino Linotype" w:hAnsi="Palatino Linotype"/>
          <w:color w:val="000000" w:themeColor="text1"/>
        </w:rPr>
      </w:pPr>
    </w:p>
    <w:p w:rsidR="0074110E" w:rsidRPr="00EA6AAF" w:rsidRDefault="0074110E" w:rsidP="00247898">
      <w:pPr>
        <w:tabs>
          <w:tab w:val="left" w:pos="3374"/>
        </w:tabs>
        <w:spacing w:line="360" w:lineRule="auto"/>
        <w:jc w:val="both"/>
        <w:rPr>
          <w:rFonts w:ascii="Palatino Linotype" w:hAnsi="Palatino Linotype"/>
          <w:color w:val="000000" w:themeColor="text1"/>
        </w:rPr>
      </w:pPr>
    </w:p>
    <w:p w:rsidR="0074110E" w:rsidRPr="00EA6AAF" w:rsidRDefault="0074110E" w:rsidP="00247898">
      <w:pPr>
        <w:tabs>
          <w:tab w:val="left" w:pos="3374"/>
        </w:tabs>
        <w:spacing w:line="360" w:lineRule="auto"/>
        <w:jc w:val="both"/>
        <w:rPr>
          <w:rFonts w:ascii="Palatino Linotype" w:hAnsi="Palatino Linotype"/>
          <w:color w:val="000000" w:themeColor="text1"/>
        </w:rPr>
      </w:pPr>
    </w:p>
    <w:p w:rsidR="0074110E" w:rsidRPr="00EA6AAF" w:rsidRDefault="0074110E" w:rsidP="00247898">
      <w:pPr>
        <w:tabs>
          <w:tab w:val="left" w:pos="3374"/>
        </w:tabs>
        <w:spacing w:line="360" w:lineRule="auto"/>
        <w:jc w:val="both"/>
        <w:rPr>
          <w:rFonts w:ascii="Palatino Linotype" w:hAnsi="Palatino Linotype"/>
          <w:color w:val="000000" w:themeColor="text1"/>
        </w:rPr>
      </w:pPr>
    </w:p>
    <w:p w:rsidR="0074110E" w:rsidRPr="00EA6AAF" w:rsidRDefault="0074110E" w:rsidP="00247898">
      <w:pPr>
        <w:tabs>
          <w:tab w:val="left" w:pos="3374"/>
        </w:tabs>
        <w:spacing w:line="360" w:lineRule="auto"/>
        <w:jc w:val="both"/>
        <w:rPr>
          <w:rFonts w:ascii="Palatino Linotype" w:hAnsi="Palatino Linotype"/>
          <w:color w:val="000000" w:themeColor="text1"/>
        </w:rPr>
      </w:pPr>
    </w:p>
    <w:p w:rsidR="0074110E" w:rsidRPr="00EA6AAF" w:rsidRDefault="0074110E" w:rsidP="00247898">
      <w:pPr>
        <w:tabs>
          <w:tab w:val="left" w:pos="3374"/>
        </w:tabs>
        <w:spacing w:line="360" w:lineRule="auto"/>
        <w:jc w:val="both"/>
        <w:rPr>
          <w:rFonts w:ascii="Palatino Linotype" w:hAnsi="Palatino Linotype"/>
          <w:color w:val="000000" w:themeColor="text1"/>
        </w:rPr>
      </w:pPr>
    </w:p>
    <w:p w:rsidR="0074110E" w:rsidRPr="00EA6AAF" w:rsidRDefault="0074110E" w:rsidP="00247898">
      <w:pPr>
        <w:tabs>
          <w:tab w:val="left" w:pos="3374"/>
        </w:tabs>
        <w:spacing w:line="360" w:lineRule="auto"/>
        <w:jc w:val="both"/>
        <w:rPr>
          <w:rFonts w:ascii="Palatino Linotype" w:hAnsi="Palatino Linotype"/>
          <w:color w:val="000000" w:themeColor="text1"/>
        </w:rPr>
      </w:pPr>
    </w:p>
    <w:p w:rsidR="00053FB7" w:rsidRPr="00EA6AAF" w:rsidRDefault="00053FB7" w:rsidP="00247898">
      <w:pPr>
        <w:tabs>
          <w:tab w:val="left" w:pos="3374"/>
        </w:tabs>
        <w:spacing w:line="360" w:lineRule="auto"/>
        <w:jc w:val="both"/>
        <w:rPr>
          <w:rFonts w:ascii="Palatino Linotype" w:hAnsi="Palatino Linotype"/>
          <w:color w:val="000000" w:themeColor="text1"/>
        </w:rPr>
      </w:pPr>
    </w:p>
    <w:p w:rsidR="00053FB7" w:rsidRPr="00EA6AAF" w:rsidRDefault="00053FB7" w:rsidP="00247898">
      <w:pPr>
        <w:tabs>
          <w:tab w:val="left" w:pos="3374"/>
        </w:tabs>
        <w:spacing w:line="360" w:lineRule="auto"/>
        <w:jc w:val="both"/>
        <w:rPr>
          <w:rFonts w:ascii="Palatino Linotype" w:hAnsi="Palatino Linotype"/>
          <w:color w:val="000000" w:themeColor="text1"/>
        </w:rPr>
      </w:pPr>
    </w:p>
    <w:p w:rsidR="00053FB7" w:rsidRPr="00EA6AAF" w:rsidRDefault="00053FB7" w:rsidP="00247898">
      <w:pPr>
        <w:tabs>
          <w:tab w:val="left" w:pos="3374"/>
        </w:tabs>
        <w:spacing w:line="360" w:lineRule="auto"/>
        <w:jc w:val="both"/>
        <w:rPr>
          <w:rFonts w:ascii="Palatino Linotype" w:hAnsi="Palatino Linotype"/>
          <w:color w:val="000000" w:themeColor="text1"/>
        </w:rPr>
      </w:pPr>
    </w:p>
    <w:sectPr w:rsidR="00053FB7" w:rsidRPr="00EA6AAF" w:rsidSect="004D465B">
      <w:headerReference w:type="even" r:id="rId12"/>
      <w:headerReference w:type="default" r:id="rId13"/>
      <w:footerReference w:type="default" r:id="rId14"/>
      <w:headerReference w:type="first" r:id="rId15"/>
      <w:footerReference w:type="first" r:id="rId16"/>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81F" w:rsidRDefault="00AA481F" w:rsidP="003B7751">
      <w:r>
        <w:separator/>
      </w:r>
    </w:p>
  </w:endnote>
  <w:endnote w:type="continuationSeparator" w:id="0">
    <w:p w:rsidR="00AA481F" w:rsidRDefault="00AA481F"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2557">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2557">
              <w:rPr>
                <w:rFonts w:ascii="Palatino Linotype" w:hAnsi="Palatino Linotype"/>
                <w:bCs/>
                <w:noProof/>
                <w:sz w:val="20"/>
              </w:rPr>
              <w:t>20</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25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2557">
      <w:rPr>
        <w:rFonts w:ascii="Palatino Linotype" w:hAnsi="Palatino Linotype"/>
        <w:bCs/>
        <w:noProof/>
        <w:sz w:val="20"/>
      </w:rPr>
      <w:t>21</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81F" w:rsidRDefault="00AA481F" w:rsidP="003B7751">
      <w:r>
        <w:separator/>
      </w:r>
    </w:p>
  </w:footnote>
  <w:footnote w:type="continuationSeparator" w:id="0">
    <w:p w:rsidR="00AA481F" w:rsidRDefault="00AA481F" w:rsidP="003B7751">
      <w:r>
        <w:continuationSeparator/>
      </w:r>
    </w:p>
  </w:footnote>
  <w:footnote w:id="1">
    <w:p w:rsidR="00E7611A" w:rsidRDefault="00E7611A" w:rsidP="00E7611A">
      <w:pPr>
        <w:pStyle w:val="Textonotapie"/>
      </w:pPr>
      <w:r>
        <w:rPr>
          <w:rStyle w:val="Refdenotaalpie"/>
        </w:rPr>
        <w:footnoteRef/>
      </w:r>
      <w:r>
        <w:t xml:space="preserve"> Convención Americana sobre Derechos Humanos. Artículo 13.</w:t>
      </w:r>
    </w:p>
  </w:footnote>
  <w:footnote w:id="2">
    <w:p w:rsidR="00E7611A" w:rsidRDefault="00E7611A" w:rsidP="00E7611A">
      <w:pPr>
        <w:pStyle w:val="Textonotapie"/>
      </w:pPr>
      <w:r>
        <w:rPr>
          <w:rStyle w:val="Refdenotaalpie"/>
        </w:rPr>
        <w:footnoteRef/>
      </w:r>
      <w:r>
        <w:t xml:space="preserve"> Constitución Política de los Estados Unidos Mexicanos. Artículo sexto, sección A, fracción I.</w:t>
      </w:r>
    </w:p>
  </w:footnote>
  <w:footnote w:id="3">
    <w:p w:rsidR="00E7611A" w:rsidRDefault="00E7611A" w:rsidP="00E7611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7611A" w:rsidRDefault="00E7611A" w:rsidP="00E7611A">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AA481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5" w:type="dxa"/>
      <w:tblInd w:w="1985" w:type="dxa"/>
      <w:tblCellMar>
        <w:left w:w="70" w:type="dxa"/>
        <w:right w:w="70" w:type="dxa"/>
      </w:tblCellMar>
      <w:tblLook w:val="04A0" w:firstRow="1" w:lastRow="0" w:firstColumn="1" w:lastColumn="0" w:noHBand="0" w:noVBand="1"/>
    </w:tblPr>
    <w:tblGrid>
      <w:gridCol w:w="2976"/>
      <w:gridCol w:w="4679"/>
    </w:tblGrid>
    <w:tr w:rsidR="00D46375" w:rsidTr="006129A3">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679" w:type="dxa"/>
          <w:vAlign w:val="center"/>
          <w:hideMark/>
        </w:tcPr>
        <w:p w:rsidR="00D46375" w:rsidRPr="006129A3" w:rsidRDefault="009F015F" w:rsidP="002650A0">
          <w:pPr>
            <w:pStyle w:val="Encabezado"/>
            <w:rPr>
              <w:rFonts w:ascii="Palatino Linotype" w:hAnsi="Palatino Linotype"/>
              <w:sz w:val="22"/>
              <w:szCs w:val="22"/>
            </w:rPr>
          </w:pPr>
          <w:r w:rsidRPr="006129A3">
            <w:rPr>
              <w:rFonts w:ascii="Palatino Linotype" w:hAnsi="Palatino Linotype" w:cs="Arial"/>
              <w:bCs/>
              <w:sz w:val="22"/>
              <w:szCs w:val="22"/>
              <w:lang w:eastAsia="es-MX"/>
            </w:rPr>
            <w:t>06978/INFOEM/IP/RR/2023</w:t>
          </w:r>
        </w:p>
      </w:tc>
    </w:tr>
    <w:tr w:rsidR="00D46375" w:rsidTr="006129A3">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679" w:type="dxa"/>
          <w:vAlign w:val="center"/>
          <w:hideMark/>
        </w:tcPr>
        <w:p w:rsidR="00D46375" w:rsidRPr="006129A3" w:rsidRDefault="009F015F" w:rsidP="009F09BC">
          <w:pPr>
            <w:pStyle w:val="Encabezado"/>
            <w:jc w:val="both"/>
            <w:rPr>
              <w:rFonts w:ascii="Palatino Linotype" w:hAnsi="Palatino Linotype"/>
              <w:sz w:val="22"/>
              <w:szCs w:val="22"/>
            </w:rPr>
          </w:pPr>
          <w:r w:rsidRPr="006129A3">
            <w:rPr>
              <w:rFonts w:ascii="Palatino Linotype" w:hAnsi="Palatino Linotype"/>
              <w:bCs/>
              <w:color w:val="000000"/>
              <w:sz w:val="22"/>
              <w:szCs w:val="22"/>
            </w:rPr>
            <w:t>Coordinación General de Comunicación Social</w:t>
          </w:r>
        </w:p>
      </w:tc>
    </w:tr>
    <w:tr w:rsidR="00D46375" w:rsidTr="006129A3">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4679" w:type="dxa"/>
          <w:vAlign w:val="center"/>
          <w:hideMark/>
        </w:tcPr>
        <w:p w:rsidR="00D46375" w:rsidRPr="006129A3" w:rsidRDefault="00D46375" w:rsidP="009F09BC">
          <w:pPr>
            <w:pStyle w:val="Encabezado"/>
            <w:rPr>
              <w:rFonts w:ascii="Palatino Linotype" w:hAnsi="Palatino Linotype"/>
              <w:sz w:val="22"/>
              <w:szCs w:val="22"/>
            </w:rPr>
          </w:pPr>
          <w:r w:rsidRPr="006129A3">
            <w:rPr>
              <w:rFonts w:ascii="Palatino Linotype" w:hAnsi="Palatino Linotype"/>
              <w:sz w:val="22"/>
              <w:szCs w:val="22"/>
            </w:rPr>
            <w:t>María del Rosario Mejía Ayala</w:t>
          </w:r>
        </w:p>
      </w:tc>
    </w:tr>
  </w:tbl>
  <w:p w:rsidR="00D46375" w:rsidRPr="00AE046A" w:rsidRDefault="00AA481F"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1985" w:type="dxa"/>
      <w:tblCellMar>
        <w:left w:w="70" w:type="dxa"/>
        <w:right w:w="70" w:type="dxa"/>
      </w:tblCellMar>
      <w:tblLook w:val="04A0" w:firstRow="1" w:lastRow="0" w:firstColumn="1" w:lastColumn="0" w:noHBand="0" w:noVBand="1"/>
    </w:tblPr>
    <w:tblGrid>
      <w:gridCol w:w="2977"/>
      <w:gridCol w:w="4819"/>
    </w:tblGrid>
    <w:tr w:rsidR="00D46375" w:rsidTr="006129A3">
      <w:trPr>
        <w:trHeight w:val="227"/>
      </w:trPr>
      <w:tc>
        <w:tcPr>
          <w:tcW w:w="2977" w:type="dxa"/>
          <w:vAlign w:val="center"/>
          <w:hideMark/>
        </w:tcPr>
        <w:p w:rsidR="00D46375" w:rsidRPr="006129A3" w:rsidRDefault="00D46375" w:rsidP="009F09BC">
          <w:pPr>
            <w:jc w:val="right"/>
            <w:rPr>
              <w:rFonts w:ascii="Palatino Linotype" w:hAnsi="Palatino Linotype"/>
              <w:b/>
              <w:sz w:val="22"/>
              <w:szCs w:val="22"/>
            </w:rPr>
          </w:pPr>
          <w:r w:rsidRPr="006129A3">
            <w:rPr>
              <w:rFonts w:ascii="Palatino Linotype" w:hAnsi="Palatino Linotype"/>
              <w:b/>
              <w:sz w:val="22"/>
              <w:szCs w:val="22"/>
            </w:rPr>
            <w:t>Recurso de Revisión:</w:t>
          </w:r>
        </w:p>
      </w:tc>
      <w:tc>
        <w:tcPr>
          <w:tcW w:w="4819" w:type="dxa"/>
          <w:vAlign w:val="center"/>
          <w:hideMark/>
        </w:tcPr>
        <w:p w:rsidR="00D46375" w:rsidRPr="006129A3" w:rsidRDefault="009F015F" w:rsidP="0069487D">
          <w:pPr>
            <w:pStyle w:val="Encabezado"/>
            <w:rPr>
              <w:rFonts w:ascii="Palatino Linotype" w:hAnsi="Palatino Linotype"/>
              <w:sz w:val="22"/>
              <w:szCs w:val="22"/>
            </w:rPr>
          </w:pPr>
          <w:r w:rsidRPr="006129A3">
            <w:rPr>
              <w:rFonts w:ascii="Palatino Linotype" w:hAnsi="Palatino Linotype" w:cs="Arial"/>
              <w:bCs/>
              <w:sz w:val="22"/>
              <w:szCs w:val="22"/>
              <w:lang w:eastAsia="es-MX"/>
            </w:rPr>
            <w:t>06978/INFOEM/IP/RR/2023</w:t>
          </w:r>
        </w:p>
      </w:tc>
    </w:tr>
    <w:tr w:rsidR="00D46375" w:rsidTr="006129A3">
      <w:trPr>
        <w:trHeight w:val="242"/>
      </w:trPr>
      <w:tc>
        <w:tcPr>
          <w:tcW w:w="2977" w:type="dxa"/>
          <w:vAlign w:val="center"/>
          <w:hideMark/>
        </w:tcPr>
        <w:p w:rsidR="00D46375" w:rsidRPr="006129A3" w:rsidRDefault="00D46375" w:rsidP="009F09BC">
          <w:pPr>
            <w:jc w:val="right"/>
            <w:rPr>
              <w:rFonts w:ascii="Palatino Linotype" w:hAnsi="Palatino Linotype"/>
              <w:b/>
              <w:sz w:val="22"/>
              <w:szCs w:val="22"/>
            </w:rPr>
          </w:pPr>
          <w:r w:rsidRPr="006129A3">
            <w:rPr>
              <w:rFonts w:ascii="Palatino Linotype" w:hAnsi="Palatino Linotype"/>
              <w:b/>
              <w:sz w:val="22"/>
              <w:szCs w:val="22"/>
            </w:rPr>
            <w:t>Recurrente:</w:t>
          </w:r>
        </w:p>
      </w:tc>
      <w:tc>
        <w:tcPr>
          <w:tcW w:w="4819" w:type="dxa"/>
          <w:hideMark/>
        </w:tcPr>
        <w:p w:rsidR="00D46375" w:rsidRPr="006129A3" w:rsidRDefault="00D46375" w:rsidP="009F09BC">
          <w:pPr>
            <w:pStyle w:val="Encabezado"/>
            <w:tabs>
              <w:tab w:val="left" w:pos="521"/>
            </w:tabs>
            <w:rPr>
              <w:rFonts w:ascii="Palatino Linotype" w:hAnsi="Palatino Linotype"/>
              <w:sz w:val="22"/>
              <w:szCs w:val="22"/>
            </w:rPr>
          </w:pPr>
        </w:p>
      </w:tc>
    </w:tr>
    <w:tr w:rsidR="00D46375" w:rsidTr="006129A3">
      <w:trPr>
        <w:trHeight w:val="342"/>
      </w:trPr>
      <w:tc>
        <w:tcPr>
          <w:tcW w:w="2977" w:type="dxa"/>
          <w:vAlign w:val="center"/>
        </w:tcPr>
        <w:p w:rsidR="00D46375" w:rsidRPr="006129A3" w:rsidRDefault="00D46375" w:rsidP="009F09BC">
          <w:pPr>
            <w:jc w:val="right"/>
            <w:rPr>
              <w:rFonts w:ascii="Palatino Linotype" w:hAnsi="Palatino Linotype"/>
              <w:b/>
              <w:sz w:val="22"/>
              <w:szCs w:val="22"/>
            </w:rPr>
          </w:pPr>
          <w:r w:rsidRPr="006129A3">
            <w:rPr>
              <w:rFonts w:ascii="Palatino Linotype" w:hAnsi="Palatino Linotype"/>
              <w:b/>
              <w:sz w:val="22"/>
              <w:szCs w:val="22"/>
            </w:rPr>
            <w:t>Sujeto Obligado:</w:t>
          </w:r>
        </w:p>
      </w:tc>
      <w:tc>
        <w:tcPr>
          <w:tcW w:w="4819" w:type="dxa"/>
          <w:vAlign w:val="center"/>
        </w:tcPr>
        <w:p w:rsidR="00D46375" w:rsidRPr="006129A3" w:rsidRDefault="009F015F" w:rsidP="009F09BC">
          <w:pPr>
            <w:pStyle w:val="Encabezado"/>
            <w:jc w:val="both"/>
            <w:rPr>
              <w:rFonts w:ascii="Palatino Linotype" w:hAnsi="Palatino Linotype"/>
              <w:sz w:val="22"/>
              <w:szCs w:val="22"/>
            </w:rPr>
          </w:pPr>
          <w:r w:rsidRPr="006129A3">
            <w:rPr>
              <w:rFonts w:ascii="Palatino Linotype" w:hAnsi="Palatino Linotype"/>
              <w:bCs/>
              <w:color w:val="000000"/>
              <w:sz w:val="22"/>
              <w:szCs w:val="22"/>
            </w:rPr>
            <w:t>Coordinación General de Comunicación Social</w:t>
          </w:r>
        </w:p>
      </w:tc>
    </w:tr>
    <w:tr w:rsidR="00D46375" w:rsidTr="006129A3">
      <w:trPr>
        <w:trHeight w:val="342"/>
      </w:trPr>
      <w:tc>
        <w:tcPr>
          <w:tcW w:w="2977" w:type="dxa"/>
          <w:vAlign w:val="center"/>
        </w:tcPr>
        <w:p w:rsidR="00D46375" w:rsidRPr="006129A3" w:rsidRDefault="00D46375" w:rsidP="009F09BC">
          <w:pPr>
            <w:jc w:val="right"/>
            <w:rPr>
              <w:rFonts w:ascii="Palatino Linotype" w:hAnsi="Palatino Linotype"/>
              <w:b/>
              <w:sz w:val="22"/>
              <w:szCs w:val="22"/>
            </w:rPr>
          </w:pPr>
          <w:r w:rsidRPr="006129A3">
            <w:rPr>
              <w:rFonts w:ascii="Palatino Linotype" w:hAnsi="Palatino Linotype"/>
              <w:b/>
              <w:sz w:val="22"/>
              <w:szCs w:val="22"/>
            </w:rPr>
            <w:t>Comisionada Ponente:</w:t>
          </w:r>
        </w:p>
      </w:tc>
      <w:tc>
        <w:tcPr>
          <w:tcW w:w="4819" w:type="dxa"/>
          <w:vAlign w:val="center"/>
        </w:tcPr>
        <w:p w:rsidR="00D46375" w:rsidRPr="006129A3" w:rsidRDefault="00D46375" w:rsidP="009F09BC">
          <w:pPr>
            <w:pStyle w:val="Encabezado"/>
            <w:rPr>
              <w:rFonts w:ascii="Palatino Linotype" w:hAnsi="Palatino Linotype"/>
              <w:sz w:val="22"/>
              <w:szCs w:val="22"/>
            </w:rPr>
          </w:pPr>
          <w:r w:rsidRPr="006129A3">
            <w:rPr>
              <w:rFonts w:ascii="Palatino Linotype" w:hAnsi="Palatino Linotype"/>
              <w:sz w:val="22"/>
              <w:szCs w:val="22"/>
            </w:rPr>
            <w:t>María del Rosario Mejía Ayala</w:t>
          </w:r>
        </w:p>
      </w:tc>
    </w:tr>
  </w:tbl>
  <w:p w:rsidR="00D46375" w:rsidRPr="00C222C0" w:rsidRDefault="00AA481F">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9383D"/>
    <w:multiLevelType w:val="hybridMultilevel"/>
    <w:tmpl w:val="45A417CC"/>
    <w:lvl w:ilvl="0" w:tplc="5C326E4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EA206396"/>
    <w:lvl w:ilvl="0" w:tplc="DDEA0752">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8624202"/>
    <w:multiLevelType w:val="hybridMultilevel"/>
    <w:tmpl w:val="C62C42AE"/>
    <w:lvl w:ilvl="0" w:tplc="D5EC5044">
      <w:start w:val="5"/>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8">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6">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8"/>
  </w:num>
  <w:num w:numId="10">
    <w:abstractNumId w:val="22"/>
  </w:num>
  <w:num w:numId="11">
    <w:abstractNumId w:val="16"/>
  </w:num>
  <w:num w:numId="12">
    <w:abstractNumId w:val="27"/>
  </w:num>
  <w:num w:numId="13">
    <w:abstractNumId w:val="39"/>
  </w:num>
  <w:num w:numId="14">
    <w:abstractNumId w:val="5"/>
  </w:num>
  <w:num w:numId="15">
    <w:abstractNumId w:val="19"/>
  </w:num>
  <w:num w:numId="16">
    <w:abstractNumId w:val="34"/>
  </w:num>
  <w:num w:numId="17">
    <w:abstractNumId w:val="10"/>
  </w:num>
  <w:num w:numId="18">
    <w:abstractNumId w:val="29"/>
  </w:num>
  <w:num w:numId="19">
    <w:abstractNumId w:val="40"/>
  </w:num>
  <w:num w:numId="20">
    <w:abstractNumId w:val="20"/>
  </w:num>
  <w:num w:numId="21">
    <w:abstractNumId w:val="25"/>
  </w:num>
  <w:num w:numId="22">
    <w:abstractNumId w:val="17"/>
  </w:num>
  <w:num w:numId="23">
    <w:abstractNumId w:val="45"/>
  </w:num>
  <w:num w:numId="24">
    <w:abstractNumId w:val="8"/>
  </w:num>
  <w:num w:numId="25">
    <w:abstractNumId w:val="35"/>
  </w:num>
  <w:num w:numId="26">
    <w:abstractNumId w:val="24"/>
  </w:num>
  <w:num w:numId="27">
    <w:abstractNumId w:val="6"/>
  </w:num>
  <w:num w:numId="28">
    <w:abstractNumId w:val="36"/>
  </w:num>
  <w:num w:numId="29">
    <w:abstractNumId w:val="32"/>
  </w:num>
  <w:num w:numId="30">
    <w:abstractNumId w:val="28"/>
  </w:num>
  <w:num w:numId="31">
    <w:abstractNumId w:val="43"/>
  </w:num>
  <w:num w:numId="32">
    <w:abstractNumId w:val="21"/>
  </w:num>
  <w:num w:numId="33">
    <w:abstractNumId w:val="9"/>
  </w:num>
  <w:num w:numId="34">
    <w:abstractNumId w:val="14"/>
  </w:num>
  <w:num w:numId="35">
    <w:abstractNumId w:val="7"/>
  </w:num>
  <w:num w:numId="36">
    <w:abstractNumId w:val="41"/>
  </w:num>
  <w:num w:numId="37">
    <w:abstractNumId w:val="31"/>
  </w:num>
  <w:num w:numId="38">
    <w:abstractNumId w:val="23"/>
  </w:num>
  <w:num w:numId="39">
    <w:abstractNumId w:val="15"/>
  </w:num>
  <w:num w:numId="40">
    <w:abstractNumId w:val="33"/>
  </w:num>
  <w:num w:numId="41">
    <w:abstractNumId w:val="2"/>
  </w:num>
  <w:num w:numId="42">
    <w:abstractNumId w:val="12"/>
  </w:num>
  <w:num w:numId="43">
    <w:abstractNumId w:val="26"/>
  </w:num>
  <w:num w:numId="44">
    <w:abstractNumId w:val="44"/>
  </w:num>
  <w:num w:numId="45">
    <w:abstractNumId w:val="30"/>
  </w:num>
  <w:num w:numId="46">
    <w:abstractNumId w:val="46"/>
  </w:num>
  <w:num w:numId="47">
    <w:abstractNumId w:val="42"/>
  </w:num>
  <w:num w:numId="48">
    <w:abstractNumId w:val="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60552"/>
    <w:rsid w:val="0008243D"/>
    <w:rsid w:val="000A6153"/>
    <w:rsid w:val="000B42EA"/>
    <w:rsid w:val="000E1A02"/>
    <w:rsid w:val="000E31C4"/>
    <w:rsid w:val="000E4891"/>
    <w:rsid w:val="00103414"/>
    <w:rsid w:val="00114502"/>
    <w:rsid w:val="001310C6"/>
    <w:rsid w:val="00134CE6"/>
    <w:rsid w:val="001352F5"/>
    <w:rsid w:val="00166F3E"/>
    <w:rsid w:val="001A18E7"/>
    <w:rsid w:val="001C4290"/>
    <w:rsid w:val="001D23C1"/>
    <w:rsid w:val="001D373F"/>
    <w:rsid w:val="001D5404"/>
    <w:rsid w:val="001D630C"/>
    <w:rsid w:val="001E755B"/>
    <w:rsid w:val="001E7EE5"/>
    <w:rsid w:val="001F26DA"/>
    <w:rsid w:val="00213744"/>
    <w:rsid w:val="00222E80"/>
    <w:rsid w:val="00223048"/>
    <w:rsid w:val="00223C06"/>
    <w:rsid w:val="00237FA4"/>
    <w:rsid w:val="00247898"/>
    <w:rsid w:val="00264C9A"/>
    <w:rsid w:val="002650A0"/>
    <w:rsid w:val="00267A08"/>
    <w:rsid w:val="00272557"/>
    <w:rsid w:val="00272CA2"/>
    <w:rsid w:val="00275E7F"/>
    <w:rsid w:val="00277FAC"/>
    <w:rsid w:val="002901F4"/>
    <w:rsid w:val="00291500"/>
    <w:rsid w:val="002A3B71"/>
    <w:rsid w:val="002C0D3C"/>
    <w:rsid w:val="002C4997"/>
    <w:rsid w:val="002C77D6"/>
    <w:rsid w:val="002D294C"/>
    <w:rsid w:val="0030094A"/>
    <w:rsid w:val="00312281"/>
    <w:rsid w:val="00320E8C"/>
    <w:rsid w:val="00321085"/>
    <w:rsid w:val="00323FFD"/>
    <w:rsid w:val="003437D9"/>
    <w:rsid w:val="00353F1D"/>
    <w:rsid w:val="0037157C"/>
    <w:rsid w:val="003833B3"/>
    <w:rsid w:val="003933C4"/>
    <w:rsid w:val="003A06E6"/>
    <w:rsid w:val="003A15C8"/>
    <w:rsid w:val="003B7751"/>
    <w:rsid w:val="003C13F1"/>
    <w:rsid w:val="003C3777"/>
    <w:rsid w:val="003E66D2"/>
    <w:rsid w:val="003F1E88"/>
    <w:rsid w:val="00403D64"/>
    <w:rsid w:val="00407FDA"/>
    <w:rsid w:val="004118FA"/>
    <w:rsid w:val="00425842"/>
    <w:rsid w:val="00427038"/>
    <w:rsid w:val="00437672"/>
    <w:rsid w:val="00456AEE"/>
    <w:rsid w:val="00456CFF"/>
    <w:rsid w:val="0046276B"/>
    <w:rsid w:val="004D465B"/>
    <w:rsid w:val="004E31A0"/>
    <w:rsid w:val="004E4EE6"/>
    <w:rsid w:val="004E6CE4"/>
    <w:rsid w:val="004F34D1"/>
    <w:rsid w:val="00500BD7"/>
    <w:rsid w:val="00507B30"/>
    <w:rsid w:val="005213B7"/>
    <w:rsid w:val="00531473"/>
    <w:rsid w:val="005331D8"/>
    <w:rsid w:val="00541549"/>
    <w:rsid w:val="005432D0"/>
    <w:rsid w:val="00546076"/>
    <w:rsid w:val="005466A7"/>
    <w:rsid w:val="00547ACE"/>
    <w:rsid w:val="005507B0"/>
    <w:rsid w:val="00554A21"/>
    <w:rsid w:val="00555F20"/>
    <w:rsid w:val="00556E0A"/>
    <w:rsid w:val="00563F2E"/>
    <w:rsid w:val="005713EC"/>
    <w:rsid w:val="0057514F"/>
    <w:rsid w:val="00575E75"/>
    <w:rsid w:val="00583A39"/>
    <w:rsid w:val="005B0088"/>
    <w:rsid w:val="005B076D"/>
    <w:rsid w:val="005B6702"/>
    <w:rsid w:val="005B6FD7"/>
    <w:rsid w:val="005C5021"/>
    <w:rsid w:val="005D2F1C"/>
    <w:rsid w:val="005D4C57"/>
    <w:rsid w:val="006129A3"/>
    <w:rsid w:val="0062406B"/>
    <w:rsid w:val="006306EE"/>
    <w:rsid w:val="006313B5"/>
    <w:rsid w:val="00647F7C"/>
    <w:rsid w:val="00657639"/>
    <w:rsid w:val="0066337D"/>
    <w:rsid w:val="006672E1"/>
    <w:rsid w:val="00672934"/>
    <w:rsid w:val="00680C93"/>
    <w:rsid w:val="0069487D"/>
    <w:rsid w:val="006A04B6"/>
    <w:rsid w:val="006A4E0B"/>
    <w:rsid w:val="006A6390"/>
    <w:rsid w:val="006C6E54"/>
    <w:rsid w:val="006D15D0"/>
    <w:rsid w:val="006D1CED"/>
    <w:rsid w:val="006D6CC1"/>
    <w:rsid w:val="006E7397"/>
    <w:rsid w:val="006E7C94"/>
    <w:rsid w:val="006F7BE8"/>
    <w:rsid w:val="00707B87"/>
    <w:rsid w:val="00711062"/>
    <w:rsid w:val="007142AB"/>
    <w:rsid w:val="007142D6"/>
    <w:rsid w:val="00716911"/>
    <w:rsid w:val="00716BCA"/>
    <w:rsid w:val="00720371"/>
    <w:rsid w:val="00736A4D"/>
    <w:rsid w:val="0074110E"/>
    <w:rsid w:val="00742823"/>
    <w:rsid w:val="007601B1"/>
    <w:rsid w:val="00775EB2"/>
    <w:rsid w:val="00782A12"/>
    <w:rsid w:val="00784F66"/>
    <w:rsid w:val="007851DB"/>
    <w:rsid w:val="00792D6A"/>
    <w:rsid w:val="007A460E"/>
    <w:rsid w:val="007A6A1A"/>
    <w:rsid w:val="007B0745"/>
    <w:rsid w:val="007B728A"/>
    <w:rsid w:val="007C3C29"/>
    <w:rsid w:val="007E56E1"/>
    <w:rsid w:val="00804DAA"/>
    <w:rsid w:val="0082142B"/>
    <w:rsid w:val="008227A9"/>
    <w:rsid w:val="008443CC"/>
    <w:rsid w:val="008526F4"/>
    <w:rsid w:val="008563C8"/>
    <w:rsid w:val="008573BF"/>
    <w:rsid w:val="0086792A"/>
    <w:rsid w:val="00873EB6"/>
    <w:rsid w:val="008A06F8"/>
    <w:rsid w:val="008A1D85"/>
    <w:rsid w:val="008A64D0"/>
    <w:rsid w:val="008A699B"/>
    <w:rsid w:val="008B0637"/>
    <w:rsid w:val="008B0B07"/>
    <w:rsid w:val="008C1ED7"/>
    <w:rsid w:val="008D654B"/>
    <w:rsid w:val="008E12E3"/>
    <w:rsid w:val="008E32EE"/>
    <w:rsid w:val="008E330F"/>
    <w:rsid w:val="008E6574"/>
    <w:rsid w:val="008F6D18"/>
    <w:rsid w:val="00911A75"/>
    <w:rsid w:val="009126F1"/>
    <w:rsid w:val="00925CB7"/>
    <w:rsid w:val="00926716"/>
    <w:rsid w:val="009335F9"/>
    <w:rsid w:val="00945135"/>
    <w:rsid w:val="0095341F"/>
    <w:rsid w:val="00970F0B"/>
    <w:rsid w:val="0098774C"/>
    <w:rsid w:val="009937E2"/>
    <w:rsid w:val="009972BB"/>
    <w:rsid w:val="009A2251"/>
    <w:rsid w:val="009D0241"/>
    <w:rsid w:val="009D4DBF"/>
    <w:rsid w:val="009D5A32"/>
    <w:rsid w:val="009F015F"/>
    <w:rsid w:val="009F09BC"/>
    <w:rsid w:val="00A23E82"/>
    <w:rsid w:val="00A429D6"/>
    <w:rsid w:val="00A533B8"/>
    <w:rsid w:val="00A56791"/>
    <w:rsid w:val="00A626EB"/>
    <w:rsid w:val="00A8587A"/>
    <w:rsid w:val="00A871B5"/>
    <w:rsid w:val="00AA481F"/>
    <w:rsid w:val="00AB7935"/>
    <w:rsid w:val="00AC006C"/>
    <w:rsid w:val="00AD316E"/>
    <w:rsid w:val="00AD63B4"/>
    <w:rsid w:val="00AF4BBC"/>
    <w:rsid w:val="00B02F5F"/>
    <w:rsid w:val="00B02F61"/>
    <w:rsid w:val="00B06189"/>
    <w:rsid w:val="00B07BF8"/>
    <w:rsid w:val="00B11CDD"/>
    <w:rsid w:val="00B5225F"/>
    <w:rsid w:val="00B530E8"/>
    <w:rsid w:val="00B673A8"/>
    <w:rsid w:val="00B738C3"/>
    <w:rsid w:val="00B86242"/>
    <w:rsid w:val="00BF3FB5"/>
    <w:rsid w:val="00C03BA3"/>
    <w:rsid w:val="00C0715F"/>
    <w:rsid w:val="00C105CC"/>
    <w:rsid w:val="00C1074F"/>
    <w:rsid w:val="00C14F2A"/>
    <w:rsid w:val="00C21FAE"/>
    <w:rsid w:val="00C242A7"/>
    <w:rsid w:val="00C35712"/>
    <w:rsid w:val="00C41B2B"/>
    <w:rsid w:val="00C47C3D"/>
    <w:rsid w:val="00C524F8"/>
    <w:rsid w:val="00C540F4"/>
    <w:rsid w:val="00C54D99"/>
    <w:rsid w:val="00C611F4"/>
    <w:rsid w:val="00C66A19"/>
    <w:rsid w:val="00C85E64"/>
    <w:rsid w:val="00C860B1"/>
    <w:rsid w:val="00C87396"/>
    <w:rsid w:val="00C90814"/>
    <w:rsid w:val="00C91F0F"/>
    <w:rsid w:val="00CA1063"/>
    <w:rsid w:val="00CB757D"/>
    <w:rsid w:val="00CC5B2F"/>
    <w:rsid w:val="00CE7B83"/>
    <w:rsid w:val="00CF0D2B"/>
    <w:rsid w:val="00CF6037"/>
    <w:rsid w:val="00D021A5"/>
    <w:rsid w:val="00D16FC7"/>
    <w:rsid w:val="00D27215"/>
    <w:rsid w:val="00D367B4"/>
    <w:rsid w:val="00D46375"/>
    <w:rsid w:val="00D47231"/>
    <w:rsid w:val="00D5729F"/>
    <w:rsid w:val="00D6224B"/>
    <w:rsid w:val="00D81329"/>
    <w:rsid w:val="00D8320F"/>
    <w:rsid w:val="00D96104"/>
    <w:rsid w:val="00DA6D37"/>
    <w:rsid w:val="00DB17E1"/>
    <w:rsid w:val="00DB753F"/>
    <w:rsid w:val="00DC2611"/>
    <w:rsid w:val="00DD1021"/>
    <w:rsid w:val="00DE2F5A"/>
    <w:rsid w:val="00DF03A5"/>
    <w:rsid w:val="00E118BA"/>
    <w:rsid w:val="00E17429"/>
    <w:rsid w:val="00E55966"/>
    <w:rsid w:val="00E56172"/>
    <w:rsid w:val="00E5636B"/>
    <w:rsid w:val="00E566C9"/>
    <w:rsid w:val="00E5711B"/>
    <w:rsid w:val="00E619AF"/>
    <w:rsid w:val="00E61C13"/>
    <w:rsid w:val="00E61DA9"/>
    <w:rsid w:val="00E7611A"/>
    <w:rsid w:val="00E92E04"/>
    <w:rsid w:val="00EA660A"/>
    <w:rsid w:val="00EA6AAF"/>
    <w:rsid w:val="00EB1CE2"/>
    <w:rsid w:val="00EC4FF9"/>
    <w:rsid w:val="00ED1D6B"/>
    <w:rsid w:val="00ED3A35"/>
    <w:rsid w:val="00ED6E75"/>
    <w:rsid w:val="00EE4670"/>
    <w:rsid w:val="00EE4769"/>
    <w:rsid w:val="00EE78A1"/>
    <w:rsid w:val="00EF45F9"/>
    <w:rsid w:val="00F17658"/>
    <w:rsid w:val="00F24A04"/>
    <w:rsid w:val="00F35B0C"/>
    <w:rsid w:val="00F42ADB"/>
    <w:rsid w:val="00F54259"/>
    <w:rsid w:val="00F72588"/>
    <w:rsid w:val="00F7371C"/>
    <w:rsid w:val="00F946B5"/>
    <w:rsid w:val="00F96064"/>
    <w:rsid w:val="00FB00E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6129A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27204">
      <w:bodyDiv w:val="1"/>
      <w:marLeft w:val="0"/>
      <w:marRight w:val="0"/>
      <w:marTop w:val="0"/>
      <w:marBottom w:val="0"/>
      <w:divBdr>
        <w:top w:val="none" w:sz="0" w:space="0" w:color="auto"/>
        <w:left w:val="none" w:sz="0" w:space="0" w:color="auto"/>
        <w:bottom w:val="none" w:sz="0" w:space="0" w:color="auto"/>
        <w:right w:val="none" w:sz="0" w:space="0" w:color="auto"/>
      </w:divBdr>
    </w:div>
    <w:div w:id="219558372">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634216588">
      <w:bodyDiv w:val="1"/>
      <w:marLeft w:val="0"/>
      <w:marRight w:val="0"/>
      <w:marTop w:val="0"/>
      <w:marBottom w:val="0"/>
      <w:divBdr>
        <w:top w:val="none" w:sz="0" w:space="0" w:color="auto"/>
        <w:left w:val="none" w:sz="0" w:space="0" w:color="auto"/>
        <w:bottom w:val="none" w:sz="0" w:space="0" w:color="auto"/>
        <w:right w:val="none" w:sz="0" w:space="0" w:color="auto"/>
      </w:divBdr>
    </w:div>
    <w:div w:id="1198934925">
      <w:bodyDiv w:val="1"/>
      <w:marLeft w:val="0"/>
      <w:marRight w:val="0"/>
      <w:marTop w:val="0"/>
      <w:marBottom w:val="0"/>
      <w:divBdr>
        <w:top w:val="none" w:sz="0" w:space="0" w:color="auto"/>
        <w:left w:val="none" w:sz="0" w:space="0" w:color="auto"/>
        <w:bottom w:val="none" w:sz="0" w:space="0" w:color="auto"/>
        <w:right w:val="none" w:sz="0" w:space="0" w:color="auto"/>
      </w:divBdr>
    </w:div>
    <w:div w:id="1531331717">
      <w:bodyDiv w:val="1"/>
      <w:marLeft w:val="0"/>
      <w:marRight w:val="0"/>
      <w:marTop w:val="0"/>
      <w:marBottom w:val="0"/>
      <w:divBdr>
        <w:top w:val="none" w:sz="0" w:space="0" w:color="auto"/>
        <w:left w:val="none" w:sz="0" w:space="0" w:color="auto"/>
        <w:bottom w:val="none" w:sz="0" w:space="0" w:color="auto"/>
        <w:right w:val="none" w:sz="0" w:space="0" w:color="auto"/>
      </w:divBdr>
    </w:div>
    <w:div w:id="2071228600">
      <w:bodyDiv w:val="1"/>
      <w:marLeft w:val="0"/>
      <w:marRight w:val="0"/>
      <w:marTop w:val="0"/>
      <w:marBottom w:val="0"/>
      <w:divBdr>
        <w:top w:val="none" w:sz="0" w:space="0" w:color="auto"/>
        <w:left w:val="none" w:sz="0" w:space="0" w:color="auto"/>
        <w:bottom w:val="none" w:sz="0" w:space="0" w:color="auto"/>
        <w:right w:val="none" w:sz="0" w:space="0" w:color="auto"/>
      </w:divBdr>
    </w:div>
    <w:div w:id="211570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22549.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922549.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482E5-BFCD-4DD2-9471-8EDEFF30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3854</Words>
  <Characters>21199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cp:lastPrinted>2023-08-03T17:58:00Z</cp:lastPrinted>
  <dcterms:created xsi:type="dcterms:W3CDTF">2023-10-26T18:14:00Z</dcterms:created>
  <dcterms:modified xsi:type="dcterms:W3CDTF">2023-11-01T22:27:00Z</dcterms:modified>
</cp:coreProperties>
</file>