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33020237"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F25DB">
        <w:rPr>
          <w:rFonts w:ascii="Palatino Linotype" w:eastAsia="Times New Roman" w:hAnsi="Palatino Linotype" w:cs="Arial"/>
          <w:color w:val="000000"/>
          <w:sz w:val="24"/>
          <w:szCs w:val="24"/>
          <w:lang w:eastAsia="es-MX"/>
        </w:rPr>
        <w:t>quince</w:t>
      </w:r>
      <w:r w:rsidR="00D118EC">
        <w:rPr>
          <w:rFonts w:ascii="Palatino Linotype" w:eastAsia="Times New Roman" w:hAnsi="Palatino Linotype" w:cs="Arial"/>
          <w:color w:val="000000"/>
          <w:sz w:val="24"/>
          <w:szCs w:val="24"/>
          <w:lang w:eastAsia="es-MX"/>
        </w:rPr>
        <w:t xml:space="preserve"> de febrero de dos mil veintitrés. </w:t>
      </w:r>
      <w:r w:rsidR="002C2CEE">
        <w:rPr>
          <w:rFonts w:ascii="Palatino Linotype" w:eastAsia="Times New Roman" w:hAnsi="Palatino Linotype" w:cs="Arial"/>
          <w:color w:val="000000"/>
          <w:sz w:val="24"/>
          <w:szCs w:val="24"/>
          <w:lang w:eastAsia="es-MX"/>
        </w:rPr>
        <w:t xml:space="preserve"> </w:t>
      </w:r>
      <w:r w:rsidR="00AD3604">
        <w:rPr>
          <w:rFonts w:ascii="Palatino Linotype" w:eastAsia="Times New Roman" w:hAnsi="Palatino Linotype" w:cs="Arial"/>
          <w:color w:val="000000"/>
          <w:sz w:val="24"/>
          <w:szCs w:val="24"/>
          <w:lang w:eastAsia="es-MX"/>
        </w:rPr>
        <w:t xml:space="preserve"> </w:t>
      </w:r>
      <w:r w:rsidR="008C5595">
        <w:rPr>
          <w:rFonts w:ascii="Palatino Linotype" w:eastAsia="Times New Roman" w:hAnsi="Palatino Linotype" w:cs="Arial"/>
          <w:color w:val="000000"/>
          <w:sz w:val="24"/>
          <w:szCs w:val="24"/>
          <w:lang w:eastAsia="es-MX"/>
        </w:rPr>
        <w:t xml:space="preserve"> </w:t>
      </w:r>
      <w:r w:rsidR="000C1477">
        <w:rPr>
          <w:rFonts w:ascii="Palatino Linotype" w:eastAsia="Times New Roman" w:hAnsi="Palatino Linotype" w:cs="Arial"/>
          <w:color w:val="000000"/>
          <w:sz w:val="24"/>
          <w:szCs w:val="24"/>
          <w:lang w:eastAsia="es-MX"/>
        </w:rPr>
        <w:t xml:space="preserve"> </w:t>
      </w:r>
      <w:r w:rsidR="00C07B2D">
        <w:rPr>
          <w:rFonts w:ascii="Palatino Linotype" w:eastAsia="Times New Roman" w:hAnsi="Palatino Linotype" w:cs="Arial"/>
          <w:color w:val="000000"/>
          <w:sz w:val="24"/>
          <w:szCs w:val="24"/>
          <w:lang w:eastAsia="es-MX"/>
        </w:rPr>
        <w:t xml:space="preserve"> </w:t>
      </w:r>
      <w:r w:rsidR="00972CF8">
        <w:rPr>
          <w:rFonts w:ascii="Palatino Linotype" w:eastAsia="Times New Roman" w:hAnsi="Palatino Linotype" w:cs="Arial"/>
          <w:color w:val="000000"/>
          <w:sz w:val="24"/>
          <w:szCs w:val="24"/>
          <w:lang w:eastAsia="es-MX"/>
        </w:rPr>
        <w:t xml:space="preserve"> </w:t>
      </w:r>
    </w:p>
    <w:p w14:paraId="220AFEB8" w14:textId="50166652" w:rsidR="00D118EC" w:rsidRPr="00D118EC" w:rsidRDefault="00B433C9" w:rsidP="00B433C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D118EC">
        <w:rPr>
          <w:rFonts w:ascii="Palatino Linotype" w:hAnsi="Palatino Linotype" w:cs="Arial"/>
          <w:b/>
          <w:bCs/>
          <w:sz w:val="24"/>
        </w:rPr>
        <w:t>16500</w:t>
      </w:r>
      <w:r w:rsidR="00A339E6">
        <w:rPr>
          <w:rFonts w:ascii="Palatino Linotype" w:hAnsi="Palatino Linotype" w:cs="Arial"/>
          <w:b/>
          <w:bCs/>
          <w:sz w:val="24"/>
        </w:rPr>
        <w:t>/INFOEM/IP/RR/2022</w:t>
      </w:r>
      <w:r w:rsidR="005F2C76">
        <w:rPr>
          <w:rFonts w:ascii="Palatino Linotype" w:hAnsi="Palatino Linotype" w:cs="Arial"/>
          <w:b/>
          <w:bCs/>
          <w:sz w:val="24"/>
        </w:rPr>
        <w:t xml:space="preserve">, </w:t>
      </w:r>
      <w:r w:rsidR="00C01E1C">
        <w:rPr>
          <w:rFonts w:ascii="Palatino Linotype" w:hAnsi="Palatino Linotype" w:cs="Arial"/>
          <w:sz w:val="24"/>
        </w:rPr>
        <w:t>interpuesto por</w:t>
      </w:r>
      <w:r w:rsidR="00752A9A">
        <w:rPr>
          <w:rFonts w:ascii="Palatino Linotype" w:hAnsi="Palatino Linotype" w:cs="Arial"/>
          <w:sz w:val="24"/>
        </w:rPr>
        <w:t xml:space="preserve"> </w:t>
      </w:r>
      <w:r w:rsidR="00D118EC">
        <w:rPr>
          <w:rFonts w:ascii="Palatino Linotype" w:hAnsi="Palatino Linotype" w:cs="Arial"/>
          <w:sz w:val="24"/>
        </w:rPr>
        <w:t xml:space="preserve">un particular, en lo sucesivo </w:t>
      </w:r>
      <w:r w:rsidR="00D118EC">
        <w:rPr>
          <w:rFonts w:ascii="Palatino Linotype" w:hAnsi="Palatino Linotype" w:cs="Arial"/>
          <w:b/>
          <w:bCs/>
          <w:sz w:val="24"/>
        </w:rPr>
        <w:t xml:space="preserve">El Recurrente, </w:t>
      </w:r>
      <w:r w:rsidR="00D118EC">
        <w:rPr>
          <w:rFonts w:ascii="Palatino Linotype" w:hAnsi="Palatino Linotype" w:cs="Arial"/>
          <w:sz w:val="24"/>
        </w:rPr>
        <w:t xml:space="preserve">en contra de la respuesta del </w:t>
      </w:r>
      <w:r w:rsidR="00D118EC">
        <w:rPr>
          <w:rFonts w:ascii="Palatino Linotype" w:hAnsi="Palatino Linotype" w:cs="Arial"/>
          <w:b/>
          <w:bCs/>
          <w:sz w:val="24"/>
        </w:rPr>
        <w:t xml:space="preserve">Ayuntamiento de Toluca, </w:t>
      </w:r>
      <w:r w:rsidR="00D118EC">
        <w:rPr>
          <w:rFonts w:ascii="Palatino Linotype" w:hAnsi="Palatino Linotype" w:cs="Arial"/>
          <w:sz w:val="24"/>
        </w:rPr>
        <w:t xml:space="preserve">en lo subsecuente </w:t>
      </w:r>
      <w:r w:rsidR="00D118EC">
        <w:rPr>
          <w:rFonts w:ascii="Palatino Linotype" w:hAnsi="Palatino Linotype" w:cs="Arial"/>
          <w:b/>
          <w:bCs/>
          <w:sz w:val="24"/>
        </w:rPr>
        <w:t xml:space="preserve">El Sujeto Obligado, </w:t>
      </w:r>
      <w:r w:rsidR="00D118EC">
        <w:rPr>
          <w:rFonts w:ascii="Palatino Linotype" w:hAnsi="Palatino Linotype" w:cs="Arial"/>
          <w:sz w:val="24"/>
        </w:rPr>
        <w:t xml:space="preserve">se procede a dictar la presente resolución. </w:t>
      </w:r>
      <w:bookmarkStart w:id="0" w:name="_GoBack"/>
      <w:bookmarkEnd w:id="0"/>
    </w:p>
    <w:p w14:paraId="520E805E" w14:textId="77777777" w:rsidR="00D118EC" w:rsidRDefault="00D118EC" w:rsidP="00B433C9">
      <w:pPr>
        <w:tabs>
          <w:tab w:val="left" w:pos="1701"/>
        </w:tabs>
        <w:spacing w:before="240" w:line="360" w:lineRule="auto"/>
        <w:jc w:val="both"/>
        <w:rPr>
          <w:rFonts w:ascii="Palatino Linotype" w:hAnsi="Palatino Linotype" w:cs="Arial"/>
          <w:sz w:val="24"/>
        </w:rPr>
      </w:pPr>
    </w:p>
    <w:p w14:paraId="4094D3E4" w14:textId="284367AF"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31827480" w14:textId="422EA51F" w:rsidR="00D118EC"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Con fecha</w:t>
      </w:r>
      <w:r w:rsidR="00AD3604">
        <w:rPr>
          <w:rFonts w:ascii="Palatino Linotype" w:hAnsi="Palatino Linotype" w:cs="Arial"/>
          <w:sz w:val="24"/>
        </w:rPr>
        <w:t xml:space="preserve"> </w:t>
      </w:r>
      <w:r w:rsidR="00D118EC">
        <w:rPr>
          <w:rFonts w:ascii="Palatino Linotype" w:hAnsi="Palatino Linotype" w:cs="Arial"/>
          <w:sz w:val="24"/>
        </w:rPr>
        <w:t xml:space="preserve">doce de octubre de dos mil veintidós, </w:t>
      </w:r>
      <w:r w:rsidR="00D118EC">
        <w:rPr>
          <w:rFonts w:ascii="Palatino Linotype" w:hAnsi="Palatino Linotype" w:cs="Arial"/>
          <w:b/>
          <w:bCs/>
          <w:sz w:val="24"/>
        </w:rPr>
        <w:t xml:space="preserve">El Recurrente, </w:t>
      </w:r>
      <w:r w:rsidR="00D118EC">
        <w:rPr>
          <w:rFonts w:ascii="Palatino Linotype" w:hAnsi="Palatino Linotype" w:cs="Arial"/>
          <w:sz w:val="24"/>
        </w:rPr>
        <w:t xml:space="preserve">presentó a través del Sistema de Acceso a la Información Mexiquense </w:t>
      </w:r>
      <w:r w:rsidR="00D118EC">
        <w:rPr>
          <w:rFonts w:ascii="Palatino Linotype" w:hAnsi="Palatino Linotype" w:cs="Arial"/>
          <w:b/>
          <w:sz w:val="24"/>
        </w:rPr>
        <w:t xml:space="preserve">(SAIMEX) </w:t>
      </w:r>
      <w:r w:rsidR="00D118EC">
        <w:rPr>
          <w:rFonts w:ascii="Palatino Linotype" w:hAnsi="Palatino Linotype" w:cs="Arial"/>
          <w:sz w:val="24"/>
        </w:rPr>
        <w:t xml:space="preserve">ante </w:t>
      </w:r>
      <w:r w:rsidR="00D118EC">
        <w:rPr>
          <w:rFonts w:ascii="Palatino Linotype" w:hAnsi="Palatino Linotype" w:cs="Arial"/>
          <w:b/>
          <w:sz w:val="24"/>
        </w:rPr>
        <w:t>El Sujeto Obligado</w:t>
      </w:r>
      <w:r w:rsidR="00D118EC">
        <w:rPr>
          <w:rFonts w:ascii="Palatino Linotype" w:hAnsi="Palatino Linotype" w:cs="Arial"/>
          <w:sz w:val="24"/>
        </w:rPr>
        <w:t xml:space="preserve">, solicitud de acceso a la información pública, registrada bajo el número de expediente </w:t>
      </w:r>
      <w:r w:rsidR="00D118EC">
        <w:rPr>
          <w:rFonts w:ascii="Palatino Linotype" w:hAnsi="Palatino Linotype" w:cs="Arial"/>
          <w:b/>
          <w:bCs/>
          <w:sz w:val="24"/>
        </w:rPr>
        <w:t xml:space="preserve">02101/TOLUCA/IP/2022, </w:t>
      </w:r>
      <w:r w:rsidR="00D118EC">
        <w:rPr>
          <w:rFonts w:ascii="Palatino Linotype" w:hAnsi="Palatino Linotype" w:cs="Arial"/>
          <w:sz w:val="24"/>
        </w:rPr>
        <w:t>mediante la cual solicitó información en el tenor siguiente:</w:t>
      </w:r>
    </w:p>
    <w:p w14:paraId="128175E0" w14:textId="4AA9DEFD" w:rsidR="00D118EC" w:rsidRPr="00D118EC" w:rsidRDefault="00D118EC" w:rsidP="00D118EC">
      <w:pPr>
        <w:pStyle w:val="Citas"/>
        <w:rPr>
          <w:b/>
          <w:bCs/>
          <w:sz w:val="24"/>
        </w:rPr>
      </w:pPr>
      <w:r>
        <w:t xml:space="preserve">“Solicito por este medio todos los oficios firmados por el tesorero y de cada uno de los </w:t>
      </w:r>
      <w:proofErr w:type="gramStart"/>
      <w:r>
        <w:t>departamentos</w:t>
      </w:r>
      <w:proofErr w:type="gramEnd"/>
      <w:r>
        <w:t xml:space="preserve"> que lo conforman del periodo 2022” </w:t>
      </w:r>
      <w:r>
        <w:rPr>
          <w:b/>
          <w:bCs/>
        </w:rPr>
        <w:t>(Sic)</w:t>
      </w:r>
    </w:p>
    <w:p w14:paraId="19E86044"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7F3535B6" w14:textId="77777777" w:rsidR="00752A9A" w:rsidRDefault="00752A9A" w:rsidP="00B433C9">
      <w:pPr>
        <w:spacing w:before="240" w:line="360" w:lineRule="auto"/>
        <w:jc w:val="both"/>
        <w:rPr>
          <w:rFonts w:ascii="Palatino Linotype" w:hAnsi="Palatino Linotype" w:cs="Arial"/>
          <w:b/>
          <w:sz w:val="28"/>
        </w:rPr>
      </w:pPr>
    </w:p>
    <w:p w14:paraId="2745D23E" w14:textId="08249A04"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2EFFE5DD" w14:textId="29592C0A" w:rsidR="00D118EC" w:rsidRDefault="00B433C9" w:rsidP="0012389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w:t>
      </w:r>
      <w:r w:rsidR="00972CF8">
        <w:rPr>
          <w:rFonts w:ascii="Palatino Linotype" w:hAnsi="Palatino Linotype" w:cs="Arial"/>
          <w:sz w:val="24"/>
          <w:szCs w:val="24"/>
        </w:rPr>
        <w:t xml:space="preserve"> </w:t>
      </w:r>
      <w:r w:rsidR="00D118EC">
        <w:rPr>
          <w:rFonts w:ascii="Palatino Linotype" w:hAnsi="Palatino Linotype" w:cs="Arial"/>
          <w:sz w:val="24"/>
          <w:szCs w:val="24"/>
        </w:rPr>
        <w:t xml:space="preserve">tres de noviembre de dos mil veintidós, </w:t>
      </w:r>
      <w:r w:rsidR="00D118EC">
        <w:rPr>
          <w:rFonts w:ascii="Palatino Linotype" w:hAnsi="Palatino Linotype" w:cs="Arial"/>
          <w:b/>
          <w:bCs/>
          <w:sz w:val="24"/>
          <w:szCs w:val="24"/>
        </w:rPr>
        <w:t xml:space="preserve">El Sujeto Obligado </w:t>
      </w:r>
      <w:r w:rsidR="00D118EC">
        <w:rPr>
          <w:rFonts w:ascii="Palatino Linotype" w:hAnsi="Palatino Linotype" w:cs="Arial"/>
          <w:sz w:val="24"/>
          <w:szCs w:val="24"/>
        </w:rPr>
        <w:t>dio respuesta a la solicitud de información en los siguientes términos:</w:t>
      </w:r>
    </w:p>
    <w:p w14:paraId="5CFB4596" w14:textId="6846E59C" w:rsidR="00D118EC" w:rsidRPr="00D118EC" w:rsidRDefault="00D118EC" w:rsidP="00D118EC">
      <w:pPr>
        <w:pStyle w:val="Citas"/>
      </w:pPr>
      <w:r w:rsidRPr="00D118EC">
        <w:t>“En respuesta a la solicitud recibida, nos permitimos hacer de su conocimiento que con fundamento en el artículo 53, Fracciones: II, V y VI de la Ley de Transparencia y Acceso a la Información Pública del Estado de México y Municipios, le contestamos que:</w:t>
      </w:r>
    </w:p>
    <w:p w14:paraId="02E36FF0" w14:textId="17700B24" w:rsidR="00D118EC" w:rsidRPr="00D118EC" w:rsidRDefault="00D118EC" w:rsidP="00D118EC">
      <w:pPr>
        <w:pStyle w:val="Citas"/>
        <w:rPr>
          <w:b/>
          <w:bCs/>
        </w:rPr>
      </w:pPr>
      <w:r w:rsidRPr="00D118EC">
        <w:t>En atención a la solicitud con folio 02101/TOLUCA/IP/2022, me permito adjuntar al presente la respuesta correspondiente. Sin más por el momento, reciba un saludo”</w:t>
      </w:r>
      <w:r>
        <w:t xml:space="preserve"> </w:t>
      </w:r>
      <w:r>
        <w:rPr>
          <w:b/>
          <w:bCs/>
        </w:rPr>
        <w:t>(Sic)</w:t>
      </w:r>
    </w:p>
    <w:p w14:paraId="3BE0AEEF" w14:textId="479C45A7" w:rsidR="00544216" w:rsidRPr="00544216" w:rsidRDefault="00D118EC" w:rsidP="0012389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bCs/>
          <w:sz w:val="24"/>
          <w:szCs w:val="24"/>
        </w:rPr>
        <w:t xml:space="preserve">“Respuesta 02101_2022.pdf” </w:t>
      </w:r>
      <w:r>
        <w:rPr>
          <w:rFonts w:ascii="Palatino Linotype" w:hAnsi="Palatino Linotype" w:cs="Arial"/>
          <w:sz w:val="24"/>
          <w:szCs w:val="24"/>
        </w:rPr>
        <w:t xml:space="preserve">y </w:t>
      </w:r>
      <w:r>
        <w:rPr>
          <w:rFonts w:ascii="Palatino Linotype" w:hAnsi="Palatino Linotype" w:cs="Arial"/>
          <w:b/>
          <w:bCs/>
          <w:sz w:val="24"/>
          <w:szCs w:val="24"/>
        </w:rPr>
        <w:t xml:space="preserve">“Acta Sexcentésima Trigésima Octava Sesión Extraordinaria.pdf” </w:t>
      </w:r>
      <w:r>
        <w:rPr>
          <w:rFonts w:ascii="Palatino Linotype" w:hAnsi="Palatino Linotype" w:cs="Arial"/>
          <w:sz w:val="24"/>
          <w:szCs w:val="24"/>
        </w:rPr>
        <w:t xml:space="preserve">y </w:t>
      </w:r>
      <w:r>
        <w:rPr>
          <w:rFonts w:ascii="Palatino Linotype" w:hAnsi="Palatino Linotype" w:cs="Arial"/>
          <w:b/>
          <w:bCs/>
          <w:sz w:val="24"/>
          <w:szCs w:val="24"/>
        </w:rPr>
        <w:t xml:space="preserve">“Respuesta 02101_2022.pdf”, </w:t>
      </w:r>
      <w:r w:rsidR="00544216">
        <w:rPr>
          <w:rFonts w:ascii="Palatino Linotype" w:hAnsi="Palatino Linotype" w:cs="Arial"/>
          <w:sz w:val="24"/>
          <w:szCs w:val="24"/>
        </w:rPr>
        <w:t xml:space="preserve">mismos que se tienen por reproducidos en virtud de que serán materia de análisis en el considerando respectivo. </w:t>
      </w:r>
    </w:p>
    <w:p w14:paraId="457FEB66" w14:textId="77777777" w:rsidR="008C5595" w:rsidRDefault="008C5595" w:rsidP="00123898">
      <w:pPr>
        <w:spacing w:before="240" w:line="360" w:lineRule="auto"/>
        <w:jc w:val="both"/>
        <w:rPr>
          <w:rFonts w:ascii="Palatino Linotype" w:hAnsi="Palatino Linotype" w:cs="Arial"/>
          <w:sz w:val="24"/>
          <w:szCs w:val="24"/>
        </w:rPr>
      </w:pPr>
    </w:p>
    <w:p w14:paraId="259B6E09" w14:textId="754D27EB"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206A4859" w14:textId="75DB15B7" w:rsidR="00D118EC"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 xml:space="preserve">El Sujeto Obligado, </w:t>
      </w:r>
      <w:r w:rsidR="00D118EC">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81029">
        <w:rPr>
          <w:rFonts w:ascii="Palatino Linotype" w:hAnsi="Palatino Linotype" w:cs="Arial"/>
          <w:sz w:val="24"/>
          <w:szCs w:val="24"/>
        </w:rPr>
        <w:t xml:space="preserve"> </w:t>
      </w:r>
      <w:r w:rsidR="00D118EC">
        <w:rPr>
          <w:rFonts w:ascii="Palatino Linotype" w:hAnsi="Palatino Linotype" w:cs="Arial"/>
          <w:sz w:val="24"/>
          <w:szCs w:val="24"/>
        </w:rPr>
        <w:t xml:space="preserve">quince de noviembre </w:t>
      </w:r>
      <w:r w:rsidR="000F25DB">
        <w:rPr>
          <w:rFonts w:ascii="Palatino Linotype" w:hAnsi="Palatino Linotype" w:cs="Arial"/>
          <w:sz w:val="24"/>
          <w:szCs w:val="24"/>
        </w:rPr>
        <w:t>de dos mil veintidós</w:t>
      </w:r>
      <w:r w:rsidR="00D118EC">
        <w:rPr>
          <w:rFonts w:ascii="Palatino Linotype" w:hAnsi="Palatino Linotype" w:cs="Arial"/>
          <w:sz w:val="24"/>
          <w:szCs w:val="24"/>
        </w:rPr>
        <w:t xml:space="preserve">, el cual fue registrado en el sistema electrónico con el expediente número </w:t>
      </w:r>
      <w:r w:rsidR="00D118EC">
        <w:rPr>
          <w:rFonts w:ascii="Palatino Linotype" w:hAnsi="Palatino Linotype" w:cs="Arial"/>
          <w:b/>
          <w:bCs/>
          <w:sz w:val="24"/>
          <w:szCs w:val="24"/>
        </w:rPr>
        <w:t xml:space="preserve">16500/INFOEM/IP/RR/2022, </w:t>
      </w:r>
      <w:r w:rsidR="00D118EC">
        <w:rPr>
          <w:rFonts w:ascii="Palatino Linotype" w:hAnsi="Palatino Linotype" w:cs="Arial"/>
          <w:sz w:val="24"/>
          <w:szCs w:val="24"/>
        </w:rPr>
        <w:t>en el cual arguye las siguientes manifestaciones:</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5C0448BD" w14:textId="0BB30F9D" w:rsidR="00B433C9" w:rsidRPr="00712E3A" w:rsidRDefault="00B433C9" w:rsidP="005C57BA">
      <w:pPr>
        <w:pStyle w:val="Citas"/>
        <w:tabs>
          <w:tab w:val="left" w:pos="3750"/>
        </w:tabs>
        <w:rPr>
          <w:b/>
        </w:rPr>
      </w:pPr>
      <w:r w:rsidRPr="00D118EC">
        <w:t>“</w:t>
      </w:r>
      <w:r w:rsidR="00D118EC" w:rsidRPr="00D118EC">
        <w:t xml:space="preserve">no entrega la </w:t>
      </w:r>
      <w:proofErr w:type="spellStart"/>
      <w:r w:rsidR="00D118EC" w:rsidRPr="00D118EC">
        <w:t>informacion</w:t>
      </w:r>
      <w:proofErr w:type="spellEnd"/>
      <w:r w:rsidR="00D118EC" w:rsidRPr="00D118EC">
        <w:t xml:space="preserve"> solicitada</w:t>
      </w:r>
      <w:r w:rsidR="00F516E3" w:rsidRPr="00D118EC">
        <w:t>”</w:t>
      </w:r>
      <w:r w:rsidRPr="003838B4">
        <w:t xml:space="preserve"> </w:t>
      </w:r>
      <w:r w:rsidR="00F516E3" w:rsidRPr="00F516E3">
        <w:rPr>
          <w:b/>
          <w:bCs/>
        </w:rPr>
        <w:t>(Sic)</w:t>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DD14BAC" w14:textId="12853CDB" w:rsidR="00B433C9" w:rsidRPr="00712E3A" w:rsidRDefault="00B433C9" w:rsidP="00E725D5">
      <w:pPr>
        <w:pStyle w:val="Citas"/>
      </w:pPr>
      <w:r w:rsidRPr="00D118EC">
        <w:t>“</w:t>
      </w:r>
      <w:r w:rsidR="00D118EC" w:rsidRPr="00D118EC">
        <w:t xml:space="preserve">no entrega la </w:t>
      </w:r>
      <w:proofErr w:type="spellStart"/>
      <w:r w:rsidR="00D118EC" w:rsidRPr="00D118EC">
        <w:t>informacion</w:t>
      </w:r>
      <w:proofErr w:type="spellEnd"/>
      <w:r w:rsidR="00D118EC" w:rsidRPr="00D118EC">
        <w:t xml:space="preserve"> solicitada</w:t>
      </w:r>
      <w:r w:rsidRPr="00D118EC">
        <w:t>”</w:t>
      </w:r>
      <w:r w:rsidRPr="00712E3A">
        <w:t xml:space="preserve"> </w:t>
      </w:r>
      <w:r w:rsidR="00F516E3">
        <w:rPr>
          <w:b/>
        </w:rPr>
        <w:t>(Sic)</w:t>
      </w:r>
    </w:p>
    <w:p w14:paraId="4E536BD8" w14:textId="77777777" w:rsidR="00544216" w:rsidRDefault="00544216" w:rsidP="00B433C9">
      <w:pPr>
        <w:spacing w:before="240" w:line="360" w:lineRule="auto"/>
        <w:jc w:val="both"/>
        <w:rPr>
          <w:rFonts w:ascii="Palatino Linotype" w:hAnsi="Palatino Linotype" w:cs="Arial"/>
          <w:b/>
          <w:sz w:val="28"/>
        </w:rPr>
      </w:pPr>
    </w:p>
    <w:p w14:paraId="454F7370" w14:textId="4063C398" w:rsidR="00B433C9" w:rsidRDefault="005D3E85"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7E5CACED" w14:textId="77777777" w:rsidR="00D118EC" w:rsidRDefault="00B433C9" w:rsidP="00D118EC">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5A0B05">
        <w:rPr>
          <w:rFonts w:ascii="Palatino Linotype" w:hAnsi="Palatino Linotype" w:cs="Arial"/>
          <w:sz w:val="24"/>
          <w:szCs w:val="24"/>
        </w:rPr>
        <w:t>presidente</w:t>
      </w:r>
      <w:r w:rsidR="00411E6F">
        <w:rPr>
          <w:rFonts w:ascii="Palatino Linotype" w:hAnsi="Palatino Linotype" w:cs="Arial"/>
          <w:sz w:val="24"/>
          <w:szCs w:val="24"/>
        </w:rPr>
        <w:t xml:space="preserv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D81029">
        <w:rPr>
          <w:rFonts w:ascii="Palatino Linotype" w:hAnsi="Palatino Linotype" w:cs="Arial"/>
          <w:sz w:val="24"/>
          <w:szCs w:val="24"/>
        </w:rPr>
        <w:t xml:space="preserve"> </w:t>
      </w:r>
      <w:r w:rsidR="00D118EC">
        <w:rPr>
          <w:rFonts w:ascii="Palatino Linotype" w:hAnsi="Palatino Linotype" w:cs="Arial"/>
          <w:b/>
          <w:bCs/>
          <w:sz w:val="24"/>
          <w:szCs w:val="24"/>
        </w:rPr>
        <w:t xml:space="preserve">veintidós de noviembre de dos mil veintidós, </w:t>
      </w:r>
      <w:r w:rsidR="00D118EC">
        <w:rPr>
          <w:rFonts w:ascii="Palatino Linotype" w:hAnsi="Palatino Linotype" w:cs="Arial"/>
          <w:sz w:val="24"/>
          <w:szCs w:val="24"/>
        </w:rPr>
        <w:t>determinándose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5E166F90" w:rsidR="00B433C9" w:rsidRDefault="005D3E85"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39B55B59" w14:textId="3BE59183" w:rsidR="00D118EC" w:rsidRPr="00D118EC" w:rsidRDefault="009B4F25" w:rsidP="00764DB2">
      <w:pPr>
        <w:spacing w:after="0" w:line="360" w:lineRule="auto"/>
        <w:jc w:val="both"/>
        <w:rPr>
          <w:rFonts w:ascii="Palatino Linotype" w:hAnsi="Palatino Linotype" w:cs="Arial"/>
          <w:b/>
          <w:bCs/>
          <w:sz w:val="24"/>
          <w:szCs w:val="24"/>
        </w:rPr>
      </w:pPr>
      <w:r>
        <w:rPr>
          <w:rFonts w:ascii="Palatino Linotype" w:hAnsi="Palatino Linotype" w:cs="Arial"/>
          <w:sz w:val="24"/>
          <w:szCs w:val="24"/>
        </w:rPr>
        <w:t>En</w:t>
      </w:r>
      <w:r w:rsidR="00764DB2">
        <w:rPr>
          <w:rFonts w:ascii="Palatino Linotype" w:hAnsi="Palatino Linotype" w:cs="Arial"/>
          <w:sz w:val="24"/>
          <w:szCs w:val="24"/>
        </w:rPr>
        <w:t xml:space="preserve"> la etapa de instrucción, de las constancias que obran en el expediente electrónico del recurso de revisión se advierte que </w:t>
      </w:r>
      <w:r w:rsidR="00764DB2">
        <w:rPr>
          <w:rFonts w:ascii="Palatino Linotype" w:hAnsi="Palatino Linotype" w:cs="Arial"/>
          <w:b/>
          <w:bCs/>
          <w:sz w:val="24"/>
          <w:szCs w:val="24"/>
        </w:rPr>
        <w:t xml:space="preserve">El Sujeto Obligado </w:t>
      </w:r>
      <w:r w:rsidR="00764DB2">
        <w:rPr>
          <w:rFonts w:ascii="Palatino Linotype" w:hAnsi="Palatino Linotype" w:cs="Arial"/>
          <w:sz w:val="24"/>
          <w:szCs w:val="24"/>
        </w:rPr>
        <w:t>rindió su informe justificado en fecha</w:t>
      </w:r>
      <w:r>
        <w:rPr>
          <w:rFonts w:ascii="Palatino Linotype" w:hAnsi="Palatino Linotype" w:cs="Arial"/>
          <w:sz w:val="24"/>
          <w:szCs w:val="24"/>
        </w:rPr>
        <w:t xml:space="preserve"> </w:t>
      </w:r>
      <w:r w:rsidR="00D118EC">
        <w:rPr>
          <w:rFonts w:ascii="Palatino Linotype" w:hAnsi="Palatino Linotype" w:cs="Arial"/>
          <w:b/>
          <w:bCs/>
          <w:sz w:val="24"/>
          <w:szCs w:val="24"/>
        </w:rPr>
        <w:t xml:space="preserve">uno de diciembre de dos mil veintidós. </w:t>
      </w:r>
    </w:p>
    <w:p w14:paraId="338A0DE1" w14:textId="1E4BB678" w:rsidR="009B4F25" w:rsidRDefault="009B4F25" w:rsidP="009B4F25">
      <w:pPr>
        <w:spacing w:before="240" w:line="360" w:lineRule="auto"/>
        <w:jc w:val="both"/>
        <w:rPr>
          <w:rFonts w:ascii="Palatino Linotype" w:hAnsi="Palatino Linotype" w:cs="Arial"/>
          <w:sz w:val="24"/>
          <w:szCs w:val="24"/>
        </w:rPr>
      </w:pPr>
      <w:r>
        <w:rPr>
          <w:rFonts w:ascii="Palatino Linotype" w:hAnsi="Palatino Linotype" w:cs="Arial"/>
          <w:sz w:val="24"/>
          <w:szCs w:val="24"/>
        </w:rPr>
        <w:t>Por otra parte</w:t>
      </w:r>
      <w:r w:rsidRPr="0036654D">
        <w:rPr>
          <w:rFonts w:ascii="Palatino Linotype" w:hAnsi="Palatino Linotype" w:cs="Arial"/>
          <w:sz w:val="24"/>
          <w:szCs w:val="24"/>
        </w:rPr>
        <w:t>, en fecha</w:t>
      </w:r>
      <w:r>
        <w:rPr>
          <w:rFonts w:ascii="Palatino Linotype" w:hAnsi="Palatino Linotype" w:cs="Arial"/>
          <w:sz w:val="24"/>
          <w:szCs w:val="24"/>
        </w:rPr>
        <w:t xml:space="preserve"> </w:t>
      </w:r>
      <w:r w:rsidR="00D118EC">
        <w:rPr>
          <w:rFonts w:ascii="Palatino Linotype" w:hAnsi="Palatino Linotype" w:cs="Arial"/>
          <w:b/>
          <w:bCs/>
          <w:sz w:val="24"/>
          <w:szCs w:val="24"/>
        </w:rPr>
        <w:t xml:space="preserve">dieciséis de enero de los corrientes,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w:t>
      </w:r>
      <w:r>
        <w:rPr>
          <w:rFonts w:ascii="Palatino Linotype" w:hAnsi="Palatino Linotype" w:cs="Arial"/>
          <w:sz w:val="24"/>
        </w:rPr>
        <w:lastRenderedPageBreak/>
        <w:t xml:space="preserve">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5243360C"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77D44DF"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BC8090A"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40F7901"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0A21A4B"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Por ello, excepcionalmente, si un asunto es resuelto con posterioridad a los plazos señalados por la norma debe analizarse la razonabilidad del tiempo necesario para su resolución, atentos a los siguientes criterios:  </w:t>
      </w:r>
    </w:p>
    <w:p w14:paraId="25D77D8C"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56F83694"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0B52B9FD"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7FB5D9CD"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7E7184D4"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401C6DA"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w:t>
      </w:r>
      <w:proofErr w:type="gramStart"/>
      <w:r w:rsidRPr="001F3B43">
        <w:rPr>
          <w:rFonts w:ascii="Palatino Linotype" w:hAnsi="Palatino Linotype" w:cstheme="majorHAnsi"/>
          <w:sz w:val="24"/>
          <w:szCs w:val="24"/>
        </w:rPr>
        <w:t>./</w:t>
      </w:r>
      <w:proofErr w:type="gramEnd"/>
      <w:r w:rsidRPr="001F3B43">
        <w:rPr>
          <w:rFonts w:ascii="Palatino Linotype" w:hAnsi="Palatino Linotype" w:cstheme="majorHAnsi"/>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336938E"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FC779D0"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3299087D"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33E77AC7"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525DF630" w14:textId="77777777" w:rsidR="009B4F25" w:rsidRPr="00B01D73" w:rsidRDefault="009B4F25" w:rsidP="009B4F25">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67C5B522" w14:textId="30A571A2" w:rsidR="009113DA" w:rsidRPr="009113DA" w:rsidRDefault="009B4F25" w:rsidP="009B4F25">
      <w:pPr>
        <w:spacing w:after="0" w:line="360" w:lineRule="auto"/>
        <w:jc w:val="both"/>
        <w:rPr>
          <w:rFonts w:ascii="Palatino Linotype" w:hAnsi="Palatino Linotype" w:cs="Arial"/>
          <w:b/>
          <w:bCs/>
          <w:sz w:val="24"/>
          <w:szCs w:val="24"/>
        </w:rPr>
      </w:pPr>
      <w:r>
        <w:rPr>
          <w:rFonts w:ascii="Palatino Linotype" w:hAnsi="Palatino Linotype" w:cs="Arial"/>
          <w:sz w:val="24"/>
          <w:szCs w:val="24"/>
        </w:rPr>
        <w:lastRenderedPageBreak/>
        <w:t>Ahora bien</w:t>
      </w:r>
      <w:r>
        <w:rPr>
          <w:rFonts w:ascii="Palatino Linotype" w:hAnsi="Palatino Linotype" w:cs="Arial"/>
          <w:b/>
          <w:bCs/>
          <w:sz w:val="24"/>
          <w:szCs w:val="24"/>
        </w:rPr>
        <w:t xml:space="preserve">, </w:t>
      </w:r>
      <w:r>
        <w:rPr>
          <w:rFonts w:ascii="Palatino Linotype" w:hAnsi="Palatino Linotype" w:cs="Arial"/>
          <w:sz w:val="24"/>
          <w:szCs w:val="24"/>
        </w:rPr>
        <w:t xml:space="preserve">dicho informe justificado se puso a la vista </w:t>
      </w:r>
      <w:r w:rsidR="009113DA">
        <w:rPr>
          <w:rFonts w:ascii="Palatino Linotype" w:hAnsi="Palatino Linotype" w:cs="Arial"/>
          <w:sz w:val="24"/>
          <w:szCs w:val="24"/>
        </w:rPr>
        <w:t xml:space="preserve">el </w:t>
      </w:r>
      <w:r w:rsidR="009113DA">
        <w:rPr>
          <w:rFonts w:ascii="Palatino Linotype" w:hAnsi="Palatino Linotype" w:cs="Arial"/>
          <w:b/>
          <w:bCs/>
          <w:sz w:val="24"/>
          <w:szCs w:val="24"/>
        </w:rPr>
        <w:t xml:space="preserve">treinta y uno de enero de dos mil veintitrés. </w:t>
      </w:r>
    </w:p>
    <w:p w14:paraId="16CE6B90" w14:textId="77777777" w:rsidR="009113DA" w:rsidRDefault="009113DA" w:rsidP="009B4F25">
      <w:pPr>
        <w:spacing w:after="0" w:line="360" w:lineRule="auto"/>
        <w:jc w:val="both"/>
        <w:rPr>
          <w:rFonts w:ascii="Palatino Linotype" w:hAnsi="Palatino Linotype" w:cs="Arial"/>
          <w:sz w:val="24"/>
          <w:szCs w:val="24"/>
        </w:rPr>
      </w:pPr>
    </w:p>
    <w:p w14:paraId="1D5E5376" w14:textId="77777777" w:rsidR="009B4F25" w:rsidRDefault="009B4F25" w:rsidP="00764DB2">
      <w:pPr>
        <w:spacing w:after="0" w:line="360" w:lineRule="auto"/>
        <w:jc w:val="both"/>
        <w:rPr>
          <w:rFonts w:ascii="Palatino Linotype" w:hAnsi="Palatino Linotype" w:cs="Arial"/>
          <w:sz w:val="24"/>
          <w:szCs w:val="24"/>
        </w:rPr>
      </w:pPr>
    </w:p>
    <w:p w14:paraId="592FBDF5" w14:textId="779E832C" w:rsidR="009B4F25" w:rsidRDefault="009B4F25" w:rsidP="009B4F25">
      <w:pPr>
        <w:pStyle w:val="Prrafodelista"/>
        <w:spacing w:line="360" w:lineRule="auto"/>
        <w:ind w:left="0"/>
        <w:jc w:val="both"/>
        <w:rPr>
          <w:rFonts w:ascii="Palatino Linotype" w:hAnsi="Palatino Linotype" w:cs="Arial"/>
        </w:rPr>
      </w:pPr>
      <w:r>
        <w:rPr>
          <w:rFonts w:ascii="Palatino Linotype" w:hAnsi="Palatino Linotype" w:cs="Arial"/>
          <w:b/>
          <w:sz w:val="28"/>
        </w:rPr>
        <w:t>SEXTO</w:t>
      </w:r>
      <w:r w:rsidRPr="00AC0CCC">
        <w:rPr>
          <w:rFonts w:ascii="Palatino Linotype" w:hAnsi="Palatino Linotype" w:cs="Arial"/>
          <w:b/>
          <w:sz w:val="28"/>
          <w:szCs w:val="28"/>
        </w:rPr>
        <w:t xml:space="preserve">. </w:t>
      </w:r>
      <w:r>
        <w:rPr>
          <w:rFonts w:ascii="Palatino Linotype" w:hAnsi="Palatino Linotype" w:cs="Arial"/>
          <w:b/>
          <w:sz w:val="28"/>
          <w:szCs w:val="28"/>
        </w:rPr>
        <w:t xml:space="preserve">Del cierre de instrucción. </w:t>
      </w:r>
    </w:p>
    <w:p w14:paraId="41D8CAB8" w14:textId="22BD8004" w:rsidR="00DF0E8B" w:rsidRDefault="00764DB2" w:rsidP="00DF0E8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sidR="000F25DB">
        <w:rPr>
          <w:rFonts w:ascii="Palatino Linotype" w:hAnsi="Palatino Linotype" w:cs="Arial"/>
          <w:b/>
          <w:bCs/>
          <w:sz w:val="24"/>
          <w:szCs w:val="24"/>
        </w:rPr>
        <w:t>ocho</w:t>
      </w:r>
      <w:r w:rsidR="009113DA">
        <w:rPr>
          <w:rFonts w:ascii="Palatino Linotype" w:hAnsi="Palatino Linotype" w:cs="Arial"/>
          <w:b/>
          <w:bCs/>
          <w:sz w:val="24"/>
          <w:szCs w:val="24"/>
        </w:rPr>
        <w:t xml:space="preserve"> de febrero de dos mil veintitrés, </w:t>
      </w:r>
      <w:r w:rsidR="00DF0E8B">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2C7357C5" w14:textId="77777777" w:rsidR="009B4F25" w:rsidRDefault="009B4F25" w:rsidP="007E4FA1">
      <w:pPr>
        <w:spacing w:before="240" w:line="360" w:lineRule="auto"/>
        <w:jc w:val="center"/>
        <w:rPr>
          <w:rFonts w:ascii="Palatino Linotype" w:hAnsi="Palatino Linotype" w:cs="Arial"/>
          <w:b/>
          <w:sz w:val="24"/>
        </w:rPr>
      </w:pPr>
    </w:p>
    <w:p w14:paraId="528DBAF8" w14:textId="45E9912D"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lastRenderedPageBreak/>
        <w:t>Reglamento Interior del Instituto de Transparencia, Acceso a la Información Pública y Protección de Datos Personales del Estado de México y Municipios.</w:t>
      </w:r>
    </w:p>
    <w:p w14:paraId="67DEF168" w14:textId="77777777" w:rsidR="009113DA" w:rsidRDefault="009113DA" w:rsidP="0069482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645411A9" w14:textId="1DBFF321"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8B9E702" w14:textId="73223FA4" w:rsidR="00DF0E8B" w:rsidRDefault="00DF0E8B" w:rsidP="00480C32">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97A9577" w14:textId="77777777" w:rsidR="009113DA" w:rsidRDefault="009113DA" w:rsidP="009113DA">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5EC4D131" w14:textId="77777777" w:rsidR="009113DA" w:rsidRPr="00187D70" w:rsidRDefault="009113DA" w:rsidP="009113DA">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3F9A3245" w14:textId="77777777" w:rsidR="009113DA" w:rsidRPr="00187D70" w:rsidRDefault="009113DA" w:rsidP="009113D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1987695F" w14:textId="77777777" w:rsidR="009113DA" w:rsidRPr="00187D70" w:rsidRDefault="009113DA" w:rsidP="009113D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7AE20EFD" w14:textId="77777777" w:rsidR="009113DA" w:rsidRPr="00187D70" w:rsidRDefault="009113DA" w:rsidP="009113DA">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lastRenderedPageBreak/>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D6609ED" w14:textId="77777777" w:rsidR="009113DA" w:rsidRPr="00187D70" w:rsidRDefault="009113DA" w:rsidP="009113D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5E97B96A" w14:textId="77777777" w:rsidR="009113DA" w:rsidRPr="00187D70" w:rsidRDefault="009113DA" w:rsidP="009113D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7DB0FC0F" w14:textId="77777777" w:rsidR="009113DA" w:rsidRPr="00187D70" w:rsidRDefault="009113DA" w:rsidP="009113D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09C2C284" w14:textId="77777777" w:rsidR="009113DA" w:rsidRPr="00187D70" w:rsidRDefault="009113DA" w:rsidP="009113D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0FACE732" w14:textId="77777777" w:rsidR="009113DA" w:rsidRPr="00187D70" w:rsidRDefault="009113DA" w:rsidP="009113D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772E2734" w14:textId="77777777" w:rsidR="009113DA" w:rsidRPr="00187D70" w:rsidRDefault="009113DA" w:rsidP="009113D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40A2DF04" w14:textId="77777777" w:rsidR="009113DA" w:rsidRPr="00187D70" w:rsidRDefault="009113DA" w:rsidP="009113D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4352704C" w14:textId="77777777" w:rsidR="009113DA" w:rsidRPr="00187D70" w:rsidRDefault="009113DA" w:rsidP="009113D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4CAAF743" w14:textId="77777777" w:rsidR="009113DA" w:rsidRPr="009B74C2" w:rsidRDefault="009113DA" w:rsidP="009113DA">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55DCB582" w14:textId="77777777" w:rsidR="009113DA" w:rsidRPr="00187D70" w:rsidRDefault="009113DA" w:rsidP="009113DA">
      <w:pPr>
        <w:spacing w:after="0" w:line="360" w:lineRule="auto"/>
        <w:jc w:val="both"/>
        <w:rPr>
          <w:rFonts w:ascii="Palatino Linotype" w:eastAsia="Times New Roman" w:hAnsi="Palatino Linotype" w:cs="Arial"/>
          <w:b/>
          <w:i/>
          <w:sz w:val="24"/>
          <w:szCs w:val="24"/>
          <w:lang w:eastAsia="es-ES"/>
        </w:rPr>
      </w:pPr>
    </w:p>
    <w:p w14:paraId="0F2C12D9" w14:textId="77777777" w:rsidR="009113DA" w:rsidRPr="00187D70" w:rsidRDefault="009113DA" w:rsidP="009113DA">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lastRenderedPageBreak/>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8DBC169" w14:textId="77777777" w:rsidR="009113DA" w:rsidRDefault="009113DA" w:rsidP="009113DA">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1197A3ED" w14:textId="77777777" w:rsidR="009113DA" w:rsidRPr="009B74C2" w:rsidRDefault="009113DA" w:rsidP="009113DA">
      <w:pPr>
        <w:spacing w:before="240" w:line="360" w:lineRule="auto"/>
        <w:ind w:left="851" w:right="851"/>
        <w:jc w:val="both"/>
        <w:rPr>
          <w:rFonts w:ascii="Palatino Linotype" w:eastAsia="Calibri" w:hAnsi="Palatino Linotype" w:cs="Arial"/>
          <w:b/>
          <w:i/>
          <w:lang w:val="es-ES" w:eastAsia="es-ES"/>
        </w:rPr>
      </w:pPr>
    </w:p>
    <w:p w14:paraId="01787938" w14:textId="77777777" w:rsidR="009113DA" w:rsidRDefault="009113DA" w:rsidP="009113DA">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05CEFCB7" w14:textId="77777777" w:rsidR="009113DA" w:rsidRPr="00187D70" w:rsidRDefault="009113DA" w:rsidP="009113DA">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70C1A1C4" w14:textId="77777777" w:rsidR="009113DA" w:rsidRPr="00187D70" w:rsidRDefault="009113DA" w:rsidP="009113DA">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F67C4C3" w14:textId="77777777" w:rsidR="009113DA" w:rsidRPr="00187D70" w:rsidRDefault="009113DA" w:rsidP="009113D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AF43E49" w14:textId="77777777" w:rsidR="009113DA" w:rsidRPr="00187D70" w:rsidRDefault="009113DA" w:rsidP="009113D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6706615D" w14:textId="77777777" w:rsidR="009113DA" w:rsidRPr="00187D70" w:rsidRDefault="009113DA" w:rsidP="009113D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14:paraId="7AD22DBC" w14:textId="77777777" w:rsidR="009113DA" w:rsidRPr="00187D70" w:rsidRDefault="009113DA" w:rsidP="009113D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C317649" w14:textId="77777777" w:rsidR="009113DA" w:rsidRPr="00187D70" w:rsidRDefault="009113DA" w:rsidP="009113D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4093CB6D" w14:textId="77777777" w:rsidR="009113DA" w:rsidRDefault="009113DA" w:rsidP="009113DA">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00EFE6A6" w14:textId="77777777" w:rsidR="009113DA" w:rsidRPr="00E71AB2" w:rsidRDefault="009113DA" w:rsidP="009113DA">
      <w:pPr>
        <w:spacing w:before="240" w:line="360" w:lineRule="auto"/>
        <w:ind w:left="851" w:right="851"/>
        <w:jc w:val="both"/>
        <w:rPr>
          <w:rFonts w:ascii="Palatino Linotype" w:eastAsia="Times New Roman" w:hAnsi="Palatino Linotype" w:cs="Times New Roman"/>
          <w:b/>
          <w:i/>
          <w:lang w:val="es-ES" w:eastAsia="es-ES"/>
        </w:rPr>
      </w:pPr>
    </w:p>
    <w:p w14:paraId="0E701DD0" w14:textId="77777777" w:rsidR="009113DA" w:rsidRPr="00187D70" w:rsidRDefault="009113DA" w:rsidP="009113DA">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7E346E2E" w14:textId="77777777" w:rsidR="009113DA" w:rsidRPr="00187D70" w:rsidRDefault="009113DA" w:rsidP="009113D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C73DA34" w14:textId="77777777" w:rsidR="009113DA" w:rsidRPr="00187D70" w:rsidRDefault="009113DA" w:rsidP="009113D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386C5F2" w14:textId="77777777" w:rsidR="009113DA" w:rsidRPr="00187D70" w:rsidRDefault="009113DA" w:rsidP="009113D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14:paraId="2464B294" w14:textId="77777777" w:rsidR="009113DA" w:rsidRPr="00187D70" w:rsidRDefault="009113DA" w:rsidP="009113D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46238D30" w14:textId="77777777" w:rsidR="009113DA" w:rsidRPr="00187D70" w:rsidRDefault="009113DA" w:rsidP="009113D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5CEC57D5" w14:textId="77777777" w:rsidR="009113DA" w:rsidRPr="00187D70" w:rsidRDefault="009113DA" w:rsidP="009113D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1F267B5" w14:textId="77777777" w:rsidR="009113DA" w:rsidRPr="00187D70" w:rsidRDefault="009113DA" w:rsidP="009113D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B818914" w14:textId="77777777" w:rsidR="009113DA" w:rsidRPr="00187D70" w:rsidRDefault="009113DA" w:rsidP="009113D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3374CE0F" w14:textId="77777777" w:rsidR="009113DA" w:rsidRPr="00187D70" w:rsidRDefault="009113DA" w:rsidP="009113D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2311F0CA" w14:textId="77777777" w:rsidR="009113DA" w:rsidRPr="00187D70" w:rsidRDefault="009113DA" w:rsidP="009113D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24F38F9" w14:textId="77777777" w:rsidR="009113DA" w:rsidRPr="009B74C2" w:rsidRDefault="009113DA" w:rsidP="009113DA">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w:t>
      </w:r>
      <w:r w:rsidRPr="00187D70">
        <w:rPr>
          <w:rFonts w:ascii="Palatino Linotype" w:eastAsia="Times New Roman" w:hAnsi="Palatino Linotype" w:cs="Times New Roman"/>
          <w:i/>
          <w:lang w:val="es-ES" w:eastAsia="es-ES"/>
        </w:rPr>
        <w:lastRenderedPageBreak/>
        <w:t>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28B283DF" w14:textId="77777777" w:rsidR="00A42674" w:rsidRDefault="00A42674" w:rsidP="009113DA">
      <w:pPr>
        <w:spacing w:after="0" w:line="360" w:lineRule="auto"/>
        <w:jc w:val="both"/>
        <w:rPr>
          <w:rFonts w:ascii="Palatino Linotype" w:eastAsia="Times New Roman" w:hAnsi="Palatino Linotype" w:cs="Times New Roman"/>
          <w:sz w:val="24"/>
          <w:szCs w:val="24"/>
          <w:lang w:val="es-ES" w:eastAsia="es-ES"/>
        </w:rPr>
      </w:pPr>
    </w:p>
    <w:p w14:paraId="344955CA" w14:textId="5763BF66" w:rsidR="009113DA" w:rsidRPr="00187D70" w:rsidRDefault="009113DA" w:rsidP="009113DA">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7C6CFC1A" w14:textId="77777777" w:rsidR="009113DA" w:rsidRPr="00187D70" w:rsidRDefault="009113DA" w:rsidP="009113DA">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C105A7E" w14:textId="77777777" w:rsidR="009113DA" w:rsidRPr="00187D70" w:rsidRDefault="009113DA" w:rsidP="009113DA">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1A6C8717" w14:textId="77777777" w:rsidR="009113DA" w:rsidRPr="009B74C2" w:rsidRDefault="009113DA" w:rsidP="009113DA">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508745CF" w14:textId="77777777" w:rsidR="009113DA" w:rsidRDefault="009113DA" w:rsidP="009113DA">
      <w:pPr>
        <w:spacing w:after="0" w:line="360" w:lineRule="auto"/>
        <w:jc w:val="both"/>
        <w:rPr>
          <w:rFonts w:ascii="Palatino Linotype" w:eastAsia="Times New Roman" w:hAnsi="Palatino Linotype" w:cs="Times New Roman"/>
          <w:sz w:val="24"/>
          <w:szCs w:val="24"/>
          <w:lang w:val="es-ES" w:eastAsia="es-ES"/>
        </w:rPr>
      </w:pPr>
    </w:p>
    <w:p w14:paraId="708E08D6" w14:textId="77777777" w:rsidR="009113DA" w:rsidRDefault="009113DA" w:rsidP="009113DA">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 xml:space="preserve">En conclusión, se cubrieron los requisitos de procedencia y </w:t>
      </w:r>
      <w:proofErr w:type="spellStart"/>
      <w:r w:rsidRPr="009A0C69">
        <w:rPr>
          <w:rFonts w:ascii="Palatino Linotype" w:eastAsia="Calibri" w:hAnsi="Palatino Linotype" w:cs="Arial"/>
          <w:sz w:val="24"/>
          <w:szCs w:val="24"/>
          <w:lang w:val="es-ES"/>
        </w:rPr>
        <w:t>procedibilidad</w:t>
      </w:r>
      <w:proofErr w:type="spellEnd"/>
      <w:r w:rsidRPr="009A0C69">
        <w:rPr>
          <w:rFonts w:ascii="Palatino Linotype" w:eastAsia="Calibri" w:hAnsi="Palatino Linotype" w:cs="Arial"/>
          <w:sz w:val="24"/>
          <w:szCs w:val="24"/>
          <w:lang w:val="es-ES"/>
        </w:rPr>
        <w:t xml:space="preserve"> y conforme a las constancias que obran en el expediente.</w:t>
      </w:r>
    </w:p>
    <w:p w14:paraId="03F06BEB" w14:textId="3968DB3B" w:rsidR="009113DA" w:rsidRPr="009113DA" w:rsidRDefault="009113DA" w:rsidP="00480C32">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DE0292C" w14:textId="795598CD" w:rsidR="00D508EB" w:rsidRDefault="009113DA" w:rsidP="00D508EB">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CUARTO</w:t>
      </w:r>
      <w:r w:rsidR="00D508EB" w:rsidRPr="009510B5">
        <w:rPr>
          <w:rFonts w:ascii="Palatino Linotype" w:hAnsi="Palatino Linotype" w:cs="Arial"/>
          <w:b/>
        </w:rPr>
        <w:t xml:space="preserve">. </w:t>
      </w:r>
      <w:r w:rsidR="00D508EB" w:rsidRPr="009510B5">
        <w:rPr>
          <w:rFonts w:ascii="Palatino Linotype" w:hAnsi="Palatino Linotype" w:cs="Arial"/>
          <w:b/>
          <w:sz w:val="28"/>
          <w:szCs w:val="28"/>
        </w:rPr>
        <w:t>Del estudio de las causas de improcedencia y sobreseimiento</w:t>
      </w:r>
    </w:p>
    <w:p w14:paraId="4B98807C" w14:textId="6B6DCB7B" w:rsidR="00D508EB" w:rsidRDefault="00D508EB" w:rsidP="00D508E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6E241F59" w14:textId="77777777" w:rsidR="009113DA" w:rsidRDefault="009113DA" w:rsidP="00D508EB">
      <w:pPr>
        <w:pStyle w:val="Prrafodelista"/>
        <w:autoSpaceDE w:val="0"/>
        <w:autoSpaceDN w:val="0"/>
        <w:adjustRightInd w:val="0"/>
        <w:spacing w:line="360" w:lineRule="auto"/>
        <w:ind w:left="0"/>
        <w:jc w:val="both"/>
        <w:rPr>
          <w:rFonts w:ascii="Palatino Linotype" w:hAnsi="Palatino Linotype" w:cs="Arial"/>
        </w:rPr>
      </w:pPr>
    </w:p>
    <w:p w14:paraId="0FE85AA0" w14:textId="77777777" w:rsidR="00D508EB" w:rsidRDefault="00D508EB" w:rsidP="00D508E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xml:space="preserve">; presupuestos procesales de inicio o trámite de un proceso que dotan de seguridad jurídica la resolución emitida por este organismo colegiado, máxime que se trata de una figura procesal adoptada </w:t>
      </w:r>
      <w:r>
        <w:rPr>
          <w:rFonts w:ascii="Palatino Linotype" w:hAnsi="Palatino Linotype" w:cs="Arial"/>
        </w:rPr>
        <w:lastRenderedPageBreak/>
        <w:t xml:space="preserve">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517AB490" w14:textId="77777777" w:rsidR="009113DA" w:rsidRDefault="009113DA" w:rsidP="00D508EB">
      <w:pPr>
        <w:autoSpaceDE w:val="0"/>
        <w:autoSpaceDN w:val="0"/>
        <w:adjustRightInd w:val="0"/>
        <w:spacing w:line="360" w:lineRule="auto"/>
        <w:jc w:val="both"/>
        <w:rPr>
          <w:rFonts w:ascii="Palatino Linotype" w:hAnsi="Palatino Linotype" w:cs="Arial"/>
          <w:sz w:val="24"/>
          <w:szCs w:val="24"/>
        </w:rPr>
      </w:pPr>
    </w:p>
    <w:p w14:paraId="5FE96059" w14:textId="63D3DAB8" w:rsidR="00D508EB" w:rsidRDefault="00D508EB" w:rsidP="00D508EB">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 xml:space="preserve">materia o un tema como objeto de derecho de </w:t>
      </w:r>
      <w:r w:rsidRPr="00552846">
        <w:rPr>
          <w:rFonts w:ascii="Palatino Linotype" w:hAnsi="Palatino Linotype" w:cs="Arial"/>
          <w:sz w:val="24"/>
          <w:szCs w:val="24"/>
        </w:rPr>
        <w:lastRenderedPageBreak/>
        <w:t>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17222754" w14:textId="2E8EBBB6" w:rsidR="00D508EB" w:rsidRDefault="00D508EB" w:rsidP="00D508EB">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 xml:space="preserve">Ya que el planteamiento del problema es de toral importancia, a efecto de determinar la intención o voluntad </w:t>
      </w:r>
      <w:r w:rsidR="00944A6D">
        <w:rPr>
          <w:rFonts w:ascii="Palatino Linotype" w:hAnsi="Palatino Linotype" w:cs="Arial"/>
          <w:sz w:val="24"/>
          <w:szCs w:val="24"/>
        </w:rPr>
        <w:t>del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2020CC43" w14:textId="12F41CB0" w:rsidR="009113DA" w:rsidRPr="009113DA" w:rsidRDefault="00D870AC" w:rsidP="00D870AC">
      <w:pPr>
        <w:spacing w:before="240" w:line="360" w:lineRule="auto"/>
        <w:jc w:val="both"/>
        <w:rPr>
          <w:rFonts w:ascii="Palatino Linotype" w:hAnsi="Palatino Linotype"/>
          <w:sz w:val="24"/>
          <w:szCs w:val="24"/>
        </w:rPr>
      </w:pPr>
      <w:r w:rsidRPr="00A279CF">
        <w:rPr>
          <w:rFonts w:ascii="Palatino Linotype" w:hAnsi="Palatino Linotype"/>
          <w:sz w:val="24"/>
          <w:szCs w:val="24"/>
        </w:rPr>
        <w:t xml:space="preserve">Una vez sentado lo anterior, en una aproximación inicial, es procedente mencionar que mediante la solicitud de información </w:t>
      </w:r>
      <w:r w:rsidR="009113DA">
        <w:rPr>
          <w:rFonts w:ascii="Palatino Linotype" w:hAnsi="Palatino Linotype"/>
          <w:b/>
          <w:bCs/>
          <w:sz w:val="24"/>
          <w:szCs w:val="24"/>
        </w:rPr>
        <w:t xml:space="preserve">02101/TOLUCA/IP/2022 </w:t>
      </w:r>
      <w:r w:rsidR="009113DA">
        <w:rPr>
          <w:rFonts w:ascii="Palatino Linotype" w:hAnsi="Palatino Linotype"/>
          <w:sz w:val="24"/>
          <w:szCs w:val="24"/>
        </w:rPr>
        <w:t xml:space="preserve">fue formulado </w:t>
      </w:r>
      <w:r w:rsidR="009113DA">
        <w:rPr>
          <w:rFonts w:ascii="Palatino Linotype" w:hAnsi="Palatino Linotype"/>
          <w:b/>
          <w:bCs/>
          <w:sz w:val="24"/>
          <w:szCs w:val="24"/>
        </w:rPr>
        <w:t xml:space="preserve">1 -un- </w:t>
      </w:r>
      <w:r w:rsidR="009113DA">
        <w:rPr>
          <w:rFonts w:ascii="Palatino Linotype" w:hAnsi="Palatino Linotype"/>
          <w:sz w:val="24"/>
          <w:szCs w:val="24"/>
        </w:rPr>
        <w:t xml:space="preserve">requerimiento respecto del cual se delimitó como elemento temporal </w:t>
      </w:r>
      <w:r w:rsidR="009113DA">
        <w:rPr>
          <w:rFonts w:ascii="Palatino Linotype" w:hAnsi="Palatino Linotype"/>
          <w:i/>
          <w:iCs/>
          <w:sz w:val="24"/>
          <w:szCs w:val="24"/>
        </w:rPr>
        <w:t xml:space="preserve">“que lo conforman del periodo 2022”, </w:t>
      </w:r>
      <w:r w:rsidR="009113DA">
        <w:rPr>
          <w:rFonts w:ascii="Palatino Linotype" w:hAnsi="Palatino Linotype"/>
          <w:sz w:val="24"/>
          <w:szCs w:val="24"/>
        </w:rPr>
        <w:t xml:space="preserve">luego entonces la temporalidad debe de ser delimitada del uno de enero al doce de octubre de dos mil veintidós, éste último al corresponder a la fecha en que se ejerció el derecho de acceso a la información pública. </w:t>
      </w:r>
    </w:p>
    <w:p w14:paraId="50BC3667" w14:textId="4D464845" w:rsidR="00293C29" w:rsidRPr="0051062B" w:rsidRDefault="00EB34ED" w:rsidP="00293C29">
      <w:pPr>
        <w:spacing w:before="240" w:line="360" w:lineRule="auto"/>
        <w:jc w:val="both"/>
        <w:rPr>
          <w:rFonts w:ascii="Palatino Linotype" w:hAnsi="Palatino Linotype"/>
          <w:sz w:val="24"/>
          <w:szCs w:val="24"/>
        </w:rPr>
      </w:pPr>
      <w:r>
        <w:rPr>
          <w:rFonts w:ascii="Palatino Linotype" w:hAnsi="Palatino Linotype"/>
          <w:sz w:val="24"/>
          <w:szCs w:val="24"/>
        </w:rPr>
        <w:t>Dicha precisión</w:t>
      </w:r>
      <w:r w:rsidR="00421D09">
        <w:rPr>
          <w:rFonts w:ascii="Palatino Linotype" w:hAnsi="Palatino Linotype"/>
          <w:sz w:val="24"/>
          <w:szCs w:val="24"/>
        </w:rPr>
        <w:t xml:space="preserve">, </w:t>
      </w:r>
      <w:r w:rsidR="00293C29">
        <w:rPr>
          <w:rFonts w:ascii="Palatino Linotype" w:hAnsi="Palatino Linotype"/>
          <w:sz w:val="24"/>
          <w:szCs w:val="24"/>
        </w:rPr>
        <w:t xml:space="preserve">con fundamento </w:t>
      </w:r>
      <w:r w:rsidR="00293C29" w:rsidRPr="0051062B">
        <w:rPr>
          <w:rFonts w:ascii="Palatino Linotype" w:hAnsi="Palatino Linotype"/>
          <w:sz w:val="24"/>
          <w:szCs w:val="24"/>
        </w:rPr>
        <w:t xml:space="preserve">en los artículos 13 y 181 cuarto párrafo de la Ley en materia, los cuales a la letra rezan: </w:t>
      </w:r>
    </w:p>
    <w:p w14:paraId="5F80000F" w14:textId="77777777" w:rsidR="00293C29" w:rsidRPr="0051062B" w:rsidRDefault="00293C29" w:rsidP="00293C29">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4C8F15D7" w14:textId="77777777" w:rsidR="00293C29" w:rsidRPr="0051062B" w:rsidRDefault="00293C29" w:rsidP="00293C29">
      <w:pPr>
        <w:pStyle w:val="Citas"/>
        <w:rPr>
          <w:b/>
        </w:rPr>
      </w:pPr>
      <w:r w:rsidRPr="0051062B">
        <w:rPr>
          <w:b/>
        </w:rPr>
        <w:t xml:space="preserve">Artículo 181. … </w:t>
      </w:r>
    </w:p>
    <w:p w14:paraId="2845C381" w14:textId="77777777" w:rsidR="00293C29" w:rsidRDefault="00293C29" w:rsidP="00293C29">
      <w:pPr>
        <w:pStyle w:val="Citas"/>
        <w:rPr>
          <w:b/>
        </w:rPr>
      </w:pPr>
      <w:r w:rsidRPr="0051062B">
        <w:t xml:space="preserve">Durante el procedimiento deberá aplicarse la suplencia de la queja a favor del recurrente, sin cambiar los hechos expuestos, asegurándose de que las partes puedan </w:t>
      </w:r>
      <w:r w:rsidRPr="0051062B">
        <w:lastRenderedPageBreak/>
        <w:t xml:space="preserve">presentar, de manera oral o escrita, los argumentos que funden y motiven sus pretensiones.” </w:t>
      </w:r>
      <w:r w:rsidRPr="0051062B">
        <w:rPr>
          <w:b/>
        </w:rPr>
        <w:t>[Sic]</w:t>
      </w:r>
    </w:p>
    <w:p w14:paraId="544793A0" w14:textId="77777777" w:rsidR="00A42674" w:rsidRDefault="00A42674" w:rsidP="00636FD7">
      <w:pPr>
        <w:spacing w:before="240" w:line="360" w:lineRule="auto"/>
        <w:jc w:val="both"/>
        <w:rPr>
          <w:rFonts w:ascii="Palatino Linotype" w:hAnsi="Palatino Linotype"/>
          <w:sz w:val="24"/>
          <w:szCs w:val="24"/>
        </w:rPr>
      </w:pPr>
    </w:p>
    <w:p w14:paraId="31FFD0A3" w14:textId="6379D75A" w:rsidR="00636FD7" w:rsidRPr="0064392E" w:rsidRDefault="00636FD7" w:rsidP="00636FD7">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w:t>
      </w:r>
      <w:r w:rsidR="009D3C55">
        <w:rPr>
          <w:rFonts w:ascii="Palatino Linotype" w:hAnsi="Palatino Linotype"/>
          <w:sz w:val="24"/>
          <w:szCs w:val="24"/>
        </w:rPr>
        <w:t>el requerimiento formulado</w:t>
      </w:r>
      <w:r>
        <w:rPr>
          <w:rFonts w:ascii="Palatino Linotype" w:hAnsi="Palatino Linotype"/>
          <w:sz w:val="24"/>
          <w:szCs w:val="24"/>
        </w:rPr>
        <w:t xml:space="preserve">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6491A04E" w14:textId="726A6D40" w:rsidR="005D29BF" w:rsidRDefault="00EB34ED">
      <w:pPr>
        <w:pStyle w:val="Prrafodelista"/>
        <w:numPr>
          <w:ilvl w:val="0"/>
          <w:numId w:val="1"/>
        </w:numPr>
        <w:spacing w:before="240" w:line="360" w:lineRule="auto"/>
        <w:jc w:val="both"/>
        <w:rPr>
          <w:rFonts w:ascii="Palatino Linotype" w:hAnsi="Palatino Linotype"/>
        </w:rPr>
      </w:pPr>
      <w:r>
        <w:rPr>
          <w:rFonts w:ascii="Palatino Linotype" w:hAnsi="Palatino Linotype"/>
        </w:rPr>
        <w:t xml:space="preserve">Oficios signados por </w:t>
      </w:r>
      <w:r w:rsidR="009113DA">
        <w:rPr>
          <w:rFonts w:ascii="Palatino Linotype" w:hAnsi="Palatino Linotype"/>
        </w:rPr>
        <w:t xml:space="preserve">el tesorero y cada uno de los departamentos que lo conforman, del periodo comprendido del uno de enero al doce de octubre de dos mil veintidós. </w:t>
      </w:r>
    </w:p>
    <w:p w14:paraId="6E0BF2CE" w14:textId="77777777" w:rsidR="00D508EB" w:rsidRDefault="00D508EB" w:rsidP="00421D09">
      <w:pPr>
        <w:spacing w:after="0" w:line="360" w:lineRule="auto"/>
        <w:jc w:val="both"/>
        <w:rPr>
          <w:rFonts w:ascii="Palatino Linotype" w:hAnsi="Palatino Linotype" w:cs="Arial"/>
          <w:sz w:val="24"/>
          <w:szCs w:val="24"/>
        </w:rPr>
      </w:pPr>
    </w:p>
    <w:p w14:paraId="46435527" w14:textId="77777777" w:rsidR="00EB34ED" w:rsidRDefault="00EB34ED" w:rsidP="00EB34ED">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2026A2E5" w14:textId="77777777" w:rsidR="00EB34ED" w:rsidRPr="009535E0" w:rsidRDefault="00EB34ED" w:rsidP="00EB34ED">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0543E9FC" w14:textId="77777777" w:rsidR="00EB34ED" w:rsidRPr="009535E0" w:rsidRDefault="00EB34ED" w:rsidP="00EB34ED">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17A015A1" w14:textId="77777777" w:rsidR="00EB34ED" w:rsidRPr="009535E0" w:rsidRDefault="00EB34ED" w:rsidP="00EB34ED">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9535E0">
        <w:rPr>
          <w:rFonts w:ascii="Palatino Linotype" w:hAnsi="Palatino Linotype"/>
          <w:i/>
        </w:rPr>
        <w:lastRenderedPageBreak/>
        <w:t>social, según corresponda, la información, por lo menos, de los temas, documentos y políticas que a continuación se señalan:</w:t>
      </w:r>
    </w:p>
    <w:p w14:paraId="5712EE05" w14:textId="66EA6196" w:rsidR="00EB34ED" w:rsidRPr="00A94BBE" w:rsidRDefault="00EB34ED" w:rsidP="00EB34ED">
      <w:pPr>
        <w:pStyle w:val="INFOEM"/>
        <w:rPr>
          <w:b/>
        </w:rPr>
      </w:pPr>
      <w: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 </w:t>
      </w:r>
      <w:r>
        <w:rPr>
          <w:b/>
        </w:rPr>
        <w:t xml:space="preserve">[Sic] </w:t>
      </w:r>
    </w:p>
    <w:p w14:paraId="76F8DAB9" w14:textId="77EE151A" w:rsidR="00EB34ED" w:rsidRDefault="00EB34ED" w:rsidP="00513F18">
      <w:pPr>
        <w:spacing w:line="360" w:lineRule="auto"/>
        <w:jc w:val="both"/>
        <w:rPr>
          <w:rFonts w:ascii="Palatino Linotype" w:hAnsi="Palatino Linotype" w:cs="Arial"/>
          <w:sz w:val="24"/>
          <w:szCs w:val="24"/>
        </w:rPr>
      </w:pPr>
    </w:p>
    <w:p w14:paraId="0C2E0D86" w14:textId="63AC7CD2" w:rsidR="00EB34ED" w:rsidRDefault="009113DA" w:rsidP="00513F18">
      <w:pPr>
        <w:spacing w:line="360" w:lineRule="auto"/>
        <w:jc w:val="both"/>
        <w:rPr>
          <w:rFonts w:ascii="Palatino Linotype" w:hAnsi="Palatino Linotype" w:cs="Arial"/>
          <w:noProof/>
          <w:sz w:val="24"/>
          <w:szCs w:val="24"/>
        </w:rPr>
      </w:pPr>
      <w:r>
        <w:rPr>
          <w:rFonts w:ascii="Palatino Linotype" w:hAnsi="Palatino Linotype" w:cs="Arial"/>
          <w:noProof/>
          <w:sz w:val="24"/>
          <w:szCs w:val="24"/>
        </w:rPr>
        <w:t>Al respecto, sirven de sustento las siguientes imágenes ilustrativas:</w:t>
      </w:r>
    </w:p>
    <w:p w14:paraId="6B3D70A2" w14:textId="2A2E779E" w:rsidR="009113DA" w:rsidRDefault="00063A4B" w:rsidP="00513F18">
      <w:pPr>
        <w:spacing w:line="360" w:lineRule="auto"/>
        <w:jc w:val="both"/>
        <w:rPr>
          <w:rFonts w:ascii="Palatino Linotype" w:hAnsi="Palatino Linotype" w:cs="Arial"/>
          <w:noProof/>
          <w:sz w:val="24"/>
          <w:szCs w:val="24"/>
        </w:rPr>
      </w:pPr>
      <w:r>
        <w:rPr>
          <w:rFonts w:ascii="Palatino Linotype" w:hAnsi="Palatino Linotype" w:cs="Arial"/>
          <w:noProof/>
          <w:sz w:val="24"/>
          <w:szCs w:val="24"/>
          <w:lang w:eastAsia="es-MX"/>
        </w:rPr>
        <w:drawing>
          <wp:anchor distT="0" distB="0" distL="114300" distR="114300" simplePos="0" relativeHeight="251718656" behindDoc="0" locked="0" layoutInCell="1" allowOverlap="1" wp14:anchorId="507B9BF3" wp14:editId="13A93CC3">
            <wp:simplePos x="0" y="0"/>
            <wp:positionH relativeFrom="column">
              <wp:posOffset>18415</wp:posOffset>
            </wp:positionH>
            <wp:positionV relativeFrom="paragraph">
              <wp:posOffset>444500</wp:posOffset>
            </wp:positionV>
            <wp:extent cx="5759450" cy="3549650"/>
            <wp:effectExtent l="19050" t="19050" r="12700" b="12700"/>
            <wp:wrapThrough wrapText="bothSides">
              <wp:wrapPolygon edited="0">
                <wp:start x="-71" y="-116"/>
                <wp:lineTo x="-71" y="21561"/>
                <wp:lineTo x="21576" y="21561"/>
                <wp:lineTo x="21576" y="-116"/>
                <wp:lineTo x="-71" y="-116"/>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549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D10FCDB" w14:textId="6998E8F9" w:rsidR="009113DA" w:rsidRDefault="009113DA" w:rsidP="00513F18">
      <w:pPr>
        <w:spacing w:line="360" w:lineRule="auto"/>
        <w:jc w:val="both"/>
        <w:rPr>
          <w:rFonts w:ascii="Palatino Linotype" w:hAnsi="Palatino Linotype" w:cs="Arial"/>
          <w:noProof/>
          <w:sz w:val="24"/>
          <w:szCs w:val="24"/>
        </w:rPr>
      </w:pPr>
    </w:p>
    <w:p w14:paraId="1F039F7B" w14:textId="7A6BF778" w:rsidR="001F5597" w:rsidRDefault="00513F18" w:rsidP="00513F18">
      <w:pPr>
        <w:spacing w:line="360" w:lineRule="auto"/>
        <w:jc w:val="both"/>
        <w:rPr>
          <w:rFonts w:ascii="Palatino Linotype" w:hAnsi="Palatino Linotype" w:cs="Arial"/>
          <w:sz w:val="24"/>
          <w:szCs w:val="24"/>
        </w:rPr>
      </w:pPr>
      <w:r w:rsidRPr="008D595F">
        <w:rPr>
          <w:rFonts w:ascii="Palatino Linotype" w:hAnsi="Palatino Linotype" w:cs="Arial"/>
          <w:sz w:val="24"/>
          <w:szCs w:val="24"/>
        </w:rPr>
        <w:lastRenderedPageBreak/>
        <w:t xml:space="preserve">De lo expuesto con anterioridad, se desprende que </w:t>
      </w:r>
      <w:r w:rsidRPr="008D595F">
        <w:rPr>
          <w:rFonts w:ascii="Palatino Linotype" w:hAnsi="Palatino Linotype" w:cs="Arial"/>
          <w:b/>
          <w:sz w:val="24"/>
          <w:szCs w:val="24"/>
        </w:rPr>
        <w:t xml:space="preserve">El Sujeto Obligado </w:t>
      </w:r>
      <w:r w:rsidRPr="008D595F">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w:t>
      </w:r>
      <w:r w:rsidR="00063A4B">
        <w:rPr>
          <w:rFonts w:ascii="Palatino Linotype" w:hAnsi="Palatino Linotype" w:cs="Arial"/>
          <w:sz w:val="24"/>
          <w:szCs w:val="24"/>
        </w:rPr>
        <w:t xml:space="preserve">la Tesorería Municipal, así como sus unidades administrativas. </w:t>
      </w:r>
      <w:r w:rsidR="00EB34ED">
        <w:rPr>
          <w:rFonts w:ascii="Palatino Linotype" w:hAnsi="Palatino Linotype" w:cs="Arial"/>
          <w:sz w:val="24"/>
          <w:szCs w:val="24"/>
        </w:rPr>
        <w:t xml:space="preserve"> </w:t>
      </w:r>
    </w:p>
    <w:p w14:paraId="2947F141" w14:textId="147E0277" w:rsidR="00063A4B" w:rsidRDefault="00EB34ED" w:rsidP="00513F18">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sentido, resulta oportuno traer a colación </w:t>
      </w:r>
      <w:r w:rsidR="00293FCF">
        <w:rPr>
          <w:rFonts w:ascii="Palatino Linotype" w:hAnsi="Palatino Linotype" w:cs="Arial"/>
          <w:sz w:val="24"/>
          <w:szCs w:val="24"/>
        </w:rPr>
        <w:t xml:space="preserve">el artículo </w:t>
      </w:r>
      <w:r w:rsidR="00B50F3E">
        <w:rPr>
          <w:rFonts w:ascii="Palatino Linotype" w:hAnsi="Palatino Linotype" w:cs="Arial"/>
          <w:sz w:val="24"/>
          <w:szCs w:val="24"/>
        </w:rPr>
        <w:t>95 de la Ley Orgánica Municipal del Estado de México, así como el numeral 3.20 del Código Reglamentario Municipal de Toluca, porciones normativas que disponen a la literalidad lo siguiente:</w:t>
      </w:r>
    </w:p>
    <w:p w14:paraId="38DA9D72" w14:textId="4131555D" w:rsidR="00293FCF" w:rsidRPr="00B50F3E" w:rsidRDefault="00B50F3E" w:rsidP="00B50F3E">
      <w:pPr>
        <w:pStyle w:val="Citas"/>
        <w:jc w:val="center"/>
        <w:rPr>
          <w:b/>
          <w:bCs/>
        </w:rPr>
      </w:pPr>
      <w:r w:rsidRPr="00B50F3E">
        <w:rPr>
          <w:b/>
          <w:bCs/>
        </w:rPr>
        <w:t>LEY ORGÁNICA MUNICIPAL DEL ESTADO DE MÉXICO</w:t>
      </w:r>
    </w:p>
    <w:p w14:paraId="0B757333" w14:textId="44A9F3A0" w:rsidR="00B50F3E" w:rsidRDefault="00B50F3E" w:rsidP="00B50F3E">
      <w:pPr>
        <w:pStyle w:val="Citas"/>
      </w:pPr>
      <w:r>
        <w:t>“</w:t>
      </w:r>
      <w:r w:rsidR="00063A4B">
        <w:t xml:space="preserve">Artículo 95.- Son atribuciones del tesorero municipal: </w:t>
      </w:r>
    </w:p>
    <w:p w14:paraId="7B7C3A0E" w14:textId="77777777" w:rsidR="00B50F3E" w:rsidRDefault="00063A4B" w:rsidP="00B50F3E">
      <w:pPr>
        <w:pStyle w:val="Citas"/>
      </w:pPr>
      <w:r>
        <w:t xml:space="preserve">I. Administrar la hacienda pública municipal, de conformidad con las disposiciones legales aplicables; </w:t>
      </w:r>
    </w:p>
    <w:p w14:paraId="070FB467" w14:textId="77777777" w:rsidR="00B50F3E" w:rsidRDefault="00063A4B" w:rsidP="00B50F3E">
      <w:pPr>
        <w:pStyle w:val="Citas"/>
      </w:pPr>
      <w: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1052C061" w14:textId="77777777" w:rsidR="00B50F3E" w:rsidRDefault="00063A4B" w:rsidP="00B50F3E">
      <w:pPr>
        <w:pStyle w:val="Citas"/>
      </w:pPr>
      <w:r>
        <w:t xml:space="preserve">III. Imponer las sanciones administrativas que procedan por infracciones a las disposiciones fiscales; </w:t>
      </w:r>
    </w:p>
    <w:p w14:paraId="1C739626" w14:textId="77777777" w:rsidR="00B50F3E" w:rsidRDefault="00063A4B" w:rsidP="00B50F3E">
      <w:pPr>
        <w:pStyle w:val="Citas"/>
      </w:pPr>
      <w:r>
        <w:t xml:space="preserve">IV. Llevar los registros contables, financieros y administrativos de los ingresos, egresos, e inventarios; </w:t>
      </w:r>
    </w:p>
    <w:p w14:paraId="439C034F" w14:textId="77777777" w:rsidR="00B50F3E" w:rsidRDefault="00063A4B" w:rsidP="00B50F3E">
      <w:pPr>
        <w:pStyle w:val="Citas"/>
      </w:pPr>
      <w: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1E7E8457" w14:textId="77777777" w:rsidR="00B50F3E" w:rsidRDefault="00063A4B" w:rsidP="00B50F3E">
      <w:pPr>
        <w:pStyle w:val="Citas"/>
      </w:pPr>
      <w:r>
        <w:lastRenderedPageBreak/>
        <w:t xml:space="preserve">VI. Presentar anualmente al ayuntamiento un informe de la situación contable financiera de la Tesorería Municipal; </w:t>
      </w:r>
    </w:p>
    <w:p w14:paraId="1DCD9B70" w14:textId="77777777" w:rsidR="00B50F3E" w:rsidRDefault="00063A4B" w:rsidP="00B50F3E">
      <w:pPr>
        <w:pStyle w:val="Citas"/>
      </w:pPr>
      <w:r>
        <w:t xml:space="preserve">VI Bis. Proporcionar para la formulación del proyecto de Presupuesto de Egresos Municipales la información financiera relativa a la solución o en su caso, el pago de los litigios laborales; </w:t>
      </w:r>
    </w:p>
    <w:p w14:paraId="2C53D8D4" w14:textId="77777777" w:rsidR="00B50F3E" w:rsidRDefault="00063A4B" w:rsidP="00B50F3E">
      <w:pPr>
        <w:pStyle w:val="Citas"/>
      </w:pPr>
      <w:r>
        <w:t xml:space="preserve">VII. Diseñar y aprobar las formas oficiales de manifestaciones, avisos y declaraciones y demás documentos requeridos; </w:t>
      </w:r>
    </w:p>
    <w:p w14:paraId="72C54807" w14:textId="77777777" w:rsidR="00B50F3E" w:rsidRDefault="00063A4B" w:rsidP="00B50F3E">
      <w:pPr>
        <w:pStyle w:val="Citas"/>
      </w:pPr>
      <w:r>
        <w:t xml:space="preserve">VIII. Participar en la formulación de Convenios Fiscales y ejercer las atribuciones que le correspondan en el ámbito de su competencia; </w:t>
      </w:r>
    </w:p>
    <w:p w14:paraId="215BD4D0" w14:textId="77777777" w:rsidR="00B50F3E" w:rsidRDefault="00063A4B" w:rsidP="00B50F3E">
      <w:pPr>
        <w:pStyle w:val="Citas"/>
      </w:pPr>
      <w:r>
        <w:t xml:space="preserve">IX. Proponer al ayuntamiento la cancelación de cuentas incobrables; </w:t>
      </w:r>
    </w:p>
    <w:p w14:paraId="204DF3B6" w14:textId="698B557F" w:rsidR="00B50F3E" w:rsidRDefault="00063A4B" w:rsidP="00B50F3E">
      <w:pPr>
        <w:pStyle w:val="Citas"/>
      </w:pPr>
      <w:r>
        <w:t xml:space="preserve">X. Custodiar y ejercer las garantías que se otorguen en favor de la hacienda municipal; </w:t>
      </w:r>
    </w:p>
    <w:p w14:paraId="7B95C91F" w14:textId="3C5191AA" w:rsidR="00B50F3E" w:rsidRDefault="00063A4B" w:rsidP="00B50F3E">
      <w:pPr>
        <w:pStyle w:val="Citas"/>
      </w:pPr>
      <w:r>
        <w:t xml:space="preserve">XI. Proponer la política de ingresos de la tesorería municipal; </w:t>
      </w:r>
    </w:p>
    <w:p w14:paraId="25CFA725" w14:textId="77777777" w:rsidR="00B50F3E" w:rsidRDefault="00063A4B" w:rsidP="00B50F3E">
      <w:pPr>
        <w:pStyle w:val="Citas"/>
      </w:pPr>
      <w:r>
        <w:t xml:space="preserve">XII. Intervenir en la elaboración del programa financiero municipal; </w:t>
      </w:r>
    </w:p>
    <w:p w14:paraId="3D794C9F" w14:textId="77777777" w:rsidR="00B50F3E" w:rsidRDefault="00063A4B" w:rsidP="00B50F3E">
      <w:pPr>
        <w:pStyle w:val="Citas"/>
      </w:pPr>
      <w:r>
        <w:t xml:space="preserve">XIII. Elaborar y mantener actualizado el Padrón de Contribuyentes; </w:t>
      </w:r>
    </w:p>
    <w:p w14:paraId="6D60D76B" w14:textId="77777777" w:rsidR="00B50F3E" w:rsidRDefault="00063A4B" w:rsidP="00B50F3E">
      <w:pPr>
        <w:pStyle w:val="Citas"/>
      </w:pPr>
      <w:r>
        <w:t xml:space="preserve">XIV. Ministrar a su inmediato antecesor todos los datos oficiales que le solicitare, para contestar los pliegos de observaciones y alcances que formule y deduzca el Órgano Superior de Fiscalización del Estado de México </w:t>
      </w:r>
    </w:p>
    <w:p w14:paraId="0A8DD77C" w14:textId="77777777" w:rsidR="00B50F3E" w:rsidRDefault="00063A4B" w:rsidP="00B50F3E">
      <w:pPr>
        <w:pStyle w:val="Citas"/>
      </w:pPr>
      <w:r>
        <w:t xml:space="preserve">XV. Solicitar a las instancias competentes, la práctica de revisiones circunstanciadas, de conformidad con las normas que rigen en materia de control y evaluación gubernamental en el ámbito municipal; </w:t>
      </w:r>
    </w:p>
    <w:p w14:paraId="03190AEF" w14:textId="77777777" w:rsidR="00B50F3E" w:rsidRDefault="00063A4B" w:rsidP="00B50F3E">
      <w:pPr>
        <w:pStyle w:val="Citas"/>
      </w:pPr>
      <w:r>
        <w:lastRenderedPageBreak/>
        <w:t xml:space="preserve">XVI. Glosar oportunamente las cuentas del ayuntamiento; </w:t>
      </w:r>
    </w:p>
    <w:p w14:paraId="11E7D7CE" w14:textId="77777777" w:rsidR="00B50F3E" w:rsidRDefault="00063A4B" w:rsidP="00B50F3E">
      <w:pPr>
        <w:pStyle w:val="Citas"/>
      </w:pPr>
      <w:r>
        <w:t xml:space="preserve">XVII. Contestar oportunamente los pliegos de observaciones y responsabilidad que haga la Órgano Superior de Fiscalización del Estado de México, así como atender en tiempo y forma las solicitudes de información que éste requiera, informando al ayuntamiento; </w:t>
      </w:r>
    </w:p>
    <w:p w14:paraId="1202B742" w14:textId="77777777" w:rsidR="00B50F3E" w:rsidRDefault="00063A4B" w:rsidP="00B50F3E">
      <w:pPr>
        <w:pStyle w:val="Citas"/>
      </w:pPr>
      <w:r>
        <w:t xml:space="preserve">XVIII. Expedir copias certificadas de los documentos a su cuidado, por acuerdo expreso del Ayuntamiento y cuando se trate de documentación presentada ente el Órgano Superior de Fiscalización del Estado de México; </w:t>
      </w:r>
    </w:p>
    <w:p w14:paraId="29675D89" w14:textId="064EA453" w:rsidR="00063A4B" w:rsidRDefault="00063A4B" w:rsidP="00B50F3E">
      <w:pPr>
        <w:pStyle w:val="Citas"/>
      </w:pPr>
      <w: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r w:rsidR="00B50F3E">
        <w:t>la inobservancia de las diversas disposiciones y ordenamientos legales, constituyendo los créditos fiscales correspondientes</w:t>
      </w:r>
    </w:p>
    <w:p w14:paraId="1AA48C16" w14:textId="65845C79" w:rsidR="00063A4B" w:rsidRDefault="00B50F3E" w:rsidP="00B50F3E">
      <w:pPr>
        <w:pStyle w:val="Citas"/>
      </w:pPr>
      <w:r>
        <w:t>XX. Dar cumplimiento a las leyes, convenios de coordinación fiscal y demás que en materia hacendaria celebre el Ayuntamiento con el Estado;</w:t>
      </w:r>
    </w:p>
    <w:p w14:paraId="21DC77C2" w14:textId="7F25112D" w:rsidR="00B50F3E" w:rsidRDefault="00B50F3E" w:rsidP="00B50F3E">
      <w:pPr>
        <w:pStyle w:val="Citas"/>
      </w:pPr>
      <w:r>
        <w:t>XXI. Entregar oportunamente a él o los Síndicos, según sea el caso el informe mensual que corresponda a fin de que se revise y de ser necesario, para que se formulen las observaciones respectivas.</w:t>
      </w:r>
    </w:p>
    <w:p w14:paraId="4C10E136" w14:textId="48D47ED8" w:rsidR="00B50F3E" w:rsidRPr="00B50F3E" w:rsidRDefault="00B50F3E" w:rsidP="00B50F3E">
      <w:pPr>
        <w:pStyle w:val="Citas"/>
        <w:rPr>
          <w:b/>
          <w:bCs/>
          <w:sz w:val="24"/>
          <w:szCs w:val="24"/>
        </w:rPr>
      </w:pPr>
      <w:r>
        <w:t xml:space="preserve">XXII. Las que le señalen las demás disposiciones legales y el ayuntamiento” </w:t>
      </w:r>
      <w:r>
        <w:rPr>
          <w:b/>
          <w:bCs/>
        </w:rPr>
        <w:t>(Sic)</w:t>
      </w:r>
    </w:p>
    <w:p w14:paraId="3D37E6B9" w14:textId="4DDEDE09" w:rsidR="00B50F3E" w:rsidRPr="00B50F3E" w:rsidRDefault="00B50F3E" w:rsidP="00B50F3E">
      <w:pPr>
        <w:pStyle w:val="Citas"/>
        <w:jc w:val="center"/>
        <w:rPr>
          <w:b/>
          <w:bCs/>
        </w:rPr>
      </w:pPr>
      <w:r w:rsidRPr="00B50F3E">
        <w:rPr>
          <w:b/>
          <w:bCs/>
        </w:rPr>
        <w:lastRenderedPageBreak/>
        <w:t>CÓDIGO REGLAMENTARIO MUNICIPAL DE TOLUCA</w:t>
      </w:r>
    </w:p>
    <w:p w14:paraId="6F46CFE8" w14:textId="6EF60522" w:rsidR="00B50F3E" w:rsidRPr="00B50F3E" w:rsidRDefault="00B50F3E" w:rsidP="00B50F3E">
      <w:pPr>
        <w:pStyle w:val="Citas"/>
        <w:rPr>
          <w:b/>
          <w:bCs/>
        </w:rPr>
      </w:pPr>
      <w:r>
        <w:t xml:space="preserve">“Artículo 3.20. Para el cumplimiento de sus atribuciones la Tesorería Municipal se auxiliará de la Dirección de Ingresos, de la Dirección de Egresos, de la Dirección de Contaduría y la Coordinación de Catastro” </w:t>
      </w:r>
      <w:r>
        <w:rPr>
          <w:b/>
          <w:bCs/>
        </w:rPr>
        <w:t>(Sic)</w:t>
      </w:r>
    </w:p>
    <w:p w14:paraId="69C46617" w14:textId="77777777" w:rsidR="00B50F3E" w:rsidRDefault="00B50F3E" w:rsidP="00513F18">
      <w:pPr>
        <w:spacing w:line="360" w:lineRule="auto"/>
        <w:jc w:val="both"/>
        <w:rPr>
          <w:rFonts w:ascii="Palatino Linotype" w:hAnsi="Palatino Linotype" w:cs="Arial"/>
          <w:sz w:val="24"/>
          <w:szCs w:val="24"/>
        </w:rPr>
      </w:pPr>
    </w:p>
    <w:p w14:paraId="18DB43E5" w14:textId="14D2E3F6" w:rsidR="00B50F3E" w:rsidRDefault="00A65B7E" w:rsidP="00B61C39">
      <w:pPr>
        <w:spacing w:line="360" w:lineRule="auto"/>
        <w:jc w:val="both"/>
        <w:rPr>
          <w:rFonts w:ascii="Palatino Linotype" w:hAnsi="Palatino Linotype" w:cs="Arial"/>
          <w:sz w:val="24"/>
          <w:szCs w:val="24"/>
        </w:rPr>
      </w:pPr>
      <w:r w:rsidRPr="00B61C39">
        <w:rPr>
          <w:rFonts w:ascii="Palatino Linotype" w:hAnsi="Palatino Linotype" w:cs="Arial"/>
          <w:sz w:val="24"/>
          <w:szCs w:val="24"/>
        </w:rPr>
        <w:t xml:space="preserve">Del análisis sistemático y armónico de la normatividad previamente plasmada se desprende que la </w:t>
      </w:r>
      <w:r w:rsidR="00B50F3E">
        <w:rPr>
          <w:rFonts w:ascii="Palatino Linotype" w:hAnsi="Palatino Linotype" w:cs="Arial"/>
          <w:sz w:val="24"/>
          <w:szCs w:val="24"/>
        </w:rPr>
        <w:t>Tesorería Municipal y sus unidades administrativas cuentan con numerosas facultades entre las cuales destacan las siguientes:</w:t>
      </w:r>
    </w:p>
    <w:p w14:paraId="79800E82" w14:textId="58528A4B" w:rsidR="00B50F3E" w:rsidRDefault="00B50F3E">
      <w:pPr>
        <w:pStyle w:val="Prrafodelista"/>
        <w:numPr>
          <w:ilvl w:val="0"/>
          <w:numId w:val="4"/>
        </w:numPr>
        <w:spacing w:line="360" w:lineRule="auto"/>
        <w:jc w:val="both"/>
        <w:rPr>
          <w:rFonts w:ascii="Palatino Linotype" w:hAnsi="Palatino Linotype" w:cs="Arial"/>
        </w:rPr>
      </w:pPr>
      <w:r>
        <w:rPr>
          <w:rFonts w:ascii="Palatino Linotype" w:hAnsi="Palatino Linotype" w:cs="Arial"/>
        </w:rPr>
        <w:t>Administrar la hacienda pública municipal</w:t>
      </w:r>
    </w:p>
    <w:p w14:paraId="719042C0" w14:textId="7A92289C" w:rsidR="00B50F3E" w:rsidRDefault="00B50F3E">
      <w:pPr>
        <w:pStyle w:val="Prrafodelista"/>
        <w:numPr>
          <w:ilvl w:val="0"/>
          <w:numId w:val="4"/>
        </w:numPr>
        <w:spacing w:line="360" w:lineRule="auto"/>
        <w:jc w:val="both"/>
        <w:rPr>
          <w:rFonts w:ascii="Palatino Linotype" w:hAnsi="Palatino Linotype" w:cs="Arial"/>
        </w:rPr>
      </w:pPr>
      <w:r>
        <w:rPr>
          <w:rFonts w:ascii="Palatino Linotype" w:hAnsi="Palatino Linotype" w:cs="Arial"/>
        </w:rPr>
        <w:t>Determinar contribuciones</w:t>
      </w:r>
    </w:p>
    <w:p w14:paraId="542CE713" w14:textId="7FF73034" w:rsidR="00B50F3E" w:rsidRDefault="00B50F3E">
      <w:pPr>
        <w:pStyle w:val="Prrafodelista"/>
        <w:numPr>
          <w:ilvl w:val="0"/>
          <w:numId w:val="4"/>
        </w:numPr>
        <w:spacing w:line="360" w:lineRule="auto"/>
        <w:jc w:val="both"/>
        <w:rPr>
          <w:rFonts w:ascii="Palatino Linotype" w:hAnsi="Palatino Linotype" w:cs="Arial"/>
        </w:rPr>
      </w:pPr>
      <w:r>
        <w:rPr>
          <w:rFonts w:ascii="Palatino Linotype" w:hAnsi="Palatino Linotype" w:cs="Arial"/>
        </w:rPr>
        <w:t>Glosar las cuentas del Ayuntamiento</w:t>
      </w:r>
    </w:p>
    <w:p w14:paraId="49013672" w14:textId="1B11ED65" w:rsidR="00B50F3E" w:rsidRPr="00B50F3E" w:rsidRDefault="00B50F3E">
      <w:pPr>
        <w:pStyle w:val="Prrafodelista"/>
        <w:numPr>
          <w:ilvl w:val="0"/>
          <w:numId w:val="4"/>
        </w:numPr>
        <w:spacing w:line="360" w:lineRule="auto"/>
        <w:jc w:val="both"/>
        <w:rPr>
          <w:rFonts w:ascii="Palatino Linotype" w:hAnsi="Palatino Linotype" w:cs="Arial"/>
        </w:rPr>
      </w:pPr>
      <w:r>
        <w:rPr>
          <w:rFonts w:ascii="Palatino Linotype" w:hAnsi="Palatino Linotype" w:cs="Arial"/>
        </w:rPr>
        <w:t>Otras</w:t>
      </w:r>
    </w:p>
    <w:p w14:paraId="58E1703D" w14:textId="77777777" w:rsidR="00B50F3E" w:rsidRDefault="00B50F3E" w:rsidP="00B61C39">
      <w:pPr>
        <w:spacing w:line="360" w:lineRule="auto"/>
        <w:jc w:val="both"/>
        <w:rPr>
          <w:rFonts w:ascii="Palatino Linotype" w:hAnsi="Palatino Linotype" w:cs="Arial"/>
          <w:sz w:val="24"/>
          <w:szCs w:val="24"/>
        </w:rPr>
      </w:pPr>
    </w:p>
    <w:p w14:paraId="6E66F330" w14:textId="7F95A438" w:rsidR="00204288" w:rsidRPr="00204288" w:rsidRDefault="00A02B9D" w:rsidP="008763E4">
      <w:pPr>
        <w:spacing w:line="360" w:lineRule="auto"/>
        <w:jc w:val="both"/>
        <w:rPr>
          <w:rFonts w:ascii="Palatino Linotype" w:hAnsi="Palatino Linotype"/>
          <w:bCs/>
          <w:sz w:val="24"/>
          <w:szCs w:val="24"/>
        </w:rPr>
      </w:pPr>
      <w:r w:rsidRPr="00A02B9D">
        <w:rPr>
          <w:rFonts w:ascii="Palatino Linotype" w:hAnsi="Palatino Linotype"/>
          <w:sz w:val="24"/>
          <w:szCs w:val="24"/>
        </w:rPr>
        <w:t xml:space="preserve">De ahí que deba arribarse a la premisa de que la información requerida es susceptible de ser generada, poseída y administrada por </w:t>
      </w:r>
      <w:r w:rsidRPr="00A02B9D">
        <w:rPr>
          <w:rFonts w:ascii="Palatino Linotype" w:hAnsi="Palatino Linotype"/>
          <w:b/>
          <w:sz w:val="24"/>
          <w:szCs w:val="24"/>
        </w:rPr>
        <w:t>El Sujeto Obligado</w:t>
      </w:r>
      <w:r w:rsidR="00204288">
        <w:rPr>
          <w:rFonts w:ascii="Palatino Linotype" w:hAnsi="Palatino Linotype"/>
          <w:b/>
          <w:sz w:val="24"/>
          <w:szCs w:val="24"/>
        </w:rPr>
        <w:t xml:space="preserve">, </w:t>
      </w:r>
      <w:r w:rsidR="00204288">
        <w:rPr>
          <w:rFonts w:ascii="Palatino Linotype" w:hAnsi="Palatino Linotype"/>
          <w:bCs/>
          <w:sz w:val="24"/>
          <w:szCs w:val="24"/>
        </w:rPr>
        <w:t xml:space="preserve">al tratarse de comunicaciones de carácter oficial vinculadas con el ejercicio de las atribuciones reservadas. </w:t>
      </w:r>
    </w:p>
    <w:p w14:paraId="0D05335E" w14:textId="2FE64710" w:rsidR="008763E4" w:rsidRDefault="00A02B9D" w:rsidP="008763E4">
      <w:pPr>
        <w:spacing w:line="360" w:lineRule="auto"/>
        <w:jc w:val="both"/>
        <w:rPr>
          <w:rFonts w:ascii="Palatino Linotype" w:hAnsi="Palatino Linotype" w:cs="Arial"/>
          <w:sz w:val="24"/>
          <w:szCs w:val="24"/>
        </w:rPr>
      </w:pPr>
      <w:r>
        <w:rPr>
          <w:rFonts w:ascii="Palatino Linotype" w:hAnsi="Palatino Linotype"/>
          <w:b/>
          <w:sz w:val="24"/>
          <w:szCs w:val="24"/>
        </w:rPr>
        <w:t xml:space="preserve"> </w:t>
      </w:r>
      <w:r w:rsidR="008763E4">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B90520D" w14:textId="77777777" w:rsidR="008763E4" w:rsidRDefault="008763E4" w:rsidP="008763E4">
      <w:pPr>
        <w:pStyle w:val="Citas"/>
      </w:pPr>
      <w: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0AA87958" w14:textId="77777777" w:rsidR="008763E4" w:rsidRDefault="008763E4" w:rsidP="008763E4">
      <w:pPr>
        <w:pStyle w:val="Citas"/>
      </w:pPr>
      <w:r>
        <w:t xml:space="preserve">Artículo 19. Se presume que la información debe existir si se refiere a las facultades, competencias y funciones que los ordenamientos jurídicos aplicables otorgan a los sujetos obligados. </w:t>
      </w:r>
    </w:p>
    <w:p w14:paraId="7C43D66B" w14:textId="77777777" w:rsidR="008763E4" w:rsidRDefault="008763E4" w:rsidP="008763E4">
      <w:pPr>
        <w:pStyle w:val="Citas"/>
      </w:pPr>
      <w:r>
        <w:t xml:space="preserve">En los casos en que ciertas facultades, competencias o funciones no se hayan ejercido, se debe motivar la respuesta en función de las causas que motiven tal circunstancia. </w:t>
      </w:r>
    </w:p>
    <w:p w14:paraId="5185C294" w14:textId="77777777" w:rsidR="008763E4" w:rsidRPr="00407C65" w:rsidRDefault="008763E4" w:rsidP="008763E4">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2DB4D2BC" w14:textId="1001FF56" w:rsidR="008763E4" w:rsidRDefault="008763E4" w:rsidP="00B61C39">
      <w:pPr>
        <w:spacing w:line="360" w:lineRule="auto"/>
        <w:jc w:val="both"/>
        <w:rPr>
          <w:rFonts w:ascii="Palatino Linotype" w:hAnsi="Palatino Linotype" w:cs="Arial"/>
          <w:sz w:val="24"/>
          <w:szCs w:val="24"/>
        </w:rPr>
      </w:pPr>
    </w:p>
    <w:p w14:paraId="698F4D4B" w14:textId="23BD8833" w:rsidR="00B50F3E" w:rsidRDefault="008763E4" w:rsidP="008763E4">
      <w:pPr>
        <w:autoSpaceDE w:val="0"/>
        <w:autoSpaceDN w:val="0"/>
        <w:adjustRightInd w:val="0"/>
        <w:spacing w:before="240" w:line="360" w:lineRule="auto"/>
        <w:ind w:right="-18"/>
        <w:jc w:val="both"/>
        <w:rPr>
          <w:rFonts w:ascii="Palatino Linotype" w:hAnsi="Palatino Linotype"/>
          <w:bCs/>
          <w:iCs/>
          <w:sz w:val="24"/>
          <w:szCs w:val="24"/>
        </w:rPr>
      </w:pPr>
      <w:r>
        <w:rPr>
          <w:rFonts w:ascii="Palatino Linotype" w:hAnsi="Palatino Linotype"/>
          <w:bCs/>
          <w:iCs/>
          <w:sz w:val="24"/>
          <w:szCs w:val="24"/>
        </w:rPr>
        <w:t xml:space="preserve">Una vez sentado lo anterior, como se mencionó en el antecedente segundo, </w:t>
      </w:r>
      <w:r>
        <w:rPr>
          <w:rFonts w:ascii="Palatino Linotype" w:hAnsi="Palatino Linotype"/>
          <w:b/>
          <w:iCs/>
          <w:sz w:val="24"/>
          <w:szCs w:val="24"/>
        </w:rPr>
        <w:t xml:space="preserve">El Sujeto Obligado </w:t>
      </w:r>
      <w:r>
        <w:rPr>
          <w:rFonts w:ascii="Palatino Linotype" w:hAnsi="Palatino Linotype"/>
          <w:bCs/>
          <w:iCs/>
          <w:sz w:val="24"/>
          <w:szCs w:val="24"/>
        </w:rPr>
        <w:t xml:space="preserve">en fecha </w:t>
      </w:r>
      <w:r w:rsidR="00EF3B41">
        <w:rPr>
          <w:rFonts w:ascii="Palatino Linotype" w:hAnsi="Palatino Linotype"/>
          <w:bCs/>
          <w:iCs/>
          <w:sz w:val="24"/>
          <w:szCs w:val="24"/>
        </w:rPr>
        <w:t>tres de noviembre de dos mil veintidós, rindió su respuesta a la solicitud de información formulada por el particular, adjuntando para tal efecto lo siguiente:</w:t>
      </w:r>
    </w:p>
    <w:p w14:paraId="2BF7CFB8" w14:textId="034E97CB" w:rsidR="00B50F3E" w:rsidRDefault="00EF3B41">
      <w:pPr>
        <w:pStyle w:val="Prrafodelista"/>
        <w:numPr>
          <w:ilvl w:val="0"/>
          <w:numId w:val="5"/>
        </w:numPr>
        <w:autoSpaceDE w:val="0"/>
        <w:autoSpaceDN w:val="0"/>
        <w:adjustRightInd w:val="0"/>
        <w:spacing w:before="240" w:line="360" w:lineRule="auto"/>
        <w:ind w:right="-18"/>
        <w:jc w:val="both"/>
        <w:rPr>
          <w:rFonts w:ascii="Palatino Linotype" w:hAnsi="Palatino Linotype"/>
          <w:b/>
          <w:iCs/>
        </w:rPr>
      </w:pPr>
      <w:r>
        <w:rPr>
          <w:rFonts w:ascii="Palatino Linotype" w:hAnsi="Palatino Linotype"/>
          <w:b/>
          <w:iCs/>
        </w:rPr>
        <w:t>“Respuesta 02101_2022.pdf”:</w:t>
      </w:r>
      <w:r w:rsidR="00AB6A01">
        <w:rPr>
          <w:rFonts w:ascii="Palatino Linotype" w:hAnsi="Palatino Linotype"/>
          <w:b/>
          <w:iCs/>
        </w:rPr>
        <w:t xml:space="preserve"> </w:t>
      </w:r>
      <w:r w:rsidR="00AB6A01">
        <w:rPr>
          <w:rFonts w:ascii="Palatino Linotype" w:hAnsi="Palatino Linotype"/>
          <w:bCs/>
          <w:iCs/>
        </w:rPr>
        <w:t xml:space="preserve">Oficio sin número signado por la Titular de la Unidad de Transparencia y dirigido a la solicitante, de fecha tres de noviembre de dos mil veintidós, en lo medular refiere </w:t>
      </w:r>
      <w:r w:rsidR="00401542">
        <w:rPr>
          <w:rFonts w:ascii="Palatino Linotype" w:hAnsi="Palatino Linotype"/>
          <w:bCs/>
          <w:iCs/>
        </w:rPr>
        <w:t xml:space="preserve">cambio de modalidad para hacer entrega de la información requerida mediante la solicitud de información </w:t>
      </w:r>
      <w:r w:rsidR="00401542">
        <w:rPr>
          <w:rFonts w:ascii="Palatino Linotype" w:hAnsi="Palatino Linotype"/>
          <w:b/>
          <w:iCs/>
        </w:rPr>
        <w:t xml:space="preserve">02101/TOLUCA/IP/2022. </w:t>
      </w:r>
    </w:p>
    <w:p w14:paraId="275FCCA3" w14:textId="400EECB7" w:rsidR="00EF3B41" w:rsidRPr="00401542" w:rsidRDefault="00EF3B41">
      <w:pPr>
        <w:pStyle w:val="Prrafodelista"/>
        <w:numPr>
          <w:ilvl w:val="0"/>
          <w:numId w:val="5"/>
        </w:numPr>
        <w:autoSpaceDE w:val="0"/>
        <w:autoSpaceDN w:val="0"/>
        <w:adjustRightInd w:val="0"/>
        <w:spacing w:before="240" w:line="360" w:lineRule="auto"/>
        <w:ind w:right="-18"/>
        <w:jc w:val="both"/>
        <w:rPr>
          <w:rFonts w:ascii="Palatino Linotype" w:hAnsi="Palatino Linotype"/>
          <w:b/>
          <w:iCs/>
        </w:rPr>
      </w:pPr>
      <w:r>
        <w:rPr>
          <w:rFonts w:ascii="Palatino Linotype" w:hAnsi="Palatino Linotype"/>
          <w:b/>
          <w:iCs/>
        </w:rPr>
        <w:lastRenderedPageBreak/>
        <w:t xml:space="preserve">“Acta Sexcentésima Trigésima Octava Sesión Extraordinaria.pdf”: </w:t>
      </w:r>
      <w:r w:rsidR="00401542">
        <w:rPr>
          <w:rFonts w:ascii="Palatino Linotype" w:hAnsi="Palatino Linotype"/>
          <w:bCs/>
          <w:iCs/>
        </w:rPr>
        <w:t xml:space="preserve">Acta de la Sexcentésima Trigésima Octava Sesión Extraordinaria 2022 del Comité de Transparencia del Municipio de Toluca, con relación a la solicitud de información </w:t>
      </w:r>
      <w:r w:rsidR="00401542">
        <w:rPr>
          <w:rFonts w:ascii="Palatino Linotype" w:hAnsi="Palatino Linotype"/>
          <w:b/>
          <w:iCs/>
        </w:rPr>
        <w:t xml:space="preserve">02101/TOLUCA/IP/2022 </w:t>
      </w:r>
      <w:r w:rsidR="00401542">
        <w:rPr>
          <w:rFonts w:ascii="Palatino Linotype" w:hAnsi="Palatino Linotype"/>
          <w:bCs/>
          <w:iCs/>
        </w:rPr>
        <w:t>se exponen las siguientes ideas medulares:</w:t>
      </w:r>
    </w:p>
    <w:p w14:paraId="179BFEA7" w14:textId="0414E3C1" w:rsidR="00401542" w:rsidRPr="00401542" w:rsidRDefault="00401542">
      <w:pPr>
        <w:pStyle w:val="Prrafodelista"/>
        <w:numPr>
          <w:ilvl w:val="0"/>
          <w:numId w:val="6"/>
        </w:numPr>
        <w:autoSpaceDE w:val="0"/>
        <w:autoSpaceDN w:val="0"/>
        <w:adjustRightInd w:val="0"/>
        <w:spacing w:before="240" w:line="360" w:lineRule="auto"/>
        <w:ind w:right="-18"/>
        <w:jc w:val="both"/>
        <w:rPr>
          <w:rFonts w:ascii="Palatino Linotype" w:hAnsi="Palatino Linotype"/>
          <w:b/>
          <w:iCs/>
        </w:rPr>
      </w:pPr>
      <w:r>
        <w:rPr>
          <w:rFonts w:ascii="Palatino Linotype" w:hAnsi="Palatino Linotype"/>
          <w:bCs/>
          <w:iCs/>
        </w:rPr>
        <w:t>Que el Sistema de Acceso a la Información Mexiquense cuenta con una capacidad de 500MB.</w:t>
      </w:r>
    </w:p>
    <w:p w14:paraId="30720701" w14:textId="584158B2" w:rsidR="00401542" w:rsidRPr="00401542" w:rsidRDefault="00401542">
      <w:pPr>
        <w:pStyle w:val="Prrafodelista"/>
        <w:numPr>
          <w:ilvl w:val="0"/>
          <w:numId w:val="6"/>
        </w:numPr>
        <w:autoSpaceDE w:val="0"/>
        <w:autoSpaceDN w:val="0"/>
        <w:adjustRightInd w:val="0"/>
        <w:spacing w:before="240" w:line="360" w:lineRule="auto"/>
        <w:ind w:right="-18"/>
        <w:jc w:val="both"/>
        <w:rPr>
          <w:rFonts w:ascii="Palatino Linotype" w:hAnsi="Palatino Linotype"/>
          <w:b/>
          <w:iCs/>
        </w:rPr>
      </w:pPr>
      <w:r>
        <w:rPr>
          <w:rFonts w:ascii="Palatino Linotype" w:hAnsi="Palatino Linotype"/>
          <w:bCs/>
          <w:iCs/>
        </w:rPr>
        <w:t xml:space="preserve">Que la información requerida mediante la solicitud de información </w:t>
      </w:r>
      <w:r>
        <w:rPr>
          <w:rFonts w:ascii="Palatino Linotype" w:hAnsi="Palatino Linotype"/>
          <w:b/>
          <w:iCs/>
        </w:rPr>
        <w:t xml:space="preserve">02101/TOLUCA/IP/2022 </w:t>
      </w:r>
      <w:r>
        <w:rPr>
          <w:rFonts w:ascii="Palatino Linotype" w:hAnsi="Palatino Linotype"/>
          <w:bCs/>
          <w:iCs/>
        </w:rPr>
        <w:t xml:space="preserve">asciende a un peso aproximado de 18,020.78MB. </w:t>
      </w:r>
    </w:p>
    <w:p w14:paraId="5DF498F4" w14:textId="0D733D7C" w:rsidR="00401542" w:rsidRPr="00401542" w:rsidRDefault="00401542">
      <w:pPr>
        <w:pStyle w:val="Prrafodelista"/>
        <w:numPr>
          <w:ilvl w:val="0"/>
          <w:numId w:val="6"/>
        </w:numPr>
        <w:autoSpaceDE w:val="0"/>
        <w:autoSpaceDN w:val="0"/>
        <w:adjustRightInd w:val="0"/>
        <w:spacing w:before="240" w:line="360" w:lineRule="auto"/>
        <w:ind w:right="-18"/>
        <w:jc w:val="both"/>
        <w:rPr>
          <w:rFonts w:ascii="Palatino Linotype" w:hAnsi="Palatino Linotype"/>
          <w:b/>
          <w:iCs/>
        </w:rPr>
      </w:pPr>
      <w:r>
        <w:rPr>
          <w:rFonts w:ascii="Palatino Linotype" w:hAnsi="Palatino Linotype"/>
          <w:bCs/>
          <w:iCs/>
        </w:rPr>
        <w:t xml:space="preserve">Que la información requerida es susceptible de ser revisada vía consulta directa, proporcionando horario, dirección y teléfonos de contacto. </w:t>
      </w:r>
    </w:p>
    <w:p w14:paraId="190A8336" w14:textId="1B7DFC66" w:rsidR="00401542" w:rsidRPr="00401542" w:rsidRDefault="00401542">
      <w:pPr>
        <w:pStyle w:val="Prrafodelista"/>
        <w:numPr>
          <w:ilvl w:val="0"/>
          <w:numId w:val="6"/>
        </w:numPr>
        <w:autoSpaceDE w:val="0"/>
        <w:autoSpaceDN w:val="0"/>
        <w:adjustRightInd w:val="0"/>
        <w:spacing w:before="240" w:line="360" w:lineRule="auto"/>
        <w:ind w:right="-18"/>
        <w:jc w:val="both"/>
        <w:rPr>
          <w:rFonts w:ascii="Palatino Linotype" w:hAnsi="Palatino Linotype"/>
          <w:b/>
          <w:iCs/>
        </w:rPr>
      </w:pPr>
      <w:r>
        <w:rPr>
          <w:rFonts w:ascii="Palatino Linotype" w:hAnsi="Palatino Linotype"/>
          <w:bCs/>
          <w:iCs/>
        </w:rPr>
        <w:t xml:space="preserve">Que la información requerida se encuentra disponible para su consulta durante un plazo mínimo de 60 -sesenta- días hábiles. </w:t>
      </w:r>
    </w:p>
    <w:p w14:paraId="64E5344C" w14:textId="07E8D368" w:rsidR="004600E8" w:rsidRDefault="004600E8" w:rsidP="004600E8">
      <w:pPr>
        <w:autoSpaceDE w:val="0"/>
        <w:autoSpaceDN w:val="0"/>
        <w:adjustRightInd w:val="0"/>
        <w:spacing w:before="240" w:line="360" w:lineRule="auto"/>
        <w:ind w:right="-18"/>
        <w:jc w:val="both"/>
        <w:rPr>
          <w:rFonts w:ascii="Palatino Linotype" w:hAnsi="Palatino Linotype"/>
          <w:b/>
          <w:bCs/>
          <w:iCs/>
        </w:rPr>
      </w:pPr>
    </w:p>
    <w:p w14:paraId="085BCB6E" w14:textId="62B7BE34" w:rsidR="00CC1AF2" w:rsidRPr="00D12F4B" w:rsidRDefault="00401542" w:rsidP="00CC1AF2">
      <w:pPr>
        <w:spacing w:before="100" w:beforeAutospacing="1" w:after="100" w:afterAutospacing="1" w:line="360" w:lineRule="auto"/>
        <w:jc w:val="both"/>
        <w:rPr>
          <w:rFonts w:ascii="Palatino Linotype" w:hAnsi="Palatino Linotype"/>
          <w:sz w:val="24"/>
          <w:szCs w:val="24"/>
        </w:rPr>
      </w:pPr>
      <w:r>
        <w:rPr>
          <w:rFonts w:ascii="Palatino Linotype" w:hAnsi="Palatino Linotype" w:cs="Arial"/>
          <w:color w:val="000000" w:themeColor="text1"/>
          <w:sz w:val="24"/>
          <w:szCs w:val="24"/>
          <w:lang w:val="es-ES"/>
        </w:rPr>
        <w:t>Bajo este contexto</w:t>
      </w:r>
      <w:r w:rsidR="00CC1AF2">
        <w:rPr>
          <w:rFonts w:ascii="Palatino Linotype" w:hAnsi="Palatino Linotype" w:cs="Arial"/>
          <w:color w:val="000000" w:themeColor="text1"/>
          <w:sz w:val="24"/>
          <w:szCs w:val="24"/>
          <w:lang w:val="es-ES"/>
        </w:rPr>
        <w:t xml:space="preserve">, con relación al volumen de la información, no se omite comentar que, </w:t>
      </w:r>
      <w:r w:rsidR="00CC1AF2" w:rsidRPr="00D12F4B">
        <w:rPr>
          <w:rFonts w:ascii="Palatino Linotype" w:hAnsi="Palatino Linotype"/>
          <w:sz w:val="24"/>
          <w:szCs w:val="24"/>
        </w:rPr>
        <w:t xml:space="preserve">al haber existido un pronunciamiento por parte del </w:t>
      </w:r>
      <w:r w:rsidR="00CC1AF2">
        <w:rPr>
          <w:rFonts w:ascii="Palatino Linotype" w:hAnsi="Palatino Linotype"/>
          <w:b/>
          <w:sz w:val="24"/>
          <w:szCs w:val="24"/>
        </w:rPr>
        <w:t>Sujeto Obligado</w:t>
      </w:r>
      <w:r w:rsidR="00CC1AF2" w:rsidRPr="00D12F4B">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449800F2" w14:textId="77777777" w:rsidR="00CC1AF2" w:rsidRPr="00D12F4B" w:rsidRDefault="00CC1AF2" w:rsidP="00CC1AF2">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lastRenderedPageBreak/>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1669106B" w14:textId="77777777" w:rsidR="00CC1AF2" w:rsidRPr="003A41AE" w:rsidRDefault="00CC1AF2" w:rsidP="00CC1AF2">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57A79DCE" w14:textId="77777777" w:rsidR="00CC1AF2" w:rsidRDefault="00CC1AF2" w:rsidP="00CC1AF2">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545DC5DF" w14:textId="77777777" w:rsidR="00CC1AF2" w:rsidRDefault="00CC1AF2" w:rsidP="00CC1AF2">
      <w:pPr>
        <w:pStyle w:val="Citas"/>
      </w:pPr>
      <w:r w:rsidRPr="00D02076">
        <w:t xml:space="preserve">Expedientes: </w:t>
      </w:r>
    </w:p>
    <w:p w14:paraId="2C7CD447" w14:textId="77777777" w:rsidR="00CC1AF2" w:rsidRDefault="00CC1AF2">
      <w:pPr>
        <w:pStyle w:val="Citas"/>
        <w:numPr>
          <w:ilvl w:val="0"/>
          <w:numId w:val="2"/>
        </w:numPr>
      </w:pPr>
      <w:r w:rsidRPr="00D02076">
        <w:t xml:space="preserve">2440/07 Comisión Federal de Electricidad - Alonso Lujambio Irazábal </w:t>
      </w:r>
    </w:p>
    <w:p w14:paraId="4BE88095" w14:textId="77777777" w:rsidR="00CC1AF2" w:rsidRDefault="00CC1AF2">
      <w:pPr>
        <w:pStyle w:val="Citas"/>
        <w:numPr>
          <w:ilvl w:val="0"/>
          <w:numId w:val="2"/>
        </w:numPr>
      </w:pPr>
      <w:r w:rsidRPr="00D02076">
        <w:t xml:space="preserve">0113/09 Instituto de Seguridad y Servicios Sociales de los Trabajadores del Estado – Alonso Lujambio Irazábal </w:t>
      </w:r>
    </w:p>
    <w:p w14:paraId="3199B756" w14:textId="77777777" w:rsidR="00CC1AF2" w:rsidRDefault="00CC1AF2">
      <w:pPr>
        <w:pStyle w:val="Citas"/>
        <w:numPr>
          <w:ilvl w:val="0"/>
          <w:numId w:val="2"/>
        </w:numPr>
      </w:pPr>
      <w:r w:rsidRPr="00D02076">
        <w:lastRenderedPageBreak/>
        <w:t xml:space="preserve">1624/09 Instituto Nacional para la Educación de los Adultos - María </w:t>
      </w:r>
      <w:proofErr w:type="spellStart"/>
      <w:r w:rsidRPr="00D02076">
        <w:t>Marván</w:t>
      </w:r>
      <w:proofErr w:type="spellEnd"/>
      <w:r w:rsidRPr="00D02076">
        <w:t xml:space="preserve"> Laborde </w:t>
      </w:r>
    </w:p>
    <w:p w14:paraId="711B2499" w14:textId="77777777" w:rsidR="00CC1AF2" w:rsidRDefault="00CC1AF2">
      <w:pPr>
        <w:pStyle w:val="Citas"/>
        <w:numPr>
          <w:ilvl w:val="0"/>
          <w:numId w:val="2"/>
        </w:numPr>
      </w:pPr>
      <w:r w:rsidRPr="00D02076">
        <w:t xml:space="preserve">2395/09 Secretaría de Economía - María </w:t>
      </w:r>
      <w:proofErr w:type="spellStart"/>
      <w:r w:rsidRPr="00D02076">
        <w:t>Marván</w:t>
      </w:r>
      <w:proofErr w:type="spellEnd"/>
      <w:r w:rsidRPr="00D02076">
        <w:t xml:space="preserve"> Laborde </w:t>
      </w:r>
    </w:p>
    <w:p w14:paraId="3957F0ED" w14:textId="77777777" w:rsidR="00CC1AF2" w:rsidRPr="00D02076" w:rsidRDefault="00CC1AF2">
      <w:pPr>
        <w:pStyle w:val="Citas"/>
        <w:numPr>
          <w:ilvl w:val="0"/>
          <w:numId w:val="2"/>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4BDEEA7F" w14:textId="77777777" w:rsidR="00CC1AF2" w:rsidRPr="00CC1AF2" w:rsidRDefault="00CC1AF2" w:rsidP="004600E8">
      <w:pPr>
        <w:autoSpaceDE w:val="0"/>
        <w:autoSpaceDN w:val="0"/>
        <w:adjustRightInd w:val="0"/>
        <w:spacing w:before="240" w:line="360" w:lineRule="auto"/>
        <w:ind w:right="-18"/>
        <w:jc w:val="both"/>
        <w:rPr>
          <w:rFonts w:ascii="Palatino Linotype" w:hAnsi="Palatino Linotype"/>
          <w:iCs/>
          <w:sz w:val="24"/>
          <w:szCs w:val="24"/>
        </w:rPr>
      </w:pPr>
    </w:p>
    <w:p w14:paraId="4C7DE7C1" w14:textId="42FA27FF" w:rsidR="00F91823" w:rsidRDefault="00564AD9" w:rsidP="00B61C39">
      <w:pPr>
        <w:spacing w:line="360" w:lineRule="auto"/>
        <w:jc w:val="both"/>
        <w:rPr>
          <w:rFonts w:ascii="Palatino Linotype" w:hAnsi="Palatino Linotype" w:cs="Arial"/>
          <w:sz w:val="24"/>
          <w:szCs w:val="24"/>
        </w:rPr>
      </w:pPr>
      <w:r w:rsidRPr="00F91823">
        <w:rPr>
          <w:rFonts w:ascii="Palatino Linotype" w:hAnsi="Palatino Linotype" w:cs="Arial"/>
          <w:sz w:val="24"/>
          <w:szCs w:val="24"/>
        </w:rPr>
        <w:t xml:space="preserve">Inconforme con la respuesta rendida por </w:t>
      </w:r>
      <w:r w:rsidRPr="00F91823">
        <w:rPr>
          <w:rFonts w:ascii="Palatino Linotype" w:hAnsi="Palatino Linotype" w:cs="Arial"/>
          <w:b/>
          <w:bCs/>
          <w:sz w:val="24"/>
          <w:szCs w:val="24"/>
        </w:rPr>
        <w:t xml:space="preserve">El Sujeto Obligado, </w:t>
      </w:r>
      <w:r w:rsidR="00F91823" w:rsidRPr="00F91823">
        <w:rPr>
          <w:rFonts w:ascii="Palatino Linotype" w:hAnsi="Palatino Linotype" w:cs="Arial"/>
          <w:b/>
          <w:bCs/>
          <w:sz w:val="24"/>
          <w:szCs w:val="24"/>
        </w:rPr>
        <w:t>El</w:t>
      </w:r>
      <w:r w:rsidRPr="00F91823">
        <w:rPr>
          <w:rFonts w:ascii="Palatino Linotype" w:hAnsi="Palatino Linotype" w:cs="Arial"/>
          <w:b/>
          <w:bCs/>
          <w:sz w:val="24"/>
          <w:szCs w:val="24"/>
        </w:rPr>
        <w:t xml:space="preserve"> Recurrente </w:t>
      </w:r>
      <w:r w:rsidRPr="00F91823">
        <w:rPr>
          <w:rFonts w:ascii="Palatino Linotype" w:hAnsi="Palatino Linotype" w:cs="Arial"/>
          <w:sz w:val="24"/>
          <w:szCs w:val="24"/>
        </w:rPr>
        <w:t xml:space="preserve">interpuso recurso de revisión en fecha </w:t>
      </w:r>
      <w:r w:rsidR="00F91823" w:rsidRPr="00F91823">
        <w:rPr>
          <w:rFonts w:ascii="Palatino Linotype" w:hAnsi="Palatino Linotype" w:cs="Arial"/>
          <w:sz w:val="24"/>
          <w:szCs w:val="24"/>
        </w:rPr>
        <w:t xml:space="preserve">quince de noviembre, admitiéndose el veintidós de noviembre, ambos de dos mil veintidós. Señalando como </w:t>
      </w:r>
      <w:r w:rsidR="00F91823">
        <w:rPr>
          <w:rFonts w:ascii="Palatino Linotype" w:hAnsi="Palatino Linotype" w:cs="Arial"/>
          <w:sz w:val="24"/>
          <w:szCs w:val="24"/>
        </w:rPr>
        <w:t>razones o motivos de inconformidad:</w:t>
      </w:r>
    </w:p>
    <w:p w14:paraId="11DD3748" w14:textId="7BC0740F" w:rsidR="00F91823" w:rsidRPr="00F91823" w:rsidRDefault="00F91823" w:rsidP="00F91823">
      <w:pPr>
        <w:pStyle w:val="Citas"/>
        <w:rPr>
          <w:b/>
          <w:bCs/>
          <w:sz w:val="24"/>
          <w:szCs w:val="24"/>
        </w:rPr>
      </w:pPr>
      <w:r>
        <w:t xml:space="preserve">“no entrega la </w:t>
      </w:r>
      <w:proofErr w:type="spellStart"/>
      <w:r>
        <w:t>informacion</w:t>
      </w:r>
      <w:proofErr w:type="spellEnd"/>
      <w:r>
        <w:t xml:space="preserve"> solicitada.” </w:t>
      </w:r>
      <w:r>
        <w:rPr>
          <w:b/>
          <w:bCs/>
        </w:rPr>
        <w:t>(Sic)</w:t>
      </w:r>
    </w:p>
    <w:p w14:paraId="0AA1F40E" w14:textId="77777777" w:rsidR="00F91823" w:rsidRDefault="00F91823" w:rsidP="00B61C39">
      <w:pPr>
        <w:spacing w:line="360" w:lineRule="auto"/>
        <w:jc w:val="both"/>
        <w:rPr>
          <w:rFonts w:ascii="Palatino Linotype" w:hAnsi="Palatino Linotype" w:cs="Arial"/>
          <w:sz w:val="24"/>
          <w:szCs w:val="24"/>
          <w:highlight w:val="yellow"/>
        </w:rPr>
      </w:pPr>
    </w:p>
    <w:p w14:paraId="00E8232C" w14:textId="29368923" w:rsidR="00BA6B85" w:rsidRDefault="00BA6B85" w:rsidP="00BA6B85">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Cs/>
          <w:i w:val="0"/>
          <w:sz w:val="24"/>
          <w:szCs w:val="24"/>
        </w:rPr>
        <w:t>los motivos de inconformidad aducidos por</w:t>
      </w:r>
      <w:r w:rsidRPr="00535EDD">
        <w:rPr>
          <w:rFonts w:cs="Arial"/>
          <w:i w:val="0"/>
          <w:noProof/>
          <w:color w:val="000000"/>
          <w:sz w:val="24"/>
          <w:lang w:eastAsia="es-MX"/>
        </w:rPr>
        <w:t xml:space="preserve"> </w:t>
      </w:r>
      <w:r w:rsidR="00944A6D">
        <w:rPr>
          <w:rFonts w:cs="Arial"/>
          <w:b/>
          <w:i w:val="0"/>
          <w:noProof/>
          <w:color w:val="000000"/>
          <w:sz w:val="24"/>
          <w:lang w:eastAsia="es-MX"/>
        </w:rPr>
        <w:t>El</w:t>
      </w:r>
      <w:r w:rsidRPr="00535EDD">
        <w:rPr>
          <w:rFonts w:cs="Arial"/>
          <w:b/>
          <w:i w:val="0"/>
          <w:noProof/>
          <w:color w:val="000000"/>
          <w:sz w:val="24"/>
          <w:lang w:eastAsia="es-MX"/>
        </w:rPr>
        <w:t xml:space="preserve"> Recurrente, </w:t>
      </w:r>
      <w:r>
        <w:rPr>
          <w:rFonts w:cs="Arial"/>
          <w:i w:val="0"/>
          <w:noProof/>
          <w:color w:val="000000"/>
          <w:sz w:val="24"/>
          <w:lang w:eastAsia="es-MX"/>
        </w:rPr>
        <w:t>actualizan</w:t>
      </w:r>
      <w:r w:rsidRPr="00535EDD">
        <w:rPr>
          <w:rFonts w:cs="Arial"/>
          <w:i w:val="0"/>
          <w:noProof/>
          <w:color w:val="000000"/>
          <w:sz w:val="24"/>
          <w:lang w:eastAsia="es-MX"/>
        </w:rPr>
        <w:t xml:space="preserve"> las hipotesis normativas previstas en el artículo 179, </w:t>
      </w:r>
      <w:r w:rsidR="00F91823">
        <w:rPr>
          <w:rFonts w:cs="Arial"/>
          <w:i w:val="0"/>
          <w:noProof/>
          <w:color w:val="000000"/>
          <w:sz w:val="24"/>
          <w:lang w:eastAsia="es-MX"/>
        </w:rPr>
        <w:t>fracci</w:t>
      </w:r>
      <w:r w:rsidR="00A42674">
        <w:rPr>
          <w:rFonts w:cs="Arial"/>
          <w:i w:val="0"/>
          <w:noProof/>
          <w:color w:val="000000"/>
          <w:sz w:val="24"/>
          <w:lang w:eastAsia="es-MX"/>
        </w:rPr>
        <w:t>ones</w:t>
      </w:r>
      <w:r w:rsidR="00F91823">
        <w:rPr>
          <w:rFonts w:cs="Arial"/>
          <w:i w:val="0"/>
          <w:noProof/>
          <w:color w:val="000000"/>
          <w:sz w:val="24"/>
          <w:lang w:eastAsia="es-MX"/>
        </w:rPr>
        <w:t xml:space="preserve"> I</w:t>
      </w:r>
      <w:r w:rsidR="00A42674">
        <w:rPr>
          <w:rFonts w:cs="Arial"/>
          <w:i w:val="0"/>
          <w:noProof/>
          <w:color w:val="000000"/>
          <w:sz w:val="24"/>
          <w:lang w:eastAsia="es-MX"/>
        </w:rPr>
        <w:t xml:space="preserve"> y VIII</w:t>
      </w:r>
      <w:r>
        <w:rPr>
          <w:rFonts w:cs="Arial"/>
          <w:i w:val="0"/>
          <w:noProof/>
          <w:color w:val="000000"/>
          <w:sz w:val="24"/>
          <w:lang w:eastAsia="es-MX"/>
        </w:rPr>
        <w:t xml:space="preserve"> de la Ley de Transparencia y Acceso a la Información Pública del Estado de Mexico y Municipios, cuyo contenido literal es el siguiente: </w:t>
      </w:r>
    </w:p>
    <w:p w14:paraId="6499EF21" w14:textId="77777777" w:rsidR="00BA6B85" w:rsidRDefault="00BA6B85" w:rsidP="00BA6B85">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0077A769" w14:textId="2C37DB4F" w:rsidR="00BA6B85" w:rsidRDefault="00BA6B85" w:rsidP="00BA6B85">
      <w:pPr>
        <w:pStyle w:val="Citas"/>
      </w:pPr>
      <w:r>
        <w:t>I. La negativa a la información solicitada;</w:t>
      </w:r>
    </w:p>
    <w:p w14:paraId="75E52622" w14:textId="0322D873" w:rsidR="00A42674" w:rsidRDefault="00A42674" w:rsidP="00BA6B85">
      <w:pPr>
        <w:pStyle w:val="Citas"/>
      </w:pPr>
      <w:r>
        <w:lastRenderedPageBreak/>
        <w:t>(…)</w:t>
      </w:r>
    </w:p>
    <w:p w14:paraId="6AD66381" w14:textId="3122D7A9" w:rsidR="00A42674" w:rsidRDefault="00A42674" w:rsidP="00BA6B85">
      <w:pPr>
        <w:pStyle w:val="Citas"/>
      </w:pPr>
      <w:r>
        <w:t>VIII. La notificación, entrega o puesta a disposición de información en una modalidad o formato distinto al solicitado;</w:t>
      </w:r>
    </w:p>
    <w:p w14:paraId="57A918F8" w14:textId="78EB9B34" w:rsidR="00BA6B85" w:rsidRPr="005A12AE" w:rsidRDefault="00BA6B85" w:rsidP="00BA6B85">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69266E03" w14:textId="05D49A80" w:rsidR="00E96C74" w:rsidRDefault="00E96C74" w:rsidP="00E96C74">
      <w:pPr>
        <w:pStyle w:val="Citas"/>
        <w:ind w:left="0"/>
        <w:rPr>
          <w:b/>
          <w:bCs/>
        </w:rPr>
      </w:pPr>
    </w:p>
    <w:p w14:paraId="68F1828C" w14:textId="0C03C819" w:rsidR="00F91823" w:rsidRDefault="00B44ADE" w:rsidP="00B44ADE">
      <w:pPr>
        <w:pStyle w:val="Citas"/>
        <w:tabs>
          <w:tab w:val="left" w:pos="7470"/>
        </w:tabs>
        <w:ind w:left="0" w:right="72"/>
        <w:rPr>
          <w:i w:val="0"/>
          <w:sz w:val="24"/>
          <w:szCs w:val="24"/>
        </w:rPr>
      </w:pPr>
      <w:r>
        <w:rPr>
          <w:i w:val="0"/>
          <w:sz w:val="24"/>
          <w:szCs w:val="24"/>
        </w:rPr>
        <w:t xml:space="preserve">Por otra parte, como fue referido en el antecedente quinto, </w:t>
      </w:r>
      <w:r w:rsidR="008056BC">
        <w:rPr>
          <w:i w:val="0"/>
          <w:sz w:val="24"/>
          <w:szCs w:val="24"/>
        </w:rPr>
        <w:t>en fecha</w:t>
      </w:r>
      <w:r w:rsidR="00BA6B85">
        <w:rPr>
          <w:i w:val="0"/>
          <w:sz w:val="24"/>
          <w:szCs w:val="24"/>
        </w:rPr>
        <w:t xml:space="preserve"> </w:t>
      </w:r>
      <w:r w:rsidR="00F91823">
        <w:rPr>
          <w:i w:val="0"/>
          <w:sz w:val="24"/>
          <w:szCs w:val="24"/>
        </w:rPr>
        <w:t xml:space="preserve">uno de diciembre de dos mil veintidós, </w:t>
      </w:r>
      <w:r w:rsidR="00F91823">
        <w:rPr>
          <w:b/>
          <w:bCs/>
          <w:i w:val="0"/>
          <w:sz w:val="24"/>
          <w:szCs w:val="24"/>
        </w:rPr>
        <w:t xml:space="preserve">El Sujeto Obligado </w:t>
      </w:r>
      <w:r w:rsidR="00F91823">
        <w:rPr>
          <w:i w:val="0"/>
          <w:sz w:val="24"/>
          <w:szCs w:val="24"/>
        </w:rPr>
        <w:t>rindió su informe justificado, el cual fue puesto a la vista el treinta y uno de enero de dos mil veintidós, el cual se nutre en los siguientes términos:</w:t>
      </w:r>
    </w:p>
    <w:p w14:paraId="302DC35B" w14:textId="2D6A9EE1" w:rsidR="00F91823" w:rsidRPr="00F91823" w:rsidRDefault="00F91823">
      <w:pPr>
        <w:pStyle w:val="Citas"/>
        <w:numPr>
          <w:ilvl w:val="0"/>
          <w:numId w:val="7"/>
        </w:numPr>
        <w:tabs>
          <w:tab w:val="left" w:pos="7470"/>
        </w:tabs>
        <w:ind w:right="72"/>
        <w:rPr>
          <w:b/>
          <w:bCs/>
          <w:i w:val="0"/>
          <w:sz w:val="24"/>
          <w:szCs w:val="24"/>
        </w:rPr>
      </w:pPr>
      <w:r>
        <w:rPr>
          <w:b/>
          <w:bCs/>
          <w:i w:val="0"/>
          <w:sz w:val="24"/>
          <w:szCs w:val="24"/>
        </w:rPr>
        <w:t xml:space="preserve">“RR 16500.pdf”: </w:t>
      </w:r>
      <w:r>
        <w:rPr>
          <w:i w:val="0"/>
          <w:sz w:val="24"/>
          <w:szCs w:val="24"/>
        </w:rPr>
        <w:t xml:space="preserve">Oficio número </w:t>
      </w:r>
      <w:r>
        <w:rPr>
          <w:b/>
          <w:bCs/>
          <w:i w:val="0"/>
          <w:sz w:val="24"/>
          <w:szCs w:val="24"/>
        </w:rPr>
        <w:t xml:space="preserve">2010A4000/UT/RR/0693/2022 </w:t>
      </w:r>
      <w:r>
        <w:rPr>
          <w:i w:val="0"/>
          <w:sz w:val="24"/>
          <w:szCs w:val="24"/>
        </w:rPr>
        <w:t xml:space="preserve">signado por la Titular de la Unidad de Transparencia y dirigido al Comisionado Ponente, de fecha uno de diciembre de dos mil veintidós, en síntesis expone diversos antecedentes, abunda respecto de la corriente argumentativa de las incapacidades técnicas y administrativas, asimismo de manera novedosa expone que el cambio de modalidad obra en la Bitácora de la Dirección General de Informática del Instituto de Transparencia, Acceso a la Información Pública y Protección de Datos Personales del Estado de México, </w:t>
      </w:r>
      <w:r w:rsidR="00944A6D">
        <w:rPr>
          <w:i w:val="0"/>
          <w:sz w:val="24"/>
          <w:szCs w:val="24"/>
        </w:rPr>
        <w:t>sirve de sustento la siguiente imagen ilustrativa:</w:t>
      </w:r>
    </w:p>
    <w:p w14:paraId="2DD5EB71" w14:textId="4E2F5FE3" w:rsidR="00F91823" w:rsidRDefault="00F91823" w:rsidP="00B44ADE">
      <w:pPr>
        <w:pStyle w:val="Citas"/>
        <w:tabs>
          <w:tab w:val="left" w:pos="7470"/>
        </w:tabs>
        <w:ind w:left="0" w:right="72"/>
        <w:rPr>
          <w:i w:val="0"/>
          <w:sz w:val="24"/>
          <w:szCs w:val="24"/>
        </w:rPr>
      </w:pPr>
    </w:p>
    <w:p w14:paraId="10351A56" w14:textId="60402018" w:rsidR="00944A6D" w:rsidRDefault="00944A6D" w:rsidP="00B44ADE">
      <w:pPr>
        <w:pStyle w:val="Citas"/>
        <w:tabs>
          <w:tab w:val="left" w:pos="7470"/>
        </w:tabs>
        <w:ind w:left="0" w:right="72"/>
        <w:rPr>
          <w:i w:val="0"/>
          <w:sz w:val="24"/>
          <w:szCs w:val="24"/>
        </w:rPr>
      </w:pPr>
    </w:p>
    <w:p w14:paraId="171C242B" w14:textId="2DA44B3B" w:rsidR="00944A6D" w:rsidRDefault="00944A6D" w:rsidP="00B44ADE">
      <w:pPr>
        <w:pStyle w:val="Citas"/>
        <w:tabs>
          <w:tab w:val="left" w:pos="7470"/>
        </w:tabs>
        <w:ind w:left="0" w:right="72"/>
        <w:rPr>
          <w:i w:val="0"/>
          <w:sz w:val="24"/>
          <w:szCs w:val="24"/>
        </w:rPr>
      </w:pPr>
    </w:p>
    <w:p w14:paraId="3CF3F170" w14:textId="331A038C" w:rsidR="00D6193E" w:rsidRDefault="00944A6D" w:rsidP="00D6193E">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eastAsia="es-MX"/>
        </w:rPr>
        <w:lastRenderedPageBreak/>
        <w:drawing>
          <wp:anchor distT="0" distB="0" distL="114300" distR="114300" simplePos="0" relativeHeight="251720704" behindDoc="0" locked="0" layoutInCell="1" allowOverlap="1" wp14:anchorId="60D4DBE8" wp14:editId="1BCE76D5">
            <wp:simplePos x="0" y="0"/>
            <wp:positionH relativeFrom="column">
              <wp:posOffset>53340</wp:posOffset>
            </wp:positionH>
            <wp:positionV relativeFrom="paragraph">
              <wp:posOffset>22860</wp:posOffset>
            </wp:positionV>
            <wp:extent cx="5753100" cy="7381875"/>
            <wp:effectExtent l="19050" t="19050" r="19050" b="28575"/>
            <wp:wrapThrough wrapText="bothSides">
              <wp:wrapPolygon edited="0">
                <wp:start x="-72" y="-56"/>
                <wp:lineTo x="-72" y="21628"/>
                <wp:lineTo x="21600" y="21628"/>
                <wp:lineTo x="21600" y="-56"/>
                <wp:lineTo x="-72" y="-56"/>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7381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E52F8AD" w14:textId="71489ED4" w:rsidR="00D52C1F" w:rsidRPr="00D6193E" w:rsidRDefault="00D52C1F" w:rsidP="00D52C1F">
      <w:pPr>
        <w:spacing w:line="360" w:lineRule="auto"/>
        <w:contextualSpacing/>
        <w:jc w:val="both"/>
        <w:rPr>
          <w:rFonts w:ascii="Palatino Linotype" w:eastAsia="Palatino Linotype" w:hAnsi="Palatino Linotype" w:cs="Palatino Linotype"/>
          <w:sz w:val="24"/>
          <w:szCs w:val="24"/>
        </w:rPr>
      </w:pPr>
      <w:r w:rsidRPr="00D6193E">
        <w:rPr>
          <w:rFonts w:ascii="Palatino Linotype" w:eastAsia="Palatino Linotype" w:hAnsi="Palatino Linotype" w:cs="Palatino Linotype"/>
          <w:sz w:val="24"/>
          <w:szCs w:val="24"/>
        </w:rPr>
        <w:lastRenderedPageBreak/>
        <w:t xml:space="preserve">Una vez precisado lo anterior, es de señalar que si bien es cierto que en materia de transparencia se debe privilegiar el uso de las nuevas tecnologías de la información y comunicación; es decir, entregar la información en la modalidad señalada por los particulares en su solicitud, también lo es que, bajo tal premisa, el numeral 158 de la Ley de Transparencia estatal, señala que cuando lo determine </w:t>
      </w:r>
      <w:r>
        <w:rPr>
          <w:rFonts w:ascii="Palatino Linotype" w:eastAsia="Palatino Linotype" w:hAnsi="Palatino Linotype" w:cs="Palatino Linotype"/>
          <w:b/>
          <w:bCs/>
          <w:sz w:val="24"/>
          <w:szCs w:val="24"/>
        </w:rPr>
        <w:t>E</w:t>
      </w:r>
      <w:r w:rsidRPr="00D6193E">
        <w:rPr>
          <w:rFonts w:ascii="Palatino Linotype" w:eastAsia="Palatino Linotype" w:hAnsi="Palatino Linotype" w:cs="Palatino Linotype"/>
          <w:b/>
          <w:bCs/>
          <w:sz w:val="24"/>
          <w:szCs w:val="24"/>
        </w:rPr>
        <w:t>l Sujeto Obligado</w:t>
      </w:r>
      <w:r w:rsidRPr="00D6193E">
        <w:rPr>
          <w:rFonts w:ascii="Palatino Linotype" w:eastAsia="Palatino Linotype" w:hAnsi="Palatino Linotype" w:cs="Palatino Linotype"/>
          <w:sz w:val="24"/>
          <w:szCs w:val="24"/>
        </w:rPr>
        <w:t xml:space="preserve"> podrá solicitar el cambio de modalidad </w:t>
      </w:r>
      <w:r w:rsidRPr="00D6193E">
        <w:rPr>
          <w:rFonts w:ascii="Palatino Linotype" w:eastAsia="Palatino Linotype" w:hAnsi="Palatino Linotype" w:cs="Palatino Linotype"/>
          <w:i/>
          <w:iCs/>
          <w:sz w:val="24"/>
          <w:szCs w:val="24"/>
        </w:rPr>
        <w:t>in situ</w:t>
      </w:r>
      <w:r w:rsidRPr="00D6193E">
        <w:rPr>
          <w:rFonts w:ascii="Palatino Linotype" w:eastAsia="Palatino Linotype" w:hAnsi="Palatino Linotype" w:cs="Palatino Linotype"/>
          <w:sz w:val="24"/>
          <w:szCs w:val="24"/>
        </w:rPr>
        <w:t xml:space="preserve"> (consulta directa),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301ADFA9" w14:textId="77777777" w:rsidR="00D52C1F" w:rsidRPr="00D6193E" w:rsidRDefault="00D52C1F" w:rsidP="00D52C1F">
      <w:pPr>
        <w:spacing w:line="360" w:lineRule="auto"/>
        <w:contextualSpacing/>
        <w:jc w:val="both"/>
        <w:rPr>
          <w:rFonts w:ascii="Palatino Linotype" w:eastAsia="Palatino Linotype" w:hAnsi="Palatino Linotype" w:cs="Palatino Linotype"/>
          <w:sz w:val="24"/>
          <w:szCs w:val="24"/>
        </w:rPr>
      </w:pPr>
    </w:p>
    <w:p w14:paraId="120335EE" w14:textId="77777777" w:rsidR="00D52C1F" w:rsidRPr="00D6193E" w:rsidRDefault="00D52C1F" w:rsidP="00D52C1F">
      <w:pPr>
        <w:spacing w:line="360" w:lineRule="auto"/>
        <w:contextualSpacing/>
        <w:jc w:val="both"/>
        <w:rPr>
          <w:rFonts w:ascii="Palatino Linotype" w:eastAsia="Palatino Linotype" w:hAnsi="Palatino Linotype" w:cs="Palatino Linotype"/>
          <w:b/>
          <w:bCs/>
          <w:sz w:val="24"/>
          <w:szCs w:val="24"/>
        </w:rPr>
      </w:pPr>
      <w:r w:rsidRPr="00D6193E">
        <w:rPr>
          <w:rFonts w:ascii="Palatino Linotype" w:eastAsia="Palatino Linotype" w:hAnsi="Palatino Linotype" w:cs="Palatino Linotype"/>
          <w:sz w:val="24"/>
          <w:szCs w:val="24"/>
        </w:rPr>
        <w:t xml:space="preserve">En esa tesitura, </w:t>
      </w:r>
      <w:r>
        <w:rPr>
          <w:rFonts w:ascii="Palatino Linotype" w:eastAsia="Palatino Linotype" w:hAnsi="Palatino Linotype" w:cs="Palatino Linotype"/>
          <w:b/>
          <w:bCs/>
          <w:sz w:val="24"/>
          <w:szCs w:val="24"/>
        </w:rPr>
        <w:t>E</w:t>
      </w:r>
      <w:r w:rsidRPr="00D6193E">
        <w:rPr>
          <w:rFonts w:ascii="Palatino Linotype" w:eastAsia="Palatino Linotype" w:hAnsi="Palatino Linotype" w:cs="Palatino Linotype"/>
          <w:b/>
          <w:bCs/>
          <w:sz w:val="24"/>
          <w:szCs w:val="24"/>
        </w:rPr>
        <w:t>l Sujeto Obligado</w:t>
      </w:r>
      <w:r w:rsidRPr="00D6193E">
        <w:rPr>
          <w:rFonts w:ascii="Palatino Linotype" w:eastAsia="Palatino Linotype" w:hAnsi="Palatino Linotype" w:cs="Palatino Linotype"/>
          <w:sz w:val="24"/>
          <w:szCs w:val="24"/>
        </w:rPr>
        <w:t xml:space="preserve"> manifestó que el cambio de modalidad había sido aprobado por el Comité de Transparencia debido a que el volumen de información supera las capacidades del </w:t>
      </w:r>
      <w:r w:rsidRPr="00D6193E">
        <w:rPr>
          <w:rFonts w:ascii="Palatino Linotype" w:eastAsia="Palatino Linotype" w:hAnsi="Palatino Linotype" w:cs="Palatino Linotype"/>
          <w:b/>
          <w:bCs/>
          <w:sz w:val="24"/>
          <w:szCs w:val="24"/>
        </w:rPr>
        <w:t>SAIMEX</w:t>
      </w:r>
      <w:r w:rsidRPr="00D6193E">
        <w:rPr>
          <w:rFonts w:ascii="Palatino Linotype" w:eastAsia="Palatino Linotype" w:hAnsi="Palatino Linotype" w:cs="Palatino Linotype"/>
          <w:sz w:val="24"/>
          <w:szCs w:val="24"/>
        </w:rPr>
        <w:t xml:space="preserve">, lo que se demostró mediante la respuesta de la Dirección General de Informática, en la que se registró la incidencia solicitada por </w:t>
      </w:r>
      <w:r>
        <w:rPr>
          <w:rFonts w:ascii="Palatino Linotype" w:eastAsia="Palatino Linotype" w:hAnsi="Palatino Linotype" w:cs="Palatino Linotype"/>
          <w:b/>
          <w:bCs/>
          <w:sz w:val="24"/>
          <w:szCs w:val="24"/>
        </w:rPr>
        <w:t>E</w:t>
      </w:r>
      <w:r w:rsidRPr="00D6193E">
        <w:rPr>
          <w:rFonts w:ascii="Palatino Linotype" w:eastAsia="Palatino Linotype" w:hAnsi="Palatino Linotype" w:cs="Palatino Linotype"/>
          <w:b/>
          <w:bCs/>
          <w:sz w:val="24"/>
          <w:szCs w:val="24"/>
        </w:rPr>
        <w:t>l Sujeto Obligado.</w:t>
      </w:r>
    </w:p>
    <w:p w14:paraId="2038B5A4" w14:textId="77777777" w:rsidR="00D52C1F" w:rsidRPr="00D6193E" w:rsidRDefault="00D52C1F" w:rsidP="00D52C1F">
      <w:pPr>
        <w:spacing w:line="360" w:lineRule="auto"/>
        <w:contextualSpacing/>
        <w:jc w:val="both"/>
        <w:rPr>
          <w:rFonts w:ascii="Palatino Linotype" w:eastAsia="Palatino Linotype" w:hAnsi="Palatino Linotype" w:cs="Palatino Linotype"/>
          <w:sz w:val="24"/>
          <w:szCs w:val="24"/>
        </w:rPr>
      </w:pPr>
    </w:p>
    <w:p w14:paraId="3A9D27AD" w14:textId="70B4AE75" w:rsidR="00D52C1F" w:rsidRPr="00D6193E" w:rsidRDefault="00D52C1F" w:rsidP="00D52C1F">
      <w:pPr>
        <w:spacing w:line="360" w:lineRule="auto"/>
        <w:contextualSpacing/>
        <w:jc w:val="both"/>
        <w:rPr>
          <w:rFonts w:ascii="Palatino Linotype" w:eastAsia="Palatino Linotype" w:hAnsi="Palatino Linotype" w:cs="Palatino Linotype"/>
          <w:sz w:val="24"/>
          <w:szCs w:val="24"/>
        </w:rPr>
      </w:pPr>
      <w:r w:rsidRPr="00D6193E">
        <w:rPr>
          <w:rFonts w:ascii="Palatino Linotype" w:eastAsia="Palatino Linotype" w:hAnsi="Palatino Linotype" w:cs="Palatino Linotype"/>
          <w:sz w:val="24"/>
          <w:szCs w:val="24"/>
        </w:rPr>
        <w:t xml:space="preserve">Del mismo modo, se advierte que se actualizan los supuestos establecidos en el numeral 158 y 164 de la Ley de la materia, por lo que procede el cambio de modalidad de entrega vía </w:t>
      </w:r>
      <w:r w:rsidRPr="00D6193E">
        <w:rPr>
          <w:rFonts w:ascii="Palatino Linotype" w:eastAsia="Palatino Linotype" w:hAnsi="Palatino Linotype" w:cs="Palatino Linotype"/>
          <w:i/>
          <w:iCs/>
          <w:sz w:val="24"/>
          <w:szCs w:val="24"/>
        </w:rPr>
        <w:t>in situ</w:t>
      </w:r>
      <w:r w:rsidRPr="00D6193E">
        <w:rPr>
          <w:rFonts w:ascii="Palatino Linotype" w:eastAsia="Palatino Linotype" w:hAnsi="Palatino Linotype" w:cs="Palatino Linotype"/>
          <w:sz w:val="24"/>
          <w:szCs w:val="24"/>
        </w:rPr>
        <w:t xml:space="preserve">; asimismo, como ya se mencionó anteriormente, en la respuesta </w:t>
      </w:r>
      <w:r>
        <w:rPr>
          <w:rFonts w:ascii="Palatino Linotype" w:eastAsia="Palatino Linotype" w:hAnsi="Palatino Linotype" w:cs="Palatino Linotype"/>
          <w:b/>
          <w:bCs/>
          <w:sz w:val="24"/>
          <w:szCs w:val="24"/>
        </w:rPr>
        <w:lastRenderedPageBreak/>
        <w:t>E</w:t>
      </w:r>
      <w:r w:rsidRPr="00D6193E">
        <w:rPr>
          <w:rFonts w:ascii="Palatino Linotype" w:eastAsia="Palatino Linotype" w:hAnsi="Palatino Linotype" w:cs="Palatino Linotype"/>
          <w:b/>
          <w:bCs/>
          <w:sz w:val="24"/>
          <w:szCs w:val="24"/>
        </w:rPr>
        <w:t>l Sujeto Obligado</w:t>
      </w:r>
      <w:r w:rsidRPr="00D6193E">
        <w:rPr>
          <w:rFonts w:ascii="Palatino Linotype" w:eastAsia="Palatino Linotype" w:hAnsi="Palatino Linotype" w:cs="Palatino Linotype"/>
          <w:sz w:val="24"/>
          <w:szCs w:val="24"/>
        </w:rPr>
        <w:t xml:space="preserve"> informó </w:t>
      </w:r>
      <w:r w:rsidR="00944A6D">
        <w:rPr>
          <w:rFonts w:ascii="Palatino Linotype" w:eastAsia="Palatino Linotype" w:hAnsi="Palatino Linotype" w:cs="Palatino Linotype"/>
          <w:sz w:val="24"/>
          <w:szCs w:val="24"/>
        </w:rPr>
        <w:t>al</w:t>
      </w:r>
      <w:r w:rsidRPr="00D6193E">
        <w:rPr>
          <w:rFonts w:ascii="Palatino Linotype" w:eastAsia="Palatino Linotype" w:hAnsi="Palatino Linotype" w:cs="Palatino Linotype"/>
          <w:b/>
          <w:bCs/>
          <w:sz w:val="24"/>
          <w:szCs w:val="24"/>
        </w:rPr>
        <w:t xml:space="preserve"> Recurrente</w:t>
      </w:r>
      <w:r w:rsidRPr="00D6193E">
        <w:rPr>
          <w:rFonts w:ascii="Palatino Linotype" w:eastAsia="Palatino Linotype" w:hAnsi="Palatino Linotype" w:cs="Palatino Linotype"/>
          <w:sz w:val="24"/>
          <w:szCs w:val="24"/>
        </w:rPr>
        <w:t xml:space="preserve"> el lugar, días y horas en las que podrá asistir para la consulta de la información, de conformidad con lo siguiente:</w:t>
      </w:r>
    </w:p>
    <w:p w14:paraId="3A07DC2F" w14:textId="77777777" w:rsidR="00D52C1F" w:rsidRPr="00227A85" w:rsidRDefault="00D52C1F" w:rsidP="00D52C1F">
      <w:pPr>
        <w:pStyle w:val="Citas"/>
      </w:pPr>
      <w:r>
        <w:t>“</w:t>
      </w:r>
      <w:r w:rsidRPr="00227A85">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5A96C3B9" w14:textId="77777777" w:rsidR="00D52C1F" w:rsidRPr="00227A85" w:rsidRDefault="00D52C1F" w:rsidP="00D52C1F">
      <w:pPr>
        <w:pStyle w:val="Citas"/>
      </w:pPr>
      <w:r w:rsidRPr="00227A85">
        <w:t>En todo caso, se facilitará su copia simple o certificada, así como su reproducción por cualquier medio disponible en las instalaciones del sujeto obligado o que, en su caso, aporte el solicitante.</w:t>
      </w:r>
    </w:p>
    <w:p w14:paraId="64DF8970" w14:textId="77777777" w:rsidR="00D52C1F" w:rsidRPr="00227A85" w:rsidRDefault="00D52C1F" w:rsidP="00D52C1F">
      <w:pPr>
        <w:pStyle w:val="Citas"/>
      </w:pPr>
      <w:r w:rsidRPr="00227A85">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6EA889D7" w14:textId="77777777" w:rsidR="00D52C1F" w:rsidRPr="00D6193E" w:rsidRDefault="00D52C1F" w:rsidP="00D52C1F">
      <w:pPr>
        <w:pStyle w:val="Citas"/>
        <w:rPr>
          <w:b/>
          <w:bCs/>
        </w:rPr>
      </w:pPr>
      <w:r w:rsidRPr="00227A85">
        <w:t>En cualquier caso, se deberá fundar y motivar la necesidad de ofrecer otras modalidades.</w:t>
      </w:r>
      <w:r>
        <w:t xml:space="preserve">” </w:t>
      </w:r>
      <w:r>
        <w:rPr>
          <w:b/>
          <w:bCs/>
        </w:rPr>
        <w:t>(Sic)</w:t>
      </w:r>
    </w:p>
    <w:p w14:paraId="52BCFC7C" w14:textId="77777777" w:rsidR="00D52C1F" w:rsidRDefault="00D52C1F" w:rsidP="00D52C1F">
      <w:pPr>
        <w:pStyle w:val="Citas"/>
        <w:tabs>
          <w:tab w:val="left" w:pos="7470"/>
        </w:tabs>
        <w:ind w:left="360" w:right="72"/>
        <w:rPr>
          <w:i w:val="0"/>
          <w:sz w:val="24"/>
          <w:szCs w:val="24"/>
          <w:lang w:val="es-ES_tradnl"/>
        </w:rPr>
      </w:pPr>
    </w:p>
    <w:p w14:paraId="372EF2CB" w14:textId="704E32AA" w:rsidR="00D52C1F" w:rsidRDefault="00D52C1F" w:rsidP="00D52C1F">
      <w:pPr>
        <w:spacing w:line="360" w:lineRule="auto"/>
        <w:contextualSpacing/>
        <w:jc w:val="both"/>
        <w:rPr>
          <w:rFonts w:ascii="Palatino Linotype" w:eastAsia="Palatino Linotype" w:hAnsi="Palatino Linotype" w:cs="Palatino Linotype"/>
          <w:sz w:val="24"/>
          <w:szCs w:val="24"/>
        </w:rPr>
      </w:pPr>
      <w:r w:rsidRPr="00D6193E">
        <w:rPr>
          <w:rFonts w:ascii="Palatino Linotype" w:eastAsia="Palatino Linotype" w:hAnsi="Palatino Linotype" w:cs="Palatino Linotype"/>
          <w:sz w:val="24"/>
          <w:szCs w:val="24"/>
        </w:rPr>
        <w:t xml:space="preserve">De tal modo que </w:t>
      </w:r>
      <w:r>
        <w:rPr>
          <w:rFonts w:ascii="Palatino Linotype" w:eastAsia="Palatino Linotype" w:hAnsi="Palatino Linotype" w:cs="Palatino Linotype"/>
          <w:b/>
          <w:bCs/>
          <w:sz w:val="24"/>
          <w:szCs w:val="24"/>
        </w:rPr>
        <w:t>E</w:t>
      </w:r>
      <w:r w:rsidRPr="00D6193E">
        <w:rPr>
          <w:rFonts w:ascii="Palatino Linotype" w:eastAsia="Palatino Linotype" w:hAnsi="Palatino Linotype" w:cs="Palatino Linotype"/>
          <w:b/>
          <w:bCs/>
          <w:sz w:val="24"/>
          <w:szCs w:val="24"/>
        </w:rPr>
        <w:t>l Sujeto Obligado</w:t>
      </w:r>
      <w:r w:rsidRPr="00D6193E">
        <w:rPr>
          <w:rFonts w:ascii="Palatino Linotype" w:eastAsia="Palatino Linotype" w:hAnsi="Palatino Linotype" w:cs="Palatino Linotype"/>
          <w:sz w:val="24"/>
          <w:szCs w:val="24"/>
        </w:rPr>
        <w:t xml:space="preserve"> se ciñó a los establecido en la normatividad, haciendo del conocimiento </w:t>
      </w:r>
      <w:r w:rsidR="00944A6D">
        <w:rPr>
          <w:rFonts w:ascii="Palatino Linotype" w:eastAsia="Palatino Linotype" w:hAnsi="Palatino Linotype" w:cs="Palatino Linotype"/>
          <w:sz w:val="24"/>
          <w:szCs w:val="24"/>
        </w:rPr>
        <w:t>del</w:t>
      </w:r>
      <w:r w:rsidRPr="00C514C0">
        <w:rPr>
          <w:rFonts w:ascii="Palatino Linotype" w:eastAsia="Palatino Linotype" w:hAnsi="Palatino Linotype" w:cs="Palatino Linotype"/>
          <w:b/>
          <w:bCs/>
          <w:sz w:val="24"/>
          <w:szCs w:val="24"/>
        </w:rPr>
        <w:t xml:space="preserve"> Recurrente</w:t>
      </w:r>
      <w:r w:rsidRPr="00D6193E">
        <w:rPr>
          <w:rFonts w:ascii="Palatino Linotype" w:eastAsia="Palatino Linotype" w:hAnsi="Palatino Linotype" w:cs="Palatino Linotype"/>
          <w:sz w:val="24"/>
          <w:szCs w:val="24"/>
        </w:rPr>
        <w:t xml:space="preserve"> que no es posible hacer entrega de la información en la modalidad elegida en virtud de que se sobrepasan las capacidades del </w:t>
      </w:r>
      <w:r w:rsidRPr="00D6193E">
        <w:rPr>
          <w:rFonts w:ascii="Palatino Linotype" w:eastAsia="Palatino Linotype" w:hAnsi="Palatino Linotype" w:cs="Palatino Linotype"/>
          <w:b/>
          <w:bCs/>
          <w:sz w:val="24"/>
          <w:szCs w:val="24"/>
        </w:rPr>
        <w:t>SAIMEX</w:t>
      </w:r>
      <w:r w:rsidRPr="00D6193E">
        <w:rPr>
          <w:rFonts w:ascii="Palatino Linotype" w:eastAsia="Palatino Linotype" w:hAnsi="Palatino Linotype" w:cs="Palatino Linotype"/>
          <w:sz w:val="24"/>
          <w:szCs w:val="24"/>
        </w:rPr>
        <w:t xml:space="preserve">, lo cual fue aprobado por el Comité de Transparencia, por lo que se señaló </w:t>
      </w:r>
      <w:r w:rsidRPr="00D6193E">
        <w:rPr>
          <w:rFonts w:ascii="Palatino Linotype" w:eastAsia="Palatino Linotype" w:hAnsi="Palatino Linotype" w:cs="Palatino Linotype"/>
          <w:sz w:val="24"/>
          <w:szCs w:val="24"/>
        </w:rPr>
        <w:lastRenderedPageBreak/>
        <w:t xml:space="preserve">el procedimiento, horario y lugar para realizar la consulta de la información; y por tanto resulta evidente que existe una imposibilidad técnica para entregar la información conforme lo solicitó </w:t>
      </w:r>
      <w:r w:rsidR="00944A6D">
        <w:rPr>
          <w:rFonts w:ascii="Palatino Linotype" w:eastAsia="Palatino Linotype" w:hAnsi="Palatino Linotype" w:cs="Palatino Linotype"/>
          <w:b/>
          <w:bCs/>
          <w:sz w:val="24"/>
          <w:szCs w:val="24"/>
        </w:rPr>
        <w:t>El</w:t>
      </w:r>
      <w:r w:rsidRPr="00D6193E">
        <w:rPr>
          <w:rFonts w:ascii="Palatino Linotype" w:eastAsia="Palatino Linotype" w:hAnsi="Palatino Linotype" w:cs="Palatino Linotype"/>
          <w:b/>
          <w:bCs/>
          <w:sz w:val="24"/>
          <w:szCs w:val="24"/>
        </w:rPr>
        <w:t xml:space="preserve"> Recurrente;</w:t>
      </w:r>
      <w:r w:rsidRPr="00D6193E">
        <w:rPr>
          <w:rFonts w:ascii="Palatino Linotype" w:eastAsia="Palatino Linotype" w:hAnsi="Palatino Linotype" w:cs="Palatino Linotype"/>
          <w:sz w:val="24"/>
          <w:szCs w:val="24"/>
        </w:rPr>
        <w:t xml:space="preserve"> empero, no se negó la entrega de la información, sino que, con el propósito de colmar el derecho de acceso a la información del particular, se puso a su disposición la información en consulta directa, con lo que se subsanó la imposibilidad técnica referida.</w:t>
      </w:r>
    </w:p>
    <w:p w14:paraId="69120C92" w14:textId="77777777" w:rsidR="00944A6D" w:rsidRPr="00D6193E" w:rsidRDefault="00944A6D" w:rsidP="00D52C1F">
      <w:pPr>
        <w:spacing w:line="360" w:lineRule="auto"/>
        <w:contextualSpacing/>
        <w:jc w:val="both"/>
        <w:rPr>
          <w:rFonts w:ascii="Palatino Linotype" w:eastAsia="Palatino Linotype" w:hAnsi="Palatino Linotype" w:cs="Palatino Linotype"/>
          <w:sz w:val="24"/>
          <w:szCs w:val="24"/>
        </w:rPr>
      </w:pPr>
    </w:p>
    <w:p w14:paraId="719973E9" w14:textId="77777777" w:rsidR="00D52C1F" w:rsidRPr="00D6193E" w:rsidRDefault="00D52C1F" w:rsidP="00D52C1F">
      <w:pPr>
        <w:spacing w:line="360" w:lineRule="auto"/>
        <w:contextualSpacing/>
        <w:jc w:val="both"/>
        <w:rPr>
          <w:rFonts w:ascii="Palatino Linotype" w:eastAsia="Palatino Linotype" w:hAnsi="Palatino Linotype" w:cs="Palatino Linotype"/>
          <w:sz w:val="24"/>
          <w:szCs w:val="24"/>
        </w:rPr>
      </w:pPr>
      <w:r w:rsidRPr="00D6193E">
        <w:rPr>
          <w:rFonts w:ascii="Palatino Linotype" w:eastAsia="Palatino Linotype" w:hAnsi="Palatino Linotype" w:cs="Palatino Linotype"/>
          <w:sz w:val="24"/>
          <w:szCs w:val="24"/>
        </w:rPr>
        <w:t xml:space="preserve">Igualmente, para robustecer lo anterior, es conveniente citar a continuación el Criterio </w:t>
      </w:r>
      <w:r w:rsidRPr="00D6193E">
        <w:rPr>
          <w:rFonts w:ascii="Palatino Linotype" w:eastAsia="Palatino Linotype" w:hAnsi="Palatino Linotype" w:cs="Palatino Linotype"/>
          <w:b/>
          <w:bCs/>
          <w:sz w:val="24"/>
          <w:szCs w:val="24"/>
        </w:rPr>
        <w:t>008/2013</w:t>
      </w:r>
      <w:r w:rsidRPr="00D6193E">
        <w:rPr>
          <w:rFonts w:ascii="Palatino Linotype" w:eastAsia="Palatino Linotype" w:hAnsi="Palatino Linotype" w:cs="Palatino Linotype"/>
          <w:sz w:val="24"/>
          <w:szCs w:val="24"/>
        </w:rPr>
        <w:t xml:space="preserve"> del hoy Instituto Nacional de Acceso a la Información y Protección de Datos Personales:</w:t>
      </w:r>
    </w:p>
    <w:p w14:paraId="5EA59B2B" w14:textId="77777777" w:rsidR="00D52C1F" w:rsidRPr="00D6193E" w:rsidRDefault="00D52C1F" w:rsidP="00D52C1F">
      <w:pPr>
        <w:pStyle w:val="Citas"/>
        <w:rPr>
          <w:b/>
          <w:bCs/>
        </w:rPr>
      </w:pPr>
      <w:r>
        <w:rPr>
          <w:b/>
          <w:bCs/>
        </w:rPr>
        <w:t>“</w:t>
      </w:r>
      <w:r w:rsidRPr="00D6193E">
        <w:rPr>
          <w:b/>
          <w:bCs/>
        </w:rPr>
        <w:t xml:space="preserve">CUANDO EXISTA IMPEDIMENTO JUSTIFICADO DE ATENDER LA MODALIDAD DE ENTREGA ELEGIDA POR EL SOLICITANTE, PROCEDE OFRECER TODAS LAS DEMÁS OPCIONES PREVISTAS EN LA LEY. </w:t>
      </w:r>
    </w:p>
    <w:p w14:paraId="123EB344" w14:textId="77777777" w:rsidR="00D52C1F" w:rsidRPr="00D6193E" w:rsidRDefault="00D52C1F" w:rsidP="00D52C1F">
      <w:pPr>
        <w:pStyle w:val="Citas"/>
        <w:rPr>
          <w:b/>
          <w:bCs/>
        </w:rPr>
      </w:pPr>
      <w:r w:rsidRPr="005142CE">
        <w:t xml:space="preserve">De conformidad con lo dispuesto en los artículos 42 y 44 de la </w:t>
      </w:r>
      <w:r w:rsidRPr="005142CE">
        <w:rPr>
          <w:iCs/>
        </w:rPr>
        <w:t>Ley Federal de Transparencia y Acceso a la Información Pública Gubernamental</w:t>
      </w:r>
      <w:r w:rsidRPr="005142CE">
        <w:t xml:space="preserve">,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w:t>
      </w:r>
      <w:r w:rsidRPr="005142CE">
        <w:lastRenderedPageBreak/>
        <w:t>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w:t>
      </w:r>
      <w:r>
        <w:t xml:space="preserve">” </w:t>
      </w:r>
      <w:r>
        <w:rPr>
          <w:b/>
          <w:bCs/>
        </w:rPr>
        <w:t>(Sic)</w:t>
      </w:r>
    </w:p>
    <w:p w14:paraId="0A6FE7BC" w14:textId="77777777" w:rsidR="00D52C1F" w:rsidRDefault="00D52C1F" w:rsidP="00D52C1F">
      <w:pPr>
        <w:contextualSpacing/>
        <w:rPr>
          <w:rFonts w:eastAsia="Palatino Linotype" w:cs="Palatino Linotype"/>
          <w:szCs w:val="24"/>
        </w:rPr>
      </w:pPr>
    </w:p>
    <w:p w14:paraId="0219DB56" w14:textId="77777777" w:rsidR="00D52C1F" w:rsidRDefault="00D52C1F" w:rsidP="00D52C1F">
      <w:pPr>
        <w:spacing w:line="360" w:lineRule="auto"/>
        <w:contextualSpacing/>
        <w:jc w:val="both"/>
        <w:rPr>
          <w:rFonts w:ascii="Palatino Linotype" w:eastAsia="Palatino Linotype" w:hAnsi="Palatino Linotype" w:cs="Palatino Linotype"/>
          <w:sz w:val="24"/>
          <w:szCs w:val="24"/>
        </w:rPr>
      </w:pPr>
    </w:p>
    <w:p w14:paraId="35002306" w14:textId="77777777" w:rsidR="00D52C1F" w:rsidRPr="00D6193E" w:rsidRDefault="00D52C1F" w:rsidP="00D52C1F">
      <w:pPr>
        <w:spacing w:line="360" w:lineRule="auto"/>
        <w:contextualSpacing/>
        <w:jc w:val="both"/>
        <w:rPr>
          <w:rFonts w:ascii="Palatino Linotype" w:eastAsia="Palatino Linotype" w:hAnsi="Palatino Linotype" w:cs="Palatino Linotype"/>
          <w:sz w:val="24"/>
          <w:szCs w:val="24"/>
        </w:rPr>
      </w:pPr>
      <w:r w:rsidRPr="00D6193E">
        <w:rPr>
          <w:rFonts w:ascii="Palatino Linotype" w:eastAsia="Palatino Linotype" w:hAnsi="Palatino Linotype" w:cs="Palatino Linotype"/>
          <w:sz w:val="24"/>
          <w:szCs w:val="24"/>
        </w:rPr>
        <w:t xml:space="preserve">De lo anterior se desprende que no existe una negativa por parte del </w:t>
      </w:r>
      <w:r w:rsidRPr="00D6193E">
        <w:rPr>
          <w:rFonts w:ascii="Palatino Linotype" w:eastAsia="Palatino Linotype" w:hAnsi="Palatino Linotype" w:cs="Palatino Linotype"/>
          <w:b/>
          <w:bCs/>
          <w:sz w:val="24"/>
          <w:szCs w:val="24"/>
        </w:rPr>
        <w:t>Sujeto Obligado</w:t>
      </w:r>
      <w:r w:rsidRPr="00D6193E">
        <w:rPr>
          <w:rFonts w:ascii="Palatino Linotype" w:eastAsia="Palatino Linotype" w:hAnsi="Palatino Linotype" w:cs="Palatino Linotype"/>
          <w:sz w:val="24"/>
          <w:szCs w:val="24"/>
        </w:rPr>
        <w:t xml:space="preserve"> a entregar la información, puesto que, ante la imposibilidad demostrada de entregar la información vía </w:t>
      </w:r>
      <w:r w:rsidRPr="00D6193E">
        <w:rPr>
          <w:rFonts w:ascii="Palatino Linotype" w:eastAsia="Palatino Linotype" w:hAnsi="Palatino Linotype" w:cs="Palatino Linotype"/>
          <w:b/>
          <w:bCs/>
          <w:sz w:val="24"/>
          <w:szCs w:val="24"/>
        </w:rPr>
        <w:t>SAIMEX</w:t>
      </w:r>
      <w:r w:rsidRPr="00D6193E">
        <w:rPr>
          <w:rFonts w:ascii="Palatino Linotype" w:eastAsia="Palatino Linotype" w:hAnsi="Palatino Linotype" w:cs="Palatino Linotype"/>
          <w:sz w:val="24"/>
          <w:szCs w:val="24"/>
        </w:rPr>
        <w:t>, se efectuó el cambio de la modalidad de entrega conforme cumpliendo con los requisitos legales establecidos por la normatividad aplicable por lo que es procedente el cambio a consulta directa o in situ de la información relativa a la solicitud referida en el Antecedente Primero de la presente resolución.</w:t>
      </w:r>
    </w:p>
    <w:p w14:paraId="28CD12B2" w14:textId="77777777" w:rsidR="00D52C1F" w:rsidRDefault="00D52C1F" w:rsidP="00C514C0">
      <w:pPr>
        <w:spacing w:line="360" w:lineRule="auto"/>
        <w:contextualSpacing/>
        <w:jc w:val="both"/>
        <w:rPr>
          <w:rFonts w:ascii="Palatino Linotype" w:eastAsia="Palatino Linotype" w:hAnsi="Palatino Linotype" w:cs="Palatino Linotype"/>
          <w:sz w:val="24"/>
          <w:szCs w:val="24"/>
        </w:rPr>
      </w:pPr>
    </w:p>
    <w:p w14:paraId="6F378A48" w14:textId="45C6BD7C" w:rsidR="00BA6B85" w:rsidRDefault="00D52C1F" w:rsidP="00C514C0">
      <w:pPr>
        <w:spacing w:line="360" w:lineRule="auto"/>
        <w:contextualSpacing/>
        <w:jc w:val="both"/>
        <w:rPr>
          <w:rFonts w:ascii="Palatino Linotype" w:hAnsi="Palatino Linotype"/>
          <w:b/>
          <w:bCs/>
          <w:iCs/>
          <w:sz w:val="24"/>
          <w:szCs w:val="24"/>
          <w:u w:val="single"/>
        </w:rPr>
      </w:pPr>
      <w:r w:rsidRPr="00D52C1F">
        <w:rPr>
          <w:rFonts w:ascii="Palatino Linotype" w:eastAsia="Palatino Linotype" w:hAnsi="Palatino Linotype" w:cs="Palatino Linotype"/>
          <w:b/>
          <w:bCs/>
          <w:sz w:val="24"/>
          <w:szCs w:val="24"/>
          <w:u w:val="single"/>
        </w:rPr>
        <w:t>De manera complementaria,</w:t>
      </w:r>
      <w:r w:rsidR="00D6193E" w:rsidRPr="00D52C1F">
        <w:rPr>
          <w:rFonts w:ascii="Palatino Linotype" w:eastAsia="Palatino Linotype" w:hAnsi="Palatino Linotype" w:cs="Palatino Linotype"/>
          <w:b/>
          <w:bCs/>
          <w:sz w:val="24"/>
          <w:szCs w:val="24"/>
          <w:u w:val="single"/>
        </w:rPr>
        <w:t xml:space="preserve"> deba arribarse a la premisa de que mediante informe justificado se proporcionaron mayores elementos encauzados a fortalecer la fundamentación y motivación del cambio de modalidad, tales como la</w:t>
      </w:r>
      <w:r w:rsidR="00944A6D">
        <w:rPr>
          <w:rFonts w:ascii="Palatino Linotype" w:eastAsia="Palatino Linotype" w:hAnsi="Palatino Linotype" w:cs="Palatino Linotype"/>
          <w:b/>
          <w:bCs/>
          <w:sz w:val="24"/>
          <w:szCs w:val="24"/>
          <w:u w:val="single"/>
        </w:rPr>
        <w:t xml:space="preserve"> comunicación</w:t>
      </w:r>
      <w:r w:rsidR="00D6193E" w:rsidRPr="00D52C1F">
        <w:rPr>
          <w:rFonts w:ascii="Palatino Linotype" w:eastAsia="Palatino Linotype" w:hAnsi="Palatino Linotype" w:cs="Palatino Linotype"/>
          <w:b/>
          <w:bCs/>
          <w:sz w:val="24"/>
          <w:szCs w:val="24"/>
          <w:u w:val="single"/>
        </w:rPr>
        <w:t xml:space="preserve"> de carácter oficial mediante </w:t>
      </w:r>
      <w:r w:rsidR="00944A6D">
        <w:rPr>
          <w:rFonts w:ascii="Palatino Linotype" w:eastAsia="Palatino Linotype" w:hAnsi="Palatino Linotype" w:cs="Palatino Linotype"/>
          <w:b/>
          <w:bCs/>
          <w:sz w:val="24"/>
          <w:szCs w:val="24"/>
          <w:u w:val="single"/>
        </w:rPr>
        <w:t>la cual</w:t>
      </w:r>
      <w:r w:rsidR="00D6193E" w:rsidRPr="00D52C1F">
        <w:rPr>
          <w:rFonts w:ascii="Palatino Linotype" w:eastAsia="Palatino Linotype" w:hAnsi="Palatino Linotype" w:cs="Palatino Linotype"/>
          <w:b/>
          <w:bCs/>
          <w:sz w:val="24"/>
          <w:szCs w:val="24"/>
          <w:u w:val="single"/>
        </w:rPr>
        <w:t xml:space="preserve"> el Titular de la Dirección de informática del Órgano garante local </w:t>
      </w:r>
      <w:r w:rsidR="00C514C0" w:rsidRPr="00D52C1F">
        <w:rPr>
          <w:rFonts w:ascii="Palatino Linotype" w:eastAsia="Palatino Linotype" w:hAnsi="Palatino Linotype" w:cs="Palatino Linotype"/>
          <w:b/>
          <w:bCs/>
          <w:sz w:val="24"/>
          <w:szCs w:val="24"/>
          <w:u w:val="single"/>
        </w:rPr>
        <w:t xml:space="preserve">realizó un registro en la bitácora de </w:t>
      </w:r>
      <w:r w:rsidR="00C514C0" w:rsidRPr="00D52C1F">
        <w:rPr>
          <w:rFonts w:ascii="Palatino Linotype" w:eastAsia="Palatino Linotype" w:hAnsi="Palatino Linotype" w:cs="Palatino Linotype"/>
          <w:b/>
          <w:bCs/>
          <w:sz w:val="24"/>
          <w:szCs w:val="24"/>
          <w:u w:val="single"/>
        </w:rPr>
        <w:lastRenderedPageBreak/>
        <w:t xml:space="preserve">incidencias, </w:t>
      </w:r>
      <w:r w:rsidR="00C514C0" w:rsidRPr="00D52C1F">
        <w:rPr>
          <w:rFonts w:ascii="Palatino Linotype" w:hAnsi="Palatino Linotype"/>
          <w:b/>
          <w:bCs/>
          <w:iCs/>
          <w:sz w:val="24"/>
          <w:szCs w:val="24"/>
          <w:u w:val="single"/>
        </w:rPr>
        <w:t xml:space="preserve">toda vez que la información asciende </w:t>
      </w:r>
      <w:r w:rsidR="00944A6D">
        <w:rPr>
          <w:rFonts w:ascii="Palatino Linotype" w:hAnsi="Palatino Linotype"/>
          <w:b/>
          <w:bCs/>
          <w:iCs/>
          <w:sz w:val="24"/>
          <w:szCs w:val="24"/>
          <w:u w:val="single"/>
        </w:rPr>
        <w:t xml:space="preserve">a un peso aproximado de 18.02 GB. </w:t>
      </w:r>
    </w:p>
    <w:p w14:paraId="660B1057" w14:textId="77777777" w:rsidR="00944A6D" w:rsidRPr="00D52C1F" w:rsidRDefault="00944A6D" w:rsidP="00C514C0">
      <w:pPr>
        <w:spacing w:line="360" w:lineRule="auto"/>
        <w:contextualSpacing/>
        <w:jc w:val="both"/>
        <w:rPr>
          <w:b/>
          <w:bCs/>
          <w:sz w:val="24"/>
          <w:szCs w:val="24"/>
          <w:u w:val="single"/>
        </w:rPr>
      </w:pPr>
    </w:p>
    <w:p w14:paraId="5F09FFE1" w14:textId="77777777" w:rsidR="00D508EB" w:rsidRDefault="00D508EB" w:rsidP="00D508EB">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En este sentido, 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Pr>
          <w:rFonts w:ascii="Palatino Linotype" w:hAnsi="Palatino Linotype" w:cs="Arial"/>
          <w:b/>
          <w:sz w:val="24"/>
          <w:szCs w:val="24"/>
        </w:rPr>
        <w:t xml:space="preserve"> Recurrente </w:t>
      </w:r>
      <w:r>
        <w:rPr>
          <w:rFonts w:ascii="Palatino Linotype" w:hAnsi="Palatino Linotype" w:cs="Arial"/>
          <w:sz w:val="24"/>
          <w:szCs w:val="24"/>
        </w:rPr>
        <w:t xml:space="preserve">o que el </w:t>
      </w:r>
      <w:r>
        <w:rPr>
          <w:rFonts w:ascii="Palatino Linotype" w:hAnsi="Palatino Linotype" w:cs="Arial"/>
          <w:b/>
          <w:sz w:val="24"/>
          <w:szCs w:val="24"/>
        </w:rPr>
        <w:t xml:space="preserve">Sujeto Obligado </w:t>
      </w:r>
      <w:r>
        <w:rPr>
          <w:rFonts w:ascii="Palatino Linotype" w:hAnsi="Palatino Linotype" w:cs="Arial"/>
          <w:b/>
          <w:sz w:val="24"/>
          <w:szCs w:val="24"/>
          <w:u w:val="single"/>
        </w:rPr>
        <w:t xml:space="preserve">modifique el acto; </w:t>
      </w:r>
      <w:r>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1DAA3807" w14:textId="77777777" w:rsidR="00D508EB" w:rsidRDefault="00D508EB" w:rsidP="00D508EB">
      <w:pPr>
        <w:spacing w:line="360" w:lineRule="auto"/>
        <w:jc w:val="both"/>
        <w:rPr>
          <w:rFonts w:ascii="Palatino Linotype" w:hAnsi="Palatino Linotype" w:cs="Arial"/>
          <w:sz w:val="24"/>
          <w:szCs w:val="24"/>
        </w:rPr>
      </w:pPr>
      <w:r>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26341D7E" w14:textId="77777777" w:rsidR="00D508EB" w:rsidRDefault="00D508EB" w:rsidP="00D508EB">
      <w:pPr>
        <w:spacing w:line="360" w:lineRule="auto"/>
        <w:ind w:left="851" w:right="851"/>
        <w:jc w:val="both"/>
        <w:rPr>
          <w:rFonts w:ascii="Palatino Linotype" w:hAnsi="Palatino Linotype" w:cs="Arial"/>
          <w:b/>
          <w:i/>
        </w:rPr>
      </w:pPr>
      <w:r>
        <w:rPr>
          <w:rFonts w:ascii="Palatino Linotype" w:hAnsi="Palatino Linotype" w:cs="Arial"/>
          <w:b/>
          <w:i/>
        </w:rPr>
        <w:t>“SOBRESEIMIENTO EN EL JUICIO DE AMPARO DIRECTO. IMPIDE EL ESTUDIO DE LAS VIOLACIONES PROCESALES PLANTEADAS EN LOS CONCEPTOS DE VIOLACIÓN.</w:t>
      </w:r>
    </w:p>
    <w:p w14:paraId="385C200C" w14:textId="77777777" w:rsidR="00D508EB" w:rsidRDefault="00D508EB" w:rsidP="00D508EB">
      <w:pPr>
        <w:spacing w:line="360" w:lineRule="auto"/>
        <w:ind w:left="851" w:right="851"/>
        <w:jc w:val="both"/>
        <w:rPr>
          <w:rFonts w:ascii="Palatino Linotype" w:hAnsi="Palatino Linotype"/>
          <w:i/>
          <w:color w:val="000000"/>
        </w:rPr>
      </w:pPr>
      <w:r>
        <w:rPr>
          <w:rFonts w:ascii="Palatino Linotype" w:hAnsi="Palatino Linotype" w:cs="Arial"/>
          <w:b/>
          <w:i/>
          <w:u w:val="single"/>
        </w:rPr>
        <w:t>El sobreseimiento</w:t>
      </w:r>
      <w:r>
        <w:rPr>
          <w:rFonts w:ascii="Palatino Linotype" w:hAnsi="Palatino Linotype" w:cs="Arial"/>
          <w:b/>
          <w:i/>
        </w:rPr>
        <w:t xml:space="preserve"> </w:t>
      </w:r>
      <w:r>
        <w:rPr>
          <w:rFonts w:ascii="Palatino Linotype" w:hAnsi="Palatino Linotype" w:cs="Arial"/>
          <w:i/>
        </w:rPr>
        <w:t xml:space="preserve">en el juicio de amparo directo </w:t>
      </w:r>
      <w:r>
        <w:rPr>
          <w:rFonts w:ascii="Palatino Linotype" w:hAnsi="Palatino Linotype" w:cs="Arial"/>
          <w:b/>
          <w:i/>
          <w:u w:val="single"/>
        </w:rPr>
        <w:t>provoca la terminación de la controversia planteada</w:t>
      </w:r>
      <w:r>
        <w:rPr>
          <w:rFonts w:ascii="Palatino Linotype" w:hAnsi="Palatino Linotype" w:cs="Arial"/>
          <w:b/>
          <w:i/>
        </w:rPr>
        <w:t xml:space="preserve"> </w:t>
      </w:r>
      <w:r>
        <w:rPr>
          <w:rFonts w:ascii="Palatino Linotype" w:hAnsi="Palatino Linotype" w:cs="Arial"/>
          <w:i/>
        </w:rPr>
        <w:t>por el quejoso en la demanda de amparo</w:t>
      </w:r>
      <w:r>
        <w:rPr>
          <w:rFonts w:ascii="Calibri" w:hAnsi="Calibri"/>
          <w:color w:val="000000"/>
          <w:sz w:val="26"/>
          <w:szCs w:val="26"/>
        </w:rPr>
        <w:t xml:space="preserve"> </w:t>
      </w:r>
      <w:r>
        <w:rPr>
          <w:rFonts w:ascii="Palatino Linotype" w:hAnsi="Palatino Linotype"/>
          <w:i/>
          <w:color w:val="000000"/>
        </w:rPr>
        <w:t xml:space="preserve">provoca la terminación de la controversia planteada por el quejoso en la demanda de </w:t>
      </w:r>
      <w:r>
        <w:rPr>
          <w:rFonts w:ascii="Palatino Linotype" w:hAnsi="Palatino Linotype"/>
          <w:b/>
          <w:i/>
          <w:color w:val="000000"/>
        </w:rPr>
        <w:t>amparo</w:t>
      </w:r>
      <w:r>
        <w:rPr>
          <w:rFonts w:ascii="Palatino Linotype" w:hAnsi="Palatino Linotype"/>
          <w:i/>
          <w:color w:val="000000"/>
        </w:rPr>
        <w:t>, sin hacer un pronunciamiento de fondo sobre la legalidad o ilegalidad de la sentencia reclamada. Por consiguiente, si al sobreseerse en el</w:t>
      </w:r>
      <w:r>
        <w:rPr>
          <w:rFonts w:ascii="Palatino Linotype" w:hAnsi="Palatino Linotype"/>
          <w:b/>
          <w:i/>
          <w:color w:val="000000"/>
        </w:rPr>
        <w:t xml:space="preserve"> juicio </w:t>
      </w:r>
      <w:r>
        <w:rPr>
          <w:rFonts w:ascii="Palatino Linotype" w:hAnsi="Palatino Linotype"/>
          <w:i/>
          <w:color w:val="000000"/>
        </w:rPr>
        <w:t xml:space="preserve">de </w:t>
      </w:r>
      <w:r>
        <w:rPr>
          <w:rFonts w:ascii="Palatino Linotype" w:hAnsi="Palatino Linotype"/>
          <w:b/>
          <w:i/>
          <w:color w:val="000000"/>
        </w:rPr>
        <w:t>amparo</w:t>
      </w:r>
      <w:r>
        <w:rPr>
          <w:rFonts w:ascii="Palatino Linotype" w:hAnsi="Palatino Linotype"/>
          <w:i/>
          <w:color w:val="000000"/>
        </w:rPr>
        <w:t xml:space="preserve"> no se pueden estudiar los planteamientos que se hacen valer en contra del fallo reclamado, tampoco </w:t>
      </w:r>
      <w:r>
        <w:rPr>
          <w:rFonts w:ascii="Palatino Linotype" w:hAnsi="Palatino Linotype"/>
          <w:i/>
          <w:color w:val="000000"/>
        </w:rPr>
        <w:lastRenderedPageBreak/>
        <w:t>se deben analizar las</w:t>
      </w:r>
      <w:r>
        <w:rPr>
          <w:rFonts w:ascii="Palatino Linotype" w:hAnsi="Palatino Linotype"/>
          <w:b/>
          <w:i/>
          <w:color w:val="000000"/>
        </w:rPr>
        <w:t xml:space="preserve"> violaciones procesales</w:t>
      </w:r>
      <w:r>
        <w:rPr>
          <w:rFonts w:ascii="Palatino Linotype" w:hAnsi="Palatino Linotype"/>
          <w:i/>
          <w:color w:val="000000"/>
        </w:rPr>
        <w:t xml:space="preserve"> propuestas en los </w:t>
      </w:r>
      <w:r>
        <w:rPr>
          <w:rFonts w:ascii="Palatino Linotype" w:hAnsi="Palatino Linotype"/>
          <w:b/>
          <w:i/>
          <w:color w:val="000000"/>
        </w:rPr>
        <w:t xml:space="preserve">conceptos </w:t>
      </w:r>
      <w:r>
        <w:rPr>
          <w:rFonts w:ascii="Palatino Linotype" w:hAnsi="Palatino Linotype"/>
          <w:i/>
          <w:color w:val="000000"/>
        </w:rPr>
        <w:t xml:space="preserve">de </w:t>
      </w:r>
      <w:r>
        <w:rPr>
          <w:rFonts w:ascii="Palatino Linotype" w:hAnsi="Palatino Linotype"/>
          <w:b/>
          <w:i/>
          <w:color w:val="000000"/>
        </w:rPr>
        <w:t>violación</w:t>
      </w:r>
      <w:r>
        <w:rPr>
          <w:rFonts w:ascii="Palatino Linotype" w:hAnsi="Palatino Linotype"/>
          <w:i/>
          <w:color w:val="000000"/>
        </w:rPr>
        <w:t xml:space="preserve">, dado que, la principal consecuencia del </w:t>
      </w:r>
      <w:r>
        <w:rPr>
          <w:rFonts w:ascii="Palatino Linotype" w:hAnsi="Palatino Linotype"/>
          <w:b/>
          <w:i/>
          <w:color w:val="000000"/>
        </w:rPr>
        <w:t>sobreseimiento</w:t>
      </w:r>
      <w:r>
        <w:rPr>
          <w:rFonts w:ascii="Palatino Linotype" w:hAnsi="Palatino Linotype"/>
          <w:i/>
          <w:color w:val="000000"/>
        </w:rPr>
        <w:t xml:space="preserve"> es poner fin al </w:t>
      </w:r>
      <w:r>
        <w:rPr>
          <w:rFonts w:ascii="Palatino Linotype" w:hAnsi="Palatino Linotype"/>
          <w:b/>
          <w:i/>
          <w:color w:val="000000"/>
        </w:rPr>
        <w:t xml:space="preserve">juicio </w:t>
      </w:r>
      <w:r>
        <w:rPr>
          <w:rFonts w:ascii="Palatino Linotype" w:hAnsi="Palatino Linotype"/>
          <w:i/>
          <w:color w:val="000000"/>
        </w:rPr>
        <w:t xml:space="preserve">de </w:t>
      </w:r>
      <w:r>
        <w:rPr>
          <w:rFonts w:ascii="Palatino Linotype" w:hAnsi="Palatino Linotype"/>
          <w:b/>
          <w:i/>
          <w:color w:val="000000"/>
        </w:rPr>
        <w:t xml:space="preserve">amparo </w:t>
      </w:r>
      <w:r>
        <w:rPr>
          <w:rFonts w:ascii="Palatino Linotype" w:hAnsi="Palatino Linotype"/>
          <w:i/>
          <w:color w:val="000000"/>
        </w:rPr>
        <w:t>sin resolver la controversia en sus méritos.  </w:t>
      </w:r>
    </w:p>
    <w:p w14:paraId="41464BD1" w14:textId="77777777" w:rsidR="00D508EB" w:rsidRDefault="00D508EB" w:rsidP="00D508EB">
      <w:pPr>
        <w:spacing w:line="360" w:lineRule="auto"/>
        <w:ind w:left="851" w:right="851"/>
        <w:jc w:val="both"/>
        <w:rPr>
          <w:rFonts w:ascii="Palatino Linotype" w:hAnsi="Palatino Linotype" w:cs="Arial"/>
          <w:b/>
          <w:i/>
        </w:rPr>
      </w:pPr>
      <w:r>
        <w:rPr>
          <w:rFonts w:ascii="Palatino Linotype" w:hAnsi="Palatino Linotype" w:cs="Arial"/>
          <w:b/>
          <w:i/>
        </w:rPr>
        <w:t>SÉPTIMO TRIBUNAL COLEGIADO EN MATERIA CIVIL DEL PRIMER CIRCUITO.</w:t>
      </w:r>
    </w:p>
    <w:p w14:paraId="40D77A80" w14:textId="77777777" w:rsidR="00D508EB" w:rsidRDefault="00D508EB" w:rsidP="00D508EB">
      <w:pPr>
        <w:spacing w:line="360" w:lineRule="auto"/>
        <w:ind w:left="851" w:right="851"/>
        <w:jc w:val="both"/>
        <w:rPr>
          <w:rFonts w:ascii="Palatino Linotype" w:hAnsi="Palatino Linotype" w:cs="Arial"/>
          <w:i/>
        </w:rPr>
      </w:pPr>
      <w:r>
        <w:rPr>
          <w:rFonts w:ascii="Palatino Linotype" w:hAnsi="Palatino Linotype" w:cs="Arial"/>
          <w:i/>
        </w:rPr>
        <w:t xml:space="preserve">Amparo directo 699/2008. Mariana Leticia González </w:t>
      </w:r>
      <w:proofErr w:type="spellStart"/>
      <w:r>
        <w:rPr>
          <w:rFonts w:ascii="Palatino Linotype" w:hAnsi="Palatino Linotype" w:cs="Arial"/>
          <w:i/>
        </w:rPr>
        <w:t>Steele</w:t>
      </w:r>
      <w:proofErr w:type="spellEnd"/>
      <w:r>
        <w:rPr>
          <w:rFonts w:ascii="Palatino Linotype" w:hAnsi="Palatino Linotype" w:cs="Arial"/>
          <w:i/>
        </w:rPr>
        <w:t>. 13 de noviembre de 2008. Unanimidad de votos. Ponente: Sara Judith Montalvo Trejo. Secretario: Arnulfo Mateos García.”</w:t>
      </w:r>
      <w:r>
        <w:rPr>
          <w:rFonts w:ascii="Palatino Linotype" w:eastAsia="Times New Roman" w:hAnsi="Palatino Linotype" w:cs="Times New Roman"/>
          <w:b/>
          <w:i/>
          <w:lang w:val="es-ES_tradnl" w:eastAsia="es-ES"/>
        </w:rPr>
        <w:t xml:space="preserve"> [Sic]</w:t>
      </w:r>
    </w:p>
    <w:p w14:paraId="258357B8" w14:textId="77777777" w:rsidR="00D508EB" w:rsidRDefault="00D508EB" w:rsidP="00D508EB">
      <w:pPr>
        <w:ind w:right="141"/>
        <w:jc w:val="both"/>
        <w:rPr>
          <w:rFonts w:ascii="Palatino Linotype" w:hAnsi="Palatino Linotype" w:cs="Arial"/>
        </w:rPr>
      </w:pPr>
    </w:p>
    <w:p w14:paraId="3AC8F1CE" w14:textId="77777777" w:rsidR="00D508EB" w:rsidRDefault="00D508EB" w:rsidP="00D508EB">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Pr>
          <w:rFonts w:ascii="Palatino Linotype" w:hAnsi="Palatino Linotype" w:cs="Arial"/>
          <w:b/>
          <w:sz w:val="24"/>
          <w:szCs w:val="24"/>
        </w:rPr>
        <w:t xml:space="preserve">artículo 192 </w:t>
      </w:r>
      <w:r>
        <w:rPr>
          <w:rFonts w:ascii="Palatino Linotype" w:hAnsi="Palatino Linotype" w:cs="Arial"/>
          <w:sz w:val="24"/>
          <w:szCs w:val="24"/>
        </w:rPr>
        <w:t xml:space="preserve">de la </w:t>
      </w:r>
      <w:r>
        <w:rPr>
          <w:rFonts w:ascii="Palatino Linotype" w:hAnsi="Palatino Linotype" w:cs="Arial"/>
          <w:b/>
          <w:sz w:val="24"/>
          <w:szCs w:val="24"/>
        </w:rPr>
        <w:t xml:space="preserve">Ley de Transparencia y Acceso a la Información Pública del Estado de México y Municipios, </w:t>
      </w:r>
      <w:r>
        <w:rPr>
          <w:rFonts w:ascii="Palatino Linotype" w:hAnsi="Palatino Linotype" w:cs="Arial"/>
          <w:sz w:val="24"/>
          <w:szCs w:val="24"/>
        </w:rPr>
        <w:t xml:space="preserve">nos encontramos ante un sobreseimiento definitivo toda vez que pone fin al procedimiento sin entrar al estudio de fondo del mismo. </w:t>
      </w:r>
    </w:p>
    <w:p w14:paraId="49F13C02" w14:textId="77777777" w:rsidR="00D508EB" w:rsidRDefault="00D508EB" w:rsidP="00D508EB">
      <w:pPr>
        <w:spacing w:line="360" w:lineRule="auto"/>
        <w:jc w:val="both"/>
        <w:rPr>
          <w:rFonts w:ascii="Palatino Linotype" w:hAnsi="Palatino Linotype" w:cs="Arial"/>
          <w:b/>
          <w:sz w:val="24"/>
          <w:szCs w:val="24"/>
        </w:rPr>
      </w:pPr>
      <w:r>
        <w:rPr>
          <w:rFonts w:ascii="Palatino Linotype" w:hAnsi="Palatino Linotype" w:cs="Arial"/>
          <w:sz w:val="24"/>
          <w:szCs w:val="24"/>
        </w:rPr>
        <w:t xml:space="preserve">Para los efectos de esta resolución, resulta oportuno precisar los alcances jurídicos de la </w:t>
      </w:r>
      <w:r>
        <w:rPr>
          <w:rFonts w:ascii="Palatino Linotype" w:hAnsi="Palatino Linotype" w:cs="Arial"/>
          <w:b/>
          <w:sz w:val="24"/>
          <w:szCs w:val="24"/>
        </w:rPr>
        <w:t xml:space="preserve">fracción III </w:t>
      </w:r>
      <w:r>
        <w:rPr>
          <w:rFonts w:ascii="Palatino Linotype" w:hAnsi="Palatino Linotype" w:cs="Arial"/>
          <w:sz w:val="24"/>
          <w:szCs w:val="24"/>
        </w:rPr>
        <w:t xml:space="preserve">de la disposición legal transcrita. Así, procede el sobreseimiento del recurso de revisión cuando el </w:t>
      </w:r>
      <w:r>
        <w:rPr>
          <w:rFonts w:ascii="Palatino Linotype" w:hAnsi="Palatino Linotype" w:cs="Arial"/>
          <w:b/>
          <w:sz w:val="24"/>
          <w:szCs w:val="24"/>
        </w:rPr>
        <w:t xml:space="preserve">Sujeto Obligado: </w:t>
      </w:r>
    </w:p>
    <w:p w14:paraId="46980034" w14:textId="77777777" w:rsidR="00D508EB" w:rsidRDefault="00D508EB">
      <w:pPr>
        <w:pStyle w:val="Prrafodelista"/>
        <w:numPr>
          <w:ilvl w:val="0"/>
          <w:numId w:val="3"/>
        </w:numPr>
        <w:spacing w:line="360" w:lineRule="auto"/>
        <w:ind w:right="851"/>
        <w:jc w:val="both"/>
        <w:rPr>
          <w:rFonts w:ascii="Palatino Linotype" w:hAnsi="Palatino Linotype" w:cs="Arial"/>
          <w:b/>
        </w:rPr>
      </w:pPr>
      <w:r>
        <w:rPr>
          <w:rFonts w:ascii="Palatino Linotype" w:hAnsi="Palatino Linotype" w:cs="Arial"/>
          <w:b/>
        </w:rPr>
        <w:t xml:space="preserve">Modifique el acto impugnado: </w:t>
      </w:r>
      <w:r>
        <w:rPr>
          <w:rFonts w:ascii="Palatino Linotype" w:hAnsi="Palatino Linotype" w:cs="Arial"/>
        </w:rPr>
        <w:t xml:space="preserve">Se actualiza cuando el </w:t>
      </w:r>
      <w:r>
        <w:rPr>
          <w:rFonts w:ascii="Palatino Linotype" w:hAnsi="Palatino Linotype" w:cs="Arial"/>
          <w:b/>
        </w:rPr>
        <w:t xml:space="preserve">Sujeto Obligado </w:t>
      </w:r>
      <w:r>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504C9ECF" w14:textId="77777777" w:rsidR="00D508EB" w:rsidRDefault="00D508EB" w:rsidP="00D508EB">
      <w:pPr>
        <w:pStyle w:val="Prrafodelista"/>
        <w:spacing w:line="360" w:lineRule="auto"/>
        <w:ind w:left="720" w:right="851"/>
        <w:jc w:val="both"/>
        <w:rPr>
          <w:rFonts w:ascii="Palatino Linotype" w:hAnsi="Palatino Linotype" w:cs="Arial"/>
          <w:b/>
        </w:rPr>
      </w:pPr>
    </w:p>
    <w:p w14:paraId="267555D3" w14:textId="77777777" w:rsidR="00D508EB" w:rsidRDefault="00D508EB" w:rsidP="00D508EB">
      <w:pPr>
        <w:spacing w:line="360" w:lineRule="auto"/>
        <w:jc w:val="both"/>
        <w:rPr>
          <w:rFonts w:ascii="Palatino Linotype" w:hAnsi="Palatino Linotype" w:cs="Arial"/>
          <w:sz w:val="24"/>
          <w:szCs w:val="24"/>
          <w:u w:val="single"/>
        </w:rPr>
      </w:pPr>
      <w:r>
        <w:rPr>
          <w:rFonts w:ascii="Palatino Linotype" w:hAnsi="Palatino Linotype" w:cs="Arial"/>
          <w:sz w:val="24"/>
          <w:szCs w:val="24"/>
        </w:rPr>
        <w:lastRenderedPageBreak/>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Pr>
          <w:rFonts w:ascii="Palatino Linotype" w:hAnsi="Palatino Linotype" w:cs="Arial"/>
          <w:b/>
          <w:sz w:val="24"/>
          <w:szCs w:val="24"/>
          <w:u w:val="single"/>
        </w:rPr>
        <w:t xml:space="preserve">cuando ha sido satisfecha la pretensión del particular, </w:t>
      </w:r>
      <w:r>
        <w:rPr>
          <w:rFonts w:ascii="Palatino Linotype" w:hAnsi="Palatino Linotype" w:cs="Arial"/>
          <w:sz w:val="24"/>
          <w:szCs w:val="24"/>
        </w:rPr>
        <w:t>ya sea porque se hizo la entrega de la información solicitada o porque se completó la misma.</w:t>
      </w:r>
      <w:r>
        <w:rPr>
          <w:rFonts w:ascii="Palatino Linotype" w:hAnsi="Palatino Linotype" w:cs="Arial"/>
          <w:sz w:val="24"/>
          <w:szCs w:val="24"/>
          <w:u w:val="single"/>
        </w:rPr>
        <w:t xml:space="preserve"> </w:t>
      </w:r>
    </w:p>
    <w:p w14:paraId="7E6A4555" w14:textId="77777777" w:rsidR="00D508EB" w:rsidRDefault="00D508EB" w:rsidP="00D508EB">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se advierte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con la información enviada a este Órgano Garante, </w:t>
      </w:r>
      <w:r>
        <w:rPr>
          <w:rFonts w:ascii="Palatino Linotype" w:hAnsi="Palatino Linotype" w:cs="Arial"/>
          <w:b/>
          <w:sz w:val="24"/>
          <w:szCs w:val="24"/>
        </w:rPr>
        <w:t xml:space="preserve">modifica </w:t>
      </w:r>
      <w:r>
        <w:rPr>
          <w:rFonts w:ascii="Palatino Linotype" w:hAnsi="Palatino Linotype" w:cs="Arial"/>
          <w:sz w:val="24"/>
          <w:szCs w:val="24"/>
        </w:rPr>
        <w:t xml:space="preserve">el acto que le dio origen al recurso de revisión, </w:t>
      </w:r>
      <w:r>
        <w:rPr>
          <w:rFonts w:ascii="Palatino Linotype" w:hAnsi="Palatino Linotype" w:cs="Arial"/>
          <w:b/>
          <w:sz w:val="24"/>
          <w:szCs w:val="24"/>
        </w:rPr>
        <w:t xml:space="preserve">por lo que trae como consecuencia que el mismo quede sin materia, </w:t>
      </w:r>
      <w:r>
        <w:rPr>
          <w:rFonts w:ascii="Palatino Linotype" w:hAnsi="Palatino Linotype" w:cs="Arial"/>
          <w:sz w:val="24"/>
          <w:szCs w:val="24"/>
        </w:rPr>
        <w:t xml:space="preserve">actualizándose de este modo, la hipótesis jurídica contenida en la fracción III del artículo 192. </w:t>
      </w:r>
    </w:p>
    <w:p w14:paraId="4DF2CB3C" w14:textId="77777777" w:rsidR="00D508EB" w:rsidRDefault="00D508EB" w:rsidP="00D508EB">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cuando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proofErr w:type="spellStart"/>
      <w:r>
        <w:rPr>
          <w:rFonts w:ascii="Palatino Linotype" w:hAnsi="Palatino Linotype" w:cs="Arial"/>
          <w:b/>
          <w:i/>
          <w:sz w:val="24"/>
          <w:szCs w:val="24"/>
        </w:rPr>
        <w:t>litis</w:t>
      </w:r>
      <w:proofErr w:type="spellEnd"/>
      <w:r>
        <w:rPr>
          <w:rFonts w:ascii="Palatino Linotype" w:hAnsi="Palatino Linotype" w:cs="Arial"/>
          <w:b/>
          <w:i/>
          <w:sz w:val="24"/>
          <w:szCs w:val="24"/>
        </w:rPr>
        <w:t xml:space="preserve"> </w:t>
      </w:r>
      <w:r>
        <w:rPr>
          <w:rFonts w:ascii="Palatino Linotype" w:hAnsi="Palatino Linotype" w:cs="Arial"/>
          <w:sz w:val="24"/>
          <w:szCs w:val="24"/>
        </w:rPr>
        <w:t xml:space="preserve">planteada, debido a que la afectación en su esfera de derechos fue restituida por la propia autoridad que emitió el acto de impugnación. </w:t>
      </w:r>
    </w:p>
    <w:p w14:paraId="766B9249" w14:textId="77777777" w:rsidR="00D508EB" w:rsidRDefault="00D508EB" w:rsidP="00D508EB">
      <w:pPr>
        <w:tabs>
          <w:tab w:val="left" w:pos="7797"/>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lo tanto, para que se actualice el sobreseimiento de un recurso de revisión,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puede entregar o completar la información al momento de rendir su </w:t>
      </w:r>
      <w:r>
        <w:rPr>
          <w:rFonts w:ascii="Palatino Linotype" w:hAnsi="Palatino Linotype" w:cs="Arial"/>
          <w:b/>
          <w:sz w:val="24"/>
          <w:szCs w:val="24"/>
          <w:u w:val="single"/>
        </w:rPr>
        <w:t>informe de justificación dentro de los siete días</w:t>
      </w:r>
      <w:r>
        <w:rPr>
          <w:rFonts w:ascii="Palatino Linotype" w:hAnsi="Palatino Linotype" w:cs="Arial"/>
          <w:b/>
          <w:sz w:val="24"/>
          <w:szCs w:val="24"/>
        </w:rPr>
        <w:t xml:space="preserve"> </w:t>
      </w:r>
      <w:r>
        <w:rPr>
          <w:rFonts w:ascii="Palatino Linotype" w:hAnsi="Palatino Linotype" w:cs="Arial"/>
          <w:sz w:val="24"/>
          <w:szCs w:val="24"/>
        </w:rPr>
        <w:t>previstos para manifestar lo que a su derecho convenga.</w:t>
      </w:r>
    </w:p>
    <w:p w14:paraId="17D80464" w14:textId="5851E2D5" w:rsidR="00D508EB" w:rsidRDefault="00D508EB" w:rsidP="00D508EB">
      <w:pPr>
        <w:tabs>
          <w:tab w:val="left" w:pos="8080"/>
        </w:tabs>
        <w:spacing w:line="360" w:lineRule="auto"/>
        <w:jc w:val="both"/>
        <w:rPr>
          <w:rFonts w:ascii="Palatino Linotype" w:hAnsi="Palatino Linotype" w:cs="Arial"/>
          <w:sz w:val="24"/>
          <w:szCs w:val="24"/>
        </w:rPr>
      </w:pPr>
      <w:r>
        <w:rPr>
          <w:rFonts w:ascii="Palatino Linotype" w:hAnsi="Palatino Linotype" w:cs="Arial"/>
          <w:sz w:val="24"/>
          <w:szCs w:val="24"/>
        </w:rPr>
        <w:t xml:space="preserve">En mérito de lo expuesto en líneas anteriores, resultan fundados los motivos de inconformidad que arguye </w:t>
      </w:r>
      <w:r w:rsidR="00944A6D">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en su medio de impugnación que fue materia de estudio, por ello </w:t>
      </w:r>
      <w:r>
        <w:rPr>
          <w:rFonts w:ascii="Palatino Linotype" w:hAnsi="Palatino Linotype" w:cs="Arial"/>
          <w:b/>
          <w:sz w:val="24"/>
          <w:szCs w:val="24"/>
        </w:rPr>
        <w:t xml:space="preserve">con fundamento en el artículo 186 fracción I, en </w:t>
      </w:r>
      <w:r>
        <w:rPr>
          <w:rFonts w:ascii="Palatino Linotype" w:hAnsi="Palatino Linotype" w:cs="Arial"/>
          <w:b/>
          <w:sz w:val="24"/>
          <w:szCs w:val="24"/>
        </w:rPr>
        <w:lastRenderedPageBreak/>
        <w:t xml:space="preserve">concordancia con el 192 fracción III de la Ley de 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cs="Arial"/>
          <w:b/>
          <w:sz w:val="24"/>
          <w:szCs w:val="24"/>
        </w:rPr>
        <w:t xml:space="preserve">SOBRESEE </w:t>
      </w:r>
      <w:r>
        <w:rPr>
          <w:rFonts w:ascii="Palatino Linotype" w:hAnsi="Palatino Linotype" w:cs="Arial"/>
          <w:sz w:val="24"/>
          <w:szCs w:val="24"/>
        </w:rPr>
        <w:t xml:space="preserve">el recurso de revisión </w:t>
      </w:r>
      <w:r w:rsidR="00944A6D">
        <w:rPr>
          <w:rFonts w:ascii="Palatino Linotype" w:hAnsi="Palatino Linotype" w:cs="Arial"/>
          <w:b/>
          <w:sz w:val="24"/>
          <w:szCs w:val="24"/>
        </w:rPr>
        <w:t>16500</w:t>
      </w:r>
      <w:r>
        <w:rPr>
          <w:rFonts w:ascii="Palatino Linotype" w:hAnsi="Palatino Linotype" w:cs="Arial"/>
          <w:b/>
          <w:sz w:val="24"/>
          <w:szCs w:val="24"/>
        </w:rPr>
        <w:t>/INFOEM/IP/RR/2022</w:t>
      </w:r>
      <w:r>
        <w:rPr>
          <w:rFonts w:ascii="Palatino Linotype" w:hAnsi="Palatino Linotype" w:cs="Arial"/>
          <w:b/>
          <w:sz w:val="24"/>
          <w:szCs w:val="24"/>
          <w:lang w:val="es-ES_tradnl"/>
        </w:rPr>
        <w:t xml:space="preserve">, </w:t>
      </w:r>
      <w:r>
        <w:rPr>
          <w:rFonts w:ascii="Palatino Linotype" w:hAnsi="Palatino Linotype" w:cs="Arial"/>
          <w:sz w:val="24"/>
          <w:szCs w:val="24"/>
          <w:lang w:val="es-ES_tradnl"/>
        </w:rPr>
        <w:t xml:space="preserve">que ha sido materia del presente fallo. </w:t>
      </w:r>
    </w:p>
    <w:p w14:paraId="552D2C32" w14:textId="77777777" w:rsidR="00D508EB" w:rsidRDefault="00D508EB" w:rsidP="00D508EB">
      <w:pPr>
        <w:tabs>
          <w:tab w:val="left" w:pos="8080"/>
        </w:tabs>
        <w:spacing w:line="360" w:lineRule="auto"/>
        <w:jc w:val="both"/>
        <w:rPr>
          <w:rFonts w:ascii="Palatino Linotype" w:hAnsi="Palatino Linotype" w:cs="Arial"/>
          <w:bCs/>
          <w:sz w:val="24"/>
          <w:szCs w:val="24"/>
        </w:rPr>
      </w:pPr>
      <w:r>
        <w:rPr>
          <w:rFonts w:ascii="Palatino Linotype" w:hAnsi="Palatino Linotype" w:cs="Arial"/>
          <w:bCs/>
          <w:sz w:val="24"/>
          <w:szCs w:val="24"/>
        </w:rPr>
        <w:t>Por lo antes expuesto y fundado es de resolverse y,</w:t>
      </w:r>
    </w:p>
    <w:p w14:paraId="6DB08EEB" w14:textId="2967C123" w:rsidR="00D52C1F" w:rsidRDefault="00D52C1F" w:rsidP="00D508EB">
      <w:pPr>
        <w:spacing w:after="0" w:line="360" w:lineRule="auto"/>
        <w:jc w:val="center"/>
        <w:rPr>
          <w:rFonts w:ascii="Palatino Linotype" w:eastAsia="Times New Roman" w:hAnsi="Palatino Linotype" w:cs="Times New Roman"/>
          <w:b/>
          <w:bCs/>
          <w:spacing w:val="60"/>
          <w:sz w:val="28"/>
          <w:szCs w:val="24"/>
          <w:lang w:val="es-ES_tradnl" w:eastAsia="es-ES"/>
        </w:rPr>
      </w:pPr>
    </w:p>
    <w:p w14:paraId="0C69279F" w14:textId="77777777" w:rsidR="00D52C1F" w:rsidRDefault="00D52C1F" w:rsidP="00D508EB">
      <w:pPr>
        <w:spacing w:after="0" w:line="360" w:lineRule="auto"/>
        <w:jc w:val="center"/>
        <w:rPr>
          <w:rFonts w:ascii="Palatino Linotype" w:eastAsia="Times New Roman" w:hAnsi="Palatino Linotype" w:cs="Times New Roman"/>
          <w:b/>
          <w:bCs/>
          <w:spacing w:val="60"/>
          <w:sz w:val="28"/>
          <w:szCs w:val="24"/>
          <w:lang w:val="es-ES_tradnl" w:eastAsia="es-ES"/>
        </w:rPr>
      </w:pPr>
    </w:p>
    <w:p w14:paraId="41055906" w14:textId="296F2A69" w:rsidR="00D508EB" w:rsidRPr="00895C52" w:rsidRDefault="00D508EB" w:rsidP="00D508EB">
      <w:pPr>
        <w:spacing w:after="0" w:line="360" w:lineRule="auto"/>
        <w:jc w:val="center"/>
        <w:rPr>
          <w:rFonts w:ascii="Palatino Linotype" w:eastAsia="Times New Roman" w:hAnsi="Palatino Linotype" w:cs="Times New Roman"/>
          <w:b/>
          <w:bCs/>
          <w:spacing w:val="60"/>
          <w:sz w:val="28"/>
          <w:szCs w:val="24"/>
          <w:lang w:val="es-ES_tradnl" w:eastAsia="es-ES"/>
        </w:rPr>
      </w:pPr>
      <w:r w:rsidRPr="00895C52">
        <w:rPr>
          <w:rFonts w:ascii="Palatino Linotype" w:eastAsia="Times New Roman" w:hAnsi="Palatino Linotype" w:cs="Times New Roman"/>
          <w:b/>
          <w:bCs/>
          <w:spacing w:val="60"/>
          <w:sz w:val="28"/>
          <w:szCs w:val="24"/>
          <w:lang w:val="es-ES_tradnl" w:eastAsia="es-ES"/>
        </w:rPr>
        <w:t>SE    RESUELVE</w:t>
      </w:r>
    </w:p>
    <w:p w14:paraId="05351360" w14:textId="77777777" w:rsidR="00D508EB" w:rsidRPr="00895C52" w:rsidRDefault="00D508EB" w:rsidP="00D508EB">
      <w:pPr>
        <w:spacing w:after="0" w:line="360" w:lineRule="auto"/>
        <w:jc w:val="center"/>
        <w:rPr>
          <w:rFonts w:ascii="Palatino Linotype" w:eastAsia="Times New Roman" w:hAnsi="Palatino Linotype" w:cs="Times New Roman"/>
          <w:bCs/>
          <w:spacing w:val="60"/>
          <w:sz w:val="24"/>
          <w:szCs w:val="24"/>
          <w:lang w:val="es-ES_tradnl" w:eastAsia="es-ES"/>
        </w:rPr>
      </w:pPr>
    </w:p>
    <w:p w14:paraId="6034F555" w14:textId="6C75C50C" w:rsidR="00D508EB" w:rsidRDefault="00D508EB" w:rsidP="00D508EB">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PRIMERO.</w:t>
      </w:r>
      <w:r w:rsidRPr="00895C52">
        <w:rPr>
          <w:rFonts w:ascii="Palatino Linotype" w:eastAsiaTheme="minorEastAsia" w:hAnsi="Palatino Linotype" w:cs="Arial"/>
          <w:sz w:val="24"/>
          <w:szCs w:val="24"/>
          <w:lang w:val="es-ES_tradnl" w:eastAsia="es-ES"/>
        </w:rPr>
        <w:t xml:space="preserve"> </w:t>
      </w:r>
      <w:r w:rsidRPr="00C40C29">
        <w:rPr>
          <w:rFonts w:ascii="Palatino Linotype" w:eastAsiaTheme="minorEastAsia" w:hAnsi="Palatino Linotype" w:cs="Arial"/>
          <w:sz w:val="24"/>
          <w:szCs w:val="24"/>
          <w:lang w:val="es-ES_tradnl" w:eastAsia="es-ES"/>
        </w:rPr>
        <w:t xml:space="preserve">Se </w:t>
      </w:r>
      <w:r w:rsidRPr="00C40C29">
        <w:rPr>
          <w:rFonts w:ascii="Palatino Linotype" w:eastAsiaTheme="minorEastAsia" w:hAnsi="Palatino Linotype" w:cs="Arial"/>
          <w:b/>
          <w:sz w:val="24"/>
          <w:szCs w:val="24"/>
          <w:lang w:val="es-ES_tradnl" w:eastAsia="es-ES"/>
        </w:rPr>
        <w:t>SOBRESEE</w:t>
      </w:r>
      <w:r w:rsidRPr="00C40C29">
        <w:rPr>
          <w:rFonts w:ascii="Palatino Linotype" w:eastAsiaTheme="minorEastAsia" w:hAnsi="Palatino Linotype" w:cs="Arial"/>
          <w:sz w:val="24"/>
          <w:szCs w:val="24"/>
          <w:lang w:val="es-ES_tradnl" w:eastAsia="es-ES"/>
        </w:rPr>
        <w:t xml:space="preserve"> el recurso de revisión número </w:t>
      </w:r>
      <w:r w:rsidR="00944A6D">
        <w:rPr>
          <w:rFonts w:ascii="Palatino Linotype" w:hAnsi="Palatino Linotype" w:cs="Arial"/>
          <w:b/>
          <w:sz w:val="24"/>
          <w:szCs w:val="24"/>
        </w:rPr>
        <w:t>16500</w:t>
      </w:r>
      <w:r>
        <w:rPr>
          <w:rFonts w:ascii="Palatino Linotype" w:hAnsi="Palatino Linotype" w:cs="Arial"/>
          <w:b/>
          <w:sz w:val="24"/>
          <w:szCs w:val="24"/>
        </w:rPr>
        <w:t>/INFOEM/IP/RR/2022</w:t>
      </w:r>
      <w:r w:rsidRPr="00C40C29">
        <w:rPr>
          <w:rFonts w:ascii="Palatino Linotype" w:eastAsiaTheme="minorEastAsia" w:hAnsi="Palatino Linotype" w:cs="Arial"/>
          <w:sz w:val="24"/>
          <w:szCs w:val="24"/>
          <w:lang w:val="es-ES_tradnl" w:eastAsia="es-ES"/>
        </w:rPr>
        <w:t>, por</w:t>
      </w:r>
      <w:r>
        <w:rPr>
          <w:rFonts w:ascii="Palatino Linotype" w:eastAsiaTheme="minorEastAsia" w:hAnsi="Palatino Linotype" w:cs="Arial"/>
          <w:sz w:val="24"/>
          <w:szCs w:val="24"/>
          <w:lang w:val="es-ES_tradnl" w:eastAsia="es-ES"/>
        </w:rPr>
        <w:t xml:space="preserve">que </w:t>
      </w:r>
      <w:r w:rsidRPr="00DB139B">
        <w:rPr>
          <w:rFonts w:ascii="Palatino Linotype" w:eastAsiaTheme="minorEastAsia" w:hAnsi="Palatino Linotype" w:cs="Arial"/>
          <w:b/>
          <w:bCs/>
          <w:sz w:val="24"/>
          <w:szCs w:val="24"/>
          <w:lang w:val="es-ES_tradnl" w:eastAsia="es-ES"/>
        </w:rPr>
        <w:t>EL SUJETO OBLIGADO</w:t>
      </w:r>
      <w:r>
        <w:rPr>
          <w:rFonts w:ascii="Palatino Linotype" w:eastAsiaTheme="minorEastAsia" w:hAnsi="Palatino Linotype" w:cs="Arial"/>
          <w:sz w:val="24"/>
          <w:szCs w:val="24"/>
          <w:lang w:val="es-ES_tradnl" w:eastAsia="es-ES"/>
        </w:rPr>
        <w:t xml:space="preserve"> al modificar su respuesta, el recurso de revisión quedó </w:t>
      </w:r>
      <w:r w:rsidRPr="00C40C29">
        <w:rPr>
          <w:rFonts w:ascii="Palatino Linotype" w:eastAsiaTheme="minorEastAsia" w:hAnsi="Palatino Linotype" w:cs="Arial"/>
          <w:sz w:val="24"/>
          <w:szCs w:val="24"/>
          <w:lang w:val="es-ES_tradnl" w:eastAsia="es-ES"/>
        </w:rPr>
        <w:t>sin materia</w:t>
      </w:r>
      <w:r>
        <w:rPr>
          <w:rFonts w:ascii="Palatino Linotype" w:eastAsiaTheme="minorEastAsia" w:hAnsi="Palatino Linotype" w:cs="Arial"/>
          <w:sz w:val="24"/>
          <w:szCs w:val="24"/>
          <w:lang w:val="es-ES_tradnl" w:eastAsia="es-ES"/>
        </w:rPr>
        <w:t xml:space="preserve">, en términos del </w:t>
      </w:r>
      <w:r w:rsidRPr="00C40C29">
        <w:rPr>
          <w:rFonts w:ascii="Palatino Linotype" w:eastAsiaTheme="minorEastAsia" w:hAnsi="Palatino Linotype" w:cs="Arial"/>
          <w:sz w:val="24"/>
          <w:szCs w:val="24"/>
          <w:lang w:val="es-ES_tradnl" w:eastAsia="es-ES"/>
        </w:rPr>
        <w:t xml:space="preserve">artículo 192 fracción III de la Ley de Transparencia y Acceso a la Información Pública del Estado de México y Municipios, en términos del Considerando </w:t>
      </w:r>
      <w:r w:rsidR="00944A6D">
        <w:rPr>
          <w:rFonts w:ascii="Palatino Linotype" w:eastAsiaTheme="minorEastAsia" w:hAnsi="Palatino Linotype" w:cs="Arial"/>
          <w:b/>
          <w:sz w:val="24"/>
          <w:szCs w:val="24"/>
          <w:lang w:val="es-ES_tradnl" w:eastAsia="es-ES"/>
        </w:rPr>
        <w:t>CUARTO</w:t>
      </w:r>
      <w:r w:rsidRPr="00C40C29">
        <w:rPr>
          <w:rFonts w:ascii="Palatino Linotype" w:eastAsiaTheme="minorEastAsia" w:hAnsi="Palatino Linotype" w:cs="Arial"/>
          <w:sz w:val="24"/>
          <w:szCs w:val="24"/>
          <w:lang w:val="es-ES_tradnl" w:eastAsia="es-ES"/>
        </w:rPr>
        <w:t xml:space="preserve"> de la presente resolución.</w:t>
      </w:r>
    </w:p>
    <w:p w14:paraId="6AB4A534" w14:textId="77777777" w:rsidR="00D508EB" w:rsidRPr="00895C52" w:rsidRDefault="00D508EB" w:rsidP="00D508EB">
      <w:pPr>
        <w:tabs>
          <w:tab w:val="left" w:pos="8647"/>
        </w:tabs>
        <w:spacing w:after="0" w:line="360" w:lineRule="auto"/>
        <w:ind w:right="51"/>
        <w:jc w:val="both"/>
        <w:rPr>
          <w:rFonts w:ascii="Palatino Linotype" w:eastAsiaTheme="minorEastAsia" w:hAnsi="Palatino Linotype" w:cs="Arial"/>
          <w:sz w:val="24"/>
          <w:szCs w:val="24"/>
          <w:lang w:eastAsia="es-ES"/>
        </w:rPr>
      </w:pPr>
    </w:p>
    <w:p w14:paraId="2F32A83D" w14:textId="77777777" w:rsidR="00D508EB" w:rsidRDefault="00D508EB" w:rsidP="00D508EB">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SEGUNDO</w:t>
      </w:r>
      <w:r w:rsidRPr="00895C52">
        <w:rPr>
          <w:rFonts w:ascii="Palatino Linotype" w:eastAsiaTheme="minorEastAsia" w:hAnsi="Palatino Linotype" w:cs="Arial"/>
          <w:b/>
          <w:sz w:val="24"/>
          <w:szCs w:val="24"/>
          <w:lang w:val="es-ES_tradnl" w:eastAsia="es-ES"/>
        </w:rPr>
        <w:t>.</w:t>
      </w:r>
      <w:r w:rsidRPr="00895C52">
        <w:rPr>
          <w:rFonts w:ascii="Palatino Linotype" w:eastAsiaTheme="minorEastAsia" w:hAnsi="Palatino Linotype" w:cs="Arial"/>
          <w:sz w:val="24"/>
          <w:szCs w:val="24"/>
          <w:lang w:val="es-ES_tradnl" w:eastAsia="es-ES"/>
        </w:rPr>
        <w:t xml:space="preserve"> </w:t>
      </w:r>
      <w:r w:rsidRPr="00895C52">
        <w:rPr>
          <w:rFonts w:ascii="Palatino Linotype" w:eastAsiaTheme="minorEastAsia" w:hAnsi="Palatino Linotype" w:cs="Arial"/>
          <w:b/>
          <w:sz w:val="24"/>
          <w:szCs w:val="24"/>
          <w:lang w:val="es-ES_tradnl" w:eastAsia="es-ES"/>
        </w:rPr>
        <w:t>NOTIFÍQUESE</w:t>
      </w:r>
      <w:r w:rsidRPr="00895C52">
        <w:rPr>
          <w:rFonts w:ascii="Palatino Linotype" w:eastAsiaTheme="minorEastAsia" w:hAnsi="Palatino Linotype" w:cs="Arial"/>
          <w:sz w:val="24"/>
          <w:szCs w:val="24"/>
          <w:lang w:val="es-ES_tradnl" w:eastAsia="es-ES"/>
        </w:rPr>
        <w:t xml:space="preserve"> vía </w:t>
      </w:r>
      <w:r w:rsidRPr="00895C52">
        <w:rPr>
          <w:rFonts w:ascii="Palatino Linotype" w:eastAsia="Times New Roman" w:hAnsi="Palatino Linotype" w:cs="Times New Roman"/>
          <w:sz w:val="24"/>
          <w:szCs w:val="24"/>
          <w:lang w:val="es-ES" w:eastAsia="es-ES"/>
        </w:rPr>
        <w:t>Sistema de Acceso a la Información Mexiquense</w:t>
      </w:r>
      <w:r w:rsidRPr="00DB139B">
        <w:rPr>
          <w:rFonts w:ascii="Palatino Linotype" w:eastAsiaTheme="minorEastAsia" w:hAnsi="Palatino Linotype" w:cs="Arial"/>
          <w:b/>
          <w:bCs/>
          <w:sz w:val="24"/>
          <w:szCs w:val="24"/>
          <w:lang w:val="es-ES_tradnl" w:eastAsia="es-ES"/>
        </w:rPr>
        <w:t xml:space="preserve"> </w:t>
      </w:r>
      <w:r>
        <w:rPr>
          <w:rFonts w:ascii="Palatino Linotype" w:eastAsiaTheme="minorEastAsia" w:hAnsi="Palatino Linotype" w:cs="Arial"/>
          <w:b/>
          <w:bCs/>
          <w:sz w:val="24"/>
          <w:szCs w:val="24"/>
          <w:lang w:val="es-ES_tradnl" w:eastAsia="es-ES"/>
        </w:rPr>
        <w:t>(</w:t>
      </w:r>
      <w:r w:rsidRPr="00DB139B">
        <w:rPr>
          <w:rFonts w:ascii="Palatino Linotype" w:eastAsiaTheme="minorEastAsia" w:hAnsi="Palatino Linotype" w:cs="Arial"/>
          <w:b/>
          <w:bCs/>
          <w:sz w:val="24"/>
          <w:szCs w:val="24"/>
          <w:lang w:val="es-ES_tradnl" w:eastAsia="es-ES"/>
        </w:rPr>
        <w:t>SAIMEX</w:t>
      </w:r>
      <w:r>
        <w:rPr>
          <w:rFonts w:ascii="Palatino Linotype" w:eastAsiaTheme="minorEastAsia" w:hAnsi="Palatino Linotype" w:cs="Arial"/>
          <w:b/>
          <w:bCs/>
          <w:sz w:val="24"/>
          <w:szCs w:val="24"/>
          <w:lang w:val="es-ES_tradnl" w:eastAsia="es-ES"/>
        </w:rPr>
        <w:t>)</w:t>
      </w:r>
      <w:r w:rsidRPr="00895C52">
        <w:rPr>
          <w:rFonts w:ascii="Palatino Linotype" w:eastAsiaTheme="minorEastAsia" w:hAnsi="Palatino Linotype" w:cs="Arial"/>
          <w:sz w:val="24"/>
          <w:szCs w:val="24"/>
          <w:lang w:val="es-ES_tradnl" w:eastAsia="es-ES"/>
        </w:rPr>
        <w:t xml:space="preserve"> la presente resolución al Titular de la Unidad de Transparencia del </w:t>
      </w:r>
      <w:r w:rsidRPr="00895C52">
        <w:rPr>
          <w:rFonts w:ascii="Palatino Linotype" w:eastAsiaTheme="minorEastAsia" w:hAnsi="Palatino Linotype" w:cs="Arial"/>
          <w:b/>
          <w:sz w:val="24"/>
          <w:szCs w:val="24"/>
          <w:lang w:val="es-ES_tradnl" w:eastAsia="es-ES"/>
        </w:rPr>
        <w:t>Sujeto Obligado</w:t>
      </w:r>
      <w:r w:rsidRPr="00895C52">
        <w:rPr>
          <w:rFonts w:ascii="Palatino Linotype" w:eastAsiaTheme="minorEastAsia" w:hAnsi="Palatino Linotype" w:cs="Arial"/>
          <w:sz w:val="24"/>
          <w:szCs w:val="24"/>
          <w:lang w:val="es-ES_tradnl" w:eastAsia="es-ES"/>
        </w:rPr>
        <w:t>.</w:t>
      </w:r>
    </w:p>
    <w:p w14:paraId="456CF8A9" w14:textId="77777777" w:rsidR="00D508EB" w:rsidRPr="00895C52" w:rsidRDefault="00D508EB" w:rsidP="00D508EB">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008C56B2" w14:textId="2DB2D2EB" w:rsidR="00D508EB" w:rsidRDefault="00D508EB" w:rsidP="00D508EB">
      <w:pPr>
        <w:spacing w:after="0" w:line="360" w:lineRule="auto"/>
        <w:jc w:val="both"/>
        <w:rPr>
          <w:rFonts w:ascii="Palatino Linotype" w:eastAsia="Times New Roman" w:hAnsi="Palatino Linotype" w:cs="Arial"/>
          <w:sz w:val="24"/>
          <w:szCs w:val="24"/>
          <w:lang w:val="es-ES" w:eastAsia="es-ES"/>
        </w:rPr>
      </w:pPr>
      <w:r w:rsidRPr="00895C52">
        <w:rPr>
          <w:rFonts w:ascii="Palatino Linotype" w:eastAsia="Times New Roman" w:hAnsi="Palatino Linotype" w:cs="Arial"/>
          <w:b/>
          <w:sz w:val="28"/>
          <w:szCs w:val="24"/>
          <w:lang w:val="es-ES" w:eastAsia="es-ES"/>
        </w:rPr>
        <w:t>TERCERO</w:t>
      </w:r>
      <w:r w:rsidRPr="00895C52">
        <w:rPr>
          <w:rFonts w:ascii="Palatino Linotype" w:eastAsia="Times New Roman" w:hAnsi="Palatino Linotype" w:cs="Arial"/>
          <w:b/>
          <w:sz w:val="24"/>
          <w:szCs w:val="24"/>
          <w:lang w:val="es-ES" w:eastAsia="es-ES"/>
        </w:rPr>
        <w:t>.</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NOTIFÍQUESE</w:t>
      </w:r>
      <w:r w:rsidRPr="00895C52">
        <w:rPr>
          <w:rFonts w:ascii="Palatino Linotype" w:eastAsia="Times New Roman" w:hAnsi="Palatino Linotype" w:cs="Arial"/>
          <w:sz w:val="24"/>
          <w:szCs w:val="24"/>
          <w:lang w:val="es-ES" w:eastAsia="es-ES"/>
        </w:rPr>
        <w:t xml:space="preserve"> a través del</w:t>
      </w:r>
      <w:r w:rsidRPr="00895C52">
        <w:rPr>
          <w:rFonts w:ascii="Palatino Linotype" w:eastAsia="Times New Roman" w:hAnsi="Palatino Linotype" w:cs="Times New Roman"/>
          <w:sz w:val="24"/>
          <w:szCs w:val="24"/>
          <w:lang w:val="es-ES" w:eastAsia="es-ES"/>
        </w:rPr>
        <w:t xml:space="preserve"> Sistema de Acceso a la Información Mexiquense </w:t>
      </w:r>
      <w:r w:rsidRPr="00DB139B">
        <w:rPr>
          <w:rFonts w:ascii="Palatino Linotype" w:eastAsia="Times New Roman" w:hAnsi="Palatino Linotype" w:cs="Times New Roman"/>
          <w:b/>
          <w:bCs/>
          <w:sz w:val="24"/>
          <w:szCs w:val="24"/>
          <w:lang w:val="es-ES" w:eastAsia="es-ES"/>
        </w:rPr>
        <w:t>(SAIMEX)</w:t>
      </w:r>
      <w:r w:rsidRPr="00DB139B">
        <w:rPr>
          <w:rFonts w:ascii="Palatino Linotype" w:eastAsia="Times New Roman" w:hAnsi="Palatino Linotype" w:cs="Arial"/>
          <w:b/>
          <w:bCs/>
          <w:sz w:val="24"/>
          <w:szCs w:val="24"/>
          <w:lang w:val="es-ES" w:eastAsia="es-ES"/>
        </w:rPr>
        <w:t>,</w:t>
      </w:r>
      <w:r w:rsidRPr="00895C52">
        <w:rPr>
          <w:rFonts w:ascii="Palatino Linotype" w:eastAsia="Times New Roman" w:hAnsi="Palatino Linotype" w:cs="Arial"/>
          <w:sz w:val="24"/>
          <w:szCs w:val="24"/>
          <w:lang w:val="es-ES" w:eastAsia="es-ES"/>
        </w:rPr>
        <w:t xml:space="preserve"> </w:t>
      </w:r>
      <w:r w:rsidR="00944A6D">
        <w:rPr>
          <w:rFonts w:ascii="Palatino Linotype" w:eastAsia="Times New Roman" w:hAnsi="Palatino Linotype" w:cs="Arial"/>
          <w:sz w:val="24"/>
          <w:szCs w:val="24"/>
          <w:lang w:val="es-ES" w:eastAsia="es-ES"/>
        </w:rPr>
        <w:t>al</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 xml:space="preserve">RECURRENTE </w:t>
      </w:r>
      <w:r w:rsidRPr="00895C52">
        <w:rPr>
          <w:rFonts w:ascii="Palatino Linotype" w:eastAsia="Times New Roman" w:hAnsi="Palatino Linotype" w:cs="Arial"/>
          <w:sz w:val="24"/>
          <w:szCs w:val="24"/>
          <w:lang w:val="es-ES" w:eastAsia="es-ES"/>
        </w:rPr>
        <w:t xml:space="preserve">la presente resolución y hágase del conocimiento que en caso de que considere que la presente resolución le causa algún </w:t>
      </w:r>
      <w:r w:rsidRPr="00895C52">
        <w:rPr>
          <w:rFonts w:ascii="Palatino Linotype" w:eastAsia="Times New Roman" w:hAnsi="Palatino Linotype" w:cs="Arial"/>
          <w:sz w:val="24"/>
          <w:szCs w:val="24"/>
          <w:lang w:val="es-ES" w:eastAsia="es-ES"/>
        </w:rPr>
        <w:lastRenderedPageBreak/>
        <w:t>perjuicio, podrá promover el Juicio de Amparo en los términos de las leyes aplicables, de acuerdo con lo estipulado por el artículo 196 de la Ley de Transparencia y Acceso a la Información Pública del Estado de México y Municipios.</w:t>
      </w:r>
    </w:p>
    <w:p w14:paraId="582CC3F0" w14:textId="4865A8DA" w:rsidR="00C514C0" w:rsidRDefault="00C514C0" w:rsidP="00D508EB">
      <w:pPr>
        <w:spacing w:after="0" w:line="360" w:lineRule="auto"/>
        <w:jc w:val="both"/>
        <w:rPr>
          <w:rFonts w:ascii="Palatino Linotype" w:eastAsia="Times New Roman" w:hAnsi="Palatino Linotype" w:cs="Arial"/>
          <w:sz w:val="24"/>
          <w:szCs w:val="24"/>
          <w:lang w:val="es-ES" w:eastAsia="es-ES"/>
        </w:rPr>
      </w:pPr>
    </w:p>
    <w:p w14:paraId="7F0B84CA" w14:textId="77777777" w:rsidR="00C514C0" w:rsidRPr="00C514C0" w:rsidRDefault="00C514C0" w:rsidP="00D508EB">
      <w:pPr>
        <w:spacing w:after="0" w:line="360" w:lineRule="auto"/>
        <w:jc w:val="both"/>
        <w:rPr>
          <w:rFonts w:ascii="Palatino Linotype" w:eastAsia="Times New Roman" w:hAnsi="Palatino Linotype" w:cs="Arial"/>
          <w:sz w:val="24"/>
          <w:szCs w:val="24"/>
          <w:lang w:eastAsia="es-ES"/>
        </w:rPr>
      </w:pPr>
    </w:p>
    <w:p w14:paraId="091CEB26" w14:textId="3FEAD764" w:rsidR="00C514C0" w:rsidRPr="0014609A" w:rsidRDefault="00C514C0" w:rsidP="00C514C0">
      <w:pPr>
        <w:pStyle w:val="Prrafodelista"/>
        <w:autoSpaceDE w:val="0"/>
        <w:autoSpaceDN w:val="0"/>
        <w:adjustRightInd w:val="0"/>
        <w:spacing w:before="240" w:after="160" w:line="360" w:lineRule="auto"/>
        <w:ind w:left="0"/>
        <w:jc w:val="both"/>
        <w:rPr>
          <w:rFonts w:ascii="Palatino Linotype" w:hAnsi="Palatino Linotype" w:cs="Arial"/>
        </w:rPr>
      </w:pPr>
      <w:r w:rsidRPr="0014609A">
        <w:rPr>
          <w:rFonts w:ascii="Palatino Linotype" w:hAnsi="Palatino Linotype" w:cs="Arial"/>
        </w:rPr>
        <w:t>ASÍ LO ACORDÓ, POR UNANIMIDAD DE VOTOS, EL PLENO DEL</w:t>
      </w:r>
      <w:r w:rsidRPr="0014609A">
        <w:rPr>
          <w:rFonts w:ascii="Palatino Linotype" w:eastAsia="Arial Unicode MS" w:hAnsi="Palatino Linotype" w:cs="Arial"/>
        </w:rPr>
        <w:t xml:space="preserve"> INSTITUTO DE TRANSPARENCIA, ACCESO A LA INFORMACIÓN PÚBLICA Y PROTECCIÓN DE DATOS PERSONALES DEL ESTADO DE MÉXICO Y MUNICIPIOS</w:t>
      </w:r>
      <w:r w:rsidRPr="0014609A">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0F25DB">
        <w:rPr>
          <w:rFonts w:ascii="Palatino Linotype" w:hAnsi="Palatino Linotype" w:cs="Arial"/>
        </w:rPr>
        <w:t>SEXTA</w:t>
      </w:r>
      <w:r w:rsidRPr="0014609A">
        <w:rPr>
          <w:rFonts w:ascii="Palatino Linotype" w:hAnsi="Palatino Linotype" w:cs="Arial"/>
        </w:rPr>
        <w:t xml:space="preserve"> SESIÓN ORDINARIA CELEBRADA EL </w:t>
      </w:r>
      <w:r w:rsidR="000F25DB">
        <w:rPr>
          <w:rFonts w:ascii="Palatino Linotype" w:hAnsi="Palatino Linotype" w:cs="Arial"/>
        </w:rPr>
        <w:t>QUINCE</w:t>
      </w:r>
      <w:r w:rsidR="00A42674">
        <w:rPr>
          <w:rFonts w:ascii="Palatino Linotype" w:hAnsi="Palatino Linotype" w:cs="Arial"/>
        </w:rPr>
        <w:t xml:space="preserve"> DE FEBRERO</w:t>
      </w:r>
      <w:r>
        <w:rPr>
          <w:rFonts w:ascii="Palatino Linotype" w:hAnsi="Palatino Linotype" w:cs="Arial"/>
        </w:rPr>
        <w:t xml:space="preserve"> DE DOS MIL VEINTITRÉS</w:t>
      </w:r>
      <w:r w:rsidRPr="0014609A">
        <w:rPr>
          <w:rFonts w:ascii="Palatino Linotype" w:hAnsi="Palatino Linotype" w:cs="Arial"/>
        </w:rPr>
        <w:t xml:space="preserve">, ANTE EL   SECRETARIO TÉCNICO DEL PLENO, ALEXIS TAPIA RAMÍREZ. </w:t>
      </w:r>
    </w:p>
    <w:p w14:paraId="3575B61F" w14:textId="14EA0A2C" w:rsidR="00C514C0" w:rsidRPr="00C514C0" w:rsidRDefault="00C514C0" w:rsidP="00C514C0">
      <w:pPr>
        <w:pStyle w:val="Prrafodelista"/>
        <w:autoSpaceDE w:val="0"/>
        <w:autoSpaceDN w:val="0"/>
        <w:adjustRightInd w:val="0"/>
        <w:spacing w:before="240" w:after="160" w:line="360" w:lineRule="auto"/>
        <w:ind w:left="0"/>
        <w:jc w:val="both"/>
        <w:rPr>
          <w:rFonts w:ascii="Palatino Linotype" w:hAnsi="Palatino Linotype"/>
          <w:bCs/>
          <w:sz w:val="20"/>
          <w:szCs w:val="20"/>
        </w:rPr>
      </w:pPr>
      <w:r w:rsidRPr="00C514C0">
        <w:rPr>
          <w:rFonts w:ascii="Palatino Linotype" w:hAnsi="Palatino Linotype"/>
          <w:bCs/>
          <w:noProof/>
          <w:sz w:val="20"/>
          <w:szCs w:val="20"/>
          <w:lang w:val="es-MX" w:eastAsia="es-MX"/>
        </w:rPr>
        <mc:AlternateContent>
          <mc:Choice Requires="wps">
            <w:drawing>
              <wp:anchor distT="0" distB="0" distL="114300" distR="114300" simplePos="0" relativeHeight="251716608" behindDoc="0" locked="0" layoutInCell="1" allowOverlap="1" wp14:anchorId="30F0A412" wp14:editId="56012CB2">
                <wp:simplePos x="0" y="0"/>
                <wp:positionH relativeFrom="column">
                  <wp:posOffset>-197485</wp:posOffset>
                </wp:positionH>
                <wp:positionV relativeFrom="paragraph">
                  <wp:posOffset>392430</wp:posOffset>
                </wp:positionV>
                <wp:extent cx="6267450" cy="308610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6267450" cy="3086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122E3F" id="Straight Connector 1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pt,30.9pt" to="477.95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" strokecolor="#5b9bd5 [3204]" strokeweight=".5pt">
                <v:stroke joinstyle="miter"/>
              </v:line>
            </w:pict>
          </mc:Fallback>
        </mc:AlternateContent>
      </w:r>
      <w:r w:rsidRPr="00C514C0">
        <w:rPr>
          <w:rFonts w:ascii="Palatino Linotype" w:hAnsi="Palatino Linotype"/>
          <w:bCs/>
          <w:sz w:val="20"/>
          <w:szCs w:val="20"/>
        </w:rPr>
        <w:t>CCR/JCMA</w:t>
      </w:r>
    </w:p>
    <w:p w14:paraId="7FD88844" w14:textId="77777777" w:rsidR="00C514C0" w:rsidRDefault="00C514C0" w:rsidP="00C514C0">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7B39D5EF" w14:textId="65C617FE"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8900742" w14:textId="68732E7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5C9791F" w14:textId="3D386C7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8A5A84F" w14:textId="4636B671"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C01DB6D" w14:textId="2E4BBE4A"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ACFE09F" w14:textId="03E8EF09"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26D362" w14:textId="5E88296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8A8FCE2" w14:textId="75FA20DF"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CC02C0" w14:textId="08923D6B"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D4AF827" w14:textId="701ED88A"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A662762" w14:textId="6C01C12D"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5CCEBD" w14:textId="7573F80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CFE4C46" w14:textId="42C11AD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52F2B88" w14:textId="7DA5C53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B8AB8E6" w14:textId="73E4302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4178DBA" w14:textId="66A4D85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D0C24D2" w14:textId="35ED745E"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195F916" w14:textId="77777777"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394873" w:rsidSect="00FB4AAD">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88358" w14:textId="77777777" w:rsidR="0002780A" w:rsidRDefault="0002780A" w:rsidP="006168E4">
      <w:pPr>
        <w:spacing w:after="0" w:line="240" w:lineRule="auto"/>
      </w:pPr>
      <w:r>
        <w:separator/>
      </w:r>
    </w:p>
  </w:endnote>
  <w:endnote w:type="continuationSeparator" w:id="0">
    <w:p w14:paraId="16F1A90D" w14:textId="77777777" w:rsidR="0002780A" w:rsidRDefault="0002780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D6B6B">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D6B6B">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D6B6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D6B6B">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5909C5" w14:textId="77777777" w:rsidR="0002780A" w:rsidRDefault="0002780A" w:rsidP="006168E4">
      <w:pPr>
        <w:spacing w:after="0" w:line="240" w:lineRule="auto"/>
      </w:pPr>
      <w:r>
        <w:separator/>
      </w:r>
    </w:p>
  </w:footnote>
  <w:footnote w:type="continuationSeparator" w:id="0">
    <w:p w14:paraId="02E7B951" w14:textId="77777777" w:rsidR="0002780A" w:rsidRDefault="0002780A" w:rsidP="006168E4">
      <w:pPr>
        <w:spacing w:after="0" w:line="240" w:lineRule="auto"/>
      </w:pPr>
      <w:r>
        <w:continuationSeparator/>
      </w:r>
    </w:p>
  </w:footnote>
  <w:footnote w:id="1">
    <w:p w14:paraId="144B71B3" w14:textId="77777777" w:rsidR="00D508EB" w:rsidRPr="00911081" w:rsidRDefault="00D508EB" w:rsidP="00D508E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D558BA3" w14:textId="77777777" w:rsidR="00D508EB" w:rsidRPr="00911081" w:rsidRDefault="00D508EB" w:rsidP="00D508E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71DA4FE5" w:rsidR="00C70B4A" w:rsidRPr="00B4142F" w:rsidRDefault="00D118EC"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16500</w:t>
          </w:r>
          <w:r w:rsidR="00C70B4A">
            <w:rPr>
              <w:rFonts w:ascii="Palatino Linotype" w:hAnsi="Palatino Linotype" w:cs="Arial"/>
              <w:bCs/>
              <w:sz w:val="24"/>
              <w:lang w:eastAsia="es-MX"/>
            </w:rPr>
            <w:t xml:space="preserve">/INFOEM/IP/RR/2022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081D3F11" w:rsidR="00C70B4A" w:rsidRPr="00F06FED" w:rsidRDefault="00D118EC" w:rsidP="00C01E1C">
          <w:pPr>
            <w:spacing w:after="120" w:line="256" w:lineRule="auto"/>
            <w:ind w:left="639" w:right="214"/>
            <w:jc w:val="both"/>
            <w:rPr>
              <w:rFonts w:ascii="Palatino Linotype" w:hAnsi="Palatino Linotype" w:cs="Arial"/>
            </w:rPr>
          </w:pPr>
          <w:r>
            <w:rPr>
              <w:rFonts w:ascii="Palatino Linotype" w:hAnsi="Palatino Linotype" w:cs="Arial"/>
            </w:rPr>
            <w:t>Ayuntamiento de Toluca</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3D59085A" w:rsidR="00C70B4A" w:rsidRPr="00B4142F" w:rsidRDefault="00D118EC"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16500</w:t>
          </w:r>
          <w:r w:rsidR="00C70B4A">
            <w:rPr>
              <w:rFonts w:ascii="Palatino Linotype" w:hAnsi="Palatino Linotype" w:cs="Arial"/>
              <w:bCs/>
              <w:sz w:val="24"/>
              <w:lang w:eastAsia="es-MX"/>
            </w:rPr>
            <w:t xml:space="preserve">/INFOEM/IP/RR/2022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064C4BB5" w:rsidR="00C70B4A" w:rsidRPr="00F06FED" w:rsidRDefault="005D6B6B"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w:t>
          </w:r>
          <w:proofErr w:type="spellEnd"/>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5B48A8B0" w:rsidR="00C70B4A" w:rsidRDefault="00D118EC"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D24CC"/>
    <w:multiLevelType w:val="hybridMultilevel"/>
    <w:tmpl w:val="B2064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73BAA"/>
    <w:multiLevelType w:val="hybridMultilevel"/>
    <w:tmpl w:val="D7CAF8D8"/>
    <w:lvl w:ilvl="0" w:tplc="62BAE9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E32923"/>
    <w:multiLevelType w:val="hybridMultilevel"/>
    <w:tmpl w:val="C70A4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EAE55D3"/>
    <w:multiLevelType w:val="hybridMultilevel"/>
    <w:tmpl w:val="6F7C5B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76FA345C"/>
    <w:multiLevelType w:val="hybridMultilevel"/>
    <w:tmpl w:val="71B215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2"/>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70DF"/>
    <w:rsid w:val="00020A70"/>
    <w:rsid w:val="00021CBD"/>
    <w:rsid w:val="00022604"/>
    <w:rsid w:val="000236FA"/>
    <w:rsid w:val="0002450B"/>
    <w:rsid w:val="00025509"/>
    <w:rsid w:val="0002766F"/>
    <w:rsid w:val="0002780A"/>
    <w:rsid w:val="000306A7"/>
    <w:rsid w:val="00031C92"/>
    <w:rsid w:val="000363A2"/>
    <w:rsid w:val="0004199A"/>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D5C"/>
    <w:rsid w:val="00063A10"/>
    <w:rsid w:val="00063A4B"/>
    <w:rsid w:val="00063EFB"/>
    <w:rsid w:val="000662F8"/>
    <w:rsid w:val="00073E78"/>
    <w:rsid w:val="000758EF"/>
    <w:rsid w:val="00081988"/>
    <w:rsid w:val="00090AFC"/>
    <w:rsid w:val="00091552"/>
    <w:rsid w:val="00091C3A"/>
    <w:rsid w:val="000A2D37"/>
    <w:rsid w:val="000A3486"/>
    <w:rsid w:val="000A44C7"/>
    <w:rsid w:val="000A4DD1"/>
    <w:rsid w:val="000A70F8"/>
    <w:rsid w:val="000A71F4"/>
    <w:rsid w:val="000A733E"/>
    <w:rsid w:val="000A79DA"/>
    <w:rsid w:val="000B0B8F"/>
    <w:rsid w:val="000B1702"/>
    <w:rsid w:val="000B4B51"/>
    <w:rsid w:val="000B7158"/>
    <w:rsid w:val="000C1477"/>
    <w:rsid w:val="000C309C"/>
    <w:rsid w:val="000C5B8B"/>
    <w:rsid w:val="000C7E6E"/>
    <w:rsid w:val="000D0BC5"/>
    <w:rsid w:val="000D1B55"/>
    <w:rsid w:val="000D3C75"/>
    <w:rsid w:val="000D6116"/>
    <w:rsid w:val="000D7A3D"/>
    <w:rsid w:val="000D7B04"/>
    <w:rsid w:val="000E0557"/>
    <w:rsid w:val="000E0655"/>
    <w:rsid w:val="000E0A71"/>
    <w:rsid w:val="000E686B"/>
    <w:rsid w:val="000F25DB"/>
    <w:rsid w:val="000F3EE7"/>
    <w:rsid w:val="000F68B1"/>
    <w:rsid w:val="000F6F19"/>
    <w:rsid w:val="000F7AC2"/>
    <w:rsid w:val="00100E19"/>
    <w:rsid w:val="00102D69"/>
    <w:rsid w:val="00110EDB"/>
    <w:rsid w:val="00111DCD"/>
    <w:rsid w:val="00114CF9"/>
    <w:rsid w:val="0011564C"/>
    <w:rsid w:val="00116421"/>
    <w:rsid w:val="001167AA"/>
    <w:rsid w:val="00117157"/>
    <w:rsid w:val="00123898"/>
    <w:rsid w:val="00124855"/>
    <w:rsid w:val="00124EC6"/>
    <w:rsid w:val="001254F5"/>
    <w:rsid w:val="001336D3"/>
    <w:rsid w:val="001364AA"/>
    <w:rsid w:val="00136FAD"/>
    <w:rsid w:val="00143D5F"/>
    <w:rsid w:val="00144B4A"/>
    <w:rsid w:val="00146F0A"/>
    <w:rsid w:val="00147B36"/>
    <w:rsid w:val="00150D1D"/>
    <w:rsid w:val="00152124"/>
    <w:rsid w:val="00152C2B"/>
    <w:rsid w:val="001542FC"/>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1F55"/>
    <w:rsid w:val="001B7B88"/>
    <w:rsid w:val="001C0BAD"/>
    <w:rsid w:val="001C7319"/>
    <w:rsid w:val="001C7D87"/>
    <w:rsid w:val="001D299A"/>
    <w:rsid w:val="001D3E87"/>
    <w:rsid w:val="001D5F16"/>
    <w:rsid w:val="001D6FAB"/>
    <w:rsid w:val="001E1D18"/>
    <w:rsid w:val="001E2C0F"/>
    <w:rsid w:val="001E668A"/>
    <w:rsid w:val="001F0A4F"/>
    <w:rsid w:val="001F2A14"/>
    <w:rsid w:val="001F3F0E"/>
    <w:rsid w:val="001F4ADC"/>
    <w:rsid w:val="001F5597"/>
    <w:rsid w:val="001F71ED"/>
    <w:rsid w:val="00203D3A"/>
    <w:rsid w:val="00203FF3"/>
    <w:rsid w:val="00204288"/>
    <w:rsid w:val="002044B4"/>
    <w:rsid w:val="00207086"/>
    <w:rsid w:val="00211D60"/>
    <w:rsid w:val="0021501E"/>
    <w:rsid w:val="0021572A"/>
    <w:rsid w:val="002205C0"/>
    <w:rsid w:val="0022494A"/>
    <w:rsid w:val="00225507"/>
    <w:rsid w:val="0023373D"/>
    <w:rsid w:val="00233D7E"/>
    <w:rsid w:val="00233EF7"/>
    <w:rsid w:val="0023423C"/>
    <w:rsid w:val="00237F4F"/>
    <w:rsid w:val="0024112D"/>
    <w:rsid w:val="002428BA"/>
    <w:rsid w:val="00244177"/>
    <w:rsid w:val="00254477"/>
    <w:rsid w:val="00257337"/>
    <w:rsid w:val="002577FE"/>
    <w:rsid w:val="0025780C"/>
    <w:rsid w:val="002609D8"/>
    <w:rsid w:val="00262CBE"/>
    <w:rsid w:val="002642D3"/>
    <w:rsid w:val="002646EF"/>
    <w:rsid w:val="00266AE6"/>
    <w:rsid w:val="00267C18"/>
    <w:rsid w:val="00273D0E"/>
    <w:rsid w:val="002764D6"/>
    <w:rsid w:val="00280B8B"/>
    <w:rsid w:val="00282235"/>
    <w:rsid w:val="00292350"/>
    <w:rsid w:val="00292DC0"/>
    <w:rsid w:val="00293C29"/>
    <w:rsid w:val="00293FCF"/>
    <w:rsid w:val="00297EF9"/>
    <w:rsid w:val="002A2034"/>
    <w:rsid w:val="002A24F4"/>
    <w:rsid w:val="002A38BF"/>
    <w:rsid w:val="002A429A"/>
    <w:rsid w:val="002A597E"/>
    <w:rsid w:val="002B0FB9"/>
    <w:rsid w:val="002B4382"/>
    <w:rsid w:val="002B5DBD"/>
    <w:rsid w:val="002B72F9"/>
    <w:rsid w:val="002B7D92"/>
    <w:rsid w:val="002C2CEE"/>
    <w:rsid w:val="002C498D"/>
    <w:rsid w:val="002C4FE1"/>
    <w:rsid w:val="002C72D2"/>
    <w:rsid w:val="002D1B28"/>
    <w:rsid w:val="002D2F00"/>
    <w:rsid w:val="002D79E2"/>
    <w:rsid w:val="002D7A5D"/>
    <w:rsid w:val="002E0A4A"/>
    <w:rsid w:val="002E0BC4"/>
    <w:rsid w:val="002E21B4"/>
    <w:rsid w:val="002E2D7B"/>
    <w:rsid w:val="002E5E6A"/>
    <w:rsid w:val="002F22FA"/>
    <w:rsid w:val="002F37BE"/>
    <w:rsid w:val="002F41CA"/>
    <w:rsid w:val="002F4C6A"/>
    <w:rsid w:val="002F527C"/>
    <w:rsid w:val="002F70F6"/>
    <w:rsid w:val="00300D0B"/>
    <w:rsid w:val="003043BE"/>
    <w:rsid w:val="00305181"/>
    <w:rsid w:val="00306096"/>
    <w:rsid w:val="00306974"/>
    <w:rsid w:val="00307014"/>
    <w:rsid w:val="00313A1F"/>
    <w:rsid w:val="00314F93"/>
    <w:rsid w:val="0031645D"/>
    <w:rsid w:val="00320A67"/>
    <w:rsid w:val="00324AC9"/>
    <w:rsid w:val="003272FB"/>
    <w:rsid w:val="00330857"/>
    <w:rsid w:val="00331499"/>
    <w:rsid w:val="0033580E"/>
    <w:rsid w:val="00337F09"/>
    <w:rsid w:val="00343D1E"/>
    <w:rsid w:val="0035054D"/>
    <w:rsid w:val="00354258"/>
    <w:rsid w:val="00355593"/>
    <w:rsid w:val="00357E0E"/>
    <w:rsid w:val="00361B9C"/>
    <w:rsid w:val="00361D89"/>
    <w:rsid w:val="003672FB"/>
    <w:rsid w:val="00370588"/>
    <w:rsid w:val="00370797"/>
    <w:rsid w:val="003707FE"/>
    <w:rsid w:val="00370C79"/>
    <w:rsid w:val="003712F3"/>
    <w:rsid w:val="00372D3E"/>
    <w:rsid w:val="003746C6"/>
    <w:rsid w:val="00375763"/>
    <w:rsid w:val="00375BEA"/>
    <w:rsid w:val="00376CEC"/>
    <w:rsid w:val="00380758"/>
    <w:rsid w:val="003810B1"/>
    <w:rsid w:val="003815E5"/>
    <w:rsid w:val="00381E2B"/>
    <w:rsid w:val="003821A1"/>
    <w:rsid w:val="003838B4"/>
    <w:rsid w:val="00384029"/>
    <w:rsid w:val="00385BBD"/>
    <w:rsid w:val="00387929"/>
    <w:rsid w:val="00390988"/>
    <w:rsid w:val="0039347E"/>
    <w:rsid w:val="00393D5B"/>
    <w:rsid w:val="0039460D"/>
    <w:rsid w:val="00394873"/>
    <w:rsid w:val="00394A1E"/>
    <w:rsid w:val="003968C7"/>
    <w:rsid w:val="003A2246"/>
    <w:rsid w:val="003A2658"/>
    <w:rsid w:val="003A4CF6"/>
    <w:rsid w:val="003A61F9"/>
    <w:rsid w:val="003A6975"/>
    <w:rsid w:val="003B0D66"/>
    <w:rsid w:val="003B1E88"/>
    <w:rsid w:val="003B5E96"/>
    <w:rsid w:val="003C3F7B"/>
    <w:rsid w:val="003C5243"/>
    <w:rsid w:val="003C53ED"/>
    <w:rsid w:val="003D0B7E"/>
    <w:rsid w:val="003D4E0F"/>
    <w:rsid w:val="003D5C0A"/>
    <w:rsid w:val="003E16E1"/>
    <w:rsid w:val="003E1871"/>
    <w:rsid w:val="003E504D"/>
    <w:rsid w:val="003E656A"/>
    <w:rsid w:val="003E78B7"/>
    <w:rsid w:val="003F3016"/>
    <w:rsid w:val="003F38EB"/>
    <w:rsid w:val="003F76E5"/>
    <w:rsid w:val="004012CF"/>
    <w:rsid w:val="00401542"/>
    <w:rsid w:val="004015EE"/>
    <w:rsid w:val="00402FF3"/>
    <w:rsid w:val="0040673A"/>
    <w:rsid w:val="004069EB"/>
    <w:rsid w:val="00410ACB"/>
    <w:rsid w:val="00411E6F"/>
    <w:rsid w:val="00412600"/>
    <w:rsid w:val="004150FE"/>
    <w:rsid w:val="00421D09"/>
    <w:rsid w:val="00422ED2"/>
    <w:rsid w:val="00423213"/>
    <w:rsid w:val="0042416D"/>
    <w:rsid w:val="00424487"/>
    <w:rsid w:val="00424EA1"/>
    <w:rsid w:val="00435290"/>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00E8"/>
    <w:rsid w:val="00462881"/>
    <w:rsid w:val="004640F2"/>
    <w:rsid w:val="00467337"/>
    <w:rsid w:val="00467C17"/>
    <w:rsid w:val="00471D57"/>
    <w:rsid w:val="00475345"/>
    <w:rsid w:val="00475F48"/>
    <w:rsid w:val="00476790"/>
    <w:rsid w:val="00477CC2"/>
    <w:rsid w:val="00477D47"/>
    <w:rsid w:val="004800F7"/>
    <w:rsid w:val="00480C32"/>
    <w:rsid w:val="004814EA"/>
    <w:rsid w:val="0048180A"/>
    <w:rsid w:val="00481C7A"/>
    <w:rsid w:val="00487DB5"/>
    <w:rsid w:val="004906C8"/>
    <w:rsid w:val="00491877"/>
    <w:rsid w:val="00492BC7"/>
    <w:rsid w:val="004938E6"/>
    <w:rsid w:val="004967E2"/>
    <w:rsid w:val="004975A8"/>
    <w:rsid w:val="004A114B"/>
    <w:rsid w:val="004A2363"/>
    <w:rsid w:val="004A290F"/>
    <w:rsid w:val="004A55D8"/>
    <w:rsid w:val="004A5FFD"/>
    <w:rsid w:val="004A7CE2"/>
    <w:rsid w:val="004B031A"/>
    <w:rsid w:val="004B1236"/>
    <w:rsid w:val="004B1ACE"/>
    <w:rsid w:val="004B234F"/>
    <w:rsid w:val="004B353F"/>
    <w:rsid w:val="004B59BB"/>
    <w:rsid w:val="004B5CCC"/>
    <w:rsid w:val="004C117E"/>
    <w:rsid w:val="004C2845"/>
    <w:rsid w:val="004C3081"/>
    <w:rsid w:val="004C7961"/>
    <w:rsid w:val="004D0658"/>
    <w:rsid w:val="004D08EB"/>
    <w:rsid w:val="004D10A9"/>
    <w:rsid w:val="004D3B15"/>
    <w:rsid w:val="004D54E3"/>
    <w:rsid w:val="004D6459"/>
    <w:rsid w:val="004D761E"/>
    <w:rsid w:val="004E1A3D"/>
    <w:rsid w:val="004E1A71"/>
    <w:rsid w:val="004E2371"/>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28DD"/>
    <w:rsid w:val="00513F18"/>
    <w:rsid w:val="00514207"/>
    <w:rsid w:val="005149BE"/>
    <w:rsid w:val="00515090"/>
    <w:rsid w:val="005179E4"/>
    <w:rsid w:val="00521E57"/>
    <w:rsid w:val="00525093"/>
    <w:rsid w:val="00527F13"/>
    <w:rsid w:val="005305EA"/>
    <w:rsid w:val="0053652A"/>
    <w:rsid w:val="00536D71"/>
    <w:rsid w:val="005371E7"/>
    <w:rsid w:val="00537E4B"/>
    <w:rsid w:val="00540538"/>
    <w:rsid w:val="00540C29"/>
    <w:rsid w:val="00542664"/>
    <w:rsid w:val="00543933"/>
    <w:rsid w:val="00544216"/>
    <w:rsid w:val="00544CF2"/>
    <w:rsid w:val="0054731A"/>
    <w:rsid w:val="00547B78"/>
    <w:rsid w:val="00551E8B"/>
    <w:rsid w:val="005520FE"/>
    <w:rsid w:val="0055263C"/>
    <w:rsid w:val="005528B9"/>
    <w:rsid w:val="0055472B"/>
    <w:rsid w:val="00555D9A"/>
    <w:rsid w:val="00556513"/>
    <w:rsid w:val="00557F13"/>
    <w:rsid w:val="00561ABC"/>
    <w:rsid w:val="00562653"/>
    <w:rsid w:val="00563CE8"/>
    <w:rsid w:val="00564AD9"/>
    <w:rsid w:val="005662E2"/>
    <w:rsid w:val="00571389"/>
    <w:rsid w:val="005733EB"/>
    <w:rsid w:val="005734C5"/>
    <w:rsid w:val="0057453A"/>
    <w:rsid w:val="00575268"/>
    <w:rsid w:val="00576D51"/>
    <w:rsid w:val="0057792B"/>
    <w:rsid w:val="00580802"/>
    <w:rsid w:val="00581A22"/>
    <w:rsid w:val="00585EC8"/>
    <w:rsid w:val="005860CB"/>
    <w:rsid w:val="005918F3"/>
    <w:rsid w:val="00593E91"/>
    <w:rsid w:val="0059442D"/>
    <w:rsid w:val="00594D38"/>
    <w:rsid w:val="0059753D"/>
    <w:rsid w:val="005A0B05"/>
    <w:rsid w:val="005A0B49"/>
    <w:rsid w:val="005A1108"/>
    <w:rsid w:val="005A1286"/>
    <w:rsid w:val="005A27AD"/>
    <w:rsid w:val="005A2DBE"/>
    <w:rsid w:val="005A34EE"/>
    <w:rsid w:val="005A353A"/>
    <w:rsid w:val="005A4EBE"/>
    <w:rsid w:val="005A5C79"/>
    <w:rsid w:val="005A6D57"/>
    <w:rsid w:val="005A71FD"/>
    <w:rsid w:val="005A7D4F"/>
    <w:rsid w:val="005B1F52"/>
    <w:rsid w:val="005B5840"/>
    <w:rsid w:val="005B5B70"/>
    <w:rsid w:val="005B5F05"/>
    <w:rsid w:val="005C06AA"/>
    <w:rsid w:val="005C17BF"/>
    <w:rsid w:val="005C57BA"/>
    <w:rsid w:val="005C6982"/>
    <w:rsid w:val="005C6B74"/>
    <w:rsid w:val="005C7AEA"/>
    <w:rsid w:val="005D125D"/>
    <w:rsid w:val="005D29BF"/>
    <w:rsid w:val="005D2B59"/>
    <w:rsid w:val="005D362F"/>
    <w:rsid w:val="005D370F"/>
    <w:rsid w:val="005D3E85"/>
    <w:rsid w:val="005D44D1"/>
    <w:rsid w:val="005D53D6"/>
    <w:rsid w:val="005D6B6B"/>
    <w:rsid w:val="005E1B06"/>
    <w:rsid w:val="005E265D"/>
    <w:rsid w:val="005E3D7D"/>
    <w:rsid w:val="005E4D7C"/>
    <w:rsid w:val="005E5F6A"/>
    <w:rsid w:val="005F048E"/>
    <w:rsid w:val="005F2047"/>
    <w:rsid w:val="005F2C76"/>
    <w:rsid w:val="005F57F0"/>
    <w:rsid w:val="00601010"/>
    <w:rsid w:val="006028C9"/>
    <w:rsid w:val="0060676C"/>
    <w:rsid w:val="0060721D"/>
    <w:rsid w:val="0061042F"/>
    <w:rsid w:val="006168E4"/>
    <w:rsid w:val="00621F47"/>
    <w:rsid w:val="00622359"/>
    <w:rsid w:val="0062497C"/>
    <w:rsid w:val="00625200"/>
    <w:rsid w:val="006255AA"/>
    <w:rsid w:val="00630846"/>
    <w:rsid w:val="00631806"/>
    <w:rsid w:val="00636FD7"/>
    <w:rsid w:val="00637512"/>
    <w:rsid w:val="00640EE4"/>
    <w:rsid w:val="006456FA"/>
    <w:rsid w:val="006466F5"/>
    <w:rsid w:val="00646C24"/>
    <w:rsid w:val="00652BC5"/>
    <w:rsid w:val="00656060"/>
    <w:rsid w:val="00661753"/>
    <w:rsid w:val="0066216F"/>
    <w:rsid w:val="00663C3F"/>
    <w:rsid w:val="006654F6"/>
    <w:rsid w:val="00666CAF"/>
    <w:rsid w:val="00675390"/>
    <w:rsid w:val="00676CAA"/>
    <w:rsid w:val="006802CF"/>
    <w:rsid w:val="006827AB"/>
    <w:rsid w:val="006831E4"/>
    <w:rsid w:val="00683B62"/>
    <w:rsid w:val="006848B7"/>
    <w:rsid w:val="006868A7"/>
    <w:rsid w:val="00690791"/>
    <w:rsid w:val="006915EA"/>
    <w:rsid w:val="00694828"/>
    <w:rsid w:val="006A3810"/>
    <w:rsid w:val="006A65EE"/>
    <w:rsid w:val="006A68B8"/>
    <w:rsid w:val="006A7CEB"/>
    <w:rsid w:val="006B1953"/>
    <w:rsid w:val="006B1BF1"/>
    <w:rsid w:val="006B20F0"/>
    <w:rsid w:val="006B26E3"/>
    <w:rsid w:val="006B3085"/>
    <w:rsid w:val="006B69CF"/>
    <w:rsid w:val="006B7444"/>
    <w:rsid w:val="006C00DA"/>
    <w:rsid w:val="006C17FD"/>
    <w:rsid w:val="006C1884"/>
    <w:rsid w:val="006C28CA"/>
    <w:rsid w:val="006C350D"/>
    <w:rsid w:val="006C5E56"/>
    <w:rsid w:val="006C66E4"/>
    <w:rsid w:val="006D23FC"/>
    <w:rsid w:val="006D643D"/>
    <w:rsid w:val="006E063C"/>
    <w:rsid w:val="006E3851"/>
    <w:rsid w:val="006E7EEE"/>
    <w:rsid w:val="006F1167"/>
    <w:rsid w:val="006F4044"/>
    <w:rsid w:val="006F46DC"/>
    <w:rsid w:val="006F4CC6"/>
    <w:rsid w:val="00701033"/>
    <w:rsid w:val="00701A3F"/>
    <w:rsid w:val="00702A03"/>
    <w:rsid w:val="00704BD8"/>
    <w:rsid w:val="00704EFD"/>
    <w:rsid w:val="007051A0"/>
    <w:rsid w:val="007078C8"/>
    <w:rsid w:val="00712E3A"/>
    <w:rsid w:val="00713CE6"/>
    <w:rsid w:val="00714318"/>
    <w:rsid w:val="007169EF"/>
    <w:rsid w:val="00721506"/>
    <w:rsid w:val="007216DB"/>
    <w:rsid w:val="0072323D"/>
    <w:rsid w:val="007246D3"/>
    <w:rsid w:val="00725F5A"/>
    <w:rsid w:val="007274EC"/>
    <w:rsid w:val="00737605"/>
    <w:rsid w:val="007404D5"/>
    <w:rsid w:val="00740BDD"/>
    <w:rsid w:val="007417C8"/>
    <w:rsid w:val="00744287"/>
    <w:rsid w:val="00744EEF"/>
    <w:rsid w:val="00745D76"/>
    <w:rsid w:val="00747109"/>
    <w:rsid w:val="00747487"/>
    <w:rsid w:val="007505EB"/>
    <w:rsid w:val="00751B4B"/>
    <w:rsid w:val="00752A9A"/>
    <w:rsid w:val="00753B42"/>
    <w:rsid w:val="00754CAE"/>
    <w:rsid w:val="00760D70"/>
    <w:rsid w:val="00763EE7"/>
    <w:rsid w:val="00764DB2"/>
    <w:rsid w:val="0076623B"/>
    <w:rsid w:val="00766EFD"/>
    <w:rsid w:val="00767E4B"/>
    <w:rsid w:val="007718AD"/>
    <w:rsid w:val="007742A7"/>
    <w:rsid w:val="00777034"/>
    <w:rsid w:val="007851D5"/>
    <w:rsid w:val="0078766F"/>
    <w:rsid w:val="00793CFD"/>
    <w:rsid w:val="00794589"/>
    <w:rsid w:val="0079486A"/>
    <w:rsid w:val="00794F80"/>
    <w:rsid w:val="007A00E9"/>
    <w:rsid w:val="007A0454"/>
    <w:rsid w:val="007A0E44"/>
    <w:rsid w:val="007A1C9E"/>
    <w:rsid w:val="007A4CA1"/>
    <w:rsid w:val="007A5DFD"/>
    <w:rsid w:val="007B0398"/>
    <w:rsid w:val="007B2C77"/>
    <w:rsid w:val="007B2E78"/>
    <w:rsid w:val="007B5E84"/>
    <w:rsid w:val="007B6549"/>
    <w:rsid w:val="007C3F2F"/>
    <w:rsid w:val="007D10BD"/>
    <w:rsid w:val="007D1A27"/>
    <w:rsid w:val="007D1B24"/>
    <w:rsid w:val="007D1F15"/>
    <w:rsid w:val="007D25B1"/>
    <w:rsid w:val="007D2878"/>
    <w:rsid w:val="007D6FC3"/>
    <w:rsid w:val="007E319E"/>
    <w:rsid w:val="007E4FA1"/>
    <w:rsid w:val="007E7B07"/>
    <w:rsid w:val="007E7BAB"/>
    <w:rsid w:val="007E7DCE"/>
    <w:rsid w:val="007E7FA9"/>
    <w:rsid w:val="007F20AC"/>
    <w:rsid w:val="007F5E8F"/>
    <w:rsid w:val="007F6623"/>
    <w:rsid w:val="00802C56"/>
    <w:rsid w:val="008053CE"/>
    <w:rsid w:val="008056BC"/>
    <w:rsid w:val="00806EE9"/>
    <w:rsid w:val="00807750"/>
    <w:rsid w:val="00807E35"/>
    <w:rsid w:val="00811205"/>
    <w:rsid w:val="00812C48"/>
    <w:rsid w:val="008146F9"/>
    <w:rsid w:val="00821413"/>
    <w:rsid w:val="008218CD"/>
    <w:rsid w:val="00821AEB"/>
    <w:rsid w:val="00821E26"/>
    <w:rsid w:val="00824DCD"/>
    <w:rsid w:val="00827964"/>
    <w:rsid w:val="008311A6"/>
    <w:rsid w:val="008327EA"/>
    <w:rsid w:val="00833E8A"/>
    <w:rsid w:val="008357C0"/>
    <w:rsid w:val="00836987"/>
    <w:rsid w:val="00844009"/>
    <w:rsid w:val="00844569"/>
    <w:rsid w:val="00844CDE"/>
    <w:rsid w:val="00845083"/>
    <w:rsid w:val="00847CAF"/>
    <w:rsid w:val="00847D23"/>
    <w:rsid w:val="008556FF"/>
    <w:rsid w:val="00857106"/>
    <w:rsid w:val="00857765"/>
    <w:rsid w:val="00861770"/>
    <w:rsid w:val="00863327"/>
    <w:rsid w:val="00863A40"/>
    <w:rsid w:val="0086704E"/>
    <w:rsid w:val="00867B0E"/>
    <w:rsid w:val="00867F7E"/>
    <w:rsid w:val="00870F44"/>
    <w:rsid w:val="00872ECB"/>
    <w:rsid w:val="0087456A"/>
    <w:rsid w:val="008763E4"/>
    <w:rsid w:val="00877C8E"/>
    <w:rsid w:val="00884054"/>
    <w:rsid w:val="00890B7A"/>
    <w:rsid w:val="00890C62"/>
    <w:rsid w:val="0089173B"/>
    <w:rsid w:val="0089437B"/>
    <w:rsid w:val="00895089"/>
    <w:rsid w:val="008951ED"/>
    <w:rsid w:val="0089761E"/>
    <w:rsid w:val="008977EE"/>
    <w:rsid w:val="008A0693"/>
    <w:rsid w:val="008A25E6"/>
    <w:rsid w:val="008A5928"/>
    <w:rsid w:val="008A75BE"/>
    <w:rsid w:val="008B0D6E"/>
    <w:rsid w:val="008B1AD9"/>
    <w:rsid w:val="008B1D2E"/>
    <w:rsid w:val="008B4DF4"/>
    <w:rsid w:val="008B6C58"/>
    <w:rsid w:val="008B70DC"/>
    <w:rsid w:val="008C08BE"/>
    <w:rsid w:val="008C229F"/>
    <w:rsid w:val="008C32A8"/>
    <w:rsid w:val="008C3445"/>
    <w:rsid w:val="008C366D"/>
    <w:rsid w:val="008C4E94"/>
    <w:rsid w:val="008C5595"/>
    <w:rsid w:val="008C55A3"/>
    <w:rsid w:val="008C7368"/>
    <w:rsid w:val="008D32F0"/>
    <w:rsid w:val="008D595F"/>
    <w:rsid w:val="008E012F"/>
    <w:rsid w:val="008E6375"/>
    <w:rsid w:val="008F17A1"/>
    <w:rsid w:val="008F2158"/>
    <w:rsid w:val="008F3D79"/>
    <w:rsid w:val="008F4670"/>
    <w:rsid w:val="008F4C65"/>
    <w:rsid w:val="008F5D20"/>
    <w:rsid w:val="008F7579"/>
    <w:rsid w:val="0090019F"/>
    <w:rsid w:val="00902944"/>
    <w:rsid w:val="009041AF"/>
    <w:rsid w:val="00905422"/>
    <w:rsid w:val="009067B3"/>
    <w:rsid w:val="00906BD5"/>
    <w:rsid w:val="0090759E"/>
    <w:rsid w:val="009104D1"/>
    <w:rsid w:val="009113DA"/>
    <w:rsid w:val="00913133"/>
    <w:rsid w:val="009131C3"/>
    <w:rsid w:val="0091475B"/>
    <w:rsid w:val="0092120C"/>
    <w:rsid w:val="00921DB9"/>
    <w:rsid w:val="0092403D"/>
    <w:rsid w:val="00924E40"/>
    <w:rsid w:val="0092524A"/>
    <w:rsid w:val="00926C36"/>
    <w:rsid w:val="00933BEE"/>
    <w:rsid w:val="00934304"/>
    <w:rsid w:val="00934415"/>
    <w:rsid w:val="009402DB"/>
    <w:rsid w:val="00942E41"/>
    <w:rsid w:val="009440D8"/>
    <w:rsid w:val="009449B8"/>
    <w:rsid w:val="00944A6D"/>
    <w:rsid w:val="00944DC9"/>
    <w:rsid w:val="00944F1C"/>
    <w:rsid w:val="00945203"/>
    <w:rsid w:val="009454E7"/>
    <w:rsid w:val="0094603F"/>
    <w:rsid w:val="009478D8"/>
    <w:rsid w:val="00951F85"/>
    <w:rsid w:val="00952850"/>
    <w:rsid w:val="009555DC"/>
    <w:rsid w:val="009611E0"/>
    <w:rsid w:val="00961302"/>
    <w:rsid w:val="00962383"/>
    <w:rsid w:val="00963120"/>
    <w:rsid w:val="009645F8"/>
    <w:rsid w:val="0096478F"/>
    <w:rsid w:val="00965FEE"/>
    <w:rsid w:val="0096643B"/>
    <w:rsid w:val="00966B7A"/>
    <w:rsid w:val="00967852"/>
    <w:rsid w:val="009706B5"/>
    <w:rsid w:val="009726B9"/>
    <w:rsid w:val="00972BDF"/>
    <w:rsid w:val="00972CF8"/>
    <w:rsid w:val="009732F5"/>
    <w:rsid w:val="00973AFB"/>
    <w:rsid w:val="00973F49"/>
    <w:rsid w:val="00981203"/>
    <w:rsid w:val="0098182D"/>
    <w:rsid w:val="00982A98"/>
    <w:rsid w:val="00983E64"/>
    <w:rsid w:val="009855E2"/>
    <w:rsid w:val="00987C03"/>
    <w:rsid w:val="00990E3D"/>
    <w:rsid w:val="00992977"/>
    <w:rsid w:val="00992B07"/>
    <w:rsid w:val="0099557F"/>
    <w:rsid w:val="009A3511"/>
    <w:rsid w:val="009A686F"/>
    <w:rsid w:val="009A7912"/>
    <w:rsid w:val="009B0094"/>
    <w:rsid w:val="009B28E9"/>
    <w:rsid w:val="009B33A8"/>
    <w:rsid w:val="009B3487"/>
    <w:rsid w:val="009B390A"/>
    <w:rsid w:val="009B4F25"/>
    <w:rsid w:val="009B7C61"/>
    <w:rsid w:val="009C22B1"/>
    <w:rsid w:val="009C3793"/>
    <w:rsid w:val="009C62BD"/>
    <w:rsid w:val="009D26AD"/>
    <w:rsid w:val="009D341C"/>
    <w:rsid w:val="009D3C55"/>
    <w:rsid w:val="009D45BD"/>
    <w:rsid w:val="009D5261"/>
    <w:rsid w:val="009D76A3"/>
    <w:rsid w:val="009E1411"/>
    <w:rsid w:val="009E19FC"/>
    <w:rsid w:val="009E52F2"/>
    <w:rsid w:val="009F1118"/>
    <w:rsid w:val="009F1287"/>
    <w:rsid w:val="009F25EB"/>
    <w:rsid w:val="009F2A10"/>
    <w:rsid w:val="009F3C1F"/>
    <w:rsid w:val="009F614E"/>
    <w:rsid w:val="009F657D"/>
    <w:rsid w:val="009F762B"/>
    <w:rsid w:val="009F76BA"/>
    <w:rsid w:val="009F7E09"/>
    <w:rsid w:val="00A02047"/>
    <w:rsid w:val="00A02B9D"/>
    <w:rsid w:val="00A035C0"/>
    <w:rsid w:val="00A036BE"/>
    <w:rsid w:val="00A0575E"/>
    <w:rsid w:val="00A068CE"/>
    <w:rsid w:val="00A06A16"/>
    <w:rsid w:val="00A10F77"/>
    <w:rsid w:val="00A12205"/>
    <w:rsid w:val="00A139AF"/>
    <w:rsid w:val="00A20113"/>
    <w:rsid w:val="00A24B74"/>
    <w:rsid w:val="00A3248C"/>
    <w:rsid w:val="00A339E6"/>
    <w:rsid w:val="00A33EF8"/>
    <w:rsid w:val="00A34362"/>
    <w:rsid w:val="00A358E6"/>
    <w:rsid w:val="00A37C0F"/>
    <w:rsid w:val="00A409B6"/>
    <w:rsid w:val="00A422B7"/>
    <w:rsid w:val="00A424E5"/>
    <w:rsid w:val="00A42674"/>
    <w:rsid w:val="00A44291"/>
    <w:rsid w:val="00A453DC"/>
    <w:rsid w:val="00A46457"/>
    <w:rsid w:val="00A47E33"/>
    <w:rsid w:val="00A50182"/>
    <w:rsid w:val="00A50B14"/>
    <w:rsid w:val="00A51024"/>
    <w:rsid w:val="00A51109"/>
    <w:rsid w:val="00A51F37"/>
    <w:rsid w:val="00A544DC"/>
    <w:rsid w:val="00A55818"/>
    <w:rsid w:val="00A56556"/>
    <w:rsid w:val="00A5790A"/>
    <w:rsid w:val="00A625E2"/>
    <w:rsid w:val="00A63DC7"/>
    <w:rsid w:val="00A65B7E"/>
    <w:rsid w:val="00A70289"/>
    <w:rsid w:val="00A72105"/>
    <w:rsid w:val="00A72465"/>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56F6"/>
    <w:rsid w:val="00AA5D62"/>
    <w:rsid w:val="00AB0571"/>
    <w:rsid w:val="00AB1E84"/>
    <w:rsid w:val="00AB2BF2"/>
    <w:rsid w:val="00AB3245"/>
    <w:rsid w:val="00AB3710"/>
    <w:rsid w:val="00AB4B0F"/>
    <w:rsid w:val="00AB6A01"/>
    <w:rsid w:val="00AB6C3B"/>
    <w:rsid w:val="00AB7F4A"/>
    <w:rsid w:val="00AC226E"/>
    <w:rsid w:val="00AC5742"/>
    <w:rsid w:val="00AC722C"/>
    <w:rsid w:val="00AC75C1"/>
    <w:rsid w:val="00AC7906"/>
    <w:rsid w:val="00AD1291"/>
    <w:rsid w:val="00AD134F"/>
    <w:rsid w:val="00AD1F40"/>
    <w:rsid w:val="00AD1FA2"/>
    <w:rsid w:val="00AD3428"/>
    <w:rsid w:val="00AD3604"/>
    <w:rsid w:val="00AD3AA2"/>
    <w:rsid w:val="00AD43B8"/>
    <w:rsid w:val="00AD4B1A"/>
    <w:rsid w:val="00AD5295"/>
    <w:rsid w:val="00AE008F"/>
    <w:rsid w:val="00AF0161"/>
    <w:rsid w:val="00AF2A1F"/>
    <w:rsid w:val="00AF2D9B"/>
    <w:rsid w:val="00B00628"/>
    <w:rsid w:val="00B0749B"/>
    <w:rsid w:val="00B10050"/>
    <w:rsid w:val="00B10A1E"/>
    <w:rsid w:val="00B11E08"/>
    <w:rsid w:val="00B12FF9"/>
    <w:rsid w:val="00B14039"/>
    <w:rsid w:val="00B149FA"/>
    <w:rsid w:val="00B177F4"/>
    <w:rsid w:val="00B22242"/>
    <w:rsid w:val="00B2232C"/>
    <w:rsid w:val="00B2330D"/>
    <w:rsid w:val="00B32CD3"/>
    <w:rsid w:val="00B34CED"/>
    <w:rsid w:val="00B35A93"/>
    <w:rsid w:val="00B3672D"/>
    <w:rsid w:val="00B37E9B"/>
    <w:rsid w:val="00B433C9"/>
    <w:rsid w:val="00B437D8"/>
    <w:rsid w:val="00B44ADE"/>
    <w:rsid w:val="00B46B42"/>
    <w:rsid w:val="00B4745C"/>
    <w:rsid w:val="00B50F3E"/>
    <w:rsid w:val="00B52D3E"/>
    <w:rsid w:val="00B52E55"/>
    <w:rsid w:val="00B534F0"/>
    <w:rsid w:val="00B54C62"/>
    <w:rsid w:val="00B56CAC"/>
    <w:rsid w:val="00B57980"/>
    <w:rsid w:val="00B601D4"/>
    <w:rsid w:val="00B60DA2"/>
    <w:rsid w:val="00B61105"/>
    <w:rsid w:val="00B6166B"/>
    <w:rsid w:val="00B61955"/>
    <w:rsid w:val="00B61C39"/>
    <w:rsid w:val="00B63BC9"/>
    <w:rsid w:val="00B653BB"/>
    <w:rsid w:val="00B66E86"/>
    <w:rsid w:val="00B67A20"/>
    <w:rsid w:val="00B710FE"/>
    <w:rsid w:val="00B724E8"/>
    <w:rsid w:val="00B73FE9"/>
    <w:rsid w:val="00B87D50"/>
    <w:rsid w:val="00B91BCB"/>
    <w:rsid w:val="00B9223B"/>
    <w:rsid w:val="00B953BD"/>
    <w:rsid w:val="00B95905"/>
    <w:rsid w:val="00B95E96"/>
    <w:rsid w:val="00B97421"/>
    <w:rsid w:val="00BA2A94"/>
    <w:rsid w:val="00BA4D1F"/>
    <w:rsid w:val="00BA5339"/>
    <w:rsid w:val="00BA6226"/>
    <w:rsid w:val="00BA6B85"/>
    <w:rsid w:val="00BA7AD1"/>
    <w:rsid w:val="00BB2250"/>
    <w:rsid w:val="00BB3132"/>
    <w:rsid w:val="00BB5448"/>
    <w:rsid w:val="00BB68CA"/>
    <w:rsid w:val="00BB721B"/>
    <w:rsid w:val="00BC0FDD"/>
    <w:rsid w:val="00BC130D"/>
    <w:rsid w:val="00BC22E0"/>
    <w:rsid w:val="00BC2A46"/>
    <w:rsid w:val="00BC3FA4"/>
    <w:rsid w:val="00BD004A"/>
    <w:rsid w:val="00BD352C"/>
    <w:rsid w:val="00BD433E"/>
    <w:rsid w:val="00BD5023"/>
    <w:rsid w:val="00BD5133"/>
    <w:rsid w:val="00BD58AB"/>
    <w:rsid w:val="00BE28ED"/>
    <w:rsid w:val="00C008B2"/>
    <w:rsid w:val="00C0130E"/>
    <w:rsid w:val="00C01ABC"/>
    <w:rsid w:val="00C01E1C"/>
    <w:rsid w:val="00C01F6B"/>
    <w:rsid w:val="00C02A84"/>
    <w:rsid w:val="00C07B2D"/>
    <w:rsid w:val="00C12209"/>
    <w:rsid w:val="00C135B2"/>
    <w:rsid w:val="00C14CD6"/>
    <w:rsid w:val="00C16927"/>
    <w:rsid w:val="00C2082E"/>
    <w:rsid w:val="00C20835"/>
    <w:rsid w:val="00C24A09"/>
    <w:rsid w:val="00C24B4F"/>
    <w:rsid w:val="00C25084"/>
    <w:rsid w:val="00C274BE"/>
    <w:rsid w:val="00C274C6"/>
    <w:rsid w:val="00C310B6"/>
    <w:rsid w:val="00C321D9"/>
    <w:rsid w:val="00C3330D"/>
    <w:rsid w:val="00C34654"/>
    <w:rsid w:val="00C347FE"/>
    <w:rsid w:val="00C357BE"/>
    <w:rsid w:val="00C4006D"/>
    <w:rsid w:val="00C4530E"/>
    <w:rsid w:val="00C45C21"/>
    <w:rsid w:val="00C514C0"/>
    <w:rsid w:val="00C53F93"/>
    <w:rsid w:val="00C56C44"/>
    <w:rsid w:val="00C57028"/>
    <w:rsid w:val="00C572BB"/>
    <w:rsid w:val="00C604B3"/>
    <w:rsid w:val="00C6332C"/>
    <w:rsid w:val="00C6721D"/>
    <w:rsid w:val="00C677A9"/>
    <w:rsid w:val="00C678B3"/>
    <w:rsid w:val="00C70B4A"/>
    <w:rsid w:val="00C71CD1"/>
    <w:rsid w:val="00C73143"/>
    <w:rsid w:val="00C77685"/>
    <w:rsid w:val="00C77815"/>
    <w:rsid w:val="00C77977"/>
    <w:rsid w:val="00C77ABA"/>
    <w:rsid w:val="00C8085F"/>
    <w:rsid w:val="00C821B6"/>
    <w:rsid w:val="00C8471E"/>
    <w:rsid w:val="00C850CE"/>
    <w:rsid w:val="00C85378"/>
    <w:rsid w:val="00C90BE5"/>
    <w:rsid w:val="00C91B10"/>
    <w:rsid w:val="00C925E0"/>
    <w:rsid w:val="00C9271F"/>
    <w:rsid w:val="00C9297C"/>
    <w:rsid w:val="00C976C0"/>
    <w:rsid w:val="00CA5334"/>
    <w:rsid w:val="00CA6A85"/>
    <w:rsid w:val="00CA6FDA"/>
    <w:rsid w:val="00CB0886"/>
    <w:rsid w:val="00CB251D"/>
    <w:rsid w:val="00CB2CC0"/>
    <w:rsid w:val="00CB3B6F"/>
    <w:rsid w:val="00CB5099"/>
    <w:rsid w:val="00CC0C5F"/>
    <w:rsid w:val="00CC1AF2"/>
    <w:rsid w:val="00CC2F3D"/>
    <w:rsid w:val="00CC4CF6"/>
    <w:rsid w:val="00CC51A7"/>
    <w:rsid w:val="00CC5FF3"/>
    <w:rsid w:val="00CC6072"/>
    <w:rsid w:val="00CD1612"/>
    <w:rsid w:val="00CD262A"/>
    <w:rsid w:val="00CD365B"/>
    <w:rsid w:val="00CD4BFA"/>
    <w:rsid w:val="00CE0E72"/>
    <w:rsid w:val="00CE2ADF"/>
    <w:rsid w:val="00CE367D"/>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18EC"/>
    <w:rsid w:val="00D12C68"/>
    <w:rsid w:val="00D134FB"/>
    <w:rsid w:val="00D14FEC"/>
    <w:rsid w:val="00D15546"/>
    <w:rsid w:val="00D16C97"/>
    <w:rsid w:val="00D17789"/>
    <w:rsid w:val="00D21565"/>
    <w:rsid w:val="00D2277C"/>
    <w:rsid w:val="00D22F7D"/>
    <w:rsid w:val="00D25BEE"/>
    <w:rsid w:val="00D2737E"/>
    <w:rsid w:val="00D274A9"/>
    <w:rsid w:val="00D302CF"/>
    <w:rsid w:val="00D32644"/>
    <w:rsid w:val="00D33619"/>
    <w:rsid w:val="00D400F4"/>
    <w:rsid w:val="00D43CF1"/>
    <w:rsid w:val="00D449AE"/>
    <w:rsid w:val="00D477C3"/>
    <w:rsid w:val="00D508EB"/>
    <w:rsid w:val="00D51B89"/>
    <w:rsid w:val="00D52AC7"/>
    <w:rsid w:val="00D52C1F"/>
    <w:rsid w:val="00D54CA9"/>
    <w:rsid w:val="00D54D64"/>
    <w:rsid w:val="00D604FD"/>
    <w:rsid w:val="00D6193E"/>
    <w:rsid w:val="00D6340F"/>
    <w:rsid w:val="00D6535E"/>
    <w:rsid w:val="00D654EC"/>
    <w:rsid w:val="00D6681B"/>
    <w:rsid w:val="00D66C0C"/>
    <w:rsid w:val="00D720DC"/>
    <w:rsid w:val="00D72D16"/>
    <w:rsid w:val="00D742B9"/>
    <w:rsid w:val="00D7492C"/>
    <w:rsid w:val="00D766CC"/>
    <w:rsid w:val="00D81029"/>
    <w:rsid w:val="00D8195B"/>
    <w:rsid w:val="00D821F8"/>
    <w:rsid w:val="00D848F9"/>
    <w:rsid w:val="00D84DDC"/>
    <w:rsid w:val="00D85695"/>
    <w:rsid w:val="00D857BA"/>
    <w:rsid w:val="00D8619F"/>
    <w:rsid w:val="00D86764"/>
    <w:rsid w:val="00D870AC"/>
    <w:rsid w:val="00D90B92"/>
    <w:rsid w:val="00D95611"/>
    <w:rsid w:val="00DA0DF2"/>
    <w:rsid w:val="00DA1152"/>
    <w:rsid w:val="00DA41D7"/>
    <w:rsid w:val="00DA494B"/>
    <w:rsid w:val="00DA5B72"/>
    <w:rsid w:val="00DB5C0A"/>
    <w:rsid w:val="00DC0220"/>
    <w:rsid w:val="00DC0A85"/>
    <w:rsid w:val="00DC6FF8"/>
    <w:rsid w:val="00DD01FC"/>
    <w:rsid w:val="00DD13E2"/>
    <w:rsid w:val="00DE47A1"/>
    <w:rsid w:val="00DE7DCC"/>
    <w:rsid w:val="00DF003C"/>
    <w:rsid w:val="00DF0E8B"/>
    <w:rsid w:val="00DF0F8A"/>
    <w:rsid w:val="00DF137F"/>
    <w:rsid w:val="00DF4501"/>
    <w:rsid w:val="00DF5C75"/>
    <w:rsid w:val="00DF65E5"/>
    <w:rsid w:val="00DF6971"/>
    <w:rsid w:val="00DF78AE"/>
    <w:rsid w:val="00E00E78"/>
    <w:rsid w:val="00E0759A"/>
    <w:rsid w:val="00E076C1"/>
    <w:rsid w:val="00E11E2E"/>
    <w:rsid w:val="00E13C83"/>
    <w:rsid w:val="00E15555"/>
    <w:rsid w:val="00E15B7D"/>
    <w:rsid w:val="00E23477"/>
    <w:rsid w:val="00E2408E"/>
    <w:rsid w:val="00E27CDB"/>
    <w:rsid w:val="00E371EC"/>
    <w:rsid w:val="00E43116"/>
    <w:rsid w:val="00E444DA"/>
    <w:rsid w:val="00E51A48"/>
    <w:rsid w:val="00E550AA"/>
    <w:rsid w:val="00E571F8"/>
    <w:rsid w:val="00E57E5A"/>
    <w:rsid w:val="00E64F0A"/>
    <w:rsid w:val="00E67668"/>
    <w:rsid w:val="00E70AEE"/>
    <w:rsid w:val="00E7107E"/>
    <w:rsid w:val="00E71C93"/>
    <w:rsid w:val="00E725D5"/>
    <w:rsid w:val="00E72AE3"/>
    <w:rsid w:val="00E73B51"/>
    <w:rsid w:val="00E76B98"/>
    <w:rsid w:val="00E8151C"/>
    <w:rsid w:val="00E81A88"/>
    <w:rsid w:val="00E81E9C"/>
    <w:rsid w:val="00E82E15"/>
    <w:rsid w:val="00E84151"/>
    <w:rsid w:val="00E86FA6"/>
    <w:rsid w:val="00E91409"/>
    <w:rsid w:val="00E91D17"/>
    <w:rsid w:val="00E936FF"/>
    <w:rsid w:val="00E939C8"/>
    <w:rsid w:val="00E93A33"/>
    <w:rsid w:val="00E93B6B"/>
    <w:rsid w:val="00E96C74"/>
    <w:rsid w:val="00EA1F89"/>
    <w:rsid w:val="00EA5177"/>
    <w:rsid w:val="00EA7FEF"/>
    <w:rsid w:val="00EB117B"/>
    <w:rsid w:val="00EB2BEB"/>
    <w:rsid w:val="00EB34ED"/>
    <w:rsid w:val="00EB40D6"/>
    <w:rsid w:val="00EB4222"/>
    <w:rsid w:val="00EB5F75"/>
    <w:rsid w:val="00EB79CD"/>
    <w:rsid w:val="00ED4C91"/>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3B41"/>
    <w:rsid w:val="00EF697A"/>
    <w:rsid w:val="00F02923"/>
    <w:rsid w:val="00F0351B"/>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42B2"/>
    <w:rsid w:val="00F367F2"/>
    <w:rsid w:val="00F370A2"/>
    <w:rsid w:val="00F403EA"/>
    <w:rsid w:val="00F42753"/>
    <w:rsid w:val="00F42E10"/>
    <w:rsid w:val="00F440D8"/>
    <w:rsid w:val="00F44A7B"/>
    <w:rsid w:val="00F44FFA"/>
    <w:rsid w:val="00F45B6F"/>
    <w:rsid w:val="00F510DB"/>
    <w:rsid w:val="00F516E3"/>
    <w:rsid w:val="00F5627B"/>
    <w:rsid w:val="00F567CC"/>
    <w:rsid w:val="00F5724D"/>
    <w:rsid w:val="00F6021E"/>
    <w:rsid w:val="00F60AB3"/>
    <w:rsid w:val="00F62329"/>
    <w:rsid w:val="00F635AC"/>
    <w:rsid w:val="00F65A74"/>
    <w:rsid w:val="00F727B0"/>
    <w:rsid w:val="00F72A12"/>
    <w:rsid w:val="00F76A74"/>
    <w:rsid w:val="00F81124"/>
    <w:rsid w:val="00F816C6"/>
    <w:rsid w:val="00F817C5"/>
    <w:rsid w:val="00F841CB"/>
    <w:rsid w:val="00F858D5"/>
    <w:rsid w:val="00F909A9"/>
    <w:rsid w:val="00F91823"/>
    <w:rsid w:val="00F91AEE"/>
    <w:rsid w:val="00F97C07"/>
    <w:rsid w:val="00FA047C"/>
    <w:rsid w:val="00FA19D2"/>
    <w:rsid w:val="00FA2545"/>
    <w:rsid w:val="00FA2625"/>
    <w:rsid w:val="00FA7EF6"/>
    <w:rsid w:val="00FB2524"/>
    <w:rsid w:val="00FB4AAD"/>
    <w:rsid w:val="00FB4E3D"/>
    <w:rsid w:val="00FB5F2A"/>
    <w:rsid w:val="00FB6CF8"/>
    <w:rsid w:val="00FC16E9"/>
    <w:rsid w:val="00FC279C"/>
    <w:rsid w:val="00FC45DE"/>
    <w:rsid w:val="00FC48CB"/>
    <w:rsid w:val="00FC4F9B"/>
    <w:rsid w:val="00FC59F0"/>
    <w:rsid w:val="00FD0B6D"/>
    <w:rsid w:val="00FD2DEC"/>
    <w:rsid w:val="00FD4599"/>
    <w:rsid w:val="00FD4784"/>
    <w:rsid w:val="00FD51A0"/>
    <w:rsid w:val="00FD65FE"/>
    <w:rsid w:val="00FD74EB"/>
    <w:rsid w:val="00FE009C"/>
    <w:rsid w:val="00FE01E5"/>
    <w:rsid w:val="00FE214F"/>
    <w:rsid w:val="00FE3DA3"/>
    <w:rsid w:val="00FE4094"/>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Fundamentos">
    <w:name w:val="Fundamentos"/>
    <w:basedOn w:val="Normal"/>
    <w:qFormat/>
    <w:rsid w:val="00D6193E"/>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458376056">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451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06BF5-B535-4A65-8D01-5012E76F9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38</Pages>
  <Words>7574</Words>
  <Characters>41660</Characters>
  <Application>Microsoft Office Word</Application>
  <DocSecurity>0</DocSecurity>
  <Lines>347</Lines>
  <Paragraphs>98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49136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10</cp:revision>
  <cp:lastPrinted>2019-11-07T00:56:00Z</cp:lastPrinted>
  <dcterms:created xsi:type="dcterms:W3CDTF">2023-01-30T20:49:00Z</dcterms:created>
  <dcterms:modified xsi:type="dcterms:W3CDTF">2023-03-07T22:17:00Z</dcterms:modified>
</cp:coreProperties>
</file>