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AF81D" w14:textId="77777777" w:rsidR="001D0070" w:rsidRDefault="001D0070" w:rsidP="006922F5">
      <w:pPr>
        <w:pBdr>
          <w:top w:val="nil"/>
          <w:left w:val="nil"/>
          <w:bottom w:val="nil"/>
          <w:right w:val="nil"/>
          <w:between w:val="nil"/>
        </w:pBdr>
        <w:contextualSpacing/>
        <w:rPr>
          <w:rFonts w:eastAsia="Palatino Linotype" w:cs="Palatino Linotype"/>
          <w:color w:val="000000"/>
          <w:szCs w:val="24"/>
        </w:rPr>
      </w:pPr>
    </w:p>
    <w:p w14:paraId="49AF2C0C" w14:textId="315824B3"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100663">
        <w:rPr>
          <w:rFonts w:eastAsia="Palatino Linotype" w:cs="Palatino Linotype"/>
          <w:color w:val="000000"/>
          <w:szCs w:val="24"/>
        </w:rPr>
        <w:t>México, a</w:t>
      </w:r>
      <w:r w:rsidR="00D821B8">
        <w:rPr>
          <w:rFonts w:eastAsia="Palatino Linotype" w:cs="Palatino Linotype"/>
          <w:color w:val="000000"/>
          <w:szCs w:val="24"/>
        </w:rPr>
        <w:t xml:space="preserve"> </w:t>
      </w:r>
      <w:r w:rsidR="00B94046">
        <w:rPr>
          <w:rFonts w:eastAsia="Palatino Linotype" w:cs="Palatino Linotype"/>
          <w:color w:val="000000"/>
          <w:szCs w:val="24"/>
        </w:rPr>
        <w:t>do</w:t>
      </w:r>
      <w:r w:rsidR="00D821B8">
        <w:rPr>
          <w:rFonts w:eastAsia="Palatino Linotype" w:cs="Palatino Linotype"/>
          <w:color w:val="000000"/>
          <w:szCs w:val="24"/>
        </w:rPr>
        <w:t xml:space="preserve">ce de octubre </w:t>
      </w:r>
      <w:r w:rsidR="009B4F7E">
        <w:rPr>
          <w:rFonts w:eastAsia="Palatino Linotype" w:cs="Palatino Linotype"/>
          <w:color w:val="000000"/>
          <w:szCs w:val="24"/>
        </w:rPr>
        <w:t>de dos mil veintitrés</w:t>
      </w:r>
      <w:r w:rsidRPr="00100663">
        <w:rPr>
          <w:rFonts w:eastAsia="Palatino Linotype" w:cs="Palatino Linotype"/>
          <w:color w:val="000000"/>
          <w:szCs w:val="24"/>
        </w:rPr>
        <w:t>.</w:t>
      </w:r>
    </w:p>
    <w:p w14:paraId="60399B74"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210662FB"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b/>
          <w:color w:val="000000"/>
          <w:szCs w:val="24"/>
        </w:rPr>
        <w:t>VISTO</w:t>
      </w:r>
      <w:r w:rsidRPr="00100663">
        <w:rPr>
          <w:rFonts w:eastAsia="Palatino Linotype" w:cs="Palatino Linotype"/>
          <w:color w:val="000000"/>
          <w:szCs w:val="24"/>
        </w:rPr>
        <w:t xml:space="preserve"> el expediente electrónico formado con motivo del recurso de revisión número </w:t>
      </w:r>
      <w:r w:rsidR="00DB00D6">
        <w:rPr>
          <w:rFonts w:eastAsia="Palatino Linotype" w:cs="Palatino Linotype"/>
          <w:b/>
          <w:color w:val="000000"/>
          <w:szCs w:val="24"/>
        </w:rPr>
        <w:t>04455</w:t>
      </w:r>
      <w:r w:rsidRPr="00100663">
        <w:rPr>
          <w:rFonts w:eastAsia="Palatino Linotype" w:cs="Palatino Linotype"/>
          <w:b/>
          <w:color w:val="000000"/>
          <w:szCs w:val="24"/>
        </w:rPr>
        <w:t>/INFOEM/IP/RR/202</w:t>
      </w:r>
      <w:r w:rsidR="001D0070">
        <w:rPr>
          <w:rFonts w:eastAsia="Palatino Linotype" w:cs="Palatino Linotype"/>
          <w:b/>
          <w:color w:val="000000"/>
          <w:szCs w:val="24"/>
        </w:rPr>
        <w:t>3</w:t>
      </w:r>
      <w:r w:rsidR="00B54BC7" w:rsidRPr="00100663">
        <w:rPr>
          <w:rFonts w:eastAsia="Palatino Linotype" w:cs="Palatino Linotype"/>
          <w:color w:val="000000"/>
          <w:szCs w:val="24"/>
        </w:rPr>
        <w:t>, interpuesto po</w:t>
      </w:r>
      <w:r w:rsidR="00430C63" w:rsidRPr="00100663">
        <w:rPr>
          <w:rFonts w:eastAsia="Palatino Linotype" w:cs="Palatino Linotype"/>
          <w:color w:val="000000"/>
          <w:szCs w:val="24"/>
        </w:rPr>
        <w:t>r</w:t>
      </w:r>
      <w:r w:rsidR="00100663" w:rsidRPr="00100663">
        <w:rPr>
          <w:rFonts w:eastAsia="Palatino Linotype" w:cs="Palatino Linotype"/>
          <w:color w:val="000000"/>
          <w:szCs w:val="24"/>
        </w:rPr>
        <w:t xml:space="preserve"> </w:t>
      </w:r>
      <w:r w:rsidR="00B94164">
        <w:rPr>
          <w:rFonts w:eastAsia="Palatino Linotype" w:cs="Palatino Linotype"/>
          <w:b/>
          <w:color w:val="000000"/>
          <w:szCs w:val="24"/>
        </w:rPr>
        <w:t>XXXXXXX</w:t>
      </w:r>
      <w:r w:rsidR="00B54BC7" w:rsidRPr="00100663">
        <w:rPr>
          <w:rFonts w:eastAsia="Palatino Linotype" w:cs="Palatino Linotype"/>
          <w:color w:val="000000"/>
          <w:szCs w:val="24"/>
        </w:rPr>
        <w:t xml:space="preserve">, en lo sucesivo </w:t>
      </w:r>
      <w:r w:rsidR="008E5682" w:rsidRPr="00100663">
        <w:rPr>
          <w:rFonts w:eastAsia="Palatino Linotype" w:cs="Palatino Linotype"/>
          <w:color w:val="000000"/>
          <w:szCs w:val="24"/>
        </w:rPr>
        <w:t>el</w:t>
      </w:r>
      <w:r w:rsidR="00B54BC7" w:rsidRPr="00100663">
        <w:rPr>
          <w:rFonts w:eastAsia="Palatino Linotype" w:cs="Palatino Linotype"/>
          <w:color w:val="000000"/>
          <w:szCs w:val="24"/>
        </w:rPr>
        <w:t xml:space="preserve"> </w:t>
      </w:r>
      <w:r w:rsidRPr="00100663">
        <w:rPr>
          <w:rFonts w:eastAsia="Palatino Linotype" w:cs="Palatino Linotype"/>
          <w:b/>
          <w:color w:val="000000"/>
          <w:szCs w:val="24"/>
        </w:rPr>
        <w:t>Recurrente</w:t>
      </w:r>
      <w:r w:rsidRPr="00100663">
        <w:rPr>
          <w:rFonts w:eastAsia="Palatino Linotype" w:cs="Palatino Linotype"/>
          <w:color w:val="000000"/>
          <w:szCs w:val="24"/>
        </w:rPr>
        <w:t>, en contra de la respuesta de</w:t>
      </w:r>
      <w:r w:rsidR="001D0070">
        <w:rPr>
          <w:rFonts w:eastAsia="Palatino Linotype" w:cs="Palatino Linotype"/>
          <w:color w:val="000000"/>
          <w:szCs w:val="24"/>
        </w:rPr>
        <w:t>l</w:t>
      </w:r>
      <w:r w:rsidR="00DB00D6">
        <w:rPr>
          <w:rFonts w:eastAsia="Palatino Linotype" w:cs="Palatino Linotype"/>
          <w:b/>
          <w:color w:val="000000"/>
          <w:szCs w:val="24"/>
        </w:rPr>
        <w:t xml:space="preserve"> Ayuntamiento de Atlacomulco</w:t>
      </w:r>
      <w:r w:rsidR="0051074E" w:rsidRPr="00100663">
        <w:rPr>
          <w:rFonts w:eastAsia="Palatino Linotype" w:cs="Palatino Linotype"/>
          <w:color w:val="000000"/>
          <w:szCs w:val="24"/>
        </w:rPr>
        <w:t xml:space="preserve">, </w:t>
      </w:r>
      <w:r w:rsidRPr="00100663">
        <w:rPr>
          <w:rFonts w:eastAsia="Palatino Linotype" w:cs="Palatino Linotype"/>
          <w:color w:val="000000"/>
          <w:szCs w:val="24"/>
        </w:rPr>
        <w:t>en lo subsecuente</w:t>
      </w:r>
      <w:r w:rsidRPr="00100663">
        <w:rPr>
          <w:rFonts w:eastAsia="Palatino Linotype" w:cs="Palatino Linotype"/>
          <w:b/>
          <w:color w:val="000000"/>
          <w:szCs w:val="24"/>
        </w:rPr>
        <w:t xml:space="preserve"> </w:t>
      </w:r>
      <w:r w:rsidRPr="00100663">
        <w:rPr>
          <w:rFonts w:eastAsia="Palatino Linotype" w:cs="Palatino Linotype"/>
          <w:color w:val="000000"/>
          <w:szCs w:val="24"/>
        </w:rPr>
        <w:t>el</w:t>
      </w:r>
      <w:r w:rsidRPr="00100663">
        <w:rPr>
          <w:rFonts w:eastAsia="Palatino Linotype" w:cs="Palatino Linotype"/>
          <w:b/>
          <w:color w:val="000000"/>
          <w:szCs w:val="24"/>
        </w:rPr>
        <w:t xml:space="preserve"> Sujeto Obligado, </w:t>
      </w:r>
      <w:r w:rsidRPr="00100663">
        <w:rPr>
          <w:rFonts w:eastAsia="Palatino Linotype" w:cs="Palatino Linotype"/>
          <w:color w:val="000000"/>
          <w:szCs w:val="24"/>
        </w:rPr>
        <w:t>se procede a dictar la presente resolución.</w:t>
      </w:r>
    </w:p>
    <w:p w14:paraId="2E2053C2"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77777777" w:rsidR="00A970D5" w:rsidRPr="00100663" w:rsidRDefault="00A970D5" w:rsidP="006922F5">
      <w:pPr>
        <w:pStyle w:val="Ttulo2"/>
        <w:rPr>
          <w:rFonts w:eastAsia="Palatino Linotype"/>
          <w:sz w:val="24"/>
          <w:szCs w:val="24"/>
        </w:rPr>
      </w:pPr>
      <w:r w:rsidRPr="00100663">
        <w:rPr>
          <w:rFonts w:eastAsia="Palatino Linotype"/>
          <w:sz w:val="24"/>
          <w:szCs w:val="24"/>
        </w:rPr>
        <w:t>PRIMERO. De la Solicitud de Información.</w:t>
      </w:r>
    </w:p>
    <w:p w14:paraId="0870C154" w14:textId="4185CA4E" w:rsidR="00A970D5" w:rsidRPr="00100663" w:rsidRDefault="00B36B86"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color w:val="000000"/>
          <w:szCs w:val="24"/>
        </w:rPr>
        <w:t xml:space="preserve">Con fecha </w:t>
      </w:r>
      <w:r w:rsidR="00AD0736">
        <w:rPr>
          <w:rFonts w:eastAsia="Palatino Linotype" w:cs="Palatino Linotype"/>
          <w:color w:val="000000"/>
          <w:szCs w:val="24"/>
        </w:rPr>
        <w:t>veinte de junio</w:t>
      </w:r>
      <w:r w:rsidR="001D0070">
        <w:rPr>
          <w:rFonts w:eastAsia="Palatino Linotype" w:cs="Palatino Linotype"/>
          <w:color w:val="000000"/>
          <w:szCs w:val="24"/>
        </w:rPr>
        <w:t xml:space="preserve"> de dos mil veintitrés</w:t>
      </w:r>
      <w:r w:rsidR="00B54BC7" w:rsidRPr="00100663">
        <w:rPr>
          <w:rFonts w:eastAsia="Palatino Linotype" w:cs="Palatino Linotype"/>
          <w:color w:val="000000"/>
          <w:szCs w:val="24"/>
        </w:rPr>
        <w:t xml:space="preserve">, </w:t>
      </w:r>
      <w:r w:rsidR="00430C63" w:rsidRPr="00100663">
        <w:rPr>
          <w:rFonts w:eastAsia="Palatino Linotype" w:cs="Palatino Linotype"/>
          <w:color w:val="000000"/>
          <w:szCs w:val="24"/>
        </w:rPr>
        <w:t>el</w:t>
      </w:r>
      <w:r w:rsidR="00A970D5" w:rsidRPr="00100663">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100663" w:rsidRPr="00100663">
        <w:rPr>
          <w:rFonts w:eastAsia="Palatino Linotype" w:cs="Palatino Linotype"/>
          <w:b/>
          <w:bCs/>
          <w:color w:val="000000"/>
          <w:szCs w:val="24"/>
        </w:rPr>
        <w:t xml:space="preserve"> </w:t>
      </w:r>
      <w:r w:rsidR="00DB00D6" w:rsidRPr="00DB00D6">
        <w:rPr>
          <w:rFonts w:eastAsia="Palatino Linotype" w:cs="Palatino Linotype"/>
          <w:b/>
          <w:bCs/>
          <w:color w:val="000000"/>
          <w:szCs w:val="24"/>
        </w:rPr>
        <w:t>00212/ATLACOM/IP/2023</w:t>
      </w:r>
      <w:r w:rsidR="00A970D5" w:rsidRPr="00100663">
        <w:rPr>
          <w:rFonts w:eastAsia="Palatino Linotype" w:cs="Palatino Linotype"/>
          <w:color w:val="000000"/>
          <w:szCs w:val="24"/>
        </w:rPr>
        <w:t>,</w:t>
      </w:r>
      <w:r w:rsidR="00A970D5" w:rsidRPr="00100663">
        <w:rPr>
          <w:rFonts w:eastAsia="Palatino Linotype" w:cs="Palatino Linotype"/>
          <w:b/>
          <w:color w:val="000000"/>
          <w:szCs w:val="24"/>
        </w:rPr>
        <w:t xml:space="preserve"> </w:t>
      </w:r>
      <w:r w:rsidR="00A970D5" w:rsidRPr="00100663">
        <w:rPr>
          <w:rFonts w:eastAsia="Palatino Linotype" w:cs="Palatino Linotype"/>
          <w:color w:val="000000"/>
          <w:szCs w:val="24"/>
        </w:rPr>
        <w:t>mediante la cual solicitó información en el tenor siguiente:</w:t>
      </w:r>
    </w:p>
    <w:p w14:paraId="68B56D82"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4E2B15D" w:rsidR="00A970D5" w:rsidRPr="008B6CDF" w:rsidRDefault="723045DB" w:rsidP="008B6CDF">
      <w:pPr>
        <w:pStyle w:val="Fundamentos"/>
      </w:pPr>
      <w:r w:rsidRPr="008B6CDF">
        <w:t>“</w:t>
      </w:r>
      <w:r w:rsidR="00DB00D6" w:rsidRPr="00DB00D6">
        <w:t>SOLICITO UNA COPIA DEL CONVENIO QUE FIRMO EL AYUNTAMIENTO DE ATLACOMULCO CON EL TRIBUNAL DE JUSTICIA ADMINISTRATIVA, ASI MISMO SOLICITO LA NOMINA DE TODO LOS SERVIDORES PUBLICOS QUE TRABAJAN EN LA TESORERIA MUNICIPAL, ASI COMO DE LOS REGIDORES, PRESIDENTA MUNICIPAL, SINDICO Y DIRECTORES GENERALES</w:t>
      </w:r>
      <w:r w:rsidRPr="008B6CDF">
        <w:t>” (Sic)</w:t>
      </w:r>
    </w:p>
    <w:p w14:paraId="40BBECCB"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100663" w:rsidRDefault="00A970D5" w:rsidP="006922F5">
      <w:pPr>
        <w:pBdr>
          <w:top w:val="nil"/>
          <w:left w:val="nil"/>
          <w:bottom w:val="nil"/>
          <w:right w:val="nil"/>
          <w:between w:val="nil"/>
        </w:pBdr>
        <w:contextualSpacing/>
        <w:rPr>
          <w:rFonts w:eastAsia="Palatino Linotype" w:cs="Palatino Linotype"/>
          <w:b/>
          <w:color w:val="000000"/>
          <w:szCs w:val="24"/>
        </w:rPr>
      </w:pPr>
      <w:r w:rsidRPr="00100663">
        <w:rPr>
          <w:rFonts w:eastAsia="Palatino Linotype" w:cs="Palatino Linotype"/>
          <w:color w:val="000000"/>
          <w:szCs w:val="24"/>
        </w:rPr>
        <w:t xml:space="preserve">Modalidad de entrega: </w:t>
      </w:r>
      <w:r w:rsidRPr="00100663">
        <w:rPr>
          <w:rFonts w:eastAsia="Palatino Linotype" w:cs="Palatino Linotype"/>
          <w:b/>
          <w:color w:val="000000"/>
          <w:szCs w:val="24"/>
        </w:rPr>
        <w:t>A través del SAIMEX</w:t>
      </w:r>
      <w:r w:rsidRPr="00100663">
        <w:rPr>
          <w:rFonts w:eastAsia="Palatino Linotype" w:cs="Palatino Linotype"/>
          <w:color w:val="000000"/>
          <w:szCs w:val="24"/>
        </w:rPr>
        <w:t>.</w:t>
      </w:r>
    </w:p>
    <w:p w14:paraId="474DB373" w14:textId="77777777" w:rsidR="00430C63" w:rsidRPr="00100663"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47766114" w:rsidR="00A970D5" w:rsidRPr="006922F5" w:rsidRDefault="00100663"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695C837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8B6CDF">
        <w:rPr>
          <w:rFonts w:eastAsia="Palatino Linotype" w:cs="Palatino Linotype"/>
          <w:color w:val="000000"/>
          <w:szCs w:val="24"/>
        </w:rPr>
        <w:t xml:space="preserve"> </w:t>
      </w:r>
      <w:r w:rsidR="00DD0F5C">
        <w:rPr>
          <w:rFonts w:eastAsia="Palatino Linotype" w:cs="Palatino Linotype"/>
          <w:color w:val="000000"/>
          <w:szCs w:val="24"/>
        </w:rPr>
        <w:t>once de julio</w:t>
      </w:r>
      <w:r w:rsidR="003A7B42">
        <w:rPr>
          <w:rFonts w:eastAsia="Palatino Linotype" w:cs="Palatino Linotype"/>
          <w:color w:val="000000"/>
          <w:szCs w:val="24"/>
        </w:rPr>
        <w:t xml:space="preserve"> </w:t>
      </w:r>
      <w:r w:rsidR="008B6CDF">
        <w:rPr>
          <w:rFonts w:eastAsia="Palatino Linotype" w:cs="Palatino Linotype"/>
          <w:color w:val="000000"/>
          <w:szCs w:val="24"/>
        </w:rPr>
        <w:t>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170F6167" w14:textId="77777777" w:rsidR="00AD0736" w:rsidRDefault="00A970D5" w:rsidP="00AD0736">
      <w:pPr>
        <w:pStyle w:val="Fundamentos"/>
      </w:pPr>
      <w:r w:rsidRPr="0037112D">
        <w:t>“</w:t>
      </w:r>
      <w:r w:rsidR="00AD0736">
        <w:t>En respuesta a la solicitud recibida, nos permitimos hacer de su conocimiento que con fundamento en el artículo 53, Fracciones: II, V y VI de la Ley de Transparencia y Acceso a la Información Pública del Estado de México y Municipios, le contestamos que:</w:t>
      </w:r>
    </w:p>
    <w:p w14:paraId="470F261D" w14:textId="77777777" w:rsidR="00AD0736" w:rsidRDefault="00AD0736" w:rsidP="00AD0736">
      <w:pPr>
        <w:pStyle w:val="Fundamentos"/>
      </w:pPr>
    </w:p>
    <w:p w14:paraId="44186823" w14:textId="77777777" w:rsidR="00AD0736" w:rsidRDefault="00AD0736" w:rsidP="00AD0736">
      <w:pPr>
        <w:pStyle w:val="Fundamentos"/>
      </w:pPr>
      <w:r>
        <w:t>Se atiende requerimiento de información</w:t>
      </w:r>
    </w:p>
    <w:p w14:paraId="544E56CD" w14:textId="77777777" w:rsidR="00AD0736" w:rsidRDefault="00AD0736" w:rsidP="00AD0736">
      <w:pPr>
        <w:pStyle w:val="Fundamentos"/>
      </w:pPr>
    </w:p>
    <w:p w14:paraId="775FD7A2" w14:textId="77777777" w:rsidR="00AD0736" w:rsidRDefault="00AD0736" w:rsidP="00AD0736">
      <w:pPr>
        <w:pStyle w:val="Fundamentos"/>
      </w:pPr>
      <w:r>
        <w:t>ATENTAMENTE</w:t>
      </w:r>
    </w:p>
    <w:p w14:paraId="3FE4A9EF" w14:textId="32E068A6" w:rsidR="00A970D5" w:rsidRPr="00404754" w:rsidRDefault="00AD0736" w:rsidP="00AD0736">
      <w:pPr>
        <w:pStyle w:val="Fundamentos"/>
        <w:rPr>
          <w:lang w:val="es-MX"/>
        </w:rPr>
      </w:pPr>
      <w:r>
        <w:t>L.A.I KARLA KARINA TÉLLEZ LARA</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03C73E4E" w:rsidR="0037112D" w:rsidRPr="0037112D" w:rsidRDefault="0037112D" w:rsidP="00DD0F5C">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DD0F5C">
        <w:rPr>
          <w:rFonts w:eastAsia="Palatino Linotype" w:cs="Palatino Linotype"/>
          <w:color w:val="000000"/>
          <w:szCs w:val="24"/>
        </w:rPr>
        <w:t>adjuntó a su respuesta los</w:t>
      </w:r>
      <w:r w:rsidR="008B6CDF">
        <w:rPr>
          <w:rFonts w:eastAsia="Palatino Linotype" w:cs="Palatino Linotype"/>
          <w:color w:val="000000"/>
          <w:szCs w:val="24"/>
        </w:rPr>
        <w:t xml:space="preserve"> documento</w:t>
      </w:r>
      <w:r w:rsidR="00DD0F5C">
        <w:rPr>
          <w:rFonts w:eastAsia="Palatino Linotype" w:cs="Palatino Linotype"/>
          <w:color w:val="000000"/>
          <w:szCs w:val="24"/>
        </w:rPr>
        <w:t>s</w:t>
      </w:r>
      <w:r w:rsidR="008B6CDF">
        <w:rPr>
          <w:rFonts w:eastAsia="Palatino Linotype" w:cs="Palatino Linotype"/>
          <w:color w:val="000000"/>
          <w:szCs w:val="24"/>
        </w:rPr>
        <w:t xml:space="preserve"> denominado</w:t>
      </w:r>
      <w:r w:rsidR="00DD0F5C">
        <w:rPr>
          <w:rFonts w:eastAsia="Palatino Linotype" w:cs="Palatino Linotype"/>
          <w:color w:val="000000"/>
          <w:szCs w:val="24"/>
        </w:rPr>
        <w:t>s</w:t>
      </w:r>
      <w:r w:rsidR="00100663">
        <w:rPr>
          <w:rFonts w:eastAsia="Palatino Linotype" w:cs="Palatino Linotype"/>
          <w:color w:val="000000"/>
          <w:szCs w:val="24"/>
        </w:rPr>
        <w:t xml:space="preserve"> </w:t>
      </w:r>
      <w:r>
        <w:rPr>
          <w:rFonts w:eastAsia="Palatino Linotype" w:cs="Palatino Linotype"/>
          <w:b/>
          <w:bCs/>
          <w:color w:val="000000"/>
          <w:szCs w:val="24"/>
        </w:rPr>
        <w:t>“</w:t>
      </w:r>
      <w:r w:rsidR="00DD0F5C" w:rsidRPr="00DD0F5C">
        <w:rPr>
          <w:rFonts w:eastAsia="Palatino Linotype" w:cs="Palatino Linotype"/>
          <w:b/>
          <w:bCs/>
          <w:color w:val="000000"/>
          <w:szCs w:val="24"/>
        </w:rPr>
        <w:t>212_RSOL_TM_2023_REMUN.pdf</w:t>
      </w:r>
      <w:r w:rsidR="00DD0F5C">
        <w:rPr>
          <w:rFonts w:eastAsia="Palatino Linotype" w:cs="Palatino Linotype"/>
          <w:b/>
          <w:bCs/>
          <w:color w:val="000000"/>
          <w:szCs w:val="24"/>
        </w:rPr>
        <w:t>”</w:t>
      </w:r>
      <w:r w:rsidR="00DD0F5C" w:rsidRPr="00DD0F5C">
        <w:rPr>
          <w:rFonts w:eastAsia="Palatino Linotype" w:cs="Palatino Linotype"/>
          <w:bCs/>
          <w:color w:val="000000"/>
          <w:szCs w:val="24"/>
        </w:rPr>
        <w:t xml:space="preserve">, </w:t>
      </w:r>
      <w:r w:rsidR="00DD0F5C">
        <w:rPr>
          <w:rFonts w:eastAsia="Palatino Linotype" w:cs="Palatino Linotype"/>
          <w:b/>
          <w:bCs/>
          <w:color w:val="000000"/>
          <w:szCs w:val="24"/>
        </w:rPr>
        <w:t>“</w:t>
      </w:r>
      <w:r w:rsidR="00DD0F5C" w:rsidRPr="00DD0F5C">
        <w:rPr>
          <w:rFonts w:eastAsia="Palatino Linotype" w:cs="Palatino Linotype"/>
          <w:b/>
          <w:bCs/>
          <w:color w:val="000000"/>
          <w:szCs w:val="24"/>
        </w:rPr>
        <w:t>0212_RESP_SOL_SA_2023.pdf</w:t>
      </w:r>
      <w:r w:rsidR="00DD0F5C">
        <w:rPr>
          <w:rFonts w:eastAsia="Palatino Linotype" w:cs="Palatino Linotype"/>
          <w:b/>
          <w:bCs/>
          <w:color w:val="000000"/>
          <w:szCs w:val="24"/>
        </w:rPr>
        <w:t xml:space="preserve">” </w:t>
      </w:r>
      <w:r w:rsidR="00DD0F5C" w:rsidRPr="00DD0F5C">
        <w:rPr>
          <w:rFonts w:eastAsia="Palatino Linotype" w:cs="Palatino Linotype"/>
          <w:bCs/>
          <w:color w:val="000000"/>
          <w:szCs w:val="24"/>
        </w:rPr>
        <w:t xml:space="preserve">y </w:t>
      </w:r>
      <w:r w:rsidR="00DD0F5C">
        <w:rPr>
          <w:rFonts w:eastAsia="Palatino Linotype" w:cs="Palatino Linotype"/>
          <w:b/>
          <w:bCs/>
          <w:color w:val="000000"/>
          <w:szCs w:val="24"/>
        </w:rPr>
        <w:t>“</w:t>
      </w:r>
      <w:r w:rsidR="00DD0F5C" w:rsidRPr="00DD0F5C">
        <w:rPr>
          <w:rFonts w:eastAsia="Palatino Linotype" w:cs="Palatino Linotype"/>
          <w:b/>
          <w:bCs/>
          <w:color w:val="000000"/>
          <w:szCs w:val="24"/>
        </w:rPr>
        <w:t>0212_RES_</w:t>
      </w:r>
      <w:r w:rsidR="00DD0F5C">
        <w:rPr>
          <w:rFonts w:eastAsia="Palatino Linotype" w:cs="Palatino Linotype"/>
          <w:b/>
          <w:bCs/>
          <w:color w:val="000000"/>
          <w:szCs w:val="24"/>
        </w:rPr>
        <w:t xml:space="preserve"> </w:t>
      </w:r>
      <w:r w:rsidR="00DD0F5C" w:rsidRPr="00DD0F5C">
        <w:rPr>
          <w:rFonts w:eastAsia="Palatino Linotype" w:cs="Palatino Linotype"/>
          <w:b/>
          <w:bCs/>
          <w:color w:val="000000"/>
          <w:szCs w:val="24"/>
        </w:rPr>
        <w:t>UT_2023.pdfok.pdf</w:t>
      </w:r>
      <w:r>
        <w:rPr>
          <w:rFonts w:eastAsia="Palatino Linotype" w:cs="Palatino Linotype"/>
          <w:b/>
          <w:bCs/>
          <w:color w:val="000000"/>
          <w:szCs w:val="24"/>
        </w:rPr>
        <w:t>”</w:t>
      </w:r>
      <w:r>
        <w:rPr>
          <w:rFonts w:eastAsia="Palatino Linotype" w:cs="Palatino Linotype"/>
          <w:color w:val="000000"/>
          <w:szCs w:val="24"/>
        </w:rPr>
        <w:t xml:space="preserve">, </w:t>
      </w:r>
      <w:r w:rsidR="009B321A">
        <w:rPr>
          <w:rFonts w:eastAsia="Palatino Linotype" w:cs="Palatino Linotype"/>
          <w:color w:val="000000"/>
          <w:szCs w:val="24"/>
        </w:rPr>
        <w:t>cuyo 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0C6EDAC3" w:rsidR="00A970D5" w:rsidRPr="006922F5" w:rsidRDefault="00A524B2"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4325AC7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9B321A">
        <w:rPr>
          <w:rFonts w:eastAsia="Palatino Linotype" w:cs="Palatino Linotype"/>
          <w:color w:val="000000"/>
          <w:szCs w:val="24"/>
        </w:rPr>
        <w:t>la</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l día</w:t>
      </w:r>
      <w:r w:rsidR="00C77CBD">
        <w:rPr>
          <w:rFonts w:eastAsia="Palatino Linotype" w:cs="Palatino Linotype"/>
          <w:color w:val="000000"/>
          <w:szCs w:val="24"/>
        </w:rPr>
        <w:t xml:space="preserve"> </w:t>
      </w:r>
      <w:r w:rsidR="00AD0736">
        <w:rPr>
          <w:rFonts w:eastAsia="Palatino Linotype" w:cs="Palatino Linotype"/>
          <w:color w:val="000000"/>
          <w:szCs w:val="24"/>
        </w:rPr>
        <w:t xml:space="preserve">diez de </w:t>
      </w:r>
      <w:proofErr w:type="gramStart"/>
      <w:r w:rsidR="00AD0736">
        <w:rPr>
          <w:rFonts w:eastAsia="Palatino Linotype" w:cs="Palatino Linotype"/>
          <w:color w:val="000000"/>
          <w:szCs w:val="24"/>
        </w:rPr>
        <w:t xml:space="preserve">agosto </w:t>
      </w:r>
      <w:r w:rsidR="00C77CBD">
        <w:rPr>
          <w:rFonts w:eastAsia="Palatino Linotype" w:cs="Palatino Linotype"/>
          <w:color w:val="000000"/>
          <w:szCs w:val="24"/>
        </w:rPr>
        <w:t xml:space="preserve"> de</w:t>
      </w:r>
      <w:proofErr w:type="gramEnd"/>
      <w:r w:rsidR="00C77CBD">
        <w:rPr>
          <w:rFonts w:eastAsia="Palatino Linotype" w:cs="Palatino Linotype"/>
          <w:color w:val="000000"/>
          <w:szCs w:val="24"/>
        </w:rPr>
        <w:t xml:space="preserve"> dos mil veintitrés</w:t>
      </w:r>
      <w:r w:rsidRPr="006922F5">
        <w:rPr>
          <w:rFonts w:eastAsia="Palatino Linotype" w:cs="Palatino Linotype"/>
          <w:color w:val="000000"/>
          <w:szCs w:val="24"/>
        </w:rPr>
        <w:t xml:space="preserve">, el cual se registró con el expediente número </w:t>
      </w:r>
      <w:r w:rsidR="00C77CBD">
        <w:rPr>
          <w:rFonts w:eastAsia="Palatino Linotype" w:cs="Palatino Linotype"/>
          <w:b/>
          <w:color w:val="000000"/>
          <w:szCs w:val="24"/>
        </w:rPr>
        <w:t>0</w:t>
      </w:r>
      <w:r w:rsidR="00AD0736">
        <w:rPr>
          <w:rFonts w:eastAsia="Palatino Linotype" w:cs="Palatino Linotype"/>
          <w:b/>
          <w:color w:val="000000"/>
          <w:szCs w:val="24"/>
        </w:rPr>
        <w:t>4455</w:t>
      </w:r>
      <w:r w:rsidRPr="006922F5">
        <w:rPr>
          <w:rFonts w:eastAsia="Palatino Linotype" w:cs="Palatino Linotype"/>
          <w:b/>
          <w:color w:val="000000"/>
          <w:szCs w:val="24"/>
        </w:rPr>
        <w:t>/INFOEM/IP/RR/202</w:t>
      </w:r>
      <w:r w:rsidR="00C77CBD">
        <w:rPr>
          <w:rFonts w:eastAsia="Palatino Linotype" w:cs="Palatino Linotype"/>
          <w:b/>
          <w:color w:val="000000"/>
          <w:szCs w:val="24"/>
        </w:rPr>
        <w:t>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520ABAF4" w:rsidR="00A970D5" w:rsidRPr="006922F5" w:rsidRDefault="00A970D5" w:rsidP="006922F5">
      <w:pPr>
        <w:pStyle w:val="Fundamentos"/>
        <w:rPr>
          <w:b/>
        </w:rPr>
      </w:pPr>
      <w:r w:rsidRPr="006922F5">
        <w:t>“</w:t>
      </w:r>
      <w:r w:rsidR="00DD0F5C" w:rsidRPr="00DD0F5C">
        <w:t>LA RESPUESTA OTORGADA A LA SOLICITUD CON NUMERO DE FOLIO00212/ATLACOM/P/23</w:t>
      </w:r>
      <w:r w:rsidR="002806D1">
        <w:t xml:space="preserve">” </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lastRenderedPageBreak/>
        <w:t>Razones o Motivos de Inconformidad</w:t>
      </w:r>
      <w:r w:rsidR="00004014" w:rsidRPr="006922F5">
        <w:rPr>
          <w:rFonts w:eastAsia="Palatino Linotype" w:cs="Palatino Linotype"/>
        </w:rPr>
        <w:t>:</w:t>
      </w:r>
    </w:p>
    <w:p w14:paraId="2DAC342E" w14:textId="5384C594" w:rsidR="00A970D5" w:rsidRPr="006922F5" w:rsidRDefault="00A970D5" w:rsidP="006922F5">
      <w:pPr>
        <w:pStyle w:val="Fundamentos"/>
      </w:pPr>
      <w:r w:rsidRPr="006922F5">
        <w:t>“</w:t>
      </w:r>
      <w:r w:rsidR="00DD0F5C" w:rsidRPr="00DD0F5C">
        <w:t>EN DIAS ANTERIORES DIERON A CONOCER MEDIANTE NOTAS PERIODISTICAS A SI COMO EN REDES SOCIALES LA FIRMA DEL CONVENIO DEL MUNICIPIO DE ATLACOMULCO CON EL TRIBUNAL DE JUSTICIA ADMIONISTRATIVA DEL ESTADO DE MEXICO Y EN LA RESPUESTA QUE ME OTORGAN LA AUTORIDAD RESPONSDABLE DICE QUE SE ENCUENTRA EN FIRMA Y BAJO EL CRITERIO JURIDICO DE QUE SI SE PUBLICA SE CONSIDERA UN HECHO COBNOCIDO EN ESTE MOMENTO NO ME PUEDEN DECIR QUE EL CONVENIO QUE SOLICITO ESTA EN F IRMA</w:t>
      </w:r>
      <w:r w:rsidRPr="006922F5">
        <w:t>” (Sic)</w:t>
      </w:r>
    </w:p>
    <w:p w14:paraId="06A7D20F" w14:textId="77777777" w:rsidR="00A978AF"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244365E7" w:rsidR="00A970D5" w:rsidRPr="006922F5" w:rsidRDefault="00A524B2" w:rsidP="006922F5">
      <w:pPr>
        <w:pStyle w:val="Ttulo2"/>
        <w:rPr>
          <w:rFonts w:eastAsia="Palatino Linotype"/>
        </w:rPr>
      </w:pPr>
      <w:r>
        <w:rPr>
          <w:rFonts w:eastAsia="Palatino Linotype"/>
        </w:rPr>
        <w:t>CUAR</w:t>
      </w:r>
      <w:r w:rsidR="00EB47A3">
        <w:rPr>
          <w:rFonts w:eastAsia="Palatino Linotype"/>
        </w:rPr>
        <w:t>TO</w:t>
      </w:r>
      <w:r w:rsidR="00A970D5" w:rsidRPr="006922F5">
        <w:rPr>
          <w:rFonts w:eastAsia="Palatino Linotype"/>
        </w:rPr>
        <w:t>. Del turno y admisión del recurso de revisión.</w:t>
      </w:r>
    </w:p>
    <w:p w14:paraId="2459DEBA" w14:textId="7E0FA871"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C77CBD">
        <w:rPr>
          <w:rFonts w:eastAsia="Palatino Linotype" w:cs="Palatino Linotype"/>
          <w:color w:val="000000"/>
          <w:szCs w:val="24"/>
        </w:rPr>
        <w:t xml:space="preserve"> </w:t>
      </w:r>
      <w:r w:rsidR="00EF5DAE">
        <w:rPr>
          <w:rFonts w:eastAsia="Palatino Linotype" w:cs="Palatino Linotype"/>
          <w:color w:val="000000"/>
          <w:szCs w:val="24"/>
        </w:rPr>
        <w:t xml:space="preserve">quince de agosto </w:t>
      </w:r>
      <w:r w:rsidR="00C77CBD">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19712FF9" w:rsidR="00A970D5" w:rsidRPr="006922F5" w:rsidRDefault="00A524B2" w:rsidP="006922F5">
      <w:pPr>
        <w:pStyle w:val="Ttulo2"/>
        <w:rPr>
          <w:rFonts w:eastAsia="Palatino Linotype"/>
        </w:rPr>
      </w:pPr>
      <w:r>
        <w:rPr>
          <w:rFonts w:eastAsia="Palatino Linotype"/>
        </w:rPr>
        <w:t>QUIN</w:t>
      </w:r>
      <w:r w:rsidR="00F36B72">
        <w:rPr>
          <w:rFonts w:eastAsia="Palatino Linotype"/>
        </w:rPr>
        <w:t>TO</w:t>
      </w:r>
      <w:r w:rsidR="00A970D5" w:rsidRPr="006922F5">
        <w:rPr>
          <w:rFonts w:eastAsia="Palatino Linotype"/>
        </w:rPr>
        <w:t>. De la etapa de instrucción.</w:t>
      </w:r>
    </w:p>
    <w:p w14:paraId="134297B7" w14:textId="49EC0BAF" w:rsidR="00EB47A3" w:rsidRPr="009849E0" w:rsidRDefault="00EB47A3" w:rsidP="00EB47A3">
      <w:pPr>
        <w:pBdr>
          <w:top w:val="nil"/>
          <w:left w:val="nil"/>
          <w:bottom w:val="nil"/>
          <w:right w:val="nil"/>
          <w:between w:val="nil"/>
        </w:pBdr>
        <w:contextualSpacing/>
        <w:rPr>
          <w:rFonts w:eastAsia="Palatino Linotype" w:cs="Palatino Linotype"/>
          <w:color w:val="000000"/>
          <w:szCs w:val="24"/>
        </w:rPr>
      </w:pPr>
      <w:r w:rsidRPr="006F65AC">
        <w:rPr>
          <w:rFonts w:eastAsia="Palatino Linotype" w:cs="Palatino Linotype"/>
          <w:color w:val="000000"/>
          <w:szCs w:val="24"/>
        </w:rPr>
        <w:t>Una vez abierta la etapa de instrucción, se observa</w:t>
      </w:r>
      <w:r w:rsidRPr="000719E4">
        <w:rPr>
          <w:rFonts w:eastAsia="Palatino Linotype" w:cs="Palatino Linotype"/>
          <w:color w:val="000000"/>
          <w:szCs w:val="24"/>
        </w:rPr>
        <w:t xml:space="preserve"> </w:t>
      </w:r>
      <w:r w:rsidRPr="006F65AC">
        <w:rPr>
          <w:rFonts w:eastAsia="Palatino Linotype" w:cs="Palatino Linotype"/>
          <w:color w:val="000000"/>
          <w:szCs w:val="24"/>
        </w:rPr>
        <w:t>que en fecha</w:t>
      </w:r>
      <w:r w:rsidR="00EF5DAE">
        <w:rPr>
          <w:rFonts w:eastAsia="Palatino Linotype" w:cs="Palatino Linotype"/>
          <w:color w:val="000000"/>
          <w:szCs w:val="24"/>
        </w:rPr>
        <w:t xml:space="preserve"> veintidós de agosto</w:t>
      </w:r>
      <w:r w:rsidR="00C77CBD">
        <w:rPr>
          <w:rFonts w:eastAsia="Palatino Linotype" w:cs="Palatino Linotype"/>
          <w:color w:val="000000"/>
          <w:szCs w:val="24"/>
        </w:rPr>
        <w:t xml:space="preserve"> de dos mil veintitrés</w:t>
      </w:r>
      <w:r w:rsidRPr="006F65AC">
        <w:rPr>
          <w:rFonts w:eastAsia="Palatino Linotype" w:cs="Palatino Linotype"/>
          <w:color w:val="000000"/>
          <w:szCs w:val="24"/>
        </w:rPr>
        <w:t>, el Sujeto Obligado rindió su Informe Justificado, consistente en</w:t>
      </w:r>
      <w:r w:rsidRPr="000719E4">
        <w:rPr>
          <w:rFonts w:eastAsia="Palatino Linotype" w:cs="Palatino Linotype"/>
          <w:color w:val="000000"/>
          <w:szCs w:val="24"/>
        </w:rPr>
        <w:t xml:space="preserve"> </w:t>
      </w:r>
      <w:r w:rsidR="00EF5DAE">
        <w:rPr>
          <w:rFonts w:eastAsia="Palatino Linotype" w:cs="Palatino Linotype"/>
          <w:color w:val="000000"/>
          <w:szCs w:val="24"/>
        </w:rPr>
        <w:t>el</w:t>
      </w:r>
      <w:r w:rsidRPr="000719E4">
        <w:rPr>
          <w:rFonts w:eastAsia="Palatino Linotype" w:cs="Palatino Linotype"/>
          <w:color w:val="000000"/>
          <w:szCs w:val="24"/>
        </w:rPr>
        <w:t xml:space="preserve"> </w:t>
      </w:r>
      <w:r w:rsidRPr="006F65AC">
        <w:rPr>
          <w:rFonts w:eastAsia="Palatino Linotype" w:cs="Palatino Linotype"/>
          <w:color w:val="000000"/>
          <w:szCs w:val="24"/>
        </w:rPr>
        <w:t>documento denominado</w:t>
      </w:r>
      <w:r w:rsidR="002806D1">
        <w:rPr>
          <w:rFonts w:eastAsia="Palatino Linotype" w:cs="Palatino Linotype"/>
          <w:color w:val="000000"/>
          <w:szCs w:val="24"/>
        </w:rPr>
        <w:t xml:space="preserve"> </w:t>
      </w:r>
      <w:r w:rsidR="002806D1" w:rsidRPr="002806D1">
        <w:rPr>
          <w:rFonts w:eastAsia="Palatino Linotype" w:cs="Palatino Linotype"/>
          <w:b/>
          <w:color w:val="000000"/>
          <w:szCs w:val="24"/>
        </w:rPr>
        <w:t>“</w:t>
      </w:r>
      <w:r w:rsidR="00EF5DAE" w:rsidRPr="00EF5DAE">
        <w:rPr>
          <w:rFonts w:eastAsia="Palatino Linotype" w:cs="Palatino Linotype"/>
          <w:b/>
          <w:color w:val="000000"/>
          <w:szCs w:val="24"/>
        </w:rPr>
        <w:t>informe justificado SOL_212_RR_4455.pdf</w:t>
      </w:r>
      <w:r w:rsidRPr="006F65AC">
        <w:rPr>
          <w:rFonts w:eastAsia="Palatino Linotype" w:cs="Palatino Linotype"/>
          <w:b/>
          <w:bCs/>
          <w:color w:val="000000"/>
          <w:szCs w:val="24"/>
        </w:rPr>
        <w:t>”</w:t>
      </w:r>
      <w:r w:rsidR="002806D1">
        <w:rPr>
          <w:rFonts w:eastAsia="Palatino Linotype" w:cs="Palatino Linotype"/>
          <w:color w:val="000000"/>
          <w:szCs w:val="24"/>
        </w:rPr>
        <w:t xml:space="preserve">, </w:t>
      </w:r>
      <w:r w:rsidR="007E4E23">
        <w:rPr>
          <w:rFonts w:eastAsia="Palatino Linotype" w:cs="Palatino Linotype"/>
          <w:color w:val="000000"/>
          <w:szCs w:val="24"/>
        </w:rPr>
        <w:t>el cual</w:t>
      </w:r>
      <w:r w:rsidRPr="000719E4">
        <w:rPr>
          <w:rFonts w:eastAsia="Palatino Linotype" w:cs="Palatino Linotype"/>
          <w:color w:val="000000"/>
          <w:szCs w:val="24"/>
        </w:rPr>
        <w:t xml:space="preserve"> </w:t>
      </w:r>
      <w:r w:rsidRPr="006F65AC">
        <w:rPr>
          <w:rFonts w:eastAsia="Palatino Linotype" w:cs="Palatino Linotype"/>
          <w:color w:val="000000"/>
          <w:szCs w:val="24"/>
        </w:rPr>
        <w:t>fue</w:t>
      </w:r>
      <w:r w:rsidR="007E4E23">
        <w:rPr>
          <w:rFonts w:eastAsia="Palatino Linotype" w:cs="Palatino Linotype"/>
          <w:color w:val="000000"/>
          <w:szCs w:val="24"/>
        </w:rPr>
        <w:t xml:space="preserve"> </w:t>
      </w:r>
      <w:r w:rsidRPr="006F65AC">
        <w:rPr>
          <w:rFonts w:eastAsia="Palatino Linotype" w:cs="Palatino Linotype"/>
          <w:color w:val="000000"/>
          <w:szCs w:val="24"/>
        </w:rPr>
        <w:t>puesto a la vista del</w:t>
      </w:r>
      <w:r w:rsidRPr="000719E4">
        <w:rPr>
          <w:rFonts w:eastAsia="Palatino Linotype" w:cs="Palatino Linotype"/>
          <w:color w:val="000000"/>
          <w:szCs w:val="24"/>
        </w:rPr>
        <w:t xml:space="preserve"> </w:t>
      </w:r>
      <w:r w:rsidRPr="006F65AC">
        <w:rPr>
          <w:rFonts w:eastAsia="Palatino Linotype" w:cs="Palatino Linotype"/>
          <w:color w:val="000000"/>
          <w:szCs w:val="24"/>
        </w:rPr>
        <w:t>Recurrente mediante acuerdo de fecha</w:t>
      </w:r>
      <w:r w:rsidR="00C77CBD">
        <w:rPr>
          <w:rFonts w:eastAsia="Palatino Linotype" w:cs="Palatino Linotype"/>
          <w:color w:val="000000"/>
          <w:szCs w:val="24"/>
        </w:rPr>
        <w:t xml:space="preserve"> </w:t>
      </w:r>
      <w:r w:rsidR="007E4E23">
        <w:rPr>
          <w:rFonts w:eastAsia="Palatino Linotype" w:cs="Palatino Linotype"/>
          <w:color w:val="000000"/>
          <w:szCs w:val="24"/>
        </w:rPr>
        <w:t xml:space="preserve">veinticinco de agosto </w:t>
      </w:r>
      <w:r w:rsidR="00C77CBD">
        <w:rPr>
          <w:rFonts w:eastAsia="Palatino Linotype" w:cs="Palatino Linotype"/>
          <w:color w:val="000000"/>
          <w:szCs w:val="24"/>
        </w:rPr>
        <w:t>del año en curso</w:t>
      </w:r>
      <w:r w:rsidRPr="006F65AC">
        <w:rPr>
          <w:rFonts w:eastAsia="Palatino Linotype" w:cs="Palatino Linotype"/>
          <w:color w:val="000000"/>
          <w:szCs w:val="24"/>
        </w:rPr>
        <w:t>, en términos de la fracción III del artículo 185 de la Ley de Transparencia y Acceso a la Información Pública del Estado de México y Municipios, otorgando al</w:t>
      </w:r>
      <w:r w:rsidRPr="000719E4">
        <w:rPr>
          <w:rFonts w:eastAsia="Palatino Linotype" w:cs="Palatino Linotype"/>
          <w:color w:val="000000"/>
          <w:szCs w:val="24"/>
        </w:rPr>
        <w:t xml:space="preserve"> </w:t>
      </w:r>
      <w:r w:rsidRPr="006F65AC">
        <w:rPr>
          <w:rFonts w:eastAsia="Palatino Linotype" w:cs="Palatino Linotype"/>
          <w:color w:val="000000"/>
          <w:szCs w:val="24"/>
        </w:rPr>
        <w:t>particular un término de tres días para manifestar lo que a</w:t>
      </w:r>
      <w:r w:rsidR="009849E0">
        <w:rPr>
          <w:rFonts w:eastAsia="Palatino Linotype" w:cs="Palatino Linotype"/>
          <w:color w:val="000000"/>
          <w:szCs w:val="24"/>
        </w:rPr>
        <w:t xml:space="preserve"> su derecho conviniera. Por su</w:t>
      </w:r>
      <w:r w:rsidRPr="006F65AC">
        <w:rPr>
          <w:rFonts w:eastAsia="Palatino Linotype" w:cs="Palatino Linotype"/>
          <w:color w:val="000000"/>
          <w:szCs w:val="24"/>
        </w:rPr>
        <w:t xml:space="preserve"> parte, </w:t>
      </w:r>
      <w:r w:rsidR="009849E0">
        <w:rPr>
          <w:rFonts w:eastAsia="Palatino Linotype" w:cs="Palatino Linotype"/>
          <w:color w:val="000000"/>
          <w:szCs w:val="24"/>
        </w:rPr>
        <w:t xml:space="preserve">el Recurrente </w:t>
      </w:r>
      <w:r w:rsidR="002806D1">
        <w:rPr>
          <w:rFonts w:eastAsia="Palatino Linotype" w:cs="Palatino Linotype"/>
          <w:color w:val="000000"/>
          <w:szCs w:val="24"/>
        </w:rPr>
        <w:t xml:space="preserve">no realizó manifestaciones, vertió alegatos ni presentó pruebas que </w:t>
      </w:r>
      <w:r w:rsidR="002806D1">
        <w:rPr>
          <w:rFonts w:eastAsia="Palatino Linotype" w:cs="Palatino Linotype"/>
          <w:color w:val="000000"/>
          <w:szCs w:val="24"/>
        </w:rPr>
        <w:lastRenderedPageBreak/>
        <w:t xml:space="preserve">a su derecho convinieran. </w:t>
      </w:r>
      <w:r w:rsidR="009849E0">
        <w:rPr>
          <w:rFonts w:eastAsia="Palatino Linotype" w:cs="Palatino Linotype"/>
          <w:color w:val="000000"/>
          <w:szCs w:val="24"/>
        </w:rPr>
        <w:t>El contenido de ambos documentos será analizado en el estudio correspondiente.</w:t>
      </w:r>
    </w:p>
    <w:p w14:paraId="5B536618" w14:textId="7ED50870" w:rsidR="00C02596" w:rsidRDefault="00C02596" w:rsidP="006922F5">
      <w:pPr>
        <w:pBdr>
          <w:top w:val="nil"/>
          <w:left w:val="nil"/>
          <w:bottom w:val="nil"/>
          <w:right w:val="nil"/>
          <w:between w:val="nil"/>
        </w:pBdr>
        <w:contextualSpacing/>
        <w:rPr>
          <w:rFonts w:eastAsia="Palatino Linotype" w:cs="Palatino Linotype"/>
          <w:color w:val="000000"/>
          <w:szCs w:val="24"/>
        </w:rPr>
      </w:pPr>
    </w:p>
    <w:p w14:paraId="01332637" w14:textId="61C4A372" w:rsidR="00123A80" w:rsidRPr="006922F5" w:rsidRDefault="00123A80" w:rsidP="00123A80">
      <w:pPr>
        <w:pStyle w:val="Ttulo2"/>
        <w:rPr>
          <w:rFonts w:eastAsiaTheme="minorHAnsi"/>
          <w:lang w:eastAsia="en-US"/>
        </w:rPr>
      </w:pPr>
      <w:r>
        <w:rPr>
          <w:rFonts w:eastAsiaTheme="minorHAnsi"/>
          <w:lang w:eastAsia="en-US"/>
        </w:rPr>
        <w:t>SEXTO</w:t>
      </w:r>
      <w:r w:rsidRPr="006922F5">
        <w:rPr>
          <w:rFonts w:eastAsiaTheme="minorHAnsi"/>
          <w:lang w:eastAsia="en-US"/>
        </w:rPr>
        <w:t xml:space="preserve">. </w:t>
      </w:r>
      <w:r w:rsidRPr="006922F5">
        <w:rPr>
          <w:rFonts w:eastAsia="Palatino Linotype"/>
        </w:rPr>
        <w:t>Del cierre de instrucción.</w:t>
      </w:r>
    </w:p>
    <w:p w14:paraId="224DAA2E" w14:textId="4B3A9FA9" w:rsidR="00123A80" w:rsidRPr="006922F5" w:rsidRDefault="00123A80" w:rsidP="00123A80">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U</w:t>
      </w:r>
      <w:r w:rsidRPr="006922F5">
        <w:rPr>
          <w:rFonts w:eastAsia="Palatino Linotype" w:cs="Palatino Linotype"/>
          <w:color w:val="000000"/>
          <w:szCs w:val="24"/>
        </w:rPr>
        <w:t>na vez transcurrido el término legal, se decretó el cierre de instrucción en fecha</w:t>
      </w:r>
      <w:r>
        <w:rPr>
          <w:rFonts w:eastAsia="Palatino Linotype" w:cs="Palatino Linotype"/>
          <w:color w:val="000000"/>
          <w:szCs w:val="24"/>
        </w:rPr>
        <w:t xml:space="preserve"> </w:t>
      </w:r>
      <w:r w:rsidR="007E4E23">
        <w:rPr>
          <w:rFonts w:eastAsiaTheme="minorHAnsi" w:cstheme="minorBidi"/>
          <w:szCs w:val="24"/>
          <w:lang w:eastAsia="en-US"/>
        </w:rPr>
        <w:t xml:space="preserve">treinta y uno de agosto </w:t>
      </w:r>
      <w:r>
        <w:rPr>
          <w:rFonts w:eastAsia="Palatino Linotype" w:cs="Palatino Linotype"/>
          <w:color w:val="000000"/>
          <w:szCs w:val="24"/>
        </w:rPr>
        <w:t>de dos mil veintitrés</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6F1484AF" w14:textId="77777777" w:rsidR="00123A80" w:rsidRPr="006922F5" w:rsidRDefault="00123A80" w:rsidP="006922F5">
      <w:pPr>
        <w:pBdr>
          <w:top w:val="nil"/>
          <w:left w:val="nil"/>
          <w:bottom w:val="nil"/>
          <w:right w:val="nil"/>
          <w:between w:val="nil"/>
        </w:pBdr>
        <w:contextualSpacing/>
        <w:rPr>
          <w:rFonts w:eastAsia="Palatino Linotype" w:cs="Palatino Linotype"/>
          <w:color w:val="000000"/>
          <w:szCs w:val="24"/>
        </w:rPr>
      </w:pPr>
    </w:p>
    <w:p w14:paraId="65310342" w14:textId="0A51F6E5" w:rsidR="00A970D5" w:rsidRPr="006922F5" w:rsidRDefault="00E27953" w:rsidP="006922F5">
      <w:pPr>
        <w:pStyle w:val="Ttulo2"/>
        <w:rPr>
          <w:rFonts w:eastAsia="Palatino Linotype"/>
        </w:rPr>
      </w:pPr>
      <w:r w:rsidRPr="006922F5">
        <w:rPr>
          <w:rFonts w:eastAsia="Palatino Linotype"/>
        </w:rPr>
        <w:t>S</w:t>
      </w:r>
      <w:r w:rsidR="00123A80">
        <w:rPr>
          <w:rFonts w:eastAsia="Palatino Linotype"/>
        </w:rPr>
        <w:t>ÉPTIMO</w:t>
      </w:r>
      <w:r w:rsidR="00A970D5" w:rsidRPr="006922F5">
        <w:rPr>
          <w:rFonts w:eastAsia="Palatino Linotype"/>
        </w:rPr>
        <w:t xml:space="preserve">. </w:t>
      </w:r>
      <w:r w:rsidR="006967F6" w:rsidRPr="006922F5">
        <w:rPr>
          <w:rFonts w:eastAsiaTheme="minorHAnsi"/>
          <w:lang w:eastAsia="en-US"/>
        </w:rPr>
        <w:t>De la ampliación del término para resolver.</w:t>
      </w:r>
    </w:p>
    <w:p w14:paraId="1A8CFDFD" w14:textId="3212956E" w:rsidR="007E4E23" w:rsidRPr="004926E7" w:rsidRDefault="007E4E23" w:rsidP="007E4E23">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En fecha </w:t>
      </w:r>
      <w:r>
        <w:rPr>
          <w:rFonts w:eastAsiaTheme="minorHAnsi" w:cstheme="minorBidi"/>
          <w:szCs w:val="24"/>
          <w:lang w:eastAsia="en-US"/>
        </w:rPr>
        <w:t xml:space="preserve">veintiséis de septiembre </w:t>
      </w:r>
      <w:r w:rsidRPr="004926E7">
        <w:rPr>
          <w:rFonts w:eastAsiaTheme="minorHAnsi" w:cstheme="minorBidi"/>
          <w:szCs w:val="24"/>
          <w:lang w:eastAsia="en-US"/>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662DF91" w14:textId="77777777" w:rsidR="007E4E23" w:rsidRPr="006922F5" w:rsidRDefault="007E4E23" w:rsidP="007E4E23">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1C8E14B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123A80">
        <w:rPr>
          <w:rFonts w:eastAsia="Palatino Linotype" w:cs="Palatino Linotype"/>
          <w:color w:val="000000"/>
          <w:szCs w:val="24"/>
        </w:rPr>
        <w:t>tercero</w:t>
      </w:r>
      <w:r w:rsidRPr="006922F5">
        <w:rPr>
          <w:rFonts w:eastAsia="Palatino Linotype" w:cs="Palatino Linotype"/>
          <w:color w:val="000000"/>
          <w:szCs w:val="24"/>
        </w:rPr>
        <w:t xml:space="preserve"> y trigésimo </w:t>
      </w:r>
      <w:r w:rsidR="00123A80">
        <w:rPr>
          <w:rFonts w:eastAsia="Palatino Linotype" w:cs="Palatino Linotype"/>
          <w:color w:val="000000"/>
          <w:szCs w:val="24"/>
        </w:rPr>
        <w:t>cuarto</w:t>
      </w:r>
      <w:r w:rsidRPr="006922F5">
        <w:rPr>
          <w:rFonts w:eastAsia="Palatino Linotype" w:cs="Palatino Linotype"/>
          <w:color w:val="000000"/>
          <w:szCs w:val="24"/>
        </w:rPr>
        <w:t xml:space="preserve">, fracciones IV y V, de la Constitución </w:t>
      </w:r>
      <w:r w:rsidRPr="006922F5">
        <w:rPr>
          <w:rFonts w:eastAsia="Palatino Linotype" w:cs="Palatino Linotype"/>
          <w:color w:val="000000"/>
          <w:szCs w:val="24"/>
        </w:rPr>
        <w:lastRenderedPageBreak/>
        <w:t>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Pr="006967F6" w:rsidRDefault="0031280C" w:rsidP="006922F5">
      <w:pPr>
        <w:pBdr>
          <w:top w:val="nil"/>
          <w:left w:val="nil"/>
          <w:bottom w:val="nil"/>
          <w:right w:val="nil"/>
          <w:between w:val="nil"/>
        </w:pBdr>
        <w:contextualSpacing/>
        <w:rPr>
          <w:rFonts w:eastAsia="Palatino Linotype" w:cs="Palatino Linotype"/>
          <w:color w:val="000000"/>
          <w:szCs w:val="24"/>
        </w:rPr>
      </w:pPr>
    </w:p>
    <w:p w14:paraId="24F8407A" w14:textId="77777777" w:rsidR="006967F6" w:rsidRPr="006967F6" w:rsidRDefault="006967F6" w:rsidP="006967F6">
      <w:pPr>
        <w:pStyle w:val="Ttulo2"/>
        <w:rPr>
          <w:rFonts w:eastAsia="Palatino Linotype"/>
        </w:rPr>
      </w:pPr>
      <w:r w:rsidRPr="006967F6">
        <w:rPr>
          <w:rFonts w:eastAsia="Palatino Linotype"/>
        </w:rPr>
        <w:t>TERCERO. Cuestiones de previo y especial pronunciamiento.</w:t>
      </w:r>
    </w:p>
    <w:p w14:paraId="62CE47A2" w14:textId="77777777" w:rsidR="006967F6" w:rsidRPr="006967F6" w:rsidRDefault="006967F6" w:rsidP="006967F6">
      <w:pPr>
        <w:rPr>
          <w:rFonts w:eastAsia="Palatino Linotype" w:cs="Palatino Linotype"/>
          <w:szCs w:val="24"/>
        </w:rPr>
      </w:pPr>
      <w:r w:rsidRPr="006967F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1E9EFE5A" w14:textId="77777777" w:rsidR="006967F6" w:rsidRPr="006967F6" w:rsidRDefault="006967F6" w:rsidP="006967F6">
      <w:pPr>
        <w:rPr>
          <w:rFonts w:eastAsia="Palatino Linotype" w:cs="Palatino Linotype"/>
          <w:szCs w:val="24"/>
        </w:rPr>
      </w:pPr>
    </w:p>
    <w:p w14:paraId="549076C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 xml:space="preserve">Artículo 180. </w:t>
      </w:r>
      <w:r w:rsidRPr="006967F6">
        <w:rPr>
          <w:rFonts w:eastAsia="Palatino Linotype" w:cs="Palatino Linotype"/>
          <w:i/>
          <w:sz w:val="22"/>
        </w:rPr>
        <w:t>El recurso de revisión contendrá:</w:t>
      </w:r>
    </w:p>
    <w:p w14:paraId="4529469F"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 El sujeto obligado ante la cual se presentó la solicitud;</w:t>
      </w:r>
    </w:p>
    <w:p w14:paraId="5B87208B"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II. El nombre del solicitante que recurre</w:t>
      </w:r>
      <w:r w:rsidRPr="006967F6">
        <w:rPr>
          <w:rFonts w:eastAsia="Palatino Linotype" w:cs="Palatino Linotype"/>
          <w:i/>
          <w:sz w:val="22"/>
        </w:rPr>
        <w:t xml:space="preserve"> o de su representante y, en su caso, del tercero interesado, así como la dirección o medio que señale para recibir notificaciones;</w:t>
      </w:r>
    </w:p>
    <w:p w14:paraId="69F86C1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lastRenderedPageBreak/>
        <w:t>III. El número de folio de respuesta de la solicitud de acceso;</w:t>
      </w:r>
    </w:p>
    <w:p w14:paraId="7A57379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IV. La fecha en que fue notificada la respuesta al solicitante o tuvo conocimiento del acto reclamado, o de presentación de la solicitud, en caso de falta de respuesta;</w:t>
      </w:r>
    </w:p>
    <w:p w14:paraId="7EFBC2F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 El acto que se recurre;</w:t>
      </w:r>
    </w:p>
    <w:p w14:paraId="1B7453E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 Las razones o motivos de inconformidad;</w:t>
      </w:r>
    </w:p>
    <w:p w14:paraId="58C49A37"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VII. La copia de la respuesta que se impugna y, en su caso, de la notificación correspondiente, en el caso de respuesta de la solicitud; y</w:t>
      </w:r>
    </w:p>
    <w:p w14:paraId="095D182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VIII. Firma del recurrente, en su caso, cuando se presente por escrito, requisito sin el cual se dará trámite al recurso.</w:t>
      </w:r>
    </w:p>
    <w:p w14:paraId="53739642" w14:textId="77777777" w:rsidR="006967F6" w:rsidRPr="006967F6" w:rsidRDefault="006967F6" w:rsidP="006967F6">
      <w:pPr>
        <w:spacing w:line="240" w:lineRule="auto"/>
        <w:ind w:left="567" w:right="567"/>
        <w:rPr>
          <w:rFonts w:eastAsia="Palatino Linotype" w:cs="Palatino Linotype"/>
          <w:i/>
          <w:sz w:val="22"/>
        </w:rPr>
      </w:pPr>
    </w:p>
    <w:p w14:paraId="14584DE0"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Adicionalmente, se podrán anexar las pruebas y demás elementos que considere procedentes someter a juicio del Instituto.</w:t>
      </w:r>
    </w:p>
    <w:p w14:paraId="1AB0536F" w14:textId="77777777" w:rsidR="006967F6" w:rsidRPr="006967F6" w:rsidRDefault="006967F6" w:rsidP="006967F6">
      <w:pPr>
        <w:spacing w:line="240" w:lineRule="auto"/>
        <w:ind w:left="567" w:right="567"/>
        <w:rPr>
          <w:rFonts w:eastAsia="Palatino Linotype" w:cs="Palatino Linotype"/>
          <w:i/>
          <w:sz w:val="22"/>
        </w:rPr>
      </w:pPr>
    </w:p>
    <w:p w14:paraId="797D809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En ningún caso será necesario que el particular ratifique el recurso de revisión interpuesto.</w:t>
      </w:r>
    </w:p>
    <w:p w14:paraId="5EBC2F8C" w14:textId="77777777" w:rsidR="006967F6" w:rsidRPr="006967F6" w:rsidRDefault="006967F6" w:rsidP="006967F6">
      <w:pPr>
        <w:spacing w:line="240" w:lineRule="auto"/>
        <w:ind w:left="567" w:right="567"/>
        <w:rPr>
          <w:rFonts w:eastAsia="Palatino Linotype" w:cs="Palatino Linotype"/>
          <w:i/>
          <w:sz w:val="22"/>
        </w:rPr>
      </w:pPr>
    </w:p>
    <w:p w14:paraId="7478FB5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En caso de que el recurso se interponga de manera electrónica no será indispensable que contengan los requisitos establecidos en las fracciones II</w:t>
      </w:r>
      <w:r w:rsidRPr="006967F6">
        <w:rPr>
          <w:rFonts w:eastAsia="Palatino Linotype" w:cs="Palatino Linotype"/>
          <w:i/>
          <w:sz w:val="22"/>
        </w:rPr>
        <w:t>, IV, VII y VIII.</w:t>
      </w:r>
    </w:p>
    <w:p w14:paraId="604EADD0" w14:textId="77777777" w:rsidR="006967F6" w:rsidRPr="006967F6" w:rsidRDefault="006967F6" w:rsidP="006967F6">
      <w:pPr>
        <w:rPr>
          <w:rFonts w:eastAsia="Palatino Linotype" w:cs="Palatino Linotype"/>
          <w:b/>
          <w:i/>
          <w:szCs w:val="24"/>
        </w:rPr>
      </w:pPr>
    </w:p>
    <w:p w14:paraId="456EFEC5" w14:textId="065072A7" w:rsidR="006967F6" w:rsidRPr="006967F6" w:rsidRDefault="006967F6" w:rsidP="006967F6">
      <w:pPr>
        <w:rPr>
          <w:rFonts w:eastAsia="Palatino Linotype" w:cs="Palatino Linotype"/>
          <w:szCs w:val="24"/>
        </w:rPr>
      </w:pPr>
      <w:r w:rsidRPr="006967F6">
        <w:rPr>
          <w:rFonts w:eastAsia="Palatino Linotype" w:cs="Palatino Linotype"/>
          <w:szCs w:val="24"/>
        </w:rPr>
        <w:t xml:space="preserve">Cabe señalar </w:t>
      </w:r>
      <w:r>
        <w:rPr>
          <w:rFonts w:eastAsia="Palatino Linotype" w:cs="Palatino Linotype"/>
          <w:szCs w:val="24"/>
        </w:rPr>
        <w:t>que el hoy Recurrente</w:t>
      </w:r>
      <w:r w:rsidRPr="006967F6">
        <w:rPr>
          <w:rFonts w:eastAsia="Palatino Linotype" w:cs="Palatino Linotype"/>
          <w:szCs w:val="24"/>
        </w:rPr>
        <w:t xml:space="preserve"> se identificó</w:t>
      </w:r>
      <w:r>
        <w:rPr>
          <w:rFonts w:eastAsia="Palatino Linotype" w:cs="Palatino Linotype"/>
          <w:szCs w:val="24"/>
        </w:rPr>
        <w:t xml:space="preserve"> como </w:t>
      </w:r>
      <w:r w:rsidR="00B94164">
        <w:rPr>
          <w:rFonts w:eastAsia="Palatino Linotype" w:cs="Palatino Linotype"/>
          <w:b/>
          <w:szCs w:val="24"/>
        </w:rPr>
        <w:t>“XXXXXXXXXX</w:t>
      </w:r>
      <w:bookmarkStart w:id="0" w:name="_GoBack"/>
      <w:bookmarkEnd w:id="0"/>
      <w:r w:rsidRPr="006967F6">
        <w:rPr>
          <w:rFonts w:eastAsia="Palatino Linotype" w:cs="Palatino Linotype"/>
          <w:b/>
          <w:szCs w:val="24"/>
        </w:rPr>
        <w:t>”.</w:t>
      </w:r>
      <w:r w:rsidRPr="006967F6">
        <w:rPr>
          <w:rFonts w:eastAsia="Palatino Linotype" w:cs="Palatino Linotype"/>
          <w:szCs w:val="24"/>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E30AF38" w14:textId="77777777" w:rsidR="006967F6" w:rsidRPr="006967F6" w:rsidRDefault="006967F6" w:rsidP="006967F6">
      <w:pPr>
        <w:rPr>
          <w:rFonts w:eastAsia="Palatino Linotype" w:cs="Palatino Linotype"/>
          <w:szCs w:val="24"/>
        </w:rPr>
      </w:pPr>
    </w:p>
    <w:p w14:paraId="3CBEE78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155.</w:t>
      </w:r>
      <w:r w:rsidRPr="006967F6">
        <w:rPr>
          <w:rFonts w:eastAsia="Palatino Linotype" w:cs="Palatino Linotype"/>
          <w:i/>
          <w:sz w:val="22"/>
        </w:rPr>
        <w:t xml:space="preserve"> (…)</w:t>
      </w:r>
    </w:p>
    <w:p w14:paraId="02C46336" w14:textId="77777777" w:rsidR="006967F6" w:rsidRPr="006967F6" w:rsidRDefault="006967F6" w:rsidP="006967F6">
      <w:pPr>
        <w:spacing w:line="240" w:lineRule="auto"/>
        <w:ind w:left="567" w:right="567"/>
        <w:rPr>
          <w:rFonts w:eastAsia="Palatino Linotype" w:cs="Palatino Linotype"/>
          <w:i/>
          <w:sz w:val="22"/>
        </w:rPr>
      </w:pPr>
    </w:p>
    <w:p w14:paraId="431EC13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DE665F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5AE1CA08" w14:textId="77777777" w:rsidR="006967F6" w:rsidRPr="006967F6" w:rsidRDefault="006967F6" w:rsidP="006967F6">
      <w:pPr>
        <w:rPr>
          <w:rFonts w:eastAsia="Palatino Linotype" w:cs="Palatino Linotype"/>
          <w:szCs w:val="24"/>
        </w:rPr>
      </w:pPr>
    </w:p>
    <w:p w14:paraId="23107BEF" w14:textId="77777777" w:rsidR="006967F6" w:rsidRPr="006967F6" w:rsidRDefault="006967F6" w:rsidP="006967F6">
      <w:pPr>
        <w:rPr>
          <w:rFonts w:eastAsia="Palatino Linotype" w:cs="Palatino Linotype"/>
          <w:szCs w:val="24"/>
        </w:rPr>
      </w:pPr>
      <w:r w:rsidRPr="006967F6">
        <w:rPr>
          <w:rFonts w:eastAsia="Palatino Linotype" w:cs="Palatino Linotype"/>
          <w:szCs w:val="24"/>
        </w:rPr>
        <w:t xml:space="preserve">Robusteciendo lo anterior se encuentra lo dispuesto en los artículos 6, Apartado A, fracciones III y IV de la Constitución Política de los Estados Unidos Mexicanos y 5 </w:t>
      </w:r>
      <w:r w:rsidRPr="006967F6">
        <w:rPr>
          <w:rFonts w:eastAsia="Palatino Linotype" w:cs="Palatino Linotype"/>
          <w:szCs w:val="24"/>
        </w:rPr>
        <w:lastRenderedPageBreak/>
        <w:t>párrafos vigésimo, vigésimo primero y vigésimo segundo, de la Constitución Política del Estado Libre y Soberano de México, se establece lo siguiente:</w:t>
      </w:r>
    </w:p>
    <w:p w14:paraId="4A6F504C" w14:textId="77777777" w:rsidR="006967F6" w:rsidRPr="006967F6" w:rsidRDefault="006967F6" w:rsidP="006967F6">
      <w:pPr>
        <w:rPr>
          <w:rFonts w:eastAsia="Palatino Linotype" w:cs="Palatino Linotype"/>
          <w:szCs w:val="24"/>
        </w:rPr>
      </w:pPr>
    </w:p>
    <w:p w14:paraId="2B685099" w14:textId="77777777" w:rsidR="006967F6" w:rsidRPr="006967F6" w:rsidRDefault="006967F6" w:rsidP="006967F6">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 los Estados Unidos Mexicanos</w:t>
      </w:r>
    </w:p>
    <w:p w14:paraId="5BE8C10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6</w:t>
      </w:r>
      <w:proofErr w:type="gramStart"/>
      <w:r w:rsidRPr="006967F6">
        <w:rPr>
          <w:rFonts w:eastAsia="Palatino Linotype" w:cs="Palatino Linotype"/>
          <w:i/>
          <w:sz w:val="22"/>
        </w:rPr>
        <w:t>°.-</w:t>
      </w:r>
      <w:proofErr w:type="gramEnd"/>
      <w:r w:rsidRPr="006967F6">
        <w:rPr>
          <w:rFonts w:eastAsia="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B41A29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7006BF5C"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Para efectos de lo dispuesto en el presente artículo se observará lo siguiente: </w:t>
      </w:r>
    </w:p>
    <w:p w14:paraId="4DE8241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DBD169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3A196ED6"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CBDCD7F"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18818576" w14:textId="77777777" w:rsidR="006967F6" w:rsidRPr="006967F6" w:rsidRDefault="006967F6" w:rsidP="006967F6">
      <w:pPr>
        <w:spacing w:line="240" w:lineRule="auto"/>
        <w:ind w:left="567" w:right="567"/>
        <w:rPr>
          <w:rFonts w:eastAsia="Palatino Linotype" w:cs="Palatino Linotype"/>
          <w:i/>
          <w:sz w:val="22"/>
        </w:rPr>
      </w:pPr>
    </w:p>
    <w:p w14:paraId="3BE9D151" w14:textId="77777777" w:rsidR="006967F6" w:rsidRPr="006967F6" w:rsidRDefault="006967F6" w:rsidP="006967F6">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del Estado Libre y Soberano de México</w:t>
      </w:r>
    </w:p>
    <w:p w14:paraId="140FD4EA"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5</w:t>
      </w:r>
      <w:r w:rsidRPr="006967F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67C93C"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2E9FCD6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4398A52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5204280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48149A0" w14:textId="77777777" w:rsidR="006967F6" w:rsidRPr="006967F6" w:rsidRDefault="006967F6" w:rsidP="006967F6">
      <w:pPr>
        <w:spacing w:line="240" w:lineRule="auto"/>
        <w:ind w:left="567" w:right="567"/>
        <w:rPr>
          <w:rFonts w:eastAsia="Palatino Linotype" w:cs="Palatino Linotype"/>
          <w:i/>
          <w:sz w:val="22"/>
        </w:rPr>
      </w:pPr>
    </w:p>
    <w:p w14:paraId="6EF23CD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E15DDE6" w14:textId="77777777" w:rsidR="006967F6" w:rsidRPr="006967F6" w:rsidRDefault="006967F6" w:rsidP="006967F6">
      <w:pPr>
        <w:spacing w:line="240" w:lineRule="auto"/>
        <w:ind w:left="567" w:right="567"/>
        <w:rPr>
          <w:rFonts w:eastAsia="Palatino Linotype" w:cs="Palatino Linotype"/>
          <w:i/>
          <w:sz w:val="22"/>
        </w:rPr>
      </w:pPr>
    </w:p>
    <w:p w14:paraId="07EEA4E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Este derecho se regirá por los principios y bases siguientes:</w:t>
      </w:r>
    </w:p>
    <w:p w14:paraId="69385441"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31053FD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III.</w:t>
      </w:r>
      <w:r w:rsidRPr="006967F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317003F6"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IV.</w:t>
      </w:r>
      <w:r w:rsidRPr="006967F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154C5D1"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1C35A76A"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VIII.</w:t>
      </w:r>
      <w:r w:rsidRPr="006967F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16441BB"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0E3A93EE" w14:textId="77777777" w:rsidR="006967F6" w:rsidRPr="006967F6" w:rsidRDefault="006967F6" w:rsidP="006967F6">
      <w:pPr>
        <w:ind w:left="567" w:right="567"/>
        <w:rPr>
          <w:rFonts w:eastAsia="Palatino Linotype" w:cs="Palatino Linotype"/>
          <w:szCs w:val="24"/>
        </w:rPr>
      </w:pPr>
    </w:p>
    <w:p w14:paraId="7849C1A3" w14:textId="77777777" w:rsidR="006967F6" w:rsidRPr="006967F6" w:rsidRDefault="006967F6" w:rsidP="006967F6">
      <w:pPr>
        <w:rPr>
          <w:rFonts w:eastAsia="Palatino Linotype" w:cs="Palatino Linotype"/>
          <w:szCs w:val="24"/>
        </w:rPr>
      </w:pPr>
      <w:r w:rsidRPr="006967F6">
        <w:rPr>
          <w:rFonts w:eastAsia="Palatino Linotype" w:cs="Palatino Linotype"/>
          <w:szCs w:val="24"/>
        </w:rPr>
        <w:t>Por otra parte, del contenido del artículo 1 de la Constitución Política de los Estados Unidos Mexicanos, se destaca lo siguiente:</w:t>
      </w:r>
    </w:p>
    <w:p w14:paraId="4096828D" w14:textId="77777777" w:rsidR="006967F6" w:rsidRPr="006967F6" w:rsidRDefault="006967F6" w:rsidP="006967F6">
      <w:pPr>
        <w:spacing w:line="240" w:lineRule="auto"/>
        <w:ind w:left="567" w:right="567"/>
        <w:rPr>
          <w:rFonts w:eastAsia="Palatino Linotype" w:cs="Palatino Linotype"/>
          <w:szCs w:val="24"/>
        </w:rPr>
      </w:pPr>
    </w:p>
    <w:p w14:paraId="691B2A4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1o</w:t>
      </w:r>
      <w:r w:rsidRPr="006967F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318B1B" w14:textId="77777777" w:rsidR="006967F6" w:rsidRPr="006967F6" w:rsidRDefault="006967F6" w:rsidP="006967F6">
      <w:pPr>
        <w:spacing w:line="240" w:lineRule="auto"/>
        <w:ind w:left="567" w:right="567"/>
        <w:rPr>
          <w:rFonts w:eastAsia="Palatino Linotype" w:cs="Palatino Linotype"/>
          <w:i/>
          <w:sz w:val="22"/>
        </w:rPr>
      </w:pPr>
    </w:p>
    <w:p w14:paraId="51B2762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66CA7B7" w14:textId="77777777" w:rsidR="006967F6" w:rsidRPr="006967F6" w:rsidRDefault="006967F6" w:rsidP="006967F6">
      <w:pPr>
        <w:spacing w:line="240" w:lineRule="auto"/>
        <w:ind w:left="567" w:right="567"/>
        <w:rPr>
          <w:rFonts w:eastAsia="Palatino Linotype" w:cs="Palatino Linotype"/>
          <w:i/>
          <w:sz w:val="22"/>
        </w:rPr>
      </w:pPr>
    </w:p>
    <w:p w14:paraId="516AEBA0"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w:t>
      </w:r>
      <w:r w:rsidRPr="006967F6">
        <w:rPr>
          <w:rFonts w:eastAsia="Palatino Linotype" w:cs="Palatino Linotype"/>
          <w:i/>
          <w:sz w:val="22"/>
        </w:rPr>
        <w:lastRenderedPageBreak/>
        <w:t>deberá prevenir, investigar, sancionar y reparar las violaciones a los derechos humanos, en los términos que establezca la ley.</w:t>
      </w:r>
    </w:p>
    <w:p w14:paraId="0DDE324B" w14:textId="77777777" w:rsidR="006967F6" w:rsidRPr="006967F6" w:rsidRDefault="006967F6" w:rsidP="006967F6">
      <w:pPr>
        <w:ind w:left="567" w:right="567"/>
        <w:rPr>
          <w:rFonts w:eastAsia="Palatino Linotype" w:cs="Palatino Linotype"/>
          <w:szCs w:val="24"/>
        </w:rPr>
      </w:pPr>
    </w:p>
    <w:p w14:paraId="203C2092" w14:textId="77777777" w:rsidR="006967F6" w:rsidRPr="006967F6" w:rsidRDefault="006967F6" w:rsidP="006967F6">
      <w:pPr>
        <w:rPr>
          <w:rFonts w:eastAsia="Palatino Linotype" w:cs="Palatino Linotype"/>
          <w:szCs w:val="24"/>
        </w:rPr>
      </w:pPr>
      <w:r w:rsidRPr="006967F6">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DBA32CB" w14:textId="77777777" w:rsidR="006967F6" w:rsidRPr="006967F6" w:rsidRDefault="006967F6" w:rsidP="006967F6">
      <w:pPr>
        <w:rPr>
          <w:rFonts w:eastAsia="Palatino Linotype" w:cs="Palatino Linotype"/>
          <w:szCs w:val="24"/>
        </w:rPr>
      </w:pPr>
    </w:p>
    <w:p w14:paraId="2B3B609A" w14:textId="77777777" w:rsidR="006967F6" w:rsidRPr="006967F6" w:rsidRDefault="006967F6" w:rsidP="006967F6">
      <w:pPr>
        <w:pBdr>
          <w:top w:val="nil"/>
          <w:left w:val="nil"/>
          <w:bottom w:val="nil"/>
          <w:right w:val="nil"/>
          <w:between w:val="nil"/>
        </w:pBdr>
        <w:rPr>
          <w:rFonts w:eastAsia="Palatino Linotype" w:cs="Palatino Linotype"/>
          <w:b/>
          <w:color w:val="000000"/>
          <w:szCs w:val="24"/>
        </w:rPr>
      </w:pPr>
      <w:r w:rsidRPr="006967F6">
        <w:rPr>
          <w:rFonts w:eastAsia="Palatino Linotype" w:cs="Palatino Linotype"/>
          <w:color w:val="000000"/>
          <w:szCs w:val="24"/>
        </w:rPr>
        <w:t xml:space="preserve">En conclusión, se cubrieron los requisitos de procedencia y </w:t>
      </w:r>
      <w:proofErr w:type="spellStart"/>
      <w:r w:rsidRPr="006967F6">
        <w:rPr>
          <w:rFonts w:eastAsia="Palatino Linotype" w:cs="Palatino Linotype"/>
          <w:color w:val="000000"/>
          <w:szCs w:val="24"/>
        </w:rPr>
        <w:t>procedibilidad</w:t>
      </w:r>
      <w:proofErr w:type="spellEnd"/>
      <w:r w:rsidRPr="006967F6">
        <w:rPr>
          <w:rFonts w:eastAsia="Palatino Linotype" w:cs="Palatino Linotype"/>
          <w:color w:val="000000"/>
          <w:szCs w:val="24"/>
        </w:rPr>
        <w:t>, conforme a las constancias que obran en el expediente.</w:t>
      </w:r>
    </w:p>
    <w:p w14:paraId="4B712C82" w14:textId="77777777" w:rsidR="006967F6" w:rsidRPr="006967F6" w:rsidRDefault="006967F6" w:rsidP="006922F5">
      <w:pPr>
        <w:pBdr>
          <w:top w:val="nil"/>
          <w:left w:val="nil"/>
          <w:bottom w:val="nil"/>
          <w:right w:val="nil"/>
          <w:between w:val="nil"/>
        </w:pBdr>
        <w:contextualSpacing/>
        <w:rPr>
          <w:rFonts w:eastAsia="Palatino Linotype" w:cs="Palatino Linotype"/>
          <w:color w:val="000000"/>
          <w:szCs w:val="24"/>
        </w:rPr>
      </w:pPr>
    </w:p>
    <w:p w14:paraId="13B28D16" w14:textId="388CD0FE" w:rsidR="006967F6" w:rsidRPr="006967F6" w:rsidRDefault="006967F6" w:rsidP="006967F6">
      <w:pPr>
        <w:pStyle w:val="Ttulo2"/>
        <w:rPr>
          <w:rFonts w:eastAsia="Palatino Linotype"/>
        </w:rPr>
      </w:pPr>
      <w:r>
        <w:rPr>
          <w:rFonts w:eastAsia="Palatino Linotype"/>
        </w:rPr>
        <w:t>CUARTO</w:t>
      </w:r>
      <w:r w:rsidR="00A970D5" w:rsidRPr="006922F5">
        <w:rPr>
          <w:rFonts w:eastAsia="Palatino Linotype"/>
        </w:rPr>
        <w:t>. De las causas de improcedencia.</w:t>
      </w:r>
    </w:p>
    <w:p w14:paraId="555D16DA"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FD1870">
        <w:rPr>
          <w:rFonts w:eastAsia="Palatino Linotype" w:cs="Palatino Linotype"/>
          <w:color w:val="000000"/>
          <w:szCs w:val="24"/>
        </w:rPr>
        <w:t>procedibilidad</w:t>
      </w:r>
      <w:proofErr w:type="spellEnd"/>
      <w:r w:rsidRPr="00FD1870">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428342"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p>
    <w:p w14:paraId="65B2618D"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 xml:space="preserve">Por lo anterior, es una facultad legal entrar al estudio de las causas de improcedencia que hagan valer las partes o que se adviertan de oficio por este </w:t>
      </w:r>
      <w:proofErr w:type="spellStart"/>
      <w:r w:rsidRPr="00FD1870">
        <w:rPr>
          <w:rFonts w:eastAsia="Palatino Linotype" w:cs="Palatino Linotype"/>
          <w:color w:val="000000"/>
          <w:szCs w:val="24"/>
        </w:rPr>
        <w:t>Resolutor</w:t>
      </w:r>
      <w:proofErr w:type="spellEnd"/>
      <w:r w:rsidRPr="00FD1870">
        <w:rPr>
          <w:rFonts w:eastAsia="Palatino Linotype" w:cs="Palatino Linotype"/>
          <w:color w:val="000000"/>
          <w:szCs w:val="24"/>
        </w:rPr>
        <w:t xml:space="preserve"> y por ende objeto de análisis previo al estudio de fondo del asunto; presupuestos procesales de inicio o </w:t>
      </w:r>
      <w:r w:rsidRPr="00FD1870">
        <w:rPr>
          <w:rFonts w:eastAsia="Palatino Linotype" w:cs="Palatino Linotype"/>
          <w:color w:val="000000"/>
          <w:szCs w:val="24"/>
        </w:rPr>
        <w:lastRenderedPageBreak/>
        <w:t>trámite de un proceso que dotan de seguridad jurídica las resoluciones, máxime que es una figura procesal adoptada en la ley de la materia</w:t>
      </w:r>
      <w:r w:rsidRPr="00FD1870">
        <w:rPr>
          <w:rFonts w:eastAsia="Palatino Linotype" w:cs="Palatino Linotype"/>
          <w:color w:val="000000"/>
          <w:szCs w:val="24"/>
          <w:vertAlign w:val="superscript"/>
        </w:rPr>
        <w:footnoteReference w:id="2"/>
      </w:r>
      <w:r w:rsidRPr="00FD1870">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075551B1"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p>
    <w:p w14:paraId="1E21B26C" w14:textId="11350076" w:rsidR="00A970D5"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95F72AE" w14:textId="77777777" w:rsidR="00B728EA" w:rsidRPr="006922F5" w:rsidRDefault="00B728EA" w:rsidP="00B728EA">
      <w:pPr>
        <w:pBdr>
          <w:top w:val="nil"/>
          <w:left w:val="nil"/>
          <w:bottom w:val="nil"/>
          <w:right w:val="nil"/>
          <w:between w:val="nil"/>
        </w:pBdr>
        <w:contextualSpacing/>
        <w:rPr>
          <w:rFonts w:eastAsia="Palatino Linotype" w:cs="Palatino Linotype"/>
          <w:color w:val="000000"/>
          <w:szCs w:val="24"/>
        </w:rPr>
      </w:pPr>
    </w:p>
    <w:p w14:paraId="0DC69ACD" w14:textId="5A561325" w:rsidR="00A970D5" w:rsidRPr="006922F5" w:rsidRDefault="006967F6" w:rsidP="006922F5">
      <w:pPr>
        <w:pStyle w:val="Ttulo2"/>
        <w:rPr>
          <w:rFonts w:eastAsia="Palatino Linotype"/>
        </w:rPr>
      </w:pPr>
      <w:r>
        <w:rPr>
          <w:rFonts w:eastAsia="Palatino Linotype"/>
        </w:rPr>
        <w:t>QUINTO</w:t>
      </w:r>
      <w:r w:rsidR="00A970D5" w:rsidRPr="006922F5">
        <w:rPr>
          <w:rFonts w:eastAsia="Palatino Linotype"/>
        </w:rPr>
        <w:t>. Estudio y resolución del asunto.</w:t>
      </w:r>
    </w:p>
    <w:p w14:paraId="102DA030"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3CF682A" w14:textId="3DEDDB23" w:rsidR="00514C55" w:rsidRDefault="00A970D5" w:rsidP="006D438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BC4869">
        <w:rPr>
          <w:rFonts w:eastAsia="Palatino Linotype" w:cs="Palatino Linotype"/>
          <w:color w:val="000000"/>
          <w:szCs w:val="24"/>
        </w:rPr>
        <w:t xml:space="preserve">que </w:t>
      </w:r>
      <w:r w:rsidR="006D438A">
        <w:rPr>
          <w:rFonts w:eastAsia="Palatino Linotype" w:cs="Palatino Linotype"/>
          <w:color w:val="000000"/>
          <w:szCs w:val="24"/>
        </w:rPr>
        <w:t xml:space="preserve">se le </w:t>
      </w:r>
      <w:r w:rsidR="00287C9D">
        <w:rPr>
          <w:rFonts w:eastAsia="Palatino Linotype" w:cs="Palatino Linotype"/>
          <w:color w:val="000000"/>
          <w:szCs w:val="24"/>
        </w:rPr>
        <w:t xml:space="preserve">entregara </w:t>
      </w:r>
      <w:r w:rsidR="009814C1">
        <w:rPr>
          <w:rFonts w:eastAsia="Palatino Linotype" w:cs="Palatino Linotype"/>
          <w:color w:val="000000"/>
          <w:szCs w:val="24"/>
        </w:rPr>
        <w:t>lo siguiente:</w:t>
      </w:r>
    </w:p>
    <w:p w14:paraId="68FCA887" w14:textId="77777777" w:rsidR="009814C1" w:rsidRDefault="009814C1" w:rsidP="006D438A">
      <w:pPr>
        <w:pBdr>
          <w:top w:val="nil"/>
          <w:left w:val="nil"/>
          <w:bottom w:val="nil"/>
          <w:right w:val="nil"/>
          <w:between w:val="nil"/>
        </w:pBdr>
        <w:contextualSpacing/>
        <w:rPr>
          <w:rFonts w:eastAsia="Palatino Linotype" w:cs="Palatino Linotype"/>
          <w:color w:val="000000"/>
          <w:szCs w:val="24"/>
        </w:rPr>
      </w:pPr>
    </w:p>
    <w:p w14:paraId="3FDA2294" w14:textId="493F2CB2" w:rsidR="009814C1" w:rsidRDefault="009814C1" w:rsidP="009814C1">
      <w:pPr>
        <w:pStyle w:val="Prrafodelista"/>
        <w:numPr>
          <w:ilvl w:val="0"/>
          <w:numId w:val="3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Copia del convenio que se celebró entre el Ayuntamiento y el Tribunal de Justicia Administrativa.</w:t>
      </w:r>
    </w:p>
    <w:p w14:paraId="3D56E294" w14:textId="6964E8B8" w:rsidR="009814C1" w:rsidRPr="009814C1" w:rsidRDefault="009814C1" w:rsidP="009814C1">
      <w:pPr>
        <w:pStyle w:val="Prrafodelista"/>
        <w:numPr>
          <w:ilvl w:val="0"/>
          <w:numId w:val="3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La nómina de todos los servidores públicos adscritos a la Tesorería, así como de los regidores, síndico, presidente municipal y directores generales.</w:t>
      </w:r>
    </w:p>
    <w:p w14:paraId="6E35799A" w14:textId="77777777" w:rsidR="00877767" w:rsidRPr="006922F5" w:rsidRDefault="00877767" w:rsidP="006922F5">
      <w:pPr>
        <w:pBdr>
          <w:top w:val="nil"/>
          <w:left w:val="nil"/>
          <w:bottom w:val="nil"/>
          <w:right w:val="nil"/>
          <w:between w:val="nil"/>
        </w:pBdr>
        <w:contextualSpacing/>
        <w:rPr>
          <w:rFonts w:eastAsia="Palatino Linotype" w:cs="Palatino Linotype"/>
          <w:color w:val="000000"/>
          <w:szCs w:val="24"/>
        </w:rPr>
      </w:pPr>
    </w:p>
    <w:p w14:paraId="46A58DB1" w14:textId="185E740F"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2C2D27">
        <w:rPr>
          <w:rFonts w:eastAsia="Palatino Linotype" w:cs="Palatino Linotype"/>
          <w:color w:val="000000"/>
          <w:szCs w:val="24"/>
        </w:rPr>
        <w:t xml:space="preserve">hizo </w:t>
      </w:r>
      <w:r w:rsidR="00A978AF">
        <w:rPr>
          <w:rFonts w:eastAsia="Palatino Linotype" w:cs="Palatino Linotype"/>
          <w:color w:val="000000"/>
          <w:szCs w:val="24"/>
        </w:rPr>
        <w:t>entrega de</w:t>
      </w:r>
      <w:r w:rsidR="00287C9D">
        <w:rPr>
          <w:rFonts w:eastAsia="Palatino Linotype" w:cs="Palatino Linotype"/>
          <w:color w:val="000000"/>
          <w:szCs w:val="24"/>
        </w:rPr>
        <w:t>l siguiente</w:t>
      </w:r>
      <w:r w:rsidR="00A978AF">
        <w:rPr>
          <w:rFonts w:eastAsia="Palatino Linotype" w:cs="Palatino Linotype"/>
          <w:color w:val="000000"/>
          <w:szCs w:val="24"/>
        </w:rPr>
        <w:t>:</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16DD37B3" w14:textId="5079FB91" w:rsidR="009814C1" w:rsidRPr="00897CF4" w:rsidRDefault="009814C1" w:rsidP="009814C1">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9814C1">
        <w:rPr>
          <w:rFonts w:eastAsia="Palatino Linotype" w:cs="Palatino Linotype"/>
          <w:b/>
          <w:bCs/>
          <w:color w:val="000000"/>
          <w:lang w:val="es-ES_tradnl"/>
        </w:rPr>
        <w:t>0212_RES_ UT_2023.pdfok.pdf</w:t>
      </w:r>
      <w:r>
        <w:rPr>
          <w:rFonts w:eastAsia="Palatino Linotype" w:cs="Palatino Linotype"/>
          <w:color w:val="000000"/>
        </w:rPr>
        <w:t>. Oficio número PM/UT/0449/2023, emitido por la Titular de la Unidad de Transparencia, con el cual señaló que se adjuntaban las respuestas emitidas por las áreas administrativas correspondientes.</w:t>
      </w:r>
    </w:p>
    <w:p w14:paraId="2CA491E9" w14:textId="2BB08809" w:rsidR="009814C1" w:rsidRPr="009814C1" w:rsidRDefault="009814C1" w:rsidP="009814C1">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9814C1">
        <w:rPr>
          <w:rFonts w:eastAsia="Palatino Linotype" w:cs="Palatino Linotype"/>
          <w:b/>
          <w:bCs/>
          <w:color w:val="000000"/>
          <w:lang w:val="es-ES_tradnl"/>
        </w:rPr>
        <w:lastRenderedPageBreak/>
        <w:t>0212_RESP_SOL_SA_2023.pdf</w:t>
      </w:r>
      <w:r>
        <w:rPr>
          <w:rFonts w:eastAsia="Palatino Linotype" w:cs="Palatino Linotype"/>
          <w:bCs/>
          <w:color w:val="000000"/>
          <w:lang w:val="es-ES_tradnl"/>
        </w:rPr>
        <w:t>. Oficio PM/SA/88733/07/2023, suscrito por el Secretario del A</w:t>
      </w:r>
      <w:r w:rsidR="00FC2E6B">
        <w:rPr>
          <w:rFonts w:eastAsia="Palatino Linotype" w:cs="Palatino Linotype"/>
          <w:bCs/>
          <w:color w:val="000000"/>
          <w:lang w:val="es-ES_tradnl"/>
        </w:rPr>
        <w:t>yuntamiento, por medio del cual manifestó que, relativo al convenio solicitado, éste se encontraba en firma.</w:t>
      </w:r>
    </w:p>
    <w:p w14:paraId="61BC24B4" w14:textId="2F6DFB5B" w:rsidR="009814C1" w:rsidRPr="009814C1" w:rsidRDefault="009814C1" w:rsidP="009814C1">
      <w:pPr>
        <w:pStyle w:val="Prrafodelista"/>
        <w:numPr>
          <w:ilvl w:val="0"/>
          <w:numId w:val="33"/>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A</w:t>
      </w:r>
      <w:r w:rsidRPr="009814C1">
        <w:rPr>
          <w:rFonts w:eastAsia="Palatino Linotype" w:cs="Palatino Linotype"/>
          <w:b/>
          <w:bCs/>
          <w:color w:val="000000"/>
          <w:lang w:val="es-ES_tradnl"/>
        </w:rPr>
        <w:t>212_RSOL_TM_2023_REMUN.pdf</w:t>
      </w:r>
      <w:r>
        <w:rPr>
          <w:rFonts w:eastAsia="Palatino Linotype" w:cs="Palatino Linotype"/>
          <w:bCs/>
          <w:color w:val="000000"/>
          <w:lang w:val="es-ES_tradnl"/>
        </w:rPr>
        <w:t>.</w:t>
      </w:r>
      <w:r w:rsidR="00FC2E6B">
        <w:rPr>
          <w:rFonts w:eastAsia="Palatino Linotype" w:cs="Palatino Linotype"/>
          <w:bCs/>
          <w:color w:val="000000"/>
          <w:lang w:val="es-ES_tradnl"/>
        </w:rPr>
        <w:t xml:space="preserve"> Oficio número TMA/STE/581/07/2023, emitido por la Tesorera Municipal, mediante el cual informó al solicitante que la información relativa a la nómina puede ser consultada de manera directa, seleccionando el área que requiere en la página </w:t>
      </w:r>
      <w:hyperlink r:id="rId8" w:history="1">
        <w:r w:rsidR="00FC2E6B" w:rsidRPr="001654E0">
          <w:rPr>
            <w:rStyle w:val="Hipervnculo"/>
            <w:rFonts w:eastAsia="Palatino Linotype" w:cs="Palatino Linotype"/>
            <w:bCs/>
            <w:lang w:val="es-ES_tradnl"/>
          </w:rPr>
          <w:t>https://goo.su/1YBFg</w:t>
        </w:r>
      </w:hyperlink>
      <w:r w:rsidR="00FC2E6B">
        <w:rPr>
          <w:rFonts w:eastAsia="Palatino Linotype" w:cs="Palatino Linotype"/>
          <w:bCs/>
          <w:color w:val="000000"/>
          <w:lang w:val="es-ES_tradnl"/>
        </w:rPr>
        <w:t>.</w:t>
      </w:r>
    </w:p>
    <w:p w14:paraId="51568E51" w14:textId="77777777" w:rsidR="009814C1" w:rsidRDefault="009814C1" w:rsidP="006922F5">
      <w:pPr>
        <w:pBdr>
          <w:top w:val="nil"/>
          <w:left w:val="nil"/>
          <w:bottom w:val="nil"/>
          <w:right w:val="nil"/>
          <w:between w:val="nil"/>
        </w:pBdr>
        <w:contextualSpacing/>
        <w:rPr>
          <w:rFonts w:eastAsia="Palatino Linotype" w:cs="Palatino Linotype"/>
          <w:color w:val="000000"/>
          <w:szCs w:val="24"/>
        </w:rPr>
      </w:pPr>
    </w:p>
    <w:p w14:paraId="6128DFF4" w14:textId="36BD65D9" w:rsidR="00A970D5"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A42FC0">
        <w:rPr>
          <w:rFonts w:eastAsia="Palatino Linotype" w:cs="Palatino Linotype"/>
          <w:color w:val="000000"/>
          <w:szCs w:val="24"/>
        </w:rPr>
        <w:t xml:space="preserve"> la</w:t>
      </w:r>
      <w:r w:rsidR="00FC2E6B">
        <w:rPr>
          <w:rFonts w:eastAsia="Palatino Linotype" w:cs="Palatino Linotype"/>
          <w:color w:val="000000"/>
          <w:szCs w:val="24"/>
        </w:rPr>
        <w:t xml:space="preserve"> respuesta otorgada a la solicitud</w:t>
      </w:r>
      <w:r w:rsidR="003A4262">
        <w:rPr>
          <w:rFonts w:eastAsia="Palatino Linotype" w:cs="Palatino Linotype"/>
          <w:color w:val="000000"/>
          <w:szCs w:val="24"/>
        </w:rPr>
        <w:t xml:space="preserve">; dando como razones o motivos de inconformidad </w:t>
      </w:r>
      <w:r w:rsidR="00FC2E6B">
        <w:rPr>
          <w:rFonts w:eastAsia="Palatino Linotype" w:cs="Palatino Linotype"/>
          <w:color w:val="000000"/>
          <w:szCs w:val="24"/>
        </w:rPr>
        <w:t>que la firma del convenio se dio a conocer mediante notas periodísticas y redes sociales y que en respuesta se informó que se encontraba en firma; no obstante, bajo el criterio que establece que si se publica se considera un hecho conocido, no se puede argumentar que el convenio referido se encuentra en firma.</w:t>
      </w:r>
    </w:p>
    <w:p w14:paraId="57CD9338" w14:textId="77777777" w:rsidR="00391DD0" w:rsidRDefault="00391DD0" w:rsidP="006922F5">
      <w:pPr>
        <w:pBdr>
          <w:top w:val="nil"/>
          <w:left w:val="nil"/>
          <w:bottom w:val="nil"/>
          <w:right w:val="nil"/>
          <w:between w:val="nil"/>
        </w:pBdr>
        <w:contextualSpacing/>
        <w:rPr>
          <w:rFonts w:eastAsia="Palatino Linotype" w:cs="Palatino Linotype"/>
          <w:color w:val="000000"/>
          <w:szCs w:val="24"/>
        </w:rPr>
      </w:pPr>
    </w:p>
    <w:p w14:paraId="564987EB" w14:textId="02417E1F" w:rsidR="00EF5FF8" w:rsidRDefault="00216F33" w:rsidP="006922F5">
      <w:pPr>
        <w:pBdr>
          <w:top w:val="nil"/>
          <w:left w:val="nil"/>
          <w:bottom w:val="nil"/>
          <w:right w:val="nil"/>
          <w:between w:val="nil"/>
        </w:pBdr>
        <w:contextualSpacing/>
        <w:rPr>
          <w:rFonts w:eastAsia="Palatino Linotype" w:cs="Palatino Linotype"/>
          <w:szCs w:val="24"/>
        </w:rPr>
      </w:pPr>
      <w:r>
        <w:rPr>
          <w:rFonts w:eastAsia="Palatino Linotype" w:cs="Palatino Linotype"/>
          <w:szCs w:val="24"/>
        </w:rPr>
        <w:t xml:space="preserve">Así, en la etapa de instrucción, el Sujeto Obligado </w:t>
      </w:r>
      <w:r w:rsidR="00490C99">
        <w:rPr>
          <w:rFonts w:eastAsia="Palatino Linotype" w:cs="Palatino Linotype"/>
          <w:szCs w:val="24"/>
        </w:rPr>
        <w:t>rindió su Informe Justificado mediante la presentación</w:t>
      </w:r>
      <w:r w:rsidR="00C10601">
        <w:rPr>
          <w:rFonts w:eastAsia="Palatino Linotype" w:cs="Palatino Linotype"/>
          <w:szCs w:val="24"/>
        </w:rPr>
        <w:t xml:space="preserve"> de</w:t>
      </w:r>
      <w:r w:rsidR="00FC2E6B">
        <w:rPr>
          <w:rFonts w:eastAsia="Palatino Linotype" w:cs="Palatino Linotype"/>
          <w:szCs w:val="24"/>
        </w:rPr>
        <w:t>l siguiente documento</w:t>
      </w:r>
      <w:r w:rsidR="00AD7FA9">
        <w:rPr>
          <w:rFonts w:eastAsia="Palatino Linotype" w:cs="Palatino Linotype"/>
          <w:szCs w:val="24"/>
        </w:rPr>
        <w:t xml:space="preserve">: </w:t>
      </w:r>
    </w:p>
    <w:p w14:paraId="6D89F40E" w14:textId="77777777" w:rsidR="00AD7FA9" w:rsidRDefault="00AD7FA9" w:rsidP="006922F5">
      <w:pPr>
        <w:pBdr>
          <w:top w:val="nil"/>
          <w:left w:val="nil"/>
          <w:bottom w:val="nil"/>
          <w:right w:val="nil"/>
          <w:between w:val="nil"/>
        </w:pBdr>
        <w:contextualSpacing/>
        <w:rPr>
          <w:rFonts w:eastAsia="Palatino Linotype" w:cs="Palatino Linotype"/>
          <w:szCs w:val="24"/>
        </w:rPr>
      </w:pPr>
    </w:p>
    <w:p w14:paraId="0F606404" w14:textId="0576463F" w:rsidR="00AD7FA9" w:rsidRDefault="00FC2E6B" w:rsidP="00FC2E6B">
      <w:pPr>
        <w:pStyle w:val="Prrafodelista"/>
        <w:numPr>
          <w:ilvl w:val="0"/>
          <w:numId w:val="36"/>
        </w:numPr>
        <w:pBdr>
          <w:top w:val="nil"/>
          <w:left w:val="nil"/>
          <w:bottom w:val="nil"/>
          <w:right w:val="nil"/>
          <w:between w:val="nil"/>
        </w:pBdr>
        <w:contextualSpacing/>
        <w:rPr>
          <w:rFonts w:eastAsia="Palatino Linotype" w:cs="Palatino Linotype"/>
        </w:rPr>
      </w:pPr>
      <w:r w:rsidRPr="00FC2E6B">
        <w:rPr>
          <w:rFonts w:eastAsia="Palatino Linotype" w:cs="Palatino Linotype"/>
          <w:b/>
          <w:bCs/>
          <w:color w:val="000000"/>
        </w:rPr>
        <w:t>informe justificado SOL_212_RR_4455.pdf</w:t>
      </w:r>
      <w:r w:rsidR="0048529A" w:rsidRPr="008240F4">
        <w:rPr>
          <w:rFonts w:eastAsia="Palatino Linotype" w:cs="Palatino Linotype"/>
          <w:bCs/>
          <w:color w:val="000000"/>
        </w:rPr>
        <w:t xml:space="preserve">. </w:t>
      </w:r>
      <w:r w:rsidR="00DC2DA1">
        <w:rPr>
          <w:rFonts w:eastAsia="Palatino Linotype" w:cs="Palatino Linotype"/>
          <w:bCs/>
          <w:color w:val="000000"/>
        </w:rPr>
        <w:t>Oficio número PM/UT/INJ/0229/2023 suscrito por la Titular de la Unidad de Transparencia, por medio del cual se informó que la Secretaría del Ayuntamiento y la Tesorería Municipal ratificaron sus respuestas.</w:t>
      </w:r>
    </w:p>
    <w:p w14:paraId="21D32E8C" w14:textId="77777777" w:rsidR="00FC2E6B" w:rsidRDefault="00FC2E6B" w:rsidP="006922F5">
      <w:pPr>
        <w:pBdr>
          <w:top w:val="nil"/>
          <w:left w:val="nil"/>
          <w:bottom w:val="nil"/>
          <w:right w:val="nil"/>
          <w:between w:val="nil"/>
        </w:pBdr>
        <w:contextualSpacing/>
        <w:rPr>
          <w:rFonts w:eastAsia="Palatino Linotype" w:cs="Palatino Linotype"/>
          <w:color w:val="000000"/>
          <w:szCs w:val="24"/>
        </w:rPr>
      </w:pPr>
    </w:p>
    <w:p w14:paraId="7FE9A63F" w14:textId="58D83016" w:rsidR="00AD7FA9" w:rsidRDefault="00F82913"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su parte, el Recurrente no emitió manifestaciones, vertió alegatos ni presentó pruebas que a su derecho convinieran; asimismo, tampoco realizó pronunciamiento alguno respecto del Informe Justificado rendido por el Sujeto Obligado.</w:t>
      </w:r>
    </w:p>
    <w:p w14:paraId="198E1D48" w14:textId="77777777" w:rsidR="001602ED" w:rsidRDefault="001602ED" w:rsidP="006922F5">
      <w:pPr>
        <w:pBdr>
          <w:top w:val="nil"/>
          <w:left w:val="nil"/>
          <w:bottom w:val="nil"/>
          <w:right w:val="nil"/>
          <w:between w:val="nil"/>
        </w:pBdr>
        <w:contextualSpacing/>
        <w:rPr>
          <w:rFonts w:eastAsia="Palatino Linotype" w:cs="Palatino Linotype"/>
          <w:color w:val="000000"/>
          <w:szCs w:val="24"/>
        </w:rPr>
      </w:pPr>
    </w:p>
    <w:p w14:paraId="2195829A"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7FC0079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04EF134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Artículo 6o.</w:t>
      </w:r>
      <w:r w:rsidRPr="00286AA3">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86AA3">
        <w:rPr>
          <w:rFonts w:eastAsia="Palatino Linotype" w:cs="Palatino Linotype"/>
          <w:b/>
          <w:bCs/>
          <w:i/>
          <w:iCs/>
          <w:color w:val="000000" w:themeColor="text1"/>
          <w:sz w:val="22"/>
          <w:lang w:val="es-ES"/>
        </w:rPr>
        <w:t>El derecho a la información será garantizado por el Estado.</w:t>
      </w:r>
      <w:r w:rsidRPr="00286AA3">
        <w:rPr>
          <w:rFonts w:eastAsia="Palatino Linotype" w:cs="Palatino Linotype"/>
          <w:i/>
          <w:iCs/>
          <w:color w:val="000000" w:themeColor="text1"/>
          <w:sz w:val="22"/>
          <w:lang w:val="es-ES"/>
        </w:rPr>
        <w:t xml:space="preserve"> </w:t>
      </w:r>
    </w:p>
    <w:p w14:paraId="62C451B4"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7F535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4FACE820"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7520451"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Para efectos de lo dispuesto en el presente artículo se observará lo siguiente:</w:t>
      </w:r>
    </w:p>
    <w:p w14:paraId="607C787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22602F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274C64C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C2A56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I. Toda la información en posesión de</w:t>
      </w:r>
      <w:r w:rsidRPr="00286AA3">
        <w:rPr>
          <w:rFonts w:eastAsia="Palatino Linotype" w:cs="Palatino Linotype"/>
          <w:i/>
          <w:iCs/>
          <w:color w:val="000000" w:themeColor="text1"/>
          <w:sz w:val="22"/>
          <w:lang w:val="es-ES"/>
        </w:rPr>
        <w:t xml:space="preserve"> </w:t>
      </w:r>
      <w:r w:rsidRPr="00286AA3">
        <w:rPr>
          <w:rFonts w:eastAsia="Palatino Linotype" w:cs="Palatino Linotype"/>
          <w:b/>
          <w:bCs/>
          <w:i/>
          <w:iCs/>
          <w:color w:val="000000" w:themeColor="text1"/>
          <w:sz w:val="22"/>
          <w:lang w:val="es-ES"/>
        </w:rPr>
        <w:t>cualquier autoridad</w:t>
      </w:r>
      <w:r w:rsidRPr="00286AA3">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286AA3">
        <w:rPr>
          <w:rFonts w:eastAsia="Palatino Linotype" w:cs="Palatino Linotype"/>
          <w:b/>
          <w:bCs/>
          <w:i/>
          <w:iCs/>
          <w:color w:val="000000" w:themeColor="text1"/>
          <w:sz w:val="22"/>
          <w:lang w:val="es-ES"/>
        </w:rPr>
        <w:t>en el ámbito federal, estatal y municipal, es pública</w:t>
      </w:r>
      <w:r w:rsidRPr="00286AA3">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286AA3">
        <w:rPr>
          <w:rFonts w:eastAsia="Palatino Linotype" w:cs="Palatino Linotype"/>
          <w:b/>
          <w:bCs/>
          <w:i/>
          <w:iCs/>
          <w:color w:val="000000" w:themeColor="text1"/>
          <w:sz w:val="22"/>
          <w:lang w:val="es-ES"/>
        </w:rPr>
        <w:t xml:space="preserve">Los sujetos obligados deberán </w:t>
      </w:r>
      <w:r w:rsidRPr="00286AA3">
        <w:rPr>
          <w:rFonts w:eastAsia="Palatino Linotype" w:cs="Palatino Linotype"/>
          <w:b/>
          <w:bCs/>
          <w:i/>
          <w:iCs/>
          <w:color w:val="000000" w:themeColor="text1"/>
          <w:sz w:val="22"/>
          <w:lang w:val="es-ES"/>
        </w:rPr>
        <w:lastRenderedPageBreak/>
        <w:t>documentar todo acto que derive del ejercicio de sus facultades, competencias o funciones</w:t>
      </w:r>
      <w:r w:rsidRPr="00286AA3">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1E4FE6A4"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7A4FD7F9"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641D66B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56FA4CAD"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00286AA3">
        <w:rPr>
          <w:rFonts w:eastAsia="Palatino Linotype" w:cs="Palatino Linotype"/>
          <w:i/>
          <w:iCs/>
          <w:color w:val="000000" w:themeColor="text1"/>
          <w:sz w:val="22"/>
          <w:lang w:val="es-ES"/>
        </w:rPr>
        <w:t xml:space="preserve">, </w:t>
      </w:r>
      <w:r w:rsidRPr="00286AA3">
        <w:rPr>
          <w:rFonts w:eastAsia="Palatino Linotype" w:cs="Palatino Linotype"/>
          <w:b/>
          <w:bCs/>
          <w:i/>
          <w:iCs/>
          <w:color w:val="000000" w:themeColor="text1"/>
          <w:sz w:val="22"/>
          <w:lang w:val="es-ES"/>
        </w:rPr>
        <w:t xml:space="preserve">la información completa y actualizada sobre el ejercicio de los recursos públicos </w:t>
      </w:r>
      <w:r w:rsidRPr="00286AA3">
        <w:rPr>
          <w:rFonts w:eastAsia="Palatino Linotype" w:cs="Palatino Linotype"/>
          <w:i/>
          <w:iCs/>
          <w:color w:val="000000" w:themeColor="text1"/>
          <w:sz w:val="22"/>
          <w:lang w:val="es-ES"/>
        </w:rPr>
        <w:t>y los indicadores que permitan rendir cuenta del cumplimiento de sus objetivos y de los resultados obtenidos.</w:t>
      </w:r>
    </w:p>
    <w:p w14:paraId="5B5C6CA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03C11A6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221EFC8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9CA5402"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w:t>
      </w:r>
    </w:p>
    <w:p w14:paraId="0205947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La ley establecerá aquella información que se considere reservada o confidencial.</w:t>
      </w:r>
    </w:p>
    <w:p w14:paraId="2B1D548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 w:val="22"/>
          <w:lang w:val="es-ES"/>
        </w:rPr>
      </w:pPr>
    </w:p>
    <w:p w14:paraId="1F3F7FFB"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Por su parte, la Constitución Política del Estado Libre y Soberano de México, en su artículo 5°, dispone en su parte conducente, lo siguiente:</w:t>
      </w:r>
    </w:p>
    <w:p w14:paraId="621D839E"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214F308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Artículo 5</w:t>
      </w:r>
      <w:r w:rsidRPr="00286AA3">
        <w:rPr>
          <w:rFonts w:eastAsia="Palatino Linotype" w:cs="Palatino Linotype"/>
          <w:i/>
          <w:iCs/>
          <w:color w:val="000000" w:themeColor="text1"/>
          <w:sz w:val="22"/>
          <w:lang w:val="es-ES"/>
        </w:rPr>
        <w:t xml:space="preserve">. … </w:t>
      </w:r>
    </w:p>
    <w:p w14:paraId="76053C4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41E6411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5BEC58"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86AF68"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4803EE8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Este derecho se regirá por los principios y bases siguientes:</w:t>
      </w:r>
    </w:p>
    <w:p w14:paraId="59E3021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4D42403"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768A5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23A6F49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7031B4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2D3A5061"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12A6E0F"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3CD009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lastRenderedPageBreak/>
        <w:t>VII. La ley reglamentaria, determinará la manera en que los sujetos obligados deberán hacer pública la información relativa a los recursos públicos que entreguen a personas físicas o jurídicas colectivas.</w:t>
      </w:r>
    </w:p>
    <w:p w14:paraId="2A9CF4E7"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626C1D67" w14:textId="4363368E" w:rsidR="00286AA3" w:rsidRPr="00286AA3" w:rsidRDefault="00286AA3" w:rsidP="00286AA3">
      <w:pPr>
        <w:rPr>
          <w:rFonts w:eastAsia="Palatino Linotype" w:cs="Palatino Linotype"/>
          <w:szCs w:val="24"/>
        </w:rPr>
      </w:pPr>
      <w:r w:rsidRPr="00286AA3">
        <w:rPr>
          <w:rFonts w:eastAsia="Palatino Linotype" w:cs="Palatino Linotype"/>
          <w:szCs w:val="24"/>
        </w:rPr>
        <w:t>En ese orden de ideas, la Ley de Transparencia y Acceso a la Información Pública del Estado de México y Municipios, prevé en su artículo 23 fracción I</w:t>
      </w:r>
      <w:r w:rsidR="008240F4">
        <w:rPr>
          <w:rFonts w:eastAsia="Palatino Linotype" w:cs="Palatino Linotype"/>
          <w:szCs w:val="24"/>
        </w:rPr>
        <w:t>V</w:t>
      </w:r>
      <w:r w:rsidRPr="00286AA3">
        <w:rPr>
          <w:rFonts w:eastAsia="Palatino Linotype" w:cs="Palatino Linotype"/>
          <w:szCs w:val="24"/>
        </w:rPr>
        <w:t>, lo siguiente:</w:t>
      </w:r>
    </w:p>
    <w:p w14:paraId="68B0F04D" w14:textId="77777777" w:rsidR="00286AA3" w:rsidRPr="00286AA3" w:rsidRDefault="00286AA3" w:rsidP="00286AA3">
      <w:pPr>
        <w:rPr>
          <w:rFonts w:eastAsia="Palatino Linotype" w:cs="Palatino Linotype"/>
          <w:szCs w:val="24"/>
        </w:rPr>
      </w:pPr>
    </w:p>
    <w:p w14:paraId="66FFABC9" w14:textId="77777777"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b/>
          <w:bCs/>
          <w:i/>
          <w:iCs/>
          <w:sz w:val="22"/>
          <w:lang w:val="es-ES"/>
        </w:rPr>
        <w:t>Artículo 23.</w:t>
      </w:r>
      <w:r w:rsidRPr="00286AA3">
        <w:rPr>
          <w:rFonts w:eastAsia="Palatino Linotype" w:cs="Palatino Linotype"/>
          <w:i/>
          <w:iCs/>
          <w:sz w:val="22"/>
          <w:lang w:val="es-ES"/>
        </w:rPr>
        <w:t xml:space="preserve"> Son sujetos obligados a transparentar y permitir el acceso a su información y proteger los datos personales que obren en su poder:</w:t>
      </w:r>
    </w:p>
    <w:p w14:paraId="796E3AD9" w14:textId="14F78E23" w:rsidR="00286AA3" w:rsidRPr="00286AA3" w:rsidRDefault="008240F4" w:rsidP="00286AA3">
      <w:pPr>
        <w:spacing w:line="240" w:lineRule="auto"/>
        <w:ind w:left="567" w:right="567"/>
        <w:rPr>
          <w:rFonts w:eastAsia="Palatino Linotype" w:cs="Palatino Linotype"/>
          <w:i/>
          <w:iCs/>
          <w:sz w:val="22"/>
          <w:lang w:val="es-ES"/>
        </w:rPr>
      </w:pPr>
      <w:r>
        <w:rPr>
          <w:rFonts w:eastAsia="Palatino Linotype" w:cs="Palatino Linotype"/>
          <w:i/>
          <w:iCs/>
          <w:sz w:val="22"/>
          <w:lang w:val="es-ES"/>
        </w:rPr>
        <w:t>(…)</w:t>
      </w:r>
    </w:p>
    <w:p w14:paraId="14D48834" w14:textId="1BC45548"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b/>
          <w:bCs/>
          <w:i/>
          <w:iCs/>
          <w:sz w:val="22"/>
          <w:lang w:val="es-ES"/>
        </w:rPr>
        <w:t>I</w:t>
      </w:r>
      <w:r w:rsidR="008240F4">
        <w:rPr>
          <w:rFonts w:eastAsia="Palatino Linotype" w:cs="Palatino Linotype"/>
          <w:b/>
          <w:bCs/>
          <w:i/>
          <w:iCs/>
          <w:sz w:val="22"/>
          <w:lang w:val="es-ES"/>
        </w:rPr>
        <w:t>V</w:t>
      </w:r>
      <w:r w:rsidRPr="00286AA3">
        <w:rPr>
          <w:rFonts w:eastAsia="Palatino Linotype" w:cs="Palatino Linotype"/>
          <w:b/>
          <w:bCs/>
          <w:i/>
          <w:iCs/>
          <w:sz w:val="22"/>
          <w:lang w:val="es-ES"/>
        </w:rPr>
        <w:t>.</w:t>
      </w:r>
      <w:r w:rsidR="008240F4">
        <w:rPr>
          <w:rFonts w:eastAsia="Palatino Linotype" w:cs="Palatino Linotype"/>
          <w:i/>
          <w:iCs/>
          <w:sz w:val="22"/>
          <w:lang w:val="es-ES"/>
        </w:rPr>
        <w:t xml:space="preserve"> Los</w:t>
      </w:r>
      <w:r w:rsidRPr="00286AA3">
        <w:rPr>
          <w:rFonts w:eastAsia="Palatino Linotype" w:cs="Palatino Linotype"/>
          <w:i/>
          <w:iCs/>
          <w:sz w:val="22"/>
          <w:lang w:val="es-ES"/>
        </w:rPr>
        <w:t xml:space="preserve"> </w:t>
      </w:r>
      <w:r w:rsidR="008240F4" w:rsidRPr="008240F4">
        <w:rPr>
          <w:rFonts w:eastAsia="Palatino Linotype" w:cs="Palatino Linotype"/>
          <w:i/>
          <w:iCs/>
          <w:sz w:val="22"/>
          <w:lang w:val="es-ES"/>
        </w:rPr>
        <w:t>ayuntamientos y las dependencias, organismos, órganos y entidades de la administración municipal</w:t>
      </w:r>
      <w:r w:rsidRPr="00286AA3">
        <w:rPr>
          <w:rFonts w:eastAsia="Palatino Linotype" w:cs="Palatino Linotype"/>
          <w:i/>
          <w:iCs/>
          <w:sz w:val="22"/>
          <w:lang w:val="es-ES"/>
        </w:rPr>
        <w:t>;</w:t>
      </w:r>
    </w:p>
    <w:p w14:paraId="3879DFA0" w14:textId="77777777"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i/>
          <w:iCs/>
          <w:sz w:val="22"/>
          <w:lang w:val="es-ES"/>
        </w:rPr>
        <w:t>(…)</w:t>
      </w:r>
    </w:p>
    <w:p w14:paraId="3684C176"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1DFE9885"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B2DF93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7CA4DE14" w14:textId="77777777" w:rsidR="00DC2DA1" w:rsidRPr="00EB09B7" w:rsidRDefault="00286AA3" w:rsidP="00DC2DA1">
      <w:pPr>
        <w:contextualSpacing/>
        <w:rPr>
          <w:rFonts w:eastAsia="Palatino Linotype" w:cs="Palatino Linotype"/>
          <w:szCs w:val="24"/>
        </w:rPr>
      </w:pPr>
      <w:r w:rsidRPr="00286AA3">
        <w:t>En segundo término</w:t>
      </w:r>
      <w:r w:rsidR="00B97B0E">
        <w:t xml:space="preserve">, </w:t>
      </w:r>
      <w:r w:rsidR="000D422C">
        <w:t xml:space="preserve">se debe señalar </w:t>
      </w:r>
      <w:r w:rsidR="00DC2DA1">
        <w:t xml:space="preserve">que el Recurrente únicamente expresó su inconformidad ante la omisión de entregar el convenio referido en su solicitud, sin expresar ningún agravio respecto de la respuesta de la Tesorería Municipal respecto de la nómina; por tanto, se debe entender que el particular </w:t>
      </w:r>
      <w:r w:rsidR="00DC2DA1" w:rsidRPr="00B10D6C">
        <w:rPr>
          <w:rStyle w:val="SinespaciadoCar"/>
          <w:rFonts w:eastAsia="Calibri"/>
        </w:rPr>
        <w:t>consintió parcialmente la respuesta</w:t>
      </w:r>
      <w:r w:rsidR="00DC2DA1">
        <w:t xml:space="preserve">. </w:t>
      </w:r>
      <w:r w:rsidR="00DC2DA1" w:rsidRPr="00EB09B7">
        <w:rPr>
          <w:rFonts w:eastAsia="Times New Roman" w:cs="Times New Roman"/>
          <w:color w:val="000000"/>
          <w:szCs w:val="24"/>
        </w:rPr>
        <w:t xml:space="preserve">Lo anterior es así debido a que cuando un solicitante no expresa razón o motivo de inconformidad en contra de todos los rubros de la respuesta que pudieran ser un agravio a su derecho, los mismos deben estimarse atendidos. Sirve de apoyo a lo </w:t>
      </w:r>
      <w:r w:rsidR="00DC2DA1" w:rsidRPr="00EB09B7">
        <w:rPr>
          <w:rFonts w:eastAsia="Times New Roman" w:cs="Times New Roman"/>
          <w:color w:val="000000"/>
          <w:szCs w:val="24"/>
        </w:rPr>
        <w:lastRenderedPageBreak/>
        <w:t>anterior, por analogía, la Tesis Jurisprudencial Número 3ª./J.7/91, publicada en el Semanario Judicial de la Federación y su Gaceta bajo el número de registro 174177, que establece lo siguiente:</w:t>
      </w:r>
    </w:p>
    <w:p w14:paraId="5BE8A4DE" w14:textId="77777777" w:rsidR="00DC2DA1" w:rsidRPr="00EB09B7" w:rsidRDefault="00DC2DA1" w:rsidP="00DC2DA1">
      <w:pPr>
        <w:rPr>
          <w:rFonts w:eastAsia="Times New Roman" w:cs="Times New Roman"/>
          <w:szCs w:val="24"/>
        </w:rPr>
      </w:pPr>
    </w:p>
    <w:p w14:paraId="0709BF61" w14:textId="77777777" w:rsidR="00DC2DA1" w:rsidRPr="00EB09B7" w:rsidRDefault="00DC2DA1" w:rsidP="00DC2DA1">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B09B7">
        <w:rPr>
          <w:rFonts w:eastAsia="Palatino Linotype" w:cs="Palatino Linotype"/>
          <w:b/>
          <w:bCs/>
          <w:i/>
          <w:color w:val="000000"/>
          <w:sz w:val="22"/>
          <w:szCs w:val="24"/>
        </w:rPr>
        <w:t>REVISIÓN EN AMPARO. LOS RESOLUTIVOS NO COMBATIDOS DEBEN DECLARARSE FIRMES. </w:t>
      </w:r>
    </w:p>
    <w:p w14:paraId="1BFFA0D7" w14:textId="77777777" w:rsidR="00DC2DA1" w:rsidRPr="00EB09B7" w:rsidRDefault="00DC2DA1" w:rsidP="00DC2DA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B09B7">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8CA1F37" w14:textId="77777777" w:rsidR="00DC2DA1" w:rsidRPr="00EB09B7" w:rsidRDefault="00DC2DA1" w:rsidP="00DC2DA1">
      <w:pPr>
        <w:rPr>
          <w:rFonts w:eastAsia="Times New Roman" w:cs="Times New Roman"/>
          <w:szCs w:val="24"/>
        </w:rPr>
      </w:pPr>
    </w:p>
    <w:p w14:paraId="3D1C42EB" w14:textId="77777777" w:rsidR="00DC2DA1" w:rsidRPr="00EB09B7" w:rsidRDefault="00DC2DA1" w:rsidP="00DC2DA1">
      <w:pPr>
        <w:rPr>
          <w:rFonts w:eastAsia="Times New Roman" w:cs="Times New Roman"/>
          <w:szCs w:val="24"/>
        </w:rPr>
      </w:pPr>
      <w:r w:rsidRPr="00EB09B7">
        <w:rPr>
          <w:rFonts w:eastAsia="Times New Roman" w:cs="Times New Roman"/>
          <w:color w:val="000000"/>
          <w:szCs w:val="24"/>
        </w:rPr>
        <w:t xml:space="preserve">Así, la parte de la solicitud sobre la que no se expresó inconformidad, debe declararse consentida por </w:t>
      </w:r>
      <w:r>
        <w:rPr>
          <w:rFonts w:eastAsia="Times New Roman" w:cs="Times New Roman"/>
          <w:color w:val="000000"/>
          <w:szCs w:val="24"/>
        </w:rPr>
        <w:t>la</w:t>
      </w:r>
      <w:r w:rsidRPr="00EB09B7">
        <w:rPr>
          <w:rFonts w:eastAsia="Times New Roman" w:cs="Times New Roman"/>
          <w:color w:val="000000"/>
          <w:szCs w:val="24"/>
        </w:rPr>
        <w:t xml:space="preserve"> hoy Recurrente, ya que no pueden producirse efectos jurídicos tendentes a revocar, confirmar o modificar la parte de la respuesta con relación a la parte de la solicitud que no fue motivo de disenso, ya que se infiere un consentimiento de</w:t>
      </w:r>
      <w:r>
        <w:rPr>
          <w:rFonts w:eastAsia="Times New Roman" w:cs="Times New Roman"/>
          <w:color w:val="000000"/>
          <w:szCs w:val="24"/>
        </w:rPr>
        <w:t xml:space="preserve"> </w:t>
      </w:r>
      <w:r w:rsidRPr="00EB09B7">
        <w:rPr>
          <w:rFonts w:eastAsia="Times New Roman" w:cs="Times New Roman"/>
          <w:color w:val="000000"/>
          <w:szCs w:val="24"/>
        </w:rPr>
        <w:t>l</w:t>
      </w:r>
      <w:r>
        <w:rPr>
          <w:rFonts w:eastAsia="Times New Roman" w:cs="Times New Roman"/>
          <w:color w:val="000000"/>
          <w:szCs w:val="24"/>
        </w:rPr>
        <w:t>a</w:t>
      </w:r>
      <w:r w:rsidRPr="00EB09B7">
        <w:rPr>
          <w:rFonts w:eastAsia="Times New Roman" w:cs="Times New Roman"/>
          <w:color w:val="000000"/>
          <w:szCs w:val="24"/>
        </w:rPr>
        <w:t xml:space="preserve"> Recurrente ante la falta de impugnación eficaz. Sirve de sustento a lo anterior, por analogía, la tesis jurisprudencial número VI.3o.C. J/60, publicada en el Semanario Judicial de la Federación y su Gaceta bajo el número de registro 176,608 que a la letra establece lo siguiente:</w:t>
      </w:r>
    </w:p>
    <w:p w14:paraId="00400538" w14:textId="77777777" w:rsidR="00DC2DA1" w:rsidRPr="00EB09B7" w:rsidRDefault="00DC2DA1" w:rsidP="00DC2DA1">
      <w:pPr>
        <w:rPr>
          <w:rFonts w:eastAsia="Times New Roman" w:cs="Times New Roman"/>
          <w:szCs w:val="24"/>
        </w:rPr>
      </w:pPr>
    </w:p>
    <w:p w14:paraId="3314F2A3" w14:textId="77777777" w:rsidR="00DC2DA1" w:rsidRPr="00EB09B7" w:rsidRDefault="00DC2DA1" w:rsidP="00DC2DA1">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B09B7">
        <w:rPr>
          <w:rFonts w:eastAsia="Palatino Linotype" w:cs="Palatino Linotype"/>
          <w:b/>
          <w:bCs/>
          <w:i/>
          <w:color w:val="000000"/>
          <w:sz w:val="22"/>
          <w:szCs w:val="24"/>
        </w:rPr>
        <w:t>ACTOS CONSENTIDOS. SON LOS QUE NO SE IMPUGNAN MEDIANTE EL RECURSO IDÓNEO.</w:t>
      </w:r>
    </w:p>
    <w:p w14:paraId="45AD2105" w14:textId="77777777" w:rsidR="00DC2DA1" w:rsidRPr="00EB09B7" w:rsidRDefault="00DC2DA1" w:rsidP="00DC2DA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B09B7">
        <w:rPr>
          <w:rFonts w:eastAsia="Palatino Linotype" w:cs="Palatino Linotype"/>
          <w:i/>
          <w:color w:val="000000"/>
          <w:sz w:val="22"/>
          <w:szCs w:val="24"/>
        </w:rPr>
        <w:t xml:space="preserve">Debe reputarse como consentido el acto que no se impugnó por el medio establecido por la ley, </w:t>
      </w:r>
      <w:proofErr w:type="gramStart"/>
      <w:r w:rsidRPr="00EB09B7">
        <w:rPr>
          <w:rFonts w:eastAsia="Palatino Linotype" w:cs="Palatino Linotype"/>
          <w:i/>
          <w:color w:val="000000"/>
          <w:sz w:val="22"/>
          <w:szCs w:val="24"/>
        </w:rPr>
        <w:t>ya que</w:t>
      </w:r>
      <w:proofErr w:type="gramEnd"/>
      <w:r w:rsidRPr="00EB09B7">
        <w:rPr>
          <w:rFonts w:eastAsia="Palatino Linotype" w:cs="Palatino Linotype"/>
          <w:i/>
          <w:color w:val="000000"/>
          <w:sz w:val="22"/>
          <w:szCs w:val="24"/>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DD8A1D2" w14:textId="77777777" w:rsidR="00DC2DA1" w:rsidRPr="00EB09B7" w:rsidRDefault="00DC2DA1" w:rsidP="00DC2DA1">
      <w:pPr>
        <w:rPr>
          <w:rFonts w:eastAsia="Times New Roman" w:cs="Times New Roman"/>
          <w:szCs w:val="24"/>
        </w:rPr>
      </w:pPr>
    </w:p>
    <w:p w14:paraId="1AC4C970" w14:textId="77777777" w:rsidR="00DC2DA1" w:rsidRPr="00EB09B7" w:rsidRDefault="00DC2DA1" w:rsidP="00DC2DA1">
      <w:pPr>
        <w:rPr>
          <w:rFonts w:eastAsia="Times New Roman" w:cs="Times New Roman"/>
          <w:szCs w:val="24"/>
        </w:rPr>
      </w:pPr>
      <w:r w:rsidRPr="00EB09B7">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0A70807E" w14:textId="77777777" w:rsidR="00DC2DA1" w:rsidRPr="00EB09B7" w:rsidRDefault="00DC2DA1" w:rsidP="00DC2DA1">
      <w:pPr>
        <w:rPr>
          <w:rFonts w:eastAsia="Times New Roman" w:cs="Times New Roman"/>
          <w:szCs w:val="24"/>
        </w:rPr>
      </w:pPr>
    </w:p>
    <w:p w14:paraId="18FE1B19" w14:textId="77777777" w:rsidR="00DC2DA1" w:rsidRPr="00EB09B7" w:rsidRDefault="00DC2DA1" w:rsidP="00DC2DA1">
      <w:pPr>
        <w:spacing w:line="240" w:lineRule="auto"/>
        <w:ind w:left="567" w:right="567"/>
        <w:rPr>
          <w:rFonts w:eastAsia="Times New Roman" w:cs="Times New Roman"/>
          <w:sz w:val="22"/>
        </w:rPr>
      </w:pPr>
      <w:r w:rsidRPr="00EB09B7">
        <w:rPr>
          <w:rFonts w:eastAsia="Times New Roman" w:cs="Times New Roman"/>
          <w:b/>
          <w:bCs/>
          <w:i/>
          <w:iCs/>
          <w:color w:val="000000"/>
          <w:sz w:val="22"/>
        </w:rPr>
        <w:t xml:space="preserve">Actos consentidos tácitamente. Improcedencia de su análisis. </w:t>
      </w:r>
      <w:r w:rsidRPr="00EB09B7">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7623FD5" w14:textId="77777777" w:rsidR="00DC2DA1" w:rsidRPr="00EB09B7" w:rsidRDefault="00DC2DA1" w:rsidP="00DC2DA1">
      <w:pPr>
        <w:rPr>
          <w:rFonts w:eastAsia="Times New Roman" w:cs="Times New Roman"/>
          <w:szCs w:val="24"/>
        </w:rPr>
      </w:pPr>
    </w:p>
    <w:p w14:paraId="25718062" w14:textId="78389A97" w:rsidR="00DC2DA1" w:rsidRDefault="00DC2DA1" w:rsidP="00DC2DA1">
      <w:pPr>
        <w:rPr>
          <w:rFonts w:eastAsia="Times New Roman" w:cs="Times New Roman"/>
          <w:color w:val="000000"/>
          <w:szCs w:val="24"/>
        </w:rPr>
      </w:pPr>
      <w:r w:rsidRPr="00EB09B7">
        <w:rPr>
          <w:rFonts w:eastAsia="Times New Roman" w:cs="Times New Roman"/>
          <w:color w:val="000000"/>
          <w:szCs w:val="24"/>
        </w:rPr>
        <w:t>Por lo señalado anteriormente, se tiene por consentida la respuesta</w:t>
      </w:r>
      <w:r>
        <w:rPr>
          <w:rFonts w:eastAsia="Times New Roman" w:cs="Times New Roman"/>
          <w:color w:val="000000"/>
          <w:szCs w:val="24"/>
        </w:rPr>
        <w:t xml:space="preserve"> por lo que respecta a los recibos de nómina entregados en respuesta</w:t>
      </w:r>
      <w:r w:rsidR="00762587">
        <w:rPr>
          <w:rFonts w:eastAsia="Times New Roman" w:cs="Times New Roman"/>
          <w:color w:val="000000"/>
          <w:szCs w:val="24"/>
        </w:rPr>
        <w:t>.</w:t>
      </w:r>
    </w:p>
    <w:p w14:paraId="67A3D358" w14:textId="77777777" w:rsidR="003C589C" w:rsidRDefault="003C589C" w:rsidP="00DC2DA1"/>
    <w:p w14:paraId="2E8F8F9D" w14:textId="11B584D2" w:rsidR="00762587" w:rsidRDefault="00A14125" w:rsidP="00DC2DA1">
      <w:r>
        <w:t>Ahora bien, respecto del convenio referido por el Recurrente, se considera necesario resaltar que el particular no proporcionó mayor información relativa al objeto del convenio, fecha de celebración o cualquier dato que permitiera a este Instituto identificar plenamente el documento requerido; sin embargo, dado el sentido de la respuesta del Sujeto Obligado, es viable colegir que esa autoridad sí tiene identificado el convenio, dado que manifestó que éste se encontraba en firma.</w:t>
      </w:r>
    </w:p>
    <w:p w14:paraId="1E75B68B" w14:textId="77777777" w:rsidR="003C589C" w:rsidRDefault="003C589C" w:rsidP="00DC2DA1"/>
    <w:p w14:paraId="24E8BCE7" w14:textId="042426A3" w:rsidR="003C589C" w:rsidRDefault="003C589C" w:rsidP="00DC2DA1">
      <w:r>
        <w:t>Sin embargo, derivado de una búsqueda realizada por este Instituto en la red con la finalidad de allegarse de mayores elementos relativos a la información solicitada, se identificó la siguiente nota periodística</w:t>
      </w:r>
      <w:r>
        <w:rPr>
          <w:rStyle w:val="Refdenotaalpie"/>
        </w:rPr>
        <w:footnoteReference w:id="3"/>
      </w:r>
      <w:r>
        <w:t xml:space="preserve">: </w:t>
      </w:r>
    </w:p>
    <w:p w14:paraId="1F15E171" w14:textId="4B6F8595" w:rsidR="003C589C" w:rsidRDefault="003C589C" w:rsidP="003C589C">
      <w:pPr>
        <w:jc w:val="center"/>
      </w:pPr>
      <w:r w:rsidRPr="003C589C">
        <w:rPr>
          <w:noProof/>
          <w:lang w:val="es-MX"/>
        </w:rPr>
        <w:lastRenderedPageBreak/>
        <w:drawing>
          <wp:inline distT="0" distB="0" distL="0" distR="0" wp14:anchorId="10648F26" wp14:editId="2C8519E0">
            <wp:extent cx="4101138" cy="6447099"/>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79054" cy="6569585"/>
                    </a:xfrm>
                    <a:prstGeom prst="rect">
                      <a:avLst/>
                    </a:prstGeom>
                  </pic:spPr>
                </pic:pic>
              </a:graphicData>
            </a:graphic>
          </wp:inline>
        </w:drawing>
      </w:r>
    </w:p>
    <w:p w14:paraId="6E48971B" w14:textId="77777777" w:rsidR="00A14125" w:rsidRDefault="00A14125" w:rsidP="00DC2DA1"/>
    <w:p w14:paraId="132BF641" w14:textId="43859E18" w:rsidR="009A284A" w:rsidRDefault="009A284A" w:rsidP="009A284A">
      <w:pPr>
        <w:contextualSpacing/>
        <w:rPr>
          <w:rFonts w:eastAsia="Palatino Linotype" w:cs="Palatino Linotype"/>
          <w:szCs w:val="24"/>
        </w:rPr>
      </w:pPr>
      <w:r>
        <w:t xml:space="preserve">De tal forma que se debe entender que </w:t>
      </w:r>
      <w:r>
        <w:rPr>
          <w:rFonts w:eastAsia="Palatino Linotype" w:cs="Palatino Linotype"/>
          <w:szCs w:val="24"/>
        </w:rPr>
        <w:t xml:space="preserve">las notas periodísticas únicamente acreditan que el hecho referido tuvo realización en el modo, tiempo y lugar que aparezca en éstas, pero </w:t>
      </w:r>
      <w:r>
        <w:rPr>
          <w:rFonts w:eastAsia="Palatino Linotype" w:cs="Palatino Linotype"/>
          <w:szCs w:val="24"/>
        </w:rPr>
        <w:lastRenderedPageBreak/>
        <w:t>no son aptas para demostrar los hechos que en tales publicaciones se contengan, pues no reúnen las características de un documento público que se refieren en los artículos 57 y 58 del Código de Procedimientos Administrativos de apli</w:t>
      </w:r>
      <w:r w:rsidR="00A13E14">
        <w:rPr>
          <w:rFonts w:eastAsia="Palatino Linotype" w:cs="Palatino Linotype"/>
          <w:szCs w:val="24"/>
        </w:rPr>
        <w:t xml:space="preserve">cación supletoria a la materia; asimismo, resulta aplicable </w:t>
      </w:r>
      <w:r>
        <w:rPr>
          <w:rFonts w:eastAsia="Palatino Linotype" w:cs="Palatino Linotype"/>
          <w:szCs w:val="24"/>
        </w:rPr>
        <w:t xml:space="preserve">la tesis </w:t>
      </w:r>
      <w:r w:rsidRPr="00DB1492">
        <w:rPr>
          <w:rFonts w:eastAsia="Palatino Linotype" w:cs="Palatino Linotype"/>
          <w:szCs w:val="24"/>
        </w:rPr>
        <w:t>I.4o.T.4 K</w:t>
      </w:r>
      <w:r>
        <w:rPr>
          <w:rFonts w:eastAsia="Palatino Linotype" w:cs="Palatino Linotype"/>
          <w:szCs w:val="24"/>
        </w:rPr>
        <w:t xml:space="preserve">, con número de registro digital 203622, de rubro </w:t>
      </w:r>
      <w:r w:rsidR="00A13E14">
        <w:rPr>
          <w:rFonts w:eastAsia="Palatino Linotype" w:cs="Palatino Linotype"/>
          <w:b/>
          <w:szCs w:val="24"/>
        </w:rPr>
        <w:t>«</w:t>
      </w:r>
      <w:r w:rsidRPr="00DB1492">
        <w:rPr>
          <w:rFonts w:eastAsia="Palatino Linotype" w:cs="Palatino Linotype"/>
          <w:b/>
          <w:szCs w:val="24"/>
        </w:rPr>
        <w:t>NOTAS PERIODISTICAS, EL CONOCIMIENTO QUE DE ELLAS SE OBTIENE NO CONSTITUYE "UN HECHO PUBLICO Y NOTORIO"</w:t>
      </w:r>
      <w:r w:rsidR="00A13E14">
        <w:rPr>
          <w:rFonts w:eastAsia="Palatino Linotype" w:cs="Palatino Linotype"/>
          <w:b/>
          <w:szCs w:val="24"/>
        </w:rPr>
        <w:t>»</w:t>
      </w:r>
      <w:r>
        <w:rPr>
          <w:rFonts w:eastAsia="Palatino Linotype" w:cs="Palatino Linotype"/>
          <w:szCs w:val="24"/>
        </w:rPr>
        <w:t>.</w:t>
      </w:r>
    </w:p>
    <w:p w14:paraId="1892E892" w14:textId="77777777" w:rsidR="009A284A" w:rsidRDefault="009A284A" w:rsidP="009A284A">
      <w:pPr>
        <w:contextualSpacing/>
        <w:rPr>
          <w:rFonts w:eastAsia="Palatino Linotype" w:cs="Palatino Linotype"/>
          <w:szCs w:val="24"/>
        </w:rPr>
      </w:pPr>
    </w:p>
    <w:p w14:paraId="56F0D68F" w14:textId="579BB68C" w:rsidR="009A284A" w:rsidRDefault="00A13E14" w:rsidP="009A284A">
      <w:pPr>
        <w:contextualSpacing/>
        <w:rPr>
          <w:rFonts w:eastAsia="Palatino Linotype" w:cs="Palatino Linotype"/>
          <w:szCs w:val="24"/>
        </w:rPr>
      </w:pPr>
      <w:r>
        <w:rPr>
          <w:rFonts w:eastAsia="Palatino Linotype" w:cs="Palatino Linotype"/>
          <w:szCs w:val="24"/>
        </w:rPr>
        <w:t xml:space="preserve">En ese contexto, es dable concluir </w:t>
      </w:r>
      <w:proofErr w:type="gramStart"/>
      <w:r>
        <w:rPr>
          <w:rFonts w:eastAsia="Palatino Linotype" w:cs="Palatino Linotype"/>
          <w:szCs w:val="24"/>
        </w:rPr>
        <w:t>que</w:t>
      </w:r>
      <w:proofErr w:type="gramEnd"/>
      <w:r>
        <w:rPr>
          <w:rFonts w:eastAsia="Palatino Linotype" w:cs="Palatino Linotype"/>
          <w:szCs w:val="24"/>
        </w:rPr>
        <w:t xml:space="preserve"> </w:t>
      </w:r>
      <w:r w:rsidR="009A284A">
        <w:rPr>
          <w:rFonts w:eastAsia="Palatino Linotype" w:cs="Palatino Linotype"/>
          <w:szCs w:val="24"/>
        </w:rPr>
        <w:t xml:space="preserve">si bien es cierto que las notas periodísticas no constituyen una prueba plena, </w:t>
      </w:r>
      <w:r w:rsidR="009A284A" w:rsidRPr="00A13E14">
        <w:rPr>
          <w:rFonts w:eastAsia="Palatino Linotype" w:cs="Palatino Linotype"/>
          <w:b/>
          <w:szCs w:val="24"/>
        </w:rPr>
        <w:t>también lo es que permiten advertir indicios de los hechos que aparecen en su contenido</w:t>
      </w:r>
      <w:r w:rsidR="009A284A">
        <w:rPr>
          <w:rFonts w:eastAsia="Palatino Linotype" w:cs="Palatino Linotype"/>
          <w:szCs w:val="24"/>
        </w:rPr>
        <w:t>.</w:t>
      </w:r>
      <w:r>
        <w:rPr>
          <w:rFonts w:eastAsia="Palatino Linotype" w:cs="Palatino Linotype"/>
          <w:szCs w:val="24"/>
        </w:rPr>
        <w:t xml:space="preserve"> Esto aunado a que el propio Sujeto Obligado manifestó contar con el convenio referido.</w:t>
      </w:r>
    </w:p>
    <w:p w14:paraId="6B0A78C3" w14:textId="03246C0D" w:rsidR="009A284A" w:rsidRDefault="009A284A" w:rsidP="00DC2DA1"/>
    <w:p w14:paraId="11AC54C7" w14:textId="77777777" w:rsidR="00BC4DA1" w:rsidRPr="00A13E14" w:rsidRDefault="00A14125" w:rsidP="00BC4DA1">
      <w:pPr>
        <w:rPr>
          <w:rFonts w:eastAsia="Times New Roman" w:cs="Times New Roman"/>
          <w:szCs w:val="24"/>
          <w:lang w:eastAsia="es-ES"/>
        </w:rPr>
      </w:pPr>
      <w:r>
        <w:t xml:space="preserve">En esa tesitura, </w:t>
      </w:r>
      <w:r w:rsidR="00BC4DA1">
        <w:t xml:space="preserve">es </w:t>
      </w:r>
      <w:r w:rsidR="00BC4DA1">
        <w:rPr>
          <w:rFonts w:eastAsia="Palatino Linotype" w:cs="Palatino Linotype"/>
          <w:szCs w:val="24"/>
        </w:rPr>
        <w:t xml:space="preserve">viable omitir </w:t>
      </w:r>
      <w:r w:rsidR="00BC4DA1" w:rsidRPr="00012AFA">
        <w:rPr>
          <w:rFonts w:eastAsia="Times New Roman" w:cs="Times New Roman"/>
          <w:szCs w:val="24"/>
          <w:lang w:eastAsia="es-ES"/>
        </w:rPr>
        <w:t xml:space="preserve">el estudio de la naturaleza jurídica de la información pública solicitada, toda vez que el Sujeto Obligado en su respuesta, </w:t>
      </w:r>
      <w:r w:rsidR="00BC4DA1">
        <w:rPr>
          <w:rFonts w:eastAsia="Times New Roman" w:cs="Times New Roman"/>
          <w:szCs w:val="24"/>
          <w:lang w:eastAsia="es-ES"/>
        </w:rPr>
        <w:t>manifestó que cuenta con la documentación</w:t>
      </w:r>
      <w:r w:rsidR="00BC4DA1">
        <w:rPr>
          <w:rFonts w:eastAsia="Palatino Linotype" w:cs="Palatino Linotype"/>
          <w:color w:val="000000"/>
        </w:rPr>
        <w:t xml:space="preserve">, </w:t>
      </w:r>
      <w:r w:rsidR="00BC4DA1" w:rsidRPr="00012AFA">
        <w:rPr>
          <w:rFonts w:eastAsia="Times New Roman" w:cs="Times New Roman"/>
          <w:szCs w:val="24"/>
          <w:lang w:eastAsia="es-ES"/>
        </w:rPr>
        <w:t xml:space="preserve">de </w:t>
      </w:r>
      <w:r w:rsidR="00BC4DA1" w:rsidRPr="00A13E14">
        <w:rPr>
          <w:rFonts w:eastAsia="Times New Roman" w:cs="Times New Roman"/>
          <w:szCs w:val="24"/>
          <w:lang w:eastAsia="es-ES"/>
        </w:rPr>
        <w:t>lo que se deduce que existe una aceptación por parte del Sujeto Obligado que genera, administra o posee dicha información, derivada del ejercicio de sus funciones de derecho público.</w:t>
      </w:r>
    </w:p>
    <w:p w14:paraId="1B3D0593" w14:textId="77777777" w:rsidR="00BC4DA1" w:rsidRPr="00012AFA" w:rsidRDefault="00BC4DA1" w:rsidP="00BC4DA1">
      <w:pPr>
        <w:rPr>
          <w:rFonts w:eastAsia="Times New Roman" w:cs="Times New Roman"/>
          <w:szCs w:val="24"/>
          <w:lang w:eastAsia="es-ES"/>
        </w:rPr>
      </w:pPr>
    </w:p>
    <w:p w14:paraId="4DA3054E" w14:textId="0F0BA37C" w:rsidR="00A14125" w:rsidRDefault="00BC4DA1" w:rsidP="00BC4DA1">
      <w:r w:rsidRPr="00012AFA">
        <w:rPr>
          <w:rFonts w:eastAsia="Times New Roman" w:cs="Times New Roman"/>
          <w:szCs w:val="24"/>
          <w:lang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376EDB23" w14:textId="77777777" w:rsidR="00DC2DA1" w:rsidRDefault="00DC2DA1" w:rsidP="00286AA3"/>
    <w:p w14:paraId="756AE9F0" w14:textId="77777777" w:rsidR="00BC4DA1" w:rsidRDefault="00BC4DA1" w:rsidP="00BC4DA1">
      <w:pPr>
        <w:rPr>
          <w:rFonts w:eastAsia="Times New Roman" w:cs="Times New Roman"/>
          <w:szCs w:val="24"/>
          <w:lang w:eastAsia="es-ES"/>
        </w:rPr>
      </w:pPr>
      <w:r>
        <w:lastRenderedPageBreak/>
        <w:t xml:space="preserve">En ese sentido, se debe traer a colación lo estipulado en los artículos 4, 12 y 24 </w:t>
      </w:r>
      <w:r>
        <w:rPr>
          <w:rFonts w:eastAsia="Times New Roman" w:cs="Times New Roman"/>
          <w:szCs w:val="24"/>
          <w:lang w:eastAsia="es-ES"/>
        </w:rPr>
        <w:t>último párrafo de la Ley de Transparencia estatal, en los que se dispone lo siguiente:</w:t>
      </w:r>
    </w:p>
    <w:p w14:paraId="219D816B" w14:textId="77777777" w:rsidR="00BC4DA1" w:rsidRDefault="00BC4DA1" w:rsidP="00BC4DA1">
      <w:pPr>
        <w:rPr>
          <w:rFonts w:eastAsia="Times New Roman" w:cs="Times New Roman"/>
          <w:szCs w:val="24"/>
          <w:lang w:eastAsia="es-ES"/>
        </w:rPr>
      </w:pPr>
    </w:p>
    <w:p w14:paraId="327AA8A2" w14:textId="77777777" w:rsidR="00BC4DA1" w:rsidRPr="009B5C4D" w:rsidRDefault="00BC4DA1" w:rsidP="00BC4DA1">
      <w:pPr>
        <w:pStyle w:val="Fundamentos"/>
        <w:rPr>
          <w:lang w:val="es-MX" w:eastAsia="es-ES"/>
        </w:rPr>
      </w:pPr>
      <w:r w:rsidRPr="009B5C4D">
        <w:rPr>
          <w:b/>
          <w:lang w:val="es-MX" w:eastAsia="es-ES"/>
        </w:rPr>
        <w:t xml:space="preserve">Artículo 4. </w:t>
      </w:r>
      <w:r w:rsidRPr="009B5C4D">
        <w:rPr>
          <w:lang w:val="es-MX" w:eastAsia="es-ES"/>
        </w:rPr>
        <w:t>El derecho humano de acceso a la información pública es la prerrogativa de las personas para buscar, difundir, investigar, recabar, recibir y solicitar información pública, sin necesidad de acreditar personalidad ni interés jurídico.</w:t>
      </w:r>
    </w:p>
    <w:p w14:paraId="26A422A0" w14:textId="77777777" w:rsidR="00BC4DA1" w:rsidRPr="009B5C4D" w:rsidRDefault="00BC4DA1" w:rsidP="00BC4DA1">
      <w:pPr>
        <w:pStyle w:val="Fundamentos"/>
        <w:rPr>
          <w:lang w:val="es-MX" w:eastAsia="es-ES"/>
        </w:rPr>
      </w:pPr>
    </w:p>
    <w:p w14:paraId="01D10A74" w14:textId="77777777" w:rsidR="00BC4DA1" w:rsidRPr="009B5C4D" w:rsidRDefault="00BC4DA1" w:rsidP="00BC4DA1">
      <w:pPr>
        <w:pStyle w:val="Fundamentos"/>
        <w:rPr>
          <w:lang w:val="es-MX" w:eastAsia="es-ES"/>
        </w:rPr>
      </w:pPr>
      <w:r w:rsidRPr="009B5C4D">
        <w:rPr>
          <w:lang w:val="es-MX"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B8AABB4" w14:textId="77777777" w:rsidR="00BC4DA1" w:rsidRPr="009B5C4D" w:rsidRDefault="00BC4DA1" w:rsidP="00BC4DA1">
      <w:pPr>
        <w:pStyle w:val="Fundamentos"/>
        <w:rPr>
          <w:lang w:val="es-MX" w:eastAsia="es-ES"/>
        </w:rPr>
      </w:pPr>
    </w:p>
    <w:p w14:paraId="21E9EEA3" w14:textId="77777777" w:rsidR="00BC4DA1" w:rsidRDefault="00BC4DA1" w:rsidP="00BC4DA1">
      <w:pPr>
        <w:pStyle w:val="Fundamentos"/>
        <w:rPr>
          <w:lang w:val="es-MX" w:eastAsia="es-ES"/>
        </w:rPr>
      </w:pPr>
      <w:r w:rsidRPr="009B5C4D">
        <w:rPr>
          <w:lang w:val="es-MX" w:eastAsia="es-ES"/>
        </w:rPr>
        <w:t>Los sujetos obligados deben poner en práctica, políticas y programas de acceso a la información que se apeguen a criterios de publicidad, veracidad, oportunidad, precisión y suficiencia en beneficio de los solicitantes.</w:t>
      </w:r>
    </w:p>
    <w:p w14:paraId="2674B051" w14:textId="77777777" w:rsidR="00BC4DA1" w:rsidRDefault="00BC4DA1" w:rsidP="00BC4DA1">
      <w:pPr>
        <w:pStyle w:val="Fundamentos"/>
        <w:rPr>
          <w:lang w:val="es-MX" w:eastAsia="es-ES"/>
        </w:rPr>
      </w:pPr>
    </w:p>
    <w:p w14:paraId="659CE9BE" w14:textId="77777777" w:rsidR="00BC4DA1" w:rsidRPr="009B5C4D" w:rsidRDefault="00BC4DA1" w:rsidP="00BC4DA1">
      <w:pPr>
        <w:pStyle w:val="Fundamentos"/>
        <w:rPr>
          <w:lang w:val="es-MX" w:eastAsia="es-ES"/>
        </w:rPr>
      </w:pPr>
      <w:r w:rsidRPr="009B5C4D">
        <w:rPr>
          <w:b/>
          <w:lang w:val="es-MX" w:eastAsia="es-ES"/>
        </w:rPr>
        <w:t xml:space="preserve">Artículo 12. </w:t>
      </w:r>
      <w:r w:rsidRPr="009B5C4D">
        <w:rPr>
          <w:lang w:val="es-MX" w:eastAsia="es-ES"/>
        </w:rPr>
        <w:t>Quienes generen, recopilen, administren, manejen, procesen, archiven o conserven información pública serán responsables de la misma en los términos de las disposiciones jurídicas aplicables.</w:t>
      </w:r>
    </w:p>
    <w:p w14:paraId="4FC00174" w14:textId="77777777" w:rsidR="00BC4DA1" w:rsidRPr="009B5C4D" w:rsidRDefault="00BC4DA1" w:rsidP="00BC4DA1">
      <w:pPr>
        <w:pStyle w:val="Fundamentos"/>
        <w:rPr>
          <w:lang w:val="es-MX" w:eastAsia="es-ES"/>
        </w:rPr>
      </w:pPr>
    </w:p>
    <w:p w14:paraId="14049A68" w14:textId="77777777" w:rsidR="00BC4DA1" w:rsidRPr="009B5C4D" w:rsidRDefault="00BC4DA1" w:rsidP="00BC4DA1">
      <w:pPr>
        <w:pStyle w:val="Fundamentos"/>
        <w:rPr>
          <w:lang w:val="es-MX" w:eastAsia="es-ES"/>
        </w:rPr>
      </w:pPr>
      <w:r w:rsidRPr="009B5C4D">
        <w:rPr>
          <w:lang w:val="es-MX"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FA44467" w14:textId="77777777" w:rsidR="00BC4DA1" w:rsidRPr="009B5C4D" w:rsidRDefault="00BC4DA1" w:rsidP="00BC4DA1">
      <w:pPr>
        <w:pStyle w:val="Fundamentos"/>
        <w:rPr>
          <w:lang w:val="es-MX" w:eastAsia="es-ES"/>
        </w:rPr>
      </w:pPr>
    </w:p>
    <w:p w14:paraId="2BE0D4DF" w14:textId="77777777" w:rsidR="00BC4DA1" w:rsidRPr="009B5C4D" w:rsidRDefault="00BC4DA1" w:rsidP="00BC4DA1">
      <w:pPr>
        <w:pStyle w:val="Fundamentos"/>
        <w:rPr>
          <w:lang w:val="es-MX" w:eastAsia="es-ES"/>
        </w:rPr>
      </w:pPr>
      <w:r>
        <w:rPr>
          <w:b/>
          <w:lang w:val="es-MX" w:eastAsia="es-ES"/>
        </w:rPr>
        <w:t>Artículo 24</w:t>
      </w:r>
      <w:r w:rsidRPr="009B5C4D">
        <w:rPr>
          <w:b/>
          <w:lang w:val="es-MX" w:eastAsia="es-ES"/>
        </w:rPr>
        <w:t>.</w:t>
      </w:r>
      <w:r w:rsidRPr="009B5C4D">
        <w:rPr>
          <w:lang w:val="es-MX" w:eastAsia="es-ES"/>
        </w:rPr>
        <w:t xml:space="preserve"> (…)</w:t>
      </w:r>
    </w:p>
    <w:p w14:paraId="6B53445A" w14:textId="77777777" w:rsidR="00BC4DA1" w:rsidRPr="009B5C4D" w:rsidRDefault="00BC4DA1" w:rsidP="00BC4DA1">
      <w:pPr>
        <w:pStyle w:val="Fundamentos"/>
        <w:rPr>
          <w:lang w:val="es-MX" w:eastAsia="es-ES"/>
        </w:rPr>
      </w:pPr>
    </w:p>
    <w:p w14:paraId="74722CA0" w14:textId="77777777" w:rsidR="00BC4DA1" w:rsidRPr="00012AFA" w:rsidRDefault="00BC4DA1" w:rsidP="00BC4DA1">
      <w:pPr>
        <w:pStyle w:val="Fundamentos"/>
        <w:rPr>
          <w:lang w:eastAsia="es-ES"/>
        </w:rPr>
      </w:pPr>
      <w:r w:rsidRPr="009B5C4D">
        <w:rPr>
          <w:lang w:val="es-MX" w:eastAsia="es-ES"/>
        </w:rPr>
        <w:t>Los sujetos obligados solo proporcionarán la información pública que generen, administren o posean en el ejercicio de sus atribuciones.</w:t>
      </w:r>
    </w:p>
    <w:p w14:paraId="5B26E099" w14:textId="77777777" w:rsidR="00BC4DA1" w:rsidRDefault="00BC4DA1" w:rsidP="00BC4DA1"/>
    <w:p w14:paraId="7D832BC3" w14:textId="2087A317" w:rsidR="00BC4DA1" w:rsidRDefault="00BC4DA1" w:rsidP="00BC4DA1">
      <w:r>
        <w:lastRenderedPageBreak/>
        <w:t xml:space="preserve">De estos preceptos se desprende que toda la información que los sujetos obligados generen, posean o administren en el ejercicio de sus atribuciones, competencias o facultades es pública, por lo que los sujetos obligados se encuentran constreñidos a proporcionarla a los solicitantes cuando ésta obre en sus archivos y en el estado en el que se encuentre, sin estar obligados a procesar dicha información o entregarla conforme el interés de los solicitantes; por ende, </w:t>
      </w:r>
      <w:r w:rsidR="003511E3">
        <w:t>el convenio celebrado con el Tribunal de Justicia Administrativa del Estado de México se constituye como información pública.</w:t>
      </w:r>
    </w:p>
    <w:p w14:paraId="20108C8B" w14:textId="77777777" w:rsidR="003511E3" w:rsidRDefault="003511E3" w:rsidP="00BC4DA1"/>
    <w:p w14:paraId="4DDFFE49" w14:textId="40AD6D5B" w:rsidR="003511E3" w:rsidRDefault="00C20B18" w:rsidP="00BC4DA1">
      <w:r>
        <w:t>Consecuentemente</w:t>
      </w:r>
      <w:r w:rsidR="003511E3">
        <w:t>,</w:t>
      </w:r>
      <w:r>
        <w:t xml:space="preserve"> dado que el Sujeto Obligado aceptó contar con la información requerida,</w:t>
      </w:r>
      <w:r w:rsidR="003511E3">
        <w:t xml:space="preserve"> </w:t>
      </w:r>
      <w:r>
        <w:t>c</w:t>
      </w:r>
      <w:r w:rsidR="003511E3">
        <w:t xml:space="preserve">on el propósito de colmar a plenitud la pretensión del Recurrente, es necesario que </w:t>
      </w:r>
      <w:r>
        <w:t xml:space="preserve">se le </w:t>
      </w:r>
      <w:r w:rsidR="003511E3">
        <w:t>haga entrega del convenio referido en la solicitud de información</w:t>
      </w:r>
      <w:r>
        <w:t>. Empero, en el supuesto de que dicho documento contenga datos susceptibles de ser clasificados, el Sujeto Obligado deberá elaborar una versión pública en la que se eliminen, supriman o se testen esos datos, lo cual deberá ser analizado y aprobado por su Comité de Transparencia.</w:t>
      </w:r>
    </w:p>
    <w:p w14:paraId="32D98EC1" w14:textId="2C32E468" w:rsidR="00DC2DA1" w:rsidRDefault="00DC2DA1" w:rsidP="00286AA3"/>
    <w:p w14:paraId="38889D7D" w14:textId="3A63E38A" w:rsidR="003519DC" w:rsidRPr="005C5EB4" w:rsidRDefault="00A21509" w:rsidP="003519DC">
      <w:pPr>
        <w:contextualSpacing/>
        <w:rPr>
          <w:rFonts w:eastAsia="Palatino Linotype" w:cs="Palatino Linotype"/>
          <w:szCs w:val="24"/>
        </w:rPr>
      </w:pPr>
      <w:r>
        <w:rPr>
          <w:rFonts w:eastAsia="Times New Roman" w:cs="Times New Roman"/>
          <w:color w:val="000000"/>
          <w:szCs w:val="24"/>
        </w:rPr>
        <w:t xml:space="preserve">En conclusión, </w:t>
      </w:r>
      <w:r w:rsidR="00C20B18">
        <w:rPr>
          <w:rFonts w:eastAsia="Times New Roman" w:cs="Times New Roman"/>
          <w:color w:val="000000"/>
          <w:szCs w:val="24"/>
        </w:rPr>
        <w:t>p</w:t>
      </w:r>
      <w:r w:rsidRPr="005C5EB4">
        <w:rPr>
          <w:rFonts w:eastAsia="Times New Roman" w:cs="Times New Roman"/>
          <w:color w:val="000000"/>
          <w:szCs w:val="24"/>
        </w:rPr>
        <w:t xml:space="preserve">or lo argumentado anteriormente, </w:t>
      </w:r>
      <w:r w:rsidR="003519DC" w:rsidRPr="005C5EB4">
        <w:rPr>
          <w:rFonts w:eastAsia="Palatino Linotype" w:cs="Palatino Linotype"/>
          <w:szCs w:val="24"/>
        </w:rPr>
        <w:t xml:space="preserve">este Órgano Garante estima que los motivos de inconformidad del Recurrente devienen fundados, por lo que es procedente modificar la respuesta del Sujeto Obligado y ordenar la entrega del </w:t>
      </w:r>
      <w:r w:rsidR="00C20B18">
        <w:rPr>
          <w:rFonts w:eastAsia="Palatino Linotype" w:cs="Palatino Linotype"/>
          <w:szCs w:val="24"/>
        </w:rPr>
        <w:t>convenio celebrado con el Tribunal de Justicia Administrativa del Estado de México referido en la solicitud y en su respuesta; lo anterior en versión pública de ser procedente, así como del acuerdo emitido por el Comité de Transparencia con el que se funde y motive dicha versión pública.</w:t>
      </w:r>
    </w:p>
    <w:p w14:paraId="57998B7A" w14:textId="346C814C" w:rsidR="003519DC" w:rsidRDefault="003519DC" w:rsidP="00F012D3"/>
    <w:p w14:paraId="4EC45D6D" w14:textId="13FDC779" w:rsidR="00C20B18" w:rsidRDefault="00C20B18" w:rsidP="00C20B18">
      <w:pPr>
        <w:pStyle w:val="Ttulo3"/>
        <w:rPr>
          <w:rFonts w:eastAsia="Palatino Linotype"/>
        </w:rPr>
      </w:pPr>
      <w:r>
        <w:rPr>
          <w:rFonts w:eastAsia="Palatino Linotype"/>
        </w:rPr>
        <w:lastRenderedPageBreak/>
        <w:t>DE LA VERSIÓN PÚBLICA</w:t>
      </w:r>
    </w:p>
    <w:p w14:paraId="5E410ED7" w14:textId="77777777" w:rsidR="00C20B18" w:rsidRPr="00F42CE0" w:rsidRDefault="00C20B18" w:rsidP="00C20B18">
      <w:pPr>
        <w:rPr>
          <w:rFonts w:eastAsia="Palatino Linotype" w:cs="Palatino Linotype"/>
          <w:szCs w:val="24"/>
        </w:rPr>
      </w:pPr>
      <w:r w:rsidRPr="00F42CE0">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0E32BB2" w14:textId="77777777" w:rsidR="00C20B18" w:rsidRPr="00F42CE0" w:rsidRDefault="00C20B18" w:rsidP="00C20B18">
      <w:pPr>
        <w:rPr>
          <w:rFonts w:eastAsia="Palatino Linotype" w:cs="Palatino Linotype"/>
          <w:szCs w:val="24"/>
        </w:rPr>
      </w:pPr>
    </w:p>
    <w:p w14:paraId="260FFA1F"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Artículo 3.</w:t>
      </w:r>
      <w:r w:rsidRPr="00F42CE0">
        <w:rPr>
          <w:rFonts w:eastAsia="Palatino Linotype" w:cs="Palatino Linotype"/>
          <w:i/>
          <w:color w:val="000000"/>
          <w:sz w:val="22"/>
          <w:szCs w:val="24"/>
        </w:rPr>
        <w:t xml:space="preserve"> Para los efectos de la presente Ley se entenderá por:</w:t>
      </w:r>
    </w:p>
    <w:p w14:paraId="4DFB426A"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w:t>
      </w:r>
    </w:p>
    <w:p w14:paraId="3B2FC8F8"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IX. Datos personales:</w:t>
      </w:r>
      <w:r w:rsidRPr="00F42CE0">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333D95E8"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clasificada:</w:t>
      </w:r>
      <w:r w:rsidRPr="00F42CE0">
        <w:rPr>
          <w:rFonts w:eastAsia="Palatino Linotype" w:cs="Palatino Linotype"/>
          <w:i/>
          <w:color w:val="000000"/>
          <w:sz w:val="22"/>
          <w:szCs w:val="24"/>
        </w:rPr>
        <w:t xml:space="preserve"> Aquella considerada por la presente Ley como reservada o confidencial;</w:t>
      </w:r>
    </w:p>
    <w:p w14:paraId="5CACA784"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XXI.</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confidencial:</w:t>
      </w:r>
      <w:r w:rsidRPr="00F42CE0">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6A362AB"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w:t>
      </w:r>
    </w:p>
    <w:p w14:paraId="250D33A8"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XLV.</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Versión pública:</w:t>
      </w:r>
      <w:r w:rsidRPr="00F42CE0">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06837F57"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w:t>
      </w:r>
    </w:p>
    <w:p w14:paraId="7DB8CEC5"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5E1552D"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 xml:space="preserve">Artículo 91. </w:t>
      </w:r>
      <w:r w:rsidRPr="00F42CE0">
        <w:rPr>
          <w:rFonts w:eastAsia="Palatino Linotype" w:cs="Palatino Linotype"/>
          <w:i/>
          <w:color w:val="000000"/>
          <w:sz w:val="22"/>
          <w:szCs w:val="24"/>
        </w:rPr>
        <w:t>El acceso a la información pública será restringido excepcionalmente, cuando ésta sea clasificada como reservada o confidencial.</w:t>
      </w:r>
    </w:p>
    <w:p w14:paraId="208D71B2"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D4F850A"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Artículo 132.</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La clasificación de la información se llevará a cabo en el momento en que</w:t>
      </w:r>
      <w:r w:rsidRPr="00F42CE0">
        <w:rPr>
          <w:rFonts w:eastAsia="Palatino Linotype" w:cs="Palatino Linotype"/>
          <w:i/>
          <w:color w:val="000000"/>
          <w:sz w:val="22"/>
          <w:szCs w:val="24"/>
        </w:rPr>
        <w:t>:</w:t>
      </w:r>
    </w:p>
    <w:p w14:paraId="1EAFC67F"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w:t>
      </w:r>
      <w:r w:rsidRPr="00F42CE0">
        <w:rPr>
          <w:rFonts w:eastAsia="Palatino Linotype" w:cs="Palatino Linotype"/>
          <w:i/>
          <w:color w:val="000000"/>
          <w:sz w:val="22"/>
          <w:szCs w:val="24"/>
        </w:rPr>
        <w:t xml:space="preserve"> Se reciba una solicitud de acceso a la información;</w:t>
      </w:r>
    </w:p>
    <w:p w14:paraId="585EC556"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determine mediante resolución de autoridad competente; o</w:t>
      </w:r>
    </w:p>
    <w:p w14:paraId="46C54DDB"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F42CE0">
        <w:rPr>
          <w:rFonts w:eastAsia="Palatino Linotype" w:cs="Palatino Linotype"/>
          <w:b/>
          <w:i/>
          <w:color w:val="000000"/>
          <w:sz w:val="22"/>
          <w:szCs w:val="24"/>
        </w:rPr>
        <w:t>III.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generen versiones públicas para dar cumplimiento a las obligaciones de transparencia previstas en esta Ley.</w:t>
      </w:r>
    </w:p>
    <w:p w14:paraId="1A48ADB1"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w:t>
      </w:r>
    </w:p>
    <w:p w14:paraId="713C1EB0" w14:textId="77777777" w:rsidR="00C20B18" w:rsidRPr="00F42CE0" w:rsidRDefault="00C20B18" w:rsidP="00C20B18">
      <w:pPr>
        <w:rPr>
          <w:rFonts w:eastAsia="Palatino Linotype" w:cs="Palatino Linotype"/>
          <w:i/>
          <w:szCs w:val="24"/>
        </w:rPr>
      </w:pPr>
    </w:p>
    <w:p w14:paraId="2A723967" w14:textId="77777777" w:rsidR="00C20B18" w:rsidRPr="00F42CE0" w:rsidRDefault="00C20B18" w:rsidP="00C20B18">
      <w:pPr>
        <w:rPr>
          <w:rFonts w:eastAsia="Palatino Linotype" w:cs="Palatino Linotype"/>
          <w:szCs w:val="24"/>
        </w:rPr>
      </w:pPr>
      <w:r w:rsidRPr="00F42CE0">
        <w:rPr>
          <w:rFonts w:eastAsia="Palatino Linotype" w:cs="Palatino Linotype"/>
          <w:szCs w:val="24"/>
        </w:rPr>
        <w:t xml:space="preserve">De este modo, en armonía entre los principios constitucionales de máxima publicidad y de protección de datos personales, la Ley permite la elaboración de versiones públicas en </w:t>
      </w:r>
      <w:r w:rsidRPr="00F42CE0">
        <w:rPr>
          <w:rFonts w:eastAsia="Palatino Linotype" w:cs="Palatino Linotype"/>
          <w:szCs w:val="24"/>
        </w:rPr>
        <w:lastRenderedPageBreak/>
        <w:t>las que se suprima aquella información relacionada con la vida privada de los particulares.</w:t>
      </w:r>
    </w:p>
    <w:p w14:paraId="7B10FACF" w14:textId="77777777" w:rsidR="00C20B18" w:rsidRPr="00F42CE0" w:rsidRDefault="00C20B18" w:rsidP="00C20B18">
      <w:pPr>
        <w:rPr>
          <w:rFonts w:eastAsia="Palatino Linotype" w:cs="Palatino Linotype"/>
          <w:szCs w:val="24"/>
        </w:rPr>
      </w:pPr>
    </w:p>
    <w:p w14:paraId="5572C199" w14:textId="77777777" w:rsidR="00C20B18" w:rsidRPr="00F42CE0" w:rsidRDefault="00C20B18" w:rsidP="00C20B18">
      <w:pPr>
        <w:rPr>
          <w:rFonts w:eastAsia="Palatino Linotype" w:cs="Palatino Linotype"/>
          <w:szCs w:val="24"/>
        </w:rPr>
      </w:pPr>
      <w:r w:rsidRPr="00F42CE0">
        <w:rPr>
          <w:rFonts w:eastAsia="Palatino Linotype" w:cs="Palatino Linotype"/>
          <w:szCs w:val="24"/>
        </w:rPr>
        <w:t xml:space="preserve">Por otro lado, los </w:t>
      </w:r>
      <w:r w:rsidRPr="00F42CE0">
        <w:rPr>
          <w:rFonts w:eastAsia="Palatino Linotype" w:cs="Palatino Linotype"/>
          <w:i/>
          <w:szCs w:val="24"/>
        </w:rPr>
        <w:t>Lineamientos Generales en Materia de Clasificación y Desclasificación de la Información, así como para la elaboración de Versiones Públicas</w:t>
      </w:r>
      <w:r w:rsidRPr="00F42CE0">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E79E1BA" w14:textId="77777777" w:rsidR="00C20B18" w:rsidRPr="00F42CE0" w:rsidRDefault="00C20B18" w:rsidP="00C20B18">
      <w:pPr>
        <w:rPr>
          <w:rFonts w:eastAsia="Palatino Linotype" w:cs="Palatino Linotype"/>
          <w:szCs w:val="24"/>
        </w:rPr>
      </w:pPr>
    </w:p>
    <w:p w14:paraId="14D55991" w14:textId="77777777" w:rsidR="00C20B18" w:rsidRPr="00F42CE0" w:rsidRDefault="00C20B18" w:rsidP="00C20B18">
      <w:pPr>
        <w:rPr>
          <w:rFonts w:eastAsia="Palatino Linotype" w:cs="Palatino Linotype"/>
          <w:szCs w:val="24"/>
        </w:rPr>
      </w:pPr>
      <w:r>
        <w:rPr>
          <w:rFonts w:eastAsia="Palatino Linotype" w:cs="Palatino Linotype"/>
          <w:szCs w:val="24"/>
        </w:rPr>
        <w:t>Asimismo</w:t>
      </w:r>
      <w:r w:rsidRPr="00F42CE0">
        <w:rPr>
          <w:rFonts w:eastAsia="Palatino Linotype" w:cs="Palatino Linotype"/>
          <w:szCs w:val="24"/>
        </w:rPr>
        <w:t>, los Lineamientos Quincuagésimo sexto, Quincuagésimo séptimo y Quincuagésimo octavo, establecen lo siguiente:</w:t>
      </w:r>
    </w:p>
    <w:p w14:paraId="57D9BD9B" w14:textId="77777777" w:rsidR="00C20B18" w:rsidRPr="00F42CE0" w:rsidRDefault="00C20B18" w:rsidP="00C20B18">
      <w:pPr>
        <w:rPr>
          <w:rFonts w:eastAsia="Palatino Linotype" w:cs="Palatino Linotype"/>
        </w:rPr>
      </w:pPr>
    </w:p>
    <w:p w14:paraId="574BCA69" w14:textId="77777777" w:rsidR="00C20B18"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F42CE0">
        <w:rPr>
          <w:rFonts w:eastAsia="Palatino Linotype" w:cs="Palatino Linotype"/>
          <w:b/>
          <w:i/>
          <w:color w:val="000000"/>
          <w:sz w:val="22"/>
          <w:szCs w:val="24"/>
        </w:rPr>
        <w:t>Quincuagésimo sexto.</w:t>
      </w:r>
      <w:r w:rsidRPr="00F42CE0">
        <w:rPr>
          <w:rFonts w:eastAsia="Palatino Linotype" w:cs="Palatino Linotype"/>
          <w:i/>
          <w:color w:val="000000"/>
          <w:sz w:val="22"/>
          <w:szCs w:val="24"/>
        </w:rPr>
        <w:t xml:space="preserve"> </w:t>
      </w:r>
      <w:r w:rsidRPr="00EA502F">
        <w:rPr>
          <w:rFonts w:eastAsia="Palatino Linotype" w:cs="Palatino Linotype"/>
          <w:i/>
          <w:color w:val="000000"/>
          <w:sz w:val="22"/>
          <w:szCs w:val="24"/>
          <w:lang w:val="es-MX"/>
        </w:rPr>
        <w:t>Cuando la elaboración de la versión pública del documento 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expediente que contenga partes o secciones reservadas o confidenciales, genere costos</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por reproducción por derivar de una solicitud de información o determinación de una</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autoridad competente, ésta será elaborada hasta que se haya acreditado el pago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correspondiente.</w:t>
      </w:r>
    </w:p>
    <w:p w14:paraId="11A0F597"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6FA545B"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Quincuagésimo séptimo.</w:t>
      </w:r>
      <w:r w:rsidRPr="00F42CE0">
        <w:rPr>
          <w:rFonts w:eastAsia="Palatino Linotype" w:cs="Palatino Linotype"/>
          <w:i/>
          <w:color w:val="000000"/>
          <w:sz w:val="22"/>
          <w:szCs w:val="24"/>
        </w:rPr>
        <w:t xml:space="preserve"> Se considera, en principio, como información pública y no podrá omitirse de las versiones públicas la siguiente:</w:t>
      </w:r>
    </w:p>
    <w:p w14:paraId="2C83113C"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B38ED09"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11EA3BA1"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II. El nombre de los </w:t>
      </w:r>
      <w:r>
        <w:rPr>
          <w:rFonts w:eastAsia="Palatino Linotype" w:cs="Palatino Linotype"/>
          <w:i/>
          <w:color w:val="000000"/>
          <w:sz w:val="22"/>
          <w:szCs w:val="24"/>
        </w:rPr>
        <w:t>integrantes de los sujetos obligados</w:t>
      </w:r>
      <w:r w:rsidRPr="00F42CE0">
        <w:rPr>
          <w:rFonts w:eastAsia="Palatino Linotype" w:cs="Palatino Linotype"/>
          <w:i/>
          <w:color w:val="000000"/>
          <w:sz w:val="22"/>
          <w:szCs w:val="24"/>
        </w:rPr>
        <w:t xml:space="preserve"> en los documentos, y sus firmas autógrafas</w:t>
      </w:r>
      <w:r>
        <w:rPr>
          <w:rFonts w:eastAsia="Palatino Linotype" w:cs="Palatino Linotype"/>
          <w:i/>
          <w:color w:val="000000"/>
          <w:sz w:val="22"/>
          <w:szCs w:val="24"/>
        </w:rPr>
        <w:t xml:space="preserve"> o digitales</w:t>
      </w:r>
      <w:r w:rsidRPr="00F42CE0">
        <w:rPr>
          <w:rFonts w:eastAsia="Palatino Linotype" w:cs="Palatino Linotype"/>
          <w:i/>
          <w:color w:val="000000"/>
          <w:sz w:val="22"/>
          <w:szCs w:val="24"/>
        </w:rPr>
        <w:t xml:space="preserve">, cuando sean utilizados en el ejercicio de las facultades conferidas para el desempeño del servicio público, y </w:t>
      </w:r>
    </w:p>
    <w:p w14:paraId="61FE3C4B"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15BFAE9"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0B5AB89"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0482A062"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24F7B96" w14:textId="77777777" w:rsidR="00C20B18" w:rsidRPr="00F42CE0" w:rsidRDefault="00C20B18" w:rsidP="00C20B1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Quincuagésimo octavo.</w:t>
      </w:r>
      <w:r w:rsidRPr="00F42CE0">
        <w:rPr>
          <w:rFonts w:eastAsia="Palatino Linotype" w:cs="Palatino Linotype"/>
          <w:i/>
          <w:color w:val="000000"/>
          <w:sz w:val="22"/>
          <w:szCs w:val="24"/>
        </w:rPr>
        <w:t xml:space="preserve"> Los sujetos obligados garantizarán que los sistemas o medios empleados para eliminar la información en las versiones públicas </w:t>
      </w:r>
      <w:r>
        <w:rPr>
          <w:rFonts w:eastAsia="Palatino Linotype" w:cs="Palatino Linotype"/>
          <w:i/>
          <w:color w:val="000000"/>
          <w:sz w:val="22"/>
          <w:szCs w:val="24"/>
        </w:rPr>
        <w:t xml:space="preserve">sean irreversibles, de tal forma que no </w:t>
      </w:r>
      <w:r w:rsidRPr="00F42CE0">
        <w:rPr>
          <w:rFonts w:eastAsia="Palatino Linotype" w:cs="Palatino Linotype"/>
          <w:i/>
          <w:color w:val="000000"/>
          <w:sz w:val="22"/>
          <w:szCs w:val="24"/>
        </w:rPr>
        <w:t>permitan la recuperación o visualización de la misma.</w:t>
      </w:r>
    </w:p>
    <w:p w14:paraId="5E44F4DE" w14:textId="77777777" w:rsidR="00C20B18" w:rsidRPr="00F42CE0" w:rsidRDefault="00C20B18" w:rsidP="00C20B18">
      <w:pPr>
        <w:rPr>
          <w:rFonts w:eastAsia="Palatino Linotype" w:cs="Palatino Linotype"/>
          <w:i/>
          <w:szCs w:val="24"/>
        </w:rPr>
      </w:pPr>
    </w:p>
    <w:p w14:paraId="1672DE83" w14:textId="77777777" w:rsidR="00C20B18" w:rsidRPr="00F42CE0" w:rsidRDefault="00C20B18" w:rsidP="00C20B18">
      <w:pPr>
        <w:rPr>
          <w:rFonts w:eastAsia="Palatino Linotype" w:cs="Palatino Linotype"/>
          <w:szCs w:val="24"/>
        </w:rPr>
      </w:pPr>
      <w:r w:rsidRPr="00F42CE0">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FCF16B7" w14:textId="77777777" w:rsidR="00C20B18" w:rsidRPr="00F42CE0" w:rsidRDefault="00C20B18" w:rsidP="00C20B18">
      <w:pPr>
        <w:rPr>
          <w:rFonts w:eastAsia="Palatino Linotype" w:cs="Palatino Linotype"/>
          <w:szCs w:val="24"/>
        </w:rPr>
      </w:pPr>
    </w:p>
    <w:p w14:paraId="56A73D20" w14:textId="77777777" w:rsidR="00C20B18" w:rsidRPr="00F42CE0" w:rsidRDefault="00C20B18" w:rsidP="00C20B18">
      <w:pPr>
        <w:rPr>
          <w:rFonts w:eastAsia="Palatino Linotype" w:cs="Palatino Linotype"/>
          <w:szCs w:val="24"/>
        </w:rPr>
      </w:pPr>
      <w:r w:rsidRPr="00F42CE0">
        <w:rPr>
          <w:rFonts w:eastAsia="Palatino Linotype" w:cs="Palatino Linotype"/>
          <w:szCs w:val="24"/>
        </w:rPr>
        <w:t>Por lo que respecta al Acuerdo del Comité de Transparencia que sustente la versión pública de la documentación a entregar, deberá ser notificado mediante el SAIMEX.</w:t>
      </w:r>
    </w:p>
    <w:p w14:paraId="68E0DBE0" w14:textId="77777777" w:rsidR="00C20B18" w:rsidRPr="00F42CE0" w:rsidRDefault="00C20B18" w:rsidP="00C20B18">
      <w:pPr>
        <w:rPr>
          <w:rFonts w:eastAsia="Palatino Linotype" w:cs="Palatino Linotype"/>
          <w:szCs w:val="24"/>
        </w:rPr>
      </w:pPr>
    </w:p>
    <w:p w14:paraId="156005C2" w14:textId="77777777" w:rsidR="00C20B18" w:rsidRDefault="00C20B18" w:rsidP="00C20B18">
      <w:pPr>
        <w:pBdr>
          <w:top w:val="nil"/>
          <w:left w:val="nil"/>
          <w:bottom w:val="nil"/>
          <w:right w:val="nil"/>
          <w:between w:val="nil"/>
        </w:pBdr>
        <w:rPr>
          <w:rFonts w:eastAsia="Palatino Linotype" w:cs="Palatino Linotype"/>
          <w:color w:val="000000"/>
          <w:szCs w:val="24"/>
        </w:rPr>
      </w:pPr>
      <w:r w:rsidRPr="00F42CE0">
        <w:rPr>
          <w:rFonts w:eastAsia="Palatino Linotype" w:cs="Palatino Linotype"/>
          <w:color w:val="000000"/>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w:t>
      </w:r>
      <w:r w:rsidRPr="00F42CE0">
        <w:rPr>
          <w:rFonts w:eastAsia="Palatino Linotype" w:cs="Palatino Linotype"/>
          <w:color w:val="000000"/>
          <w:szCs w:val="24"/>
        </w:rPr>
        <w:lastRenderedPageBreak/>
        <w:t>Municipios, a efecto de salvaguardar el derecho de acceso a la información pública consignado a favor del Recurrente.</w:t>
      </w:r>
    </w:p>
    <w:p w14:paraId="021C8BDE" w14:textId="77777777" w:rsidR="00C20B18" w:rsidRDefault="00C20B18" w:rsidP="00F012D3"/>
    <w:p w14:paraId="0BED678B" w14:textId="67A7C457" w:rsidR="00B97B0E" w:rsidRPr="005C5EB4"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5C5EB4">
        <w:rPr>
          <w:rFonts w:eastAsia="Palatino Linotype" w:cs="Palatino Linotype"/>
          <w:b/>
          <w:color w:val="000000"/>
          <w:szCs w:val="24"/>
        </w:rPr>
        <w:t xml:space="preserve">con fundamento en la segunda hipótesis de la fracción III del artículo 186 </w:t>
      </w:r>
      <w:r w:rsidRPr="005C5EB4">
        <w:rPr>
          <w:rFonts w:eastAsia="Palatino Linotype" w:cs="Palatino Linotype"/>
          <w:color w:val="000000"/>
          <w:szCs w:val="24"/>
        </w:rPr>
        <w:t xml:space="preserve">de la Ley de Transparencia y Acceso a la Información Pública del Estado de México y Municipios, se </w:t>
      </w:r>
      <w:r w:rsidRPr="005C5EB4">
        <w:rPr>
          <w:rFonts w:eastAsia="Palatino Linotype" w:cs="Palatino Linotype"/>
          <w:b/>
          <w:color w:val="000000"/>
          <w:szCs w:val="24"/>
        </w:rPr>
        <w:t xml:space="preserve">MODIFICA </w:t>
      </w:r>
      <w:r w:rsidRPr="005C5EB4">
        <w:rPr>
          <w:rFonts w:eastAsia="Palatino Linotype" w:cs="Palatino Linotype"/>
          <w:color w:val="000000"/>
          <w:szCs w:val="24"/>
        </w:rPr>
        <w:t>la respuesta a la solicitud de información número</w:t>
      </w:r>
      <w:r w:rsidRPr="005C5EB4">
        <w:rPr>
          <w:rFonts w:eastAsia="Palatino Linotype" w:cs="Palatino Linotype"/>
          <w:b/>
          <w:color w:val="000000"/>
          <w:szCs w:val="24"/>
        </w:rPr>
        <w:t xml:space="preserve"> </w:t>
      </w:r>
      <w:r w:rsidR="00940036" w:rsidRPr="00940036">
        <w:rPr>
          <w:rFonts w:eastAsia="Palatino Linotype" w:cs="Palatino Linotype"/>
          <w:b/>
          <w:bCs/>
          <w:color w:val="000000"/>
          <w:szCs w:val="24"/>
        </w:rPr>
        <w:t>00212/ATLACOM/IP/2023</w:t>
      </w:r>
      <w:r w:rsidRPr="005C5EB4">
        <w:rPr>
          <w:rFonts w:eastAsia="Palatino Linotype" w:cs="Palatino Linotype"/>
          <w:color w:val="000000"/>
          <w:szCs w:val="24"/>
        </w:rPr>
        <w:t>, que ha sido materia del presente estudio.</w:t>
      </w:r>
    </w:p>
    <w:p w14:paraId="41A90339" w14:textId="0EE9DA60" w:rsidR="00B97B0E" w:rsidRPr="005C5EB4" w:rsidRDefault="00B97B0E" w:rsidP="00F012D3"/>
    <w:p w14:paraId="7ACEF5D9" w14:textId="4DA52709" w:rsidR="00B97B0E" w:rsidRPr="005C5EB4"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color w:val="000000"/>
          <w:szCs w:val="24"/>
        </w:rPr>
        <w:t>Por lo antes expuesto y fundado es de resolverse y,</w:t>
      </w:r>
    </w:p>
    <w:p w14:paraId="5A379020" w14:textId="77C96FCE" w:rsidR="00940036" w:rsidRPr="005C5EB4" w:rsidRDefault="00940036" w:rsidP="00B97B0E">
      <w:pPr>
        <w:pBdr>
          <w:top w:val="nil"/>
          <w:left w:val="nil"/>
          <w:bottom w:val="nil"/>
          <w:right w:val="nil"/>
          <w:between w:val="nil"/>
        </w:pBdr>
        <w:rPr>
          <w:rFonts w:eastAsia="Palatino Linotype" w:cs="Palatino Linotype"/>
          <w:color w:val="000000"/>
          <w:szCs w:val="24"/>
        </w:rPr>
      </w:pPr>
    </w:p>
    <w:p w14:paraId="70BA7519" w14:textId="77777777" w:rsidR="00B97B0E" w:rsidRPr="005C5EB4" w:rsidRDefault="00B97B0E" w:rsidP="005C5EB4">
      <w:pPr>
        <w:pStyle w:val="Ttulo1"/>
        <w:rPr>
          <w:rFonts w:eastAsia="Palatino Linotype"/>
        </w:rPr>
      </w:pPr>
      <w:r w:rsidRPr="005C5EB4">
        <w:rPr>
          <w:rFonts w:eastAsia="Palatino Linotype"/>
        </w:rPr>
        <w:t>S E    R E S U E L V E</w:t>
      </w:r>
    </w:p>
    <w:p w14:paraId="3C2B363F" w14:textId="77777777" w:rsidR="00B97B0E" w:rsidRPr="005C5EB4" w:rsidRDefault="00B97B0E" w:rsidP="00B97B0E">
      <w:pPr>
        <w:pBdr>
          <w:top w:val="nil"/>
          <w:left w:val="nil"/>
          <w:bottom w:val="nil"/>
          <w:right w:val="nil"/>
          <w:between w:val="nil"/>
        </w:pBdr>
        <w:rPr>
          <w:rFonts w:eastAsia="Palatino Linotype" w:cs="Palatino Linotype"/>
          <w:b/>
          <w:color w:val="000000"/>
          <w:szCs w:val="24"/>
        </w:rPr>
      </w:pPr>
    </w:p>
    <w:p w14:paraId="60CCD398" w14:textId="334B32E0" w:rsidR="00B97B0E" w:rsidRPr="005C5EB4" w:rsidRDefault="6011CFBC" w:rsidP="6011CFBC">
      <w:pPr>
        <w:pBdr>
          <w:top w:val="nil"/>
          <w:left w:val="nil"/>
          <w:bottom w:val="nil"/>
          <w:right w:val="nil"/>
          <w:between w:val="nil"/>
        </w:pBdr>
        <w:rPr>
          <w:rFonts w:eastAsia="Palatino Linotype" w:cs="Palatino Linotype"/>
          <w:color w:val="000000"/>
        </w:rPr>
      </w:pPr>
      <w:r w:rsidRPr="005C5EB4">
        <w:rPr>
          <w:rFonts w:eastAsia="Palatino Linotype" w:cs="Palatino Linotype"/>
          <w:b/>
          <w:bCs/>
          <w:color w:val="000000" w:themeColor="text1"/>
        </w:rPr>
        <w:t>PRIMERO.</w:t>
      </w:r>
      <w:r w:rsidRPr="005C5EB4">
        <w:rPr>
          <w:rFonts w:eastAsia="Palatino Linotype" w:cs="Palatino Linotype"/>
          <w:color w:val="000000" w:themeColor="text1"/>
        </w:rPr>
        <w:t xml:space="preserve"> Se </w:t>
      </w:r>
      <w:r w:rsidRPr="005C5EB4">
        <w:rPr>
          <w:rFonts w:eastAsia="Palatino Linotype" w:cs="Palatino Linotype"/>
          <w:b/>
          <w:bCs/>
          <w:color w:val="000000" w:themeColor="text1"/>
        </w:rPr>
        <w:t>MODIFICA</w:t>
      </w:r>
      <w:r w:rsidRPr="005C5EB4">
        <w:rPr>
          <w:rFonts w:eastAsia="Palatino Linotype" w:cs="Palatino Linotype"/>
          <w:color w:val="000000" w:themeColor="text1"/>
        </w:rPr>
        <w:t xml:space="preserve"> la respuesta entregada por el Sujeto Obligado</w:t>
      </w:r>
      <w:r w:rsidRPr="005C5EB4">
        <w:rPr>
          <w:rFonts w:eastAsia="Palatino Linotype" w:cs="Palatino Linotype"/>
          <w:b/>
          <w:bCs/>
          <w:color w:val="000000" w:themeColor="text1"/>
        </w:rPr>
        <w:t xml:space="preserve"> </w:t>
      </w:r>
      <w:r w:rsidRPr="005C5EB4">
        <w:rPr>
          <w:rFonts w:eastAsia="Palatino Linotype" w:cs="Palatino Linotype"/>
          <w:color w:val="000000" w:themeColor="text1"/>
        </w:rPr>
        <w:t xml:space="preserve">a la solicitud de información número </w:t>
      </w:r>
      <w:r w:rsidR="00940036" w:rsidRPr="00940036">
        <w:rPr>
          <w:rFonts w:eastAsia="Palatino Linotype" w:cs="Palatino Linotype"/>
          <w:b/>
          <w:bCs/>
          <w:color w:val="000000" w:themeColor="text1"/>
        </w:rPr>
        <w:t>00212/ATLACOM/IP/2023</w:t>
      </w:r>
      <w:r w:rsidRPr="005C5EB4">
        <w:rPr>
          <w:rFonts w:eastAsia="Palatino Linotype" w:cs="Palatino Linotype"/>
          <w:color w:val="000000" w:themeColor="text1"/>
        </w:rPr>
        <w:t>, por resultar fundados los motivos de inconformidad argüidos por el Recurrente, en términos del</w:t>
      </w:r>
      <w:r w:rsidRPr="005C5EB4">
        <w:rPr>
          <w:rFonts w:eastAsia="Palatino Linotype" w:cs="Palatino Linotype"/>
          <w:b/>
          <w:bCs/>
          <w:color w:val="000000" w:themeColor="text1"/>
        </w:rPr>
        <w:t xml:space="preserve"> Considerando QUINTO </w:t>
      </w:r>
      <w:r w:rsidRPr="005C5EB4">
        <w:rPr>
          <w:rFonts w:eastAsia="Palatino Linotype" w:cs="Palatino Linotype"/>
          <w:color w:val="000000" w:themeColor="text1"/>
        </w:rPr>
        <w:t xml:space="preserve">de la presente resolución. </w:t>
      </w:r>
    </w:p>
    <w:p w14:paraId="2CDE5DB7" w14:textId="77777777" w:rsidR="00B97B0E" w:rsidRPr="005C5EB4" w:rsidRDefault="00B97B0E" w:rsidP="00B97B0E">
      <w:pPr>
        <w:pBdr>
          <w:top w:val="nil"/>
          <w:left w:val="nil"/>
          <w:bottom w:val="nil"/>
          <w:right w:val="nil"/>
          <w:between w:val="nil"/>
        </w:pBdr>
        <w:rPr>
          <w:rFonts w:eastAsia="Palatino Linotype" w:cs="Palatino Linotype"/>
          <w:color w:val="000000"/>
          <w:szCs w:val="24"/>
        </w:rPr>
      </w:pPr>
    </w:p>
    <w:p w14:paraId="0C9CBB44" w14:textId="1E8D4435" w:rsidR="00B97B0E"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b/>
          <w:color w:val="000000"/>
          <w:szCs w:val="24"/>
        </w:rPr>
        <w:t>SEGUNDO.</w:t>
      </w:r>
      <w:r w:rsidRPr="005C5EB4">
        <w:rPr>
          <w:rFonts w:eastAsia="Palatino Linotype" w:cs="Palatino Linotype"/>
          <w:color w:val="000000"/>
          <w:szCs w:val="24"/>
        </w:rPr>
        <w:t xml:space="preserve"> Se </w:t>
      </w:r>
      <w:r w:rsidRPr="005C5EB4">
        <w:rPr>
          <w:rFonts w:eastAsia="Palatino Linotype" w:cs="Palatino Linotype"/>
          <w:b/>
          <w:color w:val="000000"/>
          <w:szCs w:val="24"/>
        </w:rPr>
        <w:t>ORDENA</w:t>
      </w:r>
      <w:r w:rsidRPr="005C5EB4">
        <w:rPr>
          <w:rFonts w:eastAsia="Palatino Linotype" w:cs="Palatino Linotype"/>
          <w:color w:val="000000"/>
          <w:szCs w:val="24"/>
        </w:rPr>
        <w:t xml:space="preserve"> al Sujeto Obligado que haga entrega al Recurrente mediante el Sistema de Acceso a la Información Mexiquense (SAIMEX)</w:t>
      </w:r>
      <w:r w:rsidR="00940036">
        <w:rPr>
          <w:rFonts w:eastAsia="Palatino Linotype" w:cs="Palatino Linotype"/>
          <w:color w:val="000000"/>
          <w:szCs w:val="24"/>
        </w:rPr>
        <w:t>, en versión pública de ser procedente</w:t>
      </w:r>
      <w:r w:rsidRPr="005C5EB4">
        <w:rPr>
          <w:rFonts w:eastAsia="Palatino Linotype" w:cs="Palatino Linotype"/>
          <w:color w:val="000000"/>
          <w:szCs w:val="24"/>
        </w:rPr>
        <w:t xml:space="preserve"> y en términos del </w:t>
      </w:r>
      <w:r w:rsidRPr="005C5EB4">
        <w:rPr>
          <w:rFonts w:eastAsia="Palatino Linotype" w:cs="Palatino Linotype"/>
          <w:b/>
          <w:color w:val="000000"/>
          <w:szCs w:val="24"/>
        </w:rPr>
        <w:t xml:space="preserve">Considerando </w:t>
      </w:r>
      <w:r w:rsidR="00114C24" w:rsidRPr="005C5EB4">
        <w:rPr>
          <w:rFonts w:eastAsia="Palatino Linotype" w:cs="Palatino Linotype"/>
          <w:b/>
          <w:color w:val="000000"/>
          <w:szCs w:val="24"/>
        </w:rPr>
        <w:t>QUINTO</w:t>
      </w:r>
      <w:r w:rsidRPr="005C5EB4">
        <w:rPr>
          <w:rFonts w:eastAsia="Palatino Linotype" w:cs="Palatino Linotype"/>
          <w:color w:val="000000"/>
          <w:szCs w:val="24"/>
        </w:rPr>
        <w:t>, de</w:t>
      </w:r>
      <w:r w:rsidR="00940036">
        <w:rPr>
          <w:rFonts w:eastAsia="Palatino Linotype" w:cs="Palatino Linotype"/>
          <w:color w:val="000000"/>
          <w:szCs w:val="24"/>
        </w:rPr>
        <w:t xml:space="preserve"> </w:t>
      </w:r>
      <w:r w:rsidRPr="005C5EB4">
        <w:rPr>
          <w:rFonts w:eastAsia="Palatino Linotype" w:cs="Palatino Linotype"/>
          <w:color w:val="000000"/>
          <w:szCs w:val="24"/>
        </w:rPr>
        <w:t>l</w:t>
      </w:r>
      <w:r w:rsidR="00940036">
        <w:rPr>
          <w:rFonts w:eastAsia="Palatino Linotype" w:cs="Palatino Linotype"/>
          <w:color w:val="000000"/>
          <w:szCs w:val="24"/>
        </w:rPr>
        <w:t>o siguiente:</w:t>
      </w:r>
    </w:p>
    <w:p w14:paraId="02B1F5FE" w14:textId="77777777" w:rsidR="00940036" w:rsidRDefault="00940036" w:rsidP="00B97B0E">
      <w:pPr>
        <w:pBdr>
          <w:top w:val="nil"/>
          <w:left w:val="nil"/>
          <w:bottom w:val="nil"/>
          <w:right w:val="nil"/>
          <w:between w:val="nil"/>
        </w:pBdr>
        <w:rPr>
          <w:rFonts w:eastAsia="Palatino Linotype" w:cs="Palatino Linotype"/>
          <w:color w:val="000000"/>
          <w:szCs w:val="24"/>
        </w:rPr>
      </w:pPr>
    </w:p>
    <w:p w14:paraId="4E3861AB" w14:textId="0924676A" w:rsidR="00940036" w:rsidRPr="00940036" w:rsidRDefault="00940036" w:rsidP="00940036">
      <w:pPr>
        <w:pStyle w:val="Prrafodelista"/>
        <w:numPr>
          <w:ilvl w:val="0"/>
          <w:numId w:val="37"/>
        </w:numPr>
        <w:pBdr>
          <w:top w:val="nil"/>
          <w:left w:val="nil"/>
          <w:bottom w:val="nil"/>
          <w:right w:val="nil"/>
          <w:between w:val="nil"/>
        </w:pBdr>
        <w:rPr>
          <w:rFonts w:eastAsia="Palatino Linotype" w:cs="Palatino Linotype"/>
          <w:i/>
          <w:iCs/>
          <w:color w:val="000000"/>
        </w:rPr>
      </w:pPr>
      <w:r w:rsidRPr="00940036">
        <w:rPr>
          <w:rFonts w:eastAsia="Palatino Linotype" w:cs="Palatino Linotype"/>
          <w:i/>
          <w:iCs/>
          <w:color w:val="000000"/>
        </w:rPr>
        <w:lastRenderedPageBreak/>
        <w:t>El convenio celebrado con el Tribunal de Justicia Administrativa del Estado de México referido en la solicitud de información.</w:t>
      </w:r>
    </w:p>
    <w:p w14:paraId="18753F2E" w14:textId="77777777" w:rsidR="00940036" w:rsidRDefault="00940036" w:rsidP="00940036">
      <w:pPr>
        <w:pBdr>
          <w:top w:val="nil"/>
          <w:left w:val="nil"/>
          <w:bottom w:val="nil"/>
          <w:right w:val="nil"/>
          <w:between w:val="nil"/>
        </w:pBdr>
        <w:rPr>
          <w:rFonts w:eastAsia="Palatino Linotype" w:cs="Palatino Linotype"/>
          <w:color w:val="000000"/>
        </w:rPr>
      </w:pPr>
    </w:p>
    <w:p w14:paraId="7FF8F568" w14:textId="77777777" w:rsidR="00940036" w:rsidRPr="004926E7" w:rsidRDefault="00940036" w:rsidP="00940036">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De ser necesario, c</w:t>
      </w:r>
      <w:r w:rsidRPr="004926E7">
        <w:rPr>
          <w:rFonts w:eastAsia="Palatino Linotype" w:cs="Palatino Linotype"/>
          <w:color w:val="000000"/>
          <w:szCs w:val="24"/>
        </w:rPr>
        <w:t xml:space="preserve">omo sustento de la versión pública </w:t>
      </w:r>
      <w:r>
        <w:rPr>
          <w:rFonts w:eastAsia="Palatino Linotype" w:cs="Palatino Linotype"/>
          <w:color w:val="000000"/>
          <w:szCs w:val="24"/>
        </w:rPr>
        <w:t xml:space="preserve">de los documentos referidos, </w:t>
      </w:r>
      <w:r w:rsidRPr="004926E7">
        <w:rPr>
          <w:rFonts w:eastAsia="Palatino Linotype" w:cs="Palatino Linotype"/>
          <w:color w:val="000000"/>
          <w:szCs w:val="24"/>
        </w:rPr>
        <w:t>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7D7F392B" w14:textId="77777777" w:rsidR="00B97B0E" w:rsidRPr="005C5EB4" w:rsidRDefault="00B97B0E" w:rsidP="00B97B0E">
      <w:pPr>
        <w:pBdr>
          <w:top w:val="nil"/>
          <w:left w:val="nil"/>
          <w:bottom w:val="nil"/>
          <w:right w:val="nil"/>
          <w:between w:val="nil"/>
        </w:pBdr>
        <w:rPr>
          <w:rFonts w:eastAsia="Palatino Linotype" w:cs="Palatino Linotype"/>
          <w:color w:val="000000"/>
          <w:szCs w:val="24"/>
        </w:rPr>
      </w:pPr>
    </w:p>
    <w:p w14:paraId="11B92982" w14:textId="0EF4EB73" w:rsidR="00B97B0E" w:rsidRPr="00F467A8"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b/>
          <w:color w:val="000000"/>
          <w:szCs w:val="24"/>
        </w:rPr>
        <w:t>TERCERO. Notifíquese</w:t>
      </w:r>
      <w:r w:rsidR="005C5EB4" w:rsidRPr="005C5EB4">
        <w:rPr>
          <w:rFonts w:eastAsia="Palatino Linotype" w:cs="Palatino Linotype"/>
          <w:color w:val="000000"/>
          <w:szCs w:val="24"/>
        </w:rPr>
        <w:t xml:space="preserve"> </w:t>
      </w:r>
      <w:r w:rsidR="005C5EB4">
        <w:rPr>
          <w:rFonts w:eastAsia="Palatino Linotype" w:cs="Palatino Linotype"/>
          <w:color w:val="000000"/>
          <w:szCs w:val="24"/>
        </w:rPr>
        <w:t>la presente resolución al</w:t>
      </w:r>
      <w:r w:rsidR="005C5EB4" w:rsidRPr="00B64678">
        <w:rPr>
          <w:rFonts w:eastAsia="Palatino Linotype" w:cs="Palatino Linotype"/>
          <w:color w:val="000000"/>
          <w:szCs w:val="24"/>
        </w:rPr>
        <w:t xml:space="preserve"> Titular de la Unidad de Transparencia del Sujeto Obligado para que</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conforme a</w:t>
      </w:r>
      <w:r w:rsidR="005C5EB4">
        <w:rPr>
          <w:rFonts w:eastAsia="Palatino Linotype" w:cs="Palatino Linotype"/>
          <w:color w:val="000000"/>
          <w:szCs w:val="24"/>
        </w:rPr>
        <w:t xml:space="preserve"> </w:t>
      </w:r>
      <w:r w:rsidR="005C5EB4" w:rsidRPr="00B64678">
        <w:rPr>
          <w:rFonts w:eastAsia="Palatino Linotype" w:cs="Palatino Linotype"/>
          <w:color w:val="000000"/>
          <w:szCs w:val="24"/>
        </w:rPr>
        <w:t>l</w:t>
      </w:r>
      <w:r w:rsidR="005C5EB4">
        <w:rPr>
          <w:rFonts w:eastAsia="Palatino Linotype" w:cs="Palatino Linotype"/>
          <w:color w:val="000000"/>
          <w:szCs w:val="24"/>
        </w:rPr>
        <w:t>os</w:t>
      </w:r>
      <w:r w:rsidR="005C5EB4" w:rsidRPr="00B64678">
        <w:rPr>
          <w:rFonts w:eastAsia="Palatino Linotype" w:cs="Palatino Linotype"/>
          <w:color w:val="000000"/>
          <w:szCs w:val="24"/>
        </w:rPr>
        <w:t xml:space="preserve"> artículo</w:t>
      </w:r>
      <w:r w:rsidR="005C5EB4">
        <w:rPr>
          <w:rFonts w:eastAsia="Palatino Linotype" w:cs="Palatino Linotype"/>
          <w:color w:val="000000"/>
          <w:szCs w:val="24"/>
        </w:rPr>
        <w:t>s</w:t>
      </w:r>
      <w:r w:rsidR="005C5EB4"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sidR="005C5EB4">
        <w:rPr>
          <w:rFonts w:eastAsia="Palatino Linotype" w:cs="Palatino Linotype"/>
          <w:color w:val="000000"/>
          <w:szCs w:val="24"/>
        </w:rPr>
        <w:t>; y</w:t>
      </w:r>
      <w:r w:rsidR="005C5EB4" w:rsidRPr="00B64678">
        <w:rPr>
          <w:rFonts w:eastAsia="Palatino Linotype" w:cs="Palatino Linotype"/>
          <w:color w:val="000000"/>
          <w:szCs w:val="24"/>
        </w:rPr>
        <w:t xml:space="preserve"> se le apercibe que</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214, 215 y 216 de la Ley de Transparencia y Acceso a la Información Pública del Estado de México y Municipios.</w:t>
      </w:r>
    </w:p>
    <w:p w14:paraId="077A2145" w14:textId="77777777" w:rsidR="00B97B0E" w:rsidRPr="00F467A8" w:rsidRDefault="00B97B0E" w:rsidP="00B97B0E">
      <w:pPr>
        <w:pBdr>
          <w:top w:val="nil"/>
          <w:left w:val="nil"/>
          <w:bottom w:val="nil"/>
          <w:right w:val="nil"/>
          <w:between w:val="nil"/>
        </w:pBdr>
        <w:rPr>
          <w:rFonts w:eastAsia="Palatino Linotype" w:cs="Palatino Linotype"/>
          <w:color w:val="000000"/>
          <w:szCs w:val="24"/>
        </w:rPr>
      </w:pPr>
    </w:p>
    <w:p w14:paraId="735AFAA7" w14:textId="77777777" w:rsidR="00B97B0E" w:rsidRPr="00F467A8" w:rsidRDefault="00B97B0E" w:rsidP="00B97B0E">
      <w:pPr>
        <w:pBdr>
          <w:top w:val="nil"/>
          <w:left w:val="nil"/>
          <w:bottom w:val="nil"/>
          <w:right w:val="nil"/>
          <w:between w:val="nil"/>
        </w:pBdr>
        <w:rPr>
          <w:rFonts w:eastAsia="Palatino Linotype" w:cs="Palatino Linotype"/>
          <w:color w:val="000000"/>
          <w:szCs w:val="24"/>
        </w:rPr>
      </w:pPr>
      <w:r w:rsidRPr="00F467A8">
        <w:rPr>
          <w:rFonts w:eastAsia="Palatino Linotype" w:cs="Palatino Linotype"/>
          <w:b/>
          <w:color w:val="000000"/>
          <w:szCs w:val="24"/>
        </w:rPr>
        <w:t xml:space="preserve">CUARTO. </w:t>
      </w:r>
      <w:r w:rsidRPr="00F467A8">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Pr="00F467A8">
        <w:rPr>
          <w:rFonts w:eastAsia="Palatino Linotype" w:cs="Palatino Linotype"/>
          <w:color w:val="000000"/>
          <w:szCs w:val="24"/>
        </w:rPr>
        <w:lastRenderedPageBreak/>
        <w:t>Sujeto Obligado, de manera fundada y motivada, podrá solicitar una ampliación de plazo para el cumplimiento de la presente resolución.</w:t>
      </w:r>
    </w:p>
    <w:p w14:paraId="044EC76A" w14:textId="77777777" w:rsidR="00B97B0E" w:rsidRPr="00F467A8" w:rsidRDefault="00B97B0E" w:rsidP="00B97B0E">
      <w:pPr>
        <w:pBdr>
          <w:top w:val="nil"/>
          <w:left w:val="nil"/>
          <w:bottom w:val="nil"/>
          <w:right w:val="nil"/>
          <w:between w:val="nil"/>
        </w:pBdr>
        <w:rPr>
          <w:rFonts w:eastAsia="Palatino Linotype" w:cs="Palatino Linotype"/>
          <w:b/>
          <w:color w:val="000000"/>
          <w:szCs w:val="24"/>
        </w:rPr>
      </w:pPr>
    </w:p>
    <w:p w14:paraId="5D44F2F7" w14:textId="527F7864" w:rsidR="00B97B0E" w:rsidRPr="00F467A8" w:rsidRDefault="00B97B0E" w:rsidP="00B97B0E">
      <w:pPr>
        <w:contextualSpacing/>
        <w:rPr>
          <w:rFonts w:eastAsia="Palatino Linotype" w:cs="Palatino Linotype"/>
          <w:color w:val="000000"/>
          <w:szCs w:val="24"/>
        </w:rPr>
      </w:pPr>
      <w:r w:rsidRPr="00F467A8">
        <w:rPr>
          <w:rFonts w:eastAsia="Palatino Linotype" w:cs="Palatino Linotype"/>
          <w:b/>
          <w:color w:val="000000"/>
          <w:szCs w:val="24"/>
        </w:rPr>
        <w:t xml:space="preserve">QUINTO. Notifíquese </w:t>
      </w:r>
      <w:r w:rsidR="00940036" w:rsidRPr="00940036">
        <w:rPr>
          <w:rFonts w:eastAsia="Palatino Linotype" w:cs="Palatino Linotype"/>
          <w:color w:val="000000"/>
          <w:szCs w:val="24"/>
        </w:rPr>
        <w:t>la presente resolución a</w:t>
      </w:r>
      <w:r w:rsidR="00940036">
        <w:rPr>
          <w:rFonts w:eastAsia="Palatino Linotype" w:cs="Palatino Linotype"/>
          <w:color w:val="000000"/>
          <w:szCs w:val="24"/>
        </w:rPr>
        <w:t>l</w:t>
      </w:r>
      <w:r w:rsidR="00940036" w:rsidRPr="00940036">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C6B48A7" w14:textId="77777777" w:rsidR="00B97B0E" w:rsidRDefault="00B97B0E" w:rsidP="00F012D3"/>
    <w:p w14:paraId="20573BFF" w14:textId="762E84CE" w:rsidR="00A970D5" w:rsidRPr="006922F5" w:rsidRDefault="006922F5" w:rsidP="00235736">
      <w:pPr>
        <w:pBdr>
          <w:top w:val="nil"/>
          <w:left w:val="nil"/>
          <w:bottom w:val="nil"/>
          <w:right w:val="nil"/>
          <w:between w:val="nil"/>
        </w:pBdr>
        <w:ind w:right="-8"/>
        <w:contextualSpacing/>
        <w:rPr>
          <w:rFonts w:eastAsia="Palatino Linotype" w:cs="Palatino Linotype"/>
          <w:color w:val="000000"/>
          <w:szCs w:val="24"/>
        </w:rPr>
      </w:pPr>
      <w:r>
        <w:rPr>
          <w:rFonts w:eastAsia="Palatino Linotype" w:cs="Palatino Linotype"/>
          <w:color w:val="000000"/>
          <w:szCs w:val="24"/>
        </w:rPr>
        <w:t xml:space="preserve">ASÍ LO RESUELVE, POR </w:t>
      </w:r>
      <w:r w:rsidR="00593725">
        <w:rPr>
          <w:rFonts w:eastAsia="Palatino Linotype" w:cs="Palatino Linotype"/>
          <w:color w:val="000000"/>
          <w:szCs w:val="24"/>
        </w:rPr>
        <w:t xml:space="preserve">UNANIMIDAD </w:t>
      </w:r>
      <w:r>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44803">
        <w:rPr>
          <w:rFonts w:eastAsia="Palatino Linotype" w:cs="Palatino Linotype"/>
          <w:color w:val="000000"/>
          <w:szCs w:val="24"/>
        </w:rPr>
        <w:t xml:space="preserve"> (AUSENCIA JUSTIFICADA)</w:t>
      </w:r>
      <w:r>
        <w:rPr>
          <w:rFonts w:eastAsia="Palatino Linotype" w:cs="Palatino Linotype"/>
          <w:color w:val="000000"/>
          <w:szCs w:val="24"/>
        </w:rPr>
        <w:t xml:space="preserve">, LUIS GUSTAVO PARRA NORIEGA Y GUADALUPE RAMÍREZ PEÑA, EN LA </w:t>
      </w:r>
      <w:r w:rsidR="00B42ED1">
        <w:rPr>
          <w:rFonts w:eastAsia="Palatino Linotype" w:cs="Palatino Linotype"/>
          <w:color w:val="000000"/>
          <w:szCs w:val="24"/>
        </w:rPr>
        <w:t>T</w:t>
      </w:r>
      <w:r w:rsidR="005C5EB4">
        <w:rPr>
          <w:rFonts w:eastAsia="Palatino Linotype" w:cs="Palatino Linotype"/>
          <w:color w:val="000000"/>
          <w:szCs w:val="24"/>
        </w:rPr>
        <w:t xml:space="preserve">RIGÉSIMA </w:t>
      </w:r>
      <w:r w:rsidR="00D821B8">
        <w:rPr>
          <w:rFonts w:eastAsia="Palatino Linotype" w:cs="Palatino Linotype"/>
          <w:color w:val="000000"/>
          <w:szCs w:val="24"/>
        </w:rPr>
        <w:t>SÉPTIMA</w:t>
      </w:r>
      <w:r>
        <w:rPr>
          <w:rFonts w:eastAsia="Palatino Linotype" w:cs="Palatino Linotype"/>
          <w:color w:val="000000"/>
          <w:szCs w:val="24"/>
        </w:rPr>
        <w:t xml:space="preserve"> SESIÓN ORDINARIA CELEBRADA EL</w:t>
      </w:r>
      <w:r w:rsidR="00593725">
        <w:rPr>
          <w:rFonts w:eastAsia="Palatino Linotype" w:cs="Palatino Linotype"/>
          <w:color w:val="000000"/>
          <w:szCs w:val="24"/>
        </w:rPr>
        <w:t xml:space="preserve"> </w:t>
      </w:r>
      <w:r w:rsidR="00B94046">
        <w:rPr>
          <w:rFonts w:eastAsia="Palatino Linotype" w:cs="Palatino Linotype"/>
          <w:color w:val="000000"/>
          <w:szCs w:val="24"/>
        </w:rPr>
        <w:t>DO</w:t>
      </w:r>
      <w:r w:rsidR="00D821B8">
        <w:rPr>
          <w:rFonts w:eastAsia="Palatino Linotype" w:cs="Palatino Linotype"/>
          <w:color w:val="000000"/>
          <w:szCs w:val="24"/>
        </w:rPr>
        <w:t>CE DE OCTUBRE</w:t>
      </w:r>
      <w:r w:rsidR="00593725">
        <w:rPr>
          <w:rFonts w:eastAsia="Palatino Linotype" w:cs="Palatino Linotype"/>
          <w:color w:val="000000"/>
          <w:szCs w:val="24"/>
        </w:rPr>
        <w:t xml:space="preserve"> DE DOS MIL VEINTITRÉS</w:t>
      </w:r>
      <w:r>
        <w:rPr>
          <w:rFonts w:eastAsia="Palatino Linotype" w:cs="Palatino Linotype"/>
          <w:color w:val="000000"/>
          <w:szCs w:val="24"/>
        </w:rPr>
        <w:t xml:space="preserve">, ANTE EL SECRETARIO TÉCNICO </w:t>
      </w:r>
      <w:r w:rsidR="00235736">
        <w:rPr>
          <w:rFonts w:eastAsia="Palatino Linotype" w:cs="Palatino Linotype"/>
          <w:color w:val="000000"/>
          <w:szCs w:val="24"/>
        </w:rPr>
        <w:t>DEL PLENO, ALEXIS TAPIA RAMÍREZ</w:t>
      </w:r>
      <w:r w:rsidR="002E6EDE">
        <w:rPr>
          <w:rFonts w:eastAsia="Palatino Linotype" w:cs="Palatino Linotype"/>
          <w:color w:val="000000"/>
          <w:szCs w:val="24"/>
        </w:rPr>
        <w:t>.--------------</w:t>
      </w:r>
      <w:r w:rsidR="00D821B8">
        <w:rPr>
          <w:rFonts w:eastAsia="Palatino Linotype" w:cs="Palatino Linotype"/>
          <w:color w:val="000000"/>
          <w:szCs w:val="24"/>
        </w:rPr>
        <w:t>-------------------------------------------------</w:t>
      </w:r>
      <w:r w:rsidR="00A44803">
        <w:rPr>
          <w:rFonts w:eastAsia="Palatino Linotype" w:cs="Palatino Linotype"/>
          <w:color w:val="000000"/>
          <w:szCs w:val="24"/>
        </w:rPr>
        <w:t>-----------------------------</w:t>
      </w:r>
      <w:r w:rsidR="00D821B8">
        <w:rPr>
          <w:rFonts w:eastAsia="Palatino Linotype" w:cs="Palatino Linotype"/>
          <w:color w:val="000000"/>
          <w:szCs w:val="24"/>
        </w:rPr>
        <w:t>------------------------------------------------------------------------------------------------------------------------------------------------------------------------------------------------------------------------------------------------------------------------------------------------------------------------------------------------------------------------------------------------------------------------------------------------------------------------------------</w:t>
      </w:r>
    </w:p>
    <w:p w14:paraId="4DA57669" w14:textId="77777777" w:rsidR="00A970D5" w:rsidRPr="004B7011" w:rsidRDefault="00A970D5" w:rsidP="00235736">
      <w:pPr>
        <w:pBdr>
          <w:top w:val="nil"/>
          <w:left w:val="nil"/>
          <w:bottom w:val="nil"/>
          <w:right w:val="nil"/>
          <w:between w:val="nil"/>
        </w:pBdr>
        <w:spacing w:line="240" w:lineRule="auto"/>
        <w:ind w:right="-8"/>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82583F">
      <w:headerReference w:type="even" r:id="rId10"/>
      <w:headerReference w:type="default" r:id="rId11"/>
      <w:footerReference w:type="default" r:id="rId12"/>
      <w:headerReference w:type="first" r:id="rId13"/>
      <w:footerReference w:type="first" r:id="rId14"/>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5264D" w14:textId="77777777" w:rsidR="00EE0817" w:rsidRDefault="00EE0817" w:rsidP="00F2498E">
      <w:pPr>
        <w:spacing w:line="240" w:lineRule="auto"/>
      </w:pPr>
      <w:r>
        <w:separator/>
      </w:r>
    </w:p>
  </w:endnote>
  <w:endnote w:type="continuationSeparator" w:id="0">
    <w:p w14:paraId="54C0D8B8" w14:textId="77777777" w:rsidR="00EE0817" w:rsidRDefault="00EE0817" w:rsidP="00F2498E">
      <w:pPr>
        <w:spacing w:line="240" w:lineRule="auto"/>
      </w:pPr>
      <w:r>
        <w:continuationSeparator/>
      </w:r>
    </w:p>
  </w:endnote>
  <w:endnote w:type="continuationNotice" w:id="1">
    <w:p w14:paraId="0BE25DB3" w14:textId="77777777" w:rsidR="00EE0817" w:rsidRDefault="00EE08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694BEBD1" w:rsidR="008240F4" w:rsidRPr="00871A91" w:rsidRDefault="008240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9416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94164">
      <w:rPr>
        <w:rFonts w:ascii="Palatino Linotype" w:hAnsi="Palatino Linotype"/>
        <w:b/>
        <w:bCs/>
        <w:noProof/>
        <w:sz w:val="20"/>
      </w:rPr>
      <w:t>29</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11BC94A0" w:rsidR="008240F4" w:rsidRPr="00871A91" w:rsidRDefault="008240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9416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94164">
      <w:rPr>
        <w:rFonts w:ascii="Palatino Linotype" w:hAnsi="Palatino Linotype"/>
        <w:b/>
        <w:bCs/>
        <w:noProof/>
        <w:sz w:val="20"/>
      </w:rPr>
      <w:t>29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AEB05" w14:textId="77777777" w:rsidR="00EE0817" w:rsidRDefault="00EE0817" w:rsidP="00F2498E">
      <w:pPr>
        <w:spacing w:line="240" w:lineRule="auto"/>
      </w:pPr>
      <w:r>
        <w:separator/>
      </w:r>
    </w:p>
  </w:footnote>
  <w:footnote w:type="continuationSeparator" w:id="0">
    <w:p w14:paraId="1F33F78E" w14:textId="77777777" w:rsidR="00EE0817" w:rsidRDefault="00EE0817" w:rsidP="00F2498E">
      <w:pPr>
        <w:spacing w:line="240" w:lineRule="auto"/>
      </w:pPr>
      <w:r>
        <w:continuationSeparator/>
      </w:r>
    </w:p>
  </w:footnote>
  <w:footnote w:type="continuationNotice" w:id="1">
    <w:p w14:paraId="2963C361" w14:textId="77777777" w:rsidR="00EE0817" w:rsidRDefault="00EE0817">
      <w:pPr>
        <w:spacing w:line="240" w:lineRule="auto"/>
      </w:pPr>
    </w:p>
  </w:footnote>
  <w:footnote w:id="2">
    <w:p w14:paraId="7822D80A" w14:textId="77777777" w:rsidR="008240F4" w:rsidRPr="0031280C" w:rsidRDefault="008240F4" w:rsidP="00B728EA">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BC6F955" w14:textId="77777777" w:rsidR="008240F4" w:rsidRPr="0031280C" w:rsidRDefault="008240F4" w:rsidP="00B728EA">
      <w:pPr>
        <w:pBdr>
          <w:top w:val="nil"/>
          <w:left w:val="nil"/>
          <w:bottom w:val="nil"/>
          <w:right w:val="nil"/>
          <w:between w:val="nil"/>
        </w:pBdr>
        <w:spacing w:line="240" w:lineRule="auto"/>
        <w:rPr>
          <w:rFonts w:eastAsia="Palatino Linotype" w:cs="Palatino Linotype"/>
          <w:color w:val="000000"/>
          <w:sz w:val="20"/>
          <w:szCs w:val="20"/>
        </w:rPr>
      </w:pPr>
    </w:p>
    <w:p w14:paraId="4B581BE7" w14:textId="77777777" w:rsidR="008240F4" w:rsidRPr="0031280C" w:rsidRDefault="008240F4" w:rsidP="00B728EA">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E3347A9" w14:textId="77777777" w:rsidR="008240F4" w:rsidRPr="0031280C" w:rsidRDefault="008240F4" w:rsidP="00B728EA">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7B1FA96" w14:textId="06E11660" w:rsidR="003C589C" w:rsidRPr="003C589C" w:rsidRDefault="003C589C">
      <w:pPr>
        <w:pStyle w:val="Textonotapie"/>
        <w:rPr>
          <w:sz w:val="18"/>
          <w:lang w:val="es-MX"/>
        </w:rPr>
      </w:pPr>
      <w:r w:rsidRPr="003C589C">
        <w:rPr>
          <w:rStyle w:val="Refdenotaalpie"/>
          <w:sz w:val="18"/>
        </w:rPr>
        <w:footnoteRef/>
      </w:r>
      <w:r w:rsidRPr="003C589C">
        <w:rPr>
          <w:sz w:val="18"/>
        </w:rPr>
        <w:t xml:space="preserve"> </w:t>
      </w:r>
      <w:hyperlink r:id="rId3" w:history="1">
        <w:r w:rsidRPr="003C589C">
          <w:rPr>
            <w:rStyle w:val="Hipervnculo"/>
            <w:sz w:val="18"/>
          </w:rPr>
          <w:t>https://ultranoticias.com.mx/theme-features/estado-de-mexico-portada/panorama-general-edomex/item/124171-corregir%C3%A1-gobierno-de-atlacomulco-deficiencias-en-servicios-administrativos.html</w:t>
        </w:r>
      </w:hyperlink>
      <w:r w:rsidRPr="003C589C">
        <w:rPr>
          <w:sz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8240F4" w:rsidRDefault="00B94164">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240F4" w:rsidRPr="00B17577" w14:paraId="37B9EBDE" w14:textId="77777777" w:rsidTr="003938ED">
      <w:trPr>
        <w:trHeight w:val="227"/>
      </w:trPr>
      <w:tc>
        <w:tcPr>
          <w:tcW w:w="5103" w:type="dxa"/>
          <w:hideMark/>
        </w:tcPr>
        <w:p w14:paraId="4964FBC5" w14:textId="54CDA645" w:rsidR="008240F4" w:rsidRPr="00096248" w:rsidRDefault="008240F4"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0636CC6" w:rsidR="008240F4" w:rsidRPr="00096248" w:rsidRDefault="0082583F" w:rsidP="00011C4D">
          <w:pPr>
            <w:spacing w:after="120" w:line="240" w:lineRule="auto"/>
            <w:ind w:right="71"/>
            <w:jc w:val="right"/>
            <w:rPr>
              <w:rFonts w:cs="Arial"/>
              <w:b/>
              <w:szCs w:val="24"/>
            </w:rPr>
          </w:pPr>
          <w:r>
            <w:rPr>
              <w:rFonts w:cs="Arial"/>
              <w:b/>
              <w:bCs/>
              <w:szCs w:val="24"/>
            </w:rPr>
            <w:t>04455</w:t>
          </w:r>
          <w:r w:rsidR="008240F4" w:rsidRPr="001D0070">
            <w:rPr>
              <w:rFonts w:cs="Arial"/>
              <w:b/>
              <w:bCs/>
              <w:szCs w:val="24"/>
            </w:rPr>
            <w:t>/INFOEM/IP/RR/2023</w:t>
          </w:r>
        </w:p>
      </w:tc>
    </w:tr>
    <w:tr w:rsidR="008240F4" w14:paraId="7591D3C9" w14:textId="77777777" w:rsidTr="003938ED">
      <w:trPr>
        <w:trHeight w:val="242"/>
      </w:trPr>
      <w:tc>
        <w:tcPr>
          <w:tcW w:w="5103" w:type="dxa"/>
          <w:hideMark/>
        </w:tcPr>
        <w:p w14:paraId="729A65A8" w14:textId="77777777" w:rsidR="008240F4" w:rsidRPr="00096248" w:rsidRDefault="008240F4"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C8E692A" w:rsidR="008240F4" w:rsidRPr="00096248" w:rsidRDefault="0082583F" w:rsidP="00100663">
          <w:pPr>
            <w:spacing w:after="120" w:line="240" w:lineRule="auto"/>
            <w:ind w:left="-81" w:right="71"/>
            <w:jc w:val="right"/>
            <w:rPr>
              <w:rFonts w:cs="Arial"/>
              <w:szCs w:val="24"/>
            </w:rPr>
          </w:pPr>
          <w:r>
            <w:rPr>
              <w:rFonts w:cs="Arial"/>
              <w:szCs w:val="24"/>
            </w:rPr>
            <w:t>Ayuntamiento de Atlacomulco</w:t>
          </w:r>
        </w:p>
      </w:tc>
    </w:tr>
    <w:tr w:rsidR="008240F4" w:rsidRPr="00F63239" w14:paraId="037E914D" w14:textId="77777777" w:rsidTr="003938ED">
      <w:trPr>
        <w:trHeight w:val="342"/>
      </w:trPr>
      <w:tc>
        <w:tcPr>
          <w:tcW w:w="5103" w:type="dxa"/>
          <w:hideMark/>
        </w:tcPr>
        <w:p w14:paraId="7676B68F" w14:textId="64D69EAF" w:rsidR="008240F4" w:rsidRPr="00096248" w:rsidRDefault="008240F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240F4" w:rsidRDefault="008240F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240F4" w:rsidRPr="00711916" w:rsidRDefault="008240F4" w:rsidP="00011C4D">
          <w:pPr>
            <w:spacing w:after="120" w:line="240" w:lineRule="auto"/>
            <w:ind w:left="-486" w:right="71" w:firstLine="567"/>
            <w:jc w:val="right"/>
            <w:rPr>
              <w:rFonts w:cs="Arial"/>
              <w:sz w:val="2"/>
              <w:szCs w:val="2"/>
            </w:rPr>
          </w:pPr>
        </w:p>
      </w:tc>
    </w:tr>
  </w:tbl>
  <w:p w14:paraId="2998DBFD" w14:textId="25A9F426" w:rsidR="008240F4" w:rsidRPr="00871A91" w:rsidRDefault="00B94164">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6146" type="#_x0000_t75" alt="" style="position:absolute;left:0;text-align:left;margin-left:-84.1pt;margin-top:-149.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8240F4">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240F4" w14:paraId="0F9FE9B6" w14:textId="77777777" w:rsidTr="003938ED">
      <w:trPr>
        <w:trHeight w:val="227"/>
      </w:trPr>
      <w:tc>
        <w:tcPr>
          <w:tcW w:w="5103" w:type="dxa"/>
          <w:hideMark/>
        </w:tcPr>
        <w:p w14:paraId="6D1D9D71" w14:textId="11150E5A" w:rsidR="008240F4" w:rsidRPr="00663A37" w:rsidRDefault="008240F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2EF89BB" w:rsidR="008240F4" w:rsidRPr="00C81ECD" w:rsidRDefault="0082583F" w:rsidP="00011C4D">
          <w:pPr>
            <w:spacing w:after="120" w:line="240" w:lineRule="auto"/>
            <w:ind w:left="-486" w:right="68" w:firstLine="558"/>
            <w:jc w:val="right"/>
            <w:rPr>
              <w:rFonts w:cs="Arial"/>
              <w:b/>
              <w:szCs w:val="24"/>
            </w:rPr>
          </w:pPr>
          <w:r>
            <w:rPr>
              <w:rFonts w:cs="Arial"/>
              <w:b/>
              <w:bCs/>
              <w:szCs w:val="24"/>
            </w:rPr>
            <w:t>04455</w:t>
          </w:r>
          <w:r w:rsidR="008240F4" w:rsidRPr="001D0070">
            <w:rPr>
              <w:rFonts w:cs="Arial"/>
              <w:b/>
              <w:bCs/>
              <w:szCs w:val="24"/>
            </w:rPr>
            <w:t>/INFOEM/IP/RR/2023</w:t>
          </w:r>
        </w:p>
      </w:tc>
    </w:tr>
    <w:tr w:rsidR="008240F4" w:rsidRPr="001F57CD" w14:paraId="1377D264" w14:textId="77777777" w:rsidTr="003938ED">
      <w:trPr>
        <w:trHeight w:val="196"/>
      </w:trPr>
      <w:tc>
        <w:tcPr>
          <w:tcW w:w="5103" w:type="dxa"/>
          <w:hideMark/>
        </w:tcPr>
        <w:p w14:paraId="04D597A1" w14:textId="77777777" w:rsidR="008240F4" w:rsidRPr="00663A37" w:rsidRDefault="008240F4"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A60649C" w:rsidR="008240F4" w:rsidRPr="00663A37" w:rsidRDefault="00B94164" w:rsidP="00011C4D">
          <w:pPr>
            <w:spacing w:after="120" w:line="240" w:lineRule="auto"/>
            <w:ind w:right="68"/>
            <w:jc w:val="right"/>
            <w:rPr>
              <w:rFonts w:cs="Arial"/>
              <w:szCs w:val="24"/>
            </w:rPr>
          </w:pPr>
          <w:r>
            <w:rPr>
              <w:rFonts w:cs="Arial"/>
              <w:szCs w:val="24"/>
            </w:rPr>
            <w:t>XXXXXXXXXX</w:t>
          </w:r>
        </w:p>
      </w:tc>
    </w:tr>
    <w:tr w:rsidR="008240F4" w14:paraId="4DC11993" w14:textId="77777777" w:rsidTr="003938ED">
      <w:trPr>
        <w:trHeight w:val="242"/>
      </w:trPr>
      <w:tc>
        <w:tcPr>
          <w:tcW w:w="5103" w:type="dxa"/>
          <w:hideMark/>
        </w:tcPr>
        <w:p w14:paraId="76CEF1B5" w14:textId="77777777" w:rsidR="008240F4" w:rsidRPr="00663A37" w:rsidRDefault="008240F4"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3B04429" w:rsidR="008240F4" w:rsidRPr="00663A37" w:rsidRDefault="0082583F" w:rsidP="0082583F">
          <w:pPr>
            <w:spacing w:after="120" w:line="240" w:lineRule="auto"/>
            <w:ind w:left="-70" w:right="68"/>
            <w:jc w:val="right"/>
            <w:rPr>
              <w:rFonts w:cs="Arial"/>
              <w:szCs w:val="24"/>
            </w:rPr>
          </w:pPr>
          <w:r>
            <w:rPr>
              <w:rFonts w:cs="Arial"/>
              <w:szCs w:val="24"/>
            </w:rPr>
            <w:t>Ayuntamiento de Atlacomulco</w:t>
          </w:r>
        </w:p>
      </w:tc>
    </w:tr>
    <w:tr w:rsidR="008240F4" w14:paraId="5C2B511D" w14:textId="77777777" w:rsidTr="003938ED">
      <w:trPr>
        <w:trHeight w:val="342"/>
      </w:trPr>
      <w:tc>
        <w:tcPr>
          <w:tcW w:w="5103" w:type="dxa"/>
          <w:hideMark/>
        </w:tcPr>
        <w:p w14:paraId="03FEF68C" w14:textId="45E91CF4" w:rsidR="008240F4" w:rsidRPr="00663A37" w:rsidRDefault="008240F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240F4" w:rsidRPr="00663A37" w:rsidRDefault="008240F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240F4" w:rsidRPr="00871A91" w:rsidRDefault="00B94164">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3.15pt;margin-top:-148.5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8240F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313C"/>
    <w:multiLevelType w:val="hybridMultilevel"/>
    <w:tmpl w:val="CFFA697C"/>
    <w:lvl w:ilvl="0" w:tplc="F830FA4C">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4"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5" w15:restartNumberingAfterBreak="0">
    <w:nsid w:val="2E6C32ED"/>
    <w:multiLevelType w:val="hybridMultilevel"/>
    <w:tmpl w:val="2EFCD076"/>
    <w:lvl w:ilvl="0" w:tplc="6E7E4A1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FC4F95"/>
    <w:multiLevelType w:val="hybridMultilevel"/>
    <w:tmpl w:val="35847A54"/>
    <w:lvl w:ilvl="0" w:tplc="C8120D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CB7CB8"/>
    <w:multiLevelType w:val="hybridMultilevel"/>
    <w:tmpl w:val="BE927FBC"/>
    <w:lvl w:ilvl="0" w:tplc="536CA59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D278A4"/>
    <w:multiLevelType w:val="hybridMultilevel"/>
    <w:tmpl w:val="7160FAA8"/>
    <w:lvl w:ilvl="0" w:tplc="BEE4EC0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9"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D33A6B"/>
    <w:multiLevelType w:val="multilevel"/>
    <w:tmpl w:val="75ACD4A0"/>
    <w:styleLink w:val="Listaactual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96121A"/>
    <w:multiLevelType w:val="hybridMultilevel"/>
    <w:tmpl w:val="E4F05156"/>
    <w:lvl w:ilvl="0" w:tplc="E724ED02">
      <w:start w:val="1"/>
      <w:numFmt w:val="decimal"/>
      <w:lvlText w:val="%1."/>
      <w:lvlJc w:val="left"/>
      <w:pPr>
        <w:ind w:left="709" w:hanging="425"/>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7"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29"/>
  </w:num>
  <w:num w:numId="3">
    <w:abstractNumId w:val="5"/>
  </w:num>
  <w:num w:numId="4">
    <w:abstractNumId w:val="24"/>
  </w:num>
  <w:num w:numId="5">
    <w:abstractNumId w:val="22"/>
  </w:num>
  <w:num w:numId="6">
    <w:abstractNumId w:val="8"/>
  </w:num>
  <w:num w:numId="7">
    <w:abstractNumId w:val="26"/>
  </w:num>
  <w:num w:numId="8">
    <w:abstractNumId w:val="35"/>
  </w:num>
  <w:num w:numId="9">
    <w:abstractNumId w:val="28"/>
  </w:num>
  <w:num w:numId="10">
    <w:abstractNumId w:val="4"/>
  </w:num>
  <w:num w:numId="11">
    <w:abstractNumId w:val="25"/>
  </w:num>
  <w:num w:numId="12">
    <w:abstractNumId w:val="9"/>
  </w:num>
  <w:num w:numId="13">
    <w:abstractNumId w:val="10"/>
  </w:num>
  <w:num w:numId="14">
    <w:abstractNumId w:val="23"/>
  </w:num>
  <w:num w:numId="15">
    <w:abstractNumId w:val="13"/>
  </w:num>
  <w:num w:numId="16">
    <w:abstractNumId w:val="30"/>
  </w:num>
  <w:num w:numId="17">
    <w:abstractNumId w:val="32"/>
  </w:num>
  <w:num w:numId="18">
    <w:abstractNumId w:val="2"/>
  </w:num>
  <w:num w:numId="19">
    <w:abstractNumId w:val="27"/>
  </w:num>
  <w:num w:numId="20">
    <w:abstractNumId w:val="7"/>
  </w:num>
  <w:num w:numId="21">
    <w:abstractNumId w:val="19"/>
  </w:num>
  <w:num w:numId="22">
    <w:abstractNumId w:val="3"/>
  </w:num>
  <w:num w:numId="23">
    <w:abstractNumId w:val="1"/>
  </w:num>
  <w:num w:numId="24">
    <w:abstractNumId w:val="11"/>
  </w:num>
  <w:num w:numId="25">
    <w:abstractNumId w:val="14"/>
  </w:num>
  <w:num w:numId="26">
    <w:abstractNumId w:val="12"/>
  </w:num>
  <w:num w:numId="27">
    <w:abstractNumId w:val="33"/>
  </w:num>
  <w:num w:numId="28">
    <w:abstractNumId w:val="31"/>
  </w:num>
  <w:num w:numId="29">
    <w:abstractNumId w:val="6"/>
  </w:num>
  <w:num w:numId="30">
    <w:abstractNumId w:val="20"/>
  </w:num>
  <w:num w:numId="31">
    <w:abstractNumId w:val="17"/>
  </w:num>
  <w:num w:numId="32">
    <w:abstractNumId w:val="37"/>
  </w:num>
  <w:num w:numId="33">
    <w:abstractNumId w:val="36"/>
  </w:num>
  <w:num w:numId="34">
    <w:abstractNumId w:val="21"/>
  </w:num>
  <w:num w:numId="35">
    <w:abstractNumId w:val="15"/>
  </w:num>
  <w:num w:numId="36">
    <w:abstractNumId w:val="0"/>
  </w:num>
  <w:num w:numId="37">
    <w:abstractNumId w:val="16"/>
  </w:num>
  <w:num w:numId="3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8"/>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A2"/>
    <w:rsid w:val="00002C6A"/>
    <w:rsid w:val="00002CED"/>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5E6"/>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1848"/>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4202"/>
    <w:rsid w:val="000A4CE4"/>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422C"/>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0663"/>
    <w:rsid w:val="0010147E"/>
    <w:rsid w:val="0010149D"/>
    <w:rsid w:val="00103C89"/>
    <w:rsid w:val="00103D8C"/>
    <w:rsid w:val="001050A9"/>
    <w:rsid w:val="001059AF"/>
    <w:rsid w:val="001067FE"/>
    <w:rsid w:val="00107256"/>
    <w:rsid w:val="001107C4"/>
    <w:rsid w:val="0011110C"/>
    <w:rsid w:val="001116B7"/>
    <w:rsid w:val="0011295F"/>
    <w:rsid w:val="00114C24"/>
    <w:rsid w:val="00114F1E"/>
    <w:rsid w:val="00115495"/>
    <w:rsid w:val="00116E4B"/>
    <w:rsid w:val="00116F6B"/>
    <w:rsid w:val="00121842"/>
    <w:rsid w:val="00121F46"/>
    <w:rsid w:val="001235A0"/>
    <w:rsid w:val="00123A80"/>
    <w:rsid w:val="00123D0B"/>
    <w:rsid w:val="00130C18"/>
    <w:rsid w:val="00131262"/>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2C5"/>
    <w:rsid w:val="00155CC6"/>
    <w:rsid w:val="00155F53"/>
    <w:rsid w:val="001564E3"/>
    <w:rsid w:val="00156699"/>
    <w:rsid w:val="001568D5"/>
    <w:rsid w:val="00157D2B"/>
    <w:rsid w:val="001602ED"/>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D28"/>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0070"/>
    <w:rsid w:val="001D1B77"/>
    <w:rsid w:val="001D225B"/>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A67"/>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4061"/>
    <w:rsid w:val="002349A9"/>
    <w:rsid w:val="00234E3C"/>
    <w:rsid w:val="00235736"/>
    <w:rsid w:val="0023573F"/>
    <w:rsid w:val="00236B9A"/>
    <w:rsid w:val="002372F0"/>
    <w:rsid w:val="00240046"/>
    <w:rsid w:val="00241201"/>
    <w:rsid w:val="002432E1"/>
    <w:rsid w:val="00243315"/>
    <w:rsid w:val="00245AC1"/>
    <w:rsid w:val="00246269"/>
    <w:rsid w:val="00252443"/>
    <w:rsid w:val="002530AE"/>
    <w:rsid w:val="0025386E"/>
    <w:rsid w:val="00253E5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06D1"/>
    <w:rsid w:val="002811E3"/>
    <w:rsid w:val="002813B2"/>
    <w:rsid w:val="00282431"/>
    <w:rsid w:val="00282E9E"/>
    <w:rsid w:val="00283BBD"/>
    <w:rsid w:val="00283D5E"/>
    <w:rsid w:val="00284245"/>
    <w:rsid w:val="00285034"/>
    <w:rsid w:val="00285A94"/>
    <w:rsid w:val="00286AA3"/>
    <w:rsid w:val="00287C9D"/>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2203"/>
    <w:rsid w:val="002A51B8"/>
    <w:rsid w:val="002A5ADD"/>
    <w:rsid w:val="002A5FDF"/>
    <w:rsid w:val="002A650A"/>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6EDE"/>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039"/>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11E3"/>
    <w:rsid w:val="003519DC"/>
    <w:rsid w:val="00352677"/>
    <w:rsid w:val="0035393E"/>
    <w:rsid w:val="00355981"/>
    <w:rsid w:val="00357437"/>
    <w:rsid w:val="00360189"/>
    <w:rsid w:val="0036188D"/>
    <w:rsid w:val="00362013"/>
    <w:rsid w:val="00362136"/>
    <w:rsid w:val="003623F5"/>
    <w:rsid w:val="0036336C"/>
    <w:rsid w:val="003637A1"/>
    <w:rsid w:val="00364169"/>
    <w:rsid w:val="003647C3"/>
    <w:rsid w:val="00364C0A"/>
    <w:rsid w:val="0037112D"/>
    <w:rsid w:val="003713C2"/>
    <w:rsid w:val="0037145D"/>
    <w:rsid w:val="0037172A"/>
    <w:rsid w:val="0037269A"/>
    <w:rsid w:val="0037526D"/>
    <w:rsid w:val="0037545E"/>
    <w:rsid w:val="00376405"/>
    <w:rsid w:val="0038157C"/>
    <w:rsid w:val="0038209B"/>
    <w:rsid w:val="003839F9"/>
    <w:rsid w:val="00385421"/>
    <w:rsid w:val="00386A48"/>
    <w:rsid w:val="00386F51"/>
    <w:rsid w:val="00387CF3"/>
    <w:rsid w:val="00390611"/>
    <w:rsid w:val="00391DD0"/>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94C"/>
    <w:rsid w:val="003A6D5C"/>
    <w:rsid w:val="003A7B42"/>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C589C"/>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5F"/>
    <w:rsid w:val="003E468A"/>
    <w:rsid w:val="003E4972"/>
    <w:rsid w:val="003E606D"/>
    <w:rsid w:val="003E6C77"/>
    <w:rsid w:val="003E6E17"/>
    <w:rsid w:val="003E7594"/>
    <w:rsid w:val="003F2491"/>
    <w:rsid w:val="003F308A"/>
    <w:rsid w:val="003F4582"/>
    <w:rsid w:val="003F5D5C"/>
    <w:rsid w:val="003F6192"/>
    <w:rsid w:val="003F61FA"/>
    <w:rsid w:val="00400915"/>
    <w:rsid w:val="0040187C"/>
    <w:rsid w:val="00402CBA"/>
    <w:rsid w:val="00403319"/>
    <w:rsid w:val="00404754"/>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B00"/>
    <w:rsid w:val="00421DD1"/>
    <w:rsid w:val="004232C6"/>
    <w:rsid w:val="00426124"/>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58A"/>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529A"/>
    <w:rsid w:val="00487BBD"/>
    <w:rsid w:val="004900E8"/>
    <w:rsid w:val="0049095E"/>
    <w:rsid w:val="00490C99"/>
    <w:rsid w:val="0049216F"/>
    <w:rsid w:val="004928F5"/>
    <w:rsid w:val="004933FC"/>
    <w:rsid w:val="0049368A"/>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D7EE2"/>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367"/>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209A"/>
    <w:rsid w:val="00593725"/>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5EB4"/>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7F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D18"/>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19A"/>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65B"/>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587"/>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96785"/>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4416"/>
    <w:rsid w:val="007B46BF"/>
    <w:rsid w:val="007B6DD8"/>
    <w:rsid w:val="007C009D"/>
    <w:rsid w:val="007C05DC"/>
    <w:rsid w:val="007C0FF7"/>
    <w:rsid w:val="007C14EE"/>
    <w:rsid w:val="007C17F1"/>
    <w:rsid w:val="007C3040"/>
    <w:rsid w:val="007C354C"/>
    <w:rsid w:val="007C35DF"/>
    <w:rsid w:val="007C3BA4"/>
    <w:rsid w:val="007C3BBF"/>
    <w:rsid w:val="007C44C8"/>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4E23"/>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0F4"/>
    <w:rsid w:val="00824570"/>
    <w:rsid w:val="00824E58"/>
    <w:rsid w:val="0082583F"/>
    <w:rsid w:val="008275DC"/>
    <w:rsid w:val="0082778F"/>
    <w:rsid w:val="00827D60"/>
    <w:rsid w:val="008302C5"/>
    <w:rsid w:val="00830D47"/>
    <w:rsid w:val="00831867"/>
    <w:rsid w:val="00831D6C"/>
    <w:rsid w:val="00832F6C"/>
    <w:rsid w:val="008341ED"/>
    <w:rsid w:val="008362CE"/>
    <w:rsid w:val="00837584"/>
    <w:rsid w:val="00841673"/>
    <w:rsid w:val="00841963"/>
    <w:rsid w:val="008441B1"/>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97CF4"/>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6CDF"/>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E5F35"/>
    <w:rsid w:val="008F1C22"/>
    <w:rsid w:val="008F2554"/>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1759C"/>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0036"/>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2A88"/>
    <w:rsid w:val="00963717"/>
    <w:rsid w:val="00963E37"/>
    <w:rsid w:val="00964678"/>
    <w:rsid w:val="00965CC4"/>
    <w:rsid w:val="0096624D"/>
    <w:rsid w:val="00966A2E"/>
    <w:rsid w:val="009674D4"/>
    <w:rsid w:val="009676E3"/>
    <w:rsid w:val="00970143"/>
    <w:rsid w:val="00970B7F"/>
    <w:rsid w:val="00970C38"/>
    <w:rsid w:val="00971614"/>
    <w:rsid w:val="00972340"/>
    <w:rsid w:val="009752FA"/>
    <w:rsid w:val="00977693"/>
    <w:rsid w:val="00977BB1"/>
    <w:rsid w:val="009814C1"/>
    <w:rsid w:val="009818E4"/>
    <w:rsid w:val="00982494"/>
    <w:rsid w:val="009845F3"/>
    <w:rsid w:val="009845FD"/>
    <w:rsid w:val="009849E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284A"/>
    <w:rsid w:val="009A35C9"/>
    <w:rsid w:val="009A3604"/>
    <w:rsid w:val="009A473C"/>
    <w:rsid w:val="009A52E0"/>
    <w:rsid w:val="009A640D"/>
    <w:rsid w:val="009A7F00"/>
    <w:rsid w:val="009B1548"/>
    <w:rsid w:val="009B321A"/>
    <w:rsid w:val="009B3A1D"/>
    <w:rsid w:val="009B41F0"/>
    <w:rsid w:val="009B4F7E"/>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6B17"/>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3E14"/>
    <w:rsid w:val="00A14125"/>
    <w:rsid w:val="00A14320"/>
    <w:rsid w:val="00A14E83"/>
    <w:rsid w:val="00A151A5"/>
    <w:rsid w:val="00A15263"/>
    <w:rsid w:val="00A159DE"/>
    <w:rsid w:val="00A15E74"/>
    <w:rsid w:val="00A15FB5"/>
    <w:rsid w:val="00A164FB"/>
    <w:rsid w:val="00A16BEA"/>
    <w:rsid w:val="00A175E5"/>
    <w:rsid w:val="00A178C0"/>
    <w:rsid w:val="00A17EA1"/>
    <w:rsid w:val="00A17EDF"/>
    <w:rsid w:val="00A21509"/>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4451"/>
    <w:rsid w:val="00A34742"/>
    <w:rsid w:val="00A35811"/>
    <w:rsid w:val="00A35D0A"/>
    <w:rsid w:val="00A40E66"/>
    <w:rsid w:val="00A40FB6"/>
    <w:rsid w:val="00A41712"/>
    <w:rsid w:val="00A42629"/>
    <w:rsid w:val="00A42FC0"/>
    <w:rsid w:val="00A43620"/>
    <w:rsid w:val="00A438B9"/>
    <w:rsid w:val="00A43944"/>
    <w:rsid w:val="00A43A45"/>
    <w:rsid w:val="00A43D2B"/>
    <w:rsid w:val="00A44803"/>
    <w:rsid w:val="00A4524B"/>
    <w:rsid w:val="00A45454"/>
    <w:rsid w:val="00A4637B"/>
    <w:rsid w:val="00A46BB9"/>
    <w:rsid w:val="00A476B4"/>
    <w:rsid w:val="00A476D0"/>
    <w:rsid w:val="00A50D2F"/>
    <w:rsid w:val="00A50EE4"/>
    <w:rsid w:val="00A521D4"/>
    <w:rsid w:val="00A524B2"/>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0736"/>
    <w:rsid w:val="00AD104E"/>
    <w:rsid w:val="00AD124D"/>
    <w:rsid w:val="00AD1EAE"/>
    <w:rsid w:val="00AD2280"/>
    <w:rsid w:val="00AD26C0"/>
    <w:rsid w:val="00AD3CC4"/>
    <w:rsid w:val="00AD4839"/>
    <w:rsid w:val="00AD4C7C"/>
    <w:rsid w:val="00AD76EF"/>
    <w:rsid w:val="00AD7FA9"/>
    <w:rsid w:val="00AE19D1"/>
    <w:rsid w:val="00AE2666"/>
    <w:rsid w:val="00AE29DB"/>
    <w:rsid w:val="00AE2E9B"/>
    <w:rsid w:val="00AE3BE0"/>
    <w:rsid w:val="00AE50C7"/>
    <w:rsid w:val="00AE514C"/>
    <w:rsid w:val="00AE5D09"/>
    <w:rsid w:val="00AE6037"/>
    <w:rsid w:val="00AE6272"/>
    <w:rsid w:val="00AE6B11"/>
    <w:rsid w:val="00AE7EBC"/>
    <w:rsid w:val="00AF434D"/>
    <w:rsid w:val="00AF4EE4"/>
    <w:rsid w:val="00AF75A2"/>
    <w:rsid w:val="00B0036F"/>
    <w:rsid w:val="00B00C8E"/>
    <w:rsid w:val="00B02AA5"/>
    <w:rsid w:val="00B04F50"/>
    <w:rsid w:val="00B05CA6"/>
    <w:rsid w:val="00B1073D"/>
    <w:rsid w:val="00B10D6C"/>
    <w:rsid w:val="00B11CD7"/>
    <w:rsid w:val="00B1205D"/>
    <w:rsid w:val="00B128F0"/>
    <w:rsid w:val="00B13307"/>
    <w:rsid w:val="00B1367C"/>
    <w:rsid w:val="00B13B7B"/>
    <w:rsid w:val="00B15202"/>
    <w:rsid w:val="00B1553A"/>
    <w:rsid w:val="00B17577"/>
    <w:rsid w:val="00B21CD1"/>
    <w:rsid w:val="00B23256"/>
    <w:rsid w:val="00B24CF5"/>
    <w:rsid w:val="00B25DBA"/>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ED1"/>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28EA"/>
    <w:rsid w:val="00B75226"/>
    <w:rsid w:val="00B75683"/>
    <w:rsid w:val="00B75985"/>
    <w:rsid w:val="00B76050"/>
    <w:rsid w:val="00B7667D"/>
    <w:rsid w:val="00B8179C"/>
    <w:rsid w:val="00B822DB"/>
    <w:rsid w:val="00B82D4E"/>
    <w:rsid w:val="00B84A8A"/>
    <w:rsid w:val="00B864CA"/>
    <w:rsid w:val="00B87C64"/>
    <w:rsid w:val="00B87E47"/>
    <w:rsid w:val="00B91A82"/>
    <w:rsid w:val="00B9279C"/>
    <w:rsid w:val="00B934BE"/>
    <w:rsid w:val="00B93569"/>
    <w:rsid w:val="00B94046"/>
    <w:rsid w:val="00B94164"/>
    <w:rsid w:val="00B94B37"/>
    <w:rsid w:val="00B95178"/>
    <w:rsid w:val="00B9576A"/>
    <w:rsid w:val="00B962BB"/>
    <w:rsid w:val="00B97B0E"/>
    <w:rsid w:val="00BA088E"/>
    <w:rsid w:val="00BA152C"/>
    <w:rsid w:val="00BA2861"/>
    <w:rsid w:val="00BA3873"/>
    <w:rsid w:val="00BA636A"/>
    <w:rsid w:val="00BA6707"/>
    <w:rsid w:val="00BA74AF"/>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4DA1"/>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A07"/>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6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200F2"/>
    <w:rsid w:val="00C2027F"/>
    <w:rsid w:val="00C20B16"/>
    <w:rsid w:val="00C20B18"/>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2F0F"/>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77CBD"/>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1E78"/>
    <w:rsid w:val="00CB2149"/>
    <w:rsid w:val="00CB2159"/>
    <w:rsid w:val="00CB252D"/>
    <w:rsid w:val="00CB4BBD"/>
    <w:rsid w:val="00CB4C86"/>
    <w:rsid w:val="00CB508B"/>
    <w:rsid w:val="00CB51F5"/>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3CB"/>
    <w:rsid w:val="00CF31B4"/>
    <w:rsid w:val="00CF4606"/>
    <w:rsid w:val="00CF4CEF"/>
    <w:rsid w:val="00CF6431"/>
    <w:rsid w:val="00CF6592"/>
    <w:rsid w:val="00CF6E52"/>
    <w:rsid w:val="00D00B10"/>
    <w:rsid w:val="00D01DCF"/>
    <w:rsid w:val="00D01F15"/>
    <w:rsid w:val="00D02606"/>
    <w:rsid w:val="00D0448D"/>
    <w:rsid w:val="00D04514"/>
    <w:rsid w:val="00D05D6D"/>
    <w:rsid w:val="00D062B1"/>
    <w:rsid w:val="00D067C4"/>
    <w:rsid w:val="00D076D9"/>
    <w:rsid w:val="00D100BF"/>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35D"/>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21B8"/>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2EDA"/>
    <w:rsid w:val="00DA432C"/>
    <w:rsid w:val="00DA4677"/>
    <w:rsid w:val="00DA5392"/>
    <w:rsid w:val="00DB0034"/>
    <w:rsid w:val="00DB00D6"/>
    <w:rsid w:val="00DB08A2"/>
    <w:rsid w:val="00DB0D6D"/>
    <w:rsid w:val="00DB1035"/>
    <w:rsid w:val="00DB1F84"/>
    <w:rsid w:val="00DB2F12"/>
    <w:rsid w:val="00DB44A1"/>
    <w:rsid w:val="00DB5CD7"/>
    <w:rsid w:val="00DB6647"/>
    <w:rsid w:val="00DC0C9F"/>
    <w:rsid w:val="00DC1727"/>
    <w:rsid w:val="00DC1843"/>
    <w:rsid w:val="00DC2DA1"/>
    <w:rsid w:val="00DC33BA"/>
    <w:rsid w:val="00DC4957"/>
    <w:rsid w:val="00DC4AE2"/>
    <w:rsid w:val="00DC63B3"/>
    <w:rsid w:val="00DC6B6C"/>
    <w:rsid w:val="00DD0F5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4669"/>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0BF9"/>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90F"/>
    <w:rsid w:val="00EC6ABB"/>
    <w:rsid w:val="00EC7B44"/>
    <w:rsid w:val="00ED10D9"/>
    <w:rsid w:val="00ED28F4"/>
    <w:rsid w:val="00ED2D91"/>
    <w:rsid w:val="00ED30A9"/>
    <w:rsid w:val="00ED30BB"/>
    <w:rsid w:val="00ED3FD9"/>
    <w:rsid w:val="00ED42D5"/>
    <w:rsid w:val="00ED43C6"/>
    <w:rsid w:val="00ED52D1"/>
    <w:rsid w:val="00ED5476"/>
    <w:rsid w:val="00ED62D1"/>
    <w:rsid w:val="00ED7864"/>
    <w:rsid w:val="00ED7AAE"/>
    <w:rsid w:val="00ED7DAC"/>
    <w:rsid w:val="00EE0200"/>
    <w:rsid w:val="00EE0817"/>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DAE"/>
    <w:rsid w:val="00EF5FF8"/>
    <w:rsid w:val="00EF6F58"/>
    <w:rsid w:val="00EF7935"/>
    <w:rsid w:val="00F012D3"/>
    <w:rsid w:val="00F01526"/>
    <w:rsid w:val="00F023A7"/>
    <w:rsid w:val="00F02EDC"/>
    <w:rsid w:val="00F039E2"/>
    <w:rsid w:val="00F04A95"/>
    <w:rsid w:val="00F058D3"/>
    <w:rsid w:val="00F10A38"/>
    <w:rsid w:val="00F1176A"/>
    <w:rsid w:val="00F11FF3"/>
    <w:rsid w:val="00F123B3"/>
    <w:rsid w:val="00F12BF1"/>
    <w:rsid w:val="00F12F4D"/>
    <w:rsid w:val="00F12FB0"/>
    <w:rsid w:val="00F12FD5"/>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2913"/>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2E6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 w:val="6011CFBC"/>
    <w:rsid w:val="72304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ESTUDIO RELEVANTE"/>
    <w:basedOn w:val="Normal"/>
    <w:next w:val="Normal"/>
    <w:link w:val="SinespaciadoCar"/>
    <w:uiPriority w:val="1"/>
    <w:qFormat/>
    <w:rsid w:val="00B10D6C"/>
    <w:rPr>
      <w:rFonts w:eastAsia="Times New Roman" w:cs="Times New Roman"/>
      <w:szCs w:val="24"/>
      <w:lang w:eastAsia="es-ES"/>
    </w:rPr>
  </w:style>
  <w:style w:type="character" w:customStyle="1" w:styleId="SinespaciadoCar">
    <w:name w:val="Sin espaciado Car"/>
    <w:aliases w:val="ESTUDIO RELEVANTE Car"/>
    <w:link w:val="Sinespaciado"/>
    <w:uiPriority w:val="1"/>
    <w:locked/>
    <w:rsid w:val="00B10D6C"/>
    <w:rPr>
      <w:rFonts w:ascii="Palatino Linotype" w:eastAsia="Times New Roman" w:hAnsi="Palatino Linotype" w:cs="Times New Roman"/>
      <w:sz w:val="24"/>
      <w:szCs w:val="24"/>
      <w:lang w:val="es-ES_tradnl"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940036"/>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su/1YBF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ultranoticias.com.mx/theme-features/estado-de-mexico-portada/panorama-general-edomex/item/124171-corregir%C3%A1-gobierno-de-atlacomulco-deficiencias-en-servicios-administrativos.html"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7DE8B-CA6B-40EF-9448-38AF57B2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7114</Words>
  <Characters>39130</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7</cp:revision>
  <cp:lastPrinted>2019-06-13T15:30:00Z</cp:lastPrinted>
  <dcterms:created xsi:type="dcterms:W3CDTF">2023-10-03T23:10:00Z</dcterms:created>
  <dcterms:modified xsi:type="dcterms:W3CDTF">2023-10-30T22:50:00Z</dcterms:modified>
</cp:coreProperties>
</file>