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C708" w14:textId="77777777" w:rsidR="006E7D3D" w:rsidRPr="00CA12D6" w:rsidRDefault="00886556">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A12D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A67FEE" w:rsidRPr="00CA12D6">
        <w:rPr>
          <w:rFonts w:ascii="Palatino Linotype" w:eastAsia="Palatino Linotype" w:hAnsi="Palatino Linotype" w:cs="Palatino Linotype"/>
        </w:rPr>
        <w:t xml:space="preserve">pec, Estado de México, de fecha </w:t>
      </w:r>
      <w:r w:rsidR="00E26020" w:rsidRPr="00CA12D6">
        <w:rPr>
          <w:rFonts w:ascii="Palatino Linotype" w:eastAsia="Palatino Linotype" w:hAnsi="Palatino Linotype" w:cs="Palatino Linotype"/>
          <w:b/>
        </w:rPr>
        <w:t>veinticuatro</w:t>
      </w:r>
      <w:r w:rsidR="00A67FEE" w:rsidRPr="00CA12D6">
        <w:rPr>
          <w:rFonts w:ascii="Palatino Linotype" w:eastAsia="Palatino Linotype" w:hAnsi="Palatino Linotype" w:cs="Palatino Linotype"/>
          <w:b/>
        </w:rPr>
        <w:t xml:space="preserve"> d</w:t>
      </w:r>
      <w:r w:rsidRPr="00CA12D6">
        <w:rPr>
          <w:rFonts w:ascii="Palatino Linotype" w:eastAsia="Palatino Linotype" w:hAnsi="Palatino Linotype" w:cs="Palatino Linotype"/>
          <w:b/>
        </w:rPr>
        <w:t>e mayo del dos mil veintitrés</w:t>
      </w:r>
      <w:r w:rsidRPr="00CA12D6">
        <w:rPr>
          <w:rFonts w:ascii="Palatino Linotype" w:eastAsia="Palatino Linotype" w:hAnsi="Palatino Linotype" w:cs="Palatino Linotype"/>
        </w:rPr>
        <w:t>.</w:t>
      </w:r>
    </w:p>
    <w:p w14:paraId="60A75B0A" w14:textId="77777777" w:rsidR="006E7D3D" w:rsidRPr="00CA12D6" w:rsidRDefault="00886556">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CA12D6">
        <w:rPr>
          <w:rFonts w:ascii="Palatino Linotype" w:eastAsia="Palatino Linotype" w:hAnsi="Palatino Linotype" w:cs="Palatino Linotype"/>
          <w:b/>
        </w:rPr>
        <w:t xml:space="preserve">Visto </w:t>
      </w:r>
      <w:r w:rsidRPr="00CA12D6">
        <w:rPr>
          <w:rFonts w:ascii="Palatino Linotype" w:eastAsia="Palatino Linotype" w:hAnsi="Palatino Linotype" w:cs="Palatino Linotype"/>
        </w:rPr>
        <w:t xml:space="preserve">el expediente relativo al recurso de revisión </w:t>
      </w:r>
      <w:r w:rsidR="00E26020" w:rsidRPr="00CA12D6">
        <w:rPr>
          <w:rFonts w:ascii="Palatino Linotype" w:eastAsia="Palatino Linotype" w:hAnsi="Palatino Linotype" w:cs="Palatino Linotype"/>
          <w:b/>
        </w:rPr>
        <w:t>15334/INFOEM/IP/ICR-40</w:t>
      </w:r>
      <w:r w:rsidRPr="00CA12D6">
        <w:rPr>
          <w:rFonts w:ascii="Palatino Linotype" w:eastAsia="Palatino Linotype" w:hAnsi="Palatino Linotype" w:cs="Palatino Linotype"/>
          <w:b/>
        </w:rPr>
        <w:t>/RR/2022</w:t>
      </w:r>
      <w:r w:rsidRPr="00CA12D6">
        <w:rPr>
          <w:rFonts w:ascii="Palatino Linotype" w:eastAsia="Palatino Linotype" w:hAnsi="Palatino Linotype" w:cs="Palatino Linotype"/>
        </w:rPr>
        <w:t xml:space="preserve">, interpuesto por </w:t>
      </w:r>
      <w:r w:rsidR="00E26020" w:rsidRPr="00CA12D6">
        <w:rPr>
          <w:rFonts w:ascii="Palatino Linotype" w:eastAsia="Palatino Linotype" w:hAnsi="Palatino Linotype" w:cs="Palatino Linotype"/>
        </w:rPr>
        <w:t>una persona usuaria del Sistema de Acceso a la Información Mexiquense (SAIMEX) que no proporcionó nombre o seudónimo</w:t>
      </w:r>
      <w:r w:rsidRPr="00CA12D6">
        <w:rPr>
          <w:rFonts w:ascii="Palatino Linotype" w:eastAsia="Palatino Linotype" w:hAnsi="Palatino Linotype" w:cs="Palatino Linotype"/>
          <w:b/>
        </w:rPr>
        <w:t>,</w:t>
      </w:r>
      <w:r w:rsidR="00FA2D11" w:rsidRPr="00CA12D6">
        <w:rPr>
          <w:rFonts w:ascii="Palatino Linotype" w:eastAsia="Palatino Linotype" w:hAnsi="Palatino Linotype" w:cs="Palatino Linotype"/>
          <w:b/>
        </w:rPr>
        <w:t xml:space="preserve"> </w:t>
      </w:r>
      <w:r w:rsidR="00FA2D11" w:rsidRPr="00CA12D6">
        <w:rPr>
          <w:rFonts w:ascii="Palatino Linotype" w:eastAsia="Palatino Linotype" w:hAnsi="Palatino Linotype" w:cs="Palatino Linotype"/>
        </w:rPr>
        <w:t>quien</w:t>
      </w:r>
      <w:r w:rsidRPr="00CA12D6">
        <w:rPr>
          <w:rFonts w:ascii="Palatino Linotype" w:eastAsia="Palatino Linotype" w:hAnsi="Palatino Linotype" w:cs="Palatino Linotype"/>
        </w:rPr>
        <w:t xml:space="preserve"> en lo sucesivo</w:t>
      </w:r>
      <w:r w:rsidR="00FA2D11" w:rsidRPr="00CA12D6">
        <w:rPr>
          <w:rFonts w:ascii="Palatino Linotype" w:eastAsia="Palatino Linotype" w:hAnsi="Palatino Linotype" w:cs="Palatino Linotype"/>
        </w:rPr>
        <w:t xml:space="preserve"> será identificado como</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el</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en contra de la falta de respuesta a la solicitud de información con número de folio </w:t>
      </w:r>
      <w:r w:rsidRPr="00CA12D6">
        <w:rPr>
          <w:rFonts w:ascii="Palatino Linotype" w:eastAsia="Palatino Linotype" w:hAnsi="Palatino Linotype" w:cs="Palatino Linotype"/>
          <w:b/>
        </w:rPr>
        <w:t>  </w:t>
      </w:r>
      <w:r w:rsidR="00FA2D11" w:rsidRPr="00CA12D6">
        <w:rPr>
          <w:rFonts w:ascii="Palatino Linotype" w:eastAsia="Palatino Linotype" w:hAnsi="Palatino Linotype" w:cs="Palatino Linotype"/>
          <w:b/>
        </w:rPr>
        <w:t>00842</w:t>
      </w:r>
      <w:r w:rsidRPr="00CA12D6">
        <w:rPr>
          <w:rFonts w:ascii="Palatino Linotype" w:eastAsia="Palatino Linotype" w:hAnsi="Palatino Linotype" w:cs="Palatino Linotype"/>
          <w:b/>
        </w:rPr>
        <w:t>/</w:t>
      </w:r>
      <w:r w:rsidR="00FA2D11" w:rsidRPr="00CA12D6">
        <w:rPr>
          <w:rFonts w:ascii="Palatino Linotype" w:eastAsia="Palatino Linotype" w:hAnsi="Palatino Linotype" w:cs="Palatino Linotype"/>
          <w:b/>
        </w:rPr>
        <w:t>ZINACANT</w:t>
      </w:r>
      <w:r w:rsidRPr="00CA12D6">
        <w:rPr>
          <w:rFonts w:ascii="Palatino Linotype" w:eastAsia="Palatino Linotype" w:hAnsi="Palatino Linotype" w:cs="Palatino Linotype"/>
          <w:b/>
        </w:rPr>
        <w:t>/IP/2022,</w:t>
      </w:r>
      <w:r w:rsidRPr="00CA12D6">
        <w:rPr>
          <w:rFonts w:ascii="Palatino Linotype" w:eastAsia="Palatino Linotype" w:hAnsi="Palatino Linotype" w:cs="Palatino Linotype"/>
        </w:rPr>
        <w:t xml:space="preserve"> por parte del </w:t>
      </w:r>
      <w:r w:rsidRPr="00CA12D6">
        <w:rPr>
          <w:rFonts w:ascii="Palatino Linotype" w:eastAsia="Palatino Linotype" w:hAnsi="Palatino Linotype" w:cs="Palatino Linotype"/>
          <w:b/>
        </w:rPr>
        <w:t xml:space="preserve">Ayuntamiento de </w:t>
      </w:r>
      <w:r w:rsidR="006A7FF6" w:rsidRPr="00CA12D6">
        <w:rPr>
          <w:rFonts w:ascii="Palatino Linotype" w:eastAsia="Palatino Linotype" w:hAnsi="Palatino Linotype" w:cs="Palatino Linotype"/>
          <w:b/>
        </w:rPr>
        <w:t>Zinacantepec</w:t>
      </w:r>
      <w:r w:rsidRPr="00CA12D6">
        <w:rPr>
          <w:rFonts w:ascii="Palatino Linotype" w:eastAsia="Palatino Linotype" w:hAnsi="Palatino Linotype" w:cs="Palatino Linotype"/>
        </w:rPr>
        <w:t xml:space="preserve">, en lo sucesivo el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 xml:space="preserve">en cumplimiento a la determinación del diverso con número </w:t>
      </w:r>
      <w:r w:rsidRPr="00CA12D6">
        <w:rPr>
          <w:rFonts w:ascii="Palatino Linotype" w:eastAsia="Palatino Linotype" w:hAnsi="Palatino Linotype" w:cs="Palatino Linotype"/>
          <w:b/>
        </w:rPr>
        <w:t>1</w:t>
      </w:r>
      <w:r w:rsidR="006A7FF6" w:rsidRPr="00CA12D6">
        <w:rPr>
          <w:rFonts w:ascii="Palatino Linotype" w:eastAsia="Palatino Linotype" w:hAnsi="Palatino Linotype" w:cs="Palatino Linotype"/>
          <w:b/>
        </w:rPr>
        <w:t>5334</w:t>
      </w:r>
      <w:r w:rsidRPr="00CA12D6">
        <w:rPr>
          <w:rFonts w:ascii="Palatino Linotype" w:eastAsia="Palatino Linotype" w:hAnsi="Palatino Linotype" w:cs="Palatino Linotype"/>
          <w:b/>
        </w:rPr>
        <w:t xml:space="preserve">/INFOEM//IP/RR/2022  </w:t>
      </w:r>
      <w:r w:rsidRPr="00CA12D6">
        <w:rPr>
          <w:rFonts w:ascii="Palatino Linotype" w:eastAsia="Palatino Linotype" w:hAnsi="Palatino Linotype" w:cs="Palatino Linotype"/>
        </w:rPr>
        <w:t xml:space="preserve">se procede a dictar la presente resolución con base en los siguientes: </w:t>
      </w:r>
    </w:p>
    <w:p w14:paraId="0F5C865F" w14:textId="77777777" w:rsidR="006E7D3D" w:rsidRPr="00CA12D6" w:rsidRDefault="00886556">
      <w:pPr>
        <w:spacing w:before="240" w:after="240" w:line="360" w:lineRule="auto"/>
        <w:jc w:val="center"/>
        <w:rPr>
          <w:rFonts w:ascii="Palatino Linotype" w:eastAsia="Palatino Linotype" w:hAnsi="Palatino Linotype" w:cs="Palatino Linotype"/>
          <w:b/>
        </w:rPr>
      </w:pPr>
      <w:r w:rsidRPr="00CA12D6">
        <w:rPr>
          <w:rFonts w:ascii="Palatino Linotype" w:eastAsia="Palatino Linotype" w:hAnsi="Palatino Linotype" w:cs="Palatino Linotype"/>
          <w:b/>
        </w:rPr>
        <w:t>A N T E C E D E N T E S:</w:t>
      </w:r>
    </w:p>
    <w:p w14:paraId="6B9BA807"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1. Solicitud de acceso a la información. </w:t>
      </w:r>
      <w:r w:rsidRPr="00CA12D6">
        <w:rPr>
          <w:rFonts w:ascii="Palatino Linotype" w:eastAsia="Palatino Linotype" w:hAnsi="Palatino Linotype" w:cs="Palatino Linotype"/>
        </w:rPr>
        <w:t xml:space="preserve">Con fecha </w:t>
      </w:r>
      <w:r w:rsidR="006A7FF6" w:rsidRPr="00CA12D6">
        <w:rPr>
          <w:rFonts w:ascii="Palatino Linotype" w:eastAsia="Palatino Linotype" w:hAnsi="Palatino Linotype" w:cs="Palatino Linotype"/>
          <w:b/>
        </w:rPr>
        <w:t>veintinueve de agosto de dos mil veintidós</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el Recurrente</w:t>
      </w:r>
      <w:r w:rsidRPr="00CA12D6">
        <w:rPr>
          <w:rFonts w:ascii="Palatino Linotype" w:eastAsia="Palatino Linotype" w:hAnsi="Palatino Linotype" w:cs="Palatino Linotype"/>
        </w:rPr>
        <w:t xml:space="preserve"> formuló solicitud de acceso a información pública al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a través del Sistema de Acceso a la Información Mexiquense, en adelante </w:t>
      </w:r>
      <w:r w:rsidRPr="00CA12D6">
        <w:rPr>
          <w:rFonts w:ascii="Palatino Linotype" w:eastAsia="Palatino Linotype" w:hAnsi="Palatino Linotype" w:cs="Palatino Linotype"/>
          <w:b/>
        </w:rPr>
        <w:t>SAIMEX,</w:t>
      </w:r>
      <w:r w:rsidRPr="00CA12D6">
        <w:rPr>
          <w:rFonts w:ascii="Palatino Linotype" w:eastAsia="Palatino Linotype" w:hAnsi="Palatino Linotype" w:cs="Palatino Linotype"/>
        </w:rPr>
        <w:t xml:space="preserve"> requiriéndole lo siguiente:</w:t>
      </w:r>
    </w:p>
    <w:p w14:paraId="4D89F340" w14:textId="77777777" w:rsidR="006E7D3D" w:rsidRPr="00CA12D6" w:rsidRDefault="00886556">
      <w:pPr>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r w:rsidR="001856DE" w:rsidRPr="00CA12D6">
        <w:rPr>
          <w:rFonts w:ascii="Palatino Linotype" w:eastAsia="Palatino Linotype" w:hAnsi="Palatino Linotype" w:cs="Palatino Linotype"/>
          <w:i/>
          <w:sz w:val="22"/>
          <w:szCs w:val="22"/>
        </w:rPr>
        <w:t>SOLICITO LAS OBSERVACIONES SEÑALADAS DE LA CONTRALORIA EN LAS DIVERSAS ENTREGAS RECEPCIÓN DEL AÑO 2022</w:t>
      </w:r>
      <w:r w:rsidRPr="00CA12D6">
        <w:rPr>
          <w:rFonts w:ascii="Palatino Linotype" w:eastAsia="Palatino Linotype" w:hAnsi="Palatino Linotype" w:cs="Palatino Linotype"/>
          <w:i/>
          <w:sz w:val="22"/>
          <w:szCs w:val="22"/>
        </w:rPr>
        <w:t>.” (Sic)</w:t>
      </w:r>
    </w:p>
    <w:p w14:paraId="4045CEDE" w14:textId="77777777" w:rsidR="006E7D3D" w:rsidRPr="00CA12D6" w:rsidRDefault="006E7D3D">
      <w:pPr>
        <w:ind w:left="567" w:right="900"/>
        <w:jc w:val="both"/>
        <w:rPr>
          <w:rFonts w:ascii="Palatino Linotype" w:eastAsia="Palatino Linotype" w:hAnsi="Palatino Linotype" w:cs="Palatino Linotype"/>
          <w:i/>
          <w:sz w:val="22"/>
          <w:szCs w:val="22"/>
        </w:rPr>
      </w:pPr>
    </w:p>
    <w:p w14:paraId="511DF4B6" w14:textId="77777777" w:rsidR="006E7D3D" w:rsidRPr="00CA12D6" w:rsidRDefault="00886556">
      <w:pPr>
        <w:ind w:left="567" w:right="900"/>
        <w:jc w:val="both"/>
        <w:rPr>
          <w:rFonts w:ascii="Palatino Linotype" w:eastAsia="Palatino Linotype" w:hAnsi="Palatino Linotype" w:cs="Palatino Linotype"/>
          <w:b/>
          <w:i/>
        </w:rPr>
      </w:pPr>
      <w:r w:rsidRPr="00CA12D6">
        <w:rPr>
          <w:rFonts w:ascii="Palatino Linotype" w:eastAsia="Palatino Linotype" w:hAnsi="Palatino Linotype" w:cs="Palatino Linotype"/>
          <w:b/>
        </w:rPr>
        <w:t xml:space="preserve">Archivo adjunto: </w:t>
      </w:r>
      <w:r w:rsidRPr="00CA12D6">
        <w:rPr>
          <w:rFonts w:ascii="Palatino Linotype" w:eastAsia="Palatino Linotype" w:hAnsi="Palatino Linotype" w:cs="Palatino Linotype"/>
        </w:rPr>
        <w:t>Ninguno</w:t>
      </w:r>
    </w:p>
    <w:p w14:paraId="0541D0B3" w14:textId="77777777" w:rsidR="006E7D3D" w:rsidRPr="00CA12D6" w:rsidRDefault="006E7D3D">
      <w:pPr>
        <w:ind w:left="567" w:right="900"/>
        <w:jc w:val="both"/>
        <w:rPr>
          <w:rFonts w:ascii="Palatino Linotype" w:eastAsia="Palatino Linotype" w:hAnsi="Palatino Linotype" w:cs="Palatino Linotype"/>
          <w:b/>
        </w:rPr>
      </w:pPr>
    </w:p>
    <w:p w14:paraId="48F009B1"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lastRenderedPageBreak/>
        <w:t xml:space="preserve">Modalidad elegida para la entrega de la información: </w:t>
      </w:r>
      <w:r w:rsidRPr="00CA12D6">
        <w:rPr>
          <w:rFonts w:ascii="Palatino Linotype" w:eastAsia="Palatino Linotype" w:hAnsi="Palatino Linotype" w:cs="Palatino Linotype"/>
        </w:rPr>
        <w:t xml:space="preserve">a través del </w:t>
      </w:r>
      <w:r w:rsidRPr="00CA12D6">
        <w:rPr>
          <w:rFonts w:ascii="Palatino Linotype" w:eastAsia="Palatino Linotype" w:hAnsi="Palatino Linotype" w:cs="Palatino Linotype"/>
          <w:b/>
        </w:rPr>
        <w:t>SAIMEX</w:t>
      </w:r>
      <w:r w:rsidRPr="00CA12D6">
        <w:rPr>
          <w:rFonts w:ascii="Palatino Linotype" w:eastAsia="Palatino Linotype" w:hAnsi="Palatino Linotype" w:cs="Palatino Linotype"/>
        </w:rPr>
        <w:t xml:space="preserve"> </w:t>
      </w:r>
    </w:p>
    <w:p w14:paraId="3BB09AA7" w14:textId="77777777" w:rsidR="008C7651" w:rsidRPr="00CA12D6" w:rsidRDefault="00886556" w:rsidP="008C7651">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2. </w:t>
      </w:r>
      <w:r w:rsidR="008C7651" w:rsidRPr="00CA12D6">
        <w:rPr>
          <w:rFonts w:ascii="Palatino Linotype" w:eastAsia="Palatino Linotype" w:hAnsi="Palatino Linotype" w:cs="Palatino Linotype"/>
          <w:b/>
        </w:rPr>
        <w:t>Solicitud de Aclaración</w:t>
      </w:r>
      <w:r w:rsidRPr="00CA12D6">
        <w:rPr>
          <w:rFonts w:ascii="Palatino Linotype" w:eastAsia="Palatino Linotype" w:hAnsi="Palatino Linotype" w:cs="Palatino Linotype"/>
          <w:b/>
        </w:rPr>
        <w:t xml:space="preserve">. </w:t>
      </w:r>
      <w:r w:rsidR="008C7651" w:rsidRPr="00CA12D6">
        <w:rPr>
          <w:rFonts w:ascii="Palatino Linotype" w:eastAsia="Palatino Linotype" w:hAnsi="Palatino Linotype" w:cs="Palatino Linotype"/>
        </w:rPr>
        <w:t xml:space="preserve">El </w:t>
      </w:r>
      <w:r w:rsidR="008C7651" w:rsidRPr="00CA12D6">
        <w:rPr>
          <w:rFonts w:ascii="Palatino Linotype" w:eastAsia="Palatino Linotype" w:hAnsi="Palatino Linotype" w:cs="Palatino Linotype"/>
          <w:b/>
        </w:rPr>
        <w:t>cuatro de septiembre de dos mil veintidós</w:t>
      </w:r>
      <w:r w:rsidR="008C7651" w:rsidRPr="00CA12D6">
        <w:rPr>
          <w:rFonts w:ascii="Palatino Linotype" w:eastAsia="Palatino Linotype" w:hAnsi="Palatino Linotype" w:cs="Palatino Linotype"/>
        </w:rPr>
        <w:t>, mediante el Sistema de Acceso a la Información Mexiquense (SAIMEX), la Unidad de Transparencia del Sujeto Obligado notificó al Particular un requerimiento de información adicional, tal como se muestra a continuación:</w:t>
      </w:r>
    </w:p>
    <w:p w14:paraId="0129B9DC" w14:textId="77777777" w:rsidR="008C7651" w:rsidRPr="00CA12D6" w:rsidRDefault="008C7651" w:rsidP="00280E4E">
      <w:pPr>
        <w:spacing w:before="240" w:after="240" w:line="276" w:lineRule="auto"/>
        <w:ind w:left="851" w:right="616"/>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p>
    <w:p w14:paraId="38CBE173" w14:textId="77777777" w:rsidR="008C7651" w:rsidRPr="00CA12D6" w:rsidRDefault="008C7651" w:rsidP="00280E4E">
      <w:pPr>
        <w:spacing w:before="240" w:after="240" w:line="276" w:lineRule="auto"/>
        <w:ind w:left="851" w:right="616"/>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094B8EC" w14:textId="77777777" w:rsidR="00280E4E" w:rsidRPr="00CA12D6" w:rsidRDefault="008C7651" w:rsidP="00280E4E">
      <w:pPr>
        <w:spacing w:before="240" w:after="240" w:line="276" w:lineRule="auto"/>
        <w:ind w:left="851" w:right="616"/>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(Sic)</w:t>
      </w:r>
    </w:p>
    <w:p w14:paraId="6486E0E4" w14:textId="77777777" w:rsidR="004E2DDB" w:rsidRPr="00CA12D6" w:rsidRDefault="00886556" w:rsidP="004E2DDB">
      <w:pPr>
        <w:widowControl w:val="0"/>
        <w:tabs>
          <w:tab w:val="left" w:pos="567"/>
        </w:tabs>
        <w:spacing w:line="360" w:lineRule="auto"/>
        <w:jc w:val="both"/>
        <w:rPr>
          <w:rFonts w:ascii="Palatino Linotype" w:hAnsi="Palatino Linotype" w:cs="Tahoma"/>
        </w:rPr>
      </w:pPr>
      <w:r w:rsidRPr="00CA12D6">
        <w:rPr>
          <w:rFonts w:ascii="Palatino Linotype" w:eastAsia="Palatino Linotype" w:hAnsi="Palatino Linotype" w:cs="Palatino Linotype"/>
          <w:b/>
        </w:rPr>
        <w:t xml:space="preserve">3. </w:t>
      </w:r>
      <w:r w:rsidR="004E2DDB" w:rsidRPr="00CA12D6">
        <w:rPr>
          <w:rFonts w:ascii="Palatino Linotype" w:eastAsia="Palatino Linotype" w:hAnsi="Palatino Linotype" w:cs="Palatino Linotype"/>
          <w:b/>
        </w:rPr>
        <w:t xml:space="preserve">Aclaración. </w:t>
      </w:r>
      <w:r w:rsidR="004E2DDB" w:rsidRPr="00CA12D6">
        <w:rPr>
          <w:rFonts w:ascii="Palatino Linotype" w:eastAsia="Palatino Linotype" w:hAnsi="Palatino Linotype" w:cs="Palatino Linotype"/>
        </w:rPr>
        <w:t xml:space="preserve">El </w:t>
      </w:r>
      <w:r w:rsidR="004E2DDB" w:rsidRPr="00CA12D6">
        <w:rPr>
          <w:rFonts w:ascii="Palatino Linotype" w:hAnsi="Palatino Linotype" w:cs="Segoe UI"/>
          <w:b/>
        </w:rPr>
        <w:t>cinco de septiembre de dos mil veintidós</w:t>
      </w:r>
      <w:r w:rsidR="004E2DDB" w:rsidRPr="00CA12D6">
        <w:rPr>
          <w:rFonts w:ascii="Palatino Linotype" w:eastAsia="Calibri" w:hAnsi="Palatino Linotype" w:cs="Segoe UI"/>
        </w:rPr>
        <w:t>, el Particular respondió al requerimiento de aclaración referido, mediante el Sistema de Acceso a la Información Mexiquense (SAIMEX)</w:t>
      </w:r>
      <w:r w:rsidR="004E2DDB" w:rsidRPr="00CA12D6">
        <w:rPr>
          <w:rFonts w:ascii="Palatino Linotype" w:hAnsi="Palatino Linotype" w:cs="Tahoma"/>
        </w:rPr>
        <w:t>, en los siguientes términos:</w:t>
      </w:r>
    </w:p>
    <w:p w14:paraId="256E7CA6" w14:textId="77777777" w:rsidR="004E2DDB" w:rsidRPr="00CA12D6" w:rsidRDefault="004E2DDB" w:rsidP="004E2DDB">
      <w:pPr>
        <w:widowControl w:val="0"/>
        <w:tabs>
          <w:tab w:val="left" w:pos="567"/>
        </w:tabs>
        <w:spacing w:line="360" w:lineRule="auto"/>
        <w:jc w:val="both"/>
        <w:rPr>
          <w:rFonts w:ascii="Palatino Linotype" w:hAnsi="Palatino Linotype" w:cs="Tahoma"/>
          <w:sz w:val="20"/>
          <w:szCs w:val="20"/>
        </w:rPr>
      </w:pPr>
    </w:p>
    <w:p w14:paraId="1AB0A7E0" w14:textId="77777777" w:rsidR="004E2DDB" w:rsidRPr="00CA12D6" w:rsidRDefault="004E2DDB" w:rsidP="004E2DDB">
      <w:pPr>
        <w:tabs>
          <w:tab w:val="left" w:pos="851"/>
        </w:tabs>
        <w:spacing w:line="360" w:lineRule="auto"/>
        <w:ind w:left="567" w:right="539" w:firstLine="284"/>
        <w:jc w:val="both"/>
        <w:rPr>
          <w:rFonts w:ascii="Palatino Linotype" w:hAnsi="Palatino Linotype" w:cs="Tahoma"/>
          <w:i/>
          <w:sz w:val="20"/>
        </w:rPr>
      </w:pPr>
      <w:r w:rsidRPr="00CA12D6">
        <w:rPr>
          <w:rFonts w:ascii="Palatino Linotype" w:hAnsi="Palatino Linotype" w:cs="Tahoma"/>
          <w:i/>
          <w:sz w:val="20"/>
        </w:rPr>
        <w:t>“LA SOLICITUD ES MUY CLARA” (sic)</w:t>
      </w:r>
    </w:p>
    <w:p w14:paraId="0624FF5D" w14:textId="77777777" w:rsidR="004E2DDB" w:rsidRPr="00CA12D6" w:rsidRDefault="004E2DDB" w:rsidP="004E2DDB">
      <w:pPr>
        <w:spacing w:before="240" w:after="240" w:line="360" w:lineRule="auto"/>
        <w:jc w:val="both"/>
        <w:rPr>
          <w:rFonts w:ascii="Palatino Linotype" w:eastAsia="Palatino Linotype" w:hAnsi="Palatino Linotype" w:cs="Palatino Linotype"/>
        </w:rPr>
      </w:pPr>
    </w:p>
    <w:p w14:paraId="54655519" w14:textId="77777777" w:rsidR="004E2DDB" w:rsidRPr="00CA12D6" w:rsidRDefault="004E2DDB" w:rsidP="008C7651">
      <w:pPr>
        <w:spacing w:before="240" w:after="240" w:line="360" w:lineRule="auto"/>
        <w:jc w:val="both"/>
        <w:rPr>
          <w:rFonts w:ascii="Palatino Linotype" w:eastAsia="Palatino Linotype" w:hAnsi="Palatino Linotype" w:cs="Palatino Linotype"/>
          <w:b/>
        </w:rPr>
      </w:pPr>
    </w:p>
    <w:p w14:paraId="4E7E7068" w14:textId="77777777" w:rsidR="006E7D3D" w:rsidRPr="00CA12D6" w:rsidRDefault="00B545E0" w:rsidP="008C7651">
      <w:pPr>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lastRenderedPageBreak/>
        <w:t xml:space="preserve">4. </w:t>
      </w:r>
      <w:r w:rsidR="00E644CF" w:rsidRPr="00CA12D6">
        <w:rPr>
          <w:rFonts w:ascii="Palatino Linotype" w:eastAsia="Palatino Linotype" w:hAnsi="Palatino Linotype" w:cs="Palatino Linotype"/>
          <w:b/>
        </w:rPr>
        <w:t>Respuesta.</w:t>
      </w:r>
      <w:r w:rsidR="00886556" w:rsidRPr="00CA12D6">
        <w:rPr>
          <w:rFonts w:ascii="Palatino Linotype" w:eastAsia="Palatino Linotype" w:hAnsi="Palatino Linotype" w:cs="Palatino Linotype"/>
          <w:b/>
        </w:rPr>
        <w:t xml:space="preserve"> </w:t>
      </w:r>
      <w:r w:rsidR="00886556" w:rsidRPr="00CA12D6">
        <w:rPr>
          <w:rFonts w:ascii="Palatino Linotype" w:eastAsia="Palatino Linotype" w:hAnsi="Palatino Linotype" w:cs="Palatino Linotype"/>
        </w:rPr>
        <w:t xml:space="preserve">De las constancias que obran en SAIMEX, se observa que el </w:t>
      </w:r>
      <w:r w:rsidR="00886556" w:rsidRPr="00CA12D6">
        <w:rPr>
          <w:rFonts w:ascii="Palatino Linotype" w:eastAsia="Palatino Linotype" w:hAnsi="Palatino Linotype" w:cs="Palatino Linotype"/>
          <w:b/>
        </w:rPr>
        <w:t>Sujeto Obligado</w:t>
      </w:r>
      <w:r w:rsidR="00886556" w:rsidRPr="00CA12D6">
        <w:rPr>
          <w:rFonts w:ascii="Palatino Linotype" w:eastAsia="Palatino Linotype" w:hAnsi="Palatino Linotype" w:cs="Palatino Linotype"/>
        </w:rPr>
        <w:t xml:space="preserve"> no emitió respuesta a la solicitud de información formulada por la parte </w:t>
      </w:r>
      <w:r w:rsidR="00886556" w:rsidRPr="00CA12D6">
        <w:rPr>
          <w:rFonts w:ascii="Palatino Linotype" w:eastAsia="Palatino Linotype" w:hAnsi="Palatino Linotype" w:cs="Palatino Linotype"/>
          <w:b/>
        </w:rPr>
        <w:t>Recurrente.</w:t>
      </w:r>
    </w:p>
    <w:p w14:paraId="63AB14D4" w14:textId="77777777" w:rsidR="006E7D3D" w:rsidRPr="00CA12D6" w:rsidRDefault="00B545E0">
      <w:pPr>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5</w:t>
      </w:r>
      <w:r w:rsidR="00886556" w:rsidRPr="00CA12D6">
        <w:rPr>
          <w:rFonts w:ascii="Palatino Linotype" w:eastAsia="Palatino Linotype" w:hAnsi="Palatino Linotype" w:cs="Palatino Linotype"/>
          <w:b/>
        </w:rPr>
        <w:t xml:space="preserve">. Interposición del recurso de revisión. </w:t>
      </w:r>
      <w:r w:rsidR="00886556" w:rsidRPr="00CA12D6">
        <w:rPr>
          <w:rFonts w:ascii="Palatino Linotype" w:eastAsia="Palatino Linotype" w:hAnsi="Palatino Linotype" w:cs="Palatino Linotype"/>
        </w:rPr>
        <w:t xml:space="preserve">Inconforme la parte solicitante con la falta de respuesta del </w:t>
      </w:r>
      <w:r w:rsidR="00886556" w:rsidRPr="00CA12D6">
        <w:rPr>
          <w:rFonts w:ascii="Palatino Linotype" w:eastAsia="Palatino Linotype" w:hAnsi="Palatino Linotype" w:cs="Palatino Linotype"/>
          <w:b/>
        </w:rPr>
        <w:t>Sujeto Obligado</w:t>
      </w:r>
      <w:r w:rsidR="00886556" w:rsidRPr="00CA12D6">
        <w:rPr>
          <w:rFonts w:ascii="Palatino Linotype" w:eastAsia="Palatino Linotype" w:hAnsi="Palatino Linotype" w:cs="Palatino Linotype"/>
        </w:rPr>
        <w:t xml:space="preserve">, interpuso recurso de revisión a través de SAIMEX en fecha </w:t>
      </w:r>
      <w:r w:rsidR="00A81DC5" w:rsidRPr="00CA12D6">
        <w:rPr>
          <w:rFonts w:ascii="Palatino Linotype" w:eastAsia="Palatino Linotype" w:hAnsi="Palatino Linotype" w:cs="Palatino Linotype"/>
          <w:b/>
        </w:rPr>
        <w:t>tres de octubre de dos mil veintidós</w:t>
      </w:r>
      <w:r w:rsidR="00886556" w:rsidRPr="00CA12D6">
        <w:rPr>
          <w:rFonts w:ascii="Palatino Linotype" w:eastAsia="Palatino Linotype" w:hAnsi="Palatino Linotype" w:cs="Palatino Linotype"/>
        </w:rPr>
        <w:t>, expresando lo siguiente:</w:t>
      </w:r>
    </w:p>
    <w:p w14:paraId="354AFB0F" w14:textId="77777777" w:rsidR="006E7D3D" w:rsidRPr="00CA12D6" w:rsidRDefault="00886556">
      <w:pPr>
        <w:spacing w:line="360" w:lineRule="auto"/>
        <w:rPr>
          <w:rFonts w:ascii="Palatino Linotype" w:eastAsia="Palatino Linotype" w:hAnsi="Palatino Linotype" w:cs="Palatino Linotype"/>
          <w:b/>
        </w:rPr>
      </w:pPr>
      <w:r w:rsidRPr="00CA12D6">
        <w:rPr>
          <w:rFonts w:ascii="Palatino Linotype" w:eastAsia="Palatino Linotype" w:hAnsi="Palatino Linotype" w:cs="Palatino Linotype"/>
          <w:b/>
        </w:rPr>
        <w:t>a) Acto impugnado.</w:t>
      </w:r>
    </w:p>
    <w:p w14:paraId="188E3376" w14:textId="77777777" w:rsidR="006E7D3D" w:rsidRPr="00CA12D6" w:rsidRDefault="00886556">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r w:rsidR="00A81DC5" w:rsidRPr="00CA12D6">
        <w:rPr>
          <w:rFonts w:ascii="Palatino Linotype" w:eastAsia="Palatino Linotype" w:hAnsi="Palatino Linotype" w:cs="Palatino Linotype"/>
          <w:i/>
          <w:sz w:val="22"/>
          <w:szCs w:val="22"/>
        </w:rPr>
        <w:t>NO ENTREGA INFORMACIÓN SOLICITADA</w:t>
      </w:r>
      <w:r w:rsidRPr="00CA12D6">
        <w:rPr>
          <w:rFonts w:ascii="Palatino Linotype" w:eastAsia="Palatino Linotype" w:hAnsi="Palatino Linotype" w:cs="Palatino Linotype"/>
          <w:i/>
          <w:sz w:val="22"/>
          <w:szCs w:val="22"/>
        </w:rPr>
        <w:t>.” (Sic)</w:t>
      </w:r>
    </w:p>
    <w:p w14:paraId="2258F482" w14:textId="77777777" w:rsidR="006E7D3D" w:rsidRPr="00CA12D6" w:rsidRDefault="00886556">
      <w:pPr>
        <w:spacing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b) Motivos de inconformidad.</w:t>
      </w:r>
    </w:p>
    <w:p w14:paraId="49A8F35F" w14:textId="77777777" w:rsidR="006E7D3D" w:rsidRPr="00CA12D6" w:rsidRDefault="00886556">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r w:rsidR="00A81DC5" w:rsidRPr="00CA12D6">
        <w:rPr>
          <w:rFonts w:ascii="Palatino Linotype" w:eastAsia="Palatino Linotype" w:hAnsi="Palatino Linotype" w:cs="Palatino Linotype"/>
          <w:i/>
          <w:sz w:val="22"/>
          <w:szCs w:val="22"/>
        </w:rPr>
        <w:t>NO ENTREGA INFORMACIÓN SOLICITADA</w:t>
      </w:r>
      <w:r w:rsidRPr="00CA12D6">
        <w:rPr>
          <w:rFonts w:ascii="Palatino Linotype" w:eastAsia="Palatino Linotype" w:hAnsi="Palatino Linotype" w:cs="Palatino Linotype"/>
          <w:i/>
          <w:sz w:val="22"/>
          <w:szCs w:val="22"/>
        </w:rPr>
        <w:t>.” (Sic)</w:t>
      </w:r>
    </w:p>
    <w:p w14:paraId="718D5CAC" w14:textId="77777777" w:rsidR="006E7D3D" w:rsidRPr="00CA12D6" w:rsidRDefault="00C87586">
      <w:pPr>
        <w:pBdr>
          <w:top w:val="nil"/>
          <w:left w:val="nil"/>
          <w:bottom w:val="nil"/>
          <w:right w:val="nil"/>
          <w:between w:val="nil"/>
        </w:pBdr>
        <w:spacing w:before="240" w:after="240"/>
        <w:ind w:right="49"/>
        <w:jc w:val="both"/>
        <w:rPr>
          <w:rFonts w:ascii="Palatino Linotype" w:eastAsia="Palatino Linotype" w:hAnsi="Palatino Linotype" w:cs="Palatino Linotype"/>
          <w:sz w:val="22"/>
          <w:szCs w:val="22"/>
        </w:rPr>
      </w:pPr>
      <w:r w:rsidRPr="00CA12D6">
        <w:rPr>
          <w:rFonts w:ascii="Palatino Linotype" w:eastAsia="Palatino Linotype" w:hAnsi="Palatino Linotype" w:cs="Palatino Linotype"/>
          <w:b/>
        </w:rPr>
        <w:t>6</w:t>
      </w:r>
      <w:r w:rsidR="00886556" w:rsidRPr="00CA12D6">
        <w:rPr>
          <w:rFonts w:ascii="Palatino Linotype" w:eastAsia="Palatino Linotype" w:hAnsi="Palatino Linotype" w:cs="Palatino Linotype"/>
          <w:b/>
        </w:rPr>
        <w:t xml:space="preserve">. Trámite del Recurso de Revisión </w:t>
      </w:r>
      <w:r w:rsidR="00886556" w:rsidRPr="00CA12D6">
        <w:rPr>
          <w:rFonts w:ascii="Palatino Linotype" w:eastAsia="Palatino Linotype" w:hAnsi="Palatino Linotype" w:cs="Palatino Linotype"/>
          <w:b/>
          <w:sz w:val="22"/>
          <w:szCs w:val="22"/>
        </w:rPr>
        <w:t>1</w:t>
      </w:r>
      <w:r w:rsidRPr="00CA12D6">
        <w:rPr>
          <w:rFonts w:ascii="Palatino Linotype" w:eastAsia="Palatino Linotype" w:hAnsi="Palatino Linotype" w:cs="Palatino Linotype"/>
          <w:b/>
          <w:sz w:val="22"/>
          <w:szCs w:val="22"/>
        </w:rPr>
        <w:t>533</w:t>
      </w:r>
      <w:r w:rsidR="00886556" w:rsidRPr="00CA12D6">
        <w:rPr>
          <w:rFonts w:ascii="Palatino Linotype" w:eastAsia="Palatino Linotype" w:hAnsi="Palatino Linotype" w:cs="Palatino Linotype"/>
          <w:b/>
          <w:sz w:val="22"/>
          <w:szCs w:val="22"/>
        </w:rPr>
        <w:t xml:space="preserve">4/INFOEM//IP/RR/2022 </w:t>
      </w:r>
      <w:r w:rsidR="00886556" w:rsidRPr="00CA12D6">
        <w:rPr>
          <w:rFonts w:ascii="Palatino Linotype" w:eastAsia="Palatino Linotype" w:hAnsi="Palatino Linotype" w:cs="Palatino Linotype"/>
          <w:b/>
        </w:rPr>
        <w:t>ante el Instituto.</w:t>
      </w:r>
    </w:p>
    <w:p w14:paraId="57293888" w14:textId="77777777" w:rsidR="006E7D3D" w:rsidRPr="00CA12D6" w:rsidRDefault="00886556">
      <w:pPr>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 xml:space="preserve">a. Turno. </w:t>
      </w:r>
      <w:r w:rsidRPr="00CA12D6">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CA12D6">
        <w:rPr>
          <w:rFonts w:ascii="Palatino Linotype" w:eastAsia="Palatino Linotype" w:hAnsi="Palatino Linotype" w:cs="Palatino Linotype"/>
          <w:b/>
        </w:rPr>
        <w:t>1</w:t>
      </w:r>
      <w:r w:rsidR="002E447D" w:rsidRPr="00CA12D6">
        <w:rPr>
          <w:rFonts w:ascii="Palatino Linotype" w:eastAsia="Palatino Linotype" w:hAnsi="Palatino Linotype" w:cs="Palatino Linotype"/>
          <w:b/>
        </w:rPr>
        <w:t>533</w:t>
      </w:r>
      <w:r w:rsidRPr="00CA12D6">
        <w:rPr>
          <w:rFonts w:ascii="Palatino Linotype" w:eastAsia="Palatino Linotype" w:hAnsi="Palatino Linotype" w:cs="Palatino Linotype"/>
          <w:b/>
        </w:rPr>
        <w:t>4/INFOEM/IP/RR/2022</w:t>
      </w:r>
      <w:r w:rsidR="002E447D" w:rsidRPr="00CA12D6">
        <w:rPr>
          <w:rFonts w:ascii="Palatino Linotype" w:eastAsia="Palatino Linotype" w:hAnsi="Palatino Linotype" w:cs="Palatino Linotype"/>
        </w:rPr>
        <w:t xml:space="preserve"> fue turnado a</w:t>
      </w:r>
      <w:r w:rsidR="007375A7" w:rsidRPr="00CA12D6">
        <w:rPr>
          <w:rFonts w:ascii="Palatino Linotype" w:eastAsia="Palatino Linotype" w:hAnsi="Palatino Linotype" w:cs="Palatino Linotype"/>
        </w:rPr>
        <w:t xml:space="preserve"> </w:t>
      </w:r>
      <w:r w:rsidR="002E447D" w:rsidRPr="00CA12D6">
        <w:rPr>
          <w:rFonts w:ascii="Palatino Linotype" w:eastAsia="Palatino Linotype" w:hAnsi="Palatino Linotype" w:cs="Palatino Linotype"/>
        </w:rPr>
        <w:t>l</w:t>
      </w:r>
      <w:r w:rsidR="007375A7" w:rsidRPr="00CA12D6">
        <w:rPr>
          <w:rFonts w:ascii="Palatino Linotype" w:eastAsia="Palatino Linotype" w:hAnsi="Palatino Linotype" w:cs="Palatino Linotype"/>
        </w:rPr>
        <w:t>a</w:t>
      </w:r>
      <w:r w:rsidRPr="00CA12D6">
        <w:rPr>
          <w:rFonts w:ascii="Palatino Linotype" w:eastAsia="Palatino Linotype" w:hAnsi="Palatino Linotype" w:cs="Palatino Linotype"/>
        </w:rPr>
        <w:t xml:space="preserve"> </w:t>
      </w:r>
      <w:r w:rsidR="007375A7" w:rsidRPr="00CA12D6">
        <w:rPr>
          <w:rFonts w:ascii="Palatino Linotype" w:eastAsia="Palatino Linotype" w:hAnsi="Palatino Linotype" w:cs="Palatino Linotype"/>
          <w:b/>
        </w:rPr>
        <w:t>Comisionada</w:t>
      </w:r>
      <w:r w:rsidRPr="00CA12D6">
        <w:rPr>
          <w:rFonts w:ascii="Palatino Linotype" w:eastAsia="Palatino Linotype" w:hAnsi="Palatino Linotype" w:cs="Palatino Linotype"/>
          <w:b/>
        </w:rPr>
        <w:t xml:space="preserve"> </w:t>
      </w:r>
      <w:r w:rsidR="007375A7" w:rsidRPr="00CA12D6">
        <w:rPr>
          <w:rFonts w:ascii="Palatino Linotype" w:eastAsia="Palatino Linotype" w:hAnsi="Palatino Linotype" w:cs="Palatino Linotype"/>
          <w:b/>
        </w:rPr>
        <w:t>Guadalupe Ramírez Peña</w:t>
      </w:r>
      <w:r w:rsidRPr="00CA12D6">
        <w:rPr>
          <w:rFonts w:ascii="Palatino Linotype" w:eastAsia="Palatino Linotype" w:hAnsi="Palatino Linotype" w:cs="Palatino Linotype"/>
        </w:rPr>
        <w:t>; a efecto de presentar al Pleno el proyecto de resolución correspondiente.</w:t>
      </w:r>
    </w:p>
    <w:p w14:paraId="636A9198"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b. Admisión. </w:t>
      </w:r>
      <w:r w:rsidRPr="00CA12D6">
        <w:rPr>
          <w:rFonts w:ascii="Palatino Linotype" w:eastAsia="Palatino Linotype" w:hAnsi="Palatino Linotype" w:cs="Palatino Linotype"/>
        </w:rPr>
        <w:t xml:space="preserve">En fecha </w:t>
      </w:r>
      <w:r w:rsidR="00447073" w:rsidRPr="00CA12D6">
        <w:rPr>
          <w:rFonts w:ascii="Palatino Linotype" w:eastAsia="Palatino Linotype" w:hAnsi="Palatino Linotype" w:cs="Palatino Linotype"/>
          <w:b/>
        </w:rPr>
        <w:t>seis de octubre de dos mil veintidós</w:t>
      </w:r>
      <w:r w:rsidRPr="00CA12D6">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A606C68"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c. Manifestaciones. </w:t>
      </w:r>
      <w:r w:rsidRPr="00CA12D6">
        <w:rPr>
          <w:rFonts w:ascii="Palatino Linotype" w:eastAsia="Palatino Linotype" w:hAnsi="Palatino Linotype" w:cs="Palatino Linotype"/>
        </w:rPr>
        <w:t xml:space="preserve">De las constancias que obran en el expediente electrónico del SAIMEX se desprende que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no rindió su informe justificado, del </w:t>
      </w:r>
      <w:r w:rsidRPr="00CA12D6">
        <w:rPr>
          <w:rFonts w:ascii="Palatino Linotype" w:eastAsia="Palatino Linotype" w:hAnsi="Palatino Linotype" w:cs="Palatino Linotype"/>
        </w:rPr>
        <w:lastRenderedPageBreak/>
        <w:t xml:space="preserve">mismo modo el ahora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omitió realizar manifestaciones, como se observa a continuación:</w:t>
      </w:r>
    </w:p>
    <w:p w14:paraId="302B92BF" w14:textId="77777777" w:rsidR="006E7D3D" w:rsidRPr="00CA12D6" w:rsidRDefault="003169E0">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noProof/>
          <w:lang w:val="es-MX" w:eastAsia="es-MX"/>
        </w:rPr>
        <w:drawing>
          <wp:inline distT="0" distB="0" distL="0" distR="0" wp14:anchorId="0B08A060" wp14:editId="64FD3FF1">
            <wp:extent cx="5612130" cy="18935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93570"/>
                    </a:xfrm>
                    <a:prstGeom prst="rect">
                      <a:avLst/>
                    </a:prstGeom>
                  </pic:spPr>
                </pic:pic>
              </a:graphicData>
            </a:graphic>
          </wp:inline>
        </w:drawing>
      </w:r>
    </w:p>
    <w:p w14:paraId="12A96F5F" w14:textId="77777777" w:rsidR="008F175C" w:rsidRPr="00CA12D6" w:rsidRDefault="00886556" w:rsidP="008F175C">
      <w:pPr>
        <w:spacing w:line="360" w:lineRule="auto"/>
        <w:jc w:val="both"/>
        <w:rPr>
          <w:rFonts w:ascii="Palatino Linotype" w:hAnsi="Palatino Linotype" w:cs="Tahoma"/>
        </w:rPr>
      </w:pPr>
      <w:r w:rsidRPr="00CA12D6">
        <w:rPr>
          <w:rFonts w:ascii="Palatino Linotype" w:eastAsia="Palatino Linotype" w:hAnsi="Palatino Linotype" w:cs="Palatino Linotype"/>
          <w:b/>
        </w:rPr>
        <w:t xml:space="preserve">d. </w:t>
      </w:r>
      <w:r w:rsidR="002B4084" w:rsidRPr="00CA12D6">
        <w:rPr>
          <w:rFonts w:ascii="Palatino Linotype" w:eastAsia="Palatino Linotype" w:hAnsi="Palatino Linotype" w:cs="Palatino Linotype"/>
          <w:b/>
        </w:rPr>
        <w:t xml:space="preserve">Acumulación. </w:t>
      </w:r>
      <w:r w:rsidR="008F175C" w:rsidRPr="00CA12D6">
        <w:rPr>
          <w:rFonts w:ascii="Palatino Linotype" w:hAnsi="Palatino Linotype" w:cs="Tahoma"/>
        </w:rPr>
        <w:t xml:space="preserve">El </w:t>
      </w:r>
      <w:r w:rsidR="008F175C" w:rsidRPr="00CA12D6">
        <w:rPr>
          <w:rFonts w:ascii="Palatino Linotype" w:hAnsi="Palatino Linotype" w:cs="Tahoma"/>
          <w:b/>
        </w:rPr>
        <w:t>diecinueve de octubre de dos mil veintidós</w:t>
      </w:r>
      <w:r w:rsidR="008F175C" w:rsidRPr="00CA12D6">
        <w:rPr>
          <w:rFonts w:ascii="Palatino Linotype" w:hAnsi="Palatino Linotype" w:cs="Tahoma"/>
        </w:rPr>
        <w:t>, el Pleno del Instituto de Transparencia, Acceso a la Información Pública y Protección de Datos Personales del Estado de México y Municipios, en la Trigésima Octava Sesión Ordinaria</w:t>
      </w:r>
      <w:r w:rsidR="00CE526F" w:rsidRPr="00CA12D6">
        <w:rPr>
          <w:rFonts w:ascii="Palatino Linotype" w:hAnsi="Palatino Linotype" w:cs="Tahoma"/>
        </w:rPr>
        <w:t xml:space="preserve"> celebrada el diecinueve de octubre de dos mil veintidós se</w:t>
      </w:r>
      <w:r w:rsidR="008F175C" w:rsidRPr="00CA12D6">
        <w:rPr>
          <w:rFonts w:ascii="Palatino Linotype" w:hAnsi="Palatino Linotype" w:cs="Tahoma"/>
        </w:rPr>
        <w:t xml:space="preserve"> </w:t>
      </w:r>
      <w:r w:rsidR="008F175C" w:rsidRPr="00CA12D6">
        <w:rPr>
          <w:rFonts w:ascii="Palatino Linotype" w:hAnsi="Palatino Linotype" w:cs="Tahoma"/>
          <w:b/>
        </w:rPr>
        <w:t>acordó</w:t>
      </w:r>
      <w:r w:rsidR="008F175C" w:rsidRPr="00CA12D6">
        <w:rPr>
          <w:rFonts w:ascii="Palatino Linotype" w:hAnsi="Palatino Linotype" w:cs="Tahoma"/>
        </w:rPr>
        <w:t xml:space="preserve"> la acumulación de los Recursos de Revisión</w:t>
      </w:r>
      <w:r w:rsidR="008F175C" w:rsidRPr="00CA12D6">
        <w:rPr>
          <w:rFonts w:ascii="Palatino Linotype" w:eastAsia="Calibri" w:hAnsi="Palatino Linotype" w:cs="Tahoma"/>
        </w:rPr>
        <w:t xml:space="preserve"> </w:t>
      </w:r>
      <w:r w:rsidR="008F175C" w:rsidRPr="00CA12D6">
        <w:rPr>
          <w:rFonts w:ascii="Palatino Linotype" w:eastAsia="Calibri" w:hAnsi="Palatino Linotype" w:cs="Tahoma"/>
          <w:b/>
        </w:rPr>
        <w:t xml:space="preserve">15302/INFOEM/IP/RR/2022, 15303/INFOEM/IP/RR/2022, 15304/INFOEM/IP/RR/2022, 15306/INFOEM/IP/RR/2022, 15315/INFOEM/IP/RR/2022, 15331/INFOEM/IP/RR/2022, 15332/INFOEM/IP/RR/2022, y </w:t>
      </w:r>
      <w:r w:rsidR="008F175C" w:rsidRPr="00CA12D6">
        <w:rPr>
          <w:rFonts w:ascii="Palatino Linotype" w:eastAsia="Calibri" w:hAnsi="Palatino Linotype" w:cs="Tahoma"/>
          <w:b/>
          <w:u w:val="single"/>
        </w:rPr>
        <w:t>15334/INFOEM/IP/RR/2022</w:t>
      </w:r>
      <w:r w:rsidR="00CE526F" w:rsidRPr="00CA12D6">
        <w:rPr>
          <w:rFonts w:ascii="Palatino Linotype" w:eastAsia="Calibri" w:hAnsi="Palatino Linotype" w:cs="Tahoma"/>
          <w:b/>
        </w:rPr>
        <w:t>,</w:t>
      </w:r>
      <w:r w:rsidR="008F175C" w:rsidRPr="00CA12D6">
        <w:rPr>
          <w:rFonts w:ascii="Palatino Linotype" w:eastAsia="Calibri" w:hAnsi="Palatino Linotype" w:cs="Tahoma"/>
          <w:b/>
        </w:rPr>
        <w:t xml:space="preserve"> </w:t>
      </w:r>
      <w:r w:rsidR="008F175C" w:rsidRPr="00CA12D6">
        <w:rPr>
          <w:rFonts w:ascii="Palatino Linotype" w:eastAsia="Calibri" w:hAnsi="Palatino Linotype" w:cs="Tahoma"/>
          <w:bCs/>
        </w:rPr>
        <w:t>al diverso</w:t>
      </w:r>
      <w:r w:rsidR="008F175C" w:rsidRPr="00CA12D6">
        <w:rPr>
          <w:rFonts w:ascii="Palatino Linotype" w:eastAsia="Calibri" w:hAnsi="Palatino Linotype" w:cs="Tahoma"/>
          <w:b/>
        </w:rPr>
        <w:t xml:space="preserve"> 15301/INFOEM/IP/RR/2022</w:t>
      </w:r>
      <w:r w:rsidR="008F175C" w:rsidRPr="00CA12D6">
        <w:rPr>
          <w:rFonts w:ascii="Palatino Linotype" w:hAnsi="Palatino Linotype" w:cs="Tahoma"/>
          <w:b/>
          <w:bCs/>
        </w:rPr>
        <w:t xml:space="preserve"> </w:t>
      </w:r>
      <w:r w:rsidR="008F175C" w:rsidRPr="00CA12D6">
        <w:rPr>
          <w:rFonts w:ascii="Palatino Linotype" w:hAnsi="Palatino Linotype" w:cs="Tahoma"/>
        </w:rPr>
        <w:t>por ser este último el más antiguo, su</w:t>
      </w:r>
      <w:r w:rsidR="00CE526F" w:rsidRPr="00CA12D6">
        <w:rPr>
          <w:rFonts w:ascii="Palatino Linotype" w:hAnsi="Palatino Linotype" w:cs="Tahoma"/>
        </w:rPr>
        <w:t>stanciado bajo el índice de la</w:t>
      </w:r>
      <w:r w:rsidR="008F175C" w:rsidRPr="00CA12D6">
        <w:rPr>
          <w:rFonts w:ascii="Palatino Linotype" w:hAnsi="Palatino Linotype" w:cs="Tahoma"/>
        </w:rPr>
        <w:t xml:space="preserve"> Ponencia</w:t>
      </w:r>
      <w:r w:rsidR="00CE526F" w:rsidRPr="00CA12D6">
        <w:rPr>
          <w:rFonts w:ascii="Palatino Linotype" w:hAnsi="Palatino Linotype" w:cs="Tahoma"/>
        </w:rPr>
        <w:t xml:space="preserve"> del Comisionado Luis Gustavo Parra Noriega.</w:t>
      </w:r>
      <w:r w:rsidR="008F175C" w:rsidRPr="00CA12D6">
        <w:rPr>
          <w:rFonts w:ascii="Palatino Linotype" w:hAnsi="Palatino Linotype" w:cs="Tahoma"/>
        </w:rPr>
        <w:t xml:space="preserve"> </w:t>
      </w:r>
    </w:p>
    <w:p w14:paraId="09225C04" w14:textId="77777777" w:rsidR="002B4084" w:rsidRPr="00CA12D6" w:rsidRDefault="002B4084">
      <w:pPr>
        <w:spacing w:before="240" w:after="240" w:line="360" w:lineRule="auto"/>
        <w:jc w:val="both"/>
        <w:rPr>
          <w:rFonts w:ascii="Palatino Linotype" w:eastAsia="Palatino Linotype" w:hAnsi="Palatino Linotype" w:cs="Palatino Linotype"/>
          <w:b/>
        </w:rPr>
      </w:pPr>
    </w:p>
    <w:p w14:paraId="0630CA64" w14:textId="77777777" w:rsidR="00187E84" w:rsidRPr="00CA12D6" w:rsidRDefault="00187E84">
      <w:pPr>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 xml:space="preserve">e. </w:t>
      </w:r>
      <w:r w:rsidR="005E582F" w:rsidRPr="00CA12D6">
        <w:rPr>
          <w:rFonts w:ascii="Palatino Linotype" w:eastAsia="Palatino Linotype" w:hAnsi="Palatino Linotype" w:cs="Palatino Linotype"/>
          <w:b/>
        </w:rPr>
        <w:t xml:space="preserve">Ampliación de plazo para resolver. </w:t>
      </w:r>
      <w:r w:rsidRPr="00CA12D6">
        <w:rPr>
          <w:rFonts w:ascii="Palatino Linotype" w:hAnsi="Palatino Linotype" w:cs="Tahoma"/>
        </w:rPr>
        <w:t>El veinticuatro de noviembre del año</w:t>
      </w:r>
      <w:r w:rsidR="00BE5211" w:rsidRPr="00CA12D6">
        <w:rPr>
          <w:rFonts w:ascii="Palatino Linotype" w:hAnsi="Palatino Linotype" w:cs="Tahoma"/>
        </w:rPr>
        <w:t xml:space="preserve"> dos mil veintidós</w:t>
      </w:r>
      <w:r w:rsidRPr="00CA12D6">
        <w:rPr>
          <w:rFonts w:ascii="Palatino Linotype" w:hAnsi="Palatino Linotype" w:cs="Tahoma"/>
        </w:rPr>
        <w:t xml:space="preserve">, con fundamento en lo dispuesto por el artículo 181, párrafo tercero, de la </w:t>
      </w:r>
      <w:r w:rsidRPr="00CA12D6">
        <w:rPr>
          <w:rFonts w:ascii="Palatino Linotype" w:hAnsi="Palatino Linotype" w:cs="Tahoma"/>
        </w:rPr>
        <w:lastRenderedPageBreak/>
        <w:t>Ley de Transparencia y Acceso a la Información Pública del Estado de México y Municipios, acordó ampliar el plazo para resolver los recursos</w:t>
      </w:r>
      <w:r w:rsidR="005E582F" w:rsidRPr="00CA12D6">
        <w:rPr>
          <w:rFonts w:ascii="Palatino Linotype" w:hAnsi="Palatino Linotype" w:cs="Tahoma"/>
        </w:rPr>
        <w:t>.</w:t>
      </w:r>
    </w:p>
    <w:p w14:paraId="18D11601" w14:textId="77777777" w:rsidR="006E7D3D" w:rsidRPr="00CA12D6" w:rsidRDefault="00BE5211">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f. </w:t>
      </w:r>
      <w:r w:rsidR="00886556" w:rsidRPr="00CA12D6">
        <w:rPr>
          <w:rFonts w:ascii="Palatino Linotype" w:eastAsia="Palatino Linotype" w:hAnsi="Palatino Linotype" w:cs="Palatino Linotype"/>
          <w:b/>
        </w:rPr>
        <w:t xml:space="preserve">Cierre de Instrucción. </w:t>
      </w:r>
      <w:r w:rsidR="00886556" w:rsidRPr="00CA12D6">
        <w:rPr>
          <w:rFonts w:ascii="Palatino Linotype" w:eastAsia="Palatino Linotype" w:hAnsi="Palatino Linotype" w:cs="Palatino Linotype"/>
        </w:rPr>
        <w:t xml:space="preserve">En fecha </w:t>
      </w:r>
      <w:r w:rsidR="00A20CF9" w:rsidRPr="00CA12D6">
        <w:rPr>
          <w:rFonts w:ascii="Palatino Linotype" w:eastAsia="Palatino Linotype" w:hAnsi="Palatino Linotype" w:cs="Palatino Linotype"/>
          <w:b/>
        </w:rPr>
        <w:t>treinta</w:t>
      </w:r>
      <w:r w:rsidR="00886556" w:rsidRPr="00CA12D6">
        <w:rPr>
          <w:rFonts w:ascii="Palatino Linotype" w:eastAsia="Palatino Linotype" w:hAnsi="Palatino Linotype" w:cs="Palatino Linotype"/>
          <w:b/>
        </w:rPr>
        <w:t xml:space="preserve"> de </w:t>
      </w:r>
      <w:r w:rsidR="00A20CF9" w:rsidRPr="00CA12D6">
        <w:rPr>
          <w:rFonts w:ascii="Palatino Linotype" w:eastAsia="Palatino Linotype" w:hAnsi="Palatino Linotype" w:cs="Palatino Linotype"/>
          <w:b/>
        </w:rPr>
        <w:t>nov</w:t>
      </w:r>
      <w:r w:rsidR="00886556" w:rsidRPr="00CA12D6">
        <w:rPr>
          <w:rFonts w:ascii="Palatino Linotype" w:eastAsia="Palatino Linotype" w:hAnsi="Palatino Linotype" w:cs="Palatino Linotype"/>
          <w:b/>
        </w:rPr>
        <w:t>iembre de dos mil veintidós</w:t>
      </w:r>
      <w:r w:rsidR="00886556" w:rsidRPr="00CA12D6">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w:t>
      </w:r>
    </w:p>
    <w:p w14:paraId="2845D644" w14:textId="77777777" w:rsidR="006E7D3D" w:rsidRPr="00CA12D6" w:rsidRDefault="00886556">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e. Resolución del Recurso de Revisión. </w:t>
      </w:r>
      <w:r w:rsidRPr="00CA12D6">
        <w:rPr>
          <w:rFonts w:ascii="Palatino Linotype" w:eastAsia="Palatino Linotype" w:hAnsi="Palatino Linotype" w:cs="Palatino Linotype"/>
        </w:rPr>
        <w:t xml:space="preserve">El </w:t>
      </w:r>
      <w:r w:rsidR="00E0028B" w:rsidRPr="00CA12D6">
        <w:rPr>
          <w:rFonts w:ascii="Palatino Linotype" w:eastAsia="Palatino Linotype" w:hAnsi="Palatino Linotype" w:cs="Palatino Linotype"/>
          <w:b/>
        </w:rPr>
        <w:t>siete</w:t>
      </w:r>
      <w:r w:rsidRPr="00CA12D6">
        <w:rPr>
          <w:rFonts w:ascii="Palatino Linotype" w:eastAsia="Palatino Linotype" w:hAnsi="Palatino Linotype" w:cs="Palatino Linotype"/>
          <w:b/>
        </w:rPr>
        <w:t xml:space="preserve"> de </w:t>
      </w:r>
      <w:r w:rsidR="00E0028B" w:rsidRPr="00CA12D6">
        <w:rPr>
          <w:rFonts w:ascii="Palatino Linotype" w:eastAsia="Palatino Linotype" w:hAnsi="Palatino Linotype" w:cs="Palatino Linotype"/>
          <w:b/>
        </w:rPr>
        <w:t>diciembre</w:t>
      </w:r>
      <w:r w:rsidRPr="00CA12D6">
        <w:rPr>
          <w:rFonts w:ascii="Palatino Linotype" w:eastAsia="Palatino Linotype" w:hAnsi="Palatino Linotype" w:cs="Palatino Linotype"/>
          <w:b/>
        </w:rPr>
        <w:t xml:space="preserve"> de dos mil veintidós</w:t>
      </w:r>
      <w:r w:rsidRPr="00CA12D6">
        <w:rPr>
          <w:rFonts w:ascii="Palatino Linotype" w:eastAsia="Palatino Linotype" w:hAnsi="Palatino Linotype" w:cs="Palatino Linotype"/>
        </w:rPr>
        <w:t>, el Pleno del Instituto de Transparencia, Acceso</w:t>
      </w:r>
      <w:r w:rsidR="00E0028B" w:rsidRPr="00CA12D6">
        <w:rPr>
          <w:rFonts w:ascii="Palatino Linotype" w:eastAsia="Palatino Linotype" w:hAnsi="Palatino Linotype" w:cs="Palatino Linotype"/>
        </w:rPr>
        <w:t xml:space="preserve"> a</w:t>
      </w:r>
      <w:r w:rsidRPr="00CA12D6">
        <w:rPr>
          <w:rFonts w:ascii="Palatino Linotype" w:eastAsia="Palatino Linotype" w:hAnsi="Palatino Linotype" w:cs="Palatino Linotype"/>
        </w:rPr>
        <w:t xml:space="preserve"> la Información Pública y Protección de Datos Personales del Estado de México y Municipios, durante la </w:t>
      </w:r>
      <w:r w:rsidR="0081654B" w:rsidRPr="00CA12D6">
        <w:rPr>
          <w:rFonts w:ascii="Palatino Linotype" w:eastAsia="Palatino Linotype" w:hAnsi="Palatino Linotype" w:cs="Palatino Linotype"/>
        </w:rPr>
        <w:t xml:space="preserve">Cuadragésima </w:t>
      </w:r>
      <w:r w:rsidR="0058061F" w:rsidRPr="00CA12D6">
        <w:rPr>
          <w:rFonts w:ascii="Palatino Linotype" w:eastAsia="Palatino Linotype" w:hAnsi="Palatino Linotype" w:cs="Palatino Linotype"/>
        </w:rPr>
        <w:t>Cuarta</w:t>
      </w:r>
      <w:r w:rsidR="0081654B" w:rsidRPr="00CA12D6">
        <w:rPr>
          <w:rFonts w:ascii="Palatino Linotype" w:eastAsia="Palatino Linotype" w:hAnsi="Palatino Linotype" w:cs="Palatino Linotype"/>
        </w:rPr>
        <w:t xml:space="preserve"> Sesión Ordinaria, </w:t>
      </w:r>
      <w:r w:rsidRPr="00CA12D6">
        <w:rPr>
          <w:rFonts w:ascii="Palatino Linotype" w:eastAsia="Palatino Linotype" w:hAnsi="Palatino Linotype" w:cs="Palatino Linotype"/>
        </w:rPr>
        <w:t>aprobó por unanimidad de votos, la Resolución del Recurso de Revisión, en la cual se determinó lo siguiente:</w:t>
      </w:r>
    </w:p>
    <w:p w14:paraId="1A39C77F" w14:textId="77777777" w:rsidR="0081654B" w:rsidRPr="00CA12D6" w:rsidRDefault="0081654B">
      <w:pPr>
        <w:spacing w:line="360" w:lineRule="auto"/>
        <w:jc w:val="both"/>
        <w:rPr>
          <w:rFonts w:ascii="Palatino Linotype" w:eastAsia="Palatino Linotype" w:hAnsi="Palatino Linotype" w:cs="Palatino Linotype"/>
          <w:b/>
        </w:rPr>
      </w:pPr>
    </w:p>
    <w:p w14:paraId="35A70FFB" w14:textId="77777777" w:rsidR="0081654B" w:rsidRPr="00CA12D6" w:rsidRDefault="00886556" w:rsidP="004E3892">
      <w:pPr>
        <w:spacing w:line="276" w:lineRule="auto"/>
        <w:ind w:left="851" w:right="567"/>
        <w:jc w:val="both"/>
        <w:rPr>
          <w:rFonts w:ascii="Palatino Linotype" w:hAnsi="Palatino Linotype"/>
          <w:i/>
          <w:iCs/>
          <w:sz w:val="22"/>
          <w:szCs w:val="22"/>
        </w:rPr>
      </w:pPr>
      <w:r w:rsidRPr="00CA12D6">
        <w:rPr>
          <w:rFonts w:ascii="Palatino Linotype" w:eastAsia="Palatino Linotype" w:hAnsi="Palatino Linotype" w:cs="Palatino Linotype"/>
          <w:b/>
          <w:i/>
          <w:sz w:val="22"/>
          <w:szCs w:val="22"/>
        </w:rPr>
        <w:t>“</w:t>
      </w:r>
      <w:r w:rsidR="0081654B" w:rsidRPr="00CA12D6">
        <w:rPr>
          <w:rFonts w:ascii="Palatino Linotype" w:hAnsi="Palatino Linotype"/>
          <w:b/>
          <w:bCs/>
          <w:i/>
          <w:iCs/>
          <w:sz w:val="22"/>
          <w:szCs w:val="22"/>
        </w:rPr>
        <w:t xml:space="preserve">PRIMERO. </w:t>
      </w:r>
      <w:r w:rsidR="0081654B" w:rsidRPr="00CA12D6">
        <w:rPr>
          <w:rFonts w:ascii="Palatino Linotype" w:hAnsi="Palatino Linotype"/>
          <w:i/>
          <w:iCs/>
          <w:sz w:val="22"/>
          <w:szCs w:val="22"/>
        </w:rPr>
        <w:t xml:space="preserve">Resultan </w:t>
      </w:r>
      <w:r w:rsidR="0081654B" w:rsidRPr="00CA12D6">
        <w:rPr>
          <w:rFonts w:ascii="Palatino Linotype" w:hAnsi="Palatino Linotype"/>
          <w:b/>
          <w:bCs/>
          <w:i/>
          <w:iCs/>
          <w:sz w:val="22"/>
          <w:szCs w:val="22"/>
        </w:rPr>
        <w:t xml:space="preserve">FUNDADAS </w:t>
      </w:r>
      <w:r w:rsidR="0081654B" w:rsidRPr="00CA12D6">
        <w:rPr>
          <w:rFonts w:ascii="Palatino Linotype" w:hAnsi="Palatino Linotype"/>
          <w:i/>
          <w:iCs/>
          <w:sz w:val="22"/>
          <w:szCs w:val="22"/>
        </w:rPr>
        <w:t>las razones o motivos de inconformidad hechos valer por el Particular en los Recursos de Revisión</w:t>
      </w:r>
      <w:r w:rsidR="0081654B" w:rsidRPr="00CA12D6">
        <w:rPr>
          <w:rFonts w:ascii="Palatino Linotype" w:hAnsi="Palatino Linotype"/>
          <w:b/>
          <w:bCs/>
          <w:i/>
          <w:iCs/>
          <w:sz w:val="22"/>
          <w:szCs w:val="22"/>
        </w:rPr>
        <w:t xml:space="preserve"> 15301/INFOEM/IP/RR/2022, 15302/INFOEM/IP/RR/2022, 15303/INFOEM/IP/RR/2022, 15304/INFOEM/IP/RR/2022, 15306/INFOEM/IP/RR/2022, 15315/INFOEM/IP/RR/2022, 15331/INFOEM/IP/RR/2022, 15332/INFOEM/IP/RR/2022 y 15334/INFOEM/IP/RR/2022</w:t>
      </w:r>
      <w:r w:rsidR="0081654B" w:rsidRPr="00CA12D6">
        <w:rPr>
          <w:rFonts w:ascii="Palatino Linotype" w:hAnsi="Palatino Linotype"/>
          <w:i/>
          <w:iCs/>
          <w:sz w:val="22"/>
          <w:szCs w:val="22"/>
        </w:rPr>
        <w:t>, en términos de los considerandos QUINTO y SEXTO de la presente Resolución.</w:t>
      </w:r>
    </w:p>
    <w:p w14:paraId="651CD68A" w14:textId="77777777" w:rsidR="0081654B" w:rsidRPr="00CA12D6" w:rsidRDefault="0081654B" w:rsidP="004E3892">
      <w:pPr>
        <w:spacing w:line="276" w:lineRule="auto"/>
        <w:ind w:left="851" w:right="567"/>
        <w:jc w:val="both"/>
        <w:rPr>
          <w:rFonts w:ascii="Palatino Linotype" w:hAnsi="Palatino Linotype"/>
          <w:i/>
          <w:iCs/>
          <w:sz w:val="22"/>
          <w:szCs w:val="22"/>
        </w:rPr>
      </w:pPr>
      <w:r w:rsidRPr="00CA12D6">
        <w:rPr>
          <w:rFonts w:ascii="Palatino Linotype" w:hAnsi="Palatino Linotype"/>
          <w:b/>
          <w:bCs/>
          <w:i/>
          <w:iCs/>
          <w:sz w:val="22"/>
          <w:szCs w:val="22"/>
        </w:rPr>
        <w:t xml:space="preserve">SEGUNDO. </w:t>
      </w:r>
      <w:r w:rsidRPr="00CA12D6">
        <w:rPr>
          <w:rFonts w:ascii="Palatino Linotype" w:hAnsi="Palatino Linotype"/>
          <w:i/>
          <w:iCs/>
          <w:sz w:val="22"/>
          <w:szCs w:val="22"/>
        </w:rPr>
        <w:t xml:space="preserve">Se </w:t>
      </w:r>
      <w:r w:rsidRPr="00CA12D6">
        <w:rPr>
          <w:rFonts w:ascii="Palatino Linotype" w:hAnsi="Palatino Linotype"/>
          <w:b/>
          <w:bCs/>
          <w:i/>
          <w:iCs/>
          <w:sz w:val="22"/>
          <w:szCs w:val="22"/>
        </w:rPr>
        <w:t xml:space="preserve">ORDENA </w:t>
      </w:r>
      <w:r w:rsidRPr="00CA12D6">
        <w:rPr>
          <w:rFonts w:ascii="Palatino Linotype" w:hAnsi="Palatino Linotype"/>
          <w:i/>
          <w:iCs/>
          <w:sz w:val="22"/>
          <w:szCs w:val="22"/>
        </w:rPr>
        <w:t>al Sujeto Obligado, a efecto de que dé trámite a las solicitudes de acceso a la información</w:t>
      </w:r>
      <w:r w:rsidRPr="00CA12D6">
        <w:rPr>
          <w:rFonts w:ascii="Palatino Linotype" w:hAnsi="Palatino Linotype"/>
          <w:b/>
          <w:bCs/>
          <w:i/>
          <w:iCs/>
          <w:sz w:val="22"/>
          <w:szCs w:val="22"/>
        </w:rPr>
        <w:t xml:space="preserve"> 00843/ZINACANT/IP/2022, 00841/ZINACANT/IP/2022, 00840/ZINACANT/IP/2022, 00838/ZINACANT/IP/2022, 00836/ZINACANT/IP/2022, 00839/ZINACANT/IP/2022, 00845/ZINACANT/IP/2022, </w:t>
      </w:r>
      <w:r w:rsidRPr="00CA12D6">
        <w:rPr>
          <w:rFonts w:ascii="Palatino Linotype" w:hAnsi="Palatino Linotype"/>
          <w:b/>
          <w:bCs/>
          <w:i/>
          <w:iCs/>
          <w:sz w:val="22"/>
          <w:szCs w:val="22"/>
        </w:rPr>
        <w:lastRenderedPageBreak/>
        <w:t xml:space="preserve">00844/ZINACANT/IP/2022 y 00842/ZINACANT/IP/2022 </w:t>
      </w:r>
      <w:r w:rsidRPr="00CA12D6">
        <w:rPr>
          <w:rFonts w:ascii="Palatino Linotype" w:hAnsi="Palatino Linotype"/>
          <w:i/>
          <w:iCs/>
          <w:sz w:val="22"/>
          <w:szCs w:val="22"/>
        </w:rPr>
        <w:t>y, a través del Sistema de Acceso a la Información Mexiquense (SAIMEX), dé la respuesta que conforme a derecho corresponda.</w:t>
      </w:r>
    </w:p>
    <w:p w14:paraId="1E5F5B7B" w14:textId="77777777" w:rsidR="0081654B" w:rsidRPr="00CA12D6" w:rsidRDefault="0081654B" w:rsidP="00973AE2">
      <w:pPr>
        <w:spacing w:line="276" w:lineRule="auto"/>
        <w:ind w:left="567" w:right="567"/>
        <w:jc w:val="both"/>
        <w:rPr>
          <w:rFonts w:ascii="Palatino Linotype" w:hAnsi="Palatino Linotype"/>
          <w:b/>
          <w:bCs/>
          <w:i/>
          <w:iCs/>
          <w:sz w:val="22"/>
          <w:szCs w:val="22"/>
        </w:rPr>
      </w:pPr>
    </w:p>
    <w:p w14:paraId="4B452E03" w14:textId="77777777" w:rsidR="0081654B" w:rsidRPr="00CA12D6" w:rsidRDefault="0081654B" w:rsidP="004E3892">
      <w:pPr>
        <w:spacing w:line="276" w:lineRule="auto"/>
        <w:ind w:left="851" w:right="567"/>
        <w:jc w:val="both"/>
        <w:rPr>
          <w:rFonts w:ascii="Palatino Linotype" w:hAnsi="Palatino Linotype"/>
          <w:i/>
          <w:iCs/>
          <w:sz w:val="22"/>
          <w:szCs w:val="22"/>
          <w:lang w:val="es-ES_tradnl"/>
        </w:rPr>
      </w:pPr>
      <w:r w:rsidRPr="00CA12D6">
        <w:rPr>
          <w:rFonts w:ascii="Palatino Linotype" w:hAnsi="Palatino Linotype"/>
          <w:b/>
          <w:bCs/>
          <w:i/>
          <w:iCs/>
          <w:sz w:val="22"/>
          <w:szCs w:val="22"/>
        </w:rPr>
        <w:t xml:space="preserve">TERCERO. </w:t>
      </w:r>
      <w:r w:rsidRPr="00CA12D6">
        <w:rPr>
          <w:rFonts w:ascii="Palatino Linotype" w:hAnsi="Palatino Linotype"/>
          <w:i/>
          <w:iCs/>
          <w:sz w:val="22"/>
          <w:szCs w:val="22"/>
          <w:lang w:val="es-ES_tradnl"/>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p>
    <w:p w14:paraId="38030900" w14:textId="77777777" w:rsidR="0081654B" w:rsidRPr="00CA12D6" w:rsidRDefault="0081654B" w:rsidP="004E3892">
      <w:pPr>
        <w:spacing w:line="276" w:lineRule="auto"/>
        <w:ind w:left="851" w:right="567"/>
        <w:jc w:val="both"/>
        <w:rPr>
          <w:rFonts w:ascii="Palatino Linotype" w:hAnsi="Palatino Linotype"/>
          <w:i/>
          <w:iCs/>
          <w:sz w:val="22"/>
          <w:szCs w:val="22"/>
        </w:rPr>
      </w:pPr>
      <w:r w:rsidRPr="00CA12D6">
        <w:rPr>
          <w:rFonts w:ascii="Palatino Linotype" w:hAnsi="Palatino Linotype"/>
          <w:i/>
          <w:iCs/>
          <w:sz w:val="22"/>
          <w:szCs w:val="22"/>
        </w:rPr>
        <w:t>…”</w:t>
      </w:r>
    </w:p>
    <w:p w14:paraId="677D0BA8" w14:textId="77777777" w:rsidR="006E7D3D" w:rsidRPr="00CA12D6" w:rsidRDefault="00886556" w:rsidP="00973AE2">
      <w:pPr>
        <w:spacing w:before="240" w:after="240" w:line="360" w:lineRule="auto"/>
        <w:ind w:right="616"/>
        <w:jc w:val="both"/>
        <w:rPr>
          <w:rFonts w:ascii="Palatino Linotype" w:eastAsia="Palatino Linotype" w:hAnsi="Palatino Linotype" w:cs="Palatino Linotype"/>
        </w:rPr>
      </w:pPr>
      <w:r w:rsidRPr="00CA12D6">
        <w:rPr>
          <w:rFonts w:ascii="Palatino Linotype" w:eastAsia="Palatino Linotype" w:hAnsi="Palatino Linotype" w:cs="Palatino Linotype"/>
          <w:b/>
        </w:rPr>
        <w:t>f. Notificación de la Resol</w:t>
      </w:r>
      <w:r w:rsidR="00973AE2" w:rsidRPr="00CA12D6">
        <w:rPr>
          <w:rFonts w:ascii="Palatino Linotype" w:eastAsia="Palatino Linotype" w:hAnsi="Palatino Linotype" w:cs="Palatino Linotype"/>
          <w:b/>
        </w:rPr>
        <w:t>ución del Recurso de Revisión 1533</w:t>
      </w:r>
      <w:r w:rsidRPr="00CA12D6">
        <w:rPr>
          <w:rFonts w:ascii="Palatino Linotype" w:eastAsia="Palatino Linotype" w:hAnsi="Palatino Linotype" w:cs="Palatino Linotype"/>
          <w:b/>
        </w:rPr>
        <w:t xml:space="preserve">4/INFOEM/IP/RR/2022. </w:t>
      </w:r>
      <w:r w:rsidRPr="00CA12D6">
        <w:rPr>
          <w:rFonts w:ascii="Palatino Linotype" w:eastAsia="Palatino Linotype" w:hAnsi="Palatino Linotype" w:cs="Palatino Linotype"/>
        </w:rPr>
        <w:t xml:space="preserve">El </w:t>
      </w:r>
      <w:r w:rsidR="00973AE2" w:rsidRPr="00CA12D6">
        <w:rPr>
          <w:rFonts w:ascii="Palatino Linotype" w:eastAsia="Palatino Linotype" w:hAnsi="Palatino Linotype" w:cs="Palatino Linotype"/>
        </w:rPr>
        <w:t xml:space="preserve">doce de diciembre </w:t>
      </w:r>
      <w:r w:rsidRPr="00CA12D6">
        <w:rPr>
          <w:rFonts w:ascii="Palatino Linotype" w:eastAsia="Palatino Linotype" w:hAnsi="Palatino Linotype" w:cs="Palatino Linotype"/>
        </w:rPr>
        <w:t xml:space="preserve">de dos mil veintidós, se notificó a las partes la resolución del Medio de Impugnación previamente referido, por medio del Sistema de Acceso a la Información Mexiquense (SAIMEX). </w:t>
      </w:r>
    </w:p>
    <w:p w14:paraId="433510E3"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g. Acuerdo de Cumplimiento/Incumplimiento del Recurso de Revisión. </w:t>
      </w:r>
      <w:r w:rsidRPr="00CA12D6">
        <w:rPr>
          <w:rFonts w:ascii="Palatino Linotype" w:eastAsia="Palatino Linotype" w:hAnsi="Palatino Linotype" w:cs="Palatino Linotype"/>
        </w:rPr>
        <w:t xml:space="preserve">El </w:t>
      </w:r>
      <w:r w:rsidR="000B1076" w:rsidRPr="00CA12D6">
        <w:rPr>
          <w:rFonts w:ascii="Palatino Linotype" w:eastAsia="Palatino Linotype" w:hAnsi="Palatino Linotype" w:cs="Palatino Linotype"/>
          <w:b/>
        </w:rPr>
        <w:t>diecinueve de enero de dos mil veintitrés</w:t>
      </w:r>
      <w:r w:rsidRPr="00CA12D6">
        <w:rPr>
          <w:rFonts w:ascii="Palatino Linotype" w:eastAsia="Palatino Linotype" w:hAnsi="Palatino Linotype" w:cs="Palatino Linotype"/>
        </w:rPr>
        <w:t xml:space="preserve">, la Dirección de Cumplimientos de este Instituto notificó a las partes, el acuerdo de incumplimiento a la resolución. </w:t>
      </w:r>
    </w:p>
    <w:p w14:paraId="65D59AAC" w14:textId="77777777" w:rsidR="006E7D3D" w:rsidRPr="00CA12D6" w:rsidRDefault="00886556" w:rsidP="00965782">
      <w:pPr>
        <w:spacing w:before="240" w:after="240" w:line="276" w:lineRule="auto"/>
        <w:ind w:left="851" w:right="616"/>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“Con fundamento en el artículo 200, fracción I de la Ley de Transparencia y Acceso a la Información Pública del Estado de México y Municipios, se les hace de su conocimiento de las partes, el </w:t>
      </w:r>
      <w:r w:rsidRPr="00CA12D6">
        <w:rPr>
          <w:rFonts w:ascii="Palatino Linotype" w:eastAsia="Palatino Linotype" w:hAnsi="Palatino Linotype" w:cs="Palatino Linotype"/>
          <w:b/>
          <w:i/>
          <w:sz w:val="22"/>
          <w:szCs w:val="22"/>
        </w:rPr>
        <w:t>Acuerdo de Incumplimiento</w:t>
      </w:r>
      <w:r w:rsidRPr="00CA12D6">
        <w:rPr>
          <w:rFonts w:ascii="Palatino Linotype" w:eastAsia="Palatino Linotype" w:hAnsi="Palatino Linotype" w:cs="Palatino Linotype"/>
          <w:i/>
          <w:sz w:val="22"/>
          <w:szCs w:val="22"/>
        </w:rPr>
        <w:t xml:space="preserve"> a la Resolución del Recurso de Revisión al rubro indicado, emitido en fecha treinta y uno de enero de dos mil </w:t>
      </w:r>
      <w:proofErr w:type="spellStart"/>
      <w:r w:rsidRPr="00CA12D6">
        <w:rPr>
          <w:rFonts w:ascii="Palatino Linotype" w:eastAsia="Palatino Linotype" w:hAnsi="Palatino Linotype" w:cs="Palatino Linotype"/>
          <w:i/>
          <w:sz w:val="22"/>
          <w:szCs w:val="22"/>
        </w:rPr>
        <w:t>veintitres</w:t>
      </w:r>
      <w:proofErr w:type="spellEnd"/>
      <w:r w:rsidRPr="00CA12D6">
        <w:rPr>
          <w:rFonts w:ascii="Palatino Linotype" w:eastAsia="Palatino Linotype" w:hAnsi="Palatino Linotype" w:cs="Palatino Linotype"/>
          <w:i/>
          <w:sz w:val="22"/>
          <w:szCs w:val="22"/>
        </w:rPr>
        <w:t>, que deriva de la solicitud de información señalada, para su conocimiento y efectos legales procedentes.”</w:t>
      </w:r>
    </w:p>
    <w:p w14:paraId="4E9B99E4" w14:textId="77777777" w:rsidR="00F97B8F" w:rsidRPr="00CA12D6" w:rsidRDefault="00F97B8F" w:rsidP="00F97B8F">
      <w:pPr>
        <w:spacing w:before="240" w:after="240" w:line="360" w:lineRule="auto"/>
        <w:ind w:left="851" w:right="616"/>
        <w:jc w:val="both"/>
        <w:rPr>
          <w:rFonts w:ascii="Palatino Linotype" w:eastAsia="Palatino Linotype" w:hAnsi="Palatino Linotype" w:cs="Palatino Linotype"/>
          <w:i/>
          <w:sz w:val="22"/>
          <w:szCs w:val="22"/>
        </w:rPr>
      </w:pPr>
    </w:p>
    <w:p w14:paraId="426B9EC3" w14:textId="77777777" w:rsidR="007375A7" w:rsidRPr="00CA12D6" w:rsidRDefault="007375A7" w:rsidP="00F97B8F">
      <w:pPr>
        <w:spacing w:before="240" w:after="240" w:line="360" w:lineRule="auto"/>
        <w:ind w:left="851" w:right="616"/>
        <w:jc w:val="both"/>
        <w:rPr>
          <w:rFonts w:ascii="Palatino Linotype" w:eastAsia="Palatino Linotype" w:hAnsi="Palatino Linotype" w:cs="Palatino Linotype"/>
          <w:i/>
          <w:sz w:val="22"/>
          <w:szCs w:val="22"/>
        </w:rPr>
      </w:pPr>
    </w:p>
    <w:p w14:paraId="35B67E00" w14:textId="77777777" w:rsidR="006E7D3D" w:rsidRPr="00CA12D6" w:rsidRDefault="00886556">
      <w:pPr>
        <w:spacing w:line="276" w:lineRule="auto"/>
        <w:ind w:left="851" w:right="851"/>
        <w:jc w:val="both"/>
        <w:rPr>
          <w:rFonts w:ascii="Palatino Linotype" w:eastAsia="Palatino Linotype" w:hAnsi="Palatino Linotype" w:cs="Palatino Linotype"/>
          <w:b/>
          <w:sz w:val="22"/>
          <w:szCs w:val="22"/>
        </w:rPr>
      </w:pPr>
      <w:r w:rsidRPr="00CA12D6">
        <w:rPr>
          <w:rFonts w:ascii="Palatino Linotype" w:eastAsia="Palatino Linotype" w:hAnsi="Palatino Linotype" w:cs="Palatino Linotype"/>
          <w:b/>
          <w:sz w:val="22"/>
          <w:szCs w:val="22"/>
        </w:rPr>
        <w:lastRenderedPageBreak/>
        <w:t>Archivos adjuntos:</w:t>
      </w:r>
    </w:p>
    <w:p w14:paraId="350C93B4" w14:textId="77777777" w:rsidR="006E7D3D" w:rsidRPr="00CA12D6" w:rsidRDefault="006E7D3D">
      <w:pPr>
        <w:spacing w:line="276" w:lineRule="auto"/>
        <w:ind w:left="851" w:right="851"/>
        <w:jc w:val="both"/>
        <w:rPr>
          <w:rFonts w:ascii="Palatino Linotype" w:eastAsia="Palatino Linotype" w:hAnsi="Palatino Linotype" w:cs="Palatino Linotype"/>
          <w:b/>
          <w:sz w:val="22"/>
          <w:szCs w:val="22"/>
        </w:rPr>
      </w:pPr>
    </w:p>
    <w:p w14:paraId="3E8B21BA" w14:textId="77777777" w:rsidR="006E7D3D" w:rsidRPr="00CA12D6" w:rsidRDefault="002A6BE8">
      <w:pPr>
        <w:spacing w:line="360" w:lineRule="auto"/>
        <w:ind w:left="851" w:right="49"/>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AI-RR-15301</w:t>
      </w:r>
      <w:r w:rsidR="00886556" w:rsidRPr="00CA12D6">
        <w:rPr>
          <w:rFonts w:ascii="Palatino Linotype" w:eastAsia="Palatino Linotype" w:hAnsi="Palatino Linotype" w:cs="Palatino Linotype"/>
          <w:b/>
          <w:i/>
          <w:sz w:val="22"/>
          <w:szCs w:val="22"/>
        </w:rPr>
        <w:t>-</w:t>
      </w:r>
      <w:r w:rsidR="00987170" w:rsidRPr="00CA12D6">
        <w:rPr>
          <w:rFonts w:ascii="Palatino Linotype" w:eastAsia="Palatino Linotype" w:hAnsi="Palatino Linotype" w:cs="Palatino Linotype"/>
          <w:b/>
          <w:i/>
          <w:sz w:val="22"/>
          <w:szCs w:val="22"/>
        </w:rPr>
        <w:t>ACUMULADOS-</w:t>
      </w:r>
      <w:r w:rsidR="00886556" w:rsidRPr="00CA12D6">
        <w:rPr>
          <w:rFonts w:ascii="Palatino Linotype" w:eastAsia="Palatino Linotype" w:hAnsi="Palatino Linotype" w:cs="Palatino Linotype"/>
          <w:b/>
          <w:i/>
          <w:sz w:val="22"/>
          <w:szCs w:val="22"/>
        </w:rPr>
        <w:t>2022</w:t>
      </w:r>
      <w:r w:rsidR="00987170" w:rsidRPr="00CA12D6">
        <w:rPr>
          <w:rFonts w:ascii="Palatino Linotype" w:eastAsia="Palatino Linotype" w:hAnsi="Palatino Linotype" w:cs="Palatino Linotype"/>
          <w:b/>
          <w:i/>
          <w:sz w:val="22"/>
          <w:szCs w:val="22"/>
        </w:rPr>
        <w:t xml:space="preserve"> OK</w:t>
      </w:r>
      <w:r w:rsidR="00886556" w:rsidRPr="00CA12D6">
        <w:rPr>
          <w:rFonts w:ascii="Palatino Linotype" w:eastAsia="Palatino Linotype" w:hAnsi="Palatino Linotype" w:cs="Palatino Linotype"/>
          <w:b/>
          <w:i/>
          <w:sz w:val="22"/>
          <w:szCs w:val="22"/>
        </w:rPr>
        <w:t xml:space="preserve">.pdf: </w:t>
      </w:r>
      <w:r w:rsidR="00886556" w:rsidRPr="00CA12D6">
        <w:rPr>
          <w:rFonts w:ascii="Palatino Linotype" w:eastAsia="Palatino Linotype" w:hAnsi="Palatino Linotype" w:cs="Palatino Linotype"/>
        </w:rPr>
        <w:t xml:space="preserve">Acuerdo de Incumplimiento de fecha </w:t>
      </w:r>
      <w:r w:rsidR="003955C5" w:rsidRPr="00CA12D6">
        <w:rPr>
          <w:rFonts w:ascii="Palatino Linotype" w:eastAsia="Palatino Linotype" w:hAnsi="Palatino Linotype" w:cs="Palatino Linotype"/>
        </w:rPr>
        <w:t>dieciocho</w:t>
      </w:r>
      <w:r w:rsidR="00886556" w:rsidRPr="00CA12D6">
        <w:rPr>
          <w:rFonts w:ascii="Palatino Linotype" w:eastAsia="Palatino Linotype" w:hAnsi="Palatino Linotype" w:cs="Palatino Linotype"/>
        </w:rPr>
        <w:t xml:space="preserve"> de </w:t>
      </w:r>
      <w:r w:rsidR="003955C5" w:rsidRPr="00CA12D6">
        <w:rPr>
          <w:rFonts w:ascii="Palatino Linotype" w:eastAsia="Palatino Linotype" w:hAnsi="Palatino Linotype" w:cs="Palatino Linotype"/>
        </w:rPr>
        <w:t>enero</w:t>
      </w:r>
      <w:r w:rsidR="00886556" w:rsidRPr="00CA12D6">
        <w:rPr>
          <w:rFonts w:ascii="Palatino Linotype" w:eastAsia="Palatino Linotype" w:hAnsi="Palatino Linotype" w:cs="Palatino Linotype"/>
        </w:rPr>
        <w:t xml:space="preserve"> de dos mil veintitrés, mediante el cual, el Director de Cumplimientos da cuenta del incumplimiento a la resolución citada al rubro y adicionalmente, solicita se notifique el incumplimiento al Superior Jerárquico del responsable de dar cumplimiento a la Resolución de mérito, así como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7A99C564" w14:textId="77777777" w:rsidR="006E7D3D" w:rsidRPr="00CA12D6" w:rsidRDefault="006E7D3D">
      <w:pPr>
        <w:spacing w:line="276" w:lineRule="auto"/>
        <w:ind w:left="851" w:right="851"/>
        <w:jc w:val="both"/>
        <w:rPr>
          <w:rFonts w:ascii="Palatino Linotype" w:eastAsia="Palatino Linotype" w:hAnsi="Palatino Linotype" w:cs="Palatino Linotype"/>
          <w:b/>
          <w:i/>
          <w:sz w:val="22"/>
          <w:szCs w:val="22"/>
        </w:rPr>
      </w:pPr>
    </w:p>
    <w:p w14:paraId="783691F3" w14:textId="77777777" w:rsidR="006E7D3D" w:rsidRPr="00CA12D6" w:rsidRDefault="00070CB0">
      <w:pPr>
        <w:spacing w:line="360" w:lineRule="auto"/>
        <w:ind w:left="851" w:right="49"/>
        <w:jc w:val="both"/>
        <w:rPr>
          <w:rFonts w:ascii="Palatino Linotype" w:eastAsia="Palatino Linotype" w:hAnsi="Palatino Linotype" w:cs="Palatino Linotype"/>
        </w:rPr>
      </w:pPr>
      <w:r w:rsidRPr="00CA12D6">
        <w:rPr>
          <w:rFonts w:ascii="Palatino Linotype" w:eastAsia="Palatino Linotype" w:hAnsi="Palatino Linotype" w:cs="Palatino Linotype"/>
          <w:b/>
          <w:i/>
          <w:sz w:val="22"/>
          <w:szCs w:val="22"/>
        </w:rPr>
        <w:t>OF-SJ-15301-ACUMULADOS-2022.pdf</w:t>
      </w:r>
      <w:r w:rsidR="00886556" w:rsidRPr="00CA12D6">
        <w:rPr>
          <w:rFonts w:ascii="Palatino Linotype" w:eastAsia="Palatino Linotype" w:hAnsi="Palatino Linotype" w:cs="Palatino Linotype"/>
          <w:b/>
          <w:i/>
          <w:sz w:val="22"/>
          <w:szCs w:val="22"/>
        </w:rPr>
        <w:t xml:space="preserve">: </w:t>
      </w:r>
      <w:r w:rsidR="00E678F3" w:rsidRPr="00CA12D6">
        <w:rPr>
          <w:rFonts w:ascii="Palatino Linotype" w:eastAsia="Palatino Linotype" w:hAnsi="Palatino Linotype" w:cs="Palatino Linotype"/>
        </w:rPr>
        <w:t>Oficio</w:t>
      </w:r>
      <w:r w:rsidR="000C5002" w:rsidRPr="00CA12D6">
        <w:rPr>
          <w:rFonts w:ascii="Palatino Linotype" w:eastAsia="Palatino Linotype" w:hAnsi="Palatino Linotype" w:cs="Palatino Linotype"/>
        </w:rPr>
        <w:t xml:space="preserve"> número</w:t>
      </w:r>
      <w:r w:rsidR="00E678F3" w:rsidRPr="00CA12D6">
        <w:rPr>
          <w:rFonts w:ascii="Palatino Linotype" w:eastAsia="Palatino Linotype" w:hAnsi="Palatino Linotype" w:cs="Palatino Linotype"/>
        </w:rPr>
        <w:t xml:space="preserve"> INFOEM/STP/DC/0205</w:t>
      </w:r>
      <w:r w:rsidR="00886556" w:rsidRPr="00CA12D6">
        <w:rPr>
          <w:rFonts w:ascii="Palatino Linotype" w:eastAsia="Palatino Linotype" w:hAnsi="Palatino Linotype" w:cs="Palatino Linotype"/>
        </w:rPr>
        <w:t>/202</w:t>
      </w:r>
      <w:r w:rsidR="00E678F3" w:rsidRPr="00CA12D6">
        <w:rPr>
          <w:rFonts w:ascii="Palatino Linotype" w:eastAsia="Palatino Linotype" w:hAnsi="Palatino Linotype" w:cs="Palatino Linotype"/>
        </w:rPr>
        <w:t>3</w:t>
      </w:r>
      <w:r w:rsidR="000C5002" w:rsidRPr="00CA12D6">
        <w:rPr>
          <w:rFonts w:ascii="Palatino Linotype" w:eastAsia="Palatino Linotype" w:hAnsi="Palatino Linotype" w:cs="Palatino Linotype"/>
        </w:rPr>
        <w:t xml:space="preserve"> de fecha dieciocho de enero de dos mil veintitrés </w:t>
      </w:r>
      <w:r w:rsidR="009F5F42" w:rsidRPr="00CA12D6">
        <w:rPr>
          <w:rFonts w:ascii="Palatino Linotype" w:eastAsia="Palatino Linotype" w:hAnsi="Palatino Linotype" w:cs="Palatino Linotype"/>
        </w:rPr>
        <w:t>remitido</w:t>
      </w:r>
      <w:r w:rsidR="00886556" w:rsidRPr="00CA12D6">
        <w:rPr>
          <w:rFonts w:ascii="Palatino Linotype" w:eastAsia="Palatino Linotype" w:hAnsi="Palatino Linotype" w:cs="Palatino Linotype"/>
        </w:rPr>
        <w:t xml:space="preserve"> por el </w:t>
      </w:r>
      <w:proofErr w:type="gramStart"/>
      <w:r w:rsidR="00886556" w:rsidRPr="00CA12D6">
        <w:rPr>
          <w:rFonts w:ascii="Palatino Linotype" w:eastAsia="Palatino Linotype" w:hAnsi="Palatino Linotype" w:cs="Palatino Linotype"/>
        </w:rPr>
        <w:t>Director</w:t>
      </w:r>
      <w:proofErr w:type="gramEnd"/>
      <w:r w:rsidR="00886556" w:rsidRPr="00CA12D6">
        <w:rPr>
          <w:rFonts w:ascii="Palatino Linotype" w:eastAsia="Palatino Linotype" w:hAnsi="Palatino Linotype" w:cs="Palatino Linotype"/>
        </w:rPr>
        <w:t xml:space="preserve"> de Cumplimientos, mediante el cual se solicita que se notifique al superior jerárquico del responsable de dar cumplimiento a la resolución de mérito, a efecto de que dé cumplimiento a la misma en un periodo no mayor a cinco días hábiles.</w:t>
      </w:r>
    </w:p>
    <w:p w14:paraId="608A0499" w14:textId="77777777" w:rsidR="006E7D3D" w:rsidRPr="00CA12D6" w:rsidRDefault="006E7D3D">
      <w:pPr>
        <w:spacing w:line="276" w:lineRule="auto"/>
        <w:ind w:left="851" w:right="851"/>
        <w:jc w:val="both"/>
        <w:rPr>
          <w:rFonts w:ascii="Palatino Linotype" w:eastAsia="Palatino Linotype" w:hAnsi="Palatino Linotype" w:cs="Palatino Linotype"/>
          <w:b/>
          <w:i/>
          <w:sz w:val="22"/>
          <w:szCs w:val="22"/>
        </w:rPr>
      </w:pPr>
    </w:p>
    <w:p w14:paraId="29DF3C06" w14:textId="77777777" w:rsidR="006E7D3D" w:rsidRPr="00CA12D6" w:rsidRDefault="00886556">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h. Turno a la Contraloría Interna para Imposición de Medida de Apremio. </w:t>
      </w:r>
      <w:r w:rsidRPr="00CA12D6">
        <w:rPr>
          <w:rFonts w:ascii="Palatino Linotype" w:eastAsia="Palatino Linotype" w:hAnsi="Palatino Linotype" w:cs="Palatino Linotype"/>
        </w:rPr>
        <w:t xml:space="preserve">El </w:t>
      </w:r>
      <w:r w:rsidR="0053766D" w:rsidRPr="00CA12D6">
        <w:rPr>
          <w:rFonts w:ascii="Palatino Linotype" w:eastAsia="Palatino Linotype" w:hAnsi="Palatino Linotype" w:cs="Palatino Linotype"/>
          <w:b/>
        </w:rPr>
        <w:t>diecinueve</w:t>
      </w:r>
      <w:r w:rsidRPr="00CA12D6">
        <w:rPr>
          <w:rFonts w:ascii="Palatino Linotype" w:eastAsia="Palatino Linotype" w:hAnsi="Palatino Linotype" w:cs="Palatino Linotype"/>
          <w:b/>
        </w:rPr>
        <w:t xml:space="preserve"> de </w:t>
      </w:r>
      <w:r w:rsidR="0053766D" w:rsidRPr="00CA12D6">
        <w:rPr>
          <w:rFonts w:ascii="Palatino Linotype" w:eastAsia="Palatino Linotype" w:hAnsi="Palatino Linotype" w:cs="Palatino Linotype"/>
          <w:b/>
        </w:rPr>
        <w:t>enero</w:t>
      </w:r>
      <w:r w:rsidRPr="00CA12D6">
        <w:rPr>
          <w:rFonts w:ascii="Palatino Linotype" w:eastAsia="Palatino Linotype" w:hAnsi="Palatino Linotype" w:cs="Palatino Linotype"/>
          <w:b/>
        </w:rPr>
        <w:t xml:space="preserve"> de dos mil veinti</w:t>
      </w:r>
      <w:r w:rsidR="0053766D" w:rsidRPr="00CA12D6">
        <w:rPr>
          <w:rFonts w:ascii="Palatino Linotype" w:eastAsia="Palatino Linotype" w:hAnsi="Palatino Linotype" w:cs="Palatino Linotype"/>
          <w:b/>
        </w:rPr>
        <w:t>trés</w:t>
      </w:r>
      <w:r w:rsidRPr="00CA12D6">
        <w:rPr>
          <w:rFonts w:ascii="Palatino Linotype" w:eastAsia="Palatino Linotype" w:hAnsi="Palatino Linotype" w:cs="Palatino Linotype"/>
        </w:rPr>
        <w:t xml:space="preserve">, se notificó al Titular del Órgano de Control Interno, el oficio </w:t>
      </w:r>
      <w:r w:rsidR="00635BFE" w:rsidRPr="00CA12D6">
        <w:rPr>
          <w:rFonts w:ascii="Palatino Linotype" w:eastAsia="Palatino Linotype" w:hAnsi="Palatino Linotype" w:cs="Palatino Linotype"/>
        </w:rPr>
        <w:t>INFOEM/STP/DC/206/2023</w:t>
      </w:r>
      <w:r w:rsidRPr="00CA12D6">
        <w:rPr>
          <w:rFonts w:ascii="Palatino Linotype" w:eastAsia="Palatino Linotype" w:hAnsi="Palatino Linotype" w:cs="Palatino Linotype"/>
        </w:rPr>
        <w:t xml:space="preserve">, de fecha </w:t>
      </w:r>
      <w:r w:rsidR="00635BFE" w:rsidRPr="00CA12D6">
        <w:rPr>
          <w:rFonts w:ascii="Palatino Linotype" w:eastAsia="Palatino Linotype" w:hAnsi="Palatino Linotype" w:cs="Palatino Linotype"/>
        </w:rPr>
        <w:t>dieciocho</w:t>
      </w:r>
      <w:r w:rsidRPr="00CA12D6">
        <w:rPr>
          <w:rFonts w:ascii="Palatino Linotype" w:eastAsia="Palatino Linotype" w:hAnsi="Palatino Linotype" w:cs="Palatino Linotype"/>
        </w:rPr>
        <w:t xml:space="preserve"> de </w:t>
      </w:r>
      <w:r w:rsidR="00635BFE" w:rsidRPr="00CA12D6">
        <w:rPr>
          <w:rFonts w:ascii="Palatino Linotype" w:eastAsia="Palatino Linotype" w:hAnsi="Palatino Linotype" w:cs="Palatino Linotype"/>
        </w:rPr>
        <w:t>enero</w:t>
      </w:r>
      <w:r w:rsidRPr="00CA12D6">
        <w:rPr>
          <w:rFonts w:ascii="Palatino Linotype" w:eastAsia="Palatino Linotype" w:hAnsi="Palatino Linotype" w:cs="Palatino Linotype"/>
        </w:rPr>
        <w:t xml:space="preserve"> de dos mil veinti</w:t>
      </w:r>
      <w:r w:rsidR="00867FC4" w:rsidRPr="00CA12D6">
        <w:rPr>
          <w:rFonts w:ascii="Palatino Linotype" w:eastAsia="Palatino Linotype" w:hAnsi="Palatino Linotype" w:cs="Palatino Linotype"/>
        </w:rPr>
        <w:t>trés</w:t>
      </w:r>
      <w:r w:rsidRPr="00CA12D6">
        <w:rPr>
          <w:rFonts w:ascii="Palatino Linotype" w:eastAsia="Palatino Linotype" w:hAnsi="Palatino Linotype" w:cs="Palatino Linotype"/>
        </w:rPr>
        <w:t xml:space="preserve">, mediante el cual, el </w:t>
      </w:r>
      <w:proofErr w:type="gramStart"/>
      <w:r w:rsidRPr="00CA12D6">
        <w:rPr>
          <w:rFonts w:ascii="Palatino Linotype" w:eastAsia="Palatino Linotype" w:hAnsi="Palatino Linotype" w:cs="Palatino Linotype"/>
        </w:rPr>
        <w:t>Director</w:t>
      </w:r>
      <w:proofErr w:type="gramEnd"/>
      <w:r w:rsidRPr="00CA12D6">
        <w:rPr>
          <w:rFonts w:ascii="Palatino Linotype" w:eastAsia="Palatino Linotype" w:hAnsi="Palatino Linotype" w:cs="Palatino Linotype"/>
        </w:rPr>
        <w:t xml:space="preserve"> de Cumplimientos hace del conocimiento del Contralor que se emitió un incumplimiento al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para efecto de que en ejercicio de sus atribuciones, se impongan las medidas de apremio que conforme a derecho procedan.</w:t>
      </w:r>
    </w:p>
    <w:p w14:paraId="740E6EDE" w14:textId="77777777" w:rsidR="006E7D3D" w:rsidRPr="00CA12D6" w:rsidRDefault="00886556">
      <w:pPr>
        <w:spacing w:before="240" w:after="240" w:line="360" w:lineRule="auto"/>
        <w:ind w:right="49"/>
        <w:jc w:val="both"/>
        <w:rPr>
          <w:rFonts w:ascii="Palatino Linotype" w:eastAsia="Palatino Linotype" w:hAnsi="Palatino Linotype" w:cs="Palatino Linotype"/>
        </w:rPr>
      </w:pPr>
      <w:r w:rsidRPr="00CA12D6">
        <w:rPr>
          <w:rFonts w:ascii="Palatino Linotype" w:eastAsia="Palatino Linotype" w:hAnsi="Palatino Linotype" w:cs="Palatino Linotype"/>
          <w:b/>
        </w:rPr>
        <w:lastRenderedPageBreak/>
        <w:t>6. Interposición del Segundo Recurso de Revisión 1</w:t>
      </w:r>
      <w:r w:rsidR="006170E0" w:rsidRPr="00CA12D6">
        <w:rPr>
          <w:rFonts w:ascii="Palatino Linotype" w:eastAsia="Palatino Linotype" w:hAnsi="Palatino Linotype" w:cs="Palatino Linotype"/>
          <w:b/>
        </w:rPr>
        <w:t>5334/INFOEM/ICR-40</w:t>
      </w:r>
      <w:r w:rsidR="000B7C28" w:rsidRPr="00CA12D6">
        <w:rPr>
          <w:rFonts w:ascii="Palatino Linotype" w:eastAsia="Palatino Linotype" w:hAnsi="Palatino Linotype" w:cs="Palatino Linotype"/>
          <w:b/>
        </w:rPr>
        <w:t>/</w:t>
      </w:r>
      <w:r w:rsidRPr="00CA12D6">
        <w:rPr>
          <w:rFonts w:ascii="Palatino Linotype" w:eastAsia="Palatino Linotype" w:hAnsi="Palatino Linotype" w:cs="Palatino Linotype"/>
          <w:b/>
        </w:rPr>
        <w:t xml:space="preserve">IP/RR/2022. </w:t>
      </w:r>
      <w:r w:rsidRPr="00CA12D6">
        <w:rPr>
          <w:rFonts w:ascii="Palatino Linotype" w:eastAsia="Palatino Linotype" w:hAnsi="Palatino Linotype" w:cs="Palatino Linotype"/>
        </w:rPr>
        <w:t xml:space="preserve">El </w:t>
      </w:r>
      <w:r w:rsidR="006170E0" w:rsidRPr="00CA12D6">
        <w:rPr>
          <w:rFonts w:ascii="Palatino Linotype" w:eastAsia="Palatino Linotype" w:hAnsi="Palatino Linotype" w:cs="Palatino Linotype"/>
          <w:b/>
        </w:rPr>
        <w:t>dos</w:t>
      </w:r>
      <w:r w:rsidRPr="00CA12D6">
        <w:rPr>
          <w:rFonts w:ascii="Palatino Linotype" w:eastAsia="Palatino Linotype" w:hAnsi="Palatino Linotype" w:cs="Palatino Linotype"/>
          <w:b/>
        </w:rPr>
        <w:t xml:space="preserve"> de </w:t>
      </w:r>
      <w:r w:rsidR="006170E0" w:rsidRPr="00CA12D6">
        <w:rPr>
          <w:rFonts w:ascii="Palatino Linotype" w:eastAsia="Palatino Linotype" w:hAnsi="Palatino Linotype" w:cs="Palatino Linotype"/>
          <w:b/>
        </w:rPr>
        <w:t>febrero</w:t>
      </w:r>
      <w:r w:rsidRPr="00CA12D6">
        <w:rPr>
          <w:rFonts w:ascii="Palatino Linotype" w:eastAsia="Palatino Linotype" w:hAnsi="Palatino Linotype" w:cs="Palatino Linotype"/>
          <w:b/>
        </w:rPr>
        <w:t xml:space="preserve"> de dos mil veintitrés</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la parte</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 xml:space="preserve">Recurrente </w:t>
      </w:r>
      <w:r w:rsidRPr="00CA12D6">
        <w:rPr>
          <w:rFonts w:ascii="Palatino Linotype" w:eastAsia="Palatino Linotype" w:hAnsi="Palatino Linotype" w:cs="Palatino Linotype"/>
        </w:rPr>
        <w:t xml:space="preserve">interpuso Recurso de Revisión en este Instituto, a través del Sistema de Acceso a la Información Mexiquense (SAIMEX), en contra de la falta de respuesta del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en cumplimiento a la resolución referida en el antecedente 5, e. expresando las siguientes manifestaciones:</w:t>
      </w:r>
    </w:p>
    <w:p w14:paraId="68C03FCB" w14:textId="77777777" w:rsidR="006E7D3D" w:rsidRPr="00CA12D6" w:rsidRDefault="00886556">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CA12D6">
        <w:rPr>
          <w:rFonts w:ascii="Palatino Linotype" w:eastAsia="Palatino Linotype" w:hAnsi="Palatino Linotype" w:cs="Palatino Linotype"/>
          <w:b/>
        </w:rPr>
        <w:t>Acto Impugnado</w:t>
      </w:r>
    </w:p>
    <w:p w14:paraId="325C4668" w14:textId="77777777" w:rsidR="006E7D3D" w:rsidRPr="00CA12D6" w:rsidRDefault="00886556">
      <w:pPr>
        <w:ind w:left="567" w:right="1013"/>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“Sin respuesta a pesar del recurso de revisión” (Sic.)</w:t>
      </w:r>
    </w:p>
    <w:p w14:paraId="1905E0B2" w14:textId="77777777" w:rsidR="006E7D3D" w:rsidRPr="00CA12D6" w:rsidRDefault="006E7D3D">
      <w:pPr>
        <w:spacing w:line="360" w:lineRule="auto"/>
        <w:ind w:left="567" w:right="567"/>
        <w:jc w:val="both"/>
        <w:rPr>
          <w:rFonts w:ascii="Palatino Linotype" w:eastAsia="Palatino Linotype" w:hAnsi="Palatino Linotype" w:cs="Palatino Linotype"/>
          <w:i/>
        </w:rPr>
      </w:pPr>
    </w:p>
    <w:p w14:paraId="1189C922" w14:textId="77777777" w:rsidR="006E7D3D" w:rsidRPr="00CA12D6" w:rsidRDefault="00886556">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CA12D6">
        <w:rPr>
          <w:rFonts w:ascii="Palatino Linotype" w:eastAsia="Palatino Linotype" w:hAnsi="Palatino Linotype" w:cs="Palatino Linotype"/>
          <w:b/>
        </w:rPr>
        <w:t>Razones o Motivos de la Inconformidad</w:t>
      </w:r>
    </w:p>
    <w:p w14:paraId="6DF5E73A" w14:textId="77777777" w:rsidR="006E7D3D" w:rsidRPr="00CA12D6" w:rsidRDefault="00886556">
      <w:pPr>
        <w:spacing w:line="276" w:lineRule="auto"/>
        <w:ind w:left="567" w:right="567"/>
        <w:jc w:val="both"/>
        <w:rPr>
          <w:rFonts w:ascii="Palatino Linotype" w:eastAsia="Palatino Linotype" w:hAnsi="Palatino Linotype" w:cs="Palatino Linotype"/>
          <w:sz w:val="22"/>
          <w:szCs w:val="22"/>
        </w:rPr>
      </w:pPr>
      <w:r w:rsidRPr="00CA12D6">
        <w:rPr>
          <w:rFonts w:ascii="Palatino Linotype" w:eastAsia="Palatino Linotype" w:hAnsi="Palatino Linotype" w:cs="Palatino Linotype"/>
          <w:i/>
          <w:sz w:val="22"/>
          <w:szCs w:val="22"/>
        </w:rPr>
        <w:t>“sin respuesta” (Sic)</w:t>
      </w:r>
    </w:p>
    <w:p w14:paraId="0DB4A006" w14:textId="77777777" w:rsidR="006E7D3D" w:rsidRPr="00CA12D6" w:rsidRDefault="006E7D3D">
      <w:pPr>
        <w:widowControl w:val="0"/>
        <w:spacing w:line="360" w:lineRule="auto"/>
        <w:jc w:val="both"/>
        <w:rPr>
          <w:rFonts w:ascii="Palatino Linotype" w:eastAsia="Palatino Linotype" w:hAnsi="Palatino Linotype" w:cs="Palatino Linotype"/>
          <w:b/>
        </w:rPr>
      </w:pPr>
    </w:p>
    <w:p w14:paraId="656BB4B5" w14:textId="77777777" w:rsidR="006E7D3D" w:rsidRPr="00CA12D6" w:rsidRDefault="00886556">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7. Trámite del Recurso de Revisión con número 1</w:t>
      </w:r>
      <w:r w:rsidR="00381DAE" w:rsidRPr="00CA12D6">
        <w:rPr>
          <w:rFonts w:ascii="Palatino Linotype" w:eastAsia="Palatino Linotype" w:hAnsi="Palatino Linotype" w:cs="Palatino Linotype"/>
          <w:b/>
        </w:rPr>
        <w:t>533</w:t>
      </w:r>
      <w:r w:rsidR="00B963C1" w:rsidRPr="00CA12D6">
        <w:rPr>
          <w:rFonts w:ascii="Palatino Linotype" w:eastAsia="Palatino Linotype" w:hAnsi="Palatino Linotype" w:cs="Palatino Linotype"/>
          <w:b/>
        </w:rPr>
        <w:t>4/INFOEM/ICR-40</w:t>
      </w:r>
      <w:r w:rsidRPr="00CA12D6">
        <w:rPr>
          <w:rFonts w:ascii="Palatino Linotype" w:eastAsia="Palatino Linotype" w:hAnsi="Palatino Linotype" w:cs="Palatino Linotype"/>
          <w:b/>
        </w:rPr>
        <w:t>/IP/RR/2022 ante el Instituto.</w:t>
      </w:r>
    </w:p>
    <w:p w14:paraId="70007C3C" w14:textId="77777777" w:rsidR="006E7D3D" w:rsidRPr="00CA12D6" w:rsidRDefault="006E7D3D">
      <w:pPr>
        <w:spacing w:line="360" w:lineRule="auto"/>
        <w:jc w:val="both"/>
        <w:rPr>
          <w:rFonts w:ascii="Palatino Linotype" w:eastAsia="Palatino Linotype" w:hAnsi="Palatino Linotype" w:cs="Palatino Linotype"/>
        </w:rPr>
      </w:pPr>
    </w:p>
    <w:p w14:paraId="5DAB0CFF" w14:textId="77777777" w:rsidR="006E7D3D" w:rsidRPr="00CA12D6" w:rsidRDefault="00886556">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a) Turno del Recurso de Revisión. </w:t>
      </w:r>
      <w:r w:rsidRPr="00CA12D6">
        <w:rPr>
          <w:rFonts w:ascii="Palatino Linotype" w:eastAsia="Palatino Linotype" w:hAnsi="Palatino Linotype" w:cs="Palatino Linotype"/>
        </w:rPr>
        <w:t xml:space="preserve">El </w:t>
      </w:r>
      <w:r w:rsidR="00B963C1" w:rsidRPr="00CA12D6">
        <w:rPr>
          <w:rFonts w:ascii="Palatino Linotype" w:eastAsia="Palatino Linotype" w:hAnsi="Palatino Linotype" w:cs="Palatino Linotype"/>
          <w:b/>
        </w:rPr>
        <w:t>dos</w:t>
      </w:r>
      <w:r w:rsidRPr="00CA12D6">
        <w:rPr>
          <w:rFonts w:ascii="Palatino Linotype" w:eastAsia="Palatino Linotype" w:hAnsi="Palatino Linotype" w:cs="Palatino Linotype"/>
          <w:b/>
        </w:rPr>
        <w:t xml:space="preserve"> de </w:t>
      </w:r>
      <w:r w:rsidR="00B963C1" w:rsidRPr="00CA12D6">
        <w:rPr>
          <w:rFonts w:ascii="Palatino Linotype" w:eastAsia="Palatino Linotype" w:hAnsi="Palatino Linotype" w:cs="Palatino Linotype"/>
          <w:b/>
        </w:rPr>
        <w:t>febrero</w:t>
      </w:r>
      <w:r w:rsidRPr="00CA12D6">
        <w:rPr>
          <w:rFonts w:ascii="Palatino Linotype" w:eastAsia="Palatino Linotype" w:hAnsi="Palatino Linotype" w:cs="Palatino Linotype"/>
          <w:b/>
        </w:rPr>
        <w:t xml:space="preserve"> de dos mil veintitrés</w:t>
      </w:r>
      <w:r w:rsidRPr="00CA12D6">
        <w:rPr>
          <w:rFonts w:ascii="Palatino Linotype" w:eastAsia="Palatino Linotype" w:hAnsi="Palatino Linotype" w:cs="Palatino Linotype"/>
        </w:rPr>
        <w:t xml:space="preserve">, el Sistema de Acceso a la Información Mexiquense (SAIMEX), asignó el número de expediente </w:t>
      </w:r>
      <w:r w:rsidRPr="00CA12D6">
        <w:rPr>
          <w:rFonts w:ascii="Palatino Linotype" w:eastAsia="Palatino Linotype" w:hAnsi="Palatino Linotype" w:cs="Palatino Linotype"/>
          <w:b/>
        </w:rPr>
        <w:t>1</w:t>
      </w:r>
      <w:r w:rsidR="00B963C1" w:rsidRPr="00CA12D6">
        <w:rPr>
          <w:rFonts w:ascii="Palatino Linotype" w:eastAsia="Palatino Linotype" w:hAnsi="Palatino Linotype" w:cs="Palatino Linotype"/>
          <w:b/>
        </w:rPr>
        <w:t>5334/INFOEM/ICR-40</w:t>
      </w:r>
      <w:r w:rsidRPr="00CA12D6">
        <w:rPr>
          <w:rFonts w:ascii="Palatino Linotype" w:eastAsia="Palatino Linotype" w:hAnsi="Palatino Linotype" w:cs="Palatino Linotype"/>
          <w:b/>
        </w:rPr>
        <w:t xml:space="preserve">/IP/RR/2022, </w:t>
      </w:r>
      <w:r w:rsidRPr="00CA12D6">
        <w:rPr>
          <w:rFonts w:ascii="Palatino Linotype" w:eastAsia="Palatino Linotype" w:hAnsi="Palatino Linotype" w:cs="Palatino Linotype"/>
        </w:rPr>
        <w:t>al Medio de Impugnación que nos ocupa, con base en el sistema aprobado por el Pleno de este Organismo Garante y lo turnó al</w:t>
      </w:r>
      <w:r w:rsidR="00D06D93" w:rsidRPr="00CA12D6">
        <w:rPr>
          <w:rFonts w:ascii="Palatino Linotype" w:eastAsia="Palatino Linotype" w:hAnsi="Palatino Linotype" w:cs="Palatino Linotype"/>
        </w:rPr>
        <w:t xml:space="preserve"> </w:t>
      </w:r>
      <w:r w:rsidR="00D06D93" w:rsidRPr="00CA12D6">
        <w:rPr>
          <w:rFonts w:ascii="Palatino Linotype" w:eastAsia="Palatino Linotype" w:hAnsi="Palatino Linotype" w:cs="Palatino Linotype"/>
          <w:b/>
        </w:rPr>
        <w:t>Comisionado</w:t>
      </w:r>
      <w:r w:rsidRPr="00CA12D6">
        <w:rPr>
          <w:rFonts w:ascii="Palatino Linotype" w:eastAsia="Palatino Linotype" w:hAnsi="Palatino Linotype" w:cs="Palatino Linotype"/>
          <w:b/>
        </w:rPr>
        <w:t xml:space="preserve"> Ponente </w:t>
      </w:r>
      <w:r w:rsidR="00D06D93" w:rsidRPr="00CA12D6">
        <w:rPr>
          <w:rFonts w:ascii="Palatino Linotype" w:eastAsia="Palatino Linotype" w:hAnsi="Palatino Linotype" w:cs="Palatino Linotype"/>
          <w:b/>
        </w:rPr>
        <w:t>Luis Gustavo Parra Noriega</w:t>
      </w:r>
      <w:r w:rsidRPr="00CA12D6">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061E6E94" w14:textId="77777777" w:rsidR="006E7D3D" w:rsidRPr="00CA12D6" w:rsidRDefault="006E7D3D">
      <w:pPr>
        <w:spacing w:line="360" w:lineRule="auto"/>
        <w:jc w:val="both"/>
        <w:rPr>
          <w:rFonts w:ascii="Palatino Linotype" w:eastAsia="Palatino Linotype" w:hAnsi="Palatino Linotype" w:cs="Palatino Linotype"/>
        </w:rPr>
      </w:pPr>
    </w:p>
    <w:p w14:paraId="5884D25F" w14:textId="77777777" w:rsidR="006E7D3D" w:rsidRPr="00CA12D6" w:rsidRDefault="00886556">
      <w:pPr>
        <w:spacing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 xml:space="preserve">b) Admisión del Recurso de Revisión. </w:t>
      </w:r>
      <w:r w:rsidRPr="00CA12D6">
        <w:rPr>
          <w:rFonts w:ascii="Palatino Linotype" w:eastAsia="Palatino Linotype" w:hAnsi="Palatino Linotype" w:cs="Palatino Linotype"/>
        </w:rPr>
        <w:t xml:space="preserve">El </w:t>
      </w:r>
      <w:r w:rsidR="00A46C89" w:rsidRPr="00CA12D6">
        <w:rPr>
          <w:rFonts w:ascii="Palatino Linotype" w:eastAsia="Palatino Linotype" w:hAnsi="Palatino Linotype" w:cs="Palatino Linotype"/>
          <w:b/>
        </w:rPr>
        <w:t>ocho</w:t>
      </w:r>
      <w:r w:rsidRPr="00CA12D6">
        <w:rPr>
          <w:rFonts w:ascii="Palatino Linotype" w:eastAsia="Palatino Linotype" w:hAnsi="Palatino Linotype" w:cs="Palatino Linotype"/>
          <w:b/>
        </w:rPr>
        <w:t xml:space="preserve"> de </w:t>
      </w:r>
      <w:r w:rsidR="000B512F" w:rsidRPr="00CA12D6">
        <w:rPr>
          <w:rFonts w:ascii="Palatino Linotype" w:eastAsia="Palatino Linotype" w:hAnsi="Palatino Linotype" w:cs="Palatino Linotype"/>
          <w:b/>
        </w:rPr>
        <w:t>febrero</w:t>
      </w:r>
      <w:r w:rsidRPr="00CA12D6">
        <w:rPr>
          <w:rFonts w:ascii="Palatino Linotype" w:eastAsia="Palatino Linotype" w:hAnsi="Palatino Linotype" w:cs="Palatino Linotype"/>
          <w:b/>
        </w:rPr>
        <w:t xml:space="preserve"> de dos mil veintitrés</w:t>
      </w:r>
      <w:r w:rsidRPr="00CA12D6">
        <w:rPr>
          <w:rFonts w:ascii="Palatino Linotype" w:eastAsia="Palatino Linotype" w:hAnsi="Palatino Linotype" w:cs="Palatino Linotype"/>
        </w:rPr>
        <w:t>, se acordó la admisión del Recurso de Revisión interpuesto por la parte</w:t>
      </w:r>
      <w:r w:rsidRPr="00CA12D6">
        <w:rPr>
          <w:rFonts w:ascii="Palatino Linotype" w:eastAsia="Palatino Linotype" w:hAnsi="Palatino Linotype" w:cs="Palatino Linotype"/>
          <w:b/>
        </w:rPr>
        <w:t xml:space="preserve"> Recurrente</w:t>
      </w:r>
      <w:r w:rsidRPr="00CA12D6">
        <w:rPr>
          <w:rFonts w:ascii="Palatino Linotype" w:eastAsia="Palatino Linotype" w:hAnsi="Palatino Linotype" w:cs="Palatino Linotype"/>
        </w:rPr>
        <w:t xml:space="preserve"> en </w:t>
      </w:r>
      <w:r w:rsidRPr="00CA12D6">
        <w:rPr>
          <w:rFonts w:ascii="Palatino Linotype" w:eastAsia="Palatino Linotype" w:hAnsi="Palatino Linotype" w:cs="Palatino Linotype"/>
        </w:rPr>
        <w:lastRenderedPageBreak/>
        <w:t xml:space="preserve">contra del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CA12D6">
        <w:rPr>
          <w:rFonts w:ascii="Palatino Linotype" w:eastAsia="Palatino Linotype" w:hAnsi="Palatino Linotype" w:cs="Palatino Linotype"/>
          <w:b/>
        </w:rPr>
        <w:t xml:space="preserve"> </w:t>
      </w:r>
    </w:p>
    <w:p w14:paraId="7A875F99" w14:textId="77777777" w:rsidR="00345BAC" w:rsidRPr="00CA12D6" w:rsidRDefault="000B512F" w:rsidP="00345BAC">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c)</w:t>
      </w:r>
      <w:r w:rsidR="00345BAC" w:rsidRPr="00CA12D6">
        <w:rPr>
          <w:rFonts w:ascii="Palatino Linotype" w:eastAsia="Palatino Linotype" w:hAnsi="Palatino Linotype" w:cs="Palatino Linotype"/>
          <w:b/>
        </w:rPr>
        <w:t xml:space="preserve"> </w:t>
      </w:r>
      <w:r w:rsidR="00886556" w:rsidRPr="00CA12D6">
        <w:rPr>
          <w:rFonts w:ascii="Palatino Linotype" w:eastAsia="Palatino Linotype" w:hAnsi="Palatino Linotype" w:cs="Palatino Linotype"/>
          <w:b/>
        </w:rPr>
        <w:t xml:space="preserve">Manifestaciones o Informe Justificado. </w:t>
      </w:r>
      <w:r w:rsidR="00345BAC" w:rsidRPr="00CA12D6">
        <w:rPr>
          <w:rFonts w:ascii="Palatino Linotype" w:eastAsia="Palatino Linotype" w:hAnsi="Palatino Linotype" w:cs="Palatino Linotype"/>
        </w:rPr>
        <w:t xml:space="preserve">De las constancias que obran en el expediente electrónico del SAIMEX se desprende que el </w:t>
      </w:r>
      <w:r w:rsidR="00345BAC" w:rsidRPr="00CA12D6">
        <w:rPr>
          <w:rFonts w:ascii="Palatino Linotype" w:eastAsia="Palatino Linotype" w:hAnsi="Palatino Linotype" w:cs="Palatino Linotype"/>
          <w:b/>
        </w:rPr>
        <w:t>Sujeto Obligado</w:t>
      </w:r>
      <w:r w:rsidR="00345BAC" w:rsidRPr="00CA12D6">
        <w:rPr>
          <w:rFonts w:ascii="Palatino Linotype" w:eastAsia="Palatino Linotype" w:hAnsi="Palatino Linotype" w:cs="Palatino Linotype"/>
        </w:rPr>
        <w:t xml:space="preserve"> no rindió su informe justificado, del mismo modo el ahora </w:t>
      </w:r>
      <w:r w:rsidR="00345BAC" w:rsidRPr="00CA12D6">
        <w:rPr>
          <w:rFonts w:ascii="Palatino Linotype" w:eastAsia="Palatino Linotype" w:hAnsi="Palatino Linotype" w:cs="Palatino Linotype"/>
          <w:b/>
        </w:rPr>
        <w:t>Recurrente</w:t>
      </w:r>
      <w:r w:rsidR="00345BAC" w:rsidRPr="00CA12D6">
        <w:rPr>
          <w:rFonts w:ascii="Palatino Linotype" w:eastAsia="Palatino Linotype" w:hAnsi="Palatino Linotype" w:cs="Palatino Linotype"/>
        </w:rPr>
        <w:t xml:space="preserve"> omitió realizar manifestaciones, como se observa a continuación:</w:t>
      </w:r>
    </w:p>
    <w:p w14:paraId="366B6FA9" w14:textId="77777777" w:rsidR="006E7D3D" w:rsidRPr="00CA12D6" w:rsidRDefault="00027B57">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noProof/>
          <w:lang w:val="es-MX" w:eastAsia="es-MX"/>
        </w:rPr>
        <w:drawing>
          <wp:inline distT="0" distB="0" distL="0" distR="0" wp14:anchorId="628ADBD0" wp14:editId="041F9D8C">
            <wp:extent cx="5612130" cy="19380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38020"/>
                    </a:xfrm>
                    <a:prstGeom prst="rect">
                      <a:avLst/>
                    </a:prstGeom>
                  </pic:spPr>
                </pic:pic>
              </a:graphicData>
            </a:graphic>
          </wp:inline>
        </w:drawing>
      </w:r>
    </w:p>
    <w:p w14:paraId="52A782A1" w14:textId="77777777" w:rsidR="006E7D3D" w:rsidRPr="00CA12D6" w:rsidRDefault="00886556">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 </w:t>
      </w:r>
    </w:p>
    <w:p w14:paraId="7F4B4B54" w14:textId="77777777" w:rsidR="006E7D3D" w:rsidRPr="00CA12D6" w:rsidRDefault="00345BAC">
      <w:pPr>
        <w:widowControl w:val="0"/>
        <w:spacing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d)</w:t>
      </w:r>
      <w:r w:rsidR="00886556" w:rsidRPr="00CA12D6">
        <w:rPr>
          <w:rFonts w:ascii="Palatino Linotype" w:eastAsia="Palatino Linotype" w:hAnsi="Palatino Linotype" w:cs="Palatino Linotype"/>
          <w:b/>
        </w:rPr>
        <w:t>. Cierre de instrucción.</w:t>
      </w:r>
      <w:r w:rsidR="00886556" w:rsidRPr="00CA12D6">
        <w:rPr>
          <w:rFonts w:ascii="Palatino Linotype" w:eastAsia="Palatino Linotype" w:hAnsi="Palatino Linotype" w:cs="Palatino Linotype"/>
        </w:rPr>
        <w:t xml:space="preserve"> El </w:t>
      </w:r>
      <w:r w:rsidR="00027B57" w:rsidRPr="00CA12D6">
        <w:rPr>
          <w:rFonts w:ascii="Palatino Linotype" w:eastAsia="Palatino Linotype" w:hAnsi="Palatino Linotype" w:cs="Palatino Linotype"/>
          <w:b/>
        </w:rPr>
        <w:t>veintisiete</w:t>
      </w:r>
      <w:r w:rsidR="00886556" w:rsidRPr="00CA12D6">
        <w:rPr>
          <w:rFonts w:ascii="Palatino Linotype" w:eastAsia="Palatino Linotype" w:hAnsi="Palatino Linotype" w:cs="Palatino Linotype"/>
          <w:b/>
        </w:rPr>
        <w:t xml:space="preserve"> de </w:t>
      </w:r>
      <w:r w:rsidR="008C5715" w:rsidRPr="00CA12D6">
        <w:rPr>
          <w:rFonts w:ascii="Palatino Linotype" w:eastAsia="Palatino Linotype" w:hAnsi="Palatino Linotype" w:cs="Palatino Linotype"/>
          <w:b/>
        </w:rPr>
        <w:t>febrero</w:t>
      </w:r>
      <w:r w:rsidR="00886556" w:rsidRPr="00CA12D6">
        <w:rPr>
          <w:rFonts w:ascii="Palatino Linotype" w:eastAsia="Palatino Linotype" w:hAnsi="Palatino Linotype" w:cs="Palatino Linotype"/>
          <w:b/>
        </w:rPr>
        <w:t xml:space="preserve"> de dos mil veintitrés</w:t>
      </w:r>
      <w:r w:rsidR="00886556" w:rsidRPr="00CA12D6">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w:t>
      </w:r>
      <w:r w:rsidR="00886556" w:rsidRPr="00CA12D6">
        <w:rPr>
          <w:rFonts w:ascii="Palatino Linotype" w:eastAsia="Palatino Linotype" w:hAnsi="Palatino Linotype" w:cs="Palatino Linotype"/>
        </w:rPr>
        <w:lastRenderedPageBreak/>
        <w:t xml:space="preserve">Información Mexiquense (SAIMEX). </w:t>
      </w:r>
    </w:p>
    <w:p w14:paraId="0695C47D" w14:textId="77777777" w:rsidR="003627C3" w:rsidRPr="00CA12D6" w:rsidRDefault="00345BAC">
      <w:pPr>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e)</w:t>
      </w:r>
      <w:r w:rsidR="003627C3" w:rsidRPr="00CA12D6">
        <w:rPr>
          <w:rFonts w:ascii="Palatino Linotype" w:eastAsia="Palatino Linotype" w:hAnsi="Palatino Linotype" w:cs="Palatino Linotype"/>
          <w:b/>
        </w:rPr>
        <w:t xml:space="preserve"> </w:t>
      </w:r>
      <w:proofErr w:type="spellStart"/>
      <w:r w:rsidR="003627C3" w:rsidRPr="00CA12D6">
        <w:rPr>
          <w:rFonts w:ascii="Palatino Linotype" w:eastAsia="Palatino Linotype" w:hAnsi="Palatino Linotype" w:cs="Palatino Linotype"/>
          <w:b/>
        </w:rPr>
        <w:t>Returno</w:t>
      </w:r>
      <w:proofErr w:type="spellEnd"/>
      <w:r w:rsidR="003627C3" w:rsidRPr="00CA12D6">
        <w:rPr>
          <w:rFonts w:ascii="Palatino Linotype" w:eastAsia="Palatino Linotype" w:hAnsi="Palatino Linotype" w:cs="Palatino Linotype"/>
          <w:b/>
        </w:rPr>
        <w:t xml:space="preserve">. </w:t>
      </w:r>
      <w:r w:rsidR="003627C3" w:rsidRPr="00CA12D6">
        <w:rPr>
          <w:rFonts w:ascii="Palatino Linotype" w:eastAsia="Palatino Linotype" w:hAnsi="Palatino Linotype" w:cs="Palatino Linotype"/>
        </w:rPr>
        <w:t xml:space="preserve">En la Octava Sesión Ordinaria del uno de marzo de dos mil veintitrés, el Pleno de este Instituto determinó el </w:t>
      </w:r>
      <w:proofErr w:type="spellStart"/>
      <w:r w:rsidR="003627C3" w:rsidRPr="00CA12D6">
        <w:rPr>
          <w:rFonts w:ascii="Palatino Linotype" w:eastAsia="Palatino Linotype" w:hAnsi="Palatino Linotype" w:cs="Palatino Linotype"/>
        </w:rPr>
        <w:t>returno</w:t>
      </w:r>
      <w:proofErr w:type="spellEnd"/>
      <w:r w:rsidR="003627C3" w:rsidRPr="00CA12D6">
        <w:rPr>
          <w:rFonts w:ascii="Palatino Linotype" w:eastAsia="Palatino Linotype" w:hAnsi="Palatino Linotype" w:cs="Palatino Linotype"/>
        </w:rPr>
        <w:t xml:space="preserve"> del Recurso de revisión </w:t>
      </w:r>
      <w:r w:rsidR="003627C3" w:rsidRPr="00CA12D6">
        <w:rPr>
          <w:rFonts w:ascii="Palatino Linotype" w:eastAsia="Palatino Linotype" w:hAnsi="Palatino Linotype" w:cs="Palatino Linotype"/>
          <w:b/>
        </w:rPr>
        <w:t>15334/INFOEM/ICR-40/IP/RR/2022</w:t>
      </w:r>
      <w:r w:rsidR="00B0067A" w:rsidRPr="00CA12D6">
        <w:rPr>
          <w:rFonts w:ascii="Palatino Linotype" w:eastAsia="Palatino Linotype" w:hAnsi="Palatino Linotype" w:cs="Palatino Linotype"/>
          <w:b/>
        </w:rPr>
        <w:t xml:space="preserve"> </w:t>
      </w:r>
      <w:r w:rsidR="00B0067A" w:rsidRPr="00CA12D6">
        <w:rPr>
          <w:rFonts w:ascii="Palatino Linotype" w:eastAsia="Palatino Linotype" w:hAnsi="Palatino Linotype" w:cs="Palatino Linotype"/>
        </w:rPr>
        <w:t xml:space="preserve">a la Ponencia de la </w:t>
      </w:r>
      <w:r w:rsidR="00B0067A" w:rsidRPr="00CA12D6">
        <w:rPr>
          <w:rFonts w:ascii="Palatino Linotype" w:eastAsia="Palatino Linotype" w:hAnsi="Palatino Linotype" w:cs="Palatino Linotype"/>
          <w:b/>
        </w:rPr>
        <w:t>Comisionada</w:t>
      </w:r>
      <w:r w:rsidR="00B0067A" w:rsidRPr="00CA12D6">
        <w:rPr>
          <w:rFonts w:ascii="Palatino Linotype" w:eastAsia="Palatino Linotype" w:hAnsi="Palatino Linotype" w:cs="Palatino Linotype"/>
        </w:rPr>
        <w:t xml:space="preserve"> </w:t>
      </w:r>
      <w:r w:rsidR="00B0067A" w:rsidRPr="00CA12D6">
        <w:rPr>
          <w:rFonts w:ascii="Palatino Linotype" w:eastAsia="Palatino Linotype" w:hAnsi="Palatino Linotype" w:cs="Palatino Linotype"/>
          <w:b/>
        </w:rPr>
        <w:t xml:space="preserve">Guadalupe Ramírez Peña. </w:t>
      </w:r>
    </w:p>
    <w:p w14:paraId="3A9FA356" w14:textId="77777777" w:rsidR="006E7D3D" w:rsidRPr="00CA12D6" w:rsidRDefault="003627C3">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f) </w:t>
      </w:r>
      <w:r w:rsidR="00886556" w:rsidRPr="00CA12D6">
        <w:rPr>
          <w:rFonts w:ascii="Palatino Linotype" w:eastAsia="Palatino Linotype" w:hAnsi="Palatino Linotype" w:cs="Palatino Linotype"/>
          <w:b/>
        </w:rPr>
        <w:t>Ampliación del plazo.</w:t>
      </w:r>
      <w:r w:rsidR="00886556" w:rsidRPr="00CA12D6">
        <w:rPr>
          <w:rFonts w:ascii="Palatino Linotype" w:eastAsia="Palatino Linotype" w:hAnsi="Palatino Linotype" w:cs="Palatino Linotype"/>
        </w:rPr>
        <w:t xml:space="preserve"> Con fundamento en el artículo 133 de la Ley de Protección de Datos Personales en Posesión de Sujetos Obligados del Estado de México y Municipios,</w:t>
      </w:r>
      <w:r w:rsidR="00886556" w:rsidRPr="00CA12D6">
        <w:rPr>
          <w:rFonts w:ascii="Palatino Linotype" w:eastAsia="Palatino Linotype" w:hAnsi="Palatino Linotype" w:cs="Palatino Linotype"/>
          <w:b/>
        </w:rPr>
        <w:t xml:space="preserve"> </w:t>
      </w:r>
      <w:r w:rsidR="00886556" w:rsidRPr="00CA12D6">
        <w:rPr>
          <w:rFonts w:ascii="Palatino Linotype" w:eastAsia="Palatino Linotype" w:hAnsi="Palatino Linotype" w:cs="Palatino Linotype"/>
        </w:rPr>
        <w:t xml:space="preserve">mediante acuerdo de fecha </w:t>
      </w:r>
      <w:r w:rsidR="008C5715" w:rsidRPr="00CA12D6">
        <w:rPr>
          <w:rFonts w:ascii="Palatino Linotype" w:eastAsia="Palatino Linotype" w:hAnsi="Palatino Linotype" w:cs="Palatino Linotype"/>
          <w:b/>
        </w:rPr>
        <w:t>diecisiete</w:t>
      </w:r>
      <w:r w:rsidR="00886556" w:rsidRPr="00CA12D6">
        <w:rPr>
          <w:rFonts w:ascii="Palatino Linotype" w:eastAsia="Palatino Linotype" w:hAnsi="Palatino Linotype" w:cs="Palatino Linotype"/>
          <w:b/>
        </w:rPr>
        <w:t xml:space="preserve"> de </w:t>
      </w:r>
      <w:r w:rsidR="008C5715" w:rsidRPr="00CA12D6">
        <w:rPr>
          <w:rFonts w:ascii="Palatino Linotype" w:eastAsia="Palatino Linotype" w:hAnsi="Palatino Linotype" w:cs="Palatino Linotype"/>
          <w:b/>
        </w:rPr>
        <w:t>mayo</w:t>
      </w:r>
      <w:r w:rsidR="00886556" w:rsidRPr="00CA12D6">
        <w:rPr>
          <w:rFonts w:ascii="Palatino Linotype" w:eastAsia="Palatino Linotype" w:hAnsi="Palatino Linotype" w:cs="Palatino Linotype"/>
          <w:b/>
        </w:rPr>
        <w:t xml:space="preserve"> del año dos mil veintitrés </w:t>
      </w:r>
      <w:r w:rsidR="00886556" w:rsidRPr="00CA12D6">
        <w:rPr>
          <w:rFonts w:ascii="Palatino Linotype" w:eastAsia="Palatino Linotype" w:hAnsi="Palatino Linotype" w:cs="Palatino Linotype"/>
        </w:rPr>
        <w:t>se acordó la ampliación de plazo, para emitir la resolución correspondiente.</w:t>
      </w:r>
    </w:p>
    <w:p w14:paraId="1949EF5D"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4708373"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CA12D6">
        <w:rPr>
          <w:rFonts w:ascii="Palatino Linotype" w:eastAsia="Palatino Linotype" w:hAnsi="Palatino Linotype" w:cs="Palatino Linotype"/>
        </w:rPr>
        <w:lastRenderedPageBreak/>
        <w:t>órganos jurisdiccionales federales, aplicables también en procedimientos análogos, como el que nos ocupa.</w:t>
      </w:r>
    </w:p>
    <w:p w14:paraId="2B6FA340"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D6AB3C"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740698" w14:textId="77777777" w:rsidR="006E7D3D" w:rsidRPr="00CA12D6" w:rsidRDefault="00886556">
      <w:pPr>
        <w:spacing w:before="240" w:after="240" w:line="360" w:lineRule="auto"/>
        <w:jc w:val="both"/>
        <w:rPr>
          <w:rFonts w:ascii="Palatino Linotype" w:eastAsia="Palatino Linotype" w:hAnsi="Palatino Linotype" w:cs="Palatino Linotype"/>
          <w:strike/>
        </w:rPr>
      </w:pPr>
      <w:r w:rsidRPr="00CA12D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2DE158" w14:textId="77777777" w:rsidR="006E7D3D" w:rsidRPr="00CA12D6" w:rsidRDefault="00886556">
      <w:pPr>
        <w:numPr>
          <w:ilvl w:val="0"/>
          <w:numId w:val="2"/>
        </w:num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B2AA490" w14:textId="77777777" w:rsidR="006E7D3D" w:rsidRPr="00CA12D6" w:rsidRDefault="00886556">
      <w:pPr>
        <w:numPr>
          <w:ilvl w:val="0"/>
          <w:numId w:val="2"/>
        </w:num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Actividad Procesal del interesado. Acciones u omisiones del interesado.</w:t>
      </w:r>
    </w:p>
    <w:p w14:paraId="2DF81FFA" w14:textId="77777777" w:rsidR="006E7D3D" w:rsidRPr="00CA12D6" w:rsidRDefault="00886556">
      <w:pPr>
        <w:numPr>
          <w:ilvl w:val="0"/>
          <w:numId w:val="2"/>
        </w:num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Conducta de la Autoridad: Las Acciones u omisiones realizadas en el procedimiento. Así como si la autoridad actuó con la debida diligencia.</w:t>
      </w:r>
    </w:p>
    <w:p w14:paraId="22EF7ED5" w14:textId="77777777" w:rsidR="006E7D3D" w:rsidRPr="00CA12D6" w:rsidRDefault="00886556">
      <w:pPr>
        <w:spacing w:before="240" w:after="240" w:line="360" w:lineRule="auto"/>
        <w:ind w:left="567"/>
        <w:jc w:val="both"/>
        <w:rPr>
          <w:rFonts w:ascii="Palatino Linotype" w:eastAsia="Palatino Linotype" w:hAnsi="Palatino Linotype" w:cs="Palatino Linotype"/>
        </w:rPr>
      </w:pPr>
      <w:r w:rsidRPr="00CA12D6">
        <w:rPr>
          <w:rFonts w:ascii="Palatino Linotype" w:eastAsia="Palatino Linotype" w:hAnsi="Palatino Linotype" w:cs="Palatino Linotype"/>
        </w:rPr>
        <w:t>d) La afectación generada en la situación jurídica de la persona involucrada en el proceso: Violación a sus derechos humanos.</w:t>
      </w:r>
    </w:p>
    <w:p w14:paraId="58E17005"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9343F6" w14:textId="77777777" w:rsidR="006E7D3D" w:rsidRPr="00CA12D6" w:rsidRDefault="00886556">
      <w:pPr>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A12D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A12D6">
        <w:rPr>
          <w:rFonts w:ascii="Palatino Linotype" w:eastAsia="Palatino Linotype" w:hAnsi="Palatino Linotype" w:cs="Palatino Linotype"/>
        </w:rPr>
        <w:t>, visible en la Gaceta del Seminario Judicial de la Federación con el registro digital 205635.</w:t>
      </w:r>
    </w:p>
    <w:p w14:paraId="3BA30D88"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4AFA16"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C691C79"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i/>
        </w:rPr>
        <w:t>“PLAZO RAZONABLE PARA RESOLVER. DIMENSIÓN Y EFECTOS DE ESTE CONCEPTO CUANDO SE ADUCE EXCESIVA CARGA DE TRABAJO.”</w:t>
      </w:r>
      <w:r w:rsidRPr="00CA12D6">
        <w:rPr>
          <w:rFonts w:ascii="Palatino Linotype" w:eastAsia="Palatino Linotype" w:hAnsi="Palatino Linotype" w:cs="Palatino Linotype"/>
        </w:rPr>
        <w:t xml:space="preserve"> consultable en el Seminario Judicial de la Federación y su gaceta, con el registro digital 2002351.</w:t>
      </w:r>
    </w:p>
    <w:p w14:paraId="777618CF"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i/>
        </w:rPr>
        <w:t>“PLAZO RAZONABLE PARA RESOLVER. CONCEPTO Y ELEMENTOS QUE LO INTEGRAN A LA LUZ DEL DERECHO INTERNACIONAL DE LOS DERECHOS HUMANOS.”</w:t>
      </w:r>
      <w:r w:rsidRPr="00CA12D6">
        <w:rPr>
          <w:rFonts w:ascii="Palatino Linotype" w:eastAsia="Palatino Linotype" w:hAnsi="Palatino Linotype" w:cs="Palatino Linotype"/>
        </w:rPr>
        <w:t>, visible en el Seminario Judicial de la Federación y su gaceta, con el registro digital 2002350.</w:t>
      </w:r>
    </w:p>
    <w:p w14:paraId="08A2A8A6"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32CAE10"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41E79C6" w14:textId="77777777" w:rsidR="006E7D3D" w:rsidRPr="00CA12D6" w:rsidRDefault="00886556">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CA12D6">
        <w:rPr>
          <w:rFonts w:ascii="Palatino Linotype" w:eastAsia="Palatino Linotype" w:hAnsi="Palatino Linotype" w:cs="Palatino Linotype"/>
          <w:b/>
        </w:rPr>
        <w:t>C O N S I D E R A N D O S:</w:t>
      </w:r>
    </w:p>
    <w:p w14:paraId="6032723A"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Primero. Competencia.</w:t>
      </w:r>
      <w:r w:rsidRPr="00CA12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A12D6">
        <w:rPr>
          <w:rFonts w:ascii="Palatino Linotype" w:eastAsia="Palatino Linotype" w:hAnsi="Palatino Linotype" w:cs="Palatino Linotype"/>
          <w:b/>
        </w:rPr>
        <w:t>el</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conforme a lo dispuesto en los artículos 6, apartado A de la </w:t>
      </w:r>
      <w:r w:rsidRPr="00CA12D6">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A54F7FC"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Segundo. Oportunidad y Procedibilidad. </w:t>
      </w:r>
      <w:r w:rsidRPr="00CA12D6">
        <w:rPr>
          <w:rFonts w:ascii="Palatino Linotype" w:eastAsia="Palatino Linotype" w:hAnsi="Palatino Linotype" w:cs="Palatino Linotype"/>
        </w:rPr>
        <w:t>Es de precisar que la</w:t>
      </w:r>
      <w:r w:rsidRPr="00CA12D6">
        <w:rPr>
          <w:rFonts w:ascii="Palatino Linotype" w:eastAsia="Palatino Linotype" w:hAnsi="Palatino Linotype" w:cs="Palatino Linotype"/>
          <w:b/>
        </w:rPr>
        <w:t xml:space="preserve"> </w:t>
      </w:r>
      <w:r w:rsidRPr="00CA12D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8BA3B03" w14:textId="77777777" w:rsidR="006E7D3D" w:rsidRPr="00CA12D6" w:rsidRDefault="00886556">
      <w:pPr>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i/>
          <w:sz w:val="22"/>
          <w:szCs w:val="22"/>
        </w:rPr>
        <w:t>“</w:t>
      </w:r>
      <w:r w:rsidRPr="00CA12D6">
        <w:rPr>
          <w:rFonts w:ascii="Palatino Linotype" w:eastAsia="Palatino Linotype" w:hAnsi="Palatino Linotype" w:cs="Palatino Linotype"/>
          <w:b/>
          <w:i/>
          <w:sz w:val="22"/>
          <w:szCs w:val="22"/>
        </w:rPr>
        <w:t xml:space="preserve">Artículo 163. </w:t>
      </w:r>
      <w:r w:rsidRPr="00CA12D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B76D256" w14:textId="77777777" w:rsidR="006E7D3D" w:rsidRPr="00CA12D6" w:rsidRDefault="00886556">
      <w:pPr>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i/>
          <w:sz w:val="22"/>
          <w:szCs w:val="22"/>
        </w:rPr>
        <w:t>…</w:t>
      </w:r>
    </w:p>
    <w:p w14:paraId="386FE49D" w14:textId="77777777" w:rsidR="006E7D3D" w:rsidRPr="00CA12D6" w:rsidRDefault="00886556">
      <w:pPr>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b/>
          <w:i/>
          <w:sz w:val="22"/>
          <w:szCs w:val="22"/>
        </w:rPr>
        <w:t>Artículo 166.</w:t>
      </w:r>
      <w:r w:rsidRPr="00CA12D6">
        <w:rPr>
          <w:rFonts w:ascii="Palatino Linotype" w:eastAsia="Palatino Linotype" w:hAnsi="Palatino Linotype" w:cs="Palatino Linotype"/>
          <w:i/>
          <w:sz w:val="22"/>
          <w:szCs w:val="22"/>
        </w:rPr>
        <w:t xml:space="preserve"> […]</w:t>
      </w:r>
    </w:p>
    <w:p w14:paraId="37A23DCB" w14:textId="77777777" w:rsidR="006E7D3D" w:rsidRPr="00CA12D6" w:rsidRDefault="00886556">
      <w:pPr>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62957A8"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y en el asunto que se resuelve, el Pleno de este Instituto otorgó al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 xml:space="preserve">el plazo de diez días hábiles para el cumplimiento de la resolución del recurso de revisión </w:t>
      </w:r>
      <w:r w:rsidR="00730226" w:rsidRPr="00CA12D6">
        <w:rPr>
          <w:rFonts w:ascii="Palatino Linotype" w:eastAsia="Palatino Linotype" w:hAnsi="Palatino Linotype" w:cs="Palatino Linotype"/>
          <w:b/>
        </w:rPr>
        <w:t>1533</w:t>
      </w:r>
      <w:r w:rsidRPr="00CA12D6">
        <w:rPr>
          <w:rFonts w:ascii="Palatino Linotype" w:eastAsia="Palatino Linotype" w:hAnsi="Palatino Linotype" w:cs="Palatino Linotype"/>
          <w:b/>
        </w:rPr>
        <w:t xml:space="preserve">4/INFOEM/IP/RR/2022; </w:t>
      </w:r>
      <w:r w:rsidRPr="00CA12D6">
        <w:rPr>
          <w:rFonts w:ascii="Palatino Linotype" w:eastAsia="Palatino Linotype" w:hAnsi="Palatino Linotype" w:cs="Palatino Linotype"/>
        </w:rPr>
        <w:t xml:space="preserve">es así que,  en los casos en que transcurre el referido, sin que los Sujetos Obligados entreguen información que dé </w:t>
      </w:r>
      <w:r w:rsidRPr="00CA12D6">
        <w:rPr>
          <w:rFonts w:ascii="Palatino Linotype" w:eastAsia="Palatino Linotype" w:hAnsi="Palatino Linotype" w:cs="Palatino Linotype"/>
        </w:rPr>
        <w:lastRenderedPageBreak/>
        <w:t xml:space="preserve">respuesta </w:t>
      </w:r>
      <w:r w:rsidR="00835A9C" w:rsidRPr="00CA12D6">
        <w:rPr>
          <w:rFonts w:ascii="Palatino Linotype" w:eastAsia="Palatino Linotype" w:hAnsi="Palatino Linotype" w:cs="Palatino Linotype"/>
        </w:rPr>
        <w:t>a la solicitud de información, e</w:t>
      </w:r>
      <w:r w:rsidRPr="00CA12D6">
        <w:rPr>
          <w:rFonts w:ascii="Palatino Linotype" w:eastAsia="Palatino Linotype" w:hAnsi="Palatino Linotype" w:cs="Palatino Linotype"/>
        </w:rPr>
        <w:t>sta se considera negada; por lo que a la persona solicitante le asiste el derecho para presentar el recurso de revisión.</w:t>
      </w:r>
    </w:p>
    <w:p w14:paraId="5B14A9BD"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2C08C1B" w14:textId="77777777" w:rsidR="006E7D3D" w:rsidRPr="00CA12D6" w:rsidRDefault="00886556">
      <w:pPr>
        <w:spacing w:before="240" w:after="240" w:line="360" w:lineRule="auto"/>
        <w:jc w:val="both"/>
        <w:rPr>
          <w:rFonts w:ascii="Palatino Linotype" w:eastAsia="Palatino Linotype" w:hAnsi="Palatino Linotype" w:cs="Palatino Linotype"/>
          <w:i/>
        </w:rPr>
      </w:pPr>
      <w:r w:rsidRPr="00CA12D6">
        <w:rPr>
          <w:rFonts w:ascii="Palatino Linotype" w:eastAsia="Palatino Linotype" w:hAnsi="Palatino Linotype" w:cs="Palatino Linotype"/>
        </w:rPr>
        <w:t>Por su parte, el artículo 178 del citado ordenamiento, establece:</w:t>
      </w:r>
    </w:p>
    <w:p w14:paraId="6FCBB67B" w14:textId="77777777" w:rsidR="006E7D3D" w:rsidRPr="00CA12D6" w:rsidRDefault="00886556">
      <w:pPr>
        <w:ind w:left="851" w:right="851"/>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i/>
          <w:sz w:val="22"/>
          <w:szCs w:val="22"/>
        </w:rPr>
        <w:t>“</w:t>
      </w:r>
      <w:r w:rsidRPr="00CA12D6">
        <w:rPr>
          <w:rFonts w:ascii="Palatino Linotype" w:eastAsia="Palatino Linotype" w:hAnsi="Palatino Linotype" w:cs="Palatino Linotype"/>
          <w:b/>
          <w:i/>
          <w:sz w:val="22"/>
          <w:szCs w:val="22"/>
        </w:rPr>
        <w:t xml:space="preserve">Artículo 178. </w:t>
      </w:r>
      <w:r w:rsidRPr="00CA12D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297A2B" w:rsidRPr="00CA12D6">
        <w:rPr>
          <w:rFonts w:ascii="Palatino Linotype" w:eastAsia="Palatino Linotype" w:hAnsi="Palatino Linotype" w:cs="Palatino Linotype"/>
          <w:b/>
          <w:i/>
          <w:sz w:val="22"/>
          <w:szCs w:val="22"/>
        </w:rPr>
        <w:t>.</w:t>
      </w:r>
    </w:p>
    <w:p w14:paraId="7524823E" w14:textId="77777777" w:rsidR="00297A2B" w:rsidRPr="00CA12D6" w:rsidRDefault="00297A2B">
      <w:pPr>
        <w:ind w:left="851" w:right="851"/>
        <w:jc w:val="both"/>
        <w:rPr>
          <w:rFonts w:ascii="Palatino Linotype" w:eastAsia="Palatino Linotype" w:hAnsi="Palatino Linotype" w:cs="Palatino Linotype"/>
          <w:b/>
          <w:i/>
          <w:sz w:val="22"/>
          <w:szCs w:val="22"/>
        </w:rPr>
      </w:pPr>
    </w:p>
    <w:p w14:paraId="14A58494" w14:textId="77777777" w:rsidR="00297A2B" w:rsidRPr="00CA12D6" w:rsidRDefault="00297A2B" w:rsidP="00297A2B">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DBE594" w14:textId="77777777" w:rsidR="00F2199E" w:rsidRPr="00CA12D6" w:rsidRDefault="00F2199E">
      <w:pPr>
        <w:ind w:left="851" w:right="851"/>
        <w:jc w:val="both"/>
        <w:rPr>
          <w:rFonts w:ascii="Palatino Linotype" w:eastAsia="Palatino Linotype" w:hAnsi="Palatino Linotype" w:cs="Palatino Linotype"/>
          <w:i/>
        </w:rPr>
      </w:pPr>
    </w:p>
    <w:p w14:paraId="0B032101"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1215ECB9"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La negativa ficta constituye una presunción legal, en el entendido de que donde no hubo respuesta por parte del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 xml:space="preserve">existe por lo tanto, una resolución de </w:t>
      </w:r>
      <w:r w:rsidRPr="00CA12D6">
        <w:rPr>
          <w:rFonts w:ascii="Palatino Linotype" w:eastAsia="Palatino Linotype" w:hAnsi="Palatino Linotype" w:cs="Palatino Linotype"/>
        </w:rPr>
        <w:lastRenderedPageBreak/>
        <w:t>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E272203"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A12D6">
        <w:rPr>
          <w:rFonts w:ascii="Palatino Linotype" w:eastAsia="Palatino Linotype" w:hAnsi="Palatino Linotype" w:cs="Palatino Linotype"/>
        </w:rPr>
        <w:t>desechamiento</w:t>
      </w:r>
      <w:proofErr w:type="spellEnd"/>
      <w:r w:rsidRPr="00CA12D6">
        <w:rPr>
          <w:rFonts w:ascii="Palatino Linotype" w:eastAsia="Palatino Linotype" w:hAnsi="Palatino Linotype" w:cs="Palatino Linotype"/>
        </w:rPr>
        <w:t xml:space="preserve"> del mismo.</w:t>
      </w:r>
    </w:p>
    <w:p w14:paraId="6E50BEC1" w14:textId="77777777" w:rsidR="006E7D3D" w:rsidRPr="00CA12D6" w:rsidRDefault="00886556">
      <w:pPr>
        <w:spacing w:before="240" w:after="240" w:line="360" w:lineRule="auto"/>
        <w:jc w:val="both"/>
        <w:rPr>
          <w:rFonts w:ascii="Palatino Linotype" w:eastAsia="Palatino Linotype" w:hAnsi="Palatino Linotype" w:cs="Palatino Linotype"/>
          <w:i/>
        </w:rPr>
      </w:pPr>
      <w:r w:rsidRPr="00CA12D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CA12D6">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2AB2E115" w14:textId="77777777" w:rsidR="006E7D3D" w:rsidRPr="00CA12D6" w:rsidRDefault="00886556">
      <w:pPr>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b/>
          <w:i/>
          <w:sz w:val="22"/>
          <w:szCs w:val="22"/>
        </w:rPr>
        <w:t>“CRITERIO 0001-15. NEGATIVA FICTA. PLAZO PARA INTERPONER EL RECURSO DE REVISIÓN TRATÁNDOSE DE</w:t>
      </w:r>
      <w:r w:rsidRPr="00CA12D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A12D6">
        <w:rPr>
          <w:rFonts w:ascii="Palatino Linotype" w:eastAsia="Palatino Linotype" w:hAnsi="Palatino Linotype" w:cs="Palatino Linotype"/>
          <w:i/>
        </w:rPr>
        <w:t xml:space="preserve"> </w:t>
      </w:r>
    </w:p>
    <w:p w14:paraId="2B71BCEB"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69587D" w14:textId="77777777" w:rsidR="00245664" w:rsidRPr="00CA12D6" w:rsidRDefault="00245664" w:rsidP="00245664">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Por otro lado, es de suma importancia mencionar que, si bien el</w:t>
      </w:r>
      <w:r w:rsidRPr="00CA12D6">
        <w:rPr>
          <w:rFonts w:ascii="Palatino Linotype" w:eastAsia="Palatino Linotype" w:hAnsi="Palatino Linotype" w:cs="Palatino Linotype"/>
          <w:b/>
        </w:rPr>
        <w:t xml:space="preserve"> Recurrente</w:t>
      </w:r>
      <w:r w:rsidRPr="00CA12D6">
        <w:rPr>
          <w:rFonts w:ascii="Palatino Linotype" w:eastAsia="Palatino Linotype" w:hAnsi="Palatino Linotype" w:cs="Palatino Linotype"/>
        </w:rPr>
        <w:t xml:space="preserve"> no proporcionó </w:t>
      </w:r>
      <w:proofErr w:type="gramStart"/>
      <w:r w:rsidRPr="00CA12D6">
        <w:rPr>
          <w:rFonts w:ascii="Palatino Linotype" w:eastAsia="Palatino Linotype" w:hAnsi="Palatino Linotype" w:cs="Palatino Linotype"/>
        </w:rPr>
        <w:t>nombre  como</w:t>
      </w:r>
      <w:proofErr w:type="gramEnd"/>
      <w:r w:rsidRPr="00CA12D6">
        <w:rPr>
          <w:rFonts w:ascii="Palatino Linotype" w:eastAsia="Palatino Linotype" w:hAnsi="Palatino Linotype" w:cs="Palatino Linotype"/>
        </w:rPr>
        <w:t xml:space="preserve"> se advierte en el detalle de seguimiento del SAIMEX, sin embargo, el no proporcionar un nombre no es motivo para archivar la solicitud de acceso a la información pública como concluida, conforme a lo previsto en el artículo </w:t>
      </w:r>
      <w:r w:rsidRPr="00CA12D6">
        <w:rPr>
          <w:rFonts w:ascii="Palatino Linotype" w:eastAsia="Palatino Linotype" w:hAnsi="Palatino Linotype" w:cs="Palatino Linotype"/>
        </w:rPr>
        <w:lastRenderedPageBreak/>
        <w:t>155, penúltimo párrafo de la Ley de Transparencia y Acceso a la Información Pública del Estado de México y Municipios que establece lo siguiente:</w:t>
      </w:r>
    </w:p>
    <w:p w14:paraId="75749A6F" w14:textId="77777777" w:rsidR="00245664" w:rsidRPr="00CA12D6" w:rsidRDefault="00245664" w:rsidP="00245664">
      <w:pPr>
        <w:spacing w:before="120" w:after="120" w:line="276" w:lineRule="auto"/>
        <w:ind w:left="851" w:right="902"/>
        <w:jc w:val="both"/>
        <w:rPr>
          <w:rFonts w:ascii="Palatino Linotype" w:eastAsia="Palatino Linotype" w:hAnsi="Palatino Linotype" w:cs="Palatino Linotype"/>
          <w:sz w:val="22"/>
          <w:szCs w:val="22"/>
        </w:rPr>
      </w:pPr>
      <w:r w:rsidRPr="00CA12D6">
        <w:rPr>
          <w:rFonts w:ascii="Palatino Linotype" w:eastAsia="Palatino Linotype" w:hAnsi="Palatino Linotype" w:cs="Palatino Linotype"/>
          <w:i/>
          <w:sz w:val="22"/>
          <w:szCs w:val="22"/>
        </w:rPr>
        <w:t>"</w:t>
      </w:r>
      <w:r w:rsidRPr="00CA12D6">
        <w:rPr>
          <w:rFonts w:ascii="Palatino Linotype" w:eastAsia="Palatino Linotype" w:hAnsi="Palatino Linotype" w:cs="Palatino Linotype"/>
          <w:b/>
          <w:i/>
          <w:sz w:val="22"/>
          <w:szCs w:val="22"/>
        </w:rPr>
        <w:t>Las solicitudes anónimas</w:t>
      </w:r>
      <w:r w:rsidRPr="00CA12D6">
        <w:rPr>
          <w:rFonts w:ascii="Palatino Linotype" w:eastAsia="Palatino Linotype" w:hAnsi="Palatino Linotype" w:cs="Palatino Linotype"/>
          <w:i/>
          <w:sz w:val="22"/>
          <w:szCs w:val="22"/>
        </w:rPr>
        <w:t>, con nombre incompleto o seudónimo </w:t>
      </w:r>
      <w:r w:rsidRPr="00CA12D6">
        <w:rPr>
          <w:rFonts w:ascii="Palatino Linotype" w:eastAsia="Palatino Linotype" w:hAnsi="Palatino Linotype" w:cs="Palatino Linotype"/>
          <w:b/>
          <w:i/>
          <w:sz w:val="22"/>
          <w:szCs w:val="22"/>
        </w:rPr>
        <w:t>serán procedentes para su trámite por parte del sujeto obligado ante quien se presente</w:t>
      </w:r>
      <w:r w:rsidRPr="00CA12D6">
        <w:rPr>
          <w:rFonts w:ascii="Palatino Linotype" w:eastAsia="Palatino Linotype" w:hAnsi="Palatino Linotype" w:cs="Palatino Linotype"/>
          <w:i/>
          <w:sz w:val="22"/>
          <w:szCs w:val="22"/>
        </w:rPr>
        <w:t>. No podrá requerirse información adicional con motivo del nombre proporcionado por el solicitante."</w:t>
      </w:r>
    </w:p>
    <w:p w14:paraId="15558B2A"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por lo que, en el presente caso, al haber sido presentado el recurso de revisión vía SAIMEX, dicho requisito resulta innecesario.</w:t>
      </w:r>
    </w:p>
    <w:p w14:paraId="0DC88109" w14:textId="77777777" w:rsidR="006E7D3D" w:rsidRPr="00CA12D6" w:rsidRDefault="00886556">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00AE147" w14:textId="77777777" w:rsidR="006E7D3D" w:rsidRPr="00CA12D6" w:rsidRDefault="00886556">
      <w:pPr>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i/>
          <w:sz w:val="22"/>
          <w:szCs w:val="22"/>
        </w:rPr>
        <w:t>“</w:t>
      </w:r>
      <w:r w:rsidRPr="00CA12D6">
        <w:rPr>
          <w:rFonts w:ascii="Palatino Linotype" w:eastAsia="Palatino Linotype" w:hAnsi="Palatino Linotype" w:cs="Palatino Linotype"/>
          <w:b/>
          <w:i/>
          <w:sz w:val="22"/>
          <w:szCs w:val="22"/>
        </w:rPr>
        <w:t xml:space="preserve">Artículo 179. </w:t>
      </w:r>
      <w:r w:rsidRPr="00CA12D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C7144AD" w14:textId="77777777" w:rsidR="006E7D3D" w:rsidRPr="00CA12D6" w:rsidRDefault="00886556">
      <w:pPr>
        <w:ind w:left="1134" w:right="851"/>
        <w:jc w:val="both"/>
        <w:rPr>
          <w:rFonts w:ascii="Palatino Linotype" w:eastAsia="Palatino Linotype" w:hAnsi="Palatino Linotype" w:cs="Palatino Linotype"/>
          <w:i/>
        </w:rPr>
      </w:pPr>
      <w:r w:rsidRPr="00CA12D6">
        <w:rPr>
          <w:rFonts w:ascii="Palatino Linotype" w:eastAsia="Palatino Linotype" w:hAnsi="Palatino Linotype" w:cs="Palatino Linotype"/>
          <w:i/>
        </w:rPr>
        <w:t>…</w:t>
      </w:r>
    </w:p>
    <w:p w14:paraId="40645932" w14:textId="77777777" w:rsidR="006E7D3D" w:rsidRPr="00CA12D6" w:rsidRDefault="00886556">
      <w:pPr>
        <w:ind w:left="1134"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VII. </w:t>
      </w:r>
      <w:r w:rsidRPr="00CA12D6">
        <w:rPr>
          <w:rFonts w:ascii="Palatino Linotype" w:eastAsia="Palatino Linotype" w:hAnsi="Palatino Linotype" w:cs="Palatino Linotype"/>
          <w:i/>
          <w:sz w:val="22"/>
          <w:szCs w:val="22"/>
        </w:rPr>
        <w:t>La falta de respuesta a una solicitud de acceso a la información;</w:t>
      </w:r>
    </w:p>
    <w:p w14:paraId="64BE9D6B" w14:textId="77777777" w:rsidR="006E7D3D" w:rsidRPr="00CA12D6" w:rsidRDefault="00886556">
      <w:pPr>
        <w:ind w:left="1134"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w:t>
      </w:r>
    </w:p>
    <w:p w14:paraId="7FA9EBEE" w14:textId="77777777" w:rsidR="006E7D3D" w:rsidRPr="00CA12D6" w:rsidRDefault="006E7D3D">
      <w:pPr>
        <w:ind w:left="1134" w:right="851"/>
        <w:jc w:val="both"/>
        <w:rPr>
          <w:rFonts w:ascii="Palatino Linotype" w:eastAsia="Palatino Linotype" w:hAnsi="Palatino Linotype" w:cs="Palatino Linotype"/>
          <w:i/>
          <w:sz w:val="22"/>
          <w:szCs w:val="22"/>
        </w:rPr>
      </w:pPr>
    </w:p>
    <w:p w14:paraId="34CD1667" w14:textId="77777777" w:rsidR="006E7D3D" w:rsidRPr="00CA12D6" w:rsidRDefault="00886556">
      <w:pPr>
        <w:spacing w:line="276" w:lineRule="auto"/>
        <w:ind w:left="1134"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La respuesta que den los sujetos obligados derivada de la resolución a un recurso de revisión que proceda por las causales señaladas en las fracciones IV, </w:t>
      </w:r>
      <w:r w:rsidRPr="00CA12D6">
        <w:rPr>
          <w:rFonts w:ascii="Palatino Linotype" w:eastAsia="Palatino Linotype" w:hAnsi="Palatino Linotype" w:cs="Palatino Linotype"/>
          <w:b/>
          <w:i/>
          <w:sz w:val="22"/>
          <w:szCs w:val="22"/>
        </w:rPr>
        <w:t>VII,</w:t>
      </w:r>
      <w:r w:rsidRPr="00CA12D6">
        <w:rPr>
          <w:rFonts w:ascii="Palatino Linotype" w:eastAsia="Palatino Linotype" w:hAnsi="Palatino Linotype" w:cs="Palatino Linotype"/>
          <w:i/>
          <w:sz w:val="22"/>
          <w:szCs w:val="22"/>
        </w:rPr>
        <w:t xml:space="preserve"> IX, X, XI y XII es susceptible de ser impugnada de nueva cuenta, mediante recurso de revisión, ante el Instituto.”</w:t>
      </w:r>
    </w:p>
    <w:p w14:paraId="3AE13A85" w14:textId="77777777" w:rsidR="006E7D3D" w:rsidRPr="00CA12D6" w:rsidRDefault="00886556">
      <w:pPr>
        <w:tabs>
          <w:tab w:val="left" w:pos="8647"/>
        </w:tabs>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CA12D6">
        <w:rPr>
          <w:rFonts w:ascii="Palatino Linotype" w:eastAsia="Palatino Linotype" w:hAnsi="Palatino Linotype" w:cs="Palatino Linotype"/>
          <w:b/>
        </w:rPr>
        <w:t xml:space="preserve">Recurrente </w:t>
      </w:r>
      <w:r w:rsidRPr="00CA12D6">
        <w:rPr>
          <w:rFonts w:ascii="Palatino Linotype" w:eastAsia="Palatino Linotype" w:hAnsi="Palatino Linotype" w:cs="Palatino Linotype"/>
        </w:rPr>
        <w:t xml:space="preserve">estime negado el acceso a la información por la falta de respuesta por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en este asunto se actualiza la hipótesis jurídica citada, en atención a que la parte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combate falta de trámite por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y expresa motivos de inconformidad en contra de dicha circunstancia.</w:t>
      </w:r>
    </w:p>
    <w:p w14:paraId="6D8ED6A2" w14:textId="77777777" w:rsidR="00E90CF7" w:rsidRPr="00CA12D6" w:rsidRDefault="00E90CF7" w:rsidP="00E90CF7">
      <w:pPr>
        <w:tabs>
          <w:tab w:val="left" w:pos="8647"/>
        </w:tabs>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 xml:space="preserve">Tercero. Materia de la revisión. </w:t>
      </w:r>
      <w:r w:rsidRPr="00CA12D6">
        <w:rPr>
          <w:rFonts w:ascii="Palatino Linotype" w:eastAsia="Palatino Linotype" w:hAnsi="Palatino Linotype" w:cs="Palatino Linotype"/>
        </w:rPr>
        <w:t xml:space="preserve">Este Organismo Garante procede del análisis de los agravios hechos valer por la parte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CCE849" w14:textId="77777777" w:rsidR="00E90CF7" w:rsidRPr="00CA12D6" w:rsidRDefault="00E90CF7" w:rsidP="00E90CF7">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Cuarto. Estudio del asunto. </w:t>
      </w:r>
      <w:r w:rsidRPr="00CA12D6">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F7ED7F" w14:textId="77777777" w:rsidR="00E90CF7" w:rsidRPr="00CA12D6" w:rsidRDefault="00E90CF7" w:rsidP="00E90CF7">
      <w:pPr>
        <w:spacing w:line="360" w:lineRule="auto"/>
        <w:jc w:val="both"/>
        <w:rPr>
          <w:rFonts w:ascii="Palatino Linotype" w:eastAsia="Palatino Linotype" w:hAnsi="Palatino Linotype" w:cs="Palatino Linotype"/>
        </w:rPr>
      </w:pPr>
    </w:p>
    <w:p w14:paraId="285EE4B9" w14:textId="77777777" w:rsidR="00E90CF7" w:rsidRPr="00CA12D6" w:rsidRDefault="00E90CF7" w:rsidP="00E90CF7">
      <w:pPr>
        <w:tabs>
          <w:tab w:val="left" w:pos="709"/>
        </w:tabs>
        <w:ind w:left="851" w:right="85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A12D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B7960E7" w14:textId="77777777" w:rsidR="00E90CF7" w:rsidRPr="00CA12D6" w:rsidRDefault="00E90CF7" w:rsidP="00E90CF7">
      <w:pPr>
        <w:tabs>
          <w:tab w:val="left" w:pos="709"/>
        </w:tabs>
        <w:ind w:left="851" w:right="850"/>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CA12D6">
        <w:rPr>
          <w:rFonts w:ascii="Palatino Linotype" w:eastAsia="Palatino Linotype" w:hAnsi="Palatino Linotype" w:cs="Palatino Linotype"/>
          <w:b/>
          <w:i/>
          <w:sz w:val="22"/>
          <w:szCs w:val="22"/>
        </w:rPr>
        <w:lastRenderedPageBreak/>
        <w:t>la materia favoreciendo en todo tiempo a las personas la protección más amplia.</w:t>
      </w:r>
    </w:p>
    <w:p w14:paraId="5A8753A2" w14:textId="77777777" w:rsidR="00E90CF7" w:rsidRPr="00CA12D6" w:rsidRDefault="00E90CF7" w:rsidP="00E90CF7">
      <w:pPr>
        <w:tabs>
          <w:tab w:val="left" w:pos="709"/>
        </w:tabs>
        <w:ind w:left="851" w:right="85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A12D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4A06644" w14:textId="77777777" w:rsidR="00E90CF7" w:rsidRPr="00CA12D6" w:rsidRDefault="00E90CF7" w:rsidP="00E90CF7">
      <w:pPr>
        <w:tabs>
          <w:tab w:val="left" w:pos="709"/>
        </w:tabs>
        <w:ind w:left="851" w:right="85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p>
    <w:p w14:paraId="687FEE35" w14:textId="77777777" w:rsidR="00E90CF7" w:rsidRPr="00CA12D6" w:rsidRDefault="00E90CF7" w:rsidP="00E90CF7">
      <w:pPr>
        <w:ind w:left="851" w:right="90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“Artículo 6o.</w:t>
      </w:r>
    </w:p>
    <w:p w14:paraId="0EE2473E" w14:textId="77777777" w:rsidR="00E90CF7" w:rsidRPr="00CA12D6" w:rsidRDefault="00E90CF7" w:rsidP="00E90CF7">
      <w:pPr>
        <w:ind w:left="851" w:right="90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p>
    <w:p w14:paraId="19D3BCCA"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A. Para el ejercicio del derecho de acceso a la información, la Federación y </w:t>
      </w:r>
      <w:r w:rsidRPr="00CA12D6">
        <w:rPr>
          <w:rFonts w:ascii="Palatino Linotype" w:eastAsia="Palatino Linotype" w:hAnsi="Palatino Linotype" w:cs="Palatino Linotype"/>
          <w:b/>
          <w:i/>
          <w:sz w:val="22"/>
          <w:szCs w:val="22"/>
          <w:u w:val="single"/>
        </w:rPr>
        <w:t>las entidades federativas</w:t>
      </w:r>
      <w:r w:rsidRPr="00CA12D6">
        <w:rPr>
          <w:rFonts w:ascii="Palatino Linotype" w:eastAsia="Palatino Linotype" w:hAnsi="Palatino Linotype" w:cs="Palatino Linotype"/>
          <w:b/>
          <w:i/>
          <w:sz w:val="22"/>
          <w:szCs w:val="22"/>
        </w:rPr>
        <w:t>,</w:t>
      </w:r>
      <w:r w:rsidRPr="00CA12D6">
        <w:rPr>
          <w:rFonts w:ascii="Palatino Linotype" w:eastAsia="Palatino Linotype" w:hAnsi="Palatino Linotype" w:cs="Palatino Linotype"/>
          <w:i/>
          <w:sz w:val="22"/>
          <w:szCs w:val="22"/>
        </w:rPr>
        <w:t xml:space="preserve"> en el ámbito de sus respectivas competencias, se regirán por los siguientes principios y bases:</w:t>
      </w:r>
    </w:p>
    <w:p w14:paraId="6AFE4BC0"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w:t>
      </w:r>
    </w:p>
    <w:p w14:paraId="38ACF1B2"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I. </w:t>
      </w:r>
      <w:r w:rsidRPr="00CA12D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A12D6">
        <w:rPr>
          <w:rFonts w:ascii="Palatino Linotype" w:eastAsia="Palatino Linotype" w:hAnsi="Palatino Linotype" w:cs="Palatino Linotype"/>
          <w:i/>
          <w:sz w:val="22"/>
          <w:szCs w:val="22"/>
        </w:rPr>
        <w:t xml:space="preserve"> Ejecutivo, Legislativo </w:t>
      </w:r>
      <w:r w:rsidRPr="00CA12D6">
        <w:rPr>
          <w:rFonts w:ascii="Palatino Linotype" w:eastAsia="Palatino Linotype" w:hAnsi="Palatino Linotype" w:cs="Palatino Linotype"/>
          <w:b/>
          <w:i/>
          <w:sz w:val="22"/>
          <w:szCs w:val="22"/>
          <w:u w:val="single"/>
        </w:rPr>
        <w:t>y Judicial</w:t>
      </w:r>
      <w:r w:rsidRPr="00CA12D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A12D6">
        <w:rPr>
          <w:rFonts w:ascii="Palatino Linotype" w:eastAsia="Palatino Linotype" w:hAnsi="Palatino Linotype" w:cs="Palatino Linotype"/>
          <w:b/>
          <w:i/>
          <w:sz w:val="22"/>
          <w:szCs w:val="22"/>
        </w:rPr>
        <w:t>es pública y sólo podrá ser reservada temporalmente por razones de interés público y seguridad nacional,</w:t>
      </w:r>
      <w:r w:rsidRPr="00CA12D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C117B3"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w:t>
      </w:r>
    </w:p>
    <w:p w14:paraId="53B7064B" w14:textId="77777777" w:rsidR="00E90CF7" w:rsidRPr="00CA12D6" w:rsidRDefault="00E90CF7" w:rsidP="00E90CF7">
      <w:pPr>
        <w:ind w:left="851" w:right="851"/>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F79440A"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w:t>
      </w:r>
    </w:p>
    <w:p w14:paraId="5A33F079"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III. </w:t>
      </w:r>
      <w:r w:rsidRPr="00CA12D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A12D6">
        <w:rPr>
          <w:rFonts w:ascii="Palatino Linotype" w:eastAsia="Palatino Linotype" w:hAnsi="Palatino Linotype" w:cs="Palatino Linotype"/>
          <w:i/>
          <w:sz w:val="22"/>
          <w:szCs w:val="22"/>
        </w:rPr>
        <w:t xml:space="preserve"> a sus datos personales o a la rectificación de éstos.</w:t>
      </w:r>
    </w:p>
    <w:p w14:paraId="159D3EAE"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w:t>
      </w:r>
    </w:p>
    <w:p w14:paraId="4C7A6231"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IV. </w:t>
      </w:r>
      <w:r w:rsidRPr="00CA12D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E15C87F" w14:textId="77777777" w:rsidR="00E90CF7" w:rsidRPr="00CA12D6" w:rsidRDefault="00E90CF7" w:rsidP="00E90CF7">
      <w:pPr>
        <w:ind w:left="851" w:right="851"/>
        <w:jc w:val="both"/>
        <w:rPr>
          <w:rFonts w:ascii="Palatino Linotype" w:eastAsia="Palatino Linotype" w:hAnsi="Palatino Linotype" w:cs="Palatino Linotype"/>
          <w:i/>
          <w:sz w:val="22"/>
          <w:szCs w:val="22"/>
        </w:rPr>
      </w:pPr>
    </w:p>
    <w:p w14:paraId="74B969AE"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V. </w:t>
      </w:r>
      <w:r w:rsidRPr="00CA12D6">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w:t>
      </w:r>
      <w:r w:rsidRPr="00CA12D6">
        <w:rPr>
          <w:rFonts w:ascii="Palatino Linotype" w:eastAsia="Palatino Linotype" w:hAnsi="Palatino Linotype" w:cs="Palatino Linotype"/>
          <w:i/>
          <w:sz w:val="22"/>
          <w:szCs w:val="22"/>
        </w:rPr>
        <w:lastRenderedPageBreak/>
        <w:t>disponibles, la información completa y actualizada sobre el ejercicio de los recursos públicos y los indicadores que permitan rendir cuenta del cumplimiento de sus objetivos y de los resultados obtenidos.</w:t>
      </w:r>
    </w:p>
    <w:p w14:paraId="0818253C"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w:t>
      </w:r>
    </w:p>
    <w:p w14:paraId="21592D5D"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VI. </w:t>
      </w:r>
      <w:r w:rsidRPr="00CA12D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52E15F5"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w:t>
      </w:r>
    </w:p>
    <w:p w14:paraId="040D5BA8"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VII. </w:t>
      </w:r>
      <w:r w:rsidRPr="00CA12D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F81F50E" w14:textId="77777777" w:rsidR="00E90CF7" w:rsidRPr="00CA12D6" w:rsidRDefault="00E90CF7" w:rsidP="00E90CF7">
      <w:pPr>
        <w:ind w:right="851"/>
        <w:jc w:val="both"/>
        <w:rPr>
          <w:rFonts w:ascii="Palatino Linotype" w:eastAsia="Palatino Linotype" w:hAnsi="Palatino Linotype" w:cs="Palatino Linotype"/>
          <w:i/>
          <w:sz w:val="22"/>
          <w:szCs w:val="22"/>
        </w:rPr>
      </w:pPr>
    </w:p>
    <w:p w14:paraId="07A2D655" w14:textId="77777777" w:rsidR="00E90CF7" w:rsidRPr="00CA12D6" w:rsidRDefault="00E90CF7" w:rsidP="00E90CF7">
      <w:pPr>
        <w:tabs>
          <w:tab w:val="left" w:pos="709"/>
        </w:tabs>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D052FDB" w14:textId="77777777" w:rsidR="00E90CF7" w:rsidRPr="00CA12D6" w:rsidRDefault="00E90CF7" w:rsidP="00E90CF7">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B09A826" w14:textId="77777777" w:rsidR="00E90CF7" w:rsidRPr="00CA12D6" w:rsidRDefault="00E90CF7" w:rsidP="00E90CF7">
      <w:pPr>
        <w:spacing w:before="240"/>
        <w:ind w:left="709" w:right="76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lastRenderedPageBreak/>
        <w:t>“</w:t>
      </w:r>
      <w:r w:rsidRPr="00CA12D6">
        <w:rPr>
          <w:rFonts w:ascii="Palatino Linotype" w:eastAsia="Palatino Linotype" w:hAnsi="Palatino Linotype" w:cs="Palatino Linotype"/>
          <w:b/>
          <w:i/>
          <w:sz w:val="22"/>
          <w:szCs w:val="22"/>
        </w:rPr>
        <w:t>Artículo 4</w:t>
      </w:r>
      <w:r w:rsidRPr="00CA12D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846723" w14:textId="77777777" w:rsidR="00E90CF7" w:rsidRPr="00CA12D6" w:rsidRDefault="00E90CF7" w:rsidP="00E90CF7">
      <w:pPr>
        <w:ind w:left="709" w:right="760"/>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E757F6E" w14:textId="77777777" w:rsidR="00E90CF7" w:rsidRPr="00CA12D6" w:rsidRDefault="00E90CF7" w:rsidP="00E90CF7">
      <w:pPr>
        <w:ind w:left="709" w:right="76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CA12D6">
        <w:rPr>
          <w:rFonts w:ascii="Palatino Linotype" w:eastAsia="Palatino Linotype" w:hAnsi="Palatino Linotype" w:cs="Palatino Linotype"/>
          <w:i/>
          <w:sz w:val="22"/>
          <w:szCs w:val="22"/>
        </w:rPr>
        <w:t>.”(</w:t>
      </w:r>
      <w:proofErr w:type="gramEnd"/>
      <w:r w:rsidRPr="00CA12D6">
        <w:rPr>
          <w:rFonts w:ascii="Palatino Linotype" w:eastAsia="Palatino Linotype" w:hAnsi="Palatino Linotype" w:cs="Palatino Linotype"/>
          <w:i/>
          <w:sz w:val="22"/>
          <w:szCs w:val="22"/>
        </w:rPr>
        <w:t>Sic)</w:t>
      </w:r>
    </w:p>
    <w:p w14:paraId="5CA6975F" w14:textId="77777777" w:rsidR="00E90CF7" w:rsidRPr="00CA12D6" w:rsidRDefault="00E90CF7" w:rsidP="00E90CF7">
      <w:pPr>
        <w:spacing w:line="360" w:lineRule="auto"/>
        <w:jc w:val="both"/>
        <w:rPr>
          <w:rFonts w:ascii="Palatino Linotype" w:eastAsia="Palatino Linotype" w:hAnsi="Palatino Linotype" w:cs="Palatino Linotype"/>
        </w:rPr>
      </w:pPr>
    </w:p>
    <w:p w14:paraId="7E09ED60" w14:textId="77777777" w:rsidR="00E90CF7" w:rsidRPr="00CA12D6" w:rsidRDefault="00E90CF7" w:rsidP="00E90CF7">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CA12D6">
        <w:rPr>
          <w:rFonts w:ascii="Palatino Linotype" w:eastAsia="Palatino Linotype" w:hAnsi="Palatino Linotype" w:cs="Palatino Linotype"/>
          <w:b/>
        </w:rPr>
        <w:t>artículo 12</w:t>
      </w:r>
      <w:r w:rsidRPr="00CA12D6">
        <w:rPr>
          <w:rFonts w:ascii="Palatino Linotype" w:eastAsia="Palatino Linotype" w:hAnsi="Palatino Linotype" w:cs="Palatino Linotype"/>
        </w:rPr>
        <w:t xml:space="preserve"> de la Ley de Transparencia y Acceso a la Información Pública del Estado de México y Municipios, el cual a la letra dice:</w:t>
      </w:r>
    </w:p>
    <w:p w14:paraId="5DE48238" w14:textId="77777777" w:rsidR="00E90CF7" w:rsidRPr="00CA12D6" w:rsidRDefault="00E90CF7" w:rsidP="00E90CF7">
      <w:pPr>
        <w:spacing w:line="360" w:lineRule="auto"/>
        <w:jc w:val="both"/>
        <w:rPr>
          <w:rFonts w:ascii="Palatino Linotype" w:eastAsia="Palatino Linotype" w:hAnsi="Palatino Linotype" w:cs="Palatino Linotype"/>
        </w:rPr>
      </w:pPr>
    </w:p>
    <w:p w14:paraId="22649269"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r w:rsidRPr="00CA12D6">
        <w:rPr>
          <w:rFonts w:ascii="Palatino Linotype" w:eastAsia="Palatino Linotype" w:hAnsi="Palatino Linotype" w:cs="Palatino Linotype"/>
          <w:b/>
          <w:i/>
          <w:sz w:val="22"/>
          <w:szCs w:val="22"/>
        </w:rPr>
        <w:t>Artículo 12</w:t>
      </w:r>
      <w:r w:rsidRPr="00CA12D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751877C" w14:textId="77777777" w:rsidR="00E90CF7" w:rsidRPr="00CA12D6" w:rsidRDefault="00E90CF7" w:rsidP="00E90CF7">
      <w:pPr>
        <w:ind w:left="851" w:right="851"/>
        <w:jc w:val="both"/>
        <w:rPr>
          <w:rFonts w:ascii="Palatino Linotype" w:eastAsia="Palatino Linotype" w:hAnsi="Palatino Linotype" w:cs="Palatino Linotype"/>
          <w:i/>
          <w:sz w:val="22"/>
          <w:szCs w:val="22"/>
        </w:rPr>
      </w:pPr>
    </w:p>
    <w:p w14:paraId="5DC76282"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51AF37D" w14:textId="77777777" w:rsidR="00E90CF7" w:rsidRPr="00CA12D6" w:rsidRDefault="00E90CF7" w:rsidP="00E90CF7">
      <w:pPr>
        <w:spacing w:line="360" w:lineRule="auto"/>
        <w:jc w:val="both"/>
        <w:rPr>
          <w:rFonts w:ascii="Palatino Linotype" w:eastAsia="Palatino Linotype" w:hAnsi="Palatino Linotype" w:cs="Palatino Linotype"/>
        </w:rPr>
      </w:pPr>
    </w:p>
    <w:p w14:paraId="35FBC938" w14:textId="77777777" w:rsidR="00E90CF7" w:rsidRPr="00CA12D6" w:rsidRDefault="00E90CF7" w:rsidP="00E90CF7">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CA12D6">
        <w:rPr>
          <w:rFonts w:ascii="Palatino Linotype" w:eastAsia="Palatino Linotype" w:hAnsi="Palatino Linotype" w:cs="Palatino Linotype"/>
          <w:b/>
        </w:rPr>
        <w:t xml:space="preserve"> </w:t>
      </w:r>
      <w:r w:rsidRPr="00CA12D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A12D6">
        <w:rPr>
          <w:rFonts w:ascii="Palatino Linotype" w:eastAsia="Palatino Linotype" w:hAnsi="Palatino Linotype" w:cs="Palatino Linotype"/>
          <w:i/>
        </w:rPr>
        <w:t>ad hoc</w:t>
      </w:r>
      <w:r w:rsidRPr="00CA12D6">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176335C6" w14:textId="77777777" w:rsidR="00E90CF7" w:rsidRPr="00CA12D6" w:rsidRDefault="00E90CF7" w:rsidP="00E90CF7">
      <w:pPr>
        <w:ind w:right="851"/>
        <w:jc w:val="both"/>
        <w:rPr>
          <w:rFonts w:ascii="Palatino Linotype" w:eastAsia="Palatino Linotype" w:hAnsi="Palatino Linotype" w:cs="Palatino Linotype"/>
          <w:b/>
          <w:i/>
          <w:sz w:val="22"/>
          <w:szCs w:val="22"/>
        </w:rPr>
      </w:pPr>
    </w:p>
    <w:p w14:paraId="5412AAE5" w14:textId="77777777" w:rsidR="00E90CF7" w:rsidRPr="00CA12D6" w:rsidRDefault="00E90CF7" w:rsidP="00E90CF7">
      <w:pPr>
        <w:ind w:left="851" w:right="851"/>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03/17</w:t>
      </w:r>
    </w:p>
    <w:p w14:paraId="6B32F558" w14:textId="77777777" w:rsidR="00E90CF7" w:rsidRPr="00CA12D6" w:rsidRDefault="00E90CF7" w:rsidP="00E90CF7">
      <w:pPr>
        <w:ind w:left="851" w:right="851"/>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“NO EXISTE OBLIGACIÓN DE ELABORAR DOCUMENTOS AD HOC PARA ATENDER LAS SOLICITUDES DE ACCESO A LA INFORM ACIÓN.</w:t>
      </w:r>
    </w:p>
    <w:p w14:paraId="1CFB2F3A"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B4F7A17" w14:textId="77777777" w:rsidR="00E90CF7" w:rsidRPr="00CA12D6" w:rsidRDefault="00E90CF7" w:rsidP="00E90CF7">
      <w:pPr>
        <w:spacing w:line="360" w:lineRule="auto"/>
        <w:jc w:val="both"/>
        <w:rPr>
          <w:rFonts w:ascii="Palatino Linotype" w:eastAsia="Palatino Linotype" w:hAnsi="Palatino Linotype" w:cs="Palatino Linotype"/>
        </w:rPr>
      </w:pPr>
    </w:p>
    <w:p w14:paraId="630BC322" w14:textId="77777777" w:rsidR="00E90CF7" w:rsidRPr="00CA12D6" w:rsidRDefault="00E90CF7" w:rsidP="00E90CF7">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Por otra parte, conviene mencionar que la Ley de Transparencia vigente en el Estado de México refiere: </w:t>
      </w:r>
    </w:p>
    <w:p w14:paraId="5549D614" w14:textId="77777777" w:rsidR="00E90CF7" w:rsidRPr="00CA12D6" w:rsidRDefault="00E90CF7" w:rsidP="00E90CF7">
      <w:pPr>
        <w:spacing w:line="360" w:lineRule="auto"/>
        <w:jc w:val="both"/>
        <w:rPr>
          <w:rFonts w:ascii="Palatino Linotype" w:eastAsia="Palatino Linotype" w:hAnsi="Palatino Linotype" w:cs="Palatino Linotype"/>
        </w:rPr>
      </w:pPr>
    </w:p>
    <w:p w14:paraId="0CA6983B"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“Artículo 18.</w:t>
      </w:r>
      <w:r w:rsidRPr="00CA12D6">
        <w:rPr>
          <w:rFonts w:ascii="Palatino Linotype" w:eastAsia="Palatino Linotype" w:hAnsi="Palatino Linotype" w:cs="Palatino Linotype"/>
          <w:i/>
          <w:sz w:val="22"/>
          <w:szCs w:val="22"/>
        </w:rPr>
        <w:t xml:space="preserve"> </w:t>
      </w:r>
      <w:r w:rsidRPr="00CA12D6">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CA12D6">
        <w:rPr>
          <w:rFonts w:ascii="Palatino Linotype" w:eastAsia="Palatino Linotype" w:hAnsi="Palatino Linotype" w:cs="Palatino Linotype"/>
          <w:i/>
          <w:sz w:val="22"/>
          <w:szCs w:val="22"/>
        </w:rPr>
        <w:t xml:space="preserve"> y reutilización de la información que generen.</w:t>
      </w:r>
    </w:p>
    <w:p w14:paraId="6E2AD68A" w14:textId="77777777" w:rsidR="00E90CF7" w:rsidRPr="00CA12D6" w:rsidRDefault="00E90CF7" w:rsidP="00E90CF7">
      <w:pPr>
        <w:ind w:left="851" w:right="851"/>
        <w:jc w:val="both"/>
        <w:rPr>
          <w:rFonts w:ascii="Palatino Linotype" w:eastAsia="Palatino Linotype" w:hAnsi="Palatino Linotype" w:cs="Palatino Linotype"/>
          <w:b/>
          <w:i/>
          <w:sz w:val="22"/>
          <w:szCs w:val="22"/>
        </w:rPr>
      </w:pPr>
    </w:p>
    <w:p w14:paraId="7C75546E"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lastRenderedPageBreak/>
        <w:t xml:space="preserve">Artículo 19. </w:t>
      </w:r>
      <w:r w:rsidRPr="00CA12D6">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CA12D6">
        <w:rPr>
          <w:rFonts w:ascii="Palatino Linotype" w:eastAsia="Palatino Linotype" w:hAnsi="Palatino Linotype" w:cs="Palatino Linotype"/>
          <w:i/>
          <w:sz w:val="22"/>
          <w:szCs w:val="22"/>
        </w:rPr>
        <w:t>.</w:t>
      </w:r>
    </w:p>
    <w:p w14:paraId="3C34FA2B" w14:textId="77777777" w:rsidR="00E90CF7" w:rsidRPr="00CA12D6" w:rsidRDefault="00E90CF7" w:rsidP="00E90CF7">
      <w:pPr>
        <w:ind w:left="851" w:right="851"/>
        <w:jc w:val="both"/>
        <w:rPr>
          <w:rFonts w:ascii="Palatino Linotype" w:eastAsia="Palatino Linotype" w:hAnsi="Palatino Linotype" w:cs="Palatino Linotype"/>
          <w:i/>
          <w:sz w:val="22"/>
          <w:szCs w:val="22"/>
        </w:rPr>
      </w:pPr>
    </w:p>
    <w:p w14:paraId="576E2759"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37E87878" w14:textId="77777777" w:rsidR="00E90CF7" w:rsidRPr="00CA12D6" w:rsidRDefault="00E90CF7" w:rsidP="00E90CF7">
      <w:pPr>
        <w:ind w:left="851" w:right="851"/>
        <w:jc w:val="both"/>
        <w:rPr>
          <w:rFonts w:ascii="Palatino Linotype" w:eastAsia="Palatino Linotype" w:hAnsi="Palatino Linotype" w:cs="Palatino Linotype"/>
          <w:i/>
          <w:sz w:val="22"/>
          <w:szCs w:val="22"/>
        </w:rPr>
      </w:pPr>
    </w:p>
    <w:p w14:paraId="6C626616"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5F359AC" w14:textId="77777777" w:rsidR="00E90CF7" w:rsidRPr="00CA12D6" w:rsidRDefault="00E90CF7" w:rsidP="00E90CF7">
      <w:pPr>
        <w:ind w:left="851" w:right="851"/>
        <w:jc w:val="both"/>
        <w:rPr>
          <w:rFonts w:ascii="Palatino Linotype" w:eastAsia="Palatino Linotype" w:hAnsi="Palatino Linotype" w:cs="Palatino Linotype"/>
          <w:i/>
          <w:sz w:val="22"/>
          <w:szCs w:val="22"/>
        </w:rPr>
      </w:pPr>
    </w:p>
    <w:p w14:paraId="33C3E2BE" w14:textId="77777777" w:rsidR="00E90CF7" w:rsidRPr="00CA12D6" w:rsidRDefault="00E90CF7" w:rsidP="00E90CF7">
      <w:pPr>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(Énfasis añadido)</w:t>
      </w:r>
    </w:p>
    <w:p w14:paraId="7CDE62E5" w14:textId="77777777" w:rsidR="00E90CF7" w:rsidRPr="00CA12D6" w:rsidRDefault="00E90CF7" w:rsidP="00E90CF7">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A84DD27" w14:textId="77777777" w:rsidR="00E90CF7" w:rsidRPr="00CA12D6" w:rsidRDefault="00E90CF7" w:rsidP="00E90CF7">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A12D6">
        <w:rPr>
          <w:rFonts w:ascii="Palatino Linotype" w:eastAsia="Palatino Linotype" w:hAnsi="Palatino Linotype" w:cs="Palatino Linotype"/>
          <w:b/>
        </w:rPr>
        <w:t xml:space="preserve">cualquier otro registro que documente el ejercicio de las facultades, funciones, obligaciones y competencias de los Sujetos </w:t>
      </w:r>
      <w:r w:rsidRPr="00CA12D6">
        <w:rPr>
          <w:rFonts w:ascii="Palatino Linotype" w:eastAsia="Palatino Linotype" w:hAnsi="Palatino Linotype" w:cs="Palatino Linotype"/>
          <w:b/>
        </w:rPr>
        <w:lastRenderedPageBreak/>
        <w:t>Obligados</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los que, podrán estar en cualquier medio</w:t>
      </w:r>
      <w:r w:rsidRPr="00CA12D6">
        <w:rPr>
          <w:rFonts w:ascii="Palatino Linotype" w:eastAsia="Palatino Linotype" w:hAnsi="Palatino Linotype" w:cs="Palatino Linotype"/>
        </w:rPr>
        <w:t xml:space="preserve">, sea escrito, impreso, sonoro, visual, </w:t>
      </w:r>
      <w:r w:rsidRPr="00CA12D6">
        <w:rPr>
          <w:rFonts w:ascii="Palatino Linotype" w:eastAsia="Palatino Linotype" w:hAnsi="Palatino Linotype" w:cs="Palatino Linotype"/>
          <w:b/>
        </w:rPr>
        <w:t>electrónico</w:t>
      </w:r>
      <w:r w:rsidRPr="00CA12D6">
        <w:rPr>
          <w:rFonts w:ascii="Palatino Linotype" w:eastAsia="Palatino Linotype" w:hAnsi="Palatino Linotype" w:cs="Palatino Linotype"/>
        </w:rPr>
        <w:t xml:space="preserve">, informático u holográfico, esto es, </w:t>
      </w:r>
      <w:r w:rsidRPr="00CA12D6">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252C02" w14:textId="77777777" w:rsidR="00E90CF7" w:rsidRPr="00CA12D6" w:rsidRDefault="00E90CF7" w:rsidP="00E90CF7">
      <w:pPr>
        <w:spacing w:before="280" w:after="28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De ahí que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A12D6">
        <w:rPr>
          <w:rFonts w:ascii="Palatino Linotype" w:eastAsia="Palatino Linotype" w:hAnsi="Palatino Linotype" w:cs="Palatino Linotype"/>
          <w:vertAlign w:val="superscript"/>
        </w:rPr>
        <w:footnoteReference w:id="1"/>
      </w:r>
      <w:r w:rsidRPr="00CA12D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A12D6">
        <w:rPr>
          <w:rFonts w:ascii="Palatino Linotype" w:eastAsia="Palatino Linotype" w:hAnsi="Palatino Linotype" w:cs="Palatino Linotype"/>
          <w:vertAlign w:val="superscript"/>
        </w:rPr>
        <w:footnoteReference w:id="2"/>
      </w:r>
      <w:r w:rsidRPr="00CA12D6">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B1638E4" w14:textId="77777777" w:rsidR="00E90CF7" w:rsidRPr="00CA12D6" w:rsidRDefault="00E90CF7" w:rsidP="00E90CF7">
      <w:pPr>
        <w:tabs>
          <w:tab w:val="left" w:pos="8647"/>
        </w:tabs>
        <w:spacing w:before="240" w:after="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rPr>
        <w:lastRenderedPageBreak/>
        <w:t xml:space="preserve">En este sentido, es conveniente recordar y analizar el requerimiento formulado los agravios hechos valer por la parte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E917FCF" w14:textId="77777777" w:rsidR="00E90CF7" w:rsidRPr="00CA12D6" w:rsidRDefault="00E90CF7" w:rsidP="00E90CF7">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Precisado lo anterior, conviene señalar que el particular requirió al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lo siguiente:</w:t>
      </w:r>
    </w:p>
    <w:p w14:paraId="3EE10124" w14:textId="77777777" w:rsidR="00E90CF7" w:rsidRPr="00CA12D6" w:rsidRDefault="00B54279" w:rsidP="00E90CF7">
      <w:pPr>
        <w:pStyle w:val="Prrafodelista"/>
        <w:numPr>
          <w:ilvl w:val="0"/>
          <w:numId w:val="6"/>
        </w:num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rPr>
      </w:pPr>
      <w:r w:rsidRPr="00CA12D6">
        <w:rPr>
          <w:rFonts w:ascii="Palatino Linotype" w:eastAsia="Palatino Linotype" w:hAnsi="Palatino Linotype" w:cs="Palatino Linotype"/>
          <w:b/>
        </w:rPr>
        <w:t>Observaciones señaladas de la Contr</w:t>
      </w:r>
      <w:r w:rsidR="001F1046" w:rsidRPr="00CA12D6">
        <w:rPr>
          <w:rFonts w:ascii="Palatino Linotype" w:eastAsia="Palatino Linotype" w:hAnsi="Palatino Linotype" w:cs="Palatino Linotype"/>
          <w:b/>
        </w:rPr>
        <w:t xml:space="preserve">aloría en las diversas entregas recepción del año dos mil veintidós. </w:t>
      </w:r>
    </w:p>
    <w:p w14:paraId="58F58CDB" w14:textId="77777777" w:rsidR="00E90CF7" w:rsidRPr="00CA12D6" w:rsidRDefault="00E90CF7" w:rsidP="00E90CF7">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Resulta importante señalar que el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fue</w:t>
      </w:r>
      <w:r w:rsidRPr="00CA12D6">
        <w:rPr>
          <w:rFonts w:ascii="Palatino Linotype" w:eastAsia="Palatino Linotype" w:hAnsi="Palatino Linotype" w:cs="Palatino Linotype"/>
          <w:b/>
        </w:rPr>
        <w:t xml:space="preserve"> </w:t>
      </w:r>
      <w:r w:rsidRPr="00CA12D6">
        <w:rPr>
          <w:rFonts w:ascii="Palatino Linotype" w:eastAsia="Palatino Linotype" w:hAnsi="Palatino Linotype" w:cs="Palatino Linotype"/>
        </w:rPr>
        <w:t xml:space="preserve">omiso en emitir su repuesta a la solicitud de información, por lo cual, </w:t>
      </w:r>
      <w:r w:rsidRPr="00CA12D6">
        <w:rPr>
          <w:rFonts w:ascii="Palatino Linotype" w:eastAsia="Palatino Linotype" w:hAnsi="Palatino Linotype" w:cs="Palatino Linotype"/>
          <w:b/>
        </w:rPr>
        <w:t>la parte</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se inconformó por la negativa de no entregar la información requerida, lo cual actualiza el supuesto previsto en el artículo 179, fracción VII, de la Ley de Transparencia y Acceso a la Información Pública del Estado de México y Municipios. </w:t>
      </w:r>
    </w:p>
    <w:p w14:paraId="5F299209" w14:textId="77777777" w:rsidR="00E90CF7" w:rsidRPr="00CA12D6" w:rsidRDefault="00E90CF7" w:rsidP="00E90CF7">
      <w:pPr>
        <w:tabs>
          <w:tab w:val="left" w:pos="4962"/>
        </w:tabs>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Así las cosas, una vez admitido y notificado el Recurso de Revisión a las partes, se tiene que las partes fueron omisas en pronunciarse, por lo que se tiene por precluido su derecho para tal efecto.</w:t>
      </w:r>
    </w:p>
    <w:p w14:paraId="58D4535C" w14:textId="77777777" w:rsidR="00F2199E" w:rsidRPr="00CA12D6" w:rsidRDefault="00F2199E" w:rsidP="00E90CF7">
      <w:pPr>
        <w:tabs>
          <w:tab w:val="left" w:pos="4962"/>
        </w:tabs>
        <w:spacing w:line="360" w:lineRule="auto"/>
        <w:jc w:val="both"/>
        <w:rPr>
          <w:rFonts w:ascii="Palatino Linotype" w:eastAsia="Palatino Linotype" w:hAnsi="Palatino Linotype" w:cs="Palatino Linotype"/>
        </w:rPr>
      </w:pPr>
    </w:p>
    <w:p w14:paraId="648EE66F" w14:textId="77777777" w:rsidR="00FB2B0C" w:rsidRPr="00CA12D6" w:rsidRDefault="00E90CF7" w:rsidP="00FB2B0C">
      <w:pPr>
        <w:spacing w:line="360" w:lineRule="auto"/>
        <w:ind w:right="-28"/>
        <w:jc w:val="both"/>
        <w:rPr>
          <w:rFonts w:ascii="Palatino Linotype" w:eastAsia="Batang" w:hAnsi="Palatino Linotype" w:cs="Tahoma"/>
          <w:bCs/>
          <w:lang w:val="x-none"/>
        </w:rPr>
      </w:pPr>
      <w:r w:rsidRPr="00CA12D6">
        <w:rPr>
          <w:rFonts w:ascii="Palatino Linotype" w:eastAsia="Palatino Linotype" w:hAnsi="Palatino Linotype" w:cs="Palatino Linotype"/>
        </w:rPr>
        <w:t>Bajo tal tesitura, sobre la naturalez</w:t>
      </w:r>
      <w:r w:rsidR="00FB2B0C" w:rsidRPr="00CA12D6">
        <w:rPr>
          <w:rFonts w:ascii="Palatino Linotype" w:eastAsia="Palatino Linotype" w:hAnsi="Palatino Linotype" w:cs="Palatino Linotype"/>
        </w:rPr>
        <w:t xml:space="preserve">a de la información solicitada </w:t>
      </w:r>
      <w:r w:rsidR="00FB2B0C" w:rsidRPr="00CA12D6">
        <w:rPr>
          <w:rFonts w:ascii="Palatino Linotype" w:eastAsia="Batang" w:hAnsi="Palatino Linotype" w:cs="Tahoma"/>
          <w:bCs/>
        </w:rPr>
        <w:t xml:space="preserve">es necesario traer a </w:t>
      </w:r>
      <w:proofErr w:type="spellStart"/>
      <w:r w:rsidR="00FB2B0C" w:rsidRPr="00CA12D6">
        <w:rPr>
          <w:rFonts w:ascii="Palatino Linotype" w:eastAsia="Batang" w:hAnsi="Palatino Linotype" w:cs="Tahoma"/>
          <w:bCs/>
        </w:rPr>
        <w:t>colaci</w:t>
      </w:r>
      <w:r w:rsidR="00F2199E" w:rsidRPr="00CA12D6">
        <w:rPr>
          <w:rFonts w:ascii="Palatino Linotype" w:eastAsia="Batang" w:hAnsi="Palatino Linotype" w:cs="Tahoma"/>
          <w:bCs/>
          <w:lang w:val="x-none"/>
        </w:rPr>
        <w:t>ón</w:t>
      </w:r>
      <w:proofErr w:type="spellEnd"/>
      <w:r w:rsidR="00F2199E" w:rsidRPr="00CA12D6">
        <w:rPr>
          <w:rFonts w:ascii="Palatino Linotype" w:eastAsia="Batang" w:hAnsi="Palatino Linotype" w:cs="Tahoma"/>
          <w:bCs/>
          <w:lang w:val="x-none"/>
        </w:rPr>
        <w:t xml:space="preserve"> </w:t>
      </w:r>
      <w:r w:rsidR="00FB2B0C" w:rsidRPr="00CA12D6">
        <w:rPr>
          <w:rFonts w:ascii="Palatino Linotype" w:eastAsia="Batang" w:hAnsi="Palatino Linotype" w:cs="Tahoma"/>
          <w:bCs/>
          <w:lang w:val="x-none"/>
        </w:rPr>
        <w:t>el artículo 3</w:t>
      </w:r>
      <w:r w:rsidR="00FB2B0C" w:rsidRPr="00CA12D6">
        <w:rPr>
          <w:rFonts w:ascii="Palatino Linotype" w:eastAsia="Batang" w:hAnsi="Palatino Linotype" w:cs="Tahoma"/>
          <w:bCs/>
          <w:lang w:val="es-MX"/>
        </w:rPr>
        <w:t>°</w:t>
      </w:r>
      <w:r w:rsidR="00FB2B0C" w:rsidRPr="00CA12D6">
        <w:rPr>
          <w:rFonts w:ascii="Palatino Linotype" w:eastAsia="Batang" w:hAnsi="Palatino Linotype" w:cs="Tahoma"/>
          <w:bCs/>
          <w:lang w:val="x-none"/>
        </w:rPr>
        <w:t>, fracciones I y IX, del Reglamento para los procesos de Entrega y Recepción y Rendición de Cuentas de la Administración Pública del Estado de México, que establece lo siguiente:</w:t>
      </w:r>
    </w:p>
    <w:p w14:paraId="592B0D62" w14:textId="77777777" w:rsidR="00FB2B0C" w:rsidRPr="00CA12D6" w:rsidRDefault="00FB2B0C" w:rsidP="00FB2B0C">
      <w:pPr>
        <w:spacing w:line="360" w:lineRule="auto"/>
        <w:ind w:right="-28"/>
        <w:jc w:val="both"/>
        <w:rPr>
          <w:rFonts w:ascii="Palatino Linotype" w:eastAsia="Batang" w:hAnsi="Palatino Linotype" w:cs="Tahoma"/>
          <w:bCs/>
          <w:sz w:val="22"/>
          <w:szCs w:val="22"/>
        </w:rPr>
      </w:pPr>
    </w:p>
    <w:p w14:paraId="63AD595E" w14:textId="77777777" w:rsidR="0048582F" w:rsidRPr="00CA12D6" w:rsidRDefault="0048582F" w:rsidP="0048582F">
      <w:pPr>
        <w:pStyle w:val="Textoindependiente"/>
        <w:ind w:left="851" w:right="616"/>
        <w:jc w:val="both"/>
        <w:rPr>
          <w:rFonts w:ascii="Palatino Linotype" w:hAnsi="Palatino Linotype"/>
          <w:i/>
        </w:rPr>
      </w:pPr>
      <w:r w:rsidRPr="00CA12D6">
        <w:rPr>
          <w:rFonts w:ascii="Palatino Linotype" w:hAnsi="Palatino Linotype"/>
          <w:b/>
          <w:i/>
        </w:rPr>
        <w:lastRenderedPageBreak/>
        <w:t xml:space="preserve">“Artículo 3. </w:t>
      </w:r>
      <w:r w:rsidRPr="00CA12D6">
        <w:rPr>
          <w:rFonts w:ascii="Palatino Linotype" w:hAnsi="Palatino Linotype"/>
          <w:i/>
        </w:rPr>
        <w:t>Para efectos del presente Reglamento, se entiende por:</w:t>
      </w:r>
    </w:p>
    <w:p w14:paraId="0C4A5327" w14:textId="77777777" w:rsidR="0048582F" w:rsidRPr="00CA12D6" w:rsidRDefault="0048582F" w:rsidP="0048582F">
      <w:pPr>
        <w:pStyle w:val="Prrafodelista"/>
        <w:tabs>
          <w:tab w:val="left" w:pos="367"/>
        </w:tabs>
        <w:ind w:left="851" w:right="616"/>
        <w:jc w:val="both"/>
        <w:rPr>
          <w:rFonts w:ascii="Palatino Linotype" w:hAnsi="Palatino Linotype" w:cs="Arial"/>
          <w:i/>
        </w:rPr>
      </w:pPr>
    </w:p>
    <w:p w14:paraId="1A64B724" w14:textId="77777777" w:rsidR="0048582F" w:rsidRPr="00CA12D6" w:rsidRDefault="00913100" w:rsidP="00913100">
      <w:pPr>
        <w:pStyle w:val="Textoindependiente"/>
        <w:ind w:left="851" w:right="616"/>
        <w:jc w:val="both"/>
        <w:rPr>
          <w:rFonts w:ascii="Palatino Linotype" w:hAnsi="Palatino Linotype"/>
          <w:i/>
        </w:rPr>
      </w:pPr>
      <w:r w:rsidRPr="00CA12D6">
        <w:rPr>
          <w:rFonts w:ascii="Palatino Linotype" w:hAnsi="Palatino Linotype"/>
          <w:b/>
          <w:i/>
        </w:rPr>
        <w:t xml:space="preserve">I. </w:t>
      </w:r>
      <w:r w:rsidR="0048582F" w:rsidRPr="00CA12D6">
        <w:rPr>
          <w:rFonts w:ascii="Palatino Linotype" w:hAnsi="Palatino Linotype"/>
          <w:b/>
          <w:i/>
        </w:rPr>
        <w:t>Acta Administrativa:</w:t>
      </w:r>
      <w:r w:rsidR="0048582F" w:rsidRPr="00CA12D6">
        <w:rPr>
          <w:rFonts w:ascii="Palatino Linotype" w:hAnsi="Palatino Linotype"/>
          <w:i/>
        </w:rPr>
        <w:t xml:space="preserve"> Al documento físico o electrónico que debe presentar la persona servidora pública que concluye un empleo, cargo o comisión, en el que consta la Entrega y Recepción de los Recursos asignados, los asuntos a su cargo y el estado que guardan; así como la información documental que tenga a su disposición, junto con sus anexos respectivos, a quien legalmente deba sustituirle o a quien la persona que sea su superior jerárquico designe como encargada o encargado, o responsable; con la intervención de la persona representante del Órgano Interno de Control y de los testigos de asistencia, para su validación;</w:t>
      </w:r>
    </w:p>
    <w:p w14:paraId="24D2ADDB" w14:textId="77777777" w:rsidR="00FB2B0C" w:rsidRPr="00CA12D6" w:rsidRDefault="0048582F" w:rsidP="0048582F">
      <w:pPr>
        <w:pStyle w:val="Prrafodelista"/>
        <w:spacing w:line="360" w:lineRule="auto"/>
        <w:ind w:left="851" w:right="616"/>
        <w:jc w:val="both"/>
        <w:rPr>
          <w:rFonts w:ascii="Palatino Linotype" w:eastAsia="Batang" w:hAnsi="Palatino Linotype" w:cs="Tahoma"/>
          <w:bCs/>
          <w:i/>
          <w:lang w:val="es-ES"/>
        </w:rPr>
      </w:pPr>
      <w:r w:rsidRPr="00CA12D6">
        <w:rPr>
          <w:rFonts w:ascii="Palatino Linotype" w:eastAsia="Batang" w:hAnsi="Palatino Linotype" w:cs="Tahoma"/>
          <w:bCs/>
          <w:i/>
          <w:lang w:val="es-ES"/>
        </w:rPr>
        <w:t>…</w:t>
      </w:r>
    </w:p>
    <w:p w14:paraId="416472DD" w14:textId="77777777" w:rsidR="0048582F" w:rsidRPr="00CA12D6" w:rsidRDefault="0048582F" w:rsidP="0048582F">
      <w:pPr>
        <w:pStyle w:val="Prrafodelista"/>
        <w:widowControl w:val="0"/>
        <w:autoSpaceDE w:val="0"/>
        <w:autoSpaceDN w:val="0"/>
        <w:ind w:left="851" w:right="616"/>
        <w:jc w:val="both"/>
        <w:rPr>
          <w:rFonts w:ascii="Palatino Linotype" w:hAnsi="Palatino Linotype" w:cs="Arial"/>
          <w:i/>
        </w:rPr>
      </w:pPr>
      <w:r w:rsidRPr="00CA12D6">
        <w:rPr>
          <w:rFonts w:ascii="Palatino Linotype" w:hAnsi="Palatino Linotype" w:cs="Arial"/>
          <w:b/>
          <w:i/>
        </w:rPr>
        <w:t>IX. Entrega y Recepción:</w:t>
      </w:r>
      <w:r w:rsidRPr="00CA12D6">
        <w:rPr>
          <w:rFonts w:ascii="Palatino Linotype" w:hAnsi="Palatino Linotype" w:cs="Arial"/>
          <w:i/>
        </w:rPr>
        <w:t xml:space="preserve"> Al proceso administrativo por el que una persona servidora pública que concluye su empleo, cargo o comisión hace entrega y rinde cuentas de los Recursos asignados; de los programas, proyectos, asuntos y acciones a su cargo y del estado que guardan; así como de la información documental que tenga a su disposición de manera directa, a quien reciba legalmente para sustituirle o a la persona que su superior jerárquico designe como encargada o encargado, o responsable para tales efectos;</w:t>
      </w:r>
    </w:p>
    <w:p w14:paraId="45976CFD" w14:textId="77777777" w:rsidR="00913100" w:rsidRPr="00CA12D6" w:rsidRDefault="00913100" w:rsidP="0048582F">
      <w:pPr>
        <w:pStyle w:val="Prrafodelista"/>
        <w:widowControl w:val="0"/>
        <w:autoSpaceDE w:val="0"/>
        <w:autoSpaceDN w:val="0"/>
        <w:ind w:left="851" w:right="616"/>
        <w:jc w:val="both"/>
        <w:rPr>
          <w:rFonts w:ascii="Palatino Linotype" w:hAnsi="Palatino Linotype" w:cs="Arial"/>
          <w:i/>
        </w:rPr>
      </w:pPr>
      <w:r w:rsidRPr="00CA12D6">
        <w:rPr>
          <w:rFonts w:ascii="Palatino Linotype" w:hAnsi="Palatino Linotype" w:cs="Arial"/>
          <w:b/>
          <w:i/>
        </w:rPr>
        <w:t>…</w:t>
      </w:r>
      <w:r w:rsidRPr="00CA12D6">
        <w:rPr>
          <w:rFonts w:ascii="Palatino Linotype" w:hAnsi="Palatino Linotype" w:cs="Arial"/>
          <w:i/>
        </w:rPr>
        <w:t>”</w:t>
      </w:r>
    </w:p>
    <w:p w14:paraId="5D3D048B" w14:textId="77777777" w:rsidR="00FB2B0C" w:rsidRPr="00CA12D6" w:rsidRDefault="00FB2B0C" w:rsidP="00FB2B0C">
      <w:pPr>
        <w:spacing w:line="360" w:lineRule="auto"/>
        <w:ind w:right="-28"/>
        <w:jc w:val="both"/>
        <w:rPr>
          <w:rFonts w:ascii="Palatino Linotype" w:eastAsia="Batang" w:hAnsi="Palatino Linotype" w:cs="Tahoma"/>
          <w:bCs/>
          <w:sz w:val="22"/>
          <w:szCs w:val="22"/>
        </w:rPr>
      </w:pPr>
    </w:p>
    <w:p w14:paraId="08E43226" w14:textId="77777777" w:rsidR="00FB2B0C" w:rsidRPr="00CA12D6" w:rsidRDefault="00764EF4" w:rsidP="00FB2B0C">
      <w:pPr>
        <w:spacing w:line="360" w:lineRule="auto"/>
        <w:ind w:right="-28"/>
        <w:jc w:val="both"/>
        <w:rPr>
          <w:rFonts w:ascii="Palatino Linotype" w:eastAsia="Batang" w:hAnsi="Palatino Linotype" w:cs="Tahoma"/>
          <w:bCs/>
        </w:rPr>
      </w:pPr>
      <w:r w:rsidRPr="00CA12D6">
        <w:rPr>
          <w:rFonts w:ascii="Palatino Linotype" w:eastAsia="Batang" w:hAnsi="Palatino Linotype" w:cs="Tahoma"/>
          <w:bCs/>
        </w:rPr>
        <w:t>Correlativo a lo anterior</w:t>
      </w:r>
      <w:r w:rsidR="00FB2B0C" w:rsidRPr="00CA12D6">
        <w:rPr>
          <w:rFonts w:ascii="Palatino Linotype" w:eastAsia="Batang" w:hAnsi="Palatino Linotype" w:cs="Tahoma"/>
          <w:bCs/>
        </w:rPr>
        <w:t xml:space="preserve">, el </w:t>
      </w:r>
      <w:r w:rsidRPr="00CA12D6">
        <w:rPr>
          <w:rFonts w:ascii="Palatino Linotype" w:eastAsia="Batang" w:hAnsi="Palatino Linotype" w:cs="Tahoma"/>
          <w:bCs/>
        </w:rPr>
        <w:t>artículo</w:t>
      </w:r>
      <w:r w:rsidRPr="00CA12D6">
        <w:rPr>
          <w:rFonts w:ascii="Palatino Linotype" w:eastAsia="Batang" w:hAnsi="Palatino Linotype" w:cs="Tahoma"/>
          <w:bCs/>
          <w:lang w:val="x-none"/>
        </w:rPr>
        <w:t xml:space="preserve"> </w:t>
      </w:r>
      <w:r w:rsidRPr="00CA12D6">
        <w:rPr>
          <w:rFonts w:ascii="Palatino Linotype" w:eastAsia="Batang" w:hAnsi="Palatino Linotype" w:cs="Tahoma"/>
          <w:bCs/>
          <w:lang w:val="es-MX"/>
        </w:rPr>
        <w:t>2</w:t>
      </w:r>
      <w:r w:rsidR="00FB2B0C" w:rsidRPr="00CA12D6">
        <w:rPr>
          <w:rFonts w:ascii="Palatino Linotype" w:eastAsia="Batang" w:hAnsi="Palatino Linotype" w:cs="Tahoma"/>
          <w:bCs/>
          <w:lang w:val="x-none"/>
        </w:rPr>
        <w:t xml:space="preserve">, fracciones III y XVIII de los </w:t>
      </w:r>
      <w:r w:rsidR="00FB2B0C" w:rsidRPr="00CA12D6">
        <w:rPr>
          <w:rFonts w:ascii="Palatino Linotype" w:eastAsia="Batang" w:hAnsi="Palatino Linotype" w:cs="Tahoma"/>
          <w:bCs/>
        </w:rPr>
        <w:t>Lineamientos que Regulan la Entrega-Recepción de la Administración Pública Municipal del Estado de México, así como, de los Lineamientos que Norman la Entrega-Recepción de los Ayuntamientos, sus Dependencias y Organismos Descentralizados Municipales del Estado de México, establece lo siguiente:</w:t>
      </w:r>
    </w:p>
    <w:p w14:paraId="356493A1" w14:textId="77777777" w:rsidR="004D27C7" w:rsidRPr="00CA12D6" w:rsidRDefault="004D27C7" w:rsidP="00FB2B0C">
      <w:pPr>
        <w:spacing w:line="360" w:lineRule="auto"/>
        <w:ind w:right="-28"/>
        <w:jc w:val="both"/>
        <w:rPr>
          <w:rFonts w:ascii="Palatino Linotype" w:eastAsia="Batang" w:hAnsi="Palatino Linotype" w:cs="Tahoma"/>
          <w:bCs/>
        </w:rPr>
      </w:pPr>
    </w:p>
    <w:p w14:paraId="6E804753" w14:textId="77777777" w:rsidR="00184BBC" w:rsidRPr="00CA12D6" w:rsidRDefault="004D27C7" w:rsidP="004D27C7">
      <w:pPr>
        <w:spacing w:line="276" w:lineRule="auto"/>
        <w:ind w:left="851" w:right="616"/>
        <w:jc w:val="both"/>
        <w:rPr>
          <w:rFonts w:ascii="Palatino Linotype" w:eastAsia="Batang" w:hAnsi="Palatino Linotype" w:cs="Tahoma"/>
          <w:bCs/>
          <w:i/>
          <w:sz w:val="22"/>
          <w:szCs w:val="22"/>
        </w:rPr>
      </w:pPr>
      <w:r w:rsidRPr="00CA12D6">
        <w:rPr>
          <w:rFonts w:ascii="Palatino Linotype" w:hAnsi="Palatino Linotype"/>
          <w:b/>
          <w:i/>
          <w:sz w:val="22"/>
          <w:szCs w:val="22"/>
        </w:rPr>
        <w:t>“</w:t>
      </w:r>
      <w:r w:rsidR="00184BBC" w:rsidRPr="00CA12D6">
        <w:rPr>
          <w:rFonts w:ascii="Palatino Linotype" w:hAnsi="Palatino Linotype"/>
          <w:b/>
          <w:i/>
          <w:sz w:val="22"/>
          <w:szCs w:val="22"/>
        </w:rPr>
        <w:t>Artículo 2</w:t>
      </w:r>
      <w:r w:rsidR="00184BBC" w:rsidRPr="00CA12D6">
        <w:rPr>
          <w:rFonts w:ascii="Palatino Linotype" w:hAnsi="Palatino Linotype"/>
          <w:i/>
          <w:sz w:val="22"/>
          <w:szCs w:val="22"/>
        </w:rPr>
        <w:t>. Para los efectos de estos lineamientos se entenderá por:</w:t>
      </w:r>
    </w:p>
    <w:p w14:paraId="4A3D3210" w14:textId="77777777" w:rsidR="00FB2B0C" w:rsidRPr="00CA12D6" w:rsidRDefault="00FB2B0C" w:rsidP="004D27C7">
      <w:pPr>
        <w:spacing w:line="276" w:lineRule="auto"/>
        <w:ind w:left="851" w:right="616"/>
        <w:jc w:val="both"/>
        <w:rPr>
          <w:rFonts w:ascii="Palatino Linotype" w:eastAsia="Batang" w:hAnsi="Palatino Linotype" w:cs="Tahoma"/>
          <w:bCs/>
          <w:i/>
          <w:sz w:val="22"/>
          <w:szCs w:val="22"/>
        </w:rPr>
      </w:pPr>
    </w:p>
    <w:p w14:paraId="28B673D8" w14:textId="77777777" w:rsidR="00184BBC" w:rsidRPr="00CA12D6" w:rsidRDefault="006E07A1" w:rsidP="004D27C7">
      <w:pPr>
        <w:pStyle w:val="Prrafodelista"/>
        <w:spacing w:line="276" w:lineRule="auto"/>
        <w:ind w:left="851" w:right="616"/>
        <w:contextualSpacing/>
        <w:jc w:val="both"/>
        <w:rPr>
          <w:rFonts w:ascii="Palatino Linotype" w:eastAsia="Batang" w:hAnsi="Palatino Linotype" w:cs="Tahoma"/>
          <w:b/>
          <w:bCs/>
          <w:i/>
          <w:lang w:val="es-ES"/>
        </w:rPr>
      </w:pPr>
      <w:r w:rsidRPr="00CA12D6">
        <w:rPr>
          <w:rFonts w:ascii="Palatino Linotype" w:hAnsi="Palatino Linotype"/>
          <w:b/>
          <w:i/>
        </w:rPr>
        <w:t>III. Acta de entrega-recepción</w:t>
      </w:r>
      <w:r w:rsidRPr="00CA12D6">
        <w:rPr>
          <w:rFonts w:ascii="Palatino Linotype" w:hAnsi="Palatino Linotype"/>
          <w:i/>
        </w:rPr>
        <w:t xml:space="preserve">: Al instrumento jurídico que formaliza el acto de entrega-recepción, en el que se establecen los datos de los participantes, la relación de la información y el soporte documental de la gestión municipal, observaciones, firmas y anexos; </w:t>
      </w:r>
    </w:p>
    <w:p w14:paraId="7A86EBC0" w14:textId="77777777" w:rsidR="00184BBC" w:rsidRPr="00CA12D6" w:rsidRDefault="006E07A1" w:rsidP="0023651A">
      <w:pPr>
        <w:pStyle w:val="Prrafodelista"/>
        <w:spacing w:line="276" w:lineRule="auto"/>
        <w:ind w:left="851" w:right="616"/>
        <w:contextualSpacing/>
        <w:jc w:val="both"/>
        <w:rPr>
          <w:rFonts w:ascii="Palatino Linotype" w:eastAsia="Batang" w:hAnsi="Palatino Linotype" w:cs="Tahoma"/>
          <w:b/>
          <w:bCs/>
          <w:i/>
          <w:lang w:val="es-ES"/>
        </w:rPr>
      </w:pPr>
      <w:r w:rsidRPr="00CA12D6">
        <w:rPr>
          <w:rFonts w:ascii="Palatino Linotype" w:hAnsi="Palatino Linotype"/>
          <w:i/>
        </w:rPr>
        <w:t xml:space="preserve">Las actas de entrega-recepción se clasifican en: </w:t>
      </w:r>
    </w:p>
    <w:p w14:paraId="250F0D21" w14:textId="77777777" w:rsidR="00184BBC" w:rsidRPr="00CA12D6" w:rsidRDefault="00184BBC" w:rsidP="004D27C7">
      <w:pPr>
        <w:pStyle w:val="Prrafodelista"/>
        <w:spacing w:line="276" w:lineRule="auto"/>
        <w:ind w:left="851" w:right="616"/>
        <w:contextualSpacing/>
        <w:jc w:val="both"/>
        <w:rPr>
          <w:rFonts w:ascii="Palatino Linotype" w:hAnsi="Palatino Linotype"/>
          <w:i/>
        </w:rPr>
      </w:pPr>
    </w:p>
    <w:p w14:paraId="4D775F83" w14:textId="77777777" w:rsidR="006E07A1" w:rsidRPr="00CA12D6" w:rsidRDefault="006E07A1" w:rsidP="004D27C7">
      <w:pPr>
        <w:pStyle w:val="Prrafodelista"/>
        <w:numPr>
          <w:ilvl w:val="1"/>
          <w:numId w:val="4"/>
        </w:numPr>
        <w:spacing w:line="276" w:lineRule="auto"/>
        <w:ind w:left="851" w:right="616" w:firstLine="0"/>
        <w:contextualSpacing/>
        <w:jc w:val="both"/>
        <w:rPr>
          <w:rFonts w:ascii="Palatino Linotype" w:eastAsia="Batang" w:hAnsi="Palatino Linotype" w:cs="Tahoma"/>
          <w:b/>
          <w:bCs/>
          <w:i/>
          <w:lang w:val="es-ES"/>
        </w:rPr>
      </w:pPr>
      <w:r w:rsidRPr="00CA12D6">
        <w:rPr>
          <w:rFonts w:ascii="Palatino Linotype" w:hAnsi="Palatino Linotype"/>
          <w:b/>
          <w:i/>
        </w:rPr>
        <w:lastRenderedPageBreak/>
        <w:t>Acta final o de conclusión de gestión constitucional (AER-1)</w:t>
      </w:r>
      <w:r w:rsidRPr="00CA12D6">
        <w:rPr>
          <w:rFonts w:ascii="Palatino Linotype" w:hAnsi="Palatino Linotype"/>
          <w:i/>
        </w:rPr>
        <w:t>: Instrumento jurídico que se debe utilizar por los servidores públicos al término de un empleo, cargo o comisión, cualquiera que sea el motivo; o la que deben efectuar los servidores públicos, dentro de los términos establecidos, posterior a la culminación del periodo constitucional municipal.</w:t>
      </w:r>
      <w:r w:rsidRPr="00CA12D6">
        <w:rPr>
          <w:rFonts w:ascii="Palatino Linotype" w:eastAsia="Batang" w:hAnsi="Palatino Linotype" w:cs="Tahoma"/>
          <w:b/>
          <w:bCs/>
          <w:i/>
          <w:lang w:val="es-ES"/>
        </w:rPr>
        <w:t xml:space="preserve"> </w:t>
      </w:r>
    </w:p>
    <w:p w14:paraId="77980B17" w14:textId="77777777" w:rsidR="00184BBC" w:rsidRPr="00CA12D6" w:rsidRDefault="00184BBC" w:rsidP="004D27C7">
      <w:pPr>
        <w:pStyle w:val="Prrafodelista"/>
        <w:numPr>
          <w:ilvl w:val="1"/>
          <w:numId w:val="4"/>
        </w:numPr>
        <w:spacing w:line="276" w:lineRule="auto"/>
        <w:ind w:left="851" w:right="616" w:firstLine="0"/>
        <w:contextualSpacing/>
        <w:jc w:val="both"/>
        <w:rPr>
          <w:rFonts w:ascii="Palatino Linotype" w:eastAsia="Batang" w:hAnsi="Palatino Linotype" w:cs="Tahoma"/>
          <w:b/>
          <w:bCs/>
          <w:i/>
          <w:lang w:val="es-ES"/>
        </w:rPr>
      </w:pPr>
      <w:r w:rsidRPr="00CA12D6">
        <w:rPr>
          <w:rFonts w:ascii="Palatino Linotype" w:hAnsi="Palatino Linotype"/>
          <w:i/>
        </w:rPr>
        <w:t>Acta extraordinaria (AER-2):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p>
    <w:p w14:paraId="1EEE5DC7" w14:textId="77777777" w:rsidR="006E07A1" w:rsidRPr="00CA12D6" w:rsidRDefault="006E07A1" w:rsidP="0023651A">
      <w:pPr>
        <w:pStyle w:val="Prrafodelista"/>
        <w:spacing w:line="276" w:lineRule="auto"/>
        <w:ind w:left="851" w:right="616"/>
        <w:contextualSpacing/>
        <w:jc w:val="both"/>
        <w:rPr>
          <w:rFonts w:ascii="Palatino Linotype" w:eastAsia="Batang" w:hAnsi="Palatino Linotype" w:cs="Tahoma"/>
          <w:b/>
          <w:bCs/>
          <w:i/>
          <w:lang w:val="es-ES"/>
        </w:rPr>
      </w:pPr>
    </w:p>
    <w:p w14:paraId="39906ED7" w14:textId="77777777" w:rsidR="00FB2B0C" w:rsidRPr="00CA12D6" w:rsidRDefault="004D27C7" w:rsidP="004D27C7">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b/>
          <w:i/>
          <w:sz w:val="22"/>
          <w:szCs w:val="22"/>
        </w:rPr>
        <w:t>XVIII. Entrega-recepción:</w:t>
      </w:r>
      <w:r w:rsidRPr="00CA12D6">
        <w:rPr>
          <w:rFonts w:ascii="Palatino Linotype" w:hAnsi="Palatino Linotype"/>
          <w:i/>
          <w:sz w:val="22"/>
          <w:szCs w:val="22"/>
        </w:rPr>
        <w:t xml:space="preserve"> Al procedimiento administrativo de interés público de cumplimiento obligatorio y formal, mediante el cual un servidor público obligado que concluye su función, hace entrega del despacho a su cargo al servidor público entrante con la información de carácter económica, financiera, patrimonial, presupuestal, programática y administrativa, así como con todos aquellos documentos e información vinculados a las atribuciones, funciones, facultades y actividades de la unidad administrativa;</w:t>
      </w:r>
    </w:p>
    <w:p w14:paraId="74F8F5E2" w14:textId="77777777" w:rsidR="004D27C7" w:rsidRPr="00CA12D6" w:rsidRDefault="004D27C7" w:rsidP="004D27C7">
      <w:pPr>
        <w:tabs>
          <w:tab w:val="left" w:pos="4962"/>
        </w:tabs>
        <w:spacing w:line="276" w:lineRule="auto"/>
        <w:ind w:left="851" w:right="616"/>
        <w:jc w:val="both"/>
        <w:rPr>
          <w:rFonts w:ascii="Palatino Linotype" w:eastAsia="Calibri" w:hAnsi="Palatino Linotype" w:cs="Tahoma"/>
          <w:b/>
          <w:i/>
          <w:iCs/>
          <w:sz w:val="22"/>
          <w:szCs w:val="22"/>
          <w:lang w:eastAsia="es-ES_tradnl"/>
        </w:rPr>
      </w:pPr>
    </w:p>
    <w:p w14:paraId="0DFDDFC2" w14:textId="77777777" w:rsidR="00037ACA" w:rsidRPr="00CA12D6" w:rsidRDefault="000171A6" w:rsidP="00FB2B0C">
      <w:pPr>
        <w:tabs>
          <w:tab w:val="left" w:pos="4962"/>
        </w:tabs>
        <w:spacing w:line="360" w:lineRule="auto"/>
        <w:jc w:val="both"/>
        <w:rPr>
          <w:rFonts w:ascii="Palatino Linotype" w:eastAsia="Calibri" w:hAnsi="Palatino Linotype" w:cs="Tahoma"/>
          <w:iCs/>
          <w:lang w:val="es-MX" w:eastAsia="es-ES_tradnl"/>
        </w:rPr>
      </w:pPr>
      <w:r w:rsidRPr="00CA12D6">
        <w:rPr>
          <w:rFonts w:ascii="Palatino Linotype" w:eastAsia="Calibri" w:hAnsi="Palatino Linotype" w:cs="Tahoma"/>
          <w:iCs/>
          <w:lang w:eastAsia="es-ES_tradnl"/>
        </w:rPr>
        <w:t>Asimismo</w:t>
      </w:r>
      <w:r w:rsidR="00FB2B0C" w:rsidRPr="00CA12D6">
        <w:rPr>
          <w:rFonts w:ascii="Palatino Linotype" w:eastAsia="Calibri" w:hAnsi="Palatino Linotype" w:cs="Tahoma"/>
          <w:iCs/>
          <w:lang w:val="x-none" w:eastAsia="es-ES_tradnl"/>
        </w:rPr>
        <w:t xml:space="preserve">, el </w:t>
      </w:r>
      <w:r w:rsidRPr="00CA12D6">
        <w:rPr>
          <w:rFonts w:ascii="Palatino Linotype" w:eastAsia="Calibri" w:hAnsi="Palatino Linotype" w:cs="Tahoma"/>
          <w:iCs/>
          <w:lang w:val="x-none" w:eastAsia="es-ES_tradnl"/>
        </w:rPr>
        <w:t xml:space="preserve">artículo 4˚ </w:t>
      </w:r>
      <w:r w:rsidR="00FB2B0C" w:rsidRPr="00CA12D6">
        <w:rPr>
          <w:rFonts w:ascii="Palatino Linotype" w:eastAsia="Calibri" w:hAnsi="Palatino Linotype" w:cs="Tahoma"/>
          <w:iCs/>
          <w:lang w:val="x-none" w:eastAsia="es-ES_tradnl"/>
        </w:rPr>
        <w:t xml:space="preserve">de los Lineamientos citados, establece que los servidores públicos entrantes y salientes de unidades administrativas, </w:t>
      </w:r>
      <w:r w:rsidR="00034FF2" w:rsidRPr="00CA12D6">
        <w:rPr>
          <w:rFonts w:ascii="Palatino Linotype" w:eastAsia="Calibri" w:hAnsi="Palatino Linotype" w:cs="Tahoma"/>
          <w:iCs/>
          <w:lang w:val="es-MX" w:eastAsia="es-ES_tradnl"/>
        </w:rPr>
        <w:t>de la Administración Pública Municipal que por la naturaleza e importancia de sus funciones deb</w:t>
      </w:r>
      <w:r w:rsidR="00E44949" w:rsidRPr="00CA12D6">
        <w:rPr>
          <w:rFonts w:ascii="Palatino Linotype" w:eastAsia="Calibri" w:hAnsi="Palatino Linotype" w:cs="Tahoma"/>
          <w:iCs/>
          <w:lang w:val="es-MX" w:eastAsia="es-ES_tradnl"/>
        </w:rPr>
        <w:t xml:space="preserve">en realizar el acto de entrega-recepción, y de manera enunciativa mas  no limitativa establece que atendiendo la estructura orgánica determinada  por el Ayuntamiento </w:t>
      </w:r>
      <w:r w:rsidR="00037ACA" w:rsidRPr="00CA12D6">
        <w:rPr>
          <w:rFonts w:ascii="Palatino Linotype" w:eastAsia="Calibri" w:hAnsi="Palatino Linotype" w:cs="Tahoma"/>
          <w:iCs/>
          <w:lang w:val="es-MX" w:eastAsia="es-ES_tradnl"/>
        </w:rPr>
        <w:t xml:space="preserve">quienes deben generar el procedimiento administrativo de acta de entrega-recepción, son los siguientes: </w:t>
      </w:r>
    </w:p>
    <w:p w14:paraId="5F7DC44E" w14:textId="77777777" w:rsidR="00037ACA" w:rsidRPr="00CA12D6" w:rsidRDefault="00037ACA" w:rsidP="00FB2B0C">
      <w:pPr>
        <w:tabs>
          <w:tab w:val="left" w:pos="4962"/>
        </w:tabs>
        <w:spacing w:line="360" w:lineRule="auto"/>
        <w:jc w:val="both"/>
        <w:rPr>
          <w:rFonts w:ascii="Palatino Linotype" w:eastAsia="Calibri" w:hAnsi="Palatino Linotype" w:cs="Tahoma"/>
          <w:iCs/>
          <w:lang w:val="es-MX" w:eastAsia="es-ES_tradnl"/>
        </w:rPr>
      </w:pPr>
    </w:p>
    <w:p w14:paraId="76E0D254"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b/>
          <w:i/>
          <w:sz w:val="22"/>
          <w:szCs w:val="22"/>
        </w:rPr>
        <w:t xml:space="preserve">I. </w:t>
      </w:r>
      <w:r w:rsidR="00037ACA" w:rsidRPr="00CA12D6">
        <w:rPr>
          <w:rFonts w:ascii="Palatino Linotype" w:hAnsi="Palatino Linotype"/>
          <w:b/>
          <w:i/>
          <w:sz w:val="22"/>
          <w:szCs w:val="22"/>
        </w:rPr>
        <w:t>En los Ayuntamientos</w:t>
      </w:r>
      <w:r w:rsidR="00037ACA" w:rsidRPr="00CA12D6">
        <w:rPr>
          <w:rFonts w:ascii="Palatino Linotype" w:hAnsi="Palatino Linotype"/>
          <w:i/>
          <w:sz w:val="22"/>
          <w:szCs w:val="22"/>
        </w:rPr>
        <w:t xml:space="preserve">: </w:t>
      </w:r>
    </w:p>
    <w:p w14:paraId="29F1D33C" w14:textId="77777777" w:rsidR="004E5359" w:rsidRPr="00CA12D6" w:rsidRDefault="00037ACA"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a. Presidencia Municipal; </w:t>
      </w:r>
    </w:p>
    <w:p w14:paraId="3D415BDF" w14:textId="77777777" w:rsidR="004E5359" w:rsidRPr="00CA12D6" w:rsidRDefault="00037ACA"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b. Sindicatura, y </w:t>
      </w:r>
    </w:p>
    <w:p w14:paraId="0F6E40E6" w14:textId="77777777" w:rsidR="00FB2B0C" w:rsidRPr="00CA12D6" w:rsidRDefault="00037ACA" w:rsidP="008D0DA2">
      <w:pPr>
        <w:tabs>
          <w:tab w:val="left" w:pos="4962"/>
        </w:tabs>
        <w:spacing w:line="360" w:lineRule="auto"/>
        <w:ind w:left="851" w:right="616"/>
        <w:jc w:val="both"/>
        <w:rPr>
          <w:rFonts w:ascii="Palatino Linotype" w:eastAsia="Calibri" w:hAnsi="Palatino Linotype" w:cs="Tahoma"/>
          <w:i/>
          <w:iCs/>
          <w:sz w:val="22"/>
          <w:szCs w:val="22"/>
          <w:lang w:val="x-none" w:eastAsia="es-ES_tradnl"/>
        </w:rPr>
      </w:pPr>
      <w:r w:rsidRPr="00CA12D6">
        <w:rPr>
          <w:rFonts w:ascii="Palatino Linotype" w:hAnsi="Palatino Linotype"/>
          <w:i/>
          <w:sz w:val="22"/>
          <w:szCs w:val="22"/>
        </w:rPr>
        <w:lastRenderedPageBreak/>
        <w:t>c. Regidurías,</w:t>
      </w:r>
      <w:r w:rsidR="00FB2B0C" w:rsidRPr="00CA12D6">
        <w:rPr>
          <w:rFonts w:ascii="Palatino Linotype" w:eastAsia="Calibri" w:hAnsi="Palatino Linotype" w:cs="Tahoma"/>
          <w:i/>
          <w:iCs/>
          <w:sz w:val="22"/>
          <w:szCs w:val="22"/>
          <w:lang w:val="x-none" w:eastAsia="es-ES_tradnl"/>
        </w:rPr>
        <w:t xml:space="preserve"> </w:t>
      </w:r>
    </w:p>
    <w:p w14:paraId="13BC6497" w14:textId="77777777" w:rsidR="00ED12B7" w:rsidRPr="00CA12D6" w:rsidRDefault="00ED12B7" w:rsidP="008D0DA2">
      <w:pPr>
        <w:tabs>
          <w:tab w:val="left" w:pos="4962"/>
        </w:tabs>
        <w:spacing w:line="360" w:lineRule="auto"/>
        <w:ind w:left="851" w:right="616"/>
        <w:jc w:val="both"/>
        <w:rPr>
          <w:rFonts w:ascii="Palatino Linotype" w:eastAsia="Calibri" w:hAnsi="Palatino Linotype" w:cs="Tahoma"/>
          <w:i/>
          <w:iCs/>
          <w:sz w:val="22"/>
          <w:szCs w:val="22"/>
          <w:lang w:val="x-none" w:eastAsia="es-ES_tradnl"/>
        </w:rPr>
      </w:pPr>
    </w:p>
    <w:p w14:paraId="3D6BAEB3"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b/>
          <w:i/>
          <w:sz w:val="22"/>
          <w:szCs w:val="22"/>
        </w:rPr>
        <w:t>II. En las dependencias</w:t>
      </w:r>
      <w:r w:rsidRPr="00CA12D6">
        <w:rPr>
          <w:rFonts w:ascii="Palatino Linotype" w:hAnsi="Palatino Linotype"/>
          <w:i/>
          <w:sz w:val="22"/>
          <w:szCs w:val="22"/>
        </w:rPr>
        <w:t xml:space="preserve">: </w:t>
      </w:r>
    </w:p>
    <w:p w14:paraId="6719EB8E"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a. Secretaría del Ayuntamiento; </w:t>
      </w:r>
    </w:p>
    <w:p w14:paraId="686EA151"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b. Tesorería Municipal o su equivalente; </w:t>
      </w:r>
    </w:p>
    <w:p w14:paraId="772F8E7E"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c. Dirección de Obras Públicas o su equivalente; </w:t>
      </w:r>
    </w:p>
    <w:p w14:paraId="767A7174"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d. Dirección de Desarrollo Económico o su equivalente; </w:t>
      </w:r>
    </w:p>
    <w:p w14:paraId="525F6EBE"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e. Dirección de Desarrollo Urbano o su equivalente; </w:t>
      </w:r>
    </w:p>
    <w:p w14:paraId="322855C0"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f. Dirección de Ecología o su equivalente; </w:t>
      </w:r>
    </w:p>
    <w:p w14:paraId="506E81B6"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g. Dirección de Desarrollo Social o su equivalente; </w:t>
      </w:r>
    </w:p>
    <w:p w14:paraId="3A731097"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h. Dirección Municipal de Protección Civil o su equivalente; </w:t>
      </w:r>
    </w:p>
    <w:p w14:paraId="6B5032CA"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i. Dirección de Asuntos Indígenas o su equivalente; </w:t>
      </w:r>
    </w:p>
    <w:p w14:paraId="7EB96996"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j. Defensoría de Derechos Humanos o su equivalente; </w:t>
      </w:r>
    </w:p>
    <w:p w14:paraId="2A14A996"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k. Oficialía Conciliadora, Mediadora y Calificadora o su equivalente; </w:t>
      </w:r>
    </w:p>
    <w:p w14:paraId="75BAB056"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l. Dirección de Seguridad Pública Municipal o su equivalente; </w:t>
      </w:r>
    </w:p>
    <w:p w14:paraId="160BD313"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m. Mejora Regulatoria o su equivalente; </w:t>
      </w:r>
    </w:p>
    <w:p w14:paraId="5EAD2EE1"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n. Administración o su equivalente; </w:t>
      </w:r>
    </w:p>
    <w:p w14:paraId="34EC69AC"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o. Catastro o su equivalente; </w:t>
      </w:r>
    </w:p>
    <w:p w14:paraId="6C9EAF98"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p. Gobierno o su equivalente; </w:t>
      </w:r>
    </w:p>
    <w:p w14:paraId="1EC33855"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q. Servicios Públicos o su equivalente; </w:t>
      </w:r>
    </w:p>
    <w:p w14:paraId="4254CDC0"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r. Órgano Interno de Control o su equivalente; </w:t>
      </w:r>
    </w:p>
    <w:p w14:paraId="4A66136B" w14:textId="77777777" w:rsidR="00E94511"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s. Unidad de Transparencia y Acceso a la Información, y </w:t>
      </w:r>
    </w:p>
    <w:p w14:paraId="4903D373" w14:textId="77777777" w:rsidR="004E5359" w:rsidRPr="00CA12D6" w:rsidRDefault="004E5359"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t. Unidad de Información, Planeación, Programación y Evaluación (UIPPE) o su equivalente.</w:t>
      </w:r>
    </w:p>
    <w:p w14:paraId="32D3CBFA" w14:textId="77777777" w:rsidR="00ED12B7" w:rsidRPr="00CA12D6" w:rsidRDefault="00ED12B7" w:rsidP="008D0DA2">
      <w:pPr>
        <w:tabs>
          <w:tab w:val="left" w:pos="4962"/>
        </w:tabs>
        <w:spacing w:line="360" w:lineRule="auto"/>
        <w:ind w:left="851" w:right="616"/>
        <w:jc w:val="both"/>
        <w:rPr>
          <w:rFonts w:ascii="Palatino Linotype" w:eastAsia="Calibri" w:hAnsi="Palatino Linotype" w:cs="Tahoma"/>
          <w:i/>
          <w:iCs/>
          <w:sz w:val="22"/>
          <w:szCs w:val="22"/>
          <w:lang w:val="x-none" w:eastAsia="es-ES_tradnl"/>
        </w:rPr>
      </w:pPr>
    </w:p>
    <w:p w14:paraId="02451090" w14:textId="77777777" w:rsidR="00E94511" w:rsidRPr="00CA12D6" w:rsidRDefault="00E94511" w:rsidP="008D0DA2">
      <w:pPr>
        <w:tabs>
          <w:tab w:val="left" w:pos="4962"/>
        </w:tabs>
        <w:spacing w:line="360" w:lineRule="auto"/>
        <w:ind w:left="851" w:right="616"/>
        <w:jc w:val="both"/>
        <w:rPr>
          <w:rFonts w:ascii="Palatino Linotype" w:hAnsi="Palatino Linotype"/>
          <w:b/>
          <w:i/>
          <w:sz w:val="22"/>
          <w:szCs w:val="22"/>
        </w:rPr>
      </w:pPr>
      <w:r w:rsidRPr="00CA12D6">
        <w:rPr>
          <w:rFonts w:ascii="Palatino Linotype" w:hAnsi="Palatino Linotype"/>
          <w:b/>
          <w:i/>
          <w:sz w:val="22"/>
          <w:szCs w:val="22"/>
        </w:rPr>
        <w:t xml:space="preserve">III. En los Organismos Públicos Descentralizados y sus unidades administrativas: </w:t>
      </w:r>
    </w:p>
    <w:p w14:paraId="2E991684" w14:textId="77777777" w:rsidR="00E94511" w:rsidRPr="00CA12D6" w:rsidRDefault="00E94511"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lastRenderedPageBreak/>
        <w:t xml:space="preserve">a. Sistema Municipal para el Desarrollo Integral de la Familia; </w:t>
      </w:r>
    </w:p>
    <w:p w14:paraId="42019441" w14:textId="77777777" w:rsidR="00E94511" w:rsidRPr="00CA12D6" w:rsidRDefault="00E94511"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b. Organismo Operador de Agua; </w:t>
      </w:r>
    </w:p>
    <w:p w14:paraId="51A16B56" w14:textId="77777777" w:rsidR="00E94511" w:rsidRPr="00CA12D6" w:rsidRDefault="00E94511"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c. Organismo de Carácter Municipal para el Mantenimiento de Vialidades; </w:t>
      </w:r>
    </w:p>
    <w:p w14:paraId="389FA765" w14:textId="77777777" w:rsidR="00E94511" w:rsidRPr="00CA12D6" w:rsidRDefault="00E94511"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d. Instituto Municipal de Cultura Física y Deporte; </w:t>
      </w:r>
    </w:p>
    <w:p w14:paraId="5FE5AFC5" w14:textId="77777777" w:rsidR="00E94511" w:rsidRPr="00CA12D6" w:rsidRDefault="00E94511" w:rsidP="008D0DA2">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e. Instituto Municipal de la Juventud, y </w:t>
      </w:r>
    </w:p>
    <w:p w14:paraId="09950FDB" w14:textId="77777777" w:rsidR="000171A6" w:rsidRPr="00CA12D6" w:rsidRDefault="00E94511" w:rsidP="008D0DA2">
      <w:pPr>
        <w:tabs>
          <w:tab w:val="left" w:pos="4962"/>
        </w:tabs>
        <w:spacing w:line="360" w:lineRule="auto"/>
        <w:ind w:left="851" w:right="616"/>
        <w:jc w:val="both"/>
        <w:rPr>
          <w:rFonts w:ascii="Palatino Linotype" w:eastAsia="Calibri" w:hAnsi="Palatino Linotype" w:cs="Tahoma"/>
          <w:i/>
          <w:iCs/>
          <w:sz w:val="22"/>
          <w:szCs w:val="22"/>
          <w:lang w:val="es-MX" w:eastAsia="es-ES_tradnl"/>
        </w:rPr>
      </w:pPr>
      <w:r w:rsidRPr="00CA12D6">
        <w:rPr>
          <w:rFonts w:ascii="Palatino Linotype" w:hAnsi="Palatino Linotype"/>
          <w:i/>
          <w:sz w:val="22"/>
          <w:szCs w:val="22"/>
        </w:rPr>
        <w:t>f. Instituto Municipal de la Mujer.</w:t>
      </w:r>
    </w:p>
    <w:p w14:paraId="368DFEA1" w14:textId="77777777" w:rsidR="00FB2B0C" w:rsidRPr="00CA12D6" w:rsidRDefault="00FB2B0C" w:rsidP="00FB2B0C">
      <w:pPr>
        <w:tabs>
          <w:tab w:val="left" w:pos="4962"/>
        </w:tabs>
        <w:spacing w:line="360" w:lineRule="auto"/>
        <w:jc w:val="both"/>
        <w:rPr>
          <w:rFonts w:ascii="Palatino Linotype" w:eastAsia="Calibri" w:hAnsi="Palatino Linotype" w:cs="Tahoma"/>
          <w:b/>
          <w:i/>
          <w:iCs/>
          <w:sz w:val="22"/>
          <w:szCs w:val="22"/>
          <w:lang w:eastAsia="es-ES_tradnl"/>
        </w:rPr>
      </w:pPr>
    </w:p>
    <w:p w14:paraId="006E3791" w14:textId="77777777" w:rsidR="00123C7B" w:rsidRPr="00CA12D6" w:rsidRDefault="00B32073" w:rsidP="00FA3438">
      <w:pPr>
        <w:tabs>
          <w:tab w:val="left" w:pos="4962"/>
        </w:tabs>
        <w:spacing w:line="360" w:lineRule="auto"/>
        <w:jc w:val="both"/>
        <w:rPr>
          <w:rFonts w:ascii="Palatino Linotype" w:eastAsia="Calibri" w:hAnsi="Palatino Linotype" w:cs="Tahoma"/>
          <w:iCs/>
          <w:sz w:val="22"/>
          <w:szCs w:val="22"/>
          <w:lang w:eastAsia="es-ES_tradnl"/>
        </w:rPr>
      </w:pPr>
      <w:r w:rsidRPr="00CA12D6">
        <w:rPr>
          <w:rFonts w:ascii="Palatino Linotype" w:eastAsia="Calibri" w:hAnsi="Palatino Linotype" w:cs="Tahoma"/>
          <w:iCs/>
          <w:lang w:eastAsia="es-ES_tradnl"/>
        </w:rPr>
        <w:t>En ese orden de ideas, el art</w:t>
      </w:r>
      <w:proofErr w:type="spellStart"/>
      <w:r w:rsidRPr="00CA12D6">
        <w:rPr>
          <w:rFonts w:ascii="Palatino Linotype" w:eastAsia="Calibri" w:hAnsi="Palatino Linotype" w:cs="Tahoma"/>
          <w:iCs/>
          <w:lang w:val="x-none" w:eastAsia="es-ES_tradnl"/>
        </w:rPr>
        <w:t>ículo</w:t>
      </w:r>
      <w:proofErr w:type="spellEnd"/>
      <w:r w:rsidRPr="00CA12D6">
        <w:rPr>
          <w:rFonts w:ascii="Palatino Linotype" w:eastAsia="Calibri" w:hAnsi="Palatino Linotype" w:cs="Tahoma"/>
          <w:iCs/>
          <w:lang w:val="x-none" w:eastAsia="es-ES_tradnl"/>
        </w:rPr>
        <w:t xml:space="preserve"> 13, de </w:t>
      </w:r>
      <w:r w:rsidRPr="00CA12D6">
        <w:rPr>
          <w:rFonts w:ascii="Palatino Linotype" w:eastAsia="Batang" w:hAnsi="Palatino Linotype" w:cs="Tahoma"/>
          <w:bCs/>
          <w:lang w:val="x-none"/>
        </w:rPr>
        <w:t xml:space="preserve">los </w:t>
      </w:r>
      <w:r w:rsidRPr="00CA12D6">
        <w:rPr>
          <w:rFonts w:ascii="Palatino Linotype" w:eastAsia="Batang" w:hAnsi="Palatino Linotype" w:cs="Tahoma"/>
          <w:bCs/>
        </w:rPr>
        <w:t>Lineamientos que Regulan la Entrega-Recepción de la Administración Pública Municipal del Estado de México</w:t>
      </w:r>
      <w:r w:rsidR="00A50FCE" w:rsidRPr="00CA12D6">
        <w:rPr>
          <w:rFonts w:ascii="Palatino Linotype" w:eastAsia="Batang" w:hAnsi="Palatino Linotype" w:cs="Tahoma"/>
          <w:bCs/>
        </w:rPr>
        <w:t xml:space="preserve"> y de </w:t>
      </w:r>
      <w:r w:rsidR="00123C7B" w:rsidRPr="00CA12D6">
        <w:rPr>
          <w:rFonts w:ascii="Palatino Linotype" w:eastAsia="Batang" w:hAnsi="Palatino Linotype" w:cs="Tahoma"/>
          <w:bCs/>
        </w:rPr>
        <w:t>los Lineamientos que Norman la Entrega-Recepción de los Ayuntamientos, sus Dependencias y Organismos Descentralizados Municipales del Estado de México, precisan que el procedimiento administrativo de entrega-rece</w:t>
      </w:r>
      <w:proofErr w:type="spellStart"/>
      <w:r w:rsidR="00123C7B" w:rsidRPr="00CA12D6">
        <w:rPr>
          <w:rFonts w:ascii="Palatino Linotype" w:eastAsia="Batang" w:hAnsi="Palatino Linotype" w:cs="Tahoma"/>
          <w:bCs/>
          <w:lang w:val="x-none"/>
        </w:rPr>
        <w:t>pción</w:t>
      </w:r>
      <w:proofErr w:type="spellEnd"/>
      <w:r w:rsidR="00123C7B" w:rsidRPr="00CA12D6">
        <w:rPr>
          <w:rFonts w:ascii="Palatino Linotype" w:eastAsia="Batang" w:hAnsi="Palatino Linotype" w:cs="Tahoma"/>
          <w:bCs/>
          <w:lang w:val="x-none"/>
        </w:rPr>
        <w:t>, se realizará cuando el servidor público culmine con el periodo constitucional municipal, o cuando se ausente o separe del empleo, cargo o comisión</w:t>
      </w:r>
      <w:r w:rsidR="00123C7B" w:rsidRPr="00CA12D6">
        <w:rPr>
          <w:rFonts w:ascii="Palatino Linotype" w:eastAsia="Batang" w:hAnsi="Palatino Linotype" w:cs="Tahoma"/>
          <w:bCs/>
          <w:sz w:val="22"/>
          <w:szCs w:val="22"/>
          <w:lang w:val="x-none"/>
        </w:rPr>
        <w:t>.</w:t>
      </w:r>
    </w:p>
    <w:p w14:paraId="1F565752" w14:textId="77777777" w:rsidR="00FE66FB" w:rsidRPr="00CA12D6" w:rsidRDefault="00FE66FB" w:rsidP="001F03DE">
      <w:pPr>
        <w:tabs>
          <w:tab w:val="left" w:pos="4962"/>
        </w:tabs>
        <w:spacing w:line="360" w:lineRule="auto"/>
        <w:jc w:val="both"/>
        <w:rPr>
          <w:rFonts w:ascii="Palatino Linotype" w:eastAsia="Calibri" w:hAnsi="Palatino Linotype" w:cs="Tahoma"/>
          <w:iCs/>
          <w:lang w:eastAsia="es-ES_tradnl"/>
        </w:rPr>
      </w:pPr>
    </w:p>
    <w:p w14:paraId="4E60AD9F" w14:textId="77777777" w:rsidR="00A46F2E" w:rsidRPr="00CA12D6" w:rsidRDefault="00FB2B0C" w:rsidP="001F03DE">
      <w:pPr>
        <w:tabs>
          <w:tab w:val="left" w:pos="4962"/>
        </w:tabs>
        <w:spacing w:line="360" w:lineRule="auto"/>
        <w:jc w:val="both"/>
        <w:rPr>
          <w:rFonts w:ascii="Palatino Linotype" w:eastAsia="Calibri" w:hAnsi="Palatino Linotype" w:cs="Tahoma"/>
          <w:iCs/>
          <w:lang w:val="es-MX" w:eastAsia="es-ES_tradnl"/>
        </w:rPr>
      </w:pPr>
      <w:r w:rsidRPr="00CA12D6">
        <w:rPr>
          <w:rFonts w:ascii="Palatino Linotype" w:eastAsia="Calibri" w:hAnsi="Palatino Linotype" w:cs="Tahoma"/>
          <w:iCs/>
          <w:lang w:eastAsia="es-ES_tradnl"/>
        </w:rPr>
        <w:t>Ahora bien, el art</w:t>
      </w:r>
      <w:proofErr w:type="spellStart"/>
      <w:r w:rsidR="001F03DE" w:rsidRPr="00CA12D6">
        <w:rPr>
          <w:rFonts w:ascii="Palatino Linotype" w:eastAsia="Calibri" w:hAnsi="Palatino Linotype" w:cs="Tahoma"/>
          <w:iCs/>
          <w:lang w:val="x-none" w:eastAsia="es-ES_tradnl"/>
        </w:rPr>
        <w:t>ículo</w:t>
      </w:r>
      <w:proofErr w:type="spellEnd"/>
      <w:r w:rsidR="001F03DE" w:rsidRPr="00CA12D6">
        <w:rPr>
          <w:rFonts w:ascii="Palatino Linotype" w:eastAsia="Calibri" w:hAnsi="Palatino Linotype" w:cs="Tahoma"/>
          <w:iCs/>
          <w:lang w:val="x-none" w:eastAsia="es-ES_tradnl"/>
        </w:rPr>
        <w:t xml:space="preserve"> </w:t>
      </w:r>
      <w:r w:rsidR="001F03DE" w:rsidRPr="00CA12D6">
        <w:rPr>
          <w:rFonts w:ascii="Palatino Linotype" w:eastAsia="Calibri" w:hAnsi="Palatino Linotype" w:cs="Tahoma"/>
          <w:iCs/>
          <w:lang w:val="es-MX" w:eastAsia="es-ES_tradnl"/>
        </w:rPr>
        <w:t>21</w:t>
      </w:r>
      <w:r w:rsidRPr="00CA12D6">
        <w:rPr>
          <w:rFonts w:ascii="Palatino Linotype" w:eastAsia="Calibri" w:hAnsi="Palatino Linotype" w:cs="Tahoma"/>
          <w:iCs/>
          <w:lang w:val="x-none" w:eastAsia="es-ES_tradnl"/>
        </w:rPr>
        <w:t xml:space="preserve"> del Bando Municipal de </w:t>
      </w:r>
      <w:r w:rsidR="00A46F2E" w:rsidRPr="00CA12D6">
        <w:rPr>
          <w:rFonts w:ascii="Palatino Linotype" w:eastAsia="Calibri" w:hAnsi="Palatino Linotype" w:cs="Tahoma"/>
          <w:iCs/>
          <w:lang w:val="es-MX" w:eastAsia="es-ES_tradnl"/>
        </w:rPr>
        <w:t>Zinacantepec</w:t>
      </w:r>
      <w:r w:rsidRPr="00CA12D6">
        <w:rPr>
          <w:rFonts w:ascii="Palatino Linotype" w:eastAsia="Calibri" w:hAnsi="Palatino Linotype" w:cs="Tahoma"/>
          <w:iCs/>
          <w:lang w:val="x-none" w:eastAsia="es-ES_tradnl"/>
        </w:rPr>
        <w:t xml:space="preserve"> de dos mil veintid</w:t>
      </w:r>
      <w:r w:rsidRPr="00CA12D6">
        <w:rPr>
          <w:rFonts w:ascii="Palatino Linotype" w:eastAsia="Calibri" w:hAnsi="Palatino Linotype" w:cs="Tahoma"/>
          <w:iCs/>
          <w:lang w:val="es-MX" w:eastAsia="es-ES_tradnl"/>
        </w:rPr>
        <w:t>ós</w:t>
      </w:r>
      <w:r w:rsidRPr="00CA12D6">
        <w:rPr>
          <w:rFonts w:ascii="Palatino Linotype" w:eastAsia="Calibri" w:hAnsi="Palatino Linotype" w:cs="Tahoma"/>
          <w:iCs/>
          <w:lang w:val="x-none" w:eastAsia="es-ES_tradnl"/>
        </w:rPr>
        <w:t>, establece</w:t>
      </w:r>
      <w:r w:rsidR="00A46F2E" w:rsidRPr="00CA12D6">
        <w:rPr>
          <w:rFonts w:ascii="Palatino Linotype" w:eastAsia="Calibri" w:hAnsi="Palatino Linotype" w:cs="Tahoma"/>
          <w:iCs/>
          <w:lang w:val="es-MX" w:eastAsia="es-ES_tradnl"/>
        </w:rPr>
        <w:t xml:space="preserve">: </w:t>
      </w:r>
    </w:p>
    <w:p w14:paraId="6DF18104" w14:textId="77777777" w:rsidR="00A46F2E" w:rsidRPr="00CA12D6" w:rsidRDefault="00A46F2E" w:rsidP="001F03DE">
      <w:pPr>
        <w:tabs>
          <w:tab w:val="left" w:pos="4962"/>
        </w:tabs>
        <w:spacing w:line="360" w:lineRule="auto"/>
        <w:jc w:val="both"/>
        <w:rPr>
          <w:rFonts w:ascii="Palatino Linotype" w:eastAsia="Calibri" w:hAnsi="Palatino Linotype" w:cs="Tahoma"/>
          <w:iCs/>
          <w:lang w:val="es-MX" w:eastAsia="es-ES_tradnl"/>
        </w:rPr>
      </w:pPr>
      <w:r w:rsidRPr="00CA12D6">
        <w:rPr>
          <w:rFonts w:ascii="Palatino Linotype" w:eastAsia="Calibri" w:hAnsi="Palatino Linotype" w:cs="Tahoma"/>
          <w:iCs/>
          <w:noProof/>
          <w:lang w:val="es-MX" w:eastAsia="es-MX"/>
        </w:rPr>
        <w:lastRenderedPageBreak/>
        <w:drawing>
          <wp:inline distT="0" distB="0" distL="0" distR="0" wp14:anchorId="4BEBB550" wp14:editId="2C979368">
            <wp:extent cx="5612130" cy="5833110"/>
            <wp:effectExtent l="19050" t="19050" r="2667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833110"/>
                    </a:xfrm>
                    <a:prstGeom prst="rect">
                      <a:avLst/>
                    </a:prstGeom>
                    <a:ln w="12700">
                      <a:solidFill>
                        <a:schemeClr val="tx1"/>
                      </a:solidFill>
                    </a:ln>
                  </pic:spPr>
                </pic:pic>
              </a:graphicData>
            </a:graphic>
          </wp:inline>
        </w:drawing>
      </w:r>
    </w:p>
    <w:p w14:paraId="64EF6D4A" w14:textId="77777777" w:rsidR="00A46F2E" w:rsidRPr="00CA12D6" w:rsidRDefault="00FB2B0C" w:rsidP="001F03DE">
      <w:pPr>
        <w:tabs>
          <w:tab w:val="left" w:pos="4962"/>
        </w:tabs>
        <w:spacing w:line="360" w:lineRule="auto"/>
        <w:jc w:val="both"/>
        <w:rPr>
          <w:rFonts w:ascii="Palatino Linotype" w:eastAsia="Calibri" w:hAnsi="Palatino Linotype" w:cs="Tahoma"/>
          <w:iCs/>
          <w:lang w:val="x-none" w:eastAsia="es-ES_tradnl"/>
        </w:rPr>
      </w:pPr>
      <w:r w:rsidRPr="00CA12D6">
        <w:rPr>
          <w:rFonts w:ascii="Palatino Linotype" w:eastAsia="Calibri" w:hAnsi="Palatino Linotype" w:cs="Tahoma"/>
          <w:iCs/>
          <w:lang w:val="x-none" w:eastAsia="es-ES_tradnl"/>
        </w:rPr>
        <w:t xml:space="preserve"> </w:t>
      </w:r>
    </w:p>
    <w:p w14:paraId="50408D05" w14:textId="77777777" w:rsidR="00A46F2E" w:rsidRPr="00CA12D6" w:rsidRDefault="00A46F2E" w:rsidP="001F03DE">
      <w:pPr>
        <w:tabs>
          <w:tab w:val="left" w:pos="4962"/>
        </w:tabs>
        <w:spacing w:line="360" w:lineRule="auto"/>
        <w:jc w:val="both"/>
        <w:rPr>
          <w:rFonts w:ascii="Palatino Linotype" w:eastAsia="Calibri" w:hAnsi="Palatino Linotype" w:cs="Tahoma"/>
          <w:iCs/>
          <w:lang w:val="x-none" w:eastAsia="es-ES_tradnl"/>
        </w:rPr>
      </w:pPr>
    </w:p>
    <w:p w14:paraId="576ECA30" w14:textId="77777777" w:rsidR="00A46F2E" w:rsidRPr="00CA12D6" w:rsidRDefault="00072B8F" w:rsidP="001F03DE">
      <w:pPr>
        <w:tabs>
          <w:tab w:val="left" w:pos="4962"/>
        </w:tabs>
        <w:spacing w:line="360" w:lineRule="auto"/>
        <w:jc w:val="both"/>
        <w:rPr>
          <w:rFonts w:ascii="Palatino Linotype" w:eastAsia="Calibri" w:hAnsi="Palatino Linotype" w:cs="Tahoma"/>
          <w:iCs/>
          <w:lang w:val="x-none" w:eastAsia="es-ES_tradnl"/>
        </w:rPr>
      </w:pPr>
      <w:r w:rsidRPr="00CA12D6">
        <w:rPr>
          <w:rFonts w:ascii="Palatino Linotype" w:eastAsia="Calibri" w:hAnsi="Palatino Linotype" w:cs="Tahoma"/>
          <w:iCs/>
          <w:noProof/>
          <w:lang w:val="es-MX" w:eastAsia="es-MX"/>
        </w:rPr>
        <w:lastRenderedPageBreak/>
        <w:drawing>
          <wp:inline distT="0" distB="0" distL="0" distR="0" wp14:anchorId="4DFED259" wp14:editId="43D88ACE">
            <wp:extent cx="5612130" cy="4496435"/>
            <wp:effectExtent l="19050" t="19050" r="26670"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496435"/>
                    </a:xfrm>
                    <a:prstGeom prst="rect">
                      <a:avLst/>
                    </a:prstGeom>
                    <a:ln w="12700">
                      <a:solidFill>
                        <a:schemeClr val="tx1"/>
                      </a:solidFill>
                    </a:ln>
                  </pic:spPr>
                </pic:pic>
              </a:graphicData>
            </a:graphic>
          </wp:inline>
        </w:drawing>
      </w:r>
    </w:p>
    <w:p w14:paraId="504F7751" w14:textId="77777777" w:rsidR="00A46F2E" w:rsidRPr="00CA12D6" w:rsidRDefault="00A46F2E" w:rsidP="001F03DE">
      <w:pPr>
        <w:tabs>
          <w:tab w:val="left" w:pos="4962"/>
        </w:tabs>
        <w:spacing w:line="360" w:lineRule="auto"/>
        <w:jc w:val="both"/>
        <w:rPr>
          <w:rFonts w:ascii="Palatino Linotype" w:eastAsia="Calibri" w:hAnsi="Palatino Linotype" w:cs="Tahoma"/>
          <w:iCs/>
          <w:lang w:val="x-none" w:eastAsia="es-ES_tradnl"/>
        </w:rPr>
      </w:pPr>
    </w:p>
    <w:p w14:paraId="13A13D23" w14:textId="77777777" w:rsidR="00FB2B0C" w:rsidRPr="00CA12D6" w:rsidRDefault="00072B8F" w:rsidP="001F03DE">
      <w:pPr>
        <w:tabs>
          <w:tab w:val="left" w:pos="4962"/>
        </w:tabs>
        <w:spacing w:line="360" w:lineRule="auto"/>
        <w:jc w:val="both"/>
        <w:rPr>
          <w:rFonts w:ascii="Palatino Linotype" w:eastAsia="Calibri" w:hAnsi="Palatino Linotype" w:cs="Tahoma"/>
          <w:iCs/>
          <w:lang w:val="x-none" w:eastAsia="es-ES_tradnl"/>
        </w:rPr>
      </w:pPr>
      <w:r w:rsidRPr="00CA12D6">
        <w:rPr>
          <w:rFonts w:ascii="Palatino Linotype" w:eastAsia="Calibri" w:hAnsi="Palatino Linotype" w:cs="Tahoma"/>
          <w:iCs/>
          <w:lang w:val="es-MX" w:eastAsia="es-ES_tradnl"/>
        </w:rPr>
        <w:t xml:space="preserve">En este sentido, de </w:t>
      </w:r>
      <w:r w:rsidR="00141FBA" w:rsidRPr="00CA12D6">
        <w:rPr>
          <w:rFonts w:ascii="Palatino Linotype" w:eastAsia="Calibri" w:hAnsi="Palatino Linotype" w:cs="Tahoma"/>
          <w:iCs/>
          <w:lang w:val="es-MX" w:eastAsia="es-ES_tradnl"/>
        </w:rPr>
        <w:t xml:space="preserve">la normatividad citada se advierte </w:t>
      </w:r>
      <w:proofErr w:type="gramStart"/>
      <w:r w:rsidR="00141FBA" w:rsidRPr="00CA12D6">
        <w:rPr>
          <w:rFonts w:ascii="Palatino Linotype" w:eastAsia="Calibri" w:hAnsi="Palatino Linotype" w:cs="Tahoma"/>
          <w:iCs/>
          <w:lang w:val="es-MX" w:eastAsia="es-ES_tradnl"/>
        </w:rPr>
        <w:t xml:space="preserve">que </w:t>
      </w:r>
      <w:r w:rsidR="00FB2B0C" w:rsidRPr="00CA12D6">
        <w:rPr>
          <w:rFonts w:ascii="Palatino Linotype" w:eastAsia="Calibri" w:hAnsi="Palatino Linotype" w:cs="Tahoma"/>
          <w:iCs/>
          <w:lang w:val="x-none" w:eastAsia="es-ES_tradnl"/>
        </w:rPr>
        <w:t xml:space="preserve"> el</w:t>
      </w:r>
      <w:proofErr w:type="gramEnd"/>
      <w:r w:rsidR="00FB2B0C" w:rsidRPr="00CA12D6">
        <w:rPr>
          <w:rFonts w:ascii="Palatino Linotype" w:eastAsia="Calibri" w:hAnsi="Palatino Linotype" w:cs="Tahoma"/>
          <w:iCs/>
          <w:lang w:val="x-none" w:eastAsia="es-ES_tradnl"/>
        </w:rPr>
        <w:t xml:space="preserve"> Sujeto Obligado cuenta con diversas unidades administrativas</w:t>
      </w:r>
      <w:r w:rsidR="00141FBA" w:rsidRPr="00CA12D6">
        <w:rPr>
          <w:rFonts w:ascii="Palatino Linotype" w:eastAsia="Calibri" w:hAnsi="Palatino Linotype" w:cs="Tahoma"/>
          <w:iCs/>
          <w:lang w:val="es-MX" w:eastAsia="es-ES_tradnl"/>
        </w:rPr>
        <w:t xml:space="preserve">, dependencias administrativas, organismos descentralizaos, organismos desconcentrados y un organismo autónomo. </w:t>
      </w:r>
      <w:r w:rsidR="00FB2B0C" w:rsidRPr="00CA12D6">
        <w:rPr>
          <w:rFonts w:ascii="Palatino Linotype" w:eastAsia="Calibri" w:hAnsi="Palatino Linotype" w:cs="Tahoma"/>
          <w:iCs/>
          <w:lang w:val="x-none" w:eastAsia="es-ES_tradnl"/>
        </w:rPr>
        <w:t xml:space="preserve"> </w:t>
      </w:r>
    </w:p>
    <w:p w14:paraId="2BB331F8" w14:textId="77777777" w:rsidR="00141FBA" w:rsidRPr="00CA12D6" w:rsidRDefault="00141FBA" w:rsidP="001F03DE">
      <w:pPr>
        <w:tabs>
          <w:tab w:val="left" w:pos="4962"/>
        </w:tabs>
        <w:spacing w:line="360" w:lineRule="auto"/>
        <w:jc w:val="both"/>
        <w:rPr>
          <w:rFonts w:ascii="Palatino Linotype" w:eastAsia="Calibri" w:hAnsi="Palatino Linotype" w:cs="Tahoma"/>
          <w:iCs/>
          <w:sz w:val="22"/>
          <w:lang w:eastAsia="es-ES_tradnl"/>
        </w:rPr>
      </w:pPr>
    </w:p>
    <w:p w14:paraId="1490D129" w14:textId="77777777" w:rsidR="000B44EA" w:rsidRPr="00CA12D6" w:rsidRDefault="000B44EA" w:rsidP="000B44EA">
      <w:pPr>
        <w:tabs>
          <w:tab w:val="left" w:pos="4962"/>
        </w:tabs>
        <w:spacing w:line="360" w:lineRule="auto"/>
        <w:jc w:val="both"/>
        <w:rPr>
          <w:rFonts w:ascii="Palatino Linotype" w:eastAsia="Calibri" w:hAnsi="Palatino Linotype" w:cs="Tahoma"/>
          <w:iCs/>
          <w:lang w:val="es-MX" w:eastAsia="es-ES_tradnl"/>
        </w:rPr>
      </w:pPr>
      <w:r w:rsidRPr="00CA12D6">
        <w:rPr>
          <w:rFonts w:ascii="Palatino Linotype" w:eastAsia="Calibri" w:hAnsi="Palatino Linotype" w:cs="Tahoma"/>
          <w:iCs/>
          <w:lang w:eastAsia="es-ES_tradnl"/>
        </w:rPr>
        <w:t xml:space="preserve">Ahora bien, cabe reiterar que la </w:t>
      </w:r>
      <w:proofErr w:type="spellStart"/>
      <w:r w:rsidRPr="00CA12D6">
        <w:rPr>
          <w:rFonts w:ascii="Palatino Linotype" w:eastAsia="Calibri" w:hAnsi="Palatino Linotype" w:cs="Tahoma"/>
          <w:iCs/>
          <w:lang w:eastAsia="es-ES_tradnl"/>
        </w:rPr>
        <w:t>pretensi</w:t>
      </w:r>
      <w:r w:rsidRPr="00CA12D6">
        <w:rPr>
          <w:rFonts w:ascii="Palatino Linotype" w:eastAsia="Calibri" w:hAnsi="Palatino Linotype" w:cs="Tahoma"/>
          <w:iCs/>
          <w:lang w:val="x-none" w:eastAsia="es-ES_tradnl"/>
        </w:rPr>
        <w:t>ón</w:t>
      </w:r>
      <w:proofErr w:type="spellEnd"/>
      <w:r w:rsidRPr="00CA12D6">
        <w:rPr>
          <w:rFonts w:ascii="Palatino Linotype" w:eastAsia="Calibri" w:hAnsi="Palatino Linotype" w:cs="Tahoma"/>
          <w:iCs/>
          <w:lang w:val="x-none" w:eastAsia="es-ES_tradnl"/>
        </w:rPr>
        <w:t xml:space="preserve"> del ahora Recurrente es </w:t>
      </w:r>
      <w:proofErr w:type="gramStart"/>
      <w:r w:rsidRPr="00CA12D6">
        <w:rPr>
          <w:rFonts w:ascii="Palatino Linotype" w:eastAsia="Calibri" w:hAnsi="Palatino Linotype" w:cs="Tahoma"/>
          <w:iCs/>
          <w:lang w:val="x-none" w:eastAsia="es-ES_tradnl"/>
        </w:rPr>
        <w:t xml:space="preserve">obtener  </w:t>
      </w:r>
      <w:r w:rsidRPr="00CA12D6">
        <w:rPr>
          <w:rFonts w:ascii="Palatino Linotype" w:eastAsia="Calibri" w:hAnsi="Palatino Linotype" w:cs="Tahoma"/>
          <w:iCs/>
          <w:lang w:val="es-MX" w:eastAsia="es-ES_tradnl"/>
        </w:rPr>
        <w:t>las</w:t>
      </w:r>
      <w:proofErr w:type="gramEnd"/>
      <w:r w:rsidRPr="00CA12D6">
        <w:rPr>
          <w:rFonts w:ascii="Palatino Linotype" w:eastAsia="Calibri" w:hAnsi="Palatino Linotype" w:cs="Tahoma"/>
          <w:iCs/>
          <w:lang w:val="es-MX" w:eastAsia="es-ES_tradnl"/>
        </w:rPr>
        <w:t xml:space="preserve"> observaciones señaladas por la Contraloría Municipal en las diversas actas de entrega-recepción del año dos mil veintidós. </w:t>
      </w:r>
    </w:p>
    <w:p w14:paraId="12B4D21C" w14:textId="77777777" w:rsidR="000B44EA" w:rsidRPr="00CA12D6" w:rsidRDefault="000B44EA" w:rsidP="00FE66FB">
      <w:pPr>
        <w:tabs>
          <w:tab w:val="left" w:pos="4962"/>
        </w:tabs>
        <w:spacing w:line="360" w:lineRule="auto"/>
        <w:jc w:val="both"/>
        <w:rPr>
          <w:rFonts w:ascii="Palatino Linotype" w:eastAsia="Calibri" w:hAnsi="Palatino Linotype" w:cs="Tahoma"/>
          <w:iCs/>
          <w:lang w:eastAsia="es-ES_tradnl"/>
        </w:rPr>
      </w:pPr>
    </w:p>
    <w:p w14:paraId="3DED4933" w14:textId="77777777" w:rsidR="000B44EA" w:rsidRPr="00CA12D6" w:rsidRDefault="000B44EA" w:rsidP="00FE66FB">
      <w:pPr>
        <w:tabs>
          <w:tab w:val="left" w:pos="4962"/>
        </w:tabs>
        <w:spacing w:line="360" w:lineRule="auto"/>
        <w:jc w:val="both"/>
        <w:rPr>
          <w:rFonts w:ascii="Palatino Linotype" w:eastAsia="Calibri" w:hAnsi="Palatino Linotype" w:cs="Tahoma"/>
          <w:iCs/>
          <w:lang w:eastAsia="es-ES_tradnl"/>
        </w:rPr>
      </w:pPr>
      <w:r w:rsidRPr="00CA12D6">
        <w:rPr>
          <w:rFonts w:ascii="Palatino Linotype" w:eastAsia="Calibri" w:hAnsi="Palatino Linotype" w:cs="Tahoma"/>
          <w:iCs/>
          <w:lang w:eastAsia="es-ES_tradnl"/>
        </w:rPr>
        <w:lastRenderedPageBreak/>
        <w:t xml:space="preserve">En este sentido, el artículo 112, fracción XII de la Ley Orgánica Municipal del Estado de México establece: </w:t>
      </w:r>
    </w:p>
    <w:p w14:paraId="531DF8E0" w14:textId="77777777" w:rsidR="000B44EA" w:rsidRPr="00CA12D6" w:rsidRDefault="000B44EA" w:rsidP="00FE66FB">
      <w:pPr>
        <w:tabs>
          <w:tab w:val="left" w:pos="4962"/>
        </w:tabs>
        <w:spacing w:line="360" w:lineRule="auto"/>
        <w:jc w:val="both"/>
        <w:rPr>
          <w:rFonts w:ascii="Palatino Linotype" w:eastAsia="Calibri" w:hAnsi="Palatino Linotype" w:cs="Tahoma"/>
          <w:iCs/>
          <w:lang w:eastAsia="es-ES_tradnl"/>
        </w:rPr>
      </w:pPr>
    </w:p>
    <w:p w14:paraId="3FE190ED" w14:textId="77777777" w:rsidR="000B44EA" w:rsidRPr="00CA12D6" w:rsidRDefault="000B44EA" w:rsidP="000B44EA">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w:t>
      </w:r>
      <w:r w:rsidRPr="00CA12D6">
        <w:rPr>
          <w:rFonts w:ascii="Palatino Linotype" w:hAnsi="Palatino Linotype"/>
          <w:b/>
          <w:i/>
          <w:sz w:val="22"/>
          <w:szCs w:val="22"/>
        </w:rPr>
        <w:t>Artículo 112.</w:t>
      </w:r>
      <w:r w:rsidRPr="00CA12D6">
        <w:rPr>
          <w:rFonts w:ascii="Palatino Linotype" w:hAnsi="Palatino Linotype"/>
          <w:i/>
          <w:sz w:val="22"/>
          <w:szCs w:val="22"/>
        </w:rPr>
        <w:t xml:space="preserve"> El </w:t>
      </w:r>
      <w:r w:rsidRPr="00CA12D6">
        <w:rPr>
          <w:rFonts w:ascii="Palatino Linotype" w:hAnsi="Palatino Linotype"/>
          <w:b/>
          <w:i/>
          <w:sz w:val="22"/>
          <w:szCs w:val="22"/>
          <w:u w:val="single"/>
        </w:rPr>
        <w:t>órgano interno de control municipal</w:t>
      </w:r>
      <w:r w:rsidRPr="00CA12D6">
        <w:rPr>
          <w:rFonts w:ascii="Palatino Linotype" w:hAnsi="Palatino Linotype"/>
          <w:i/>
          <w:sz w:val="22"/>
          <w:szCs w:val="22"/>
        </w:rPr>
        <w:t>, tendrá a su cargo las funciones siguientes:</w:t>
      </w:r>
    </w:p>
    <w:p w14:paraId="4B81AEFC" w14:textId="77777777" w:rsidR="000B44EA" w:rsidRPr="00CA12D6" w:rsidRDefault="000B44EA" w:rsidP="000B44EA">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i/>
          <w:sz w:val="22"/>
          <w:szCs w:val="22"/>
        </w:rPr>
        <w:t>…</w:t>
      </w:r>
    </w:p>
    <w:p w14:paraId="4922E00C" w14:textId="77777777" w:rsidR="000B44EA" w:rsidRPr="00CA12D6" w:rsidRDefault="000B44EA" w:rsidP="000B44EA">
      <w:pPr>
        <w:tabs>
          <w:tab w:val="left" w:pos="4962"/>
        </w:tabs>
        <w:spacing w:line="360" w:lineRule="auto"/>
        <w:ind w:left="851" w:right="616"/>
        <w:jc w:val="both"/>
        <w:rPr>
          <w:rFonts w:ascii="Palatino Linotype" w:hAnsi="Palatino Linotype"/>
          <w:i/>
          <w:sz w:val="22"/>
          <w:szCs w:val="22"/>
        </w:rPr>
      </w:pPr>
      <w:r w:rsidRPr="00CA12D6">
        <w:rPr>
          <w:rFonts w:ascii="Palatino Linotype" w:hAnsi="Palatino Linotype"/>
          <w:b/>
          <w:i/>
          <w:sz w:val="22"/>
          <w:szCs w:val="22"/>
          <w:u w:val="single"/>
        </w:rPr>
        <w:t>XII. Participar en la entrega-recepción de las unidades administrativas de las dependencias, organismos auxiliares y fideicomisos del municipio</w:t>
      </w:r>
      <w:r w:rsidRPr="00CA12D6">
        <w:rPr>
          <w:rFonts w:ascii="Palatino Linotype" w:hAnsi="Palatino Linotype"/>
          <w:i/>
          <w:sz w:val="22"/>
          <w:szCs w:val="22"/>
        </w:rPr>
        <w:t>;</w:t>
      </w:r>
    </w:p>
    <w:p w14:paraId="59FA18C8" w14:textId="77777777" w:rsidR="000B44EA" w:rsidRPr="00CA12D6" w:rsidRDefault="000B44EA" w:rsidP="00FE66FB">
      <w:pPr>
        <w:tabs>
          <w:tab w:val="left" w:pos="4962"/>
        </w:tabs>
        <w:spacing w:line="360" w:lineRule="auto"/>
        <w:jc w:val="both"/>
        <w:rPr>
          <w:rFonts w:ascii="Palatino Linotype" w:eastAsia="Calibri" w:hAnsi="Palatino Linotype" w:cs="Tahoma"/>
          <w:iCs/>
          <w:lang w:eastAsia="es-ES_tradnl"/>
        </w:rPr>
      </w:pPr>
    </w:p>
    <w:p w14:paraId="6A958420" w14:textId="77777777" w:rsidR="00FE66FB" w:rsidRPr="00CA12D6" w:rsidRDefault="000B44EA" w:rsidP="00FE66FB">
      <w:pPr>
        <w:tabs>
          <w:tab w:val="left" w:pos="4962"/>
        </w:tabs>
        <w:spacing w:line="360" w:lineRule="auto"/>
        <w:jc w:val="both"/>
        <w:rPr>
          <w:rFonts w:ascii="Palatino Linotype" w:eastAsia="Calibri" w:hAnsi="Palatino Linotype" w:cs="Tahoma"/>
          <w:iCs/>
          <w:lang w:eastAsia="es-ES_tradnl"/>
        </w:rPr>
      </w:pPr>
      <w:r w:rsidRPr="00CA12D6">
        <w:rPr>
          <w:rFonts w:ascii="Palatino Linotype" w:eastAsia="Calibri" w:hAnsi="Palatino Linotype" w:cs="Tahoma"/>
          <w:iCs/>
          <w:lang w:eastAsia="es-ES_tradnl"/>
        </w:rPr>
        <w:t>Correlativo a lo anterior</w:t>
      </w:r>
      <w:r w:rsidR="00FE66FB" w:rsidRPr="00CA12D6">
        <w:rPr>
          <w:rFonts w:ascii="Palatino Linotype" w:eastAsia="Calibri" w:hAnsi="Palatino Linotype" w:cs="Tahoma"/>
          <w:iCs/>
          <w:lang w:eastAsia="es-ES_tradnl"/>
        </w:rPr>
        <w:t xml:space="preserve">, el artículo 5 de los </w:t>
      </w:r>
      <w:r w:rsidR="00C42543" w:rsidRPr="00CA12D6">
        <w:rPr>
          <w:rFonts w:ascii="Palatino Linotype" w:eastAsia="Calibri" w:hAnsi="Palatino Linotype" w:cs="Tahoma"/>
          <w:iCs/>
          <w:lang w:eastAsia="es-ES_tradnl"/>
        </w:rPr>
        <w:t xml:space="preserve">Lineamientos que norman la Entrega-Recepción de los Ayuntamientos, sus Dependencias </w:t>
      </w:r>
      <w:proofErr w:type="gramStart"/>
      <w:r w:rsidR="00C42543" w:rsidRPr="00CA12D6">
        <w:rPr>
          <w:rFonts w:ascii="Palatino Linotype" w:eastAsia="Calibri" w:hAnsi="Palatino Linotype" w:cs="Tahoma"/>
          <w:iCs/>
          <w:lang w:eastAsia="es-ES_tradnl"/>
        </w:rPr>
        <w:t xml:space="preserve">y </w:t>
      </w:r>
      <w:r w:rsidR="00FE66FB" w:rsidRPr="00CA12D6">
        <w:rPr>
          <w:rFonts w:ascii="Palatino Linotype" w:eastAsia="Calibri" w:hAnsi="Palatino Linotype" w:cs="Tahoma"/>
          <w:iCs/>
          <w:lang w:eastAsia="es-ES_tradnl"/>
        </w:rPr>
        <w:t xml:space="preserve"> </w:t>
      </w:r>
      <w:r w:rsidR="00C42543" w:rsidRPr="00CA12D6">
        <w:rPr>
          <w:rFonts w:ascii="Palatino Linotype" w:eastAsia="Calibri" w:hAnsi="Palatino Linotype" w:cs="Tahoma"/>
          <w:iCs/>
          <w:lang w:eastAsia="es-ES_tradnl"/>
        </w:rPr>
        <w:t>Organismos</w:t>
      </w:r>
      <w:proofErr w:type="gramEnd"/>
      <w:r w:rsidR="00C42543" w:rsidRPr="00CA12D6">
        <w:rPr>
          <w:rFonts w:ascii="Palatino Linotype" w:eastAsia="Calibri" w:hAnsi="Palatino Linotype" w:cs="Tahoma"/>
          <w:iCs/>
          <w:lang w:eastAsia="es-ES_tradnl"/>
        </w:rPr>
        <w:t xml:space="preserve"> Descentralizados Municipales del Estado de México </w:t>
      </w:r>
      <w:r w:rsidR="00FE66FB" w:rsidRPr="00CA12D6">
        <w:rPr>
          <w:rFonts w:ascii="Palatino Linotype" w:eastAsia="Calibri" w:hAnsi="Palatino Linotype" w:cs="Tahoma"/>
          <w:iCs/>
          <w:lang w:eastAsia="es-ES_tradnl"/>
        </w:rPr>
        <w:t xml:space="preserve">establece lo siguiente: </w:t>
      </w:r>
    </w:p>
    <w:p w14:paraId="04FAA6CE" w14:textId="77777777" w:rsidR="000B44EA" w:rsidRPr="00CA12D6" w:rsidRDefault="000B44EA" w:rsidP="00FE66FB">
      <w:pPr>
        <w:tabs>
          <w:tab w:val="left" w:pos="4962"/>
        </w:tabs>
        <w:spacing w:line="360" w:lineRule="auto"/>
        <w:jc w:val="both"/>
        <w:rPr>
          <w:rFonts w:ascii="Palatino Linotype" w:eastAsia="Calibri" w:hAnsi="Palatino Linotype" w:cs="Tahoma"/>
          <w:iCs/>
          <w:lang w:eastAsia="es-ES_tradnl"/>
        </w:rPr>
      </w:pPr>
    </w:p>
    <w:p w14:paraId="1EDDE4E2" w14:textId="77777777" w:rsidR="00FE66FB" w:rsidRPr="00CA12D6" w:rsidRDefault="00FE66FB" w:rsidP="00FE66FB">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i/>
          <w:sz w:val="22"/>
          <w:szCs w:val="22"/>
        </w:rPr>
        <w:t>“</w:t>
      </w:r>
      <w:r w:rsidRPr="00CA12D6">
        <w:rPr>
          <w:rFonts w:ascii="Palatino Linotype" w:hAnsi="Palatino Linotype"/>
          <w:b/>
          <w:i/>
          <w:sz w:val="22"/>
          <w:szCs w:val="22"/>
        </w:rPr>
        <w:t>Artículo 5</w:t>
      </w:r>
      <w:r w:rsidRPr="00CA12D6">
        <w:rPr>
          <w:rFonts w:ascii="Palatino Linotype" w:hAnsi="Palatino Linotype"/>
          <w:i/>
          <w:sz w:val="22"/>
          <w:szCs w:val="22"/>
        </w:rPr>
        <w:t xml:space="preserve">. </w:t>
      </w:r>
      <w:r w:rsidRPr="00CA12D6">
        <w:rPr>
          <w:rFonts w:ascii="Palatino Linotype" w:hAnsi="Palatino Linotype"/>
          <w:b/>
          <w:i/>
          <w:sz w:val="22"/>
          <w:szCs w:val="22"/>
          <w:u w:val="single"/>
        </w:rPr>
        <w:t>Las autoridades competentes para vigilar y aplicar estos lineamientos</w:t>
      </w:r>
      <w:r w:rsidRPr="00CA12D6">
        <w:rPr>
          <w:rFonts w:ascii="Palatino Linotype" w:hAnsi="Palatino Linotype"/>
          <w:i/>
          <w:sz w:val="22"/>
          <w:szCs w:val="22"/>
        </w:rPr>
        <w:t xml:space="preserve"> son: </w:t>
      </w:r>
    </w:p>
    <w:p w14:paraId="41A286D8" w14:textId="77777777" w:rsidR="00FE66FB" w:rsidRPr="00CA12D6" w:rsidRDefault="00FE66FB" w:rsidP="00FE66FB">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I. El Órgano Superior; </w:t>
      </w:r>
    </w:p>
    <w:p w14:paraId="131BF705" w14:textId="77777777" w:rsidR="00FE66FB" w:rsidRPr="00CA12D6" w:rsidRDefault="00FE66FB" w:rsidP="00FE66FB">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II. El Síndico, y </w:t>
      </w:r>
    </w:p>
    <w:p w14:paraId="32E03988" w14:textId="77777777" w:rsidR="00FE66FB" w:rsidRPr="00CA12D6" w:rsidRDefault="00FE66FB" w:rsidP="00FE66FB">
      <w:pPr>
        <w:tabs>
          <w:tab w:val="left" w:pos="4962"/>
        </w:tabs>
        <w:spacing w:line="276" w:lineRule="auto"/>
        <w:ind w:left="851" w:right="616"/>
        <w:jc w:val="both"/>
        <w:rPr>
          <w:rFonts w:ascii="Palatino Linotype" w:eastAsia="Calibri" w:hAnsi="Palatino Linotype" w:cs="Tahoma"/>
          <w:b/>
          <w:i/>
          <w:iCs/>
          <w:sz w:val="22"/>
          <w:szCs w:val="22"/>
          <w:u w:val="single"/>
          <w:lang w:eastAsia="es-ES_tradnl"/>
        </w:rPr>
      </w:pPr>
      <w:r w:rsidRPr="00CA12D6">
        <w:rPr>
          <w:rFonts w:ascii="Palatino Linotype" w:hAnsi="Palatino Linotype"/>
          <w:i/>
          <w:sz w:val="22"/>
          <w:szCs w:val="22"/>
        </w:rPr>
        <w:t xml:space="preserve">III. </w:t>
      </w:r>
      <w:r w:rsidRPr="00CA12D6">
        <w:rPr>
          <w:rFonts w:ascii="Palatino Linotype" w:hAnsi="Palatino Linotype"/>
          <w:b/>
          <w:i/>
          <w:sz w:val="22"/>
          <w:szCs w:val="22"/>
          <w:u w:val="single"/>
        </w:rPr>
        <w:t>Las personas titulares de los Órganos Internos de Control</w:t>
      </w:r>
      <w:r w:rsidRPr="00CA12D6">
        <w:rPr>
          <w:rFonts w:ascii="Palatino Linotype" w:eastAsia="Calibri" w:hAnsi="Palatino Linotype" w:cs="Tahoma"/>
          <w:b/>
          <w:i/>
          <w:iCs/>
          <w:sz w:val="22"/>
          <w:szCs w:val="22"/>
          <w:u w:val="single"/>
          <w:lang w:eastAsia="es-ES_tradnl"/>
        </w:rPr>
        <w:t xml:space="preserve"> </w:t>
      </w:r>
    </w:p>
    <w:p w14:paraId="5F0BF184" w14:textId="77777777" w:rsidR="00FE66FB" w:rsidRPr="00CA12D6" w:rsidRDefault="00FE66FB" w:rsidP="00FE66FB">
      <w:pPr>
        <w:tabs>
          <w:tab w:val="left" w:pos="4962"/>
        </w:tabs>
        <w:spacing w:line="360" w:lineRule="auto"/>
        <w:jc w:val="both"/>
        <w:rPr>
          <w:rFonts w:ascii="Palatino Linotype" w:eastAsia="Calibri" w:hAnsi="Palatino Linotype" w:cs="Tahoma"/>
          <w:iCs/>
          <w:lang w:eastAsia="es-ES_tradnl"/>
        </w:rPr>
      </w:pPr>
    </w:p>
    <w:p w14:paraId="683D505C" w14:textId="77777777" w:rsidR="00FE66FB" w:rsidRPr="00CA12D6" w:rsidRDefault="005A5896" w:rsidP="001F03DE">
      <w:pPr>
        <w:tabs>
          <w:tab w:val="left" w:pos="4962"/>
        </w:tabs>
        <w:spacing w:line="360" w:lineRule="auto"/>
        <w:jc w:val="both"/>
        <w:rPr>
          <w:rFonts w:ascii="Palatino Linotype" w:eastAsia="Calibri" w:hAnsi="Palatino Linotype" w:cs="Tahoma"/>
          <w:iCs/>
          <w:lang w:eastAsia="es-ES_tradnl"/>
        </w:rPr>
      </w:pPr>
      <w:r w:rsidRPr="00CA12D6">
        <w:rPr>
          <w:rFonts w:ascii="Palatino Linotype" w:eastAsia="Calibri" w:hAnsi="Palatino Linotype" w:cs="Tahoma"/>
          <w:iCs/>
          <w:lang w:eastAsia="es-ES_tradnl"/>
        </w:rPr>
        <w:t>Asimismo, tomando en consideración las atribuciones de la Contraloría Municipal, relacionadas con su participación en las actas de entrega-recepci</w:t>
      </w:r>
      <w:r w:rsidR="00CA333C" w:rsidRPr="00CA12D6">
        <w:rPr>
          <w:rFonts w:ascii="Palatino Linotype" w:eastAsia="Calibri" w:hAnsi="Palatino Linotype" w:cs="Tahoma"/>
          <w:iCs/>
          <w:lang w:eastAsia="es-ES_tradnl"/>
        </w:rPr>
        <w:t>ón, los</w:t>
      </w:r>
      <w:r w:rsidRPr="00CA12D6">
        <w:rPr>
          <w:rFonts w:ascii="Palatino Linotype" w:eastAsia="Calibri" w:hAnsi="Palatino Linotype" w:cs="Tahoma"/>
          <w:iCs/>
          <w:lang w:eastAsia="es-ES_tradnl"/>
        </w:rPr>
        <w:t xml:space="preserve"> artículo</w:t>
      </w:r>
      <w:r w:rsidR="00CA333C" w:rsidRPr="00CA12D6">
        <w:rPr>
          <w:rFonts w:ascii="Palatino Linotype" w:eastAsia="Calibri" w:hAnsi="Palatino Linotype" w:cs="Tahoma"/>
          <w:iCs/>
          <w:lang w:eastAsia="es-ES_tradnl"/>
        </w:rPr>
        <w:t>s</w:t>
      </w:r>
      <w:r w:rsidRPr="00CA12D6">
        <w:rPr>
          <w:rFonts w:ascii="Palatino Linotype" w:eastAsia="Calibri" w:hAnsi="Palatino Linotype" w:cs="Tahoma"/>
          <w:iCs/>
          <w:lang w:eastAsia="es-ES_tradnl"/>
        </w:rPr>
        <w:t xml:space="preserve"> 22</w:t>
      </w:r>
      <w:r w:rsidR="00D13EF1" w:rsidRPr="00CA12D6">
        <w:rPr>
          <w:rFonts w:ascii="Palatino Linotype" w:eastAsia="Calibri" w:hAnsi="Palatino Linotype" w:cs="Tahoma"/>
          <w:iCs/>
          <w:lang w:eastAsia="es-ES_tradnl"/>
        </w:rPr>
        <w:t xml:space="preserve">, </w:t>
      </w:r>
      <w:r w:rsidR="00CA333C" w:rsidRPr="00CA12D6">
        <w:rPr>
          <w:rFonts w:ascii="Palatino Linotype" w:eastAsia="Calibri" w:hAnsi="Palatino Linotype" w:cs="Tahoma"/>
          <w:iCs/>
          <w:lang w:eastAsia="es-ES_tradnl"/>
        </w:rPr>
        <w:t>23</w:t>
      </w:r>
      <w:r w:rsidR="001971AD" w:rsidRPr="00CA12D6">
        <w:rPr>
          <w:rFonts w:ascii="Palatino Linotype" w:eastAsia="Calibri" w:hAnsi="Palatino Linotype" w:cs="Tahoma"/>
          <w:iCs/>
          <w:lang w:eastAsia="es-ES_tradnl"/>
        </w:rPr>
        <w:t xml:space="preserve">, </w:t>
      </w:r>
      <w:r w:rsidR="00D13EF1" w:rsidRPr="00CA12D6">
        <w:rPr>
          <w:rFonts w:ascii="Palatino Linotype" w:eastAsia="Calibri" w:hAnsi="Palatino Linotype" w:cs="Tahoma"/>
          <w:iCs/>
          <w:lang w:eastAsia="es-ES_tradnl"/>
        </w:rPr>
        <w:t xml:space="preserve">24 </w:t>
      </w:r>
      <w:r w:rsidR="001971AD" w:rsidRPr="00CA12D6">
        <w:rPr>
          <w:rFonts w:ascii="Palatino Linotype" w:eastAsia="Calibri" w:hAnsi="Palatino Linotype" w:cs="Tahoma"/>
          <w:iCs/>
          <w:lang w:eastAsia="es-ES_tradnl"/>
        </w:rPr>
        <w:t xml:space="preserve">y 27 </w:t>
      </w:r>
      <w:r w:rsidRPr="00CA12D6">
        <w:rPr>
          <w:rFonts w:ascii="Palatino Linotype" w:eastAsia="Calibri" w:hAnsi="Palatino Linotype" w:cs="Tahoma"/>
          <w:iCs/>
          <w:lang w:eastAsia="es-ES_tradnl"/>
        </w:rPr>
        <w:t>de los citados lineamientos, establece</w:t>
      </w:r>
      <w:r w:rsidR="00CA333C" w:rsidRPr="00CA12D6">
        <w:rPr>
          <w:rFonts w:ascii="Palatino Linotype" w:eastAsia="Calibri" w:hAnsi="Palatino Linotype" w:cs="Tahoma"/>
          <w:iCs/>
          <w:lang w:eastAsia="es-ES_tradnl"/>
        </w:rPr>
        <w:t>n</w:t>
      </w:r>
      <w:r w:rsidRPr="00CA12D6">
        <w:rPr>
          <w:rFonts w:ascii="Palatino Linotype" w:eastAsia="Calibri" w:hAnsi="Palatino Linotype" w:cs="Tahoma"/>
          <w:iCs/>
          <w:lang w:eastAsia="es-ES_tradnl"/>
        </w:rPr>
        <w:t xml:space="preserve">: </w:t>
      </w:r>
    </w:p>
    <w:p w14:paraId="1340B97C" w14:textId="77777777" w:rsidR="00F2199E" w:rsidRPr="00CA12D6" w:rsidRDefault="00F2199E" w:rsidP="001F03DE">
      <w:pPr>
        <w:tabs>
          <w:tab w:val="left" w:pos="4962"/>
        </w:tabs>
        <w:spacing w:line="360" w:lineRule="auto"/>
        <w:jc w:val="both"/>
        <w:rPr>
          <w:rFonts w:ascii="Palatino Linotype" w:eastAsia="Calibri" w:hAnsi="Palatino Linotype" w:cs="Tahoma"/>
          <w:iCs/>
          <w:lang w:eastAsia="es-ES_tradnl"/>
        </w:rPr>
      </w:pPr>
    </w:p>
    <w:p w14:paraId="35187847" w14:textId="77777777" w:rsidR="00CA333C" w:rsidRPr="00CA12D6" w:rsidRDefault="00B935FF" w:rsidP="00B935FF">
      <w:pPr>
        <w:tabs>
          <w:tab w:val="left" w:pos="4962"/>
        </w:tabs>
        <w:spacing w:line="276" w:lineRule="auto"/>
        <w:ind w:left="851" w:right="616"/>
        <w:jc w:val="both"/>
        <w:rPr>
          <w:rFonts w:ascii="Palatino Linotype" w:hAnsi="Palatino Linotype"/>
          <w:b/>
          <w:i/>
          <w:sz w:val="22"/>
          <w:szCs w:val="22"/>
          <w:u w:val="single"/>
        </w:rPr>
      </w:pPr>
      <w:r w:rsidRPr="00CA12D6">
        <w:rPr>
          <w:rFonts w:ascii="Palatino Linotype" w:hAnsi="Palatino Linotype"/>
          <w:i/>
          <w:sz w:val="22"/>
          <w:szCs w:val="22"/>
        </w:rPr>
        <w:t>“</w:t>
      </w:r>
      <w:r w:rsidRPr="00CA12D6">
        <w:rPr>
          <w:rFonts w:ascii="Palatino Linotype" w:hAnsi="Palatino Linotype"/>
          <w:b/>
          <w:i/>
          <w:sz w:val="22"/>
          <w:szCs w:val="22"/>
        </w:rPr>
        <w:t>Artículo 22</w:t>
      </w:r>
      <w:r w:rsidRPr="00CA12D6">
        <w:rPr>
          <w:rFonts w:ascii="Palatino Linotype" w:hAnsi="Palatino Linotype"/>
          <w:i/>
          <w:sz w:val="22"/>
          <w:szCs w:val="22"/>
        </w:rPr>
        <w:t xml:space="preserve">. Cuando un servidor público saliente tenga que realizar la entrega-recepción y por cualquier causa no se haya nombrado al servidor público entrante o, bien, éste no asista, ello no será obstáculo para llevar a cabo dicho acto; el servidor público saliente entregará al superior jerárquico de acuerdo con lo establecido en su estructura orgánica administrativa, </w:t>
      </w:r>
      <w:r w:rsidRPr="00CA12D6">
        <w:rPr>
          <w:rFonts w:ascii="Palatino Linotype" w:hAnsi="Palatino Linotype"/>
          <w:b/>
          <w:i/>
          <w:sz w:val="22"/>
          <w:szCs w:val="22"/>
          <w:u w:val="single"/>
        </w:rPr>
        <w:t xml:space="preserve">con la participación de la persona titular </w:t>
      </w:r>
      <w:r w:rsidRPr="00CA12D6">
        <w:rPr>
          <w:rFonts w:ascii="Palatino Linotype" w:hAnsi="Palatino Linotype"/>
          <w:b/>
          <w:i/>
          <w:sz w:val="22"/>
          <w:szCs w:val="22"/>
          <w:u w:val="single"/>
        </w:rPr>
        <w:lastRenderedPageBreak/>
        <w:t>del Órgano Interno de Control</w:t>
      </w:r>
      <w:r w:rsidRPr="00CA12D6">
        <w:rPr>
          <w:rFonts w:ascii="Palatino Linotype" w:hAnsi="Palatino Linotype"/>
          <w:i/>
          <w:sz w:val="22"/>
          <w:szCs w:val="22"/>
        </w:rPr>
        <w:t xml:space="preserve"> o el Síndico o Representante, según corresponda, debiendo adjuntar el documento que acredite el cargo como superior jerárquico que recibe la unidad administrativa y se </w:t>
      </w:r>
      <w:r w:rsidRPr="00CA12D6">
        <w:rPr>
          <w:rFonts w:ascii="Palatino Linotype" w:hAnsi="Palatino Linotype"/>
          <w:b/>
          <w:i/>
          <w:sz w:val="22"/>
          <w:szCs w:val="22"/>
          <w:u w:val="single"/>
        </w:rPr>
        <w:t xml:space="preserve">asentará en el apartado de observaciones del acta de entrega-recepción. </w:t>
      </w:r>
    </w:p>
    <w:p w14:paraId="06CB1868" w14:textId="77777777" w:rsidR="00CA333C" w:rsidRPr="00CA12D6" w:rsidRDefault="00B935FF" w:rsidP="00B935FF">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En el caso de que no se haya nombrado a la persona titular del Órgano Interno de Control Municipal entrante, la entrega de la unidad administrativa correspondiente se hará al Síndico. </w:t>
      </w:r>
    </w:p>
    <w:p w14:paraId="387414BD" w14:textId="77777777" w:rsidR="005A5896" w:rsidRPr="00CA12D6" w:rsidRDefault="00B935FF" w:rsidP="00B935FF">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i/>
          <w:sz w:val="22"/>
          <w:szCs w:val="22"/>
        </w:rPr>
        <w:t xml:space="preserve">En el caso </w:t>
      </w:r>
      <w:r w:rsidRPr="00CA12D6">
        <w:rPr>
          <w:rFonts w:ascii="Palatino Linotype" w:hAnsi="Palatino Linotype"/>
          <w:b/>
          <w:i/>
          <w:sz w:val="22"/>
          <w:szCs w:val="22"/>
        </w:rPr>
        <w:t xml:space="preserve">de que no se haya nombrado a la persona titular del Órgano Interno de Control entrante de los Organismos Públicos Descentralizados, la entrega-recepción de la unidad administrativa debe realizarse a la persona titular del </w:t>
      </w:r>
      <w:r w:rsidRPr="00CA12D6">
        <w:rPr>
          <w:rFonts w:ascii="Palatino Linotype" w:hAnsi="Palatino Linotype"/>
          <w:b/>
          <w:i/>
          <w:sz w:val="22"/>
          <w:szCs w:val="22"/>
          <w:u w:val="single"/>
        </w:rPr>
        <w:t>Órgano Interno de Control Municipal</w:t>
      </w:r>
      <w:r w:rsidRPr="00CA12D6">
        <w:rPr>
          <w:rFonts w:ascii="Palatino Linotype" w:hAnsi="Palatino Linotype"/>
          <w:i/>
          <w:sz w:val="22"/>
          <w:szCs w:val="22"/>
          <w:u w:val="single"/>
        </w:rPr>
        <w:t>,</w:t>
      </w:r>
      <w:r w:rsidRPr="00CA12D6">
        <w:rPr>
          <w:rFonts w:ascii="Palatino Linotype" w:hAnsi="Palatino Linotype"/>
          <w:i/>
          <w:sz w:val="22"/>
          <w:szCs w:val="22"/>
        </w:rPr>
        <w:t xml:space="preserve"> con la participación del Síndico, hasta en tanto se designe al servidor público para ocupar el empleo, cargo o comisión</w:t>
      </w:r>
    </w:p>
    <w:p w14:paraId="584C7106" w14:textId="77777777" w:rsidR="00D13EF1" w:rsidRPr="00CA12D6" w:rsidRDefault="00D13EF1" w:rsidP="00B935FF">
      <w:pPr>
        <w:tabs>
          <w:tab w:val="left" w:pos="4962"/>
        </w:tabs>
        <w:spacing w:line="276" w:lineRule="auto"/>
        <w:ind w:left="851" w:right="616"/>
        <w:jc w:val="both"/>
        <w:rPr>
          <w:rFonts w:ascii="Palatino Linotype" w:hAnsi="Palatino Linotype"/>
          <w:i/>
          <w:sz w:val="22"/>
          <w:szCs w:val="22"/>
        </w:rPr>
      </w:pPr>
    </w:p>
    <w:p w14:paraId="0798CF45" w14:textId="77777777" w:rsidR="00D13EF1" w:rsidRPr="00CA12D6" w:rsidRDefault="00D13EF1" w:rsidP="00D13EF1">
      <w:pPr>
        <w:tabs>
          <w:tab w:val="left" w:pos="4962"/>
        </w:tabs>
        <w:spacing w:line="276" w:lineRule="auto"/>
        <w:ind w:left="851" w:right="616"/>
        <w:jc w:val="both"/>
        <w:rPr>
          <w:rFonts w:ascii="Palatino Linotype" w:eastAsia="Calibri" w:hAnsi="Palatino Linotype" w:cs="Tahoma"/>
          <w:b/>
          <w:i/>
          <w:iCs/>
          <w:sz w:val="22"/>
          <w:szCs w:val="22"/>
          <w:u w:val="single"/>
          <w:lang w:eastAsia="es-ES_tradnl"/>
        </w:rPr>
      </w:pPr>
      <w:r w:rsidRPr="00CA12D6">
        <w:rPr>
          <w:rFonts w:ascii="Palatino Linotype" w:eastAsia="Calibri" w:hAnsi="Palatino Linotype" w:cs="Tahoma"/>
          <w:b/>
          <w:i/>
          <w:iCs/>
          <w:sz w:val="22"/>
          <w:szCs w:val="22"/>
          <w:lang w:eastAsia="es-ES_tradnl"/>
        </w:rPr>
        <w:t>Artículo 23.</w:t>
      </w:r>
      <w:r w:rsidRPr="00CA12D6">
        <w:rPr>
          <w:rFonts w:ascii="Palatino Linotype" w:eastAsia="Calibri" w:hAnsi="Palatino Linotype" w:cs="Tahoma"/>
          <w:i/>
          <w:iCs/>
          <w:sz w:val="22"/>
          <w:szCs w:val="22"/>
          <w:lang w:eastAsia="es-ES_tradnl"/>
        </w:rPr>
        <w:t xml:space="preserve"> En el </w:t>
      </w:r>
      <w:r w:rsidRPr="00CA12D6">
        <w:rPr>
          <w:rFonts w:ascii="Palatino Linotype" w:eastAsia="Calibri" w:hAnsi="Palatino Linotype" w:cs="Tahoma"/>
          <w:b/>
          <w:i/>
          <w:iCs/>
          <w:sz w:val="22"/>
          <w:szCs w:val="22"/>
          <w:u w:val="single"/>
          <w:lang w:eastAsia="es-ES_tradnl"/>
        </w:rPr>
        <w:t>supuesto de que los servidores públicos entrantes carezcan de la certificación de competencia laboral</w:t>
      </w:r>
      <w:r w:rsidRPr="00CA12D6">
        <w:rPr>
          <w:rFonts w:ascii="Palatino Linotype" w:eastAsia="Calibri" w:hAnsi="Palatino Linotype" w:cs="Tahoma"/>
          <w:i/>
          <w:iCs/>
          <w:sz w:val="22"/>
          <w:szCs w:val="22"/>
          <w:lang w:eastAsia="es-ES_tradnl"/>
        </w:rPr>
        <w:t xml:space="preserve"> en los casos referidos en las disposiciones legales aplicables, </w:t>
      </w:r>
      <w:r w:rsidRPr="00CA12D6">
        <w:rPr>
          <w:rFonts w:ascii="Palatino Linotype" w:eastAsia="Calibri" w:hAnsi="Palatino Linotype" w:cs="Tahoma"/>
          <w:b/>
          <w:i/>
          <w:iCs/>
          <w:sz w:val="22"/>
          <w:szCs w:val="22"/>
          <w:u w:val="single"/>
          <w:lang w:eastAsia="es-ES_tradnl"/>
        </w:rPr>
        <w:t>tal circunstancia se debe asentar en el apartado de observaciones del acta de entrega-recepción, debiendo la persona titular del Órgano Interno de Control o el Síndico, según corresponda, proceder conforme a sus atribuciones.</w:t>
      </w:r>
    </w:p>
    <w:p w14:paraId="0C54469D" w14:textId="77777777" w:rsidR="00D13EF1" w:rsidRPr="00CA12D6" w:rsidRDefault="00D13EF1" w:rsidP="00D13EF1">
      <w:pPr>
        <w:tabs>
          <w:tab w:val="left" w:pos="4962"/>
        </w:tabs>
        <w:spacing w:line="276" w:lineRule="auto"/>
        <w:ind w:left="851" w:right="616"/>
        <w:jc w:val="both"/>
        <w:rPr>
          <w:rFonts w:ascii="Palatino Linotype" w:eastAsia="Calibri" w:hAnsi="Palatino Linotype" w:cs="Tahoma"/>
          <w:b/>
          <w:i/>
          <w:iCs/>
          <w:sz w:val="22"/>
          <w:szCs w:val="22"/>
          <w:u w:val="single"/>
          <w:lang w:eastAsia="es-ES_tradnl"/>
        </w:rPr>
      </w:pPr>
    </w:p>
    <w:p w14:paraId="18259F86" w14:textId="77777777" w:rsidR="00D13EF1" w:rsidRPr="00CA12D6" w:rsidRDefault="00D13EF1" w:rsidP="00D13EF1">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b/>
          <w:i/>
          <w:sz w:val="22"/>
          <w:szCs w:val="22"/>
        </w:rPr>
        <w:t>Artículo 24.</w:t>
      </w:r>
      <w:r w:rsidRPr="00CA12D6">
        <w:rPr>
          <w:rFonts w:ascii="Palatino Linotype" w:hAnsi="Palatino Linotype"/>
          <w:i/>
          <w:sz w:val="22"/>
          <w:szCs w:val="22"/>
        </w:rPr>
        <w:t xml:space="preserve"> En el caso de que los </w:t>
      </w:r>
      <w:r w:rsidRPr="00CA12D6">
        <w:rPr>
          <w:rFonts w:ascii="Palatino Linotype" w:hAnsi="Palatino Linotype"/>
          <w:b/>
          <w:i/>
          <w:sz w:val="22"/>
          <w:szCs w:val="22"/>
        </w:rPr>
        <w:t>servidores públicos salientes carezcan de la constancia de no adeudo</w:t>
      </w:r>
      <w:r w:rsidRPr="00CA12D6">
        <w:rPr>
          <w:rFonts w:ascii="Palatino Linotype" w:hAnsi="Palatino Linotype"/>
          <w:i/>
          <w:sz w:val="22"/>
          <w:szCs w:val="22"/>
        </w:rPr>
        <w:t xml:space="preserve">, tal circunstancia deberá asentarse en el apartado de </w:t>
      </w:r>
      <w:r w:rsidRPr="00CA12D6">
        <w:rPr>
          <w:rFonts w:ascii="Palatino Linotype" w:hAnsi="Palatino Linotype"/>
          <w:b/>
          <w:i/>
          <w:sz w:val="22"/>
          <w:szCs w:val="22"/>
          <w:u w:val="single"/>
        </w:rPr>
        <w:t>observaciones del acta de entrega-recepción</w:t>
      </w:r>
      <w:r w:rsidRPr="00CA12D6">
        <w:rPr>
          <w:rFonts w:ascii="Palatino Linotype" w:hAnsi="Palatino Linotype"/>
          <w:i/>
          <w:sz w:val="22"/>
          <w:szCs w:val="22"/>
        </w:rPr>
        <w:t>, anexando la(s) solicitud(es) de petición correspondiente(s).</w:t>
      </w:r>
    </w:p>
    <w:p w14:paraId="76658AC7" w14:textId="77777777" w:rsidR="001971AD" w:rsidRPr="00CA12D6" w:rsidRDefault="001971AD" w:rsidP="00D13EF1">
      <w:pPr>
        <w:tabs>
          <w:tab w:val="left" w:pos="4962"/>
        </w:tabs>
        <w:spacing w:line="276" w:lineRule="auto"/>
        <w:ind w:left="851" w:right="616"/>
        <w:jc w:val="both"/>
        <w:rPr>
          <w:rFonts w:ascii="Palatino Linotype" w:eastAsia="Calibri" w:hAnsi="Palatino Linotype" w:cs="Tahoma"/>
          <w:b/>
          <w:i/>
          <w:iCs/>
          <w:sz w:val="22"/>
          <w:szCs w:val="22"/>
          <w:u w:val="single"/>
          <w:lang w:eastAsia="es-ES_tradnl"/>
        </w:rPr>
      </w:pPr>
    </w:p>
    <w:p w14:paraId="3089EFDA" w14:textId="77777777" w:rsidR="006E2F6E" w:rsidRPr="00CA12D6" w:rsidRDefault="001971AD" w:rsidP="00D13EF1">
      <w:pPr>
        <w:tabs>
          <w:tab w:val="left" w:pos="4962"/>
        </w:tabs>
        <w:spacing w:line="276" w:lineRule="auto"/>
        <w:ind w:left="851" w:right="616"/>
        <w:jc w:val="both"/>
        <w:rPr>
          <w:rFonts w:ascii="Palatino Linotype" w:hAnsi="Palatino Linotype"/>
          <w:i/>
          <w:sz w:val="22"/>
          <w:szCs w:val="22"/>
        </w:rPr>
      </w:pPr>
      <w:r w:rsidRPr="00CA12D6">
        <w:rPr>
          <w:rFonts w:ascii="Palatino Linotype" w:hAnsi="Palatino Linotype"/>
          <w:b/>
          <w:i/>
          <w:sz w:val="22"/>
          <w:szCs w:val="22"/>
        </w:rPr>
        <w:t>Artículo 27</w:t>
      </w:r>
      <w:r w:rsidRPr="00CA12D6">
        <w:rPr>
          <w:rFonts w:ascii="Palatino Linotype" w:hAnsi="Palatino Linotype"/>
          <w:i/>
          <w:sz w:val="22"/>
          <w:szCs w:val="22"/>
        </w:rPr>
        <w:t xml:space="preserve">. </w:t>
      </w:r>
      <w:r w:rsidRPr="00CA12D6">
        <w:rPr>
          <w:rFonts w:ascii="Palatino Linotype" w:hAnsi="Palatino Linotype"/>
          <w:b/>
          <w:i/>
          <w:sz w:val="22"/>
          <w:szCs w:val="22"/>
          <w:u w:val="single"/>
        </w:rPr>
        <w:t>Las actas administrativas deben instrumentarse</w:t>
      </w:r>
      <w:r w:rsidRPr="00CA12D6">
        <w:rPr>
          <w:rFonts w:ascii="Palatino Linotype" w:hAnsi="Palatino Linotype"/>
          <w:i/>
          <w:sz w:val="22"/>
          <w:szCs w:val="22"/>
        </w:rPr>
        <w:t xml:space="preserve"> de manera inmediata a la identificación de la inasistencia o negativa de firmar por parte de los servidores públicos saliente o entrante, según sea el caso, para que la persona titular del Órgano Interno de Control o el Síndico cuente con la evidencia que le permita identificar los motivos o circunstancias por los que no se llevó a cabo el acto de entrega-recepción. </w:t>
      </w:r>
    </w:p>
    <w:p w14:paraId="36C345E7" w14:textId="77777777" w:rsidR="006E2F6E" w:rsidRPr="00CA12D6" w:rsidRDefault="006E2F6E" w:rsidP="00D13EF1">
      <w:pPr>
        <w:tabs>
          <w:tab w:val="left" w:pos="4962"/>
        </w:tabs>
        <w:spacing w:line="276" w:lineRule="auto"/>
        <w:ind w:left="851" w:right="616"/>
        <w:jc w:val="both"/>
        <w:rPr>
          <w:rFonts w:ascii="Palatino Linotype" w:hAnsi="Palatino Linotype"/>
          <w:i/>
          <w:sz w:val="22"/>
          <w:szCs w:val="22"/>
        </w:rPr>
      </w:pPr>
    </w:p>
    <w:p w14:paraId="7C5D823C" w14:textId="77777777" w:rsidR="00E90CF7" w:rsidRPr="00CA12D6" w:rsidRDefault="001971AD" w:rsidP="00152EE8">
      <w:pPr>
        <w:tabs>
          <w:tab w:val="left" w:pos="4962"/>
        </w:tabs>
        <w:spacing w:line="276" w:lineRule="auto"/>
        <w:ind w:left="851" w:right="616"/>
        <w:jc w:val="both"/>
        <w:rPr>
          <w:rFonts w:ascii="Palatino Linotype" w:eastAsia="Calibri" w:hAnsi="Palatino Linotype" w:cs="Tahoma"/>
          <w:b/>
          <w:i/>
          <w:iCs/>
          <w:sz w:val="22"/>
          <w:szCs w:val="22"/>
          <w:u w:val="single"/>
          <w:lang w:eastAsia="es-ES_tradnl"/>
        </w:rPr>
      </w:pPr>
      <w:r w:rsidRPr="00CA12D6">
        <w:rPr>
          <w:rFonts w:ascii="Palatino Linotype" w:hAnsi="Palatino Linotype"/>
          <w:i/>
          <w:sz w:val="22"/>
          <w:szCs w:val="22"/>
        </w:rPr>
        <w:t xml:space="preserve">En caso de instrumentación del acta administrativa, </w:t>
      </w:r>
      <w:r w:rsidRPr="00CA12D6">
        <w:rPr>
          <w:rFonts w:ascii="Palatino Linotype" w:hAnsi="Palatino Linotype"/>
          <w:b/>
          <w:i/>
          <w:sz w:val="22"/>
          <w:szCs w:val="22"/>
          <w:u w:val="single"/>
        </w:rPr>
        <w:t>se debe hacer mención de ésta en el apartado de observacion</w:t>
      </w:r>
      <w:r w:rsidR="00152EE8" w:rsidRPr="00CA12D6">
        <w:rPr>
          <w:rFonts w:ascii="Palatino Linotype" w:hAnsi="Palatino Linotype"/>
          <w:b/>
          <w:i/>
          <w:sz w:val="22"/>
          <w:szCs w:val="22"/>
          <w:u w:val="single"/>
        </w:rPr>
        <w:t xml:space="preserve">es del acta de entrega-recepción. </w:t>
      </w:r>
      <w:r w:rsidR="006E2F6E" w:rsidRPr="00CA12D6">
        <w:rPr>
          <w:rFonts w:ascii="Palatino Linotype" w:eastAsia="Palatino Linotype" w:hAnsi="Palatino Linotype" w:cs="Palatino Linotype"/>
        </w:rPr>
        <w:t xml:space="preserve"> </w:t>
      </w:r>
    </w:p>
    <w:p w14:paraId="2A5A3767" w14:textId="77777777" w:rsidR="00F31734" w:rsidRPr="00CA12D6" w:rsidRDefault="00152EE8">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CA12D6">
        <w:rPr>
          <w:rFonts w:ascii="Palatino Linotype" w:eastAsia="Palatino Linotype" w:hAnsi="Palatino Linotype" w:cs="Palatino Linotype"/>
        </w:rPr>
        <w:lastRenderedPageBreak/>
        <w:t>En este sentido, de los preceptos normativos previamente citados, se tiene que</w:t>
      </w:r>
      <w:r w:rsidR="00D92DA0" w:rsidRPr="00CA12D6">
        <w:rPr>
          <w:rFonts w:ascii="Palatino Linotype" w:eastAsia="Palatino Linotype" w:hAnsi="Palatino Linotype" w:cs="Palatino Linotype"/>
        </w:rPr>
        <w:t xml:space="preserve"> es atribución de la Contraloría Municipal formular observaciones en los casos en los que las circunstancias </w:t>
      </w:r>
      <w:r w:rsidR="00F31734" w:rsidRPr="00CA12D6">
        <w:rPr>
          <w:rFonts w:ascii="Palatino Linotype" w:eastAsia="Palatino Linotype" w:hAnsi="Palatino Linotype" w:cs="Palatino Linotype"/>
        </w:rPr>
        <w:t xml:space="preserve">derivadas del proceso de entrega recepción; </w:t>
      </w:r>
      <w:r w:rsidR="00D92DA0" w:rsidRPr="00CA12D6">
        <w:rPr>
          <w:rFonts w:ascii="Palatino Linotype" w:eastAsia="Palatino Linotype" w:hAnsi="Palatino Linotype" w:cs="Palatino Linotype"/>
        </w:rPr>
        <w:t>así lo requieran</w:t>
      </w:r>
      <w:r w:rsidR="00F31734" w:rsidRPr="00CA12D6">
        <w:rPr>
          <w:rFonts w:ascii="Palatino Linotype" w:eastAsia="Palatino Linotype" w:hAnsi="Palatino Linotype" w:cs="Palatino Linotype"/>
        </w:rPr>
        <w:t xml:space="preserve">. </w:t>
      </w:r>
    </w:p>
    <w:p w14:paraId="620C2AC8" w14:textId="77777777" w:rsidR="00F31734" w:rsidRPr="00CA12D6" w:rsidRDefault="00F31734">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Por lo anterior, el Pleno de este Instituto determina dable ordenar la entrega</w:t>
      </w:r>
      <w:r w:rsidR="00BD7BA9" w:rsidRPr="00CA12D6">
        <w:rPr>
          <w:rFonts w:ascii="Palatino Linotype" w:eastAsia="Palatino Linotype" w:hAnsi="Palatino Linotype" w:cs="Palatino Linotype"/>
        </w:rPr>
        <w:t xml:space="preserve"> en versión pública, </w:t>
      </w:r>
      <w:r w:rsidRPr="00CA12D6">
        <w:rPr>
          <w:rFonts w:ascii="Palatino Linotype" w:eastAsia="Palatino Linotype" w:hAnsi="Palatino Linotype" w:cs="Palatino Linotype"/>
        </w:rPr>
        <w:t xml:space="preserve">las actas de entrega-recepción generadas del </w:t>
      </w:r>
      <w:r w:rsidR="00534E7F" w:rsidRPr="00CA12D6">
        <w:rPr>
          <w:rFonts w:ascii="Palatino Linotype" w:eastAsia="Palatino Linotype" w:hAnsi="Palatino Linotype" w:cs="Palatino Linotype"/>
        </w:rPr>
        <w:t>uno de enero al veintinueve de agosto de dos mil veintidós que contengan observaciones realizadas por la Contraloría M</w:t>
      </w:r>
      <w:r w:rsidR="00BD7BA9" w:rsidRPr="00CA12D6">
        <w:rPr>
          <w:rFonts w:ascii="Palatino Linotype" w:eastAsia="Palatino Linotype" w:hAnsi="Palatino Linotype" w:cs="Palatino Linotype"/>
        </w:rPr>
        <w:t xml:space="preserve">unicipal; atendiendo las formalidades establecidas en el considerando siguiente. </w:t>
      </w:r>
    </w:p>
    <w:p w14:paraId="07D2159F"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t xml:space="preserve">Quinto. Versión Pública. </w:t>
      </w:r>
      <w:r w:rsidRPr="00CA12D6">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21943BDF" w14:textId="77777777" w:rsidR="008D0358" w:rsidRPr="00CA12D6" w:rsidRDefault="008D0358" w:rsidP="008D0358">
      <w:pPr>
        <w:spacing w:before="240" w:after="240" w:line="360" w:lineRule="auto"/>
        <w:ind w:right="50"/>
        <w:jc w:val="both"/>
        <w:rPr>
          <w:rFonts w:ascii="Palatino Linotype" w:eastAsia="Palatino Linotype" w:hAnsi="Palatino Linotype" w:cs="Palatino Linotype"/>
        </w:rPr>
      </w:pPr>
      <w:r w:rsidRPr="00CA12D6">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4EC99BF3"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r w:rsidRPr="00CA12D6">
        <w:rPr>
          <w:rFonts w:ascii="Palatino Linotype" w:eastAsia="Palatino Linotype" w:hAnsi="Palatino Linotype" w:cs="Palatino Linotype"/>
          <w:b/>
          <w:i/>
          <w:sz w:val="22"/>
          <w:szCs w:val="22"/>
        </w:rPr>
        <w:t>Artículo 3</w:t>
      </w:r>
      <w:r w:rsidRPr="00CA12D6">
        <w:rPr>
          <w:rFonts w:ascii="Palatino Linotype" w:eastAsia="Palatino Linotype" w:hAnsi="Palatino Linotype" w:cs="Palatino Linotype"/>
          <w:i/>
          <w:sz w:val="22"/>
          <w:szCs w:val="22"/>
        </w:rPr>
        <w:t>. Para los efectos de la presente Ley se entenderá por:</w:t>
      </w:r>
    </w:p>
    <w:p w14:paraId="27708D20"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p>
    <w:p w14:paraId="23E2C1EB"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lastRenderedPageBreak/>
        <w:t>IX. Datos personales:</w:t>
      </w:r>
      <w:r w:rsidRPr="00CA12D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D361E2D"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XX. Información clasificada</w:t>
      </w:r>
      <w:r w:rsidRPr="00CA12D6">
        <w:rPr>
          <w:rFonts w:ascii="Palatino Linotype" w:eastAsia="Palatino Linotype" w:hAnsi="Palatino Linotype" w:cs="Palatino Linotype"/>
          <w:i/>
          <w:sz w:val="22"/>
          <w:szCs w:val="22"/>
        </w:rPr>
        <w:t>: Aquella considerada por la presente Ley como reservada o confidencial;</w:t>
      </w:r>
    </w:p>
    <w:p w14:paraId="30307AF7"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XXI. Información confidencial:</w:t>
      </w:r>
      <w:r w:rsidRPr="00CA12D6">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EA2EAB"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XLV. Versión pública:</w:t>
      </w:r>
      <w:r w:rsidRPr="00CA12D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90D4744"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p>
    <w:p w14:paraId="5D73B9D1"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Artículo 91. </w:t>
      </w:r>
      <w:r w:rsidRPr="00CA12D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BAC7705"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Artículo 132. </w:t>
      </w:r>
      <w:r w:rsidRPr="00CA12D6">
        <w:rPr>
          <w:rFonts w:ascii="Palatino Linotype" w:eastAsia="Palatino Linotype" w:hAnsi="Palatino Linotype" w:cs="Palatino Linotype"/>
          <w:i/>
          <w:sz w:val="22"/>
          <w:szCs w:val="22"/>
        </w:rPr>
        <w:t>La clasificación de la información se llevará a cabo en el momento en que:</w:t>
      </w:r>
    </w:p>
    <w:p w14:paraId="625ECA77"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I</w:t>
      </w:r>
      <w:r w:rsidRPr="00CA12D6">
        <w:rPr>
          <w:rFonts w:ascii="Palatino Linotype" w:eastAsia="Palatino Linotype" w:hAnsi="Palatino Linotype" w:cs="Palatino Linotype"/>
          <w:i/>
          <w:sz w:val="22"/>
          <w:szCs w:val="22"/>
        </w:rPr>
        <w:t>. Se reciba una solicitud de acceso a la información;</w:t>
      </w:r>
    </w:p>
    <w:p w14:paraId="698A144A"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II</w:t>
      </w:r>
      <w:r w:rsidRPr="00CA12D6">
        <w:rPr>
          <w:rFonts w:ascii="Palatino Linotype" w:eastAsia="Palatino Linotype" w:hAnsi="Palatino Linotype" w:cs="Palatino Linotype"/>
          <w:i/>
          <w:sz w:val="22"/>
          <w:szCs w:val="22"/>
        </w:rPr>
        <w:t>. Se determine mediante resolución de autoridad competente; o</w:t>
      </w:r>
    </w:p>
    <w:p w14:paraId="71394BA6"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III</w:t>
      </w:r>
      <w:r w:rsidRPr="00CA12D6">
        <w:rPr>
          <w:rFonts w:ascii="Palatino Linotype" w:eastAsia="Palatino Linotype" w:hAnsi="Palatino Linotype" w:cs="Palatino Linotype"/>
          <w:i/>
          <w:sz w:val="22"/>
          <w:szCs w:val="22"/>
        </w:rPr>
        <w:t>. Se generen versiones públicas para dar cumplimiento a las obligaciones de transparencia previstas en esta Ley.</w:t>
      </w:r>
    </w:p>
    <w:p w14:paraId="3E18074E"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w:t>
      </w:r>
    </w:p>
    <w:p w14:paraId="3ADD19AC"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Artículo 143</w:t>
      </w:r>
      <w:r w:rsidRPr="00CA12D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F2EA942"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I.</w:t>
      </w:r>
      <w:r w:rsidRPr="00CA12D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C2037A5"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II.</w:t>
      </w:r>
      <w:r w:rsidRPr="00CA12D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B0399A6"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III</w:t>
      </w:r>
      <w:r w:rsidRPr="00CA12D6">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42A2D94"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1234A0E" w14:textId="77777777" w:rsidR="008D0358" w:rsidRPr="00CA12D6" w:rsidRDefault="008D0358" w:rsidP="008D0358">
      <w:pPr>
        <w:spacing w:before="120" w:after="120"/>
        <w:ind w:left="567" w:right="902"/>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41DCB2E8" w14:textId="77777777" w:rsidR="008D0358" w:rsidRPr="00CA12D6" w:rsidRDefault="008D0358" w:rsidP="008D0358">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AC8547C"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siendo estas las siguientes:</w:t>
      </w:r>
    </w:p>
    <w:p w14:paraId="025DF510" w14:textId="77777777" w:rsidR="008D0358" w:rsidRPr="00CA12D6" w:rsidRDefault="008D0358" w:rsidP="008D0358">
      <w:pPr>
        <w:spacing w:line="360" w:lineRule="auto"/>
        <w:jc w:val="both"/>
        <w:rPr>
          <w:rFonts w:ascii="Palatino Linotype" w:eastAsia="Palatino Linotype" w:hAnsi="Palatino Linotype" w:cs="Palatino Linotype"/>
        </w:rPr>
      </w:pPr>
    </w:p>
    <w:p w14:paraId="698F1C62" w14:textId="77777777" w:rsidR="008D0358" w:rsidRPr="00CA12D6" w:rsidRDefault="008D0358" w:rsidP="008D0358">
      <w:pPr>
        <w:spacing w:line="276" w:lineRule="auto"/>
        <w:ind w:left="567"/>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“CAPÍTULO VIII </w:t>
      </w:r>
    </w:p>
    <w:p w14:paraId="3240D6F0" w14:textId="77777777" w:rsidR="008D0358" w:rsidRPr="00CA12D6" w:rsidRDefault="008D0358" w:rsidP="008D0358">
      <w:pPr>
        <w:spacing w:line="276" w:lineRule="auto"/>
        <w:ind w:left="567"/>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DE LOS ELEMENTOS PARA LA CLASIFICACIÓN </w:t>
      </w:r>
    </w:p>
    <w:p w14:paraId="7C827EEA" w14:textId="77777777" w:rsidR="008D0358" w:rsidRPr="00CA12D6" w:rsidRDefault="008D0358" w:rsidP="008D0358">
      <w:pP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Quincuagésimo.</w:t>
      </w:r>
      <w:r w:rsidRPr="00CA12D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54BCD05" w14:textId="77777777" w:rsidR="008D0358" w:rsidRPr="00CA12D6" w:rsidRDefault="008D0358" w:rsidP="008D0358">
      <w:pP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Quincuagésimo primero.</w:t>
      </w:r>
      <w:r w:rsidRPr="00CA12D6">
        <w:rPr>
          <w:rFonts w:ascii="Palatino Linotype" w:eastAsia="Palatino Linotype" w:hAnsi="Palatino Linotype" w:cs="Palatino Linotype"/>
          <w:i/>
          <w:sz w:val="22"/>
          <w:szCs w:val="22"/>
        </w:rPr>
        <w:t xml:space="preserve"> Toda acta del Comité de Transparencia deberá contener: </w:t>
      </w:r>
    </w:p>
    <w:p w14:paraId="380515F4" w14:textId="77777777" w:rsidR="008D0358" w:rsidRPr="00CA12D6" w:rsidRDefault="008D0358" w:rsidP="00D21E96">
      <w:pPr>
        <w:numPr>
          <w:ilvl w:val="1"/>
          <w:numId w:val="10"/>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El número de sesión y fecha; </w:t>
      </w:r>
    </w:p>
    <w:p w14:paraId="36280304" w14:textId="77777777" w:rsidR="008D0358" w:rsidRPr="00CA12D6" w:rsidRDefault="00D21E96" w:rsidP="00D21E9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roofErr w:type="spellStart"/>
      <w:r w:rsidRPr="00CA12D6">
        <w:rPr>
          <w:rFonts w:ascii="Palatino Linotype" w:eastAsia="Palatino Linotype" w:hAnsi="Palatino Linotype" w:cs="Palatino Linotype"/>
          <w:i/>
          <w:sz w:val="22"/>
          <w:szCs w:val="22"/>
        </w:rPr>
        <w:t>II.</w:t>
      </w:r>
      <w:r w:rsidR="008D0358" w:rsidRPr="00CA12D6">
        <w:rPr>
          <w:rFonts w:ascii="Palatino Linotype" w:eastAsia="Palatino Linotype" w:hAnsi="Palatino Linotype" w:cs="Palatino Linotype"/>
          <w:i/>
          <w:sz w:val="22"/>
          <w:szCs w:val="22"/>
        </w:rPr>
        <w:t>El</w:t>
      </w:r>
      <w:proofErr w:type="spellEnd"/>
      <w:r w:rsidR="008D0358" w:rsidRPr="00CA12D6">
        <w:rPr>
          <w:rFonts w:ascii="Palatino Linotype" w:eastAsia="Palatino Linotype" w:hAnsi="Palatino Linotype" w:cs="Palatino Linotype"/>
          <w:i/>
          <w:sz w:val="22"/>
          <w:szCs w:val="22"/>
        </w:rPr>
        <w:t xml:space="preserve"> nombre del área que solicitó la clasificación de información; </w:t>
      </w:r>
    </w:p>
    <w:p w14:paraId="38086DF8" w14:textId="77777777" w:rsidR="008D0358" w:rsidRPr="00CA12D6" w:rsidRDefault="008D0358" w:rsidP="00D21E96">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lastRenderedPageBreak/>
        <w:t xml:space="preserve">La fundamentación legal y motivación correspondiente; </w:t>
      </w:r>
    </w:p>
    <w:p w14:paraId="366FA1CE" w14:textId="77777777" w:rsidR="008D0358" w:rsidRPr="00CA12D6" w:rsidRDefault="008D0358" w:rsidP="00D21E96">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La resolución o resoluciones aprobadas; y </w:t>
      </w:r>
    </w:p>
    <w:p w14:paraId="739F2616" w14:textId="77777777" w:rsidR="008D0358" w:rsidRPr="00CA12D6" w:rsidRDefault="008D0358" w:rsidP="00D21E96">
      <w:pPr>
        <w:numPr>
          <w:ilvl w:val="1"/>
          <w:numId w:val="10"/>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La rúbrica o firma digital de cada integrante del Comité de Transparencia. </w:t>
      </w:r>
    </w:p>
    <w:p w14:paraId="3B851A6B"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C536198"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I. Los motivos y razonamientos que sustenten la confirmación o modificación de la prueba de daño;</w:t>
      </w:r>
    </w:p>
    <w:p w14:paraId="25D4058C"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II. Descripción de las partes o secciones reservadas, en caso de clasificación parcial; </w:t>
      </w:r>
    </w:p>
    <w:p w14:paraId="51E5931E"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III. El periodo por el que mantendrá su clasificación y fecha de expiración; y </w:t>
      </w:r>
    </w:p>
    <w:p w14:paraId="6F49B5C5"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9CF3887"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DB89DE3"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E8DD745"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Quincuagésimo segundo. </w:t>
      </w:r>
      <w:r w:rsidRPr="00CA12D6">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28848AF"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1593A84"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I. Fijar la fecha en que se elaboró la versión pública y la fecha en la cual el Comité de</w:t>
      </w:r>
    </w:p>
    <w:p w14:paraId="4726A4BB"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Transparencia confirmó dicha versión;</w:t>
      </w:r>
    </w:p>
    <w:p w14:paraId="308A7E6A"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C20723D"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III. Señalar las personas o instancias autorizadas a acceder a la información clasificada.</w:t>
      </w:r>
    </w:p>
    <w:p w14:paraId="13CB5DD0"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lastRenderedPageBreak/>
        <w:t>En los documentos de difusión electrónica, señalar en la primera hoja y en el nombre del archivo, que la versión pública corresponde a un documento que contiene información confidencial.</w:t>
      </w:r>
      <w:r w:rsidRPr="00CA12D6">
        <w:rPr>
          <w:noProof/>
          <w:lang w:val="es-MX" w:eastAsia="es-MX"/>
        </w:rPr>
        <w:drawing>
          <wp:anchor distT="0" distB="0" distL="114300" distR="114300" simplePos="0" relativeHeight="251659264" behindDoc="0" locked="0" layoutInCell="1" hidden="0" allowOverlap="1" wp14:anchorId="6551DEF2" wp14:editId="10E2C927">
            <wp:simplePos x="0" y="0"/>
            <wp:positionH relativeFrom="column">
              <wp:posOffset>377190</wp:posOffset>
            </wp:positionH>
            <wp:positionV relativeFrom="paragraph">
              <wp:posOffset>798830</wp:posOffset>
            </wp:positionV>
            <wp:extent cx="4568190" cy="330200"/>
            <wp:effectExtent l="0" t="0" r="0" b="0"/>
            <wp:wrapTopAndBottom distT="0" distB="0"/>
            <wp:docPr id="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568190" cy="330200"/>
                    </a:xfrm>
                    <a:prstGeom prst="rect">
                      <a:avLst/>
                    </a:prstGeom>
                    <a:ln/>
                  </pic:spPr>
                </pic:pic>
              </a:graphicData>
            </a:graphic>
          </wp:anchor>
        </w:drawing>
      </w:r>
    </w:p>
    <w:p w14:paraId="7BDAAB42"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noProof/>
          <w:sz w:val="22"/>
          <w:szCs w:val="22"/>
          <w:lang w:val="es-MX" w:eastAsia="es-MX"/>
        </w:rPr>
        <w:drawing>
          <wp:inline distT="0" distB="0" distL="0" distR="0" wp14:anchorId="674B8B79" wp14:editId="58328489">
            <wp:extent cx="4576404" cy="5139653"/>
            <wp:effectExtent l="0" t="0" r="0" b="0"/>
            <wp:docPr id="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576404" cy="5139653"/>
                    </a:xfrm>
                    <a:prstGeom prst="rect">
                      <a:avLst/>
                    </a:prstGeom>
                    <a:ln/>
                  </pic:spPr>
                </pic:pic>
              </a:graphicData>
            </a:graphic>
          </wp:inline>
        </w:drawing>
      </w:r>
    </w:p>
    <w:p w14:paraId="0EE8F3BF"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19DBA81A"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Quincuagésimo cuarto. </w:t>
      </w:r>
      <w:r w:rsidRPr="00CA12D6">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clasificación o, en su </w:t>
      </w:r>
      <w:r w:rsidRPr="00CA12D6">
        <w:rPr>
          <w:rFonts w:ascii="Palatino Linotype" w:eastAsia="Palatino Linotype" w:hAnsi="Palatino Linotype" w:cs="Palatino Linotype"/>
          <w:i/>
          <w:sz w:val="22"/>
          <w:szCs w:val="22"/>
        </w:rPr>
        <w:lastRenderedPageBreak/>
        <w:t>defecto, identificar en la carátula del expediente del cual formen parte, la fecha y sesión del Comité de Transparencia en la que se confirmó dicha clasificación.</w:t>
      </w:r>
    </w:p>
    <w:p w14:paraId="1ACCAC63"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38FE1B9F" w14:textId="77777777" w:rsidR="008D0358" w:rsidRPr="00CA12D6" w:rsidRDefault="008D0358" w:rsidP="008D0358">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b/>
          <w:i/>
          <w:sz w:val="22"/>
          <w:szCs w:val="22"/>
        </w:rPr>
        <w:t xml:space="preserve">Quincuagésimo quinto. </w:t>
      </w:r>
      <w:r w:rsidRPr="00CA12D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A12D6">
        <w:rPr>
          <w:rFonts w:ascii="Palatino Linotype" w:eastAsia="Palatino Linotype" w:hAnsi="Palatino Linotype" w:cs="Palatino Linotype"/>
          <w:i/>
          <w:sz w:val="22"/>
          <w:szCs w:val="22"/>
        </w:rPr>
        <w:t>testado</w:t>
      </w:r>
      <w:proofErr w:type="spellEnd"/>
      <w:r w:rsidRPr="00CA12D6">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07766B72" w14:textId="77777777" w:rsidR="008D0358" w:rsidRPr="00CA12D6" w:rsidRDefault="008D0358" w:rsidP="008D0358">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504AF3B" w14:textId="77777777" w:rsidR="008D0358" w:rsidRPr="00CA12D6" w:rsidRDefault="008D0358" w:rsidP="008D0358">
      <w:p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Ahora bien, con relación a las observaciones de las actas de entrega-recepción que serán materia de cumplimiento se destaca que para el caso de que derivado de dichas observaciones se encuentre en trámite algún tipo de procedimiento de responsabilidad administrativa,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deberá emitir el Acuerdo del Comité de Transparencia, donde clasifique de manera fundada y motivada estos soportes documentales, ello en términos de los artículos 49, fracciones II y VIII, 140, </w:t>
      </w:r>
      <w:r w:rsidRPr="00CA12D6">
        <w:rPr>
          <w:rFonts w:ascii="Palatino Linotype" w:eastAsia="Palatino Linotype" w:hAnsi="Palatino Linotype" w:cs="Palatino Linotype"/>
        </w:rPr>
        <w:lastRenderedPageBreak/>
        <w:t>fracción VIII y 141 de la Ley de Transparencia y Acceso a la Información Pública del Estado de México y Municipios.</w:t>
      </w:r>
    </w:p>
    <w:p w14:paraId="7FC35AD3" w14:textId="77777777" w:rsidR="008D0358" w:rsidRPr="00CA12D6" w:rsidRDefault="008D0358" w:rsidP="008D0358">
      <w:p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Bajo este contexto, se considera que en el supuesto de que la información se encuentre en alguno de los supuestos antes establecidos, el </w:t>
      </w:r>
      <w:r w:rsidRPr="00CA12D6">
        <w:rPr>
          <w:rFonts w:ascii="Palatino Linotype" w:eastAsia="Palatino Linotype" w:hAnsi="Palatino Linotype" w:cs="Palatino Linotype"/>
          <w:b/>
        </w:rPr>
        <w:t>Sujeto Obligado</w:t>
      </w:r>
      <w:r w:rsidRPr="00CA12D6">
        <w:rPr>
          <w:rFonts w:ascii="Palatino Linotype" w:eastAsia="Palatino Linotype" w:hAnsi="Palatino Linotype" w:cs="Palatino Linotype"/>
        </w:rPr>
        <w:t xml:space="preserve"> deberá clasificar las observaciones, emitiendo en su caso el acuerdo correspondiente</w:t>
      </w:r>
      <w:r w:rsidRPr="00CA12D6">
        <w:rPr>
          <w:rFonts w:ascii="Palatino Linotype" w:eastAsia="Palatino Linotype" w:hAnsi="Palatino Linotype" w:cs="Palatino Linotype"/>
          <w:b/>
        </w:rPr>
        <w:t>,</w:t>
      </w:r>
      <w:r w:rsidRPr="00CA12D6">
        <w:rPr>
          <w:rFonts w:ascii="Palatino Linotype" w:eastAsia="Palatino Linotype" w:hAnsi="Palatino Linotype" w:cs="Palatino Linotype"/>
        </w:rPr>
        <w:t xml:space="preserve"> luego entonces, para realizar la reserva de la información, no basta con invocar alguna de las causales previstas en la Ley de transparencia local. En sentido contrario, dicha valoración debe realizarse a través de lo que se conoce como </w:t>
      </w:r>
      <w:r w:rsidRPr="00CA12D6">
        <w:rPr>
          <w:rFonts w:ascii="Palatino Linotype" w:eastAsia="Palatino Linotype" w:hAnsi="Palatino Linotype" w:cs="Palatino Linotype"/>
          <w:b/>
          <w:i/>
        </w:rPr>
        <w:t xml:space="preserve">“prueba de daño”, </w:t>
      </w:r>
      <w:r w:rsidRPr="00CA12D6">
        <w:rPr>
          <w:rFonts w:ascii="Palatino Linotype" w:eastAsia="Palatino Linotype" w:hAnsi="Palatino Linotype" w:cs="Palatino Linotype"/>
        </w:rPr>
        <w:t>que consiste en exponer los argumentos y razones, basados en elementos objetivos o verificables, a partir de los cuales se derive que la divulgación de información, en particular, puede afectar, poner en riesgo o dañar el interés protegido</w:t>
      </w:r>
      <w:r w:rsidRPr="00CA12D6">
        <w:rPr>
          <w:vertAlign w:val="superscript"/>
        </w:rPr>
        <w:footnoteReference w:id="3"/>
      </w:r>
      <w:r w:rsidRPr="00CA12D6">
        <w:rPr>
          <w:rFonts w:ascii="Palatino Linotype" w:eastAsia="Palatino Linotype" w:hAnsi="Palatino Linotype" w:cs="Palatino Linotype"/>
        </w:rPr>
        <w:t>. Asimismo, ésta no debe basarse en meras especulaciones o suposiciones, sino en elementos objetivos que deban evaluar que existe un riego actual e inminente</w:t>
      </w:r>
      <w:r w:rsidRPr="00CA12D6">
        <w:rPr>
          <w:vertAlign w:val="superscript"/>
        </w:rPr>
        <w:footnoteReference w:id="4"/>
      </w:r>
      <w:r w:rsidRPr="00CA12D6">
        <w:rPr>
          <w:rFonts w:ascii="Palatino Linotype" w:eastAsia="Palatino Linotype" w:hAnsi="Palatino Linotype" w:cs="Palatino Linotype"/>
        </w:rPr>
        <w:t>.</w:t>
      </w:r>
    </w:p>
    <w:p w14:paraId="04803C2E" w14:textId="77777777" w:rsidR="008D0358" w:rsidRPr="00CA12D6" w:rsidRDefault="008D0358" w:rsidP="008D0358">
      <w:pPr>
        <w:spacing w:line="360" w:lineRule="auto"/>
        <w:jc w:val="both"/>
        <w:rPr>
          <w:rFonts w:ascii="Palatino Linotype" w:eastAsia="Palatino Linotype" w:hAnsi="Palatino Linotype" w:cs="Palatino Linotype"/>
          <w:b/>
        </w:rPr>
      </w:pPr>
    </w:p>
    <w:p w14:paraId="46915700"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w:t>
      </w:r>
      <w:r w:rsidRPr="00CA12D6">
        <w:rPr>
          <w:rFonts w:ascii="Palatino Linotype" w:eastAsia="Palatino Linotype" w:hAnsi="Palatino Linotype" w:cs="Palatino Linotype"/>
        </w:rPr>
        <w:lastRenderedPageBreak/>
        <w:t xml:space="preserve">caso por caso, esto es, no se puede hacer una prueba de daño de un expediente completo, </w:t>
      </w:r>
      <w:r w:rsidRPr="00CA12D6">
        <w:rPr>
          <w:rFonts w:ascii="Palatino Linotype" w:eastAsia="Palatino Linotype" w:hAnsi="Palatino Linotype" w:cs="Palatino Linotype"/>
          <w:b/>
          <w:u w:val="single"/>
        </w:rPr>
        <w:t>sino de cada uno de los documentos que lo integran</w:t>
      </w:r>
      <w:r w:rsidRPr="00CA12D6">
        <w:rPr>
          <w:rFonts w:ascii="Palatino Linotype" w:eastAsia="Palatino Linotype" w:hAnsi="Palatino Linotype" w:cs="Palatino Linotype"/>
        </w:rPr>
        <w:t>.</w:t>
      </w:r>
    </w:p>
    <w:p w14:paraId="50C36DDF" w14:textId="77777777" w:rsidR="008D0358" w:rsidRPr="00CA12D6" w:rsidRDefault="008D0358" w:rsidP="008D0358">
      <w:pPr>
        <w:spacing w:line="360" w:lineRule="auto"/>
        <w:jc w:val="both"/>
        <w:rPr>
          <w:rFonts w:ascii="Palatino Linotype" w:eastAsia="Palatino Linotype" w:hAnsi="Palatino Linotype" w:cs="Palatino Linotype"/>
        </w:rPr>
      </w:pPr>
    </w:p>
    <w:p w14:paraId="745AD9CD"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Para aplicar la prueba de daño, se deberán de precisar las razones objetivas por las que la apertura genera una afectación, acreditando que:</w:t>
      </w:r>
    </w:p>
    <w:p w14:paraId="5C628CD9" w14:textId="77777777" w:rsidR="008D0358" w:rsidRPr="00CA12D6" w:rsidRDefault="008D0358" w:rsidP="008D0358">
      <w:pPr>
        <w:spacing w:line="360" w:lineRule="auto"/>
        <w:jc w:val="both"/>
        <w:rPr>
          <w:rFonts w:ascii="Palatino Linotype" w:eastAsia="Palatino Linotype" w:hAnsi="Palatino Linotype" w:cs="Palatino Linotype"/>
        </w:rPr>
      </w:pPr>
    </w:p>
    <w:p w14:paraId="4BC258F1" w14:textId="77777777" w:rsidR="008D0358" w:rsidRPr="00CA12D6" w:rsidRDefault="008D0358" w:rsidP="008D0358">
      <w:pPr>
        <w:widowControl w:val="0"/>
        <w:spacing w:after="240" w:line="360" w:lineRule="auto"/>
        <w:ind w:left="567" w:right="851"/>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I. La divulgación de la información representa un riesgo real, demostrable e identificable del perjuicio significativo al interés público o a la seguridad pública; </w:t>
      </w:r>
    </w:p>
    <w:p w14:paraId="79DAF5E8" w14:textId="77777777" w:rsidR="008D0358" w:rsidRPr="00CA12D6" w:rsidRDefault="008D0358" w:rsidP="008D0358">
      <w:pPr>
        <w:widowControl w:val="0"/>
        <w:spacing w:after="240" w:line="360" w:lineRule="auto"/>
        <w:ind w:left="567" w:right="851"/>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II. El riesgo de perjuicio que supondría la divulgación supera el interés público general de que se difunda; y </w:t>
      </w:r>
    </w:p>
    <w:p w14:paraId="6018B5BF" w14:textId="77777777" w:rsidR="008D0358" w:rsidRPr="00CA12D6" w:rsidRDefault="008D0358" w:rsidP="008D0358">
      <w:pPr>
        <w:widowControl w:val="0"/>
        <w:spacing w:after="240" w:line="360" w:lineRule="auto"/>
        <w:ind w:left="567" w:right="851"/>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III. La limitación se adecua al principio de proporcionalidad y representa el medio menos restrictivo disponible para evitar el perjuicio. </w:t>
      </w:r>
    </w:p>
    <w:p w14:paraId="2F0152F4"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0D82A10" w14:textId="77777777" w:rsidR="008D0358" w:rsidRPr="00CA12D6" w:rsidRDefault="008D0358" w:rsidP="008D0358">
      <w:pPr>
        <w:spacing w:line="360" w:lineRule="auto"/>
        <w:jc w:val="both"/>
        <w:rPr>
          <w:rFonts w:ascii="Palatino Linotype" w:eastAsia="Palatino Linotype" w:hAnsi="Palatino Linotype" w:cs="Palatino Linotype"/>
        </w:rPr>
      </w:pPr>
    </w:p>
    <w:p w14:paraId="5FD29655"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Identificado ese riesgo, se debe demostrar que el mismo supera el interés público general porque se difunda dicha información. </w:t>
      </w:r>
    </w:p>
    <w:p w14:paraId="2CDE11A6" w14:textId="77777777" w:rsidR="008D0358" w:rsidRPr="00CA12D6" w:rsidRDefault="008D0358" w:rsidP="008D0358">
      <w:pPr>
        <w:spacing w:line="360" w:lineRule="auto"/>
        <w:jc w:val="both"/>
        <w:rPr>
          <w:rFonts w:ascii="Palatino Linotype" w:eastAsia="Palatino Linotype" w:hAnsi="Palatino Linotype" w:cs="Palatino Linotype"/>
        </w:rPr>
      </w:pPr>
    </w:p>
    <w:p w14:paraId="5E57CDD1"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Y, por último,  que la limitación es acorde con el principio de proporcionalidad, para ello, se sugiere emplear los tres juicios propuestos por la Corte Constitucional Colombiana</w:t>
      </w:r>
      <w:r w:rsidRPr="00CA12D6">
        <w:rPr>
          <w:rFonts w:ascii="Palatino Linotype" w:eastAsia="Palatino Linotype" w:hAnsi="Palatino Linotype" w:cs="Palatino Linotype"/>
          <w:vertAlign w:val="superscript"/>
        </w:rPr>
        <w:footnoteReference w:id="5"/>
      </w:r>
      <w:r w:rsidRPr="00CA12D6">
        <w:rPr>
          <w:rFonts w:ascii="Palatino Linotype" w:eastAsia="Palatino Linotype" w:hAnsi="Palatino Linotype" w:cs="Palatino Linotype"/>
        </w:rPr>
        <w:t>, siguiendo el principio de ponderación propuesto por el Tribunal Constitucional Alemán,</w:t>
      </w:r>
      <w:r w:rsidRPr="00CA12D6">
        <w:rPr>
          <w:rFonts w:ascii="Palatino Linotype" w:eastAsia="Palatino Linotype" w:hAnsi="Palatino Linotype" w:cs="Palatino Linotype"/>
          <w:vertAlign w:val="superscript"/>
        </w:rPr>
        <w:footnoteReference w:id="6"/>
      </w:r>
      <w:r w:rsidRPr="00CA12D6">
        <w:rPr>
          <w:rFonts w:ascii="Palatino Linotype" w:eastAsia="Palatino Linotype" w:hAnsi="Palatino Linotype" w:cs="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97FB3D3" w14:textId="77777777" w:rsidR="00F2199E" w:rsidRPr="00CA12D6" w:rsidRDefault="00F2199E" w:rsidP="008D0358">
      <w:pPr>
        <w:spacing w:line="360" w:lineRule="auto"/>
        <w:jc w:val="both"/>
        <w:rPr>
          <w:rFonts w:ascii="Palatino Linotype" w:eastAsia="Palatino Linotype" w:hAnsi="Palatino Linotype" w:cs="Palatino Linotype"/>
        </w:rPr>
      </w:pPr>
    </w:p>
    <w:p w14:paraId="63228AE1" w14:textId="77777777" w:rsidR="008D0358" w:rsidRPr="00CA12D6" w:rsidRDefault="008D0358" w:rsidP="008D0358">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Es así, </w:t>
      </w:r>
      <w:proofErr w:type="gramStart"/>
      <w:r w:rsidRPr="00CA12D6">
        <w:rPr>
          <w:rFonts w:ascii="Palatino Linotype" w:eastAsia="Palatino Linotype" w:hAnsi="Palatino Linotype" w:cs="Palatino Linotype"/>
        </w:rPr>
        <w:t>que</w:t>
      </w:r>
      <w:proofErr w:type="gramEnd"/>
      <w:r w:rsidRPr="00CA12D6">
        <w:rPr>
          <w:rFonts w:ascii="Palatino Linotype" w:eastAsia="Palatino Linotype" w:hAnsi="Palatino Linotype" w:cs="Palatino Linotype"/>
        </w:rPr>
        <w:t xml:space="preserve"> al configurarse tales requisitos, se otorga certidumbre jurídica y se protege la esfera más íntima del derecho humano constitucional y convencionalmente reconocido. </w:t>
      </w:r>
    </w:p>
    <w:p w14:paraId="3F36C2CA" w14:textId="77777777" w:rsidR="008D0358" w:rsidRPr="00CA12D6" w:rsidRDefault="008D0358" w:rsidP="008D0358">
      <w:p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lastRenderedPageBreak/>
        <w:t>En virtud de lo anterior, se desprende que los Acuerdos de Reserva deberán de cumplir los siguientes parámetros de forma y fondo:</w:t>
      </w:r>
    </w:p>
    <w:p w14:paraId="32DB8C2F"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Número de folio de la solicitud</w:t>
      </w:r>
    </w:p>
    <w:p w14:paraId="2B9DC7E2"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Referencia a la información solicitada</w:t>
      </w:r>
    </w:p>
    <w:p w14:paraId="5F09F6A7"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Causal aplicable del artículo 113 de la Ley General, vinculándola con el Lineamiento específico del presente ordenamiento y, cuando corresponda, el supuesto normativo que expresamente le otorga el carácter de información reservada</w:t>
      </w:r>
    </w:p>
    <w:p w14:paraId="1C483E6F"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Fundamento y motivación legal</w:t>
      </w:r>
    </w:p>
    <w:p w14:paraId="1A8FF308"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Conexión entre los fundamentos y motivos que dieron origen a la reserva de la información</w:t>
      </w:r>
    </w:p>
    <w:p w14:paraId="1F6B310E" w14:textId="77777777" w:rsidR="008D0358" w:rsidRPr="00CA12D6" w:rsidRDefault="008D0358" w:rsidP="008D0358">
      <w:pPr>
        <w:spacing w:before="240" w:line="360" w:lineRule="auto"/>
        <w:jc w:val="both"/>
        <w:rPr>
          <w:rFonts w:ascii="Palatino Linotype" w:eastAsia="Palatino Linotype" w:hAnsi="Palatino Linotype" w:cs="Palatino Linotype"/>
          <w:b/>
        </w:rPr>
      </w:pPr>
      <w:r w:rsidRPr="00CA12D6">
        <w:rPr>
          <w:rFonts w:ascii="Palatino Linotype" w:eastAsia="Palatino Linotype" w:hAnsi="Palatino Linotype" w:cs="Palatino Linotype"/>
          <w:b/>
        </w:rPr>
        <w:t xml:space="preserve">Prueba de daño </w:t>
      </w:r>
    </w:p>
    <w:p w14:paraId="6E45B3EF"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Riesgo real, demostrable e identificable (modo, tiempo y lugar)</w:t>
      </w:r>
    </w:p>
    <w:p w14:paraId="0314CD77"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Temporalidad de la reserva de la información</w:t>
      </w:r>
    </w:p>
    <w:p w14:paraId="501B0899" w14:textId="77777777" w:rsidR="008D0358" w:rsidRPr="00CA12D6" w:rsidRDefault="008D0358" w:rsidP="008D0358">
      <w:pPr>
        <w:numPr>
          <w:ilvl w:val="0"/>
          <w:numId w:val="11"/>
        </w:num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Autoridades competentes </w:t>
      </w:r>
    </w:p>
    <w:p w14:paraId="3825C288" w14:textId="77777777" w:rsidR="008D0358" w:rsidRPr="00CA12D6" w:rsidRDefault="008D0358" w:rsidP="008D0358">
      <w:p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w:t>
      </w:r>
      <w:r w:rsidRPr="00CA12D6">
        <w:rPr>
          <w:rFonts w:ascii="Palatino Linotype" w:eastAsia="Palatino Linotype" w:hAnsi="Palatino Linotype" w:cs="Palatino Linotype"/>
        </w:rPr>
        <w:lastRenderedPageBreak/>
        <w:t xml:space="preserve">Estado de México y Municipios, porción normativa que dispone a la literalidad lo siguiente: </w:t>
      </w:r>
    </w:p>
    <w:p w14:paraId="1BA4A9EF" w14:textId="77777777" w:rsidR="008D0358" w:rsidRPr="00CA12D6" w:rsidRDefault="008D0358" w:rsidP="008D0358">
      <w:pPr>
        <w:spacing w:before="240" w:after="160" w:line="276" w:lineRule="auto"/>
        <w:ind w:left="851" w:right="851"/>
        <w:jc w:val="center"/>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 xml:space="preserve">Ley de Transparencia y Acceso a la Información Pública del Estado de México y Municipios </w:t>
      </w:r>
    </w:p>
    <w:p w14:paraId="1717F717"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“Artículo 140. El acceso a la información pública será restringido excepcionalmente, cuando por razones de interés público, ésta sea clasificada como reservada, conforme a los criterios siguientes: </w:t>
      </w:r>
    </w:p>
    <w:p w14:paraId="0D6EE8DA"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 Comprometa la seguridad pública y cuente con un propósito genuino y un efecto demostrable; </w:t>
      </w:r>
    </w:p>
    <w:p w14:paraId="72E7AF36"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II. Pueda menoscabar la conducción de las negociaciones y relaciones internacionales; </w:t>
      </w:r>
    </w:p>
    <w:p w14:paraId="3D39976A"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5728D74"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IV. Ponga en riesgo la vida, la seguridad o la salud de una persona física; </w:t>
      </w:r>
    </w:p>
    <w:p w14:paraId="76A99412"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b/>
          <w:i/>
          <w:sz w:val="22"/>
          <w:szCs w:val="22"/>
          <w:u w:val="single"/>
        </w:rPr>
      </w:pPr>
      <w:r w:rsidRPr="00CA12D6">
        <w:rPr>
          <w:rFonts w:ascii="Palatino Linotype" w:eastAsia="Palatino Linotype" w:hAnsi="Palatino Linotype" w:cs="Palatino Linotype"/>
          <w:b/>
          <w:i/>
          <w:sz w:val="22"/>
          <w:szCs w:val="22"/>
          <w:u w:val="single"/>
        </w:rPr>
        <w:t xml:space="preserve">V. Aquella cuya divulgación obstruya o pueda causar un serio perjuicio a: </w:t>
      </w:r>
    </w:p>
    <w:p w14:paraId="62A27D2F"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b/>
          <w:i/>
          <w:sz w:val="22"/>
          <w:szCs w:val="22"/>
          <w:u w:val="single"/>
        </w:rPr>
      </w:pPr>
      <w:r w:rsidRPr="00CA12D6">
        <w:rPr>
          <w:rFonts w:ascii="Palatino Linotype" w:eastAsia="Palatino Linotype" w:hAnsi="Palatino Linotype" w:cs="Palatino Linotype"/>
          <w:b/>
          <w:i/>
          <w:sz w:val="22"/>
          <w:szCs w:val="22"/>
          <w:u w:val="single"/>
        </w:rPr>
        <w:t xml:space="preserve">1. Las actividades de fiscalización, verificación, inspección, comprobación y auditoría sobre el cumplimiento de las Leyes; o </w:t>
      </w:r>
    </w:p>
    <w:p w14:paraId="0EA95DA7"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2. La recaudación de las contribuciones. </w:t>
      </w:r>
    </w:p>
    <w:p w14:paraId="127A8086"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CA12D6">
        <w:rPr>
          <w:rFonts w:ascii="Palatino Linotype" w:eastAsia="Palatino Linotype" w:hAnsi="Palatino Linotype" w:cs="Palatino Linotype"/>
          <w:i/>
          <w:sz w:val="22"/>
          <w:szCs w:val="22"/>
        </w:rPr>
        <w:lastRenderedPageBreak/>
        <w:t xml:space="preserve">querellante o testigo, así como sus familias, en los términos de las disposiciones jurídicas aplicables; </w:t>
      </w:r>
    </w:p>
    <w:p w14:paraId="00A158A5"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48D25BC0"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VIII. Vulnere la conducción de los expedientes judiciales o de los procedimientos administrativos seguidos en forma de juicio, en tanto no hayan quedado firmes; </w:t>
      </w:r>
    </w:p>
    <w:p w14:paraId="4916BC3A"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IX. Se encuentre contenida dentro de las investigaciones de hechos que la Ley señale como delitos y se tramiten ante el Ministerio Público; </w:t>
      </w:r>
    </w:p>
    <w:p w14:paraId="083FDC75"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4F930C0"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6CFEABA"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rPr>
      </w:pPr>
      <w:r w:rsidRPr="00CA12D6">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 (Sic)</w:t>
      </w:r>
    </w:p>
    <w:p w14:paraId="616CA527" w14:textId="77777777" w:rsidR="008D0358" w:rsidRPr="00CA12D6" w:rsidRDefault="008D0358" w:rsidP="008D0358">
      <w:pPr>
        <w:spacing w:before="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En virtud de lo anterior, resulta competencia del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 xml:space="preserve">apreciar el contenido de la información en cita, a efecto de valorar la posible actualización de una causal de reserva, </w:t>
      </w:r>
      <w:proofErr w:type="gramStart"/>
      <w:r w:rsidRPr="00CA12D6">
        <w:rPr>
          <w:rFonts w:ascii="Palatino Linotype" w:eastAsia="Palatino Linotype" w:hAnsi="Palatino Linotype" w:cs="Palatino Linotype"/>
        </w:rPr>
        <w:t>y</w:t>
      </w:r>
      <w:proofErr w:type="gramEnd"/>
      <w:r w:rsidRPr="00CA12D6">
        <w:rPr>
          <w:rFonts w:ascii="Palatino Linotype" w:eastAsia="Palatino Linotype" w:hAnsi="Palatino Linotype" w:cs="Palatino Linotype"/>
        </w:rPr>
        <w:t xml:space="preserve"> en consecuencia, proceder conforme a la pauta metodológica referida con anterioridad. Restricción que en términos del numeral 142 de la Ley de Transparencia local no podrá invocarse bajo los siguientes supuestos normativos:</w:t>
      </w:r>
    </w:p>
    <w:p w14:paraId="2008C33A"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lastRenderedPageBreak/>
        <w:t>“Artículo 142. Bajo ninguna circunstancia podrá invocarse el carácter de reservado cuando:</w:t>
      </w:r>
    </w:p>
    <w:p w14:paraId="0B365DCB"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 I. Se trate de violaciones graves de derechos humanos, calificada así por autoridad competente; </w:t>
      </w:r>
    </w:p>
    <w:p w14:paraId="3FB8E06E"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3286B1D4"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7460F1FF" w14:textId="77777777" w:rsidR="008D0358" w:rsidRPr="00CA12D6" w:rsidRDefault="008D0358" w:rsidP="008D0358">
      <w:pPr>
        <w:spacing w:before="240" w:after="160" w:line="276" w:lineRule="auto"/>
        <w:ind w:left="851" w:right="851"/>
        <w:jc w:val="both"/>
        <w:rPr>
          <w:rFonts w:ascii="Palatino Linotype" w:eastAsia="Palatino Linotype" w:hAnsi="Palatino Linotype" w:cs="Palatino Linotype"/>
          <w:b/>
          <w:i/>
        </w:rPr>
      </w:pPr>
      <w:r w:rsidRPr="00CA12D6">
        <w:rPr>
          <w:rFonts w:ascii="Palatino Linotype" w:eastAsia="Palatino Linotype" w:hAnsi="Palatino Linotype" w:cs="Palatino Linotype"/>
          <w:i/>
          <w:sz w:val="22"/>
          <w:szCs w:val="22"/>
        </w:rPr>
        <w:t xml:space="preserve">IV. Se trate de información relacionada con actos de corrupción de conformidad con las disposiciones jurídicas aplicables.” </w:t>
      </w:r>
      <w:r w:rsidRPr="00CA12D6">
        <w:rPr>
          <w:rFonts w:ascii="Palatino Linotype" w:eastAsia="Palatino Linotype" w:hAnsi="Palatino Linotype" w:cs="Palatino Linotype"/>
          <w:b/>
          <w:i/>
          <w:sz w:val="22"/>
          <w:szCs w:val="22"/>
        </w:rPr>
        <w:t>(Sic)</w:t>
      </w:r>
    </w:p>
    <w:p w14:paraId="4630B7A0" w14:textId="77777777" w:rsidR="006E7D3D" w:rsidRPr="00CA12D6" w:rsidRDefault="00152EE8">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 </w:t>
      </w:r>
      <w:r w:rsidR="00886556" w:rsidRPr="00CA12D6">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0155DB" w14:textId="77777777" w:rsidR="006E7D3D" w:rsidRPr="00CA12D6" w:rsidRDefault="00886556">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A12D6">
        <w:rPr>
          <w:rFonts w:ascii="Palatino Linotype" w:eastAsia="Palatino Linotype" w:hAnsi="Palatino Linotype" w:cs="Palatino Linotype"/>
          <w:b/>
        </w:rPr>
        <w:t>R E S U E L V E:</w:t>
      </w:r>
    </w:p>
    <w:p w14:paraId="0C479F82" w14:textId="77777777" w:rsidR="001A3EC7" w:rsidRPr="00CA12D6" w:rsidRDefault="001A3EC7" w:rsidP="001A3EC7">
      <w:pPr>
        <w:spacing w:line="360" w:lineRule="auto"/>
        <w:ind w:right="49"/>
        <w:jc w:val="both"/>
        <w:rPr>
          <w:rFonts w:ascii="Palatino Linotype" w:eastAsia="Palatino Linotype" w:hAnsi="Palatino Linotype" w:cs="Palatino Linotype"/>
        </w:rPr>
      </w:pPr>
      <w:bookmarkStart w:id="4" w:name="_heading=h.1t3h5sf" w:colFirst="0" w:colLast="0"/>
      <w:bookmarkEnd w:id="4"/>
      <w:r w:rsidRPr="00CA12D6">
        <w:rPr>
          <w:rFonts w:ascii="Palatino Linotype" w:eastAsia="Palatino Linotype" w:hAnsi="Palatino Linotype" w:cs="Palatino Linotype"/>
          <w:b/>
        </w:rPr>
        <w:t>Primero.</w:t>
      </w:r>
      <w:r w:rsidRPr="00CA12D6">
        <w:rPr>
          <w:rFonts w:ascii="Palatino Linotype" w:eastAsia="Palatino Linotype" w:hAnsi="Palatino Linotype" w:cs="Palatino Linotype"/>
          <w:sz w:val="22"/>
          <w:szCs w:val="22"/>
        </w:rPr>
        <w:t xml:space="preserve"> </w:t>
      </w:r>
      <w:r w:rsidRPr="00CA12D6">
        <w:rPr>
          <w:rFonts w:ascii="Palatino Linotype" w:eastAsia="Palatino Linotype" w:hAnsi="Palatino Linotype" w:cs="Palatino Linotype"/>
        </w:rPr>
        <w:t xml:space="preserve">Resultan </w:t>
      </w:r>
      <w:r w:rsidRPr="00CA12D6">
        <w:rPr>
          <w:rFonts w:ascii="Palatino Linotype" w:eastAsia="Palatino Linotype" w:hAnsi="Palatino Linotype" w:cs="Palatino Linotype"/>
          <w:b/>
        </w:rPr>
        <w:t>fundadas</w:t>
      </w:r>
      <w:r w:rsidRPr="00CA12D6">
        <w:rPr>
          <w:rFonts w:ascii="Palatino Linotype" w:eastAsia="Palatino Linotype" w:hAnsi="Palatino Linotype" w:cs="Palatino Linotype"/>
        </w:rPr>
        <w:t xml:space="preserve"> las razones o motivos de inconformidad hechos valer por </w:t>
      </w:r>
      <w:r w:rsidRPr="00CA12D6">
        <w:rPr>
          <w:rFonts w:ascii="Palatino Linotype" w:eastAsia="Palatino Linotype" w:hAnsi="Palatino Linotype" w:cs="Palatino Linotype"/>
          <w:b/>
        </w:rPr>
        <w:t xml:space="preserve">la parte Recurrente, </w:t>
      </w:r>
      <w:r w:rsidRPr="00CA12D6">
        <w:rPr>
          <w:rFonts w:ascii="Palatino Linotype" w:eastAsia="Palatino Linotype" w:hAnsi="Palatino Linotype" w:cs="Palatino Linotype"/>
        </w:rPr>
        <w:t>en el recurso de revisión</w:t>
      </w:r>
      <w:r w:rsidRPr="00CA12D6">
        <w:rPr>
          <w:rFonts w:ascii="Palatino Linotype" w:eastAsia="Palatino Linotype" w:hAnsi="Palatino Linotype" w:cs="Palatino Linotype"/>
          <w:b/>
        </w:rPr>
        <w:t xml:space="preserve"> 15334/INFOEM/ICR-40/IP/RR/2022, </w:t>
      </w:r>
      <w:r w:rsidRPr="00CA12D6">
        <w:rPr>
          <w:rFonts w:ascii="Palatino Linotype" w:eastAsia="Palatino Linotype" w:hAnsi="Palatino Linotype" w:cs="Palatino Linotype"/>
        </w:rPr>
        <w:t xml:space="preserve">en términos del </w:t>
      </w:r>
      <w:r w:rsidRPr="00CA12D6">
        <w:rPr>
          <w:rFonts w:ascii="Palatino Linotype" w:eastAsia="Palatino Linotype" w:hAnsi="Palatino Linotype" w:cs="Palatino Linotype"/>
          <w:b/>
        </w:rPr>
        <w:t>Considerando</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 xml:space="preserve">Cuarto </w:t>
      </w:r>
      <w:r w:rsidRPr="00CA12D6">
        <w:rPr>
          <w:rFonts w:ascii="Palatino Linotype" w:eastAsia="Palatino Linotype" w:hAnsi="Palatino Linotype" w:cs="Palatino Linotype"/>
        </w:rPr>
        <w:t>de la presente resolución.</w:t>
      </w:r>
    </w:p>
    <w:p w14:paraId="32BEF5C0" w14:textId="77777777" w:rsidR="001A3EC7" w:rsidRPr="00CA12D6" w:rsidRDefault="001A3EC7" w:rsidP="001A3EC7">
      <w:pPr>
        <w:spacing w:line="360" w:lineRule="auto"/>
        <w:jc w:val="both"/>
        <w:rPr>
          <w:rFonts w:ascii="Palatino Linotype" w:eastAsia="Palatino Linotype" w:hAnsi="Palatino Linotype" w:cs="Palatino Linotype"/>
          <w:b/>
        </w:rPr>
      </w:pPr>
    </w:p>
    <w:p w14:paraId="62E69114" w14:textId="77777777" w:rsidR="001A3EC7" w:rsidRPr="00CA12D6" w:rsidRDefault="001A3EC7" w:rsidP="001A3EC7">
      <w:pPr>
        <w:spacing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lastRenderedPageBreak/>
        <w:t>Segundo</w:t>
      </w:r>
      <w:r w:rsidRPr="00CA12D6">
        <w:rPr>
          <w:rFonts w:ascii="Palatino Linotype" w:eastAsia="Palatino Linotype" w:hAnsi="Palatino Linotype" w:cs="Palatino Linotype"/>
        </w:rPr>
        <w:t>. Se</w:t>
      </w:r>
      <w:r w:rsidRPr="00CA12D6">
        <w:rPr>
          <w:rFonts w:ascii="Palatino Linotype" w:eastAsia="Palatino Linotype" w:hAnsi="Palatino Linotype" w:cs="Palatino Linotype"/>
          <w:b/>
        </w:rPr>
        <w:t> ORDENA </w:t>
      </w:r>
      <w:r w:rsidRPr="00CA12D6">
        <w:rPr>
          <w:rFonts w:ascii="Palatino Linotype" w:eastAsia="Palatino Linotype" w:hAnsi="Palatino Linotype" w:cs="Palatino Linotype"/>
        </w:rPr>
        <w:t xml:space="preserve">al </w:t>
      </w:r>
      <w:r w:rsidRPr="00CA12D6">
        <w:rPr>
          <w:rFonts w:ascii="Palatino Linotype" w:eastAsia="Palatino Linotype" w:hAnsi="Palatino Linotype" w:cs="Palatino Linotype"/>
          <w:b/>
        </w:rPr>
        <w:t xml:space="preserve">Sujeto Obligado, </w:t>
      </w:r>
      <w:r w:rsidRPr="00CA12D6">
        <w:rPr>
          <w:rFonts w:ascii="Palatino Linotype" w:eastAsia="Palatino Linotype" w:hAnsi="Palatino Linotype" w:cs="Palatino Linotype"/>
        </w:rPr>
        <w:t xml:space="preserve">que en términos de los </w:t>
      </w:r>
      <w:r w:rsidRPr="00CA12D6">
        <w:rPr>
          <w:rFonts w:ascii="Palatino Linotype" w:eastAsia="Palatino Linotype" w:hAnsi="Palatino Linotype" w:cs="Palatino Linotype"/>
          <w:b/>
        </w:rPr>
        <w:t>Considerandos</w:t>
      </w:r>
      <w:r w:rsidRPr="00CA12D6">
        <w:rPr>
          <w:rFonts w:ascii="Palatino Linotype" w:eastAsia="Palatino Linotype" w:hAnsi="Palatino Linotype" w:cs="Palatino Linotype"/>
        </w:rPr>
        <w:t xml:space="preserve"> </w:t>
      </w:r>
      <w:r w:rsidRPr="00CA12D6">
        <w:rPr>
          <w:rFonts w:ascii="Palatino Linotype" w:eastAsia="Palatino Linotype" w:hAnsi="Palatino Linotype" w:cs="Palatino Linotype"/>
          <w:b/>
        </w:rPr>
        <w:t xml:space="preserve">Cuarto y Quinto </w:t>
      </w:r>
      <w:r w:rsidRPr="00CA12D6">
        <w:rPr>
          <w:rFonts w:ascii="Palatino Linotype" w:eastAsia="Palatino Linotype" w:hAnsi="Palatino Linotype" w:cs="Palatino Linotype"/>
        </w:rPr>
        <w:t xml:space="preserve">de esta resolución, entregue a la parte </w:t>
      </w:r>
      <w:proofErr w:type="gramStart"/>
      <w:r w:rsidRPr="00CA12D6">
        <w:rPr>
          <w:rFonts w:ascii="Palatino Linotype" w:eastAsia="Palatino Linotype" w:hAnsi="Palatino Linotype" w:cs="Palatino Linotype"/>
          <w:b/>
        </w:rPr>
        <w:t>Recurrente,</w:t>
      </w:r>
      <w:r w:rsidRPr="00CA12D6">
        <w:rPr>
          <w:rFonts w:ascii="Palatino Linotype" w:eastAsia="Palatino Linotype" w:hAnsi="Palatino Linotype" w:cs="Palatino Linotype"/>
        </w:rPr>
        <w:t xml:space="preserve">  vía</w:t>
      </w:r>
      <w:proofErr w:type="gramEnd"/>
      <w:r w:rsidRPr="00CA12D6">
        <w:rPr>
          <w:rFonts w:ascii="Palatino Linotype" w:eastAsia="Palatino Linotype" w:hAnsi="Palatino Linotype" w:cs="Palatino Linotype"/>
        </w:rPr>
        <w:t xml:space="preserve"> Sistema de Acceso a la Información Mexiquense (SAIMEX), </w:t>
      </w:r>
      <w:r w:rsidRPr="00CA12D6">
        <w:rPr>
          <w:rFonts w:ascii="Palatino Linotype" w:eastAsia="Palatino Linotype" w:hAnsi="Palatino Linotype" w:cs="Palatino Linotype"/>
          <w:b/>
        </w:rPr>
        <w:t xml:space="preserve"> </w:t>
      </w:r>
      <w:r w:rsidRPr="00CA12D6">
        <w:rPr>
          <w:rFonts w:ascii="Palatino Linotype" w:eastAsia="Palatino Linotype" w:hAnsi="Palatino Linotype" w:cs="Palatino Linotype"/>
        </w:rPr>
        <w:t xml:space="preserve">previa búsqueda exhaustiva y razonable, en </w:t>
      </w:r>
      <w:r w:rsidRPr="00CA12D6">
        <w:rPr>
          <w:rFonts w:ascii="Palatino Linotype" w:eastAsia="Palatino Linotype" w:hAnsi="Palatino Linotype" w:cs="Palatino Linotype"/>
          <w:b/>
        </w:rPr>
        <w:t>versión pública</w:t>
      </w:r>
      <w:r w:rsidRPr="00CA12D6">
        <w:rPr>
          <w:rFonts w:ascii="Palatino Linotype" w:eastAsia="Palatino Linotype" w:hAnsi="Palatino Linotype" w:cs="Palatino Linotype"/>
        </w:rPr>
        <w:t>, de</w:t>
      </w:r>
      <w:r w:rsidRPr="00CA12D6">
        <w:rPr>
          <w:rFonts w:ascii="Palatino Linotype" w:eastAsia="Palatino Linotype" w:hAnsi="Palatino Linotype" w:cs="Palatino Linotype"/>
          <w:b/>
        </w:rPr>
        <w:t xml:space="preserve"> </w:t>
      </w:r>
      <w:r w:rsidRPr="00CA12D6">
        <w:rPr>
          <w:rFonts w:ascii="Palatino Linotype" w:eastAsia="Palatino Linotype" w:hAnsi="Palatino Linotype" w:cs="Palatino Linotype"/>
        </w:rPr>
        <w:t>lo siguiente:</w:t>
      </w:r>
    </w:p>
    <w:p w14:paraId="42588D4C" w14:textId="77777777" w:rsidR="001A3EC7" w:rsidRPr="00CA12D6" w:rsidRDefault="001A3EC7" w:rsidP="001A3EC7">
      <w:pPr>
        <w:spacing w:line="360" w:lineRule="auto"/>
        <w:jc w:val="both"/>
        <w:rPr>
          <w:rFonts w:ascii="Palatino Linotype" w:eastAsia="Palatino Linotype" w:hAnsi="Palatino Linotype" w:cs="Palatino Linotype"/>
        </w:rPr>
      </w:pPr>
    </w:p>
    <w:p w14:paraId="5A317F10" w14:textId="77777777" w:rsidR="001A3EC7" w:rsidRPr="00CA12D6" w:rsidRDefault="00F2199E" w:rsidP="00E035B6">
      <w:pPr>
        <w:widowControl w:val="0"/>
        <w:numPr>
          <w:ilvl w:val="0"/>
          <w:numId w:val="12"/>
        </w:numPr>
        <w:pBdr>
          <w:top w:val="nil"/>
          <w:left w:val="nil"/>
          <w:bottom w:val="nil"/>
          <w:right w:val="nil"/>
          <w:between w:val="nil"/>
        </w:pBdr>
        <w:spacing w:line="276" w:lineRule="auto"/>
        <w:ind w:right="851"/>
        <w:jc w:val="both"/>
        <w:rPr>
          <w:rFonts w:ascii="Palatino Linotype" w:eastAsia="Palatino Linotype" w:hAnsi="Palatino Linotype" w:cs="Palatino Linotype"/>
          <w:b/>
          <w:i/>
          <w:sz w:val="22"/>
          <w:szCs w:val="22"/>
        </w:rPr>
      </w:pPr>
      <w:r w:rsidRPr="00CA12D6">
        <w:rPr>
          <w:rFonts w:ascii="Palatino Linotype" w:eastAsia="Palatino Linotype" w:hAnsi="Palatino Linotype" w:cs="Palatino Linotype"/>
          <w:b/>
          <w:i/>
          <w:sz w:val="22"/>
          <w:szCs w:val="22"/>
        </w:rPr>
        <w:t>O</w:t>
      </w:r>
      <w:r w:rsidR="00E035B6" w:rsidRPr="00CA12D6">
        <w:rPr>
          <w:rFonts w:ascii="Palatino Linotype" w:eastAsia="Palatino Linotype" w:hAnsi="Palatino Linotype" w:cs="Palatino Linotype"/>
          <w:b/>
          <w:i/>
          <w:sz w:val="22"/>
          <w:szCs w:val="22"/>
        </w:rPr>
        <w:t>bservaciones realizadas por la Contraloría Municipal</w:t>
      </w:r>
      <w:r w:rsidRPr="00CA12D6">
        <w:rPr>
          <w:rFonts w:ascii="Palatino Linotype" w:eastAsia="Palatino Linotype" w:hAnsi="Palatino Linotype" w:cs="Palatino Linotype"/>
          <w:b/>
          <w:i/>
          <w:sz w:val="22"/>
          <w:szCs w:val="22"/>
        </w:rPr>
        <w:t xml:space="preserve"> contenidas en las Actas de entrega-recepción generadas del uno de enero al veintinueve de agosto de dos mil veintidós. </w:t>
      </w:r>
    </w:p>
    <w:p w14:paraId="37E47C94" w14:textId="77777777" w:rsidR="001A3EC7" w:rsidRPr="00CA12D6" w:rsidRDefault="001A3EC7" w:rsidP="001A3EC7">
      <w:pPr>
        <w:spacing w:before="120" w:after="120"/>
        <w:ind w:left="567"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Recurrente.</w:t>
      </w:r>
    </w:p>
    <w:p w14:paraId="538C0598" w14:textId="77777777" w:rsidR="001A3EC7" w:rsidRPr="00CA12D6" w:rsidRDefault="001A3EC7" w:rsidP="001A3EC7">
      <w:pPr>
        <w:spacing w:before="120" w:after="120"/>
        <w:ind w:left="567" w:right="851"/>
        <w:jc w:val="both"/>
        <w:rPr>
          <w:rFonts w:ascii="Palatino Linotype" w:eastAsia="Palatino Linotype" w:hAnsi="Palatino Linotype" w:cs="Palatino Linotype"/>
          <w:i/>
          <w:sz w:val="22"/>
          <w:szCs w:val="22"/>
        </w:rPr>
      </w:pPr>
      <w:r w:rsidRPr="00CA12D6">
        <w:rPr>
          <w:rFonts w:ascii="Palatino Linotype" w:eastAsia="Palatino Linotype" w:hAnsi="Palatino Linotype" w:cs="Palatino Linotype"/>
          <w:i/>
          <w:sz w:val="22"/>
          <w:szCs w:val="22"/>
        </w:rPr>
        <w:t>Respecto de la información que se ordena, en caso de que las observaciones señaladas en las Actas Entrega-Recepción deriven en un procedimiento administrativo, el Sujeto Obligado deberá de hacerlo del conocimiento del particular, remitiendo el Acta de Comité de Transparencia donde funde y motive la reserva de la información</w:t>
      </w:r>
    </w:p>
    <w:p w14:paraId="3DBF6B2A" w14:textId="77777777" w:rsidR="001A3EC7" w:rsidRPr="00CA12D6" w:rsidRDefault="001A3EC7" w:rsidP="001A3EC7">
      <w:pPr>
        <w:spacing w:line="276" w:lineRule="auto"/>
        <w:ind w:left="567" w:right="851"/>
        <w:jc w:val="both"/>
        <w:rPr>
          <w:rFonts w:ascii="Palatino Linotype" w:eastAsia="Palatino Linotype" w:hAnsi="Palatino Linotype" w:cs="Palatino Linotype"/>
          <w:i/>
          <w:sz w:val="22"/>
          <w:szCs w:val="22"/>
        </w:rPr>
      </w:pPr>
    </w:p>
    <w:p w14:paraId="737F0704" w14:textId="77777777" w:rsidR="001A3EC7" w:rsidRPr="00CA12D6" w:rsidRDefault="001A3EC7" w:rsidP="001A3EC7">
      <w:pPr>
        <w:spacing w:before="240" w:after="240" w:line="360" w:lineRule="auto"/>
        <w:jc w:val="both"/>
        <w:rPr>
          <w:rFonts w:ascii="Palatino Linotype" w:eastAsia="Palatino Linotype" w:hAnsi="Palatino Linotype" w:cs="Palatino Linotype"/>
          <w:lang w:eastAsia="es-MX"/>
        </w:rPr>
      </w:pPr>
      <w:r w:rsidRPr="00CA12D6">
        <w:rPr>
          <w:rFonts w:ascii="Palatino Linotype" w:eastAsia="Palatino Linotype" w:hAnsi="Palatino Linotype" w:cs="Palatino Linotype"/>
          <w:b/>
          <w:lang w:eastAsia="es-MX"/>
        </w:rPr>
        <w:t>Tercero</w:t>
      </w:r>
      <w:r w:rsidRPr="00CA12D6">
        <w:rPr>
          <w:rFonts w:ascii="Palatino Linotype" w:eastAsia="Palatino Linotype" w:hAnsi="Palatino Linotype" w:cs="Palatino Linotype"/>
          <w:b/>
          <w:sz w:val="28"/>
          <w:szCs w:val="28"/>
          <w:lang w:eastAsia="es-MX"/>
        </w:rPr>
        <w:t xml:space="preserve">.  </w:t>
      </w:r>
      <w:r w:rsidRPr="00CA12D6">
        <w:rPr>
          <w:rFonts w:ascii="Palatino Linotype" w:eastAsia="Palatino Linotype" w:hAnsi="Palatino Linotype" w:cs="Palatino Linotype"/>
          <w:b/>
          <w:lang w:eastAsia="es-MX"/>
        </w:rPr>
        <w:t>Notifíquese vía SAIMEX,</w:t>
      </w:r>
      <w:r w:rsidRPr="00CA12D6">
        <w:rPr>
          <w:rFonts w:ascii="Palatino Linotype" w:eastAsia="Palatino Linotype" w:hAnsi="Palatino Linotype" w:cs="Palatino Linotype"/>
          <w:b/>
          <w:sz w:val="28"/>
          <w:szCs w:val="28"/>
          <w:lang w:eastAsia="es-MX"/>
        </w:rPr>
        <w:t xml:space="preserve"> </w:t>
      </w:r>
      <w:r w:rsidRPr="00CA12D6">
        <w:rPr>
          <w:rFonts w:ascii="Palatino Linotype" w:eastAsia="Palatino Linotype" w:hAnsi="Palatino Linotype" w:cs="Palatino Linotype"/>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3D1FB5" w14:textId="77777777" w:rsidR="001A3EC7" w:rsidRPr="00CA12D6" w:rsidRDefault="001A3EC7" w:rsidP="001A3EC7">
      <w:pPr>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b/>
        </w:rPr>
        <w:lastRenderedPageBreak/>
        <w:t xml:space="preserve">Cuarto. Notifíquese </w:t>
      </w:r>
      <w:r w:rsidRPr="00CA12D6">
        <w:rPr>
          <w:rFonts w:ascii="Palatino Linotype" w:eastAsia="Palatino Linotype" w:hAnsi="Palatino Linotype" w:cs="Palatino Linotype"/>
        </w:rPr>
        <w:t>la presente resolución al</w:t>
      </w:r>
      <w:r w:rsidRPr="00CA12D6">
        <w:rPr>
          <w:rFonts w:ascii="Palatino Linotype" w:eastAsia="Palatino Linotype" w:hAnsi="Palatino Linotype" w:cs="Palatino Linotype"/>
          <w:b/>
        </w:rPr>
        <w:t xml:space="preserve"> Recurrente</w:t>
      </w:r>
      <w:r w:rsidRPr="00CA12D6">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 </w:t>
      </w:r>
    </w:p>
    <w:p w14:paraId="22F65B51" w14:textId="77777777" w:rsidR="006E7D3D" w:rsidRPr="00CA12D6" w:rsidRDefault="00886556">
      <w:pPr>
        <w:tabs>
          <w:tab w:val="left" w:pos="8647"/>
        </w:tabs>
        <w:spacing w:before="240" w:after="240" w:line="360" w:lineRule="auto"/>
        <w:jc w:val="both"/>
        <w:rPr>
          <w:rFonts w:ascii="Palatino Linotype" w:eastAsia="Palatino Linotype" w:hAnsi="Palatino Linotype" w:cs="Palatino Linotype"/>
        </w:rPr>
      </w:pPr>
      <w:r w:rsidRPr="00CA12D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4A3650">
        <w:rPr>
          <w:rFonts w:ascii="Palatino Linotype" w:eastAsia="Palatino Linotype" w:hAnsi="Palatino Linotype" w:cs="Palatino Linotype"/>
        </w:rPr>
        <w:t xml:space="preserve">CON VOTO PARTICULAR </w:t>
      </w:r>
      <w:r w:rsidRPr="00CA12D6">
        <w:rPr>
          <w:rFonts w:ascii="Palatino Linotype" w:eastAsia="Palatino Linotype" w:hAnsi="Palatino Linotype" w:cs="Palatino Linotype"/>
        </w:rPr>
        <w:t xml:space="preserve">Y GUADALUPE </w:t>
      </w:r>
      <w:r w:rsidR="003330EB" w:rsidRPr="00CA12D6">
        <w:rPr>
          <w:rFonts w:ascii="Palatino Linotype" w:eastAsia="Palatino Linotype" w:hAnsi="Palatino Linotype" w:cs="Palatino Linotype"/>
        </w:rPr>
        <w:t xml:space="preserve">RAMÍREZ PEÑA; EN LA DÉCIMA </w:t>
      </w:r>
      <w:r w:rsidR="00E035B6" w:rsidRPr="00CA12D6">
        <w:rPr>
          <w:rFonts w:ascii="Palatino Linotype" w:eastAsia="Palatino Linotype" w:hAnsi="Palatino Linotype" w:cs="Palatino Linotype"/>
        </w:rPr>
        <w:t>NOVENA</w:t>
      </w:r>
      <w:r w:rsidRPr="00CA12D6">
        <w:rPr>
          <w:rFonts w:ascii="Palatino Linotype" w:eastAsia="Palatino Linotype" w:hAnsi="Palatino Linotype" w:cs="Palatino Linotype"/>
        </w:rPr>
        <w:t xml:space="preserve"> SESIÓN ORDINARIA CELEBRADA EL </w:t>
      </w:r>
      <w:r w:rsidR="00DE6360" w:rsidRPr="00CA12D6">
        <w:rPr>
          <w:rFonts w:ascii="Palatino Linotype" w:eastAsia="Palatino Linotype" w:hAnsi="Palatino Linotype" w:cs="Palatino Linotype"/>
        </w:rPr>
        <w:t>VEINTICUATRO</w:t>
      </w:r>
      <w:r w:rsidRPr="00CA12D6">
        <w:rPr>
          <w:rFonts w:ascii="Palatino Linotype" w:eastAsia="Palatino Linotype" w:hAnsi="Palatino Linotype" w:cs="Palatino Linotype"/>
        </w:rPr>
        <w:t xml:space="preserve"> DE MAYO DE DOS MIL VEINTITRÉS, ANTE EL SECRETARIO TÉCNICO DEL PLENO ALEXIS TAPIA RAMÍREZ.</w:t>
      </w:r>
    </w:p>
    <w:p w14:paraId="6019EFF1" w14:textId="77777777" w:rsidR="006E7D3D" w:rsidRPr="00CA12D6" w:rsidRDefault="006E7D3D">
      <w:pPr>
        <w:spacing w:line="360" w:lineRule="auto"/>
        <w:ind w:right="49"/>
        <w:jc w:val="both"/>
        <w:rPr>
          <w:rFonts w:ascii="Palatino Linotype" w:eastAsia="Palatino Linotype" w:hAnsi="Palatino Linotype" w:cs="Palatino Linotype"/>
        </w:rPr>
      </w:pPr>
    </w:p>
    <w:p w14:paraId="5E16CF42" w14:textId="77777777" w:rsidR="006E7D3D" w:rsidRPr="00CA12D6" w:rsidRDefault="006E7D3D">
      <w:pPr>
        <w:spacing w:line="360" w:lineRule="auto"/>
        <w:ind w:right="49"/>
        <w:jc w:val="both"/>
        <w:rPr>
          <w:rFonts w:ascii="Palatino Linotype" w:eastAsia="Palatino Linotype" w:hAnsi="Palatino Linotype" w:cs="Palatino Linotype"/>
        </w:rPr>
      </w:pPr>
    </w:p>
    <w:p w14:paraId="2C1A0798" w14:textId="77777777" w:rsidR="006E7D3D" w:rsidRPr="00CA12D6" w:rsidRDefault="006E7D3D">
      <w:pPr>
        <w:spacing w:line="360" w:lineRule="auto"/>
        <w:ind w:right="49"/>
        <w:jc w:val="both"/>
        <w:rPr>
          <w:rFonts w:ascii="Palatino Linotype" w:eastAsia="Palatino Linotype" w:hAnsi="Palatino Linotype" w:cs="Palatino Linotype"/>
        </w:rPr>
        <w:sectPr w:rsidR="006E7D3D" w:rsidRPr="00CA12D6">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pPr>
    </w:p>
    <w:p w14:paraId="7DA22C47" w14:textId="77777777" w:rsidR="006E7D3D" w:rsidRPr="00CA12D6" w:rsidRDefault="006E7D3D">
      <w:pPr>
        <w:tabs>
          <w:tab w:val="left" w:pos="709"/>
        </w:tabs>
        <w:spacing w:before="240" w:after="240" w:line="360" w:lineRule="auto"/>
        <w:jc w:val="both"/>
        <w:rPr>
          <w:rFonts w:ascii="Palatino Linotype" w:eastAsia="Palatino Linotype" w:hAnsi="Palatino Linotype" w:cs="Palatino Linotype"/>
        </w:rPr>
      </w:pPr>
    </w:p>
    <w:p w14:paraId="5189ACBB" w14:textId="77777777" w:rsidR="006E7D3D" w:rsidRPr="00CA12D6" w:rsidRDefault="006E7D3D"/>
    <w:p w14:paraId="29B47566" w14:textId="77777777" w:rsidR="006E7D3D" w:rsidRPr="00CA12D6" w:rsidRDefault="006E7D3D"/>
    <w:sectPr w:rsidR="006E7D3D" w:rsidRPr="00CA12D6">
      <w:headerReference w:type="first" r:id="rId18"/>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2D85" w14:textId="77777777" w:rsidR="00BC6FE5" w:rsidRDefault="00BC6FE5">
      <w:r>
        <w:separator/>
      </w:r>
    </w:p>
  </w:endnote>
  <w:endnote w:type="continuationSeparator" w:id="0">
    <w:p w14:paraId="4ECE0E70" w14:textId="77777777" w:rsidR="00BC6FE5" w:rsidRDefault="00BC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315F" w14:textId="77777777" w:rsidR="000B44EA" w:rsidRDefault="000B44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6A1F">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6A1F">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20C1C2E9" w14:textId="77777777" w:rsidR="000B44EA" w:rsidRDefault="000B44EA">
    <w:pPr>
      <w:pBdr>
        <w:top w:val="nil"/>
        <w:left w:val="nil"/>
        <w:bottom w:val="nil"/>
        <w:right w:val="nil"/>
        <w:between w:val="nil"/>
      </w:pBdr>
      <w:tabs>
        <w:tab w:val="center" w:pos="4252"/>
        <w:tab w:val="right" w:pos="8504"/>
      </w:tabs>
      <w:rPr>
        <w:color w:val="000000"/>
      </w:rPr>
    </w:pPr>
  </w:p>
  <w:p w14:paraId="445F1D5E" w14:textId="77777777" w:rsidR="000B44EA" w:rsidRDefault="000B44E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79A0" w14:textId="77777777" w:rsidR="000B44EA" w:rsidRDefault="000B44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E6A1F">
      <w:rPr>
        <w:rFonts w:ascii="Arial" w:eastAsia="Arial" w:hAnsi="Arial" w:cs="Arial"/>
        <w:b/>
        <w:noProof/>
        <w:color w:val="000000"/>
        <w:sz w:val="20"/>
        <w:szCs w:val="20"/>
      </w:rPr>
      <w:t>50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E6A1F">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5E40B9AD" w14:textId="77777777" w:rsidR="000B44EA" w:rsidRDefault="000B44E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64F9" w14:textId="77777777" w:rsidR="00BC6FE5" w:rsidRDefault="00BC6FE5">
      <w:r>
        <w:separator/>
      </w:r>
    </w:p>
  </w:footnote>
  <w:footnote w:type="continuationSeparator" w:id="0">
    <w:p w14:paraId="71FDBBF1" w14:textId="77777777" w:rsidR="00BC6FE5" w:rsidRDefault="00BC6FE5">
      <w:r>
        <w:continuationSeparator/>
      </w:r>
    </w:p>
  </w:footnote>
  <w:footnote w:id="1">
    <w:p w14:paraId="75C4ECD0" w14:textId="77777777" w:rsidR="000B44EA" w:rsidRDefault="000B44EA" w:rsidP="00E90CF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EBDDD47" w14:textId="77777777" w:rsidR="000B44EA" w:rsidRDefault="000B44EA" w:rsidP="00E90C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4DEAE0D" w14:textId="77777777" w:rsidR="008D0358" w:rsidRDefault="008D0358" w:rsidP="008D035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14:paraId="1DC830F2" w14:textId="77777777" w:rsidR="008D0358" w:rsidRDefault="008D0358" w:rsidP="008D035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16"/>
          <w:szCs w:val="16"/>
        </w:rPr>
        <w:t>Sergio López Ayllón y Alejandro Posadas. “Las pruebas de Daño e Interés Público en materia de acceso a la información. Una perspectiva comparada” en Derecho comparada de la Información, enero-junio de 2007.</w:t>
      </w:r>
    </w:p>
  </w:footnote>
  <w:footnote w:id="5">
    <w:p w14:paraId="240A7015" w14:textId="77777777" w:rsidR="008D0358" w:rsidRDefault="008D0358" w:rsidP="008D035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6">
    <w:p w14:paraId="3F7AAA00" w14:textId="77777777" w:rsidR="008D0358" w:rsidRDefault="008D0358" w:rsidP="008D03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D45" w14:textId="77777777" w:rsidR="000B44EA" w:rsidRDefault="000B44E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E858910" wp14:editId="53E7EDB9">
          <wp:simplePos x="0" y="0"/>
          <wp:positionH relativeFrom="column">
            <wp:posOffset>-1080125</wp:posOffset>
          </wp:positionH>
          <wp:positionV relativeFrom="paragraph">
            <wp:posOffset>-450838</wp:posOffset>
          </wp:positionV>
          <wp:extent cx="7635163" cy="9944100"/>
          <wp:effectExtent l="0" t="0" r="0" b="0"/>
          <wp:wrapNone/>
          <wp:docPr id="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4"/>
      <w:tblW w:w="6998" w:type="dxa"/>
      <w:tblInd w:w="2612" w:type="dxa"/>
      <w:tblLayout w:type="fixed"/>
      <w:tblLook w:val="0400" w:firstRow="0" w:lastRow="0" w:firstColumn="0" w:lastColumn="0" w:noHBand="0" w:noVBand="1"/>
    </w:tblPr>
    <w:tblGrid>
      <w:gridCol w:w="3058"/>
      <w:gridCol w:w="3940"/>
    </w:tblGrid>
    <w:tr w:rsidR="000B44EA" w14:paraId="1CF5DD75" w14:textId="77777777" w:rsidTr="003169E0">
      <w:tc>
        <w:tcPr>
          <w:tcW w:w="3058" w:type="dxa"/>
          <w:vAlign w:val="center"/>
        </w:tcPr>
        <w:p w14:paraId="57AA4285" w14:textId="77777777" w:rsidR="000B44EA" w:rsidRDefault="000B44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40" w:type="dxa"/>
          <w:vAlign w:val="center"/>
        </w:tcPr>
        <w:p w14:paraId="39C6DC15" w14:textId="77777777" w:rsidR="000B44EA" w:rsidRDefault="000B44EA" w:rsidP="003169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15334/INFOEM/ICR-40/IP/RR/2022 </w:t>
          </w:r>
        </w:p>
      </w:tc>
    </w:tr>
    <w:tr w:rsidR="000B44EA" w14:paraId="5219FF07" w14:textId="77777777" w:rsidTr="003169E0">
      <w:trPr>
        <w:trHeight w:val="228"/>
      </w:trPr>
      <w:tc>
        <w:tcPr>
          <w:tcW w:w="3058" w:type="dxa"/>
          <w:vAlign w:val="center"/>
        </w:tcPr>
        <w:p w14:paraId="1F3DA474" w14:textId="77777777" w:rsidR="000B44EA" w:rsidRDefault="000B44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40" w:type="dxa"/>
          <w:vAlign w:val="center"/>
        </w:tcPr>
        <w:p w14:paraId="1ADAAC8B" w14:textId="77777777" w:rsidR="000B44EA" w:rsidRDefault="000B44E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B44EA" w14:paraId="5C582A14" w14:textId="77777777" w:rsidTr="003169E0">
      <w:tc>
        <w:tcPr>
          <w:tcW w:w="3058" w:type="dxa"/>
          <w:vAlign w:val="center"/>
        </w:tcPr>
        <w:p w14:paraId="4A5981AA" w14:textId="77777777" w:rsidR="000B44EA" w:rsidRDefault="000B44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40" w:type="dxa"/>
          <w:vAlign w:val="center"/>
        </w:tcPr>
        <w:p w14:paraId="66D03398" w14:textId="77777777" w:rsidR="000B44EA" w:rsidRDefault="000B44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5335A1" w14:textId="77777777" w:rsidR="000B44EA" w:rsidRDefault="000B44E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548F" w14:textId="77777777" w:rsidR="000B44EA" w:rsidRDefault="000B44E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0397B3EB" wp14:editId="6DDDEC73">
          <wp:simplePos x="0" y="0"/>
          <wp:positionH relativeFrom="column">
            <wp:posOffset>-1013447</wp:posOffset>
          </wp:positionH>
          <wp:positionV relativeFrom="paragraph">
            <wp:posOffset>-372099</wp:posOffset>
          </wp:positionV>
          <wp:extent cx="7635600" cy="9943200"/>
          <wp:effectExtent l="0" t="0" r="0" b="0"/>
          <wp:wrapNone/>
          <wp:docPr id="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3"/>
      <w:tblW w:w="6379" w:type="dxa"/>
      <w:tblInd w:w="2977" w:type="dxa"/>
      <w:tblLayout w:type="fixed"/>
      <w:tblLook w:val="0400" w:firstRow="0" w:lastRow="0" w:firstColumn="0" w:lastColumn="0" w:noHBand="0" w:noVBand="1"/>
    </w:tblPr>
    <w:tblGrid>
      <w:gridCol w:w="2551"/>
      <w:gridCol w:w="3828"/>
    </w:tblGrid>
    <w:tr w:rsidR="000B44EA" w14:paraId="0F2A18E6" w14:textId="77777777">
      <w:tc>
        <w:tcPr>
          <w:tcW w:w="2551" w:type="dxa"/>
          <w:vAlign w:val="center"/>
        </w:tcPr>
        <w:p w14:paraId="334BDA66" w14:textId="77777777" w:rsidR="000B44EA" w:rsidRDefault="000B44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vAlign w:val="center"/>
        </w:tcPr>
        <w:p w14:paraId="00065CFD" w14:textId="77777777" w:rsidR="000B44EA" w:rsidRDefault="000B44EA" w:rsidP="00E260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15334/INFOEM/ICR-40/IP/RR/2022</w:t>
          </w:r>
        </w:p>
      </w:tc>
    </w:tr>
    <w:tr w:rsidR="000B44EA" w14:paraId="06AE7CEC" w14:textId="77777777">
      <w:tc>
        <w:tcPr>
          <w:tcW w:w="2551" w:type="dxa"/>
          <w:vAlign w:val="center"/>
        </w:tcPr>
        <w:p w14:paraId="5D09F1DE" w14:textId="77777777" w:rsidR="000B44EA" w:rsidRDefault="000B44E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vAlign w:val="center"/>
        </w:tcPr>
        <w:p w14:paraId="6190AFA0" w14:textId="77777777" w:rsidR="000B44EA" w:rsidRDefault="000B44EA">
          <w:pPr>
            <w:jc w:val="both"/>
            <w:rPr>
              <w:rFonts w:ascii="Palatino Linotype" w:eastAsia="Palatino Linotype" w:hAnsi="Palatino Linotype" w:cs="Palatino Linotype"/>
              <w:b/>
              <w:sz w:val="22"/>
              <w:szCs w:val="22"/>
            </w:rPr>
          </w:pPr>
        </w:p>
      </w:tc>
    </w:tr>
    <w:tr w:rsidR="000B44EA" w14:paraId="6FF301FB" w14:textId="77777777">
      <w:trPr>
        <w:trHeight w:val="228"/>
      </w:trPr>
      <w:tc>
        <w:tcPr>
          <w:tcW w:w="2551" w:type="dxa"/>
          <w:vAlign w:val="center"/>
        </w:tcPr>
        <w:p w14:paraId="6EFB1D82" w14:textId="77777777" w:rsidR="000B44EA" w:rsidRDefault="000B44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vAlign w:val="center"/>
        </w:tcPr>
        <w:p w14:paraId="32A7F1C6" w14:textId="77777777" w:rsidR="000B44EA" w:rsidRDefault="000B44EA" w:rsidP="00E2602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B44EA" w14:paraId="3E3513C5" w14:textId="77777777">
      <w:tc>
        <w:tcPr>
          <w:tcW w:w="2551" w:type="dxa"/>
          <w:vAlign w:val="center"/>
        </w:tcPr>
        <w:p w14:paraId="589FFE35" w14:textId="77777777" w:rsidR="000B44EA" w:rsidRDefault="000B44E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vAlign w:val="center"/>
        </w:tcPr>
        <w:p w14:paraId="0CE81332" w14:textId="77777777" w:rsidR="000B44EA" w:rsidRDefault="000B44E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4445A9" w14:textId="77777777" w:rsidR="000B44EA" w:rsidRDefault="000B44E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501E" w14:textId="77777777" w:rsidR="000B44EA" w:rsidRDefault="000B44E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1373722" w14:textId="77777777" w:rsidR="000B44EA" w:rsidRDefault="000B44E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C93"/>
    <w:multiLevelType w:val="multilevel"/>
    <w:tmpl w:val="C9C647B8"/>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33585E"/>
    <w:multiLevelType w:val="multilevel"/>
    <w:tmpl w:val="D1621DB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CC7305A"/>
    <w:multiLevelType w:val="hybridMultilevel"/>
    <w:tmpl w:val="E3B2A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FCD6EF5"/>
    <w:multiLevelType w:val="hybridMultilevel"/>
    <w:tmpl w:val="3536E918"/>
    <w:lvl w:ilvl="0" w:tplc="C19AA45C">
      <w:start w:val="1"/>
      <w:numFmt w:val="upperRoman"/>
      <w:lvlText w:val="%1."/>
      <w:lvlJc w:val="left"/>
      <w:pPr>
        <w:ind w:left="832" w:hanging="720"/>
      </w:pPr>
      <w:rPr>
        <w:rFonts w:hint="default"/>
        <w:b/>
      </w:rPr>
    </w:lvl>
    <w:lvl w:ilvl="1" w:tplc="080A0019">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6" w15:restartNumberingAfterBreak="0">
    <w:nsid w:val="519D2D3D"/>
    <w:multiLevelType w:val="multilevel"/>
    <w:tmpl w:val="936AED2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3D5908"/>
    <w:multiLevelType w:val="multilevel"/>
    <w:tmpl w:val="A31AADB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CE61F65"/>
    <w:multiLevelType w:val="multilevel"/>
    <w:tmpl w:val="4DE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1E346A"/>
    <w:multiLevelType w:val="multilevel"/>
    <w:tmpl w:val="036475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784094A"/>
    <w:multiLevelType w:val="multilevel"/>
    <w:tmpl w:val="20827A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E92D74"/>
    <w:multiLevelType w:val="multilevel"/>
    <w:tmpl w:val="11983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6"/>
  </w:num>
  <w:num w:numId="4">
    <w:abstractNumId w:val="10"/>
  </w:num>
  <w:num w:numId="5">
    <w:abstractNumId w:val="7"/>
  </w:num>
  <w:num w:numId="6">
    <w:abstractNumId w:val="3"/>
  </w:num>
  <w:num w:numId="7">
    <w:abstractNumId w:val="1"/>
  </w:num>
  <w:num w:numId="8">
    <w:abstractNumId w:val="4"/>
  </w:num>
  <w:num w:numId="9">
    <w:abstractNumId w:val="5"/>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3D"/>
    <w:rsid w:val="0001087C"/>
    <w:rsid w:val="0001387C"/>
    <w:rsid w:val="000171A6"/>
    <w:rsid w:val="00027B57"/>
    <w:rsid w:val="00034FF2"/>
    <w:rsid w:val="00037ACA"/>
    <w:rsid w:val="00045B5C"/>
    <w:rsid w:val="00070CB0"/>
    <w:rsid w:val="00072B8F"/>
    <w:rsid w:val="000B1076"/>
    <w:rsid w:val="000B44EA"/>
    <w:rsid w:val="000B512F"/>
    <w:rsid w:val="000B7C28"/>
    <w:rsid w:val="000C00E1"/>
    <w:rsid w:val="000C410E"/>
    <w:rsid w:val="000C5002"/>
    <w:rsid w:val="00123C7B"/>
    <w:rsid w:val="001252EC"/>
    <w:rsid w:val="00141FBA"/>
    <w:rsid w:val="00151A91"/>
    <w:rsid w:val="00152EE8"/>
    <w:rsid w:val="00184BBC"/>
    <w:rsid w:val="001856DE"/>
    <w:rsid w:val="00187E84"/>
    <w:rsid w:val="001971AD"/>
    <w:rsid w:val="001A150D"/>
    <w:rsid w:val="001A3EC7"/>
    <w:rsid w:val="001F03DE"/>
    <w:rsid w:val="001F1046"/>
    <w:rsid w:val="001F2627"/>
    <w:rsid w:val="00212550"/>
    <w:rsid w:val="0023651A"/>
    <w:rsid w:val="00245664"/>
    <w:rsid w:val="0026028C"/>
    <w:rsid w:val="00280E4E"/>
    <w:rsid w:val="00297A2B"/>
    <w:rsid w:val="002A6BE8"/>
    <w:rsid w:val="002B4084"/>
    <w:rsid w:val="002E01F1"/>
    <w:rsid w:val="002E447D"/>
    <w:rsid w:val="003169E0"/>
    <w:rsid w:val="003330EB"/>
    <w:rsid w:val="00345BAC"/>
    <w:rsid w:val="003507FA"/>
    <w:rsid w:val="003627C3"/>
    <w:rsid w:val="00381DAE"/>
    <w:rsid w:val="003955C5"/>
    <w:rsid w:val="003A240C"/>
    <w:rsid w:val="003C1D0C"/>
    <w:rsid w:val="003F5111"/>
    <w:rsid w:val="00447073"/>
    <w:rsid w:val="00482BED"/>
    <w:rsid w:val="0048582F"/>
    <w:rsid w:val="004A3650"/>
    <w:rsid w:val="004A3ECF"/>
    <w:rsid w:val="004B2294"/>
    <w:rsid w:val="004C67C3"/>
    <w:rsid w:val="004D27C7"/>
    <w:rsid w:val="004D7464"/>
    <w:rsid w:val="004E2DDB"/>
    <w:rsid w:val="004E3892"/>
    <w:rsid w:val="004E3E16"/>
    <w:rsid w:val="004E5359"/>
    <w:rsid w:val="00534E7F"/>
    <w:rsid w:val="0053766D"/>
    <w:rsid w:val="0058061F"/>
    <w:rsid w:val="005A5896"/>
    <w:rsid w:val="005E582F"/>
    <w:rsid w:val="006170E0"/>
    <w:rsid w:val="00632687"/>
    <w:rsid w:val="00635BFE"/>
    <w:rsid w:val="006506D5"/>
    <w:rsid w:val="00690302"/>
    <w:rsid w:val="00691F62"/>
    <w:rsid w:val="006A7FF6"/>
    <w:rsid w:val="006C37BD"/>
    <w:rsid w:val="006E07A1"/>
    <w:rsid w:val="006E2F6E"/>
    <w:rsid w:val="006E7D3D"/>
    <w:rsid w:val="0071265E"/>
    <w:rsid w:val="00730226"/>
    <w:rsid w:val="007375A7"/>
    <w:rsid w:val="00764EF4"/>
    <w:rsid w:val="0081654B"/>
    <w:rsid w:val="00835A9C"/>
    <w:rsid w:val="00867FC4"/>
    <w:rsid w:val="00886556"/>
    <w:rsid w:val="008C5715"/>
    <w:rsid w:val="008C7651"/>
    <w:rsid w:val="008D0358"/>
    <w:rsid w:val="008D0DA2"/>
    <w:rsid w:val="008F175C"/>
    <w:rsid w:val="00913100"/>
    <w:rsid w:val="00926E90"/>
    <w:rsid w:val="00965782"/>
    <w:rsid w:val="00973AE2"/>
    <w:rsid w:val="00980094"/>
    <w:rsid w:val="009832A3"/>
    <w:rsid w:val="00987170"/>
    <w:rsid w:val="009C1A1D"/>
    <w:rsid w:val="009D5593"/>
    <w:rsid w:val="009E3366"/>
    <w:rsid w:val="009E6A1F"/>
    <w:rsid w:val="009F18D4"/>
    <w:rsid w:val="009F5F42"/>
    <w:rsid w:val="00A101BF"/>
    <w:rsid w:val="00A135CD"/>
    <w:rsid w:val="00A20CF9"/>
    <w:rsid w:val="00A46C89"/>
    <w:rsid w:val="00A46F2E"/>
    <w:rsid w:val="00A50FCE"/>
    <w:rsid w:val="00A55C26"/>
    <w:rsid w:val="00A67FEE"/>
    <w:rsid w:val="00A81DC5"/>
    <w:rsid w:val="00AE3116"/>
    <w:rsid w:val="00B0067A"/>
    <w:rsid w:val="00B27E79"/>
    <w:rsid w:val="00B32073"/>
    <w:rsid w:val="00B54279"/>
    <w:rsid w:val="00B545E0"/>
    <w:rsid w:val="00B935FF"/>
    <w:rsid w:val="00B95B68"/>
    <w:rsid w:val="00B963C1"/>
    <w:rsid w:val="00BC6FE5"/>
    <w:rsid w:val="00BD7BA9"/>
    <w:rsid w:val="00BE5211"/>
    <w:rsid w:val="00BE743F"/>
    <w:rsid w:val="00C42543"/>
    <w:rsid w:val="00C42FB7"/>
    <w:rsid w:val="00C64670"/>
    <w:rsid w:val="00C82414"/>
    <w:rsid w:val="00C87586"/>
    <w:rsid w:val="00CA12D6"/>
    <w:rsid w:val="00CA333C"/>
    <w:rsid w:val="00CB72B0"/>
    <w:rsid w:val="00CC7666"/>
    <w:rsid w:val="00CD63E9"/>
    <w:rsid w:val="00CE526F"/>
    <w:rsid w:val="00D06D93"/>
    <w:rsid w:val="00D13EF1"/>
    <w:rsid w:val="00D21E96"/>
    <w:rsid w:val="00D42B52"/>
    <w:rsid w:val="00D54CFB"/>
    <w:rsid w:val="00D76380"/>
    <w:rsid w:val="00D92DA0"/>
    <w:rsid w:val="00DD6D1F"/>
    <w:rsid w:val="00DE6360"/>
    <w:rsid w:val="00E0028B"/>
    <w:rsid w:val="00E035B6"/>
    <w:rsid w:val="00E1604C"/>
    <w:rsid w:val="00E26020"/>
    <w:rsid w:val="00E44949"/>
    <w:rsid w:val="00E554E1"/>
    <w:rsid w:val="00E644CF"/>
    <w:rsid w:val="00E678F3"/>
    <w:rsid w:val="00E90CF7"/>
    <w:rsid w:val="00E94511"/>
    <w:rsid w:val="00ED09C6"/>
    <w:rsid w:val="00ED12B7"/>
    <w:rsid w:val="00F07E94"/>
    <w:rsid w:val="00F15CC8"/>
    <w:rsid w:val="00F2199E"/>
    <w:rsid w:val="00F31734"/>
    <w:rsid w:val="00F55226"/>
    <w:rsid w:val="00F606B1"/>
    <w:rsid w:val="00F97B8F"/>
    <w:rsid w:val="00FA2D11"/>
    <w:rsid w:val="00FA3438"/>
    <w:rsid w:val="00FB2B0C"/>
    <w:rsid w:val="00FB4E8E"/>
    <w:rsid w:val="00FE3B3E"/>
    <w:rsid w:val="00FE6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8A24"/>
  <w15:docId w15:val="{C01418EB-4252-4D6C-9C6D-9199800D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character" w:styleId="Textoennegrita">
    <w:name w:val="Strong"/>
    <w:uiPriority w:val="22"/>
    <w:qFormat/>
    <w:rsid w:val="00032CDC"/>
    <w:rPr>
      <w:b/>
      <w:bCs/>
    </w:rPr>
  </w:style>
  <w:style w:type="paragraph" w:styleId="Listaconvietas3">
    <w:name w:val="List Bullet 3"/>
    <w:basedOn w:val="Normal"/>
    <w:uiPriority w:val="99"/>
    <w:unhideWhenUsed/>
    <w:rsid w:val="004A0A64"/>
    <w:pPr>
      <w:numPr>
        <w:numId w:val="5"/>
      </w:numPr>
      <w:contextualSpacing/>
    </w:pPr>
    <w:rPr>
      <w:lang w:eastAsia="es-MX"/>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paragraph" w:customStyle="1" w:styleId="Textonotapie1">
    <w:name w:val="Texto nota pie1"/>
    <w:basedOn w:val="Normal"/>
    <w:next w:val="Textonotapie"/>
    <w:uiPriority w:val="99"/>
    <w:unhideWhenUsed/>
    <w:rsid w:val="00F15CC8"/>
    <w:rPr>
      <w:rFonts w:asciiTheme="minorHAnsi" w:eastAsiaTheme="minorHAnsi" w:hAnsiTheme="minorHAnsi" w:cstheme="minorBidi"/>
      <w:sz w:val="20"/>
      <w:szCs w:val="20"/>
      <w:lang w:val="es-MX" w:eastAsia="en-US"/>
    </w:rPr>
  </w:style>
  <w:style w:type="character" w:customStyle="1" w:styleId="Hipervnculo1">
    <w:name w:val="Hipervínculo1"/>
    <w:basedOn w:val="Fuentedeprrafopredeter"/>
    <w:uiPriority w:val="99"/>
    <w:unhideWhenUsed/>
    <w:rsid w:val="00F15CC8"/>
    <w:rPr>
      <w:color w:val="0000FF"/>
      <w:u w:val="single"/>
    </w:rPr>
  </w:style>
  <w:style w:type="paragraph" w:styleId="Textoindependiente">
    <w:name w:val="Body Text"/>
    <w:basedOn w:val="Normal"/>
    <w:link w:val="TextoindependienteCar"/>
    <w:uiPriority w:val="1"/>
    <w:qFormat/>
    <w:rsid w:val="0048582F"/>
    <w:pPr>
      <w:widowControl w:val="0"/>
      <w:autoSpaceDE w:val="0"/>
      <w:autoSpaceDN w:val="0"/>
    </w:pPr>
    <w:rPr>
      <w:rFonts w:ascii="Arial" w:eastAsia="Arial" w:hAnsi="Arial" w:cs="Arial"/>
      <w:sz w:val="22"/>
      <w:szCs w:val="22"/>
      <w:lang w:bidi="es-ES"/>
    </w:rPr>
  </w:style>
  <w:style w:type="character" w:customStyle="1" w:styleId="TextoindependienteCar">
    <w:name w:val="Texto independiente Car"/>
    <w:basedOn w:val="Fuentedeprrafopredeter"/>
    <w:link w:val="Textoindependiente"/>
    <w:uiPriority w:val="1"/>
    <w:rsid w:val="0048582F"/>
    <w:rPr>
      <w:rFonts w:ascii="Arial" w:eastAsia="Arial" w:hAnsi="Arial" w:cs="Arial"/>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LzULGX7LoC5pqa9AgmN3/tReYw==">AMUW2mUQHkS2V8uYC9ccYQj0BIfIqG6ZqO2zf7pq9XCOHKbez7/YD9Yg7Nn+7tSTQEIWq/Z86U54tB0CuHnZAtaaFB0Z5YgOmWsngD9SCXym7XmpKAnvC8Z74RNNXgwwYCoizaqmno7ui5QOePCTftZVuCUxhmPHFZK1jPNWoReO3exYXElAnzKaaTazclLOgExARYMBu3acNGpXoIPiAwT2HDn0OOsd3g==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11390</Words>
  <Characters>62645</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2023-05-26T16:49:00Z</cp:lastPrinted>
  <dcterms:created xsi:type="dcterms:W3CDTF">2023-06-05T23:29:00Z</dcterms:created>
  <dcterms:modified xsi:type="dcterms:W3CDTF">2023-06-05T23:29:00Z</dcterms:modified>
</cp:coreProperties>
</file>