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siete de junio de dos mil veintitrés. </w:t>
      </w:r>
    </w:p>
    <w:p w:rsidR="00000000" w:rsidDel="00000000" w:rsidP="00000000" w:rsidRDefault="00000000" w:rsidRPr="00000000" w14:paraId="0000000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15589/INFOEM/IP/RR/2022</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un particular que no proporcionó nombre o seudónimo,</w:t>
      </w:r>
      <w:r w:rsidDel="00000000" w:rsidR="00000000" w:rsidRPr="00000000">
        <w:rPr>
          <w:rFonts w:ascii="Palatino Linotype" w:cs="Palatino Linotype" w:eastAsia="Palatino Linotype" w:hAnsi="Palatino Linotype"/>
          <w:rtl w:val="0"/>
        </w:rPr>
        <w:t xml:space="preserve">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por parte del </w:t>
      </w:r>
      <w:r w:rsidDel="00000000" w:rsidR="00000000" w:rsidRPr="00000000">
        <w:rPr>
          <w:rFonts w:ascii="Palatino Linotype" w:cs="Palatino Linotype" w:eastAsia="Palatino Linotype" w:hAnsi="Palatino Linotype"/>
          <w:b w:val="1"/>
          <w:rtl w:val="0"/>
        </w:rPr>
        <w:t xml:space="preserve">Instituto de Transparencia, Acceso a la Información Pública y Protección de Datos Personales del Estado de México y Municipios,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4">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diecinueve de septiembre de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rtl w:val="0"/>
        </w:rPr>
        <w:t xml:space="preserve"> 01137/INFOEM/IP/2022,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6">
      <w:pPr>
        <w:spacing w:after="240" w:before="240" w:lineRule="auto"/>
        <w:ind w:left="851" w:right="902" w:firstLine="0"/>
        <w:jc w:val="both"/>
        <w:rPr>
          <w:rFonts w:ascii="Palatino Linotype" w:cs="Palatino Linotype" w:eastAsia="Palatino Linotype" w:hAnsi="Palatino Linotype"/>
          <w:b w:val="1"/>
          <w:i w:val="1"/>
          <w:sz w:val="22"/>
          <w:szCs w:val="22"/>
        </w:rPr>
      </w:pPr>
      <w:bookmarkStart w:colFirst="0" w:colLast="0" w:name="_heading=h.gjdgxs" w:id="0"/>
      <w:bookmarkEnd w:id="0"/>
      <w:r w:rsidDel="00000000" w:rsidR="00000000" w:rsidRPr="00000000">
        <w:rPr>
          <w:rFonts w:ascii="Palatino Linotype" w:cs="Palatino Linotype" w:eastAsia="Palatino Linotype" w:hAnsi="Palatino Linotype"/>
          <w:i w:val="1"/>
          <w:sz w:val="22"/>
          <w:szCs w:val="22"/>
          <w:rtl w:val="0"/>
        </w:rPr>
        <w:t xml:space="preserve">“Solisito conocer el documento o fundamento que permite a la jefa del departamento de servicios generales Michel Naghelly para que hostigue a empleados y ex empleados, documentación que acredite su experiencia en áreas como de la que es jefa, solisito también el currículo del expediente de personal de la coordinadora de proyectos del Presidente, del director de informática, del secretario técnico, del director de capacitación y del director de administración</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(sic) </w:t>
      </w:r>
      <w:r w:rsidDel="00000000" w:rsidR="00000000" w:rsidRPr="00000000">
        <w:rPr>
          <w:rtl w:val="0"/>
        </w:rPr>
      </w:r>
    </w:p>
    <w:p w:rsidR="00000000" w:rsidDel="00000000" w:rsidP="00000000" w:rsidRDefault="00000000" w:rsidRPr="00000000" w14:paraId="00000007">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no adjuntó archivos.</w:t>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w:t>
      </w:r>
      <w:r w:rsidDel="00000000" w:rsidR="00000000" w:rsidRPr="00000000">
        <w:rPr>
          <w:rFonts w:ascii="Palatino Linotype" w:cs="Palatino Linotype" w:eastAsia="Palatino Linotype" w:hAnsi="Palatino Linotype"/>
          <w:b w:val="1"/>
          <w:rtl w:val="0"/>
        </w:rPr>
        <w:t xml:space="preserve">de SAIMEX</w:t>
      </w:r>
      <w:r w:rsidDel="00000000" w:rsidR="00000000" w:rsidRPr="00000000">
        <w:rPr>
          <w:rtl w:val="0"/>
        </w:rPr>
      </w:r>
    </w:p>
    <w:p w:rsidR="00000000" w:rsidDel="00000000" w:rsidP="00000000" w:rsidRDefault="00000000" w:rsidRPr="00000000" w14:paraId="00000009">
      <w:pPr>
        <w:spacing w:after="240" w:before="240" w:line="360" w:lineRule="auto"/>
        <w:jc w:val="both"/>
        <w:rPr>
          <w:rFonts w:ascii="Palatino Linotype" w:cs="Palatino Linotype" w:eastAsia="Palatino Linotype" w:hAnsi="Palatino Linotype"/>
          <w:b w:val="1"/>
        </w:rPr>
      </w:pPr>
      <w:bookmarkStart w:colFirst="0" w:colLast="0" w:name="_heading=h.3dy6vkm" w:id="1"/>
      <w:bookmarkEnd w:id="1"/>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w:t>
      </w:r>
      <w:r w:rsidDel="00000000" w:rsidR="00000000" w:rsidRPr="00000000">
        <w:rPr>
          <w:rFonts w:ascii="Palatino Linotype" w:cs="Palatino Linotype" w:eastAsia="Palatino Linotype" w:hAnsi="Palatino Linotype"/>
          <w:b w:val="1"/>
          <w:rtl w:val="0"/>
        </w:rPr>
        <w:t xml:space="preserve"> cinco de octubre de dos mil veintitrés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0A">
      <w:pPr>
        <w:spacing w:after="240" w:before="24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el artículo 53 fracción II de la Ley de Transparencia y Acceso a la Información Pública del Estado de México y Municipios, se adjunta la respuesta a su solicitud de acceso a la información pública...” (sic)</w:t>
      </w:r>
      <w:r w:rsidDel="00000000" w:rsidR="00000000" w:rsidRPr="00000000">
        <w:rPr>
          <w:rtl w:val="0"/>
        </w:rPr>
      </w:r>
    </w:p>
    <w:p w:rsidR="00000000" w:rsidDel="00000000" w:rsidP="00000000" w:rsidRDefault="00000000" w:rsidRPr="00000000" w14:paraId="0000000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adjuntó lo siguiente:</w:t>
      </w:r>
    </w:p>
    <w:p w:rsidR="00000000" w:rsidDel="00000000" w:rsidP="00000000" w:rsidRDefault="00000000" w:rsidRPr="00000000" w14:paraId="0000000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INFOEM/UT/878/2022, de fecha cinco de octubre de dos mil veintidós, emitido por el Titular de la Unidad de Transparencia, mediante el cual notifica a la persona solicitante la respuesta emitida por el servidor público habilitado de la Dirección General de Administración y Finanzas, mediante el oficio número INFOEM/DGAF/692/2022 y el anexo al mismo.</w:t>
      </w:r>
    </w:p>
    <w:p w:rsidR="00000000" w:rsidDel="00000000" w:rsidP="00000000" w:rsidRDefault="00000000" w:rsidRPr="00000000" w14:paraId="0000000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INFOEM/DGAF/692/2022, de fecha tres de octubre de dos mil veintidós, signado por el Director General de Administración y Finanzas, mediante el cual, en atención a los requerimientos de información manifiesta que envía los currículum vitae de las y los servidores públicos solicitados, información que obran en sus expedientes de personal en los cuales la persona solicitante podría consultar la información solicitada, respecto a la experiencia de los mismos, asimismo, respecto de los cuestionamientos planteados en el resto de la solicitud, informa que difícilmente pueden colmarse con documentos previamente generados, por lo que al no colmarse con la entrega de documentos, concluye que no se está en presencia del ejercicio del derecho de acceso a la información, y por tanto, no es atendible mediante una solicitud de acceso a la información, pues se trata de manifestaciones subjetivas vertidas por la persona solicitante, situación que conlleva a afirmar que se está en presencia del derecho del ejercicio del derecho de petición, señalando que la entrega de una razón o un razonamiento por parte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no es algo que la Ley establezca como atribución, derecho o facultad, toda vez que ello implicaría un juicio de valor referente a un cuestionamiento realizado, motivo por el cual no es posible brindar la información solicitada.</w:t>
      </w:r>
    </w:p>
    <w:p w:rsidR="00000000" w:rsidDel="00000000" w:rsidP="00000000" w:rsidRDefault="00000000" w:rsidRPr="00000000" w14:paraId="0000000E">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Seis curriculum vitae. </w:t>
      </w:r>
    </w:p>
    <w:p w:rsidR="00000000" w:rsidDel="00000000" w:rsidP="00000000" w:rsidRDefault="00000000" w:rsidRPr="00000000" w14:paraId="0000000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Formato RESUMEN DE RESPUESTA A LA SOLICITUD DE ACCESO A LA INFORMACIÓN, de la solicitud 01137/INFOEM/IP/2022.</w:t>
      </w:r>
    </w:p>
    <w:p w:rsidR="00000000" w:rsidDel="00000000" w:rsidP="00000000" w:rsidRDefault="00000000" w:rsidRPr="00000000" w14:paraId="00000010">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w:t>
      </w:r>
      <w:r w:rsidDel="00000000" w:rsidR="00000000" w:rsidRPr="00000000">
        <w:rPr>
          <w:rFonts w:ascii="Palatino Linotype" w:cs="Palatino Linotype" w:eastAsia="Palatino Linotype" w:hAnsi="Palatino Linotype"/>
          <w:b w:val="1"/>
          <w:rtl w:val="0"/>
        </w:rPr>
        <w:t xml:space="preserve"> catorce de octubre de 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r w:rsidDel="00000000" w:rsidR="00000000" w:rsidRPr="00000000">
        <w:rPr>
          <w:rtl w:val="0"/>
        </w:rPr>
      </w:r>
    </w:p>
    <w:p w:rsidR="00000000" w:rsidDel="00000000" w:rsidP="00000000" w:rsidRDefault="00000000" w:rsidRPr="00000000" w14:paraId="00000011">
      <w:pPr>
        <w:tabs>
          <w:tab w:val="left" w:leader="none" w:pos="2745"/>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012">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“Impugno la totalidad de LA INFORMACIÓN” (sic)</w:t>
      </w:r>
    </w:p>
    <w:p w:rsidR="00000000" w:rsidDel="00000000" w:rsidP="00000000" w:rsidRDefault="00000000" w:rsidRPr="00000000" w14:paraId="00000013">
      <w:pPr>
        <w:spacing w:line="360" w:lineRule="auto"/>
        <w:jc w:val="both"/>
        <w:rPr>
          <w:rFonts w:ascii="Palatino Linotype" w:cs="Palatino Linotype" w:eastAsia="Palatino Linotype" w:hAnsi="Palatino Linotype"/>
        </w:rPr>
      </w:pPr>
      <w:bookmarkStart w:colFirst="0" w:colLast="0" w:name="_heading=h.30j0zll" w:id="2"/>
      <w:bookmarkEnd w:id="2"/>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14">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me entregan LA INFORMACIÓN solicitada” (sic)</w:t>
      </w:r>
    </w:p>
    <w:p w:rsidR="00000000" w:rsidDel="00000000" w:rsidP="00000000" w:rsidRDefault="00000000" w:rsidRPr="00000000" w14:paraId="00000015">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Anexos: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no adjuntó archivos. </w:t>
      </w:r>
    </w:p>
    <w:p w:rsidR="00000000" w:rsidDel="00000000" w:rsidP="00000000" w:rsidRDefault="00000000" w:rsidRPr="00000000" w14:paraId="00000016">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1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w:t>
      </w:r>
      <w:r w:rsidDel="00000000" w:rsidR="00000000" w:rsidRPr="00000000">
        <w:rPr>
          <w:rFonts w:ascii="Palatino Linotype" w:cs="Palatino Linotype" w:eastAsia="Palatino Linotype" w:hAnsi="Palatino Linotype"/>
          <w:rtl w:val="0"/>
        </w:rPr>
        <w:t xml:space="preserve"> Con fecha</w:t>
      </w:r>
      <w:r w:rsidDel="00000000" w:rsidR="00000000" w:rsidRPr="00000000">
        <w:rPr>
          <w:rFonts w:ascii="Palatino Linotype" w:cs="Palatino Linotype" w:eastAsia="Palatino Linotype" w:hAnsi="Palatino Linotype"/>
          <w:b w:val="1"/>
          <w:rtl w:val="0"/>
        </w:rPr>
        <w:t xml:space="preserve"> diecinueve de octubre de dos mil veintidós,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rPr>
      </w:pPr>
      <w:bookmarkStart w:colFirst="0" w:colLast="0" w:name="_heading=h.2s8eyo1" w:id="3"/>
      <w:bookmarkEnd w:id="3"/>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veintiocho de octubre de dos mil veintidós,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a través de SAIMEX, su informe justificado mediante el cual el Titular de la Unidad de Transparencia, en atención a los motivos de inconformidad aducidos por la persona solicitante, manifestó que los mismos eran infundados, al no corresponder formalmente con requerimientos de información con la finalidad de obtener información pública o documentos, generados, administrados o poseídos por el sujeto obligado, sino que tratan de señalamientos o manifestaciones de carácter subjetivo, en consecuencia, es improcedente la entrega de documentación alguna, por tanto, la falta de entrega de información aludida resulta infundada; asimismo, respecto del resto de los requerimientos planteados por la persona solicitante en la vía primigenia, refiere que se estimó que el documento que colmaba lo requerido, en todos los casos, eran los currículos vitae, mismos que dan cuenta de la experiencia laboral y profesional de cada servidor público referido, documentos que efectivamente se encuentran en los expedientes de personal de cada servidor público de mérito, tal y como lo describe la persona solicitante en su requerimiento de información. En tal contexto, al no advertir razonamiento específico de la parte Recurrente por el cual estima que existe información faltante de entrega, es que afirmó que lo actuado por el sujeto obligado en la vía originaria colma efectivamente lo requerido, de manera que, al no actualizarse de manera razonada la violación del derecho de acceso a la información pública del ahora recurrente respecto de la respuesta emitida en vía primigenia, solicita se confirme la respuesta otorgada a la solicitud de información pública.</w:t>
      </w:r>
    </w:p>
    <w:p w:rsidR="00000000" w:rsidDel="00000000" w:rsidP="00000000" w:rsidRDefault="00000000" w:rsidRPr="00000000" w14:paraId="0000001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ANEXOS:</w:t>
      </w:r>
    </w:p>
    <w:p w:rsidR="00000000" w:rsidDel="00000000" w:rsidP="00000000" w:rsidRDefault="00000000" w:rsidRPr="00000000" w14:paraId="0000001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INFOEM/UT/360/2022 de fecha diecinueve de octubre de dos mil veintidós, emitido por el Titular de la Unidad de Transparencia, mediante el cual solicita al Director General de Administración y Finanzas remita el informe derivado de la respuesta a la solicitud de información de cita, emitida por la Unidad Administrativa a su cargo, a más tardar el día veinticuatro de octubre de dos mil veintidós, con la finalidad de estar en posibilidad de que esta Unidad de Transparencia pueda integrar y rendir el informe de justificación correspondiente, de conformidad con el artículo 185, fracción II de la Ley de Transparencia y Acceso a la Información Pública del Estado de México y Municipios.</w:t>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INFOEM/DGA/750/2022, de fecha veintiséis de octubre de dos mil veintidós, signado por el Director General de Administración y Finanzas mediante el cual, con relación a los motivos de inconformidad aducidos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manifestó que la Unidad Administrativa a su cargo respetó los principios que rigen en la materia, mediante el análisis y atención oportuna de la solicitud de información, otorgando la respuesta que conforme a derecho debió emitirse, solicitando en el acto a este Instituto declarar infundado e improcedente lo impugnado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y confirmar la respuesta otorgada. </w:t>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analizados los documentos referidos, se hicieron  del conocimiento de la persona solicitante con la finalidad de que manifestara lo que a su derecho estimara conveniente, siendo omisa en ejercer dicha prerrogativa.</w:t>
      </w:r>
    </w:p>
    <w:p w:rsidR="00000000" w:rsidDel="00000000" w:rsidP="00000000" w:rsidRDefault="00000000" w:rsidRPr="00000000" w14:paraId="0000001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Ampliación del término para resolver</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veintinueve de mayo de dos mil veintitrés</w:t>
      </w:r>
      <w:r w:rsidDel="00000000" w:rsidR="00000000" w:rsidRPr="00000000">
        <w:rPr>
          <w:rFonts w:ascii="Palatino Linotype" w:cs="Palatino Linotype" w:eastAsia="Palatino Linotype" w:hAnsi="Palatino Linotype"/>
          <w:rtl w:val="0"/>
        </w:rPr>
        <w:t xml:space="preserve">, se amplió el término para resolver el recurso de revisión en términos del artículo 181 párrafo tercero de la Ley de Transparencia y Acceso a la Información Pública del Estado de México y Municipios.</w:t>
      </w:r>
    </w:p>
    <w:p w:rsidR="00000000" w:rsidDel="00000000" w:rsidP="00000000" w:rsidRDefault="00000000" w:rsidRPr="00000000" w14:paraId="0000001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1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22">
      <w:pPr>
        <w:spacing w:after="240" w:before="24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23">
      <w:pPr>
        <w:numPr>
          <w:ilvl w:val="0"/>
          <w:numId w:val="1"/>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24">
      <w:pPr>
        <w:numPr>
          <w:ilvl w:val="0"/>
          <w:numId w:val="1"/>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25">
      <w:pPr>
        <w:numPr>
          <w:ilvl w:val="0"/>
          <w:numId w:val="1"/>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26">
      <w:pPr>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La afectación generada en la situación jurídica de la persona involucrada en el proceso: Violación a sus derechos humanos.</w:t>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2B">
      <w:pPr>
        <w:spacing w:after="240" w:before="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2C">
      <w:pPr>
        <w:spacing w:after="240" w:before="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2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2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rtl w:val="0"/>
        </w:rPr>
        <w:t xml:space="preserve">treinta de mayo de dos mil veintitrés</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30">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3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32">
      <w:pPr>
        <w:spacing w:after="240" w:before="240" w:line="360" w:lineRule="auto"/>
        <w:jc w:val="both"/>
        <w:rPr>
          <w:rFonts w:ascii="Palatino Linotype" w:cs="Palatino Linotype" w:eastAsia="Palatino Linotype" w:hAnsi="Palatino Linotype"/>
        </w:rPr>
      </w:pPr>
      <w:bookmarkStart w:colFirst="0" w:colLast="0" w:name="_heading=h.tyjcwt" w:id="4"/>
      <w:bookmarkEnd w:id="4"/>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33">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día </w:t>
      </w:r>
      <w:r w:rsidDel="00000000" w:rsidR="00000000" w:rsidRPr="00000000">
        <w:rPr>
          <w:rFonts w:ascii="Palatino Linotype" w:cs="Palatino Linotype" w:eastAsia="Palatino Linotype" w:hAnsi="Palatino Linotype"/>
          <w:b w:val="1"/>
          <w:rtl w:val="0"/>
        </w:rPr>
        <w:t xml:space="preserve">cinco de octubre de dos mil veintidós, </w:t>
      </w:r>
      <w:r w:rsidDel="00000000" w:rsidR="00000000" w:rsidRPr="00000000">
        <w:rPr>
          <w:rFonts w:ascii="Palatino Linotype" w:cs="Palatino Linotype" w:eastAsia="Palatino Linotype" w:hAnsi="Palatino Linotype"/>
          <w:rtl w:val="0"/>
        </w:rPr>
        <w:t xml:space="preserve">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tuvo por presentado el día </w:t>
      </w:r>
      <w:r w:rsidDel="00000000" w:rsidR="00000000" w:rsidRPr="00000000">
        <w:rPr>
          <w:rFonts w:ascii="Palatino Linotype" w:cs="Palatino Linotype" w:eastAsia="Palatino Linotype" w:hAnsi="Palatino Linotype"/>
          <w:b w:val="1"/>
          <w:rtl w:val="0"/>
        </w:rPr>
        <w:t xml:space="preserve">catorce de octubre de dos mil veintidós, </w:t>
      </w:r>
      <w:r w:rsidDel="00000000" w:rsidR="00000000" w:rsidRPr="00000000">
        <w:rPr>
          <w:rFonts w:ascii="Palatino Linotype" w:cs="Palatino Linotype" w:eastAsia="Palatino Linotype" w:hAnsi="Palatino Linotype"/>
          <w:rtl w:val="0"/>
        </w:rPr>
        <w:t xml:space="preserve">esto es, al séptimo día hábil posterior en que tuvo conocimiento de la respuesta impugnada.</w:t>
      </w:r>
      <w:r w:rsidDel="00000000" w:rsidR="00000000" w:rsidRPr="00000000">
        <w:rPr>
          <w:rtl w:val="0"/>
        </w:rPr>
      </w:r>
    </w:p>
    <w:p w:rsidR="00000000" w:rsidDel="00000000" w:rsidP="00000000" w:rsidRDefault="00000000" w:rsidRPr="00000000" w14:paraId="00000034">
      <w:pPr>
        <w:tabs>
          <w:tab w:val="left" w:leader="none" w:pos="7938"/>
        </w:tabs>
        <w:spacing w:after="240" w:before="240" w:line="360" w:lineRule="auto"/>
        <w:jc w:val="both"/>
        <w:rPr>
          <w:rFonts w:ascii="Palatino Linotype" w:cs="Palatino Linotype" w:eastAsia="Palatino Linotype" w:hAnsi="Palatino Linotype"/>
        </w:rPr>
      </w:pPr>
      <w:bookmarkStart w:colFirst="0" w:colLast="0" w:name="_heading=h.3znysh7" w:id="5"/>
      <w:bookmarkEnd w:id="5"/>
      <w:r w:rsidDel="00000000" w:rsidR="00000000" w:rsidRPr="00000000">
        <w:rPr>
          <w:rFonts w:ascii="Palatino Linotype" w:cs="Palatino Linotype" w:eastAsia="Palatino Linotype" w:hAnsi="Palatino Linotype"/>
          <w:rtl w:val="0"/>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3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efecto de sustentar lo anterior, es de suma importancia mencionar que si bien la persona solicitante </w:t>
      </w:r>
      <w:r w:rsidDel="00000000" w:rsidR="00000000" w:rsidRPr="00000000">
        <w:rPr>
          <w:rFonts w:ascii="Palatino Linotype" w:cs="Palatino Linotype" w:eastAsia="Palatino Linotype" w:hAnsi="Palatino Linotype"/>
          <w:b w:val="1"/>
          <w:rtl w:val="0"/>
        </w:rPr>
        <w:t xml:space="preserve">no proporcionó nombre, </w:t>
      </w:r>
      <w:r w:rsidDel="00000000" w:rsidR="00000000" w:rsidRPr="00000000">
        <w:rPr>
          <w:rFonts w:ascii="Palatino Linotype" w:cs="Palatino Linotype" w:eastAsia="Palatino Linotype" w:hAnsi="Palatino Linotype"/>
          <w:rtl w:val="0"/>
        </w:rPr>
        <w:t xml:space="preserve">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36">
      <w:pPr>
        <w:spacing w:after="120" w:before="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3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por lo que, en el presente caso, al haber sido presentado el recurso de revisión vía SAIMEX, dicho requisito resulta innecesario.</w:t>
      </w:r>
    </w:p>
    <w:p w:rsidR="00000000" w:rsidDel="00000000" w:rsidP="00000000" w:rsidRDefault="00000000" w:rsidRPr="00000000" w14:paraId="0000003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fracción I del ordenamiento legal citado, que a la letra dice: </w:t>
      </w:r>
    </w:p>
    <w:p w:rsidR="00000000" w:rsidDel="00000000" w:rsidP="00000000" w:rsidRDefault="00000000" w:rsidRPr="00000000" w14:paraId="00000039">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A">
      <w:pPr>
        <w:spacing w:after="120" w:before="120" w:lineRule="auto"/>
        <w:ind w:left="1134"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negativa a la información solicitada;”</w:t>
      </w:r>
    </w:p>
    <w:p w:rsidR="00000000" w:rsidDel="00000000" w:rsidP="00000000" w:rsidRDefault="00000000" w:rsidRPr="00000000" w14:paraId="0000003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 oportuna.</w:t>
      </w:r>
    </w:p>
    <w:p w:rsidR="00000000" w:rsidDel="00000000" w:rsidP="00000000" w:rsidRDefault="00000000" w:rsidRPr="00000000" w14:paraId="0000003C">
      <w:pPr>
        <w:spacing w:after="240" w:before="240" w:line="360" w:lineRule="auto"/>
        <w:ind w:right="51"/>
        <w:jc w:val="both"/>
        <w:rPr>
          <w:rFonts w:ascii="Palatino Linotype" w:cs="Palatino Linotype" w:eastAsia="Palatino Linotype" w:hAnsi="Palatino Linotype"/>
        </w:rPr>
      </w:pPr>
      <w:bookmarkStart w:colFirst="0" w:colLast="0" w:name="_heading=h.2et92p0" w:id="6"/>
      <w:bookmarkEnd w:id="6"/>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requirió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le proporcione, información consistente en lo siguiente:</w:t>
      </w:r>
    </w:p>
    <w:p w:rsidR="00000000" w:rsidDel="00000000" w:rsidP="00000000" w:rsidRDefault="00000000" w:rsidRPr="00000000" w14:paraId="0000003D">
      <w:pPr>
        <w:spacing w:after="240" w:before="240" w:line="360"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De la Jefa del Departamento de Servicios Generales:</w:t>
      </w:r>
    </w:p>
    <w:p w:rsidR="00000000" w:rsidDel="00000000" w:rsidP="00000000" w:rsidRDefault="00000000" w:rsidRPr="00000000" w14:paraId="0000003E">
      <w:pPr>
        <w:spacing w:after="240" w:before="240" w:line="360" w:lineRule="auto"/>
        <w:ind w:left="284" w:right="49"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3F">
      <w:pPr>
        <w:spacing w:after="240" w:before="240" w:line="360" w:lineRule="auto"/>
        <w:ind w:left="567"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El documento o fundamento que le permite hostigar a empleados y ex empleados.</w:t>
      </w:r>
    </w:p>
    <w:p w:rsidR="00000000" w:rsidDel="00000000" w:rsidP="00000000" w:rsidRDefault="00000000" w:rsidRPr="00000000" w14:paraId="00000040">
      <w:pPr>
        <w:spacing w:after="240" w:before="240" w:line="360" w:lineRule="auto"/>
        <w:ind w:left="567"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Documentación que acredite su experiencia en áreas como de la que es Jefa.</w:t>
      </w:r>
    </w:p>
    <w:p w:rsidR="00000000" w:rsidDel="00000000" w:rsidP="00000000" w:rsidRDefault="00000000" w:rsidRPr="00000000" w14:paraId="00000041">
      <w:pPr>
        <w:spacing w:after="240" w:before="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Currículo que obra en el expediente de personal de: la Coordinadora de Proyectos del Presidente, del Director General de Informática, del Secretario Técnico del Pleno, del Director General de Capacitación y Certificación, y del Director General de Administración y Finanzas</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42">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la Unidad de Transparencia, hizo del conocimiento de la persona solicitante el pronunciamiento vertido por el Director General de Administración y Finanzas, quien en atención a la solicitud remitió el currículum vitae de las y los servidores públicos solicitados, manifestando que es la información que obran en sus expedientes de personal, en los cuales la persona solicitante podría consultar la información respecto a la experiencia de los mismos.</w:t>
      </w:r>
    </w:p>
    <w:p w:rsidR="00000000" w:rsidDel="00000000" w:rsidP="00000000" w:rsidRDefault="00000000" w:rsidRPr="00000000" w14:paraId="00000043">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respecto de “</w:t>
      </w:r>
      <w:r w:rsidDel="00000000" w:rsidR="00000000" w:rsidRPr="00000000">
        <w:rPr>
          <w:rFonts w:ascii="Palatino Linotype" w:cs="Palatino Linotype" w:eastAsia="Palatino Linotype" w:hAnsi="Palatino Linotype"/>
          <w:i w:val="1"/>
          <w:rtl w:val="0"/>
        </w:rPr>
        <w:t xml:space="preserve">el documento o fundamento que permite a la jefa del departamento de servicios generales Michel Naghelly para que hostigue a empleados y ex empleados</w:t>
      </w:r>
      <w:r w:rsidDel="00000000" w:rsidR="00000000" w:rsidRPr="00000000">
        <w:rPr>
          <w:rFonts w:ascii="Palatino Linotype" w:cs="Palatino Linotype" w:eastAsia="Palatino Linotype" w:hAnsi="Palatino Linotype"/>
          <w:rtl w:val="0"/>
        </w:rPr>
        <w:t xml:space="preserve">” (sic), manifestó que dichos cuestionamientos difícilmente pueden colmarse con documentos previamente generados, por lo que concluye que no se está en presencia del ejercicio del derecho de acceso a la información, y por tanto, dichos planteamientos no son atendibles mediante una solicitud de acceso a la información, al tratarse trata de manifestaciones subjetivas vertidas por la persona solicitante, situación que conlleva a afirmar que se está en presencia del derecho del ejercicio del derecho de petición, señalando que la entrega de una razón o un razonamiento por parte del Sujeto Obligado no es algo que la Ley establezca como atribución, derecho o facultad, toda vez que ello implicaría un juicio de valor referente a un cuestionamiento realizado, motivo por el cual no es posible brindar la información solicitada.</w:t>
      </w:r>
    </w:p>
    <w:p w:rsidR="00000000" w:rsidDel="00000000" w:rsidP="00000000" w:rsidRDefault="00000000" w:rsidRPr="00000000" w14:paraId="00000044">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Conocida la respuesta por la persona solicitante, al no estar conforme con los términos de la misma, interpuso el recurso de revisión que nos ocupa, mediante el cual manifestó, como motivo de inconformidad que no se le entregó la información solicitada.</w:t>
      </w:r>
    </w:p>
    <w:p w:rsidR="00000000" w:rsidDel="00000000" w:rsidP="00000000" w:rsidRDefault="00000000" w:rsidRPr="00000000" w14:paraId="00000045">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admitido el presente recurso de revisión, en términos del artículo 185 fracción II</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000000" w:rsidDel="00000000" w:rsidP="00000000" w:rsidRDefault="00000000" w:rsidRPr="00000000" w14:paraId="0000004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ratificó en lo sustancial la respuesta emitida en primera instancia, al reiterar el Director General de Administración y Finanzas que la Unidad Administrativa a su cargo respetó los principios que rigen en la materia, mediante el análisis y atención oportuna de la solicitud de información, otorgando la respuesta que conforme a derecho debió emitirse, solicitando en el acto a este Instituto declarar infundado e improcedente lo impugnado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y confirmar la respuesta otorgada. </w:t>
      </w:r>
    </w:p>
    <w:p w:rsidR="00000000" w:rsidDel="00000000" w:rsidP="00000000" w:rsidRDefault="00000000" w:rsidRPr="00000000" w14:paraId="0000004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previo a entrar al estudio de fondo del presente asunto, no escapa de la óptica de este Organismo Garante que la persona solicitante, a través del requerimiento de información marcado con el </w:t>
      </w:r>
      <w:r w:rsidDel="00000000" w:rsidR="00000000" w:rsidRPr="00000000">
        <w:rPr>
          <w:rFonts w:ascii="Palatino Linotype" w:cs="Palatino Linotype" w:eastAsia="Palatino Linotype" w:hAnsi="Palatino Linotype"/>
          <w:b w:val="1"/>
          <w:rtl w:val="0"/>
        </w:rPr>
        <w:t xml:space="preserve">inciso a.</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punto 1</w:t>
      </w:r>
      <w:r w:rsidDel="00000000" w:rsidR="00000000" w:rsidRPr="00000000">
        <w:rPr>
          <w:rFonts w:ascii="Palatino Linotype" w:cs="Palatino Linotype" w:eastAsia="Palatino Linotype" w:hAnsi="Palatino Linotype"/>
          <w:rtl w:val="0"/>
        </w:rPr>
        <w:t xml:space="preserve">, mediante el cual se solicitó “</w:t>
      </w:r>
      <w:r w:rsidDel="00000000" w:rsidR="00000000" w:rsidRPr="00000000">
        <w:rPr>
          <w:rFonts w:ascii="Palatino Linotype" w:cs="Palatino Linotype" w:eastAsia="Palatino Linotype" w:hAnsi="Palatino Linotype"/>
          <w:i w:val="1"/>
          <w:sz w:val="22"/>
          <w:szCs w:val="22"/>
          <w:rtl w:val="0"/>
        </w:rPr>
        <w:t xml:space="preserve">el </w:t>
      </w:r>
      <w:r w:rsidDel="00000000" w:rsidR="00000000" w:rsidRPr="00000000">
        <w:rPr>
          <w:rFonts w:ascii="Palatino Linotype" w:cs="Palatino Linotype" w:eastAsia="Palatino Linotype" w:hAnsi="Palatino Linotype"/>
          <w:b w:val="1"/>
          <w:i w:val="1"/>
          <w:sz w:val="22"/>
          <w:szCs w:val="22"/>
          <w:rtl w:val="0"/>
        </w:rPr>
        <w:t xml:space="preserve">documento o fundamento que permite a la jefa del departamento de servicios generales Michel Naghelly para que hostigue a empleados y ex empleados</w:t>
      </w:r>
      <w:r w:rsidDel="00000000" w:rsidR="00000000" w:rsidRPr="00000000">
        <w:rPr>
          <w:rFonts w:ascii="Palatino Linotype" w:cs="Palatino Linotype" w:eastAsia="Palatino Linotype" w:hAnsi="Palatino Linotype"/>
          <w:i w:val="1"/>
          <w:sz w:val="22"/>
          <w:szCs w:val="22"/>
          <w:rtl w:val="0"/>
        </w:rPr>
        <w:t xml:space="preserve">” (sic) </w:t>
      </w:r>
      <w:r w:rsidDel="00000000" w:rsidR="00000000" w:rsidRPr="00000000">
        <w:rPr>
          <w:rFonts w:ascii="Palatino Linotype" w:cs="Palatino Linotype" w:eastAsia="Palatino Linotype" w:hAnsi="Palatino Linotype"/>
          <w:rtl w:val="0"/>
        </w:rPr>
        <w:t xml:space="preserve">realizó planteamientos subjetivos mismos que se relacionan con el supuesto hostigamiento a empleados y ex empleados por parte de la Jefa de Departamento de Servicios Generales, pretendiendo se le haga entrega de un documento o el fundamento que permite tal situación.</w:t>
      </w:r>
    </w:p>
    <w:p w:rsidR="00000000" w:rsidDel="00000000" w:rsidP="00000000" w:rsidRDefault="00000000" w:rsidRPr="00000000" w14:paraId="0000004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otras palabras, mediante el requerimiento de información la persona solicitante pretende se le haga entrega de un documento o fundamento que permita, faculte o autoricé a una servidora pública que ostenta el cargo de Jefa de Departamento de Servicios Generales para realizar acciones, desde su perspectiva, de acoso, molestia o persecución en contra de empleados o exempleados; situación que conlleva a precisar que con tal planteamiento no pretendió ejercer su derecho de acceso a la información pública; sino que por este medio presentó una interrogante cuya finalidad es obligar a la autoridad a que actúe en el sentido de contestar lo solicitado, que no es factible atenderse vía acceso a la información pública, toda vez, que la atención a dicho cuestionamiento no se puede colmar con documentos que obren en los archivos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4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del análisis realizado al expediente electrónico, se advierte que esta parte de la solicitud no constituye un derecho de acceso a la información y por lo tanto no es atendible mediante una solicitud de acceso a la información pública, porque se trata de planteamientos, interrogantes y/o declaraciones, vertidas por la persona solicitante; situación que conlleva a afirmar que se está en presencia del ejercicio del derecho a la libre expresión y en todo caso a un derecho de petición. </w:t>
      </w:r>
    </w:p>
    <w:p w:rsidR="00000000" w:rsidDel="00000000" w:rsidP="00000000" w:rsidRDefault="00000000" w:rsidRPr="00000000" w14:paraId="0000004A">
      <w:pP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A efecto de sustentar lo anterior, es preciso mencionar que David Cienfuegos Salgado, concibe al derecho de petición como </w:t>
      </w: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u w:val="single"/>
          <w:rtl w:val="0"/>
        </w:rPr>
        <w:t xml:space="preserve">el derecho de toda persona a ser escuchado por quienes ejercen el poder públic</w:t>
      </w:r>
      <w:r w:rsidDel="00000000" w:rsidR="00000000" w:rsidRPr="00000000">
        <w:rPr>
          <w:rFonts w:ascii="Palatino Linotype" w:cs="Palatino Linotype" w:eastAsia="Palatino Linotype" w:hAnsi="Palatino Linotype"/>
          <w:i w:val="1"/>
          <w:rtl w:val="0"/>
        </w:rPr>
        <w:t xml:space="preserve">o.</w:t>
      </w:r>
      <w:r w:rsidDel="00000000" w:rsidR="00000000" w:rsidRPr="00000000">
        <w:rPr>
          <w:rFonts w:ascii="Palatino Linotype" w:cs="Palatino Linotype" w:eastAsia="Palatino Linotype" w:hAnsi="Palatino Linotype"/>
          <w:i w:val="1"/>
          <w:vertAlign w:val="superscript"/>
          <w:rtl w:val="0"/>
        </w:rPr>
        <w:t xml:space="preserve"> </w:t>
      </w:r>
      <w:r w:rsidDel="00000000" w:rsidR="00000000" w:rsidRPr="00000000">
        <w:rPr>
          <w:rFonts w:ascii="Palatino Linotype" w:cs="Palatino Linotype" w:eastAsia="Palatino Linotype" w:hAnsi="Palatino Linotype"/>
          <w:i w:val="1"/>
          <w:vertAlign w:val="superscript"/>
        </w:rPr>
        <w:footnoteReference w:customMarkFollows="0" w:id="2"/>
      </w:r>
      <w:r w:rsidDel="00000000" w:rsidR="00000000" w:rsidRPr="00000000">
        <w:rPr>
          <w:rFonts w:ascii="Palatino Linotype" w:cs="Palatino Linotype" w:eastAsia="Palatino Linotype" w:hAnsi="Palatino Linotype"/>
          <w:i w:val="1"/>
          <w:rtl w:val="0"/>
        </w:rPr>
        <w:t xml:space="preserve">” (Sic) </w:t>
      </w:r>
    </w:p>
    <w:p w:rsidR="00000000" w:rsidDel="00000000" w:rsidP="00000000" w:rsidRDefault="00000000" w:rsidRPr="00000000" w14:paraId="0000004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misma manera, Miguel Carbonell en su libro “Los derechos fundamentales” refiere que el </w:t>
      </w:r>
      <w:r w:rsidDel="00000000" w:rsidR="00000000" w:rsidRPr="00000000">
        <w:rPr>
          <w:rFonts w:ascii="Palatino Linotype" w:cs="Palatino Linotype" w:eastAsia="Palatino Linotype" w:hAnsi="Palatino Linotype"/>
          <w:u w:val="single"/>
          <w:rtl w:val="0"/>
        </w:rPr>
        <w:t xml:space="preserve">derecho de petición se ha entendido de dos distintitas maneras</w:t>
      </w:r>
      <w:r w:rsidDel="00000000" w:rsidR="00000000" w:rsidRPr="00000000">
        <w:rPr>
          <w:rFonts w:ascii="Palatino Linotype" w:cs="Palatino Linotype" w:eastAsia="Palatino Linotype" w:hAnsi="Palatino Linotype"/>
          <w:rtl w:val="0"/>
        </w:rPr>
        <w:t xml:space="preserve">, a saber: como un derecho fundamental de participación política ya que </w:t>
      </w:r>
      <w:r w:rsidDel="00000000" w:rsidR="00000000" w:rsidRPr="00000000">
        <w:rPr>
          <w:rFonts w:ascii="Palatino Linotype" w:cs="Palatino Linotype" w:eastAsia="Palatino Linotype" w:hAnsi="Palatino Linotype"/>
          <w:u w:val="single"/>
          <w:rtl w:val="0"/>
        </w:rPr>
        <w:t xml:space="preserve">permite a los particulares trasladar a las autoridades sus </w:t>
      </w:r>
      <w:r w:rsidDel="00000000" w:rsidR="00000000" w:rsidRPr="00000000">
        <w:rPr>
          <w:rFonts w:ascii="Palatino Linotype" w:cs="Palatino Linotype" w:eastAsia="Palatino Linotype" w:hAnsi="Palatino Linotype"/>
          <w:b w:val="1"/>
          <w:u w:val="single"/>
          <w:rtl w:val="0"/>
        </w:rPr>
        <w:t xml:space="preserve">inquietudes, quejas</w:t>
      </w:r>
      <w:r w:rsidDel="00000000" w:rsidR="00000000" w:rsidRPr="00000000">
        <w:rPr>
          <w:rFonts w:ascii="Palatino Linotype" w:cs="Palatino Linotype" w:eastAsia="Palatino Linotype" w:hAnsi="Palatino Linotype"/>
          <w:u w:val="single"/>
          <w:rtl w:val="0"/>
        </w:rPr>
        <w:t xml:space="preserve">, sugerencias</w:t>
      </w:r>
      <w:r w:rsidDel="00000000" w:rsidR="00000000" w:rsidRPr="00000000">
        <w:rPr>
          <w:rFonts w:ascii="Palatino Linotype" w:cs="Palatino Linotype" w:eastAsia="Palatino Linotype" w:hAnsi="Palatino Linotype"/>
          <w:rtl w:val="0"/>
        </w:rPr>
        <w:t xml:space="preserve"> y requerimientos en cualquier materia o asunto; y como una </w:t>
      </w:r>
      <w:r w:rsidDel="00000000" w:rsidR="00000000" w:rsidRPr="00000000">
        <w:rPr>
          <w:rFonts w:ascii="Palatino Linotype" w:cs="Palatino Linotype" w:eastAsia="Palatino Linotype" w:hAnsi="Palatino Linotype"/>
          <w:b w:val="1"/>
          <w:rtl w:val="0"/>
        </w:rPr>
        <w:t xml:space="preserve">forma específica de la libertad de expresión</w:t>
      </w:r>
      <w:r w:rsidDel="00000000" w:rsidR="00000000" w:rsidRPr="00000000">
        <w:rPr>
          <w:rFonts w:ascii="Palatino Linotype" w:cs="Palatino Linotype" w:eastAsia="Palatino Linotype" w:hAnsi="Palatino Linotype"/>
          <w:rtl w:val="0"/>
        </w:rPr>
        <w:t xml:space="preserve">,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Del="00000000" w:rsidR="00000000" w:rsidRPr="00000000">
        <w:rPr>
          <w:rFonts w:ascii="Palatino Linotype" w:cs="Palatino Linotype" w:eastAsia="Palatino Linotype" w:hAnsi="Palatino Linotype"/>
          <w:vertAlign w:val="superscript"/>
        </w:rPr>
        <w:footnoteReference w:customMarkFollows="0" w:id="3"/>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el autor anteriormente citado, indica que el </w:t>
      </w:r>
      <w:r w:rsidDel="00000000" w:rsidR="00000000" w:rsidRPr="00000000">
        <w:rPr>
          <w:rFonts w:ascii="Palatino Linotype" w:cs="Palatino Linotype" w:eastAsia="Palatino Linotype" w:hAnsi="Palatino Linotype"/>
          <w:b w:val="1"/>
          <w:u w:val="single"/>
          <w:rtl w:val="0"/>
        </w:rPr>
        <w:t xml:space="preserve">derecho de acceso a la información pública</w:t>
      </w:r>
      <w:r w:rsidDel="00000000" w:rsidR="00000000" w:rsidRPr="00000000">
        <w:rPr>
          <w:rFonts w:ascii="Palatino Linotype" w:cs="Palatino Linotype" w:eastAsia="Palatino Linotype" w:hAnsi="Palatino Linotype"/>
          <w:rtl w:val="0"/>
        </w:rPr>
        <w:t xml:space="preserve"> es el derecho de conocer la </w:t>
      </w:r>
      <w:r w:rsidDel="00000000" w:rsidR="00000000" w:rsidRPr="00000000">
        <w:rPr>
          <w:rFonts w:ascii="Palatino Linotype" w:cs="Palatino Linotype" w:eastAsia="Palatino Linotype" w:hAnsi="Palatino Linotype"/>
          <w:u w:val="single"/>
          <w:rtl w:val="0"/>
        </w:rPr>
        <w:t xml:space="preserve">información de carácter público que se genera o está en posesión de los órganos del poder público</w:t>
      </w:r>
      <w:r w:rsidDel="00000000" w:rsidR="00000000" w:rsidRPr="00000000">
        <w:rPr>
          <w:rFonts w:ascii="Palatino Linotype" w:cs="Palatino Linotype" w:eastAsia="Palatino Linotype" w:hAnsi="Palatino Linotype"/>
          <w:rtl w:val="0"/>
        </w:rPr>
        <w:t xml:space="preserve"> o de los sujetos que utilizan o se benefician con recursos provenientes del Estado, es el derecho que tienen los ciudadanos para acceder a documentos y datos que obren en el poder del gobierno.</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Del="00000000" w:rsidR="00000000" w:rsidRPr="00000000">
        <w:rPr>
          <w:rFonts w:ascii="Palatino Linotype" w:cs="Palatino Linotype" w:eastAsia="Palatino Linotype" w:hAnsi="Palatino Linotype"/>
          <w:vertAlign w:val="superscript"/>
        </w:rPr>
        <w:footnoteReference w:customMarkFollows="0" w:id="4"/>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puede concluir que la distinción entre el </w:t>
      </w:r>
      <w:r w:rsidDel="00000000" w:rsidR="00000000" w:rsidRPr="00000000">
        <w:rPr>
          <w:rFonts w:ascii="Palatino Linotype" w:cs="Palatino Linotype" w:eastAsia="Palatino Linotype" w:hAnsi="Palatino Linotype"/>
          <w:b w:val="1"/>
          <w:rtl w:val="0"/>
        </w:rPr>
        <w:t xml:space="preserve">derecho de petición</w:t>
      </w:r>
      <w:r w:rsidDel="00000000" w:rsidR="00000000" w:rsidRPr="00000000">
        <w:rPr>
          <w:rFonts w:ascii="Palatino Linotype" w:cs="Palatino Linotype" w:eastAsia="Palatino Linotype" w:hAnsi="Palatino Linotype"/>
          <w:rtl w:val="0"/>
        </w:rPr>
        <w:t xml:space="preserve"> y el derecho de acceso a la información descansa, principalmente, en que </w:t>
      </w:r>
      <w:r w:rsidDel="00000000" w:rsidR="00000000" w:rsidRPr="00000000">
        <w:rPr>
          <w:rFonts w:ascii="Palatino Linotype" w:cs="Palatino Linotype" w:eastAsia="Palatino Linotype" w:hAnsi="Palatino Linotype"/>
          <w:u w:val="single"/>
          <w:rtl w:val="0"/>
        </w:rPr>
        <w:t xml:space="preserve">la pretensión del peticionario consiste generalmente en obligar a la autoridad responsable a que actúe </w:t>
      </w:r>
      <w:r w:rsidDel="00000000" w:rsidR="00000000" w:rsidRPr="00000000">
        <w:rPr>
          <w:rFonts w:ascii="Palatino Linotype" w:cs="Palatino Linotype" w:eastAsia="Palatino Linotype" w:hAnsi="Palatino Linotype"/>
          <w:rtl w:val="0"/>
        </w:rPr>
        <w:t xml:space="preserve">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a lo anterior, tenemos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 través de su solicitud requirió conocer el documento o fundamento que autoriza o faculta a una servidora pública a realizar comportamientos que atentan contra la dignidad e integridad humana de otras personas, no obstante, dicha situación no se trata de algo que la normativa establece como atribución, derecho o facultad, por el contrario, la situación que plantea la persona solicitante contraviene los principios y valores establecidos en el Código de Ética, las Reglas de Integridad y el Código de Conducta de este Instituto, en consecuencia, al no estar facultado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para generar, administrar o poseer documentales de dicha índole en el ejercicio de sus atribuciones, es claro que las  </w:t>
      </w:r>
      <w:r w:rsidDel="00000000" w:rsidR="00000000" w:rsidRPr="00000000">
        <w:rPr>
          <w:rFonts w:ascii="Palatino Linotype" w:cs="Palatino Linotype" w:eastAsia="Palatino Linotype" w:hAnsi="Palatino Linotype"/>
          <w:b w:val="1"/>
          <w:u w:val="single"/>
          <w:rtl w:val="0"/>
        </w:rPr>
        <w:t xml:space="preserve">interrogantes, inquietudes, quejas y manifestaciones</w:t>
      </w:r>
      <w:r w:rsidDel="00000000" w:rsidR="00000000" w:rsidRPr="00000000">
        <w:rPr>
          <w:rFonts w:ascii="Palatino Linotype" w:cs="Palatino Linotype" w:eastAsia="Palatino Linotype" w:hAnsi="Palatino Linotype"/>
          <w:rtl w:val="0"/>
        </w:rPr>
        <w:t xml:space="preserve"> resultan estar encaminadas a ser satisfechas en ejercicio del derecho de petición.</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es de resaltar que este Instituto de Transparencia como Organismo Garante de difusión, protección y respeto al derecho de acceso a la información pública y a la protección de datos personales, conforme a su naturaleza jurídica y a sus atribuciones previstas en los artículos 29, 36 y 179 de la Ley de Transparencia y Acceso a la Información Pública del Estado de México y Municipios, es competente para resolver los recursos de revisión, cuando se niegue la información solicitada, se clasifique la información solicitada, se declare la inexistencia de lo solicitado, el Sujeto Obligado se declare incompetente para atender la solicitud de información, se entregue la información incompleta, se entregue información que no corresponda a lo solicitado, no se dé respuesta a la solicitud, se notifique o se ponga a disposición la información en un formato o modalidad distinto al solicitado, incomprensible o no accesible, respecto de los costos o tiempos de entrega de la información, cuando no se dé trámite a la solicitud, no se permita la consulta directa de la solicitud, se fundamente o motive deficientemente, y/o cuando se oriente a un trámite en específico; todo en ejercicio del derecho de acceso a la información pública, no así cuando se trate de un derecho de petición ejercido por un gobernado; en consecuencia, este Instinto no tiene atribuciones para pronunciarse respecto a las manifestaciones expuestas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esencialmente en virtud de que se advierte que el requerimiento de la persona solicitante es tendente 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aclare o actué sobre una inquietud, en consecuencia no es procedente ordenar la entrega de documento alguno, toda vez que no se pretendió el acceso a documentos previamente generados, sino un pronunciamiento, sin dejar de mencionar que en el mismo sentido fue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51">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respecto de los </w:t>
      </w:r>
      <w:r w:rsidDel="00000000" w:rsidR="00000000" w:rsidRPr="00000000">
        <w:rPr>
          <w:rFonts w:ascii="Palatino Linotype" w:cs="Palatino Linotype" w:eastAsia="Palatino Linotype" w:hAnsi="Palatino Linotype"/>
          <w:b w:val="1"/>
          <w:rtl w:val="0"/>
        </w:rPr>
        <w:t xml:space="preserve">puntos 1, inciso b.</w:t>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b w:val="1"/>
          <w:rtl w:val="0"/>
        </w:rPr>
        <w:t xml:space="preserve">2</w:t>
      </w:r>
      <w:r w:rsidDel="00000000" w:rsidR="00000000" w:rsidRPr="00000000">
        <w:rPr>
          <w:rFonts w:ascii="Palatino Linotype" w:cs="Palatino Linotype" w:eastAsia="Palatino Linotype" w:hAnsi="Palatino Linotype"/>
          <w:rtl w:val="0"/>
        </w:rPr>
        <w:t xml:space="preserve">, mediante los cuales se requirió la documentación que acredite la experiencia de la servidora pública referida en la solicitud, en áreas como la que es Jefa, así como el Currículo que obra en el expediente de personal de: la Coordinadora de Proyectos del Presidente, del Director General de Informática, del Secretario Técnico del Pleno, del Director General de Capacitación y Certificación, y del Director General de Administración y Finanzas, es de señalar que de las constancias que integran el expediente electrónico  relacionado con el recurso de revisión materia de estudio, se colige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no niega la competencia para conocer de la información solicitada, sino por el contrario, con la respuesta pronunciada asevera que es competente para conocer de la solicitud de información</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rtl w:val="0"/>
        </w:rPr>
        <w:t xml:space="preserve">lo anterior es así, ya que el estudio enunciado tiene por objeto determinar si </w:t>
      </w:r>
      <w:r w:rsidDel="00000000" w:rsidR="00000000" w:rsidRPr="00000000">
        <w:rPr>
          <w:rtl w:val="0"/>
        </w:rPr>
        <w:t xml:space="preserve">los</w:t>
      </w:r>
      <w:r w:rsidDel="00000000" w:rsidR="00000000" w:rsidRPr="00000000">
        <w:rPr>
          <w:rFonts w:ascii="Palatino Linotype" w:cs="Palatino Linotype" w:eastAsia="Palatino Linotype" w:hAnsi="Palatino Linotype"/>
          <w:rtl w:val="0"/>
        </w:rPr>
        <w:t xml:space="preserve"> Sujeto</w:t>
      </w:r>
      <w:r w:rsidDel="00000000" w:rsidR="00000000" w:rsidRPr="00000000">
        <w:rPr>
          <w:rtl w:val="0"/>
        </w:rPr>
        <w:t xml:space="preserve">s</w:t>
      </w:r>
      <w:r w:rsidDel="00000000" w:rsidR="00000000" w:rsidRPr="00000000">
        <w:rPr>
          <w:rFonts w:ascii="Palatino Linotype" w:cs="Palatino Linotype" w:eastAsia="Palatino Linotype" w:hAnsi="Palatino Linotype"/>
          <w:rtl w:val="0"/>
        </w:rPr>
        <w:t xml:space="preserve"> Obligado</w:t>
      </w:r>
      <w:r w:rsidDel="00000000" w:rsidR="00000000" w:rsidRPr="00000000">
        <w:rPr>
          <w:rtl w:val="0"/>
        </w:rPr>
        <w:t xml:space="preserve">s</w:t>
      </w:r>
      <w:r w:rsidDel="00000000" w:rsidR="00000000" w:rsidRPr="00000000">
        <w:rPr>
          <w:rFonts w:ascii="Palatino Linotype" w:cs="Palatino Linotype" w:eastAsia="Palatino Linotype" w:hAnsi="Palatino Linotype"/>
          <w:rtl w:val="0"/>
        </w:rPr>
        <w:t xml:space="preserve"> generan, poseen o administran  la información solicitada, sin embargo, en aquellos casos en que </w:t>
      </w:r>
      <w:r w:rsidDel="00000000" w:rsidR="00000000" w:rsidRPr="00000000">
        <w:rPr>
          <w:rtl w:val="0"/>
        </w:rPr>
        <w:t xml:space="preserve">e</w:t>
      </w:r>
      <w:r w:rsidDel="00000000" w:rsidR="00000000" w:rsidRPr="00000000">
        <w:rPr>
          <w:rFonts w:ascii="Palatino Linotype" w:cs="Palatino Linotype" w:eastAsia="Palatino Linotype" w:hAnsi="Palatino Linotype"/>
          <w:rtl w:val="0"/>
        </w:rPr>
        <w:t xml:space="preserve">st</w:t>
      </w:r>
      <w:r w:rsidDel="00000000" w:rsidR="00000000" w:rsidRPr="00000000">
        <w:rPr>
          <w:rtl w:val="0"/>
        </w:rPr>
        <w:t xml:space="preserve">os </w:t>
      </w:r>
      <w:r w:rsidDel="00000000" w:rsidR="00000000" w:rsidRPr="00000000">
        <w:rPr>
          <w:rFonts w:ascii="Palatino Linotype" w:cs="Palatino Linotype" w:eastAsia="Palatino Linotype" w:hAnsi="Palatino Linotype"/>
          <w:rtl w:val="0"/>
        </w:rPr>
        <w:t xml:space="preserve">ha</w:t>
      </w:r>
      <w:r w:rsidDel="00000000" w:rsidR="00000000" w:rsidRPr="00000000">
        <w:rPr>
          <w:rtl w:val="0"/>
        </w:rPr>
        <w:t xml:space="preserve">n</w:t>
      </w:r>
      <w:r w:rsidDel="00000000" w:rsidR="00000000" w:rsidRPr="00000000">
        <w:rPr>
          <w:rFonts w:ascii="Palatino Linotype" w:cs="Palatino Linotype" w:eastAsia="Palatino Linotype" w:hAnsi="Palatino Linotype"/>
          <w:rtl w:val="0"/>
        </w:rPr>
        <w:t xml:space="preserve"> asumido la competencia, sería ocioso y a nada práctico nos conduciría su estudio, ya que, se insiste, el ente obligado asumió la competencia referida, motivo por el cual se actualiza el supuesto previsto en el artículo 12 de la legislación aplicable en la materia. </w:t>
      </w:r>
    </w:p>
    <w:p w:rsidR="00000000" w:rsidDel="00000000" w:rsidP="00000000" w:rsidRDefault="00000000" w:rsidRPr="00000000" w14:paraId="00000052">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 Quienes generen, recopilen, administren, manejen, procesen, archiven o conserven información pública serán responsables de la misma</w:t>
      </w:r>
      <w:r w:rsidDel="00000000" w:rsidR="00000000" w:rsidRPr="00000000">
        <w:rPr>
          <w:rFonts w:ascii="Palatino Linotype" w:cs="Palatino Linotype" w:eastAsia="Palatino Linotype" w:hAnsi="Palatino Linotype"/>
          <w:i w:val="1"/>
          <w:sz w:val="22"/>
          <w:szCs w:val="22"/>
          <w:rtl w:val="0"/>
        </w:rPr>
        <w:t xml:space="preserve"> en los términos de las disposiciones jurídicas aplicables. </w:t>
      </w:r>
    </w:p>
    <w:p w:rsidR="00000000" w:rsidDel="00000000" w:rsidP="00000000" w:rsidRDefault="00000000" w:rsidRPr="00000000" w14:paraId="00000053">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La obligación de proporcionar información no comprende el procesamiento de la misma, ni el presentarla conforme al interés del solicitante; no estarán obligados a generarla, resumirla, efectuar cálculos o practicar investigaciones.”</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consiguiente, se procede al análisis de los requerimientos planteados por la persona solicitante y la respuesta proporcionada por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 efecto de determinar si el derecho de acceso se satisfizo con la misma, o en su defecto, señalar los documentos que en el ejercicio de sus atribuciones pudo haber generado, y que, de manera enunciativa más no limitativa, pudieran colmar dicho derecho. </w:t>
      </w:r>
    </w:p>
    <w:p w:rsidR="00000000" w:rsidDel="00000000" w:rsidP="00000000" w:rsidRDefault="00000000" w:rsidRPr="00000000" w14:paraId="0000005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se estima necesario precisar en primer lugar, que de conformidad con la información publicada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el portal IPOMEX, en cumplimiento a la obligación de transparencia establecida en el artículo 92, fracción VII</w:t>
      </w:r>
      <w:r w:rsidDel="00000000" w:rsidR="00000000" w:rsidRPr="00000000">
        <w:rPr>
          <w:rFonts w:ascii="Palatino Linotype" w:cs="Palatino Linotype" w:eastAsia="Palatino Linotype" w:hAnsi="Palatino Linotype"/>
          <w:vertAlign w:val="superscript"/>
        </w:rPr>
        <w:footnoteReference w:customMarkFollows="0" w:id="5"/>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además de la Jefa de Departamento de Servicios Generales Michel Naghely Rodríguez Gómez, los demás cargos señalados por la persona solicitante son ocupados por los servidores públicos: Catalina Camarillo Rosas, Nelson Correa Peralta, Alexis Tapia Ramírez, Berenice Arias Tello y Eurípides Heredia Rodríguez y, como se observa a continuación:</w:t>
      </w:r>
    </w:p>
    <w:tbl>
      <w:tblPr>
        <w:tblStyle w:val="Table1"/>
        <w:tblW w:w="882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056">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2520000" cy="879709"/>
                  <wp:effectExtent b="0" l="0" r="0" t="0"/>
                  <wp:docPr id="29"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2520000" cy="87970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7">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2520000" cy="794348"/>
                  <wp:effectExtent b="0" l="0" r="0" t="0"/>
                  <wp:docPr id="31"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2520000" cy="794348"/>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58">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2520000" cy="817049"/>
                  <wp:effectExtent b="0" l="0" r="0" t="0"/>
                  <wp:docPr id="30"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2520000" cy="81704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2520000" cy="871956"/>
                  <wp:effectExtent b="0" l="0" r="0" t="0"/>
                  <wp:docPr id="34"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2520000" cy="871956"/>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05A">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2520000" cy="804936"/>
                  <wp:effectExtent b="0" l="0" r="0" t="0"/>
                  <wp:docPr id="32"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2520000" cy="80493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Acotado lo anterior, se procede al análisis de la información requerida por la persona solicitante, así como de los documentos remitidos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para un mejor entendimiento dicho análisis se realizará a través de la siguiente tabla:</w:t>
      </w:r>
    </w:p>
    <w:p w:rsidR="00000000" w:rsidDel="00000000" w:rsidP="00000000" w:rsidRDefault="00000000" w:rsidRPr="00000000" w14:paraId="0000005D">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E">
      <w:pPr>
        <w:spacing w:after="240" w:before="240" w:line="360" w:lineRule="auto"/>
        <w:jc w:val="both"/>
        <w:rPr>
          <w:rFonts w:ascii="Palatino Linotype" w:cs="Palatino Linotype" w:eastAsia="Palatino Linotype" w:hAnsi="Palatino Linotype"/>
        </w:rPr>
      </w:pPr>
      <w:r w:rsidDel="00000000" w:rsidR="00000000" w:rsidRPr="00000000">
        <w:rPr>
          <w:rtl w:val="0"/>
        </w:rPr>
      </w:r>
    </w:p>
    <w:tbl>
      <w:tblPr>
        <w:tblStyle w:val="Table2"/>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5289"/>
        <w:tblGridChange w:id="0">
          <w:tblGrid>
            <w:gridCol w:w="3539"/>
            <w:gridCol w:w="5289"/>
          </w:tblGrid>
        </w:tblGridChange>
      </w:tblGrid>
      <w:tr>
        <w:trPr>
          <w:cantSplit w:val="0"/>
          <w:tblHeader w:val="0"/>
        </w:trPr>
        <w:tc>
          <w:tcPr>
            <w:shd w:fill="bfbfbf" w:val="clear"/>
          </w:tcPr>
          <w:p w:rsidR="00000000" w:rsidDel="00000000" w:rsidP="00000000" w:rsidRDefault="00000000" w:rsidRPr="00000000" w14:paraId="0000005F">
            <w:pPr>
              <w:spacing w:after="120" w:before="12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INFORMACIÓN SOLICITADA</w:t>
            </w:r>
          </w:p>
        </w:tc>
        <w:tc>
          <w:tcPr>
            <w:shd w:fill="bfbfbf" w:val="clear"/>
          </w:tcPr>
          <w:p w:rsidR="00000000" w:rsidDel="00000000" w:rsidP="00000000" w:rsidRDefault="00000000" w:rsidRPr="00000000" w14:paraId="00000060">
            <w:pPr>
              <w:spacing w:after="120" w:before="12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DOCUMENTO ENTREGADO</w:t>
            </w:r>
          </w:p>
        </w:tc>
      </w:tr>
      <w:tr>
        <w:trPr>
          <w:cantSplit w:val="0"/>
          <w:tblHeader w:val="0"/>
        </w:trPr>
        <w:tc>
          <w:tcPr/>
          <w:p w:rsidR="00000000" w:rsidDel="00000000" w:rsidP="00000000" w:rsidRDefault="00000000" w:rsidRPr="00000000" w14:paraId="00000061">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Documento que acredite la experiencia de la </w:t>
            </w:r>
            <w:r w:rsidDel="00000000" w:rsidR="00000000" w:rsidRPr="00000000">
              <w:rPr>
                <w:rFonts w:ascii="Palatino Linotype" w:cs="Palatino Linotype" w:eastAsia="Palatino Linotype" w:hAnsi="Palatino Linotype"/>
                <w:b w:val="1"/>
                <w:sz w:val="20"/>
                <w:szCs w:val="20"/>
                <w:rtl w:val="0"/>
              </w:rPr>
              <w:t xml:space="preserve">Jefa de Departamento de Servicios Generales.</w:t>
            </w:r>
            <w:r w:rsidDel="00000000" w:rsidR="00000000" w:rsidRPr="00000000">
              <w:rPr>
                <w:rtl w:val="0"/>
              </w:rPr>
            </w:r>
          </w:p>
        </w:tc>
        <w:tc>
          <w:tcPr/>
          <w:p w:rsidR="00000000" w:rsidDel="00000000" w:rsidP="00000000" w:rsidRDefault="00000000" w:rsidRPr="00000000" w14:paraId="00000062">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Curriculum vitae de Michel Naghely Rodríguez Gómez, constante de una hoja.</w:t>
            </w:r>
          </w:p>
          <w:p w:rsidR="00000000" w:rsidDel="00000000" w:rsidP="00000000" w:rsidRDefault="00000000" w:rsidRPr="00000000" w14:paraId="00000063">
            <w:pPr>
              <w:spacing w:after="120" w:before="120" w:lineRule="auto"/>
              <w:jc w:val="center"/>
              <w:rPr>
                <w:rFonts w:ascii="Palatino Linotype" w:cs="Palatino Linotype" w:eastAsia="Palatino Linotype" w:hAnsi="Palatino Linotype"/>
                <w:sz w:val="20"/>
                <w:szCs w:val="20"/>
              </w:rPr>
            </w:pPr>
            <w:r w:rsidDel="00000000" w:rsidR="00000000" w:rsidRPr="00000000">
              <w:rPr>
                <w:sz w:val="20"/>
                <w:szCs w:val="20"/>
              </w:rPr>
              <w:pict>
                <v:shape id="_x0000_i1025" style="width:211.5pt;height:260.25pt" o:ole="" type="#_x0000_t75">
                  <v:imagedata r:id="rId1" o:title=""/>
                </v:shape>
                <o:OLEObject DrawAspect="Content" r:id="rId2" ObjectID="_1748678539" ProgID="PBrush" ShapeID="_x0000_i1025" Type="Embed"/>
              </w:pict>
            </w:r>
            <w:r w:rsidDel="00000000" w:rsidR="00000000" w:rsidRPr="00000000">
              <w:rPr>
                <w:rtl w:val="0"/>
              </w:rPr>
            </w:r>
          </w:p>
        </w:tc>
      </w:tr>
      <w:tr>
        <w:trPr>
          <w:cantSplit w:val="0"/>
          <w:tblHeader w:val="0"/>
        </w:trPr>
        <w:tc>
          <w:tcPr>
            <w:gridSpan w:val="2"/>
          </w:tcPr>
          <w:p w:rsidR="00000000" w:rsidDel="00000000" w:rsidP="00000000" w:rsidRDefault="00000000" w:rsidRPr="00000000" w14:paraId="00000064">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Currículo </w:t>
            </w:r>
            <w:r w:rsidDel="00000000" w:rsidR="00000000" w:rsidRPr="00000000">
              <w:rPr>
                <w:rFonts w:ascii="Palatino Linotype" w:cs="Palatino Linotype" w:eastAsia="Palatino Linotype" w:hAnsi="Palatino Linotype"/>
                <w:sz w:val="20"/>
                <w:szCs w:val="20"/>
                <w:rtl w:val="0"/>
              </w:rPr>
              <w:t xml:space="preserve">del expediente de personal de: </w:t>
            </w:r>
          </w:p>
        </w:tc>
      </w:tr>
      <w:tr>
        <w:trPr>
          <w:cantSplit w:val="0"/>
          <w:tblHeader w:val="0"/>
        </w:trPr>
        <w:tc>
          <w:tcPr/>
          <w:p w:rsidR="00000000" w:rsidDel="00000000" w:rsidP="00000000" w:rsidRDefault="00000000" w:rsidRPr="00000000" w14:paraId="00000066">
            <w:pPr>
              <w:spacing w:after="120" w:before="12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Coordinadora de Proyectos del Presidente.</w:t>
            </w:r>
          </w:p>
        </w:tc>
        <w:tc>
          <w:tcPr/>
          <w:p w:rsidR="00000000" w:rsidDel="00000000" w:rsidP="00000000" w:rsidRDefault="00000000" w:rsidRPr="00000000" w14:paraId="00000067">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Curriculum vitae de Catalina Camarillo Rosas, constante de seis hojas.</w:t>
            </w:r>
          </w:p>
          <w:p w:rsidR="00000000" w:rsidDel="00000000" w:rsidP="00000000" w:rsidRDefault="00000000" w:rsidRPr="00000000" w14:paraId="00000068">
            <w:pPr>
              <w:spacing w:after="120" w:before="120" w:lineRule="auto"/>
              <w:jc w:val="center"/>
              <w:rPr>
                <w:rFonts w:ascii="Palatino Linotype" w:cs="Palatino Linotype" w:eastAsia="Palatino Linotype" w:hAnsi="Palatino Linotype"/>
                <w:sz w:val="20"/>
                <w:szCs w:val="20"/>
              </w:rPr>
            </w:pPr>
            <w:r w:rsidDel="00000000" w:rsidR="00000000" w:rsidRPr="00000000">
              <w:rPr/>
              <w:pict>
                <v:shape id="_x0000_i1026" style="width:213pt;height:121.5pt" o:ole="" type="#_x0000_t75">
                  <v:imagedata cropbottom="30147f" r:id="rId3" o:title=""/>
                </v:shape>
                <o:OLEObject DrawAspect="Content" r:id="rId4" ObjectID="_1748678540" ProgID="PBrush" ShapeID="_x0000_i1026" Type="Embed"/>
              </w:pict>
            </w:r>
            <w:r w:rsidDel="00000000" w:rsidR="00000000" w:rsidRPr="00000000">
              <w:rPr>
                <w:rtl w:val="0"/>
              </w:rPr>
            </w:r>
          </w:p>
        </w:tc>
      </w:tr>
      <w:tr>
        <w:trPr>
          <w:cantSplit w:val="0"/>
          <w:tblHeader w:val="0"/>
        </w:trPr>
        <w:tc>
          <w:tcPr/>
          <w:p w:rsidR="00000000" w:rsidDel="00000000" w:rsidP="00000000" w:rsidRDefault="00000000" w:rsidRPr="00000000" w14:paraId="00000069">
            <w:pPr>
              <w:spacing w:after="120" w:before="12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Director General de Informática.</w:t>
            </w:r>
          </w:p>
        </w:tc>
        <w:tc>
          <w:tcPr/>
          <w:p w:rsidR="00000000" w:rsidDel="00000000" w:rsidP="00000000" w:rsidRDefault="00000000" w:rsidRPr="00000000" w14:paraId="0000006A">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Curriculum vitae de Nelson Correa Peralta, constante de dos hojas.</w:t>
            </w:r>
          </w:p>
          <w:p w:rsidR="00000000" w:rsidDel="00000000" w:rsidP="00000000" w:rsidRDefault="00000000" w:rsidRPr="00000000" w14:paraId="0000006B">
            <w:pPr>
              <w:spacing w:after="120" w:before="120" w:lineRule="auto"/>
              <w:jc w:val="center"/>
              <w:rPr>
                <w:rFonts w:ascii="Palatino Linotype" w:cs="Palatino Linotype" w:eastAsia="Palatino Linotype" w:hAnsi="Palatino Linotype"/>
                <w:sz w:val="20"/>
                <w:szCs w:val="20"/>
              </w:rPr>
            </w:pPr>
            <w:r w:rsidDel="00000000" w:rsidR="00000000" w:rsidRPr="00000000">
              <w:rPr/>
              <w:pict>
                <v:shape id="_x0000_i1027" style="width:213pt;height:122.25pt" o:ole="" type="#_x0000_t75">
                  <v:imagedata cropbottom="21211f" r:id="rId5" o:title=""/>
                </v:shape>
                <o:OLEObject DrawAspect="Content" r:id="rId6" ObjectID="_1748678541" ProgID="PBrush" ShapeID="_x0000_i1027" Type="Embed"/>
              </w:pict>
            </w:r>
            <w:r w:rsidDel="00000000" w:rsidR="00000000" w:rsidRPr="00000000">
              <w:rPr>
                <w:rtl w:val="0"/>
              </w:rPr>
            </w:r>
          </w:p>
        </w:tc>
      </w:tr>
      <w:tr>
        <w:trPr>
          <w:cantSplit w:val="0"/>
          <w:tblHeader w:val="0"/>
        </w:trPr>
        <w:tc>
          <w:tcPr/>
          <w:p w:rsidR="00000000" w:rsidDel="00000000" w:rsidP="00000000" w:rsidRDefault="00000000" w:rsidRPr="00000000" w14:paraId="0000006C">
            <w:pPr>
              <w:spacing w:after="120" w:before="12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Secretario Técnico del Pleno.</w:t>
            </w:r>
          </w:p>
        </w:tc>
        <w:tc>
          <w:tcPr/>
          <w:p w:rsidR="00000000" w:rsidDel="00000000" w:rsidP="00000000" w:rsidRDefault="00000000" w:rsidRPr="00000000" w14:paraId="0000006D">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Curriculum vitae de Alexis Tapia Ramírez, constante de cuatro hojas.</w:t>
            </w:r>
          </w:p>
          <w:p w:rsidR="00000000" w:rsidDel="00000000" w:rsidP="00000000" w:rsidRDefault="00000000" w:rsidRPr="00000000" w14:paraId="0000006E">
            <w:pPr>
              <w:spacing w:after="120" w:before="120" w:lineRule="auto"/>
              <w:jc w:val="center"/>
              <w:rPr>
                <w:rFonts w:ascii="Palatino Linotype" w:cs="Palatino Linotype" w:eastAsia="Palatino Linotype" w:hAnsi="Palatino Linotype"/>
                <w:sz w:val="20"/>
                <w:szCs w:val="20"/>
              </w:rPr>
            </w:pPr>
            <w:r w:rsidDel="00000000" w:rsidR="00000000" w:rsidRPr="00000000">
              <w:rPr/>
              <w:pict>
                <v:shape id="_x0000_i1028" style="width:213pt;height:108pt" o:ole="" type="#_x0000_t75">
                  <v:imagedata cropbottom="14798f" r:id="rId7" o:title=""/>
                </v:shape>
                <o:OLEObject DrawAspect="Content" r:id="rId8" ObjectID="_1748678542" ProgID="PBrush" ShapeID="_x0000_i1028" Type="Embed"/>
              </w:pict>
            </w:r>
            <w:r w:rsidDel="00000000" w:rsidR="00000000" w:rsidRPr="00000000">
              <w:rPr>
                <w:rtl w:val="0"/>
              </w:rPr>
            </w:r>
          </w:p>
          <w:p w:rsidR="00000000" w:rsidDel="00000000" w:rsidP="00000000" w:rsidRDefault="00000000" w:rsidRPr="00000000" w14:paraId="0000006F">
            <w:pPr>
              <w:spacing w:after="120" w:before="120" w:lineRule="auto"/>
              <w:jc w:val="both"/>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0">
            <w:pPr>
              <w:spacing w:after="120" w:before="12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Director General de Capacitación y Certificación.</w:t>
            </w:r>
          </w:p>
        </w:tc>
        <w:tc>
          <w:tcPr/>
          <w:p w:rsidR="00000000" w:rsidDel="00000000" w:rsidP="00000000" w:rsidRDefault="00000000" w:rsidRPr="00000000" w14:paraId="00000071">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Curriculum vitae de Berenice Arias Tello, constante de una hoja.</w:t>
            </w:r>
          </w:p>
          <w:p w:rsidR="00000000" w:rsidDel="00000000" w:rsidP="00000000" w:rsidRDefault="00000000" w:rsidRPr="00000000" w14:paraId="00000072">
            <w:pPr>
              <w:spacing w:after="120" w:before="120" w:lineRule="auto"/>
              <w:jc w:val="center"/>
              <w:rPr>
                <w:rFonts w:ascii="Palatino Linotype" w:cs="Palatino Linotype" w:eastAsia="Palatino Linotype" w:hAnsi="Palatino Linotype"/>
                <w:sz w:val="20"/>
                <w:szCs w:val="20"/>
              </w:rPr>
            </w:pPr>
            <w:r w:rsidDel="00000000" w:rsidR="00000000" w:rsidRPr="00000000">
              <w:rPr/>
              <w:pict>
                <v:shape id="_x0000_i1029" style="width:211.5pt;height:123.75pt" o:ole="" type="#_x0000_t75">
                  <v:imagedata cropbottom="35829f" r:id="rId9" o:title=""/>
                </v:shape>
                <o:OLEObject DrawAspect="Content" r:id="rId10" ObjectID="_1748678543" ProgID="PBrush" ShapeID="_x0000_i1029" Type="Embed"/>
              </w:pict>
            </w:r>
            <w:r w:rsidDel="00000000" w:rsidR="00000000" w:rsidRPr="00000000">
              <w:rPr>
                <w:rtl w:val="0"/>
              </w:rPr>
            </w:r>
          </w:p>
        </w:tc>
      </w:tr>
      <w:tr>
        <w:trPr>
          <w:cantSplit w:val="0"/>
          <w:tblHeader w:val="0"/>
        </w:trPr>
        <w:tc>
          <w:tcPr/>
          <w:p w:rsidR="00000000" w:rsidDel="00000000" w:rsidP="00000000" w:rsidRDefault="00000000" w:rsidRPr="00000000" w14:paraId="00000073">
            <w:pPr>
              <w:spacing w:after="120" w:before="12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Director General de Administración y Finanzas.</w:t>
            </w:r>
          </w:p>
        </w:tc>
        <w:tc>
          <w:tcPr/>
          <w:p w:rsidR="00000000" w:rsidDel="00000000" w:rsidP="00000000" w:rsidRDefault="00000000" w:rsidRPr="00000000" w14:paraId="00000074">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Curriculum vitae de Eurípides Heredia Rodríguez, constante de una hoja.</w:t>
            </w:r>
          </w:p>
          <w:p w:rsidR="00000000" w:rsidDel="00000000" w:rsidP="00000000" w:rsidRDefault="00000000" w:rsidRPr="00000000" w14:paraId="00000075">
            <w:pPr>
              <w:spacing w:after="120" w:before="120" w:lineRule="auto"/>
              <w:jc w:val="center"/>
              <w:rPr>
                <w:rFonts w:ascii="Palatino Linotype" w:cs="Palatino Linotype" w:eastAsia="Palatino Linotype" w:hAnsi="Palatino Linotype"/>
                <w:sz w:val="20"/>
                <w:szCs w:val="20"/>
              </w:rPr>
            </w:pPr>
            <w:r w:rsidDel="00000000" w:rsidR="00000000" w:rsidRPr="00000000">
              <w:rPr/>
              <w:pict>
                <v:shape id="_x0000_i1030" style="width:213pt;height:117pt" o:ole="" type="#_x0000_t75">
                  <v:imagedata cropbottom="27245f" r:id="rId11" o:title=""/>
                </v:shape>
                <o:OLEObject DrawAspect="Content" r:id="rId12" ObjectID="_1748678544" ProgID="PBrush" ShapeID="_x0000_i1030" Type="Embed"/>
              </w:pict>
            </w:r>
            <w:r w:rsidDel="00000000" w:rsidR="00000000" w:rsidRPr="00000000">
              <w:rPr>
                <w:rtl w:val="0"/>
              </w:rPr>
            </w:r>
          </w:p>
        </w:tc>
      </w:tr>
    </w:tbl>
    <w:p w:rsidR="00000000" w:rsidDel="00000000" w:rsidP="00000000" w:rsidRDefault="00000000" w:rsidRPr="00000000" w14:paraId="00000076">
      <w:pPr>
        <w:spacing w:after="120" w:before="12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7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en la tabla anterior, el servidor público habilitado de la Dirección General de Administración y Finanzas,  quien de conformidad con el artículo 26, fracciones   IV, VIII, IX del Reglamento Interior del Instituto de Transparencia, Acceso a la Información Pública y Protección de Datos Personales del Estado de México y Municipios, tiene a su cargo, entre otras atribuciones las de elaborar las políticas, normas, lineamientos, sistemas y procedimientos para la administración del capital humano; realizar los movimientos del personal, asimismo, emitir los reportes correspondientes al tabulador, plantilla de personal y nóminas; y elaborar las normas de administración de personal, contratos o convenios que regulen las relaciones laborales, proponerlos al Pleno para su aprobación, vigilar la aplicación y su cumplimiento; proporcionó la información curricular de los servidores públicos que ostentan los cargos referidos por la persona solicitante, manifestando que dicha documentación es la que obra en sus expedientes de personal, asimismo que en dichas documentales la persona solicitante podría conocer la información relativa a la experiencia de los mismos.</w:t>
      </w:r>
    </w:p>
    <w:p w:rsidR="00000000" w:rsidDel="00000000" w:rsidP="00000000" w:rsidRDefault="00000000" w:rsidRPr="00000000" w14:paraId="0000007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es oportuno señalar que el concepto “</w:t>
      </w:r>
      <w:r w:rsidDel="00000000" w:rsidR="00000000" w:rsidRPr="00000000">
        <w:rPr>
          <w:rFonts w:ascii="Palatino Linotype" w:cs="Palatino Linotype" w:eastAsia="Palatino Linotype" w:hAnsi="Palatino Linotype"/>
          <w:i w:val="1"/>
          <w:rtl w:val="0"/>
        </w:rPr>
        <w:t xml:space="preserve">curriculum</w:t>
      </w:r>
      <w:r w:rsidDel="00000000" w:rsidR="00000000" w:rsidRPr="00000000">
        <w:rPr>
          <w:rFonts w:ascii="Palatino Linotype" w:cs="Palatino Linotype" w:eastAsia="Palatino Linotype" w:hAnsi="Palatino Linotype"/>
          <w:rtl w:val="0"/>
        </w:rPr>
        <w:t xml:space="preserve">” corresponde a una locución latina cuyo significado es “</w:t>
      </w:r>
      <w:r w:rsidDel="00000000" w:rsidR="00000000" w:rsidRPr="00000000">
        <w:rPr>
          <w:rFonts w:ascii="Palatino Linotype" w:cs="Palatino Linotype" w:eastAsia="Palatino Linotype" w:hAnsi="Palatino Linotype"/>
          <w:i w:val="1"/>
          <w:rtl w:val="0"/>
        </w:rPr>
        <w:t xml:space="preserve">carrera de vida</w:t>
      </w:r>
      <w:r w:rsidDel="00000000" w:rsidR="00000000" w:rsidRPr="00000000">
        <w:rPr>
          <w:rFonts w:ascii="Palatino Linotype" w:cs="Palatino Linotype" w:eastAsia="Palatino Linotype" w:hAnsi="Palatino Linotype"/>
          <w:rtl w:val="0"/>
        </w:rPr>
        <w:t xml:space="preserve">”, por su lado, la Real Academia Española, lo define como a continuación se cita:  </w:t>
      </w:r>
    </w:p>
    <w:p w:rsidR="00000000" w:rsidDel="00000000" w:rsidP="00000000" w:rsidRDefault="00000000" w:rsidRPr="00000000" w14:paraId="00000079">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Relación de los títulos, honores, cargos, trabajos realizados, datos biográficos, etc, que califican a una persona”</w:t>
      </w:r>
    </w:p>
    <w:p w:rsidR="00000000" w:rsidDel="00000000" w:rsidP="00000000" w:rsidRDefault="00000000" w:rsidRPr="00000000" w14:paraId="0000007A">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Desde esta perspectiva, a través del currículum vitae, como lo señaló el servidor público habilitado, la persona solicitante puede advertir efectivamente los estudios realizados o bien el nivel académico, así como la experiencia laboral de los servidores públicos que se encuentran adscritos al Sujeto Obligado y que ostentan los cargos señalados, información que es de carácter público de conformidad con el criterio 03/2009, emitido por el entonces Instituto Federal de Acceso a la Información y Protección de Datos (IFAI), ahora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“Curriculum Vitae de servidores públicos.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Es obligación de los sujetos obligados otorgar acceso a versiones públicas de los mismos ante una solicitud de acceso.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En esa tesitura, entre los datos personales del curriculum vitae de un servidor público susceptibles de hacerse del conocimiento público, ante una solicitud de acceso,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se encuentran los relativos a su trayectoria académica, profesional, laboral, así como todos aquellos que acrediten su capacidad, habilidades o pericia para ocupar el cargo público.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E">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w:t>
      </w:r>
      <w:r w:rsidDel="00000000" w:rsidR="00000000" w:rsidRPr="00000000">
        <w:rPr>
          <w:rFonts w:ascii="Palatino Linotype" w:cs="Palatino Linotype" w:eastAsia="Palatino Linotype" w:hAnsi="Palatino Linotype"/>
          <w:i w:val="1"/>
          <w:rtl w:val="0"/>
        </w:rPr>
        <w:t xml:space="preserve">contribuye a la evaluación de sus aptitudes de acuerdo a su nivel profesional y laboral</w:t>
      </w:r>
      <w:r w:rsidDel="00000000" w:rsidR="00000000" w:rsidRPr="00000000">
        <w:rPr>
          <w:rFonts w:ascii="Palatino Linotype" w:cs="Palatino Linotype" w:eastAsia="Palatino Linotype" w:hAnsi="Palatino Linotype"/>
          <w:rtl w:val="0"/>
        </w:rPr>
        <w:t xml:space="preserve">, para el desempeño de sus funciones  en el cargo que ostenten, razón que resulta suficiente para que sean de conocimiento público.</w:t>
      </w:r>
    </w:p>
    <w:p w:rsidR="00000000" w:rsidDel="00000000" w:rsidP="00000000" w:rsidRDefault="00000000" w:rsidRPr="00000000" w14:paraId="0000007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anterior, se estima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proporcionó los documentos idóneos para satisfacer el derecho de acceso de la persona solicitante, relativa a la experiencia de la Jefa del Departamento de Servicios Generales y el currículo de los servidores públicos que ostentan los cargos de Coordinadora de Proyectos del Presidente, Director General de Informática, Secretario Técnico del Pleno, Director General de Capacitación y Certificación, y Director General de Administración y Finanzas, por lo que al haber existido un pronunciamiento por parte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través del servidor público habilitado competente para generar, administrar o poseer la información de mérito, este Organismo Garante no está facultado para manifestarse sobre la veracidad de lo expresado por parte de este, pues no existe precepto legal alguno en la Ley de la materia que lo faculte para ello.</w:t>
      </w:r>
    </w:p>
    <w:p w:rsidR="00000000" w:rsidDel="00000000" w:rsidP="00000000" w:rsidRDefault="00000000" w:rsidRPr="00000000" w14:paraId="00000080">
      <w:pPr>
        <w:spacing w:after="360" w:before="24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00000000" w:rsidDel="00000000" w:rsidP="00000000" w:rsidRDefault="00000000" w:rsidRPr="00000000" w14:paraId="00000081">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sz w:val="22"/>
          <w:szCs w:val="22"/>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08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anterior, el requerimiento de información en estudio se tiene por atendido mediante el pronunciamiento emitido por el Director General de Administración y Finanzas.</w:t>
      </w:r>
    </w:p>
    <w:p w:rsidR="00000000" w:rsidDel="00000000" w:rsidP="00000000" w:rsidRDefault="00000000" w:rsidRPr="00000000" w14:paraId="00000083">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hasta aquí expuesto, se concluye que los motivos de inconformidad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devienen infundados, siendo procedente </w:t>
      </w:r>
      <w:r w:rsidDel="00000000" w:rsidR="00000000" w:rsidRPr="00000000">
        <w:rPr>
          <w:rFonts w:ascii="Palatino Linotype" w:cs="Palatino Linotype" w:eastAsia="Palatino Linotype" w:hAnsi="Palatino Linotype"/>
          <w:i w:val="1"/>
          <w:rtl w:val="0"/>
        </w:rPr>
        <w:t xml:space="preserve">Confirmar </w:t>
      </w:r>
      <w:r w:rsidDel="00000000" w:rsidR="00000000" w:rsidRPr="00000000">
        <w:rPr>
          <w:rFonts w:ascii="Palatino Linotype" w:cs="Palatino Linotype" w:eastAsia="Palatino Linotype" w:hAnsi="Palatino Linotype"/>
          <w:rtl w:val="0"/>
        </w:rPr>
        <w:t xml:space="preserve">la respuesta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términos del artículo 186 fracción II de la Ley de Transparencia y Acceso a la Información Pública del Estado de México y Municipios.</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086">
      <w:pPr>
        <w:spacing w:after="240" w:before="240" w:line="360" w:lineRule="auto"/>
        <w:jc w:val="both"/>
        <w:rPr>
          <w:rFonts w:ascii="Palatino Linotype" w:cs="Palatino Linotype" w:eastAsia="Palatino Linotype" w:hAnsi="Palatino Linotype"/>
        </w:rPr>
      </w:pPr>
      <w:bookmarkStart w:colFirst="0" w:colLast="0" w:name="_heading=h.17dp8vu" w:id="7"/>
      <w:bookmarkEnd w:id="7"/>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Son </w:t>
      </w:r>
      <w:r w:rsidDel="00000000" w:rsidR="00000000" w:rsidRPr="00000000">
        <w:rPr>
          <w:rFonts w:ascii="Palatino Linotype" w:cs="Palatino Linotype" w:eastAsia="Palatino Linotype" w:hAnsi="Palatino Linotype"/>
          <w:b w:val="1"/>
          <w:rtl w:val="0"/>
        </w:rPr>
        <w:t xml:space="preserve">infundadas</w:t>
      </w:r>
      <w:r w:rsidDel="00000000" w:rsidR="00000000" w:rsidRPr="00000000">
        <w:rPr>
          <w:rFonts w:ascii="Palatino Linotype" w:cs="Palatino Linotype" w:eastAsia="Palatino Linotype" w:hAnsi="Palatino Linotype"/>
          <w:rtl w:val="0"/>
        </w:rPr>
        <w:t xml:space="preserve"> las razones o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15589/INFOEM/IP/RR/2022</w:t>
      </w:r>
      <w:r w:rsidDel="00000000" w:rsidR="00000000" w:rsidRPr="00000000">
        <w:rPr>
          <w:rFonts w:ascii="Palatino Linotype" w:cs="Palatino Linotype" w:eastAsia="Palatino Linotype" w:hAnsi="Palatino Linotype"/>
          <w:rtl w:val="0"/>
        </w:rPr>
        <w:t xml:space="preserve">, por lo que, en términos de los argumentos de derecho señalados en 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se</w:t>
      </w:r>
      <w:r w:rsidDel="00000000" w:rsidR="00000000" w:rsidRPr="00000000">
        <w:rPr>
          <w:rFonts w:ascii="Palatino Linotype" w:cs="Palatino Linotype" w:eastAsia="Palatino Linotype" w:hAnsi="Palatino Linotype"/>
          <w:b w:val="1"/>
          <w:rtl w:val="0"/>
        </w:rPr>
        <w:t xml:space="preserve"> Confirma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8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Notifíquese, </w:t>
      </w:r>
      <w:r w:rsidDel="00000000" w:rsidR="00000000" w:rsidRPr="00000000">
        <w:rPr>
          <w:rFonts w:ascii="Palatino Linotype" w:cs="Palatino Linotype" w:eastAsia="Palatino Linotype" w:hAnsi="Palatino Linotype"/>
          <w:rtl w:val="0"/>
        </w:rPr>
        <w:t xml:space="preserve">al Responsable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su conocimiento, la presente resolución.</w:t>
      </w:r>
    </w:p>
    <w:p w:rsidR="00000000" w:rsidDel="00000000" w:rsidP="00000000" w:rsidRDefault="00000000" w:rsidRPr="00000000" w14:paraId="00000088">
      <w:pPr>
        <w:spacing w:after="240" w:before="240" w:line="360" w:lineRule="auto"/>
        <w:jc w:val="both"/>
        <w:rPr>
          <w:rFonts w:ascii="Palatino Linotype" w:cs="Palatino Linotype" w:eastAsia="Palatino Linotype" w:hAnsi="Palatino Linotype"/>
        </w:rPr>
      </w:pPr>
      <w:bookmarkStart w:colFirst="0" w:colLast="0" w:name="_heading=h.4d34og8" w:id="8"/>
      <w:bookmarkEnd w:id="8"/>
      <w:r w:rsidDel="00000000" w:rsidR="00000000" w:rsidRPr="00000000">
        <w:rPr>
          <w:rFonts w:ascii="Palatino Linotype" w:cs="Palatino Linotype" w:eastAsia="Palatino Linotype" w:hAnsi="Palatino Linotype"/>
          <w:b w:val="1"/>
          <w:rtl w:val="0"/>
        </w:rPr>
        <w:t xml:space="preserve"> Tercero.  Notifíquese, </w:t>
      </w:r>
      <w:r w:rsidDel="00000000" w:rsidR="00000000" w:rsidRPr="00000000">
        <w:rPr>
          <w:rFonts w:ascii="Palatino Linotype" w:cs="Palatino Linotype" w:eastAsia="Palatino Linotype" w:hAnsi="Palatino Linotype"/>
          <w:rtl w:val="0"/>
        </w:rPr>
        <w:t xml:space="preserve">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08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VIGÉSIMO PRIMERA SESIÓN ORDINARIA, CELEBRADA EL SIETE DE JUNIO DE DOS MIL VEINTITRÉS, ANTE EL SECRETARIO TÉCNICO DEL PLENO ALEXIS TAPIA RAMÍREZ.</w:t>
      </w:r>
    </w:p>
    <w:p w:rsidR="00000000" w:rsidDel="00000000" w:rsidP="00000000" w:rsidRDefault="00000000" w:rsidRPr="00000000" w14:paraId="0000008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B">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C">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D">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E">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F">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0">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1">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2">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3">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4">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5">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6">
      <w:pPr>
        <w:spacing w:line="360" w:lineRule="auto"/>
        <w:jc w:val="both"/>
        <w:rPr>
          <w:rFonts w:ascii="Palatino Linotype" w:cs="Palatino Linotype" w:eastAsia="Palatino Linotype" w:hAnsi="Palatino Linotype"/>
        </w:rPr>
      </w:pPr>
      <w:bookmarkStart w:colFirst="0" w:colLast="0" w:name="_heading=h.3rdcrjn" w:id="9"/>
      <w:bookmarkEnd w:id="9"/>
      <w:r w:rsidDel="00000000" w:rsidR="00000000" w:rsidRPr="00000000">
        <w:rPr>
          <w:rtl w:val="0"/>
        </w:rPr>
      </w:r>
    </w:p>
    <w:p w:rsidR="00000000" w:rsidDel="00000000" w:rsidP="00000000" w:rsidRDefault="00000000" w:rsidRPr="00000000" w14:paraId="0000009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9">
      <w:pPr>
        <w:spacing w:line="360" w:lineRule="auto"/>
        <w:jc w:val="both"/>
        <w:rPr>
          <w:rFonts w:ascii="Palatino Linotype" w:cs="Palatino Linotype" w:eastAsia="Palatino Linotype" w:hAnsi="Palatino Linotype"/>
        </w:rPr>
      </w:pPr>
      <w:bookmarkStart w:colFirst="0" w:colLast="0" w:name="_heading=h.1t3h5sf" w:id="10"/>
      <w:bookmarkEnd w:id="10"/>
      <w:r w:rsidDel="00000000" w:rsidR="00000000" w:rsidRPr="00000000">
        <w:rPr>
          <w:rtl w:val="0"/>
        </w:rPr>
      </w:r>
    </w:p>
    <w:p w:rsidR="00000000" w:rsidDel="00000000" w:rsidP="00000000" w:rsidRDefault="00000000" w:rsidRPr="00000000" w14:paraId="0000009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4">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25" w:type="default"/>
      <w:headerReference r:id="rId26" w:type="first"/>
      <w:footerReference r:id="rId27" w:type="default"/>
      <w:footerReference r:id="rId28"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Palatino Linotyp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De conformidad con el artículo 3, fracciones IV, VI, VII y XI del Reglamento Interior del Instituto de Transparencia y Acceso a la Información Pública y Protección de Datos Personales del Estado de México y Municipios.</w:t>
      </w:r>
    </w:p>
  </w:footnote>
  <w:footnote w:id="1">
    <w:p w:rsidR="00000000" w:rsidDel="00000000" w:rsidP="00000000" w:rsidRDefault="00000000" w:rsidRPr="00000000" w14:paraId="000000A6">
      <w:pPr>
        <w:pBdr>
          <w:top w:space="0" w:sz="0" w:val="nil"/>
          <w:left w:space="0" w:sz="0" w:val="nil"/>
          <w:bottom w:space="0" w:sz="0" w:val="nil"/>
          <w:right w:space="0" w:sz="0" w:val="nil"/>
          <w:between w:space="0" w:sz="0" w:val="nil"/>
        </w:pBdr>
        <w:ind w:left="720" w:hanging="720"/>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0A7">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 w:id="2">
    <w:p w:rsidR="00000000" w:rsidDel="00000000" w:rsidP="00000000" w:rsidRDefault="00000000" w:rsidRPr="00000000" w14:paraId="000000A8">
      <w:pPr>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 CIENFUEGOS SALGADO David. El Derecho de Petición en México. Ed. Instituto de Investigaciones Jurídica UNAM. México 2004. p. 31</w:t>
      </w:r>
    </w:p>
  </w:footnote>
  <w:footnote w:id="3">
    <w:p w:rsidR="00000000" w:rsidDel="00000000" w:rsidP="00000000" w:rsidRDefault="00000000" w:rsidRPr="00000000" w14:paraId="000000A9">
      <w:pPr>
        <w:spacing w:after="240" w:before="240" w:lineRule="auto"/>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 Carbonell, M. (2004). Los Derechos Fundamentales (Primera Edición ed.), México: Instituto de investigaciones Jurídicas.</w:t>
      </w:r>
    </w:p>
  </w:footnote>
  <w:footnote w:id="4">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120" w:line="198" w:lineRule="auto"/>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VILLANUEVA VILLANUEVA Ernesto, Derecho de la Información, Ed, Porrúa S.A., México. 2006, pág.270.</w:t>
      </w:r>
    </w:p>
  </w:footnote>
  <w:footnote w:id="5">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-1079499</wp:posOffset>
          </wp:positionH>
          <wp:positionV relativeFrom="paragraph">
            <wp:posOffset>-328929</wp:posOffset>
          </wp:positionV>
          <wp:extent cx="7809865" cy="10165715"/>
          <wp:effectExtent b="0" l="0" r="0" t="0"/>
          <wp:wrapNone/>
          <wp:docPr id="33"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7809865" cy="10165715"/>
                  </a:xfrm>
                  <a:prstGeom prst="rect"/>
                  <a:ln/>
                </pic:spPr>
              </pic:pic>
            </a:graphicData>
          </a:graphic>
        </wp:anchor>
      </w:drawing>
    </w:r>
  </w:p>
  <w:tbl>
    <w:tblPr>
      <w:tblStyle w:val="Table3"/>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0A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AF">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15589/INFOEM/IP/RR/2022</w:t>
          </w:r>
        </w:p>
      </w:tc>
    </w:tr>
    <w:tr>
      <w:trPr>
        <w:cantSplit w:val="0"/>
        <w:trHeight w:val="130" w:hRule="atLeast"/>
        <w:tblHeader w:val="0"/>
      </w:trPr>
      <w:tc>
        <w:tcPr>
          <w:shd w:fill="auto" w:val="clear"/>
          <w:vAlign w:val="center"/>
        </w:tcPr>
        <w:p w:rsidR="00000000" w:rsidDel="00000000" w:rsidP="00000000" w:rsidRDefault="00000000" w:rsidRPr="00000000" w14:paraId="000000B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0B1">
          <w:pPr>
            <w:ind w:left="-45" w:firstLine="0"/>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shd w:fill="auto" w:val="clear"/>
          <w:vAlign w:val="center"/>
        </w:tcPr>
        <w:p w:rsidR="00000000" w:rsidDel="00000000" w:rsidP="00000000" w:rsidRDefault="00000000" w:rsidRPr="00000000" w14:paraId="000000B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B3">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Instituto de Transparencia, Acceso a la Información Pública y Protección de Datos Personales del Estado de México y Municipios</w:t>
          </w:r>
        </w:p>
      </w:tc>
    </w:tr>
    <w:tr>
      <w:trPr>
        <w:cantSplit w:val="0"/>
        <w:tblHeader w:val="0"/>
      </w:trPr>
      <w:tc>
        <w:tcPr>
          <w:shd w:fill="auto" w:val="clear"/>
          <w:vAlign w:val="center"/>
        </w:tcPr>
        <w:p w:rsidR="00000000" w:rsidDel="00000000" w:rsidP="00000000" w:rsidRDefault="00000000" w:rsidRPr="00000000" w14:paraId="000000B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B5">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-1080121</wp:posOffset>
          </wp:positionH>
          <wp:positionV relativeFrom="paragraph">
            <wp:posOffset>-488299</wp:posOffset>
          </wp:positionV>
          <wp:extent cx="7809865" cy="10165715"/>
          <wp:effectExtent b="0" l="0" r="0" t="0"/>
          <wp:wrapNone/>
          <wp:docPr id="28"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7809865" cy="10165715"/>
                  </a:xfrm>
                  <a:prstGeom prst="rect"/>
                  <a:ln/>
                </pic:spPr>
              </pic:pic>
            </a:graphicData>
          </a:graphic>
        </wp:anchor>
      </w:drawing>
    </w:r>
  </w:p>
  <w:tbl>
    <w:tblPr>
      <w:tblStyle w:val="Table4"/>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0B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BA">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15589/INFOEM/IP/RR/2022</w:t>
          </w:r>
        </w:p>
      </w:tc>
    </w:tr>
    <w:tr>
      <w:trPr>
        <w:cantSplit w:val="0"/>
        <w:trHeight w:val="228" w:hRule="atLeast"/>
        <w:tblHeader w:val="0"/>
      </w:trPr>
      <w:tc>
        <w:tcPr>
          <w:shd w:fill="auto" w:val="clear"/>
          <w:vAlign w:val="center"/>
        </w:tcPr>
        <w:p w:rsidR="00000000" w:rsidDel="00000000" w:rsidP="00000000" w:rsidRDefault="00000000" w:rsidRPr="00000000" w14:paraId="000000B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BC">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Instituto de Transparencia, Acceso a la Información Pública y Protección de Datos Personales del Estado de México y Municipios</w:t>
          </w:r>
        </w:p>
      </w:tc>
    </w:tr>
    <w:tr>
      <w:trPr>
        <w:cantSplit w:val="0"/>
        <w:tblHeader w:val="0"/>
      </w:trPr>
      <w:tc>
        <w:tcPr>
          <w:shd w:fill="auto" w:val="clear"/>
          <w:vAlign w:val="center"/>
        </w:tcPr>
        <w:p w:rsidR="00000000" w:rsidDel="00000000" w:rsidP="00000000" w:rsidRDefault="00000000" w:rsidRPr="00000000" w14:paraId="000000BD">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BE">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BF">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B2902"/>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semiHidden w:val="1"/>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uiPriority w:val="9"/>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9" w:customStyle="1">
    <w:name w:val="Table Normal9"/>
    <w:tblPr>
      <w:tblCellMar>
        <w:top w:w="0.0" w:type="dxa"/>
        <w:left w:w="0.0" w:type="dxa"/>
        <w:bottom w:w="0.0" w:type="dxa"/>
        <w:right w:w="0.0" w:type="dxa"/>
      </w:tblCellMar>
    </w:tblPr>
  </w:style>
  <w:style w:type="table" w:styleId="TableNormal8" w:customStyle="1">
    <w:name w:val="Table Normal8"/>
    <w:tblPr>
      <w:tblCellMar>
        <w:top w:w="0.0" w:type="dxa"/>
        <w:left w:w="0.0" w:type="dxa"/>
        <w:bottom w:w="0.0" w:type="dxa"/>
        <w:right w:w="0.0" w:type="dxa"/>
      </w:tblCellMar>
    </w:tblPr>
  </w:style>
  <w:style w:type="table" w:styleId="TableNormal7" w:customStyle="1">
    <w:name w:val="Table Normal7"/>
    <w:tblPr>
      <w:tblCellMar>
        <w:top w:w="0.0" w:type="dxa"/>
        <w:left w:w="0.0" w:type="dxa"/>
        <w:bottom w:w="0.0" w:type="dxa"/>
        <w:right w:w="0.0" w:type="dxa"/>
      </w:tblCellMar>
    </w:tblPr>
  </w:style>
  <w:style w:type="table" w:styleId="TableNormal6" w:customStyle="1">
    <w:name w:val="Table Normal6"/>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
    <w:link w:val="SinespaciadoCar"/>
    <w:uiPriority w:val="1"/>
    <w:qFormat w:val="1"/>
    <w:rsid w:val="002944C8"/>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rPr>
  </w:style>
  <w:style w:type="paragraph" w:styleId="m5127500252372250437gmail-paragraph" w:customStyle="1">
    <w:name w:val="m_5127500252372250437gmail-paragraph"/>
    <w:basedOn w:val="Normal"/>
    <w:rsid w:val="00980B7E"/>
    <w:pPr>
      <w:spacing w:after="100" w:afterAutospacing="1" w:before="100" w:beforeAutospacing="1"/>
    </w:p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style>
  <w:style w:type="paragraph" w:styleId="m" w:customStyle="1">
    <w:name w:val="m"/>
    <w:basedOn w:val="Normal"/>
    <w:rsid w:val="007B00BD"/>
    <w:pPr>
      <w:spacing w:after="100" w:afterAutospacing="1" w:before="100" w:beforeAutospacing="1"/>
    </w:p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style>
  <w:style w:type="paragraph" w:styleId="n2" w:customStyle="1">
    <w:name w:val="n2"/>
    <w:basedOn w:val="Normal"/>
    <w:rsid w:val="009D307C"/>
    <w:pPr>
      <w:spacing w:after="100" w:afterAutospacing="1" w:before="100" w:beforeAutospacing="1"/>
    </w:p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style>
  <w:style w:type="paragraph" w:styleId="j2" w:customStyle="1">
    <w:name w:val="j2"/>
    <w:basedOn w:val="Normal"/>
    <w:rsid w:val="009D307C"/>
    <w:pPr>
      <w:spacing w:after="100" w:afterAutospacing="1" w:before="100" w:before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5" w:customStyle="1">
    <w:name w:val="5"/>
    <w:basedOn w:val="TableNormal10"/>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4" w:customStyle="1">
    <w:name w:val="4"/>
    <w:basedOn w:val="TableNormal10"/>
    <w:tblPr>
      <w:tblStyleRowBandSize w:val="1"/>
      <w:tblStyleColBandSize w:val="1"/>
      <w:tblCellMar>
        <w:left w:w="115.0" w:type="dxa"/>
        <w:right w:w="115.0" w:type="dxa"/>
      </w:tblCellMar>
    </w:tblPr>
  </w:style>
  <w:style w:type="table" w:styleId="3" w:customStyle="1">
    <w:name w:val="3"/>
    <w:basedOn w:val="TableNormal10"/>
    <w:tblPr>
      <w:tblStyleRowBandSize w:val="1"/>
      <w:tblStyleColBandSize w:val="1"/>
      <w:tblCellMar>
        <w:left w:w="115.0" w:type="dxa"/>
        <w:right w:w="115.0" w:type="dxa"/>
      </w:tblCellMar>
    </w:tblPr>
  </w:style>
  <w:style w:type="character" w:styleId="Mencinsinresolver3" w:customStyle="1">
    <w:name w:val="Mención sin resolver3"/>
    <w:basedOn w:val="Fuentedeprrafopredeter"/>
    <w:uiPriority w:val="99"/>
    <w:semiHidden w:val="1"/>
    <w:unhideWhenUsed w:val="1"/>
    <w:rsid w:val="0094565C"/>
    <w:rPr>
      <w:color w:val="605e5c"/>
      <w:shd w:color="auto" w:fill="e1dfdd" w:val="clear"/>
    </w:rPr>
  </w:style>
  <w:style w:type="table" w:styleId="2" w:customStyle="1">
    <w:name w:val="2"/>
    <w:basedOn w:val="TableNormal10"/>
    <w:tblPr>
      <w:tblStyleRowBandSize w:val="1"/>
      <w:tblStyleColBandSize w:val="1"/>
      <w:tblCellMar>
        <w:left w:w="115.0" w:type="dxa"/>
        <w:right w:w="115.0" w:type="dxa"/>
      </w:tblCellMar>
    </w:tblPr>
  </w:style>
  <w:style w:type="table" w:styleId="1" w:customStyle="1">
    <w:name w:val="1"/>
    <w:basedOn w:val="TableNormal10"/>
    <w:tblPr>
      <w:tblStyleRowBandSize w:val="1"/>
      <w:tblStyleColBandSize w:val="1"/>
      <w:tblCellMar>
        <w:left w:w="115.0" w:type="dxa"/>
        <w:right w:w="115.0" w:type="dxa"/>
      </w:tblCellMar>
    </w:tblPr>
  </w:style>
  <w:style w:type="table" w:styleId="9" w:customStyle="1">
    <w:name w:val="9"/>
    <w:basedOn w:val="TableNormal20"/>
    <w:tblPr>
      <w:tblStyleRowBandSize w:val="1"/>
      <w:tblStyleColBandSize w:val="1"/>
      <w:tblCellMar>
        <w:left w:w="115.0" w:type="dxa"/>
        <w:right w:w="115.0" w:type="dxa"/>
      </w:tblCellMar>
    </w:tblPr>
  </w:style>
  <w:style w:type="table" w:styleId="8" w:customStyle="1">
    <w:name w:val="8"/>
    <w:basedOn w:val="TableNormal20"/>
    <w:tblPr>
      <w:tblStyleRowBandSize w:val="1"/>
      <w:tblStyleColBandSize w:val="1"/>
      <w:tblCellMar>
        <w:left w:w="115.0" w:type="dxa"/>
        <w:right w:w="115.0" w:type="dxa"/>
      </w:tblCellMar>
    </w:tblPr>
  </w:style>
  <w:style w:type="table" w:styleId="7" w:customStyle="1">
    <w:name w:val="7"/>
    <w:basedOn w:val="TableNormal3"/>
    <w:tblPr>
      <w:tblStyleRowBandSize w:val="1"/>
      <w:tblStyleColBandSize w:val="1"/>
      <w:tblCellMar>
        <w:left w:w="115.0" w:type="dxa"/>
        <w:right w:w="115.0" w:type="dxa"/>
      </w:tblCellMar>
    </w:tblPr>
  </w:style>
  <w:style w:type="table" w:styleId="6" w:customStyle="1">
    <w:name w:val="6"/>
    <w:basedOn w:val="TableNormal3"/>
    <w:tblPr>
      <w:tblStyleRowBandSize w:val="1"/>
      <w:tblStyleColBandSize w:val="1"/>
      <w:tblCellMar>
        <w:left w:w="115.0" w:type="dxa"/>
        <w:right w:w="115.0" w:type="dxa"/>
      </w:tblCellMar>
    </w:tblPr>
  </w:style>
  <w:style w:type="table" w:styleId="20" w:customStyle="1">
    <w:name w:val="20"/>
    <w:basedOn w:val="TableNormal4"/>
    <w:tblPr>
      <w:tblStyleRowBandSize w:val="1"/>
      <w:tblStyleColBandSize w:val="1"/>
      <w:tblCellMar>
        <w:left w:w="115.0" w:type="dxa"/>
        <w:right w:w="115.0" w:type="dxa"/>
      </w:tblCellMar>
    </w:tblPr>
  </w:style>
  <w:style w:type="table" w:styleId="19" w:customStyle="1">
    <w:name w:val="19"/>
    <w:basedOn w:val="TableNormal4"/>
    <w:tblPr>
      <w:tblStyleRowBandSize w:val="1"/>
      <w:tblStyleColBandSize w:val="1"/>
      <w:tblCellMar>
        <w:left w:w="115.0" w:type="dxa"/>
        <w:right w:w="115.0" w:type="dxa"/>
      </w:tblCellMar>
    </w:tblPr>
  </w:style>
  <w:style w:type="table" w:styleId="18" w:customStyle="1">
    <w:name w:val="18"/>
    <w:basedOn w:val="TableNormal5"/>
    <w:tblPr>
      <w:tblStyleRowBandSize w:val="1"/>
      <w:tblStyleColBandSize w:val="1"/>
      <w:tblCellMar>
        <w:left w:w="115.0" w:type="dxa"/>
        <w:right w:w="115.0" w:type="dxa"/>
      </w:tblCellMar>
    </w:tblPr>
  </w:style>
  <w:style w:type="table" w:styleId="17" w:customStyle="1">
    <w:name w:val="17"/>
    <w:basedOn w:val="TableNormal5"/>
    <w:tblPr>
      <w:tblStyleRowBandSize w:val="1"/>
      <w:tblStyleColBandSize w:val="1"/>
      <w:tblCellMar>
        <w:left w:w="115.0" w:type="dxa"/>
        <w:right w:w="115.0" w:type="dxa"/>
      </w:tblCellMar>
    </w:tblPr>
  </w:style>
  <w:style w:type="table" w:styleId="16" w:customStyle="1">
    <w:name w:val="16"/>
    <w:basedOn w:val="TableNormal6"/>
    <w:tblPr>
      <w:tblStyleRowBandSize w:val="1"/>
      <w:tblStyleColBandSize w:val="1"/>
      <w:tblCellMar>
        <w:left w:w="115.0" w:type="dxa"/>
        <w:right w:w="115.0" w:type="dxa"/>
      </w:tblCellMar>
    </w:tblPr>
  </w:style>
  <w:style w:type="table" w:styleId="15" w:customStyle="1">
    <w:name w:val="15"/>
    <w:basedOn w:val="TableNormal6"/>
    <w:tblPr>
      <w:tblStyleRowBandSize w:val="1"/>
      <w:tblStyleColBandSize w:val="1"/>
      <w:tblCellMar>
        <w:left w:w="115.0" w:type="dxa"/>
        <w:right w:w="115.0" w:type="dxa"/>
      </w:tblCellMar>
    </w:tblPr>
  </w:style>
  <w:style w:type="table" w:styleId="14" w:customStyle="1">
    <w:name w:val="14"/>
    <w:basedOn w:val="TableNormal7"/>
    <w:tblPr>
      <w:tblStyleRowBandSize w:val="1"/>
      <w:tblStyleColBandSize w:val="1"/>
      <w:tblCellMar>
        <w:left w:w="115.0" w:type="dxa"/>
        <w:right w:w="115.0" w:type="dxa"/>
      </w:tblCellMar>
    </w:tblPr>
  </w:style>
  <w:style w:type="table" w:styleId="13" w:customStyle="1">
    <w:name w:val="13"/>
    <w:basedOn w:val="TableNormal7"/>
    <w:tblPr>
      <w:tblStyleRowBandSize w:val="1"/>
      <w:tblStyleColBandSize w:val="1"/>
      <w:tblCellMar>
        <w:left w:w="115.0" w:type="dxa"/>
        <w:right w:w="115.0" w:type="dxa"/>
      </w:tblCellMar>
    </w:tblPr>
  </w:style>
  <w:style w:type="character" w:styleId="rse6dlih" w:customStyle="1">
    <w:name w:val="rse6dlih"/>
    <w:basedOn w:val="Fuentedeprrafopredeter"/>
    <w:rsid w:val="00190860"/>
  </w:style>
  <w:style w:type="table" w:styleId="12" w:customStyle="1">
    <w:name w:val="12"/>
    <w:basedOn w:val="TableNormal8"/>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11" w:customStyle="1">
    <w:name w:val="11"/>
    <w:basedOn w:val="TableNormal8"/>
    <w:tblPr>
      <w:tblStyleRowBandSize w:val="1"/>
      <w:tblStyleColBandSize w:val="1"/>
      <w:tblCellMar>
        <w:left w:w="115.0" w:type="dxa"/>
        <w:right w:w="115.0" w:type="dxa"/>
      </w:tblCellMar>
    </w:tblPr>
  </w:style>
  <w:style w:type="table" w:styleId="10" w:customStyle="1">
    <w:name w:val="10"/>
    <w:basedOn w:val="TableNormal8"/>
    <w:tblPr>
      <w:tblStyleRowBandSize w:val="1"/>
      <w:tblStyleColBandSize w:val="1"/>
      <w:tblCellMar>
        <w:left w:w="115.0" w:type="dxa"/>
        <w:right w:w="115.0" w:type="dxa"/>
      </w:tblCellMar>
    </w:tblPr>
  </w:style>
  <w:style w:type="table" w:styleId="24" w:customStyle="1">
    <w:name w:val="24"/>
    <w:basedOn w:val="TableNormal9"/>
    <w:tblPr>
      <w:tblStyleRowBandSize w:val="1"/>
      <w:tblStyleColBandSize w:val="1"/>
      <w:tblCellMar>
        <w:left w:w="115.0" w:type="dxa"/>
        <w:right w:w="115.0" w:type="dxa"/>
      </w:tblCellMar>
    </w:tblPr>
  </w:style>
  <w:style w:type="table" w:styleId="23" w:customStyle="1">
    <w:name w:val="23"/>
    <w:basedOn w:val="TableNormal9"/>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22" w:customStyle="1">
    <w:name w:val="22"/>
    <w:basedOn w:val="TableNormal9"/>
    <w:tblPr>
      <w:tblStyleRowBandSize w:val="1"/>
      <w:tblStyleColBandSize w:val="1"/>
      <w:tblCellMar>
        <w:left w:w="115.0" w:type="dxa"/>
        <w:right w:w="115.0" w:type="dxa"/>
      </w:tblCellMar>
    </w:tblPr>
  </w:style>
  <w:style w:type="table" w:styleId="21" w:customStyle="1">
    <w:name w:val="21"/>
    <w:basedOn w:val="TableNormal9"/>
    <w:tblPr>
      <w:tblStyleRowBandSize w:val="1"/>
      <w:tblStyleColBandSize w:val="1"/>
      <w:tblCellMar>
        <w:left w:w="115.0" w:type="dxa"/>
        <w:right w:w="115.0" w:type="dxa"/>
      </w:tblCellMar>
    </w:tblPr>
  </w:style>
  <w:style w:type="table" w:styleId="a" w:customStyle="1">
    <w:basedOn w:val="TableNormal2"/>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0" w:customStyle="1">
    <w:basedOn w:val="TableNormal2"/>
    <w:tblPr>
      <w:tblStyleRowBandSize w:val="1"/>
      <w:tblStyleColBandSize w:val="1"/>
      <w:tblCellMar>
        <w:left w:w="115.0" w:type="dxa"/>
        <w:right w:w="115.0" w:type="dxa"/>
      </w:tblCellMar>
    </w:tblPr>
  </w:style>
  <w:style w:type="table" w:styleId="a2" w:customStyle="1">
    <w:basedOn w:val="TableNormal2"/>
    <w:tblPr>
      <w:tblStyleRowBandSize w:val="1"/>
      <w:tblStyleColBandSize w:val="1"/>
      <w:tblCellMar>
        <w:left w:w="115.0" w:type="dxa"/>
        <w:right w:w="115.0" w:type="dxa"/>
      </w:tblCellMar>
    </w:tblPr>
  </w:style>
  <w:style w:type="table" w:styleId="a3" w:customStyle="1">
    <w:basedOn w:val="TableNormal1"/>
    <w:tblPr>
      <w:tblStyleRowBandSize w:val="1"/>
      <w:tblStyleColBandSize w:val="1"/>
      <w:tblCellMar>
        <w:left w:w="115.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4" w:customStyle="1">
    <w:basedOn w:val="TableNormal1"/>
    <w:tblPr>
      <w:tblStyleRowBandSize w:val="1"/>
      <w:tblStyleColBandSize w:val="1"/>
      <w:tblCellMar>
        <w:left w:w="115.0" w:type="dxa"/>
        <w:right w:w="115.0" w:type="dxa"/>
      </w:tblCellMar>
    </w:tblPr>
  </w:style>
  <w:style w:type="table" w:styleId="a5" w:customStyle="1">
    <w:basedOn w:val="TableNormal1"/>
    <w:tblPr>
      <w:tblStyleRowBandSize w:val="1"/>
      <w:tblStyleColBandSize w:val="1"/>
      <w:tblCellMar>
        <w:left w:w="115.0" w:type="dxa"/>
        <w:right w:w="115.0" w:type="dxa"/>
      </w:tblCellMar>
    </w:tblPr>
  </w:style>
  <w:style w:type="table" w:styleId="a6" w:customStyle="1">
    <w:basedOn w:val="TableNormal0"/>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7" w:customStyle="1">
    <w:basedOn w:val="TableNormal0"/>
    <w:tblPr>
      <w:tblStyleRowBandSize w:val="1"/>
      <w:tblStyleColBandSize w:val="1"/>
      <w:tblCellMar>
        <w:left w:w="115.0" w:type="dxa"/>
        <w:right w:w="115.0" w:type="dxa"/>
      </w:tblCellMar>
    </w:tblPr>
  </w:style>
  <w:style w:type="table" w:styleId="a8" w:customStyle="1">
    <w:basedOn w:val="TableNormal0"/>
    <w:tblPr>
      <w:tblStyleRowBandSize w:val="1"/>
      <w:tblStyleColBandSize w:val="1"/>
      <w:tblCellMar>
        <w:left w:w="115.0" w:type="dxa"/>
        <w:right w:w="115.0" w:type="dxa"/>
      </w:tblCellMar>
    </w:tblPr>
  </w:style>
  <w:style w:type="character" w:styleId="Mencinsinresolver4" w:customStyle="1">
    <w:name w:val="Mención sin resolver4"/>
    <w:basedOn w:val="Fuentedeprrafopredeter"/>
    <w:uiPriority w:val="99"/>
    <w:semiHidden w:val="1"/>
    <w:unhideWhenUsed w:val="1"/>
    <w:rsid w:val="00B70D09"/>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8.png"/><Relationship Id="rId21" Type="http://schemas.openxmlformats.org/officeDocument/2006/relationships/image" Target="media/image12.png"/><Relationship Id="rId24" Type="http://schemas.openxmlformats.org/officeDocument/2006/relationships/image" Target="media/image9.png"/><Relationship Id="rId23" Type="http://schemas.openxmlformats.org/officeDocument/2006/relationships/image" Target="media/image10.png"/><Relationship Id="rId1" Type="http://schemas.openxmlformats.org/officeDocument/2006/relationships/image" Target="media/image2.png"/><Relationship Id="rId2" Type="http://schemas.openxmlformats.org/officeDocument/2006/relationships/oleObject" Target="embeddings/oleObject2.bin"/><Relationship Id="rId3" Type="http://schemas.openxmlformats.org/officeDocument/2006/relationships/image" Target="media/image1.png"/><Relationship Id="rId4" Type="http://schemas.openxmlformats.org/officeDocument/2006/relationships/oleObject" Target="embeddings/oleObject1.bin"/><Relationship Id="rId9" Type="http://schemas.openxmlformats.org/officeDocument/2006/relationships/image" Target="media/image6.png"/><Relationship Id="rId26" Type="http://schemas.openxmlformats.org/officeDocument/2006/relationships/header" Target="header1.xml"/><Relationship Id="rId25" Type="http://schemas.openxmlformats.org/officeDocument/2006/relationships/header" Target="header2.xml"/><Relationship Id="rId28" Type="http://schemas.openxmlformats.org/officeDocument/2006/relationships/footer" Target="footer1.xml"/><Relationship Id="rId27" Type="http://schemas.openxmlformats.org/officeDocument/2006/relationships/footer" Target="footer2.xml"/><Relationship Id="rId5" Type="http://schemas.openxmlformats.org/officeDocument/2006/relationships/image" Target="media/image4.png"/><Relationship Id="rId6" Type="http://schemas.openxmlformats.org/officeDocument/2006/relationships/oleObject" Target="embeddings/oleObject4.bin"/><Relationship Id="rId7" Type="http://schemas.openxmlformats.org/officeDocument/2006/relationships/image" Target="media/image3.png"/><Relationship Id="rId8" Type="http://schemas.openxmlformats.org/officeDocument/2006/relationships/oleObject" Target="embeddings/oleObject3.bin"/><Relationship Id="rId11" Type="http://schemas.openxmlformats.org/officeDocument/2006/relationships/image" Target="media/image5.png"/><Relationship Id="rId10" Type="http://schemas.openxmlformats.org/officeDocument/2006/relationships/oleObject" Target="embeddings/oleObject6.bin"/><Relationship Id="rId13" Type="http://schemas.openxmlformats.org/officeDocument/2006/relationships/theme" Target="theme/theme1.xml"/><Relationship Id="rId12" Type="http://schemas.openxmlformats.org/officeDocument/2006/relationships/oleObject" Target="embeddings/oleObject5.bin"/><Relationship Id="rId15" Type="http://schemas.openxmlformats.org/officeDocument/2006/relationships/fontTable" Target="fontTable.xml"/><Relationship Id="rId14" Type="http://schemas.openxmlformats.org/officeDocument/2006/relationships/settings" Target="settings.xml"/><Relationship Id="rId17" Type="http://schemas.openxmlformats.org/officeDocument/2006/relationships/numbering" Target="numbering.xml"/><Relationship Id="rId16" Type="http://schemas.openxmlformats.org/officeDocument/2006/relationships/footnotes" Target="footnotes.xml"/><Relationship Id="rId19" Type="http://schemas.openxmlformats.org/officeDocument/2006/relationships/customXml" Target="../customXML/item1.xml"/><Relationship Id="rId18" Type="http://schemas.openxmlformats.org/officeDocument/2006/relationships/styles" Target="styles.xml"/></Relationships>
</file>

<file path=word/_rels/fontTable.xml.rels><?xml version="1.0" encoding="UTF-8" standalone="yes"?><Relationships xmlns="http://schemas.openxmlformats.org/package/2006/relationships"><Relationship Id="rId13" Type="http://schemas.openxmlformats.org/officeDocument/2006/relationships/font" Target="fonts/PalatinoLinotype-regular.ttf"/><Relationship Id="rId15" Type="http://schemas.openxmlformats.org/officeDocument/2006/relationships/font" Target="fonts/PalatinoLinotype-italic.ttf"/><Relationship Id="rId14" Type="http://schemas.openxmlformats.org/officeDocument/2006/relationships/font" Target="fonts/PalatinoLinotype-bold.ttf"/><Relationship Id="rId16"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3" Type="http://schemas.openxmlformats.org/officeDocument/2006/relationships/image" Target="media/image11.png"/></Relationships>
</file>

<file path=word/_rels/header2.xml.rels><?xml version="1.0" encoding="UTF-8" standalone="yes"?><Relationships xmlns="http://schemas.openxmlformats.org/package/2006/relationships"><Relationship Id="rId13"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6vo/zQt9eUzqDr30HTXVc0IHw==">CgMxLjAyCGguZ2pkZ3hzMgloLjNkeTZ2a20yCWguMzBqMHpsbDIJaC4yczhleW8xMghoLnR5amN3dDIJaC4zem55c2g3MgloLjJldDkycDAyCWguMTdkcDh2dTIJaC40ZDM0b2c4MgloLjNyZGNyam4yCWguMXQzaDVzZjgAciExdjNTakk1cXBDcjBEXzVLMTlCTUNsM0pSQ1cyZVFZbzk=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2023-06-19T17:16:00Z</dcterms:created>
  <dc:creator>iMac</dc:creator>
</cp:coreProperties>
</file>