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8B2E" w14:textId="77777777" w:rsidR="00CB7F7F" w:rsidRPr="00A5004A" w:rsidRDefault="00C208D7">
      <w:pPr>
        <w:spacing w:before="240"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veinticinco de enero de dos mil </w:t>
      </w:r>
      <w:r w:rsidR="00A3778B">
        <w:rPr>
          <w:rFonts w:ascii="Palatino Linotype" w:eastAsia="Palatino Linotype" w:hAnsi="Palatino Linotype" w:cs="Palatino Linotype"/>
          <w:sz w:val="24"/>
          <w:szCs w:val="24"/>
        </w:rPr>
        <w:t>veintitrés</w:t>
      </w:r>
      <w:r w:rsidRPr="00A5004A">
        <w:rPr>
          <w:rFonts w:ascii="Palatino Linotype" w:eastAsia="Palatino Linotype" w:hAnsi="Palatino Linotype" w:cs="Palatino Linotype"/>
          <w:sz w:val="24"/>
          <w:szCs w:val="24"/>
        </w:rPr>
        <w:t>.</w:t>
      </w:r>
    </w:p>
    <w:p w14:paraId="69F316F6" w14:textId="77777777" w:rsidR="00CB7F7F" w:rsidRPr="00A5004A" w:rsidRDefault="00CB7F7F"/>
    <w:p w14:paraId="2DC4BE80" w14:textId="4F1E9A85"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t xml:space="preserve">Visto </w:t>
      </w:r>
      <w:r w:rsidRPr="00A5004A">
        <w:rPr>
          <w:rFonts w:ascii="Palatino Linotype" w:eastAsia="Palatino Linotype" w:hAnsi="Palatino Linotype" w:cs="Palatino Linotype"/>
          <w:sz w:val="24"/>
          <w:szCs w:val="24"/>
        </w:rPr>
        <w:t xml:space="preserve">el expediente relativo al recurso de revisión </w:t>
      </w:r>
      <w:r w:rsidRPr="00A5004A">
        <w:rPr>
          <w:rFonts w:ascii="Palatino Linotype" w:eastAsia="Palatino Linotype" w:hAnsi="Palatino Linotype" w:cs="Palatino Linotype"/>
          <w:b/>
          <w:sz w:val="24"/>
          <w:szCs w:val="24"/>
        </w:rPr>
        <w:t>11504/INFOEM/IP/RR/2022</w:t>
      </w:r>
      <w:r w:rsidRPr="00A5004A">
        <w:rPr>
          <w:rFonts w:ascii="Palatino Linotype" w:eastAsia="Palatino Linotype" w:hAnsi="Palatino Linotype" w:cs="Palatino Linotype"/>
          <w:sz w:val="24"/>
          <w:szCs w:val="24"/>
        </w:rPr>
        <w:t xml:space="preserve">, interpuesto por </w:t>
      </w:r>
      <w:r w:rsidR="0067100C">
        <w:rPr>
          <w:rFonts w:ascii="Palatino Linotype" w:eastAsia="Palatino Linotype" w:hAnsi="Palatino Linotype" w:cs="Palatino Linotype"/>
          <w:b/>
          <w:sz w:val="24"/>
          <w:szCs w:val="24"/>
        </w:rPr>
        <w:t xml:space="preserve">XXXXXXXXX </w:t>
      </w:r>
      <w:proofErr w:type="spellStart"/>
      <w:r w:rsidR="0067100C">
        <w:rPr>
          <w:rFonts w:ascii="Palatino Linotype" w:eastAsia="Palatino Linotype" w:hAnsi="Palatino Linotype" w:cs="Palatino Linotype"/>
          <w:b/>
          <w:sz w:val="24"/>
          <w:szCs w:val="24"/>
        </w:rPr>
        <w:t>XXXXXXXXX</w:t>
      </w:r>
      <w:proofErr w:type="spellEnd"/>
      <w:r w:rsidR="0067100C">
        <w:rPr>
          <w:rFonts w:ascii="Palatino Linotype" w:eastAsia="Palatino Linotype" w:hAnsi="Palatino Linotype" w:cs="Palatino Linotype"/>
          <w:b/>
          <w:sz w:val="24"/>
          <w:szCs w:val="24"/>
        </w:rPr>
        <w:t xml:space="preserve"> XXXXX</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 xml:space="preserve">a quien en lo sucesivo se le denominara </w:t>
      </w:r>
      <w:r w:rsidR="002A5104">
        <w:rPr>
          <w:rFonts w:ascii="Palatino Linotype" w:eastAsia="Palatino Linotype" w:hAnsi="Palatino Linotype" w:cs="Palatino Linotype"/>
          <w:b/>
          <w:sz w:val="24"/>
          <w:szCs w:val="24"/>
        </w:rPr>
        <w:t>LA</w:t>
      </w:r>
      <w:r w:rsidRPr="00A5004A">
        <w:rPr>
          <w:rFonts w:ascii="Palatino Linotype" w:eastAsia="Palatino Linotype" w:hAnsi="Palatino Linotype" w:cs="Palatino Linotype"/>
          <w:b/>
          <w:sz w:val="24"/>
          <w:szCs w:val="24"/>
        </w:rPr>
        <w:t xml:space="preserve"> RECURRENTE</w:t>
      </w:r>
      <w:r w:rsidRPr="00A5004A">
        <w:rPr>
          <w:rFonts w:ascii="Palatino Linotype" w:eastAsia="Palatino Linotype" w:hAnsi="Palatino Linotype" w:cs="Palatino Linotype"/>
          <w:sz w:val="24"/>
          <w:szCs w:val="24"/>
        </w:rPr>
        <w:t xml:space="preserve">, en contra de la respuesta a la solicitud de información con número de folio </w:t>
      </w:r>
      <w:r w:rsidRPr="00A5004A">
        <w:rPr>
          <w:rFonts w:ascii="Palatino Linotype" w:eastAsia="Palatino Linotype" w:hAnsi="Palatino Linotype" w:cs="Palatino Linotype"/>
          <w:b/>
          <w:sz w:val="24"/>
          <w:szCs w:val="24"/>
        </w:rPr>
        <w:t>00038/IHAEM/IP/2022</w:t>
      </w:r>
      <w:r w:rsidRPr="00A5004A">
        <w:rPr>
          <w:rFonts w:ascii="Palatino Linotype" w:eastAsia="Palatino Linotype" w:hAnsi="Palatino Linotype" w:cs="Palatino Linotype"/>
          <w:sz w:val="24"/>
          <w:szCs w:val="24"/>
        </w:rPr>
        <w:t xml:space="preserve">, por parte del </w:t>
      </w:r>
      <w:r w:rsidRPr="00A5004A">
        <w:rPr>
          <w:rFonts w:ascii="Palatino Linotype" w:eastAsia="Palatino Linotype" w:hAnsi="Palatino Linotype" w:cs="Palatino Linotype"/>
          <w:b/>
          <w:sz w:val="24"/>
          <w:szCs w:val="24"/>
        </w:rPr>
        <w:t>Instituto Hacendario del Estado de México</w:t>
      </w:r>
      <w:r w:rsidRPr="00A5004A">
        <w:rPr>
          <w:rFonts w:ascii="Palatino Linotype" w:eastAsia="Palatino Linotype" w:hAnsi="Palatino Linotype" w:cs="Palatino Linotype"/>
          <w:sz w:val="24"/>
          <w:szCs w:val="24"/>
        </w:rPr>
        <w:t xml:space="preserve">, en lo sucesivo </w:t>
      </w:r>
      <w:r w:rsidRPr="00A5004A">
        <w:rPr>
          <w:rFonts w:ascii="Palatino Linotype" w:eastAsia="Palatino Linotype" w:hAnsi="Palatino Linotype" w:cs="Palatino Linotype"/>
          <w:b/>
          <w:sz w:val="24"/>
          <w:szCs w:val="24"/>
        </w:rPr>
        <w:t>EL</w:t>
      </w: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b/>
          <w:sz w:val="24"/>
          <w:szCs w:val="24"/>
        </w:rPr>
        <w:t xml:space="preserve">SUJETO OBLIGADO; </w:t>
      </w:r>
      <w:r w:rsidRPr="00A5004A">
        <w:rPr>
          <w:rFonts w:ascii="Palatino Linotype" w:eastAsia="Palatino Linotype" w:hAnsi="Palatino Linotype" w:cs="Palatino Linotype"/>
          <w:sz w:val="24"/>
          <w:szCs w:val="24"/>
        </w:rPr>
        <w:t>se procede a dictar la presente resolución, con base en lo siguiente.</w:t>
      </w:r>
    </w:p>
    <w:p w14:paraId="6FCCF3E3" w14:textId="77777777" w:rsidR="00CB7F7F" w:rsidRPr="00A5004A" w:rsidRDefault="00CB7F7F"/>
    <w:p w14:paraId="24B53EEE" w14:textId="77777777" w:rsidR="00CB7F7F" w:rsidRPr="00A5004A" w:rsidRDefault="00C208D7">
      <w:pPr>
        <w:spacing w:after="0" w:line="360" w:lineRule="auto"/>
        <w:jc w:val="center"/>
        <w:rPr>
          <w:rFonts w:ascii="Palatino Linotype" w:eastAsia="Palatino Linotype" w:hAnsi="Palatino Linotype" w:cs="Palatino Linotype"/>
          <w:b/>
        </w:rPr>
      </w:pPr>
      <w:r w:rsidRPr="00A5004A">
        <w:rPr>
          <w:rFonts w:ascii="Palatino Linotype" w:eastAsia="Palatino Linotype" w:hAnsi="Palatino Linotype" w:cs="Palatino Linotype"/>
          <w:b/>
        </w:rPr>
        <w:t xml:space="preserve">A N T E C E D E N T E S </w:t>
      </w:r>
    </w:p>
    <w:p w14:paraId="583C06DA"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11DFC399"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1.</w:t>
      </w: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b/>
          <w:sz w:val="24"/>
          <w:szCs w:val="24"/>
        </w:rPr>
        <w:t xml:space="preserve">SOLICITUD DE INFORMACIÓN. </w:t>
      </w:r>
      <w:r w:rsidRPr="00A5004A">
        <w:rPr>
          <w:rFonts w:ascii="Palatino Linotype" w:eastAsia="Palatino Linotype" w:hAnsi="Palatino Linotype" w:cs="Palatino Linotype"/>
          <w:sz w:val="24"/>
          <w:szCs w:val="24"/>
        </w:rPr>
        <w:t xml:space="preserve">Con fecha dieciocho de mayo de dos mil veintidós, </w:t>
      </w:r>
      <w:r w:rsidRPr="00A5004A">
        <w:rPr>
          <w:rFonts w:ascii="Palatino Linotype" w:eastAsia="Palatino Linotype" w:hAnsi="Palatino Linotype" w:cs="Palatino Linotype"/>
          <w:b/>
          <w:sz w:val="24"/>
          <w:szCs w:val="24"/>
        </w:rPr>
        <w:t>LA RECURRENTE</w:t>
      </w:r>
      <w:r w:rsidRPr="00A5004A">
        <w:rPr>
          <w:rFonts w:ascii="Palatino Linotype" w:eastAsia="Palatino Linotype" w:hAnsi="Palatino Linotype" w:cs="Palatino Linotype"/>
          <w:sz w:val="24"/>
          <w:szCs w:val="24"/>
        </w:rPr>
        <w:t>, presentó a través del Sistema de Acceso a la Información Mexiquense (</w:t>
      </w:r>
      <w:r w:rsidRPr="00A5004A">
        <w:rPr>
          <w:rFonts w:ascii="Palatino Linotype" w:eastAsia="Palatino Linotype" w:hAnsi="Palatino Linotype" w:cs="Palatino Linotype"/>
          <w:b/>
          <w:sz w:val="24"/>
          <w:szCs w:val="24"/>
        </w:rPr>
        <w:t>SAIMEX)</w:t>
      </w:r>
      <w:r w:rsidRPr="00A5004A">
        <w:rPr>
          <w:rFonts w:ascii="Palatino Linotype" w:eastAsia="Palatino Linotype" w:hAnsi="Palatino Linotype" w:cs="Palatino Linotype"/>
          <w:sz w:val="24"/>
          <w:szCs w:val="24"/>
        </w:rPr>
        <w:t xml:space="preserve"> ante </w:t>
      </w: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solicitud de acceso a la información pública, registrada bajo el número de expediente</w:t>
      </w:r>
      <w:r w:rsidRPr="00A5004A">
        <w:rPr>
          <w:rFonts w:ascii="Verdana" w:eastAsia="Verdana" w:hAnsi="Verdana" w:cs="Verdana"/>
          <w:b/>
        </w:rPr>
        <w:t> </w:t>
      </w:r>
      <w:r w:rsidRPr="00A5004A">
        <w:rPr>
          <w:rFonts w:ascii="Palatino Linotype" w:eastAsia="Palatino Linotype" w:hAnsi="Palatino Linotype" w:cs="Palatino Linotype"/>
          <w:b/>
          <w:sz w:val="24"/>
          <w:szCs w:val="24"/>
        </w:rPr>
        <w:t>00038/IHAEM/IP/2022</w:t>
      </w:r>
      <w:r w:rsidRPr="00A5004A">
        <w:rPr>
          <w:rFonts w:ascii="Palatino Linotype" w:eastAsia="Palatino Linotype" w:hAnsi="Palatino Linotype" w:cs="Palatino Linotype"/>
          <w:sz w:val="24"/>
          <w:szCs w:val="24"/>
        </w:rPr>
        <w:t>,</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mediante la cual solicitó la siguiente información:</w:t>
      </w:r>
    </w:p>
    <w:p w14:paraId="505F755C" w14:textId="77777777" w:rsidR="00CB7F7F" w:rsidRPr="00A5004A" w:rsidRDefault="00CB7F7F">
      <w:pPr>
        <w:spacing w:after="0" w:line="360" w:lineRule="auto"/>
        <w:ind w:right="49"/>
        <w:jc w:val="both"/>
        <w:rPr>
          <w:rFonts w:ascii="Palatino Linotype" w:eastAsia="Palatino Linotype" w:hAnsi="Palatino Linotype" w:cs="Palatino Linotype"/>
          <w:sz w:val="24"/>
          <w:szCs w:val="24"/>
        </w:rPr>
      </w:pPr>
    </w:p>
    <w:p w14:paraId="79262DC6" w14:textId="77777777" w:rsidR="00CB7F7F" w:rsidRPr="00A5004A" w:rsidRDefault="00C208D7">
      <w:pPr>
        <w:spacing w:after="0" w:line="276" w:lineRule="auto"/>
        <w:ind w:left="709" w:right="758"/>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“solicito los recibos de </w:t>
      </w:r>
      <w:proofErr w:type="spellStart"/>
      <w:r w:rsidRPr="00A5004A">
        <w:rPr>
          <w:rFonts w:ascii="Palatino Linotype" w:eastAsia="Palatino Linotype" w:hAnsi="Palatino Linotype" w:cs="Palatino Linotype"/>
          <w:i/>
        </w:rPr>
        <w:t>nomina</w:t>
      </w:r>
      <w:proofErr w:type="spellEnd"/>
      <w:r w:rsidRPr="00A5004A">
        <w:rPr>
          <w:rFonts w:ascii="Palatino Linotype" w:eastAsia="Palatino Linotype" w:hAnsi="Palatino Linotype" w:cs="Palatino Linotype"/>
          <w:i/>
        </w:rPr>
        <w:t xml:space="preserve"> de esta </w:t>
      </w:r>
      <w:proofErr w:type="spellStart"/>
      <w:r w:rsidRPr="00A5004A">
        <w:rPr>
          <w:rFonts w:ascii="Palatino Linotype" w:eastAsia="Palatino Linotype" w:hAnsi="Palatino Linotype" w:cs="Palatino Linotype"/>
          <w:i/>
        </w:rPr>
        <w:t>depedencia</w:t>
      </w:r>
      <w:proofErr w:type="spellEnd"/>
      <w:r w:rsidRPr="00A5004A">
        <w:rPr>
          <w:rFonts w:ascii="Palatino Linotype" w:eastAsia="Palatino Linotype" w:hAnsi="Palatino Linotype" w:cs="Palatino Linotype"/>
          <w:i/>
        </w:rPr>
        <w:t xml:space="preserve"> de la </w:t>
      </w:r>
      <w:proofErr w:type="spellStart"/>
      <w:r w:rsidRPr="00A5004A">
        <w:rPr>
          <w:rFonts w:ascii="Palatino Linotype" w:eastAsia="Palatino Linotype" w:hAnsi="Palatino Linotype" w:cs="Palatino Linotype"/>
          <w:i/>
        </w:rPr>
        <w:t>ultima</w:t>
      </w:r>
      <w:proofErr w:type="spellEnd"/>
      <w:r w:rsidRPr="00A5004A">
        <w:rPr>
          <w:rFonts w:ascii="Palatino Linotype" w:eastAsia="Palatino Linotype" w:hAnsi="Palatino Linotype" w:cs="Palatino Linotype"/>
          <w:i/>
        </w:rPr>
        <w:t xml:space="preserve"> quincena dispersada, pagos y adeudos a proveedores 2019 a 2021, que acciones o mejoras implemento el titular de transparencia durante este primer trimestre 2022., </w:t>
      </w:r>
      <w:proofErr w:type="spellStart"/>
      <w:r w:rsidRPr="00A5004A">
        <w:rPr>
          <w:rFonts w:ascii="Palatino Linotype" w:eastAsia="Palatino Linotype" w:hAnsi="Palatino Linotype" w:cs="Palatino Linotype"/>
          <w:i/>
        </w:rPr>
        <w:t>soliciito</w:t>
      </w:r>
      <w:proofErr w:type="spellEnd"/>
      <w:r w:rsidRPr="00A5004A">
        <w:rPr>
          <w:rFonts w:ascii="Palatino Linotype" w:eastAsia="Palatino Linotype" w:hAnsi="Palatino Linotype" w:cs="Palatino Linotype"/>
          <w:i/>
        </w:rPr>
        <w:t xml:space="preserve"> los </w:t>
      </w:r>
      <w:proofErr w:type="spellStart"/>
      <w:r w:rsidRPr="00A5004A">
        <w:rPr>
          <w:rFonts w:ascii="Palatino Linotype" w:eastAsia="Palatino Linotype" w:hAnsi="Palatino Linotype" w:cs="Palatino Linotype"/>
          <w:i/>
        </w:rPr>
        <w:t>ofocios</w:t>
      </w:r>
      <w:proofErr w:type="spellEnd"/>
      <w:r w:rsidRPr="00A5004A">
        <w:rPr>
          <w:rFonts w:ascii="Palatino Linotype" w:eastAsia="Palatino Linotype" w:hAnsi="Palatino Linotype" w:cs="Palatino Linotype"/>
          <w:i/>
        </w:rPr>
        <w:t xml:space="preserve"> las </w:t>
      </w:r>
      <w:proofErr w:type="spellStart"/>
      <w:r w:rsidRPr="00A5004A">
        <w:rPr>
          <w:rFonts w:ascii="Palatino Linotype" w:eastAsia="Palatino Linotype" w:hAnsi="Palatino Linotype" w:cs="Palatino Linotype"/>
          <w:i/>
        </w:rPr>
        <w:t>bitacoras</w:t>
      </w:r>
      <w:proofErr w:type="spellEnd"/>
      <w:r w:rsidRPr="00A5004A">
        <w:rPr>
          <w:rFonts w:ascii="Palatino Linotype" w:eastAsia="Palatino Linotype" w:hAnsi="Palatino Linotype" w:cs="Palatino Linotype"/>
          <w:i/>
        </w:rPr>
        <w:t xml:space="preserve"> </w:t>
      </w:r>
      <w:proofErr w:type="spellStart"/>
      <w:r w:rsidRPr="00A5004A">
        <w:rPr>
          <w:rFonts w:ascii="Palatino Linotype" w:eastAsia="Palatino Linotype" w:hAnsi="Palatino Linotype" w:cs="Palatino Linotype"/>
          <w:i/>
        </w:rPr>
        <w:t>asi</w:t>
      </w:r>
      <w:proofErr w:type="spellEnd"/>
      <w:r w:rsidRPr="00A5004A">
        <w:rPr>
          <w:rFonts w:ascii="Palatino Linotype" w:eastAsia="Palatino Linotype" w:hAnsi="Palatino Linotype" w:cs="Palatino Linotype"/>
          <w:i/>
        </w:rPr>
        <w:t xml:space="preserve"> como el </w:t>
      </w:r>
      <w:proofErr w:type="spellStart"/>
      <w:r w:rsidRPr="00A5004A">
        <w:rPr>
          <w:rFonts w:ascii="Palatino Linotype" w:eastAsia="Palatino Linotype" w:hAnsi="Palatino Linotype" w:cs="Palatino Linotype"/>
          <w:i/>
        </w:rPr>
        <w:t>analisis</w:t>
      </w:r>
      <w:proofErr w:type="spellEnd"/>
      <w:r w:rsidRPr="00A5004A">
        <w:rPr>
          <w:rFonts w:ascii="Palatino Linotype" w:eastAsia="Palatino Linotype" w:hAnsi="Palatino Linotype" w:cs="Palatino Linotype"/>
          <w:i/>
        </w:rPr>
        <w:t xml:space="preserve"> </w:t>
      </w:r>
      <w:proofErr w:type="gramStart"/>
      <w:r w:rsidRPr="00A5004A">
        <w:rPr>
          <w:rFonts w:ascii="Palatino Linotype" w:eastAsia="Palatino Linotype" w:hAnsi="Palatino Linotype" w:cs="Palatino Linotype"/>
          <w:i/>
        </w:rPr>
        <w:t>brecha ,</w:t>
      </w:r>
      <w:proofErr w:type="gramEnd"/>
      <w:r w:rsidRPr="00A5004A">
        <w:rPr>
          <w:rFonts w:ascii="Palatino Linotype" w:eastAsia="Palatino Linotype" w:hAnsi="Palatino Linotype" w:cs="Palatino Linotype"/>
          <w:i/>
        </w:rPr>
        <w:t xml:space="preserve"> riesgo y en general toda la documentación relacionada con su documento de seguridad 2019 a2022.” (Sic).</w:t>
      </w:r>
    </w:p>
    <w:p w14:paraId="48B6FF96" w14:textId="77777777" w:rsidR="00CB7F7F" w:rsidRPr="00A5004A" w:rsidRDefault="00CB7F7F">
      <w:pPr>
        <w:spacing w:after="0" w:line="276" w:lineRule="auto"/>
        <w:ind w:left="709" w:right="758"/>
        <w:jc w:val="both"/>
        <w:rPr>
          <w:rFonts w:ascii="Palatino Linotype" w:eastAsia="Palatino Linotype" w:hAnsi="Palatino Linotype" w:cs="Palatino Linotype"/>
          <w:i/>
        </w:rPr>
      </w:pPr>
    </w:p>
    <w:p w14:paraId="2F7804AB"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Modalidad de entrega: A través del </w:t>
      </w:r>
      <w:r w:rsidRPr="00A5004A">
        <w:rPr>
          <w:rFonts w:ascii="Palatino Linotype" w:eastAsia="Palatino Linotype" w:hAnsi="Palatino Linotype" w:cs="Palatino Linotype"/>
          <w:b/>
          <w:sz w:val="24"/>
          <w:szCs w:val="24"/>
        </w:rPr>
        <w:t>SAIMEX</w:t>
      </w:r>
      <w:r w:rsidRPr="00A5004A">
        <w:rPr>
          <w:rFonts w:ascii="Palatino Linotype" w:eastAsia="Palatino Linotype" w:hAnsi="Palatino Linotype" w:cs="Palatino Linotype"/>
          <w:sz w:val="24"/>
          <w:szCs w:val="24"/>
        </w:rPr>
        <w:t>.</w:t>
      </w:r>
    </w:p>
    <w:p w14:paraId="2A57F288" w14:textId="77777777" w:rsidR="00CB7F7F" w:rsidRPr="00A5004A" w:rsidRDefault="00CB7F7F">
      <w:pPr>
        <w:spacing w:after="0" w:line="360" w:lineRule="auto"/>
        <w:ind w:right="49"/>
        <w:jc w:val="both"/>
        <w:rPr>
          <w:rFonts w:ascii="Palatino Linotype" w:eastAsia="Palatino Linotype" w:hAnsi="Palatino Linotype" w:cs="Palatino Linotype"/>
          <w:sz w:val="24"/>
          <w:szCs w:val="24"/>
        </w:rPr>
      </w:pPr>
    </w:p>
    <w:p w14:paraId="0B00202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2. DE LA PRÓRROGA.</w:t>
      </w:r>
      <w:r w:rsidRPr="00A5004A">
        <w:rPr>
          <w:rFonts w:ascii="Palatino Linotype" w:eastAsia="Palatino Linotype" w:hAnsi="Palatino Linotype" w:cs="Palatino Linotype"/>
          <w:sz w:val="24"/>
          <w:szCs w:val="24"/>
        </w:rPr>
        <w:t xml:space="preserve"> En fecha siete de junio de dos mil veintidós, </w:t>
      </w: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xml:space="preserve"> solicitó una prórroga en la solicitud de información </w:t>
      </w:r>
      <w:r w:rsidRPr="00A5004A">
        <w:rPr>
          <w:rFonts w:ascii="Palatino Linotype" w:eastAsia="Palatino Linotype" w:hAnsi="Palatino Linotype" w:cs="Palatino Linotype"/>
          <w:b/>
          <w:sz w:val="24"/>
          <w:szCs w:val="24"/>
        </w:rPr>
        <w:t>00038/IHAEM/IP/2022</w:t>
      </w:r>
      <w:r w:rsidRPr="00A5004A">
        <w:rPr>
          <w:rFonts w:ascii="Palatino Linotype" w:eastAsia="Palatino Linotype" w:hAnsi="Palatino Linotype" w:cs="Palatino Linotype"/>
          <w:sz w:val="24"/>
          <w:szCs w:val="24"/>
        </w:rPr>
        <w:t xml:space="preserve"> en la entrega de la información en la solicitud de acceso a la información tal como se observa a continuación:</w:t>
      </w:r>
    </w:p>
    <w:p w14:paraId="1EDE3C5B"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EBE2DC6"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0EEE00A" w14:textId="77777777" w:rsidR="00CB7F7F" w:rsidRPr="00A5004A" w:rsidRDefault="00C208D7">
      <w:pPr>
        <w:spacing w:after="12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Se adjunta en formato .</w:t>
      </w:r>
      <w:proofErr w:type="spellStart"/>
      <w:r w:rsidRPr="00A5004A">
        <w:rPr>
          <w:rFonts w:ascii="Palatino Linotype" w:eastAsia="Palatino Linotype" w:hAnsi="Palatino Linotype" w:cs="Palatino Linotype"/>
          <w:i/>
        </w:rPr>
        <w:t>pdf</w:t>
      </w:r>
      <w:proofErr w:type="spellEnd"/>
      <w:r w:rsidRPr="00A5004A">
        <w:rPr>
          <w:rFonts w:ascii="Palatino Linotype" w:eastAsia="Palatino Linotype" w:hAnsi="Palatino Linotype" w:cs="Palatino Linotype"/>
          <w:i/>
        </w:rPr>
        <w:t>, el Acuerdo de Prórroga y el Acta de la Octogésima Séptima Sesión Extraordinaria del Comité de Transparencia, del Instituto Hacendario del Estado de México, mediante la cual se aprueba la ampliación de plazo (prórroga) de siete días hábiles más, para dar respuesta a la solicitud de información.</w:t>
      </w:r>
    </w:p>
    <w:p w14:paraId="1715DB0B" w14:textId="77777777" w:rsidR="00CB7F7F" w:rsidRPr="00A5004A" w:rsidRDefault="00C208D7">
      <w:pPr>
        <w:spacing w:before="120" w:after="12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LIC. MARGARITA GONZALEZ ROSAS</w:t>
      </w:r>
    </w:p>
    <w:p w14:paraId="3C80EEC4" w14:textId="77777777" w:rsidR="00CB7F7F" w:rsidRPr="00A5004A" w:rsidRDefault="00C208D7">
      <w:pPr>
        <w:spacing w:before="120"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Responsable de la Unidad de Transparencia</w:t>
      </w:r>
    </w:p>
    <w:p w14:paraId="3954B0C4" w14:textId="77777777" w:rsidR="00CB7F7F" w:rsidRPr="00A5004A" w:rsidRDefault="00CB7F7F">
      <w:pPr>
        <w:spacing w:after="0" w:line="360" w:lineRule="auto"/>
        <w:rPr>
          <w:rFonts w:ascii="Palatino Linotype" w:eastAsia="Palatino Linotype" w:hAnsi="Palatino Linotype" w:cs="Palatino Linotype"/>
          <w:sz w:val="24"/>
          <w:szCs w:val="24"/>
        </w:rPr>
      </w:pPr>
    </w:p>
    <w:p w14:paraId="010E27B3" w14:textId="77777777" w:rsidR="00CB7F7F" w:rsidRPr="00A5004A" w:rsidRDefault="00C208D7">
      <w:pPr>
        <w:spacing w:after="0" w:line="360" w:lineRule="auto"/>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El Sujeto Obligado adjuntó para tal efecto el archivo electrónico: </w:t>
      </w:r>
    </w:p>
    <w:p w14:paraId="17159F00"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381737B"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lastRenderedPageBreak/>
        <w:t xml:space="preserve">“Acta LXXXVII.pdf Acuerdo prorroga Folio 00038.pdf”: </w:t>
      </w:r>
      <w:r w:rsidRPr="00A5004A">
        <w:rPr>
          <w:rFonts w:ascii="Palatino Linotype" w:eastAsia="Palatino Linotype" w:hAnsi="Palatino Linotype" w:cs="Palatino Linotype"/>
          <w:sz w:val="24"/>
          <w:szCs w:val="24"/>
        </w:rPr>
        <w:t xml:space="preserve">Acuerdo signado por la Titular de la Unidad de Transparencia, mediante el cual solicita prórroga para otorgar respuesta a la solicitud de información. </w:t>
      </w:r>
    </w:p>
    <w:p w14:paraId="083808AC" w14:textId="77777777" w:rsidR="00CB7F7F" w:rsidRPr="00A5004A" w:rsidRDefault="00C208D7">
      <w:pPr>
        <w:spacing w:after="0" w:line="360" w:lineRule="auto"/>
        <w:jc w:val="center"/>
        <w:rPr>
          <w:rFonts w:ascii="Palatino Linotype" w:eastAsia="Palatino Linotype" w:hAnsi="Palatino Linotype" w:cs="Palatino Linotype"/>
          <w:sz w:val="24"/>
          <w:szCs w:val="24"/>
        </w:rPr>
      </w:pPr>
      <w:r w:rsidRPr="00A5004A">
        <w:rPr>
          <w:noProof/>
        </w:rPr>
        <w:drawing>
          <wp:inline distT="0" distB="0" distL="0" distR="0" wp14:anchorId="14EA952D" wp14:editId="066993CE">
            <wp:extent cx="4724400" cy="5618068"/>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266" t="15993" r="34655" b="10680"/>
                    <a:stretch>
                      <a:fillRect/>
                    </a:stretch>
                  </pic:blipFill>
                  <pic:spPr>
                    <a:xfrm>
                      <a:off x="0" y="0"/>
                      <a:ext cx="4724400" cy="5618068"/>
                    </a:xfrm>
                    <a:prstGeom prst="rect">
                      <a:avLst/>
                    </a:prstGeom>
                    <a:ln/>
                  </pic:spPr>
                </pic:pic>
              </a:graphicData>
            </a:graphic>
          </wp:inline>
        </w:drawing>
      </w:r>
    </w:p>
    <w:p w14:paraId="68B1552F" w14:textId="77777777" w:rsidR="00CB7F7F" w:rsidRPr="00A5004A" w:rsidRDefault="00C208D7">
      <w:pPr>
        <w:spacing w:after="0" w:line="360" w:lineRule="auto"/>
        <w:jc w:val="both"/>
      </w:pPr>
      <w:r w:rsidRPr="00A5004A">
        <w:rPr>
          <w:rFonts w:ascii="Palatino Linotype" w:eastAsia="Palatino Linotype" w:hAnsi="Palatino Linotype" w:cs="Palatino Linotype"/>
          <w:b/>
          <w:sz w:val="24"/>
          <w:szCs w:val="24"/>
        </w:rPr>
        <w:lastRenderedPageBreak/>
        <w:t xml:space="preserve">3. RESPUESTA.  </w:t>
      </w:r>
      <w:r w:rsidRPr="00A5004A">
        <w:rPr>
          <w:rFonts w:ascii="Palatino Linotype" w:eastAsia="Palatino Linotype" w:hAnsi="Palatino Linotype" w:cs="Palatino Linotype"/>
          <w:sz w:val="24"/>
          <w:szCs w:val="24"/>
        </w:rPr>
        <w:t xml:space="preserve">Con fecha diecisiete de junio del dos mil veintidós, </w:t>
      </w: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A5004A">
        <w:t xml:space="preserve"> </w:t>
      </w:r>
    </w:p>
    <w:p w14:paraId="761DD216" w14:textId="77777777" w:rsidR="00CB7F7F" w:rsidRPr="00A5004A" w:rsidRDefault="00CB7F7F">
      <w:pPr>
        <w:spacing w:after="0" w:line="360" w:lineRule="auto"/>
        <w:jc w:val="both"/>
      </w:pPr>
    </w:p>
    <w:p w14:paraId="71118EA0"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997B0C"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En atención a su solicitud, me permito adjuntar nueve archivos en formato .</w:t>
      </w:r>
      <w:proofErr w:type="spellStart"/>
      <w:r w:rsidRPr="00A5004A">
        <w:rPr>
          <w:rFonts w:ascii="Palatino Linotype" w:eastAsia="Palatino Linotype" w:hAnsi="Palatino Linotype" w:cs="Palatino Linotype"/>
          <w:i/>
        </w:rPr>
        <w:t>pdf</w:t>
      </w:r>
      <w:proofErr w:type="spellEnd"/>
      <w:r w:rsidRPr="00A5004A">
        <w:rPr>
          <w:rFonts w:ascii="Palatino Linotype" w:eastAsia="Palatino Linotype" w:hAnsi="Palatino Linotype" w:cs="Palatino Linotype"/>
          <w:i/>
        </w:rPr>
        <w:t>, que contienen: la Respuesta, el oficio de turno y respuesta del Servidor Público Habilitado, y anexos. Quedo a sus órdenes.</w:t>
      </w:r>
    </w:p>
    <w:p w14:paraId="20125CFE"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ATENTAMENTE</w:t>
      </w:r>
    </w:p>
    <w:p w14:paraId="7B8649BF"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LIC. MARGARITA GONZALEZ ROSAS”</w:t>
      </w:r>
    </w:p>
    <w:p w14:paraId="69C81D8B" w14:textId="77777777" w:rsidR="00CB7F7F" w:rsidRPr="00A5004A" w:rsidRDefault="00CB7F7F">
      <w:pPr>
        <w:spacing w:after="0" w:line="276" w:lineRule="auto"/>
        <w:ind w:left="851" w:right="900"/>
        <w:jc w:val="both"/>
        <w:rPr>
          <w:rFonts w:ascii="Palatino Linotype" w:eastAsia="Palatino Linotype" w:hAnsi="Palatino Linotype" w:cs="Palatino Linotype"/>
          <w:sz w:val="24"/>
          <w:szCs w:val="24"/>
        </w:rPr>
      </w:pPr>
    </w:p>
    <w:p w14:paraId="3D2252C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xml:space="preserve"> adjuntó a su respuesta los archivos electrónicos siguientes:</w:t>
      </w:r>
    </w:p>
    <w:p w14:paraId="68CDC094"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861E16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“Respuesta Folio 00038.pdf“: </w:t>
      </w:r>
      <w:r w:rsidRPr="00A5004A">
        <w:rPr>
          <w:rFonts w:ascii="Palatino Linotype" w:eastAsia="Palatino Linotype" w:hAnsi="Palatino Linotype" w:cs="Palatino Linotype"/>
          <w:sz w:val="24"/>
          <w:szCs w:val="24"/>
        </w:rPr>
        <w:t>Oficio de fecha diecisiete de junio de dos mil veintidós, signado por la Titular de la Unidad de Transparencia, mediante el cual menciona que es competente para otorgar respuesta a la solicitud de información, por lo que adjunta los 66 recibos de nómina con el Acta de la Octogésima Novena Sesión Extraordinaria, 34 fojas de pagos de pagos y adeudos a proveedores de 2019 a 2021, el programa de sistematización y Actualización de la Información (PASAI) para el ejercicio fiscal 2022, se adjunta la primera página a manera de ejemplo:</w:t>
      </w:r>
    </w:p>
    <w:p w14:paraId="1E102A7F"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 </w:t>
      </w:r>
      <w:r w:rsidRPr="00A5004A">
        <w:rPr>
          <w:rFonts w:ascii="Palatino Linotype" w:eastAsia="Palatino Linotype" w:hAnsi="Palatino Linotype" w:cs="Palatino Linotype"/>
          <w:b/>
          <w:i/>
          <w:sz w:val="24"/>
          <w:szCs w:val="24"/>
          <w:u w:val="single"/>
        </w:rPr>
        <w:t xml:space="preserve">“Anexo Pagos y </w:t>
      </w:r>
      <w:proofErr w:type="gramStart"/>
      <w:r w:rsidRPr="00A5004A">
        <w:rPr>
          <w:rFonts w:ascii="Palatino Linotype" w:eastAsia="Palatino Linotype" w:hAnsi="Palatino Linotype" w:cs="Palatino Linotype"/>
          <w:b/>
          <w:i/>
          <w:sz w:val="24"/>
          <w:szCs w:val="24"/>
          <w:u w:val="single"/>
        </w:rPr>
        <w:t>Adeudos.pdf“</w:t>
      </w:r>
      <w:proofErr w:type="gramEnd"/>
      <w:r w:rsidRPr="00A5004A">
        <w:rPr>
          <w:rFonts w:ascii="Palatino Linotype" w:eastAsia="Palatino Linotype" w:hAnsi="Palatino Linotype" w:cs="Palatino Linotype"/>
          <w:b/>
          <w:i/>
          <w:sz w:val="24"/>
          <w:szCs w:val="24"/>
          <w:u w:val="single"/>
        </w:rPr>
        <w:t xml:space="preserve">: </w:t>
      </w:r>
      <w:r w:rsidRPr="00A5004A">
        <w:rPr>
          <w:rFonts w:ascii="Palatino Linotype" w:eastAsia="Palatino Linotype" w:hAnsi="Palatino Linotype" w:cs="Palatino Linotype"/>
          <w:sz w:val="24"/>
          <w:szCs w:val="24"/>
        </w:rPr>
        <w:t>Pagos y adeudos de proveedores del ejercicio 2019-2021, se adjunta una captura a manera de ejemplo:</w:t>
      </w:r>
    </w:p>
    <w:p w14:paraId="6D3AFEF5"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noProof/>
        </w:rPr>
        <w:drawing>
          <wp:inline distT="0" distB="0" distL="0" distR="0" wp14:anchorId="1B57EFA6" wp14:editId="1791746C">
            <wp:extent cx="5639799" cy="387796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6321" t="18105" r="42972" b="54737"/>
                    <a:stretch>
                      <a:fillRect/>
                    </a:stretch>
                  </pic:blipFill>
                  <pic:spPr>
                    <a:xfrm>
                      <a:off x="0" y="0"/>
                      <a:ext cx="5639799" cy="3877960"/>
                    </a:xfrm>
                    <a:prstGeom prst="rect">
                      <a:avLst/>
                    </a:prstGeom>
                    <a:ln/>
                  </pic:spPr>
                </pic:pic>
              </a:graphicData>
            </a:graphic>
          </wp:inline>
        </w:drawing>
      </w:r>
    </w:p>
    <w:p w14:paraId="0B53FF6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b/>
          <w:i/>
          <w:sz w:val="24"/>
          <w:szCs w:val="24"/>
          <w:u w:val="single"/>
        </w:rPr>
        <w:t xml:space="preserve">“Oficios 163, 577.pdf”: </w:t>
      </w:r>
      <w:r w:rsidRPr="00A5004A">
        <w:rPr>
          <w:rFonts w:ascii="Palatino Linotype" w:eastAsia="Palatino Linotype" w:hAnsi="Palatino Linotype" w:cs="Palatino Linotype"/>
          <w:sz w:val="24"/>
          <w:szCs w:val="24"/>
        </w:rPr>
        <w:t xml:space="preserve">Oficio 207C0310000200S/577/2022 de fecha nueve de junio de dos mil veintidós, signado por el </w:t>
      </w:r>
      <w:proofErr w:type="gramStart"/>
      <w:r w:rsidRPr="00A5004A">
        <w:rPr>
          <w:rFonts w:ascii="Palatino Linotype" w:eastAsia="Palatino Linotype" w:hAnsi="Palatino Linotype" w:cs="Palatino Linotype"/>
          <w:sz w:val="24"/>
          <w:szCs w:val="24"/>
        </w:rPr>
        <w:t>Jefe</w:t>
      </w:r>
      <w:proofErr w:type="gramEnd"/>
      <w:r w:rsidRPr="00A5004A">
        <w:rPr>
          <w:rFonts w:ascii="Palatino Linotype" w:eastAsia="Palatino Linotype" w:hAnsi="Palatino Linotype" w:cs="Palatino Linotype"/>
          <w:sz w:val="24"/>
          <w:szCs w:val="24"/>
        </w:rPr>
        <w:t xml:space="preserve"> de la Unidad de Administración y Finanzas, mediante el cual menciona que hace entrega de los recibos de nómina en versión pública y de los pagos y adeudos de proveedores.</w:t>
      </w:r>
    </w:p>
    <w:p w14:paraId="3079082D"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E3B7B5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Cuadro de clasificación de forma parcial.</w:t>
      </w:r>
    </w:p>
    <w:p w14:paraId="3AF6AB84"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241EBFAC" w14:textId="77777777" w:rsidR="00CB7F7F" w:rsidRPr="00A5004A" w:rsidRDefault="00C208D7">
      <w:pPr>
        <w:spacing w:after="0" w:line="360" w:lineRule="auto"/>
        <w:jc w:val="both"/>
        <w:rPr>
          <w:rFonts w:ascii="Palatino Linotype" w:eastAsia="Palatino Linotype" w:hAnsi="Palatino Linotype" w:cs="Palatino Linotype"/>
          <w:b/>
          <w:i/>
          <w:sz w:val="24"/>
          <w:szCs w:val="24"/>
          <w:u w:val="single"/>
        </w:rPr>
      </w:pPr>
      <w:r w:rsidRPr="00A5004A">
        <w:rPr>
          <w:rFonts w:ascii="Palatino Linotype" w:eastAsia="Palatino Linotype" w:hAnsi="Palatino Linotype" w:cs="Palatino Linotype"/>
          <w:b/>
          <w:i/>
          <w:sz w:val="24"/>
          <w:szCs w:val="24"/>
          <w:u w:val="single"/>
        </w:rPr>
        <w:lastRenderedPageBreak/>
        <w:t xml:space="preserve">“Escrito UT </w:t>
      </w:r>
      <w:proofErr w:type="spellStart"/>
      <w:r w:rsidRPr="00A5004A">
        <w:rPr>
          <w:rFonts w:ascii="Palatino Linotype" w:eastAsia="Palatino Linotype" w:hAnsi="Palatino Linotype" w:cs="Palatino Linotype"/>
          <w:b/>
          <w:i/>
          <w:sz w:val="24"/>
          <w:szCs w:val="24"/>
          <w:u w:val="single"/>
        </w:rPr>
        <w:t>Clasificacion</w:t>
      </w:r>
      <w:proofErr w:type="spellEnd"/>
      <w:r w:rsidRPr="00A5004A">
        <w:rPr>
          <w:rFonts w:ascii="Palatino Linotype" w:eastAsia="Palatino Linotype" w:hAnsi="Palatino Linotype" w:cs="Palatino Linotype"/>
          <w:b/>
          <w:i/>
          <w:sz w:val="24"/>
          <w:szCs w:val="24"/>
          <w:u w:val="single"/>
        </w:rPr>
        <w:t xml:space="preserve"> de Informacion.pdf”: </w:t>
      </w:r>
      <w:r w:rsidRPr="00A5004A">
        <w:rPr>
          <w:rFonts w:ascii="Palatino Linotype" w:eastAsia="Palatino Linotype" w:hAnsi="Palatino Linotype" w:cs="Palatino Linotype"/>
          <w:sz w:val="24"/>
          <w:szCs w:val="24"/>
        </w:rPr>
        <w:t>Oficio de fecha nueve de junio de dos mil veintidós, signado por la Titular de la Unidad de Transparencia, mediante el cual solicitada la clasificación como confidencial del Documento de Seguridad.</w:t>
      </w:r>
    </w:p>
    <w:p w14:paraId="4AABDF5C"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3EA496E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“Anexo Recibos.pdf”: </w:t>
      </w:r>
      <w:r w:rsidRPr="00A5004A">
        <w:rPr>
          <w:rFonts w:ascii="Palatino Linotype" w:eastAsia="Palatino Linotype" w:hAnsi="Palatino Linotype" w:cs="Palatino Linotype"/>
          <w:sz w:val="24"/>
          <w:szCs w:val="24"/>
        </w:rPr>
        <w:t>66 recibos de nómina en versión pública.</w:t>
      </w:r>
    </w:p>
    <w:p w14:paraId="4B3DE486"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2074C2E5"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“Acta </w:t>
      </w:r>
      <w:proofErr w:type="spellStart"/>
      <w:r w:rsidRPr="00A5004A">
        <w:rPr>
          <w:rFonts w:ascii="Palatino Linotype" w:eastAsia="Palatino Linotype" w:hAnsi="Palatino Linotype" w:cs="Palatino Linotype"/>
          <w:b/>
          <w:i/>
          <w:sz w:val="24"/>
          <w:szCs w:val="24"/>
          <w:u w:val="single"/>
        </w:rPr>
        <w:t>Vigesima</w:t>
      </w:r>
      <w:proofErr w:type="spellEnd"/>
      <w:r w:rsidRPr="00A5004A">
        <w:rPr>
          <w:rFonts w:ascii="Palatino Linotype" w:eastAsia="Palatino Linotype" w:hAnsi="Palatino Linotype" w:cs="Palatino Linotype"/>
          <w:b/>
          <w:i/>
          <w:sz w:val="24"/>
          <w:szCs w:val="24"/>
          <w:u w:val="single"/>
        </w:rPr>
        <w:t xml:space="preserve"> Sexta.pdf”: Acta</w:t>
      </w:r>
      <w:r w:rsidRPr="00A5004A">
        <w:rPr>
          <w:rFonts w:ascii="Palatino Linotype" w:eastAsia="Palatino Linotype" w:hAnsi="Palatino Linotype" w:cs="Palatino Linotype"/>
          <w:sz w:val="24"/>
          <w:szCs w:val="24"/>
        </w:rPr>
        <w:t xml:space="preserve"> de la Vigésima Sexta Sesión Ordinaria del Comité de Transparencia del Instituto Hacendario del Estado de México.</w:t>
      </w:r>
    </w:p>
    <w:p w14:paraId="3A659958"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66B889C0" w14:textId="77777777" w:rsidR="00CB7F7F" w:rsidRPr="00A5004A" w:rsidRDefault="00C208D7">
      <w:pPr>
        <w:spacing w:after="0" w:line="360" w:lineRule="auto"/>
        <w:jc w:val="both"/>
        <w:rPr>
          <w:rFonts w:ascii="Palatino Linotype" w:eastAsia="Palatino Linotype" w:hAnsi="Palatino Linotype" w:cs="Palatino Linotype"/>
          <w:b/>
          <w:i/>
          <w:sz w:val="24"/>
          <w:szCs w:val="24"/>
          <w:u w:val="single"/>
        </w:rPr>
      </w:pPr>
      <w:r w:rsidRPr="00A5004A">
        <w:rPr>
          <w:rFonts w:ascii="Palatino Linotype" w:eastAsia="Palatino Linotype" w:hAnsi="Palatino Linotype" w:cs="Palatino Linotype"/>
          <w:b/>
          <w:i/>
          <w:sz w:val="24"/>
          <w:szCs w:val="24"/>
          <w:u w:val="single"/>
        </w:rPr>
        <w:t xml:space="preserve">“Oficio 069.pdf”: </w:t>
      </w:r>
      <w:r w:rsidRPr="00A5004A">
        <w:rPr>
          <w:rFonts w:ascii="Palatino Linotype" w:eastAsia="Palatino Linotype" w:hAnsi="Palatino Linotype" w:cs="Palatino Linotype"/>
          <w:sz w:val="24"/>
          <w:szCs w:val="24"/>
        </w:rPr>
        <w:t>Oficio 207C0310000100S/069/2022 de fecha diecinueve de primero de marzo de dos mil veintidós, signado por la Titular de la Unidad de Transparencia, mediante el cual solicita a tres servidores públicos incorporen a la plataforma IPOMEX, la información correspondiente al Primer Trimestre de 2022, a más tardar el veinticinco de marzo del año en curso.</w:t>
      </w:r>
    </w:p>
    <w:p w14:paraId="50898136"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462ED520" w14:textId="77777777" w:rsidR="00CB7F7F" w:rsidRPr="00A5004A" w:rsidRDefault="00C208D7">
      <w:pPr>
        <w:spacing w:after="0" w:line="360" w:lineRule="auto"/>
        <w:jc w:val="both"/>
        <w:rPr>
          <w:rFonts w:ascii="Palatino Linotype" w:eastAsia="Palatino Linotype" w:hAnsi="Palatino Linotype" w:cs="Palatino Linotype"/>
          <w:b/>
          <w:i/>
          <w:sz w:val="24"/>
          <w:szCs w:val="24"/>
          <w:u w:val="single"/>
        </w:rPr>
      </w:pPr>
      <w:r w:rsidRPr="00A5004A">
        <w:rPr>
          <w:rFonts w:ascii="Palatino Linotype" w:eastAsia="Palatino Linotype" w:hAnsi="Palatino Linotype" w:cs="Palatino Linotype"/>
          <w:b/>
          <w:i/>
          <w:sz w:val="24"/>
          <w:szCs w:val="24"/>
          <w:u w:val="single"/>
        </w:rPr>
        <w:t xml:space="preserve">“Oficio 364.pdf”: </w:t>
      </w:r>
      <w:r w:rsidRPr="00A5004A">
        <w:rPr>
          <w:rFonts w:ascii="Palatino Linotype" w:eastAsia="Palatino Linotype" w:hAnsi="Palatino Linotype" w:cs="Palatino Linotype"/>
          <w:sz w:val="24"/>
          <w:szCs w:val="24"/>
        </w:rPr>
        <w:t xml:space="preserve">Oficio 207C0310000100S/364/2022 de fecha tres de diciembre de dos mil veintiuno, signado por la Titular de la Unidad de Transparencia, mediante el cual solicita a tres servidores públicos, la actualización y de ser el caso, identificar la creación, modificación o supresión de Base de Datos Personales, </w:t>
      </w:r>
    </w:p>
    <w:p w14:paraId="0DB304AB" w14:textId="77777777" w:rsidR="00CB7F7F" w:rsidRPr="00A5004A" w:rsidRDefault="00CB7F7F">
      <w:pPr>
        <w:spacing w:after="0" w:line="360" w:lineRule="auto"/>
        <w:jc w:val="both"/>
        <w:rPr>
          <w:rFonts w:ascii="Palatino Linotype" w:eastAsia="Palatino Linotype" w:hAnsi="Palatino Linotype" w:cs="Palatino Linotype"/>
          <w:b/>
          <w:i/>
          <w:sz w:val="24"/>
          <w:szCs w:val="24"/>
          <w:u w:val="single"/>
        </w:rPr>
      </w:pPr>
    </w:p>
    <w:p w14:paraId="27C6D80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“Acta </w:t>
      </w:r>
      <w:proofErr w:type="spellStart"/>
      <w:r w:rsidRPr="00A5004A">
        <w:rPr>
          <w:rFonts w:ascii="Palatino Linotype" w:eastAsia="Palatino Linotype" w:hAnsi="Palatino Linotype" w:cs="Palatino Linotype"/>
          <w:b/>
          <w:i/>
          <w:sz w:val="24"/>
          <w:szCs w:val="24"/>
          <w:u w:val="single"/>
        </w:rPr>
        <w:t>Octagesima</w:t>
      </w:r>
      <w:proofErr w:type="spellEnd"/>
      <w:r w:rsidRPr="00A5004A">
        <w:rPr>
          <w:rFonts w:ascii="Palatino Linotype" w:eastAsia="Palatino Linotype" w:hAnsi="Palatino Linotype" w:cs="Palatino Linotype"/>
          <w:b/>
          <w:i/>
          <w:sz w:val="24"/>
          <w:szCs w:val="24"/>
          <w:u w:val="single"/>
        </w:rPr>
        <w:t xml:space="preserve"> Segunda.pdf”: </w:t>
      </w:r>
      <w:r w:rsidRPr="00A5004A">
        <w:rPr>
          <w:rFonts w:ascii="Palatino Linotype" w:eastAsia="Palatino Linotype" w:hAnsi="Palatino Linotype" w:cs="Palatino Linotype"/>
          <w:sz w:val="24"/>
          <w:szCs w:val="24"/>
        </w:rPr>
        <w:t xml:space="preserve">Acta de la Octogésima Segunda Sesión Extraordinaria del Comité de Transparencia del Estado de México. </w:t>
      </w:r>
    </w:p>
    <w:p w14:paraId="12598DEF" w14:textId="77777777" w:rsidR="00CB7F7F" w:rsidRPr="00A5004A" w:rsidRDefault="00C208D7">
      <w:pPr>
        <w:spacing w:after="0" w:line="360" w:lineRule="auto"/>
        <w:ind w:right="-234"/>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lastRenderedPageBreak/>
        <w:t xml:space="preserve">4. DEL RECURSO DE REVISIÓN. </w:t>
      </w:r>
      <w:r w:rsidRPr="00A5004A">
        <w:rPr>
          <w:rFonts w:ascii="Palatino Linotype" w:eastAsia="Palatino Linotype" w:hAnsi="Palatino Linotype" w:cs="Palatino Linotype"/>
          <w:sz w:val="24"/>
          <w:szCs w:val="24"/>
        </w:rPr>
        <w:t>Inconforme con la respuesta del</w:t>
      </w:r>
      <w:r w:rsidRPr="00A5004A">
        <w:rPr>
          <w:rFonts w:ascii="Palatino Linotype" w:eastAsia="Palatino Linotype" w:hAnsi="Palatino Linotype" w:cs="Palatino Linotype"/>
          <w:b/>
          <w:sz w:val="24"/>
          <w:szCs w:val="24"/>
        </w:rPr>
        <w:t xml:space="preserve"> SUJETO OBLIGADO, </w:t>
      </w:r>
      <w:r w:rsidRPr="00A5004A">
        <w:rPr>
          <w:rFonts w:ascii="Palatino Linotype" w:eastAsia="Palatino Linotype" w:hAnsi="Palatino Linotype" w:cs="Palatino Linotype"/>
          <w:sz w:val="24"/>
          <w:szCs w:val="24"/>
        </w:rPr>
        <w:t>en fecha veinte de junio de dos mil veintidós</w:t>
      </w:r>
      <w:r w:rsidRPr="00A5004A">
        <w:rPr>
          <w:rFonts w:ascii="Palatino Linotype" w:eastAsia="Palatino Linotype" w:hAnsi="Palatino Linotype" w:cs="Palatino Linotype"/>
          <w:b/>
          <w:sz w:val="24"/>
          <w:szCs w:val="24"/>
        </w:rPr>
        <w:t xml:space="preserve">, LA RECURRENTE </w:t>
      </w:r>
      <w:r w:rsidRPr="00A5004A">
        <w:rPr>
          <w:rFonts w:ascii="Palatino Linotype" w:eastAsia="Palatino Linotype" w:hAnsi="Palatino Linotype" w:cs="Palatino Linotype"/>
          <w:sz w:val="24"/>
          <w:szCs w:val="24"/>
        </w:rPr>
        <w:t>interpuso el recurso de revisión, el cual fue registrado</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 xml:space="preserve">en el sistema electrónico con el expediente número </w:t>
      </w:r>
      <w:r w:rsidRPr="00A5004A">
        <w:rPr>
          <w:rFonts w:ascii="Palatino Linotype" w:eastAsia="Palatino Linotype" w:hAnsi="Palatino Linotype" w:cs="Palatino Linotype"/>
          <w:b/>
          <w:sz w:val="24"/>
          <w:szCs w:val="24"/>
        </w:rPr>
        <w:t>11504/INFOEM/IP/RR/2022</w:t>
      </w:r>
      <w:r w:rsidRPr="00A5004A">
        <w:rPr>
          <w:rFonts w:ascii="Palatino Linotype" w:eastAsia="Palatino Linotype" w:hAnsi="Palatino Linotype" w:cs="Palatino Linotype"/>
          <w:sz w:val="24"/>
          <w:szCs w:val="24"/>
        </w:rPr>
        <w:t>, en el cual manifiesta, lo siguiente:</w:t>
      </w:r>
    </w:p>
    <w:p w14:paraId="10A6CF10" w14:textId="77777777" w:rsidR="00CB7F7F" w:rsidRPr="00A5004A" w:rsidRDefault="00C208D7">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5004A">
        <w:rPr>
          <w:rFonts w:ascii="Palatino Linotype" w:eastAsia="Palatino Linotype" w:hAnsi="Palatino Linotype" w:cs="Palatino Linotype"/>
          <w:b/>
          <w:i/>
          <w:sz w:val="24"/>
          <w:szCs w:val="24"/>
        </w:rPr>
        <w:t>Acto Impugnado:</w:t>
      </w:r>
    </w:p>
    <w:p w14:paraId="6A6245FE" w14:textId="77777777" w:rsidR="00CB7F7F" w:rsidRPr="00A5004A" w:rsidRDefault="00C208D7">
      <w:pPr>
        <w:tabs>
          <w:tab w:val="left" w:pos="8222"/>
        </w:tabs>
        <w:spacing w:before="240" w:after="240" w:line="276" w:lineRule="auto"/>
        <w:ind w:left="851" w:right="616"/>
        <w:jc w:val="both"/>
        <w:rPr>
          <w:rFonts w:ascii="Palatino Linotype" w:eastAsia="Palatino Linotype" w:hAnsi="Palatino Linotype" w:cs="Palatino Linotype"/>
          <w:i/>
        </w:rPr>
      </w:pPr>
      <w:r w:rsidRPr="00A5004A">
        <w:rPr>
          <w:rFonts w:ascii="Palatino Linotype" w:eastAsia="Palatino Linotype" w:hAnsi="Palatino Linotype" w:cs="Palatino Linotype"/>
          <w:i/>
        </w:rPr>
        <w:t>“Respuesta k no cumple con lo k el marco normativo señala” [sic]</w:t>
      </w:r>
    </w:p>
    <w:p w14:paraId="57240F6B" w14:textId="77777777" w:rsidR="00CB7F7F" w:rsidRPr="00A5004A" w:rsidRDefault="00C208D7">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5004A">
        <w:rPr>
          <w:rFonts w:ascii="Palatino Linotype" w:eastAsia="Palatino Linotype" w:hAnsi="Palatino Linotype" w:cs="Palatino Linotype"/>
          <w:b/>
          <w:i/>
          <w:sz w:val="24"/>
          <w:szCs w:val="24"/>
        </w:rPr>
        <w:t>Razones o Motivos de Inconformidad</w:t>
      </w:r>
      <w:r w:rsidRPr="00A5004A">
        <w:rPr>
          <w:rFonts w:ascii="Palatino Linotype" w:eastAsia="Palatino Linotype" w:hAnsi="Palatino Linotype" w:cs="Palatino Linotype"/>
          <w:i/>
          <w:sz w:val="24"/>
          <w:szCs w:val="24"/>
        </w:rPr>
        <w:t>:</w:t>
      </w:r>
    </w:p>
    <w:p w14:paraId="1D70562A" w14:textId="77777777" w:rsidR="00CB7F7F" w:rsidRPr="00A5004A" w:rsidRDefault="00C208D7">
      <w:pPr>
        <w:spacing w:before="240" w:after="0" w:line="276" w:lineRule="auto"/>
        <w:ind w:left="851" w:right="616"/>
        <w:jc w:val="both"/>
        <w:rPr>
          <w:rFonts w:ascii="Palatino Linotype" w:eastAsia="Palatino Linotype" w:hAnsi="Palatino Linotype" w:cs="Palatino Linotype"/>
          <w:i/>
        </w:rPr>
      </w:pPr>
      <w:r w:rsidRPr="00A5004A">
        <w:rPr>
          <w:rFonts w:ascii="Palatino Linotype" w:eastAsia="Palatino Linotype" w:hAnsi="Palatino Linotype" w:cs="Palatino Linotype"/>
          <w:i/>
        </w:rPr>
        <w:t>“Clasificación errónea, en recibos, clasificación de documento de seguridad erróneo, acta k no contestas no cumple con la motivación y fundamentación conforme al marco legal, solicitó se me entregué la información correcta y se reponga el proceso.” [sic]</w:t>
      </w:r>
    </w:p>
    <w:p w14:paraId="79A63803" w14:textId="77777777" w:rsidR="00CB7F7F" w:rsidRPr="00A5004A" w:rsidRDefault="00CB7F7F"/>
    <w:p w14:paraId="78BFB21D"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 xml:space="preserve">5. TURNO. </w:t>
      </w:r>
      <w:r w:rsidRPr="00A5004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5004A">
        <w:rPr>
          <w:rFonts w:ascii="Palatino Linotype" w:eastAsia="Palatino Linotype" w:hAnsi="Palatino Linotype" w:cs="Palatino Linotype"/>
          <w:b/>
          <w:sz w:val="24"/>
          <w:szCs w:val="24"/>
        </w:rPr>
        <w:t xml:space="preserve">Guadalupe Ramírez Peña, </w:t>
      </w:r>
      <w:r w:rsidRPr="00A5004A">
        <w:rPr>
          <w:rFonts w:ascii="Palatino Linotype" w:eastAsia="Palatino Linotype" w:hAnsi="Palatino Linotype" w:cs="Palatino Linotype"/>
          <w:sz w:val="24"/>
          <w:szCs w:val="24"/>
        </w:rPr>
        <w:t xml:space="preserve">a efecto de que analizara sobre su admisión o su </w:t>
      </w:r>
      <w:proofErr w:type="spellStart"/>
      <w:r w:rsidRPr="00A5004A">
        <w:rPr>
          <w:rFonts w:ascii="Palatino Linotype" w:eastAsia="Palatino Linotype" w:hAnsi="Palatino Linotype" w:cs="Palatino Linotype"/>
          <w:sz w:val="24"/>
          <w:szCs w:val="24"/>
        </w:rPr>
        <w:t>desechamiento</w:t>
      </w:r>
      <w:proofErr w:type="spellEnd"/>
      <w:r w:rsidRPr="00A5004A">
        <w:rPr>
          <w:rFonts w:ascii="Palatino Linotype" w:eastAsia="Palatino Linotype" w:hAnsi="Palatino Linotype" w:cs="Palatino Linotype"/>
          <w:sz w:val="24"/>
          <w:szCs w:val="24"/>
        </w:rPr>
        <w:t>.</w:t>
      </w:r>
    </w:p>
    <w:p w14:paraId="6D20F972" w14:textId="77777777" w:rsidR="00CB7F7F" w:rsidRPr="00A5004A" w:rsidRDefault="00CB7F7F"/>
    <w:p w14:paraId="250E6E7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6. ADMISIÓN DEL RECURSO DE REVISIÓN.</w:t>
      </w:r>
      <w:r w:rsidRPr="00A5004A">
        <w:rPr>
          <w:rFonts w:ascii="Palatino Linotype" w:eastAsia="Palatino Linotype" w:hAnsi="Palatino Linotype" w:cs="Palatino Linotype"/>
          <w:sz w:val="24"/>
          <w:szCs w:val="24"/>
        </w:rPr>
        <w:t xml:space="preserve"> Con fecha</w:t>
      </w:r>
      <w:r w:rsidRPr="00A5004A">
        <w:rPr>
          <w:rFonts w:ascii="Palatino Linotype" w:eastAsia="Palatino Linotype" w:hAnsi="Palatino Linotype" w:cs="Palatino Linotype"/>
          <w:b/>
          <w:sz w:val="24"/>
          <w:szCs w:val="24"/>
        </w:rPr>
        <w:t xml:space="preserve"> veintitrés de junio de dos mil veintidós, </w:t>
      </w:r>
      <w:r w:rsidRPr="00A5004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w:t>
      </w:r>
      <w:r w:rsidRPr="00A5004A">
        <w:rPr>
          <w:rFonts w:ascii="Palatino Linotype" w:eastAsia="Palatino Linotype" w:hAnsi="Palatino Linotype" w:cs="Palatino Linotype"/>
          <w:sz w:val="24"/>
          <w:szCs w:val="24"/>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A5004A">
        <w:rPr>
          <w:rFonts w:ascii="Palatino Linotype" w:eastAsia="Palatino Linotype" w:hAnsi="Palatino Linotype" w:cs="Palatino Linotype"/>
          <w:b/>
          <w:sz w:val="24"/>
          <w:szCs w:val="24"/>
        </w:rPr>
        <w:t xml:space="preserve">SUJETO OBLIGADO </w:t>
      </w:r>
      <w:r w:rsidRPr="00A5004A">
        <w:rPr>
          <w:rFonts w:ascii="Palatino Linotype" w:eastAsia="Palatino Linotype" w:hAnsi="Palatino Linotype" w:cs="Palatino Linotype"/>
          <w:sz w:val="24"/>
          <w:szCs w:val="24"/>
        </w:rPr>
        <w:t>presentara su informe justificado.</w:t>
      </w:r>
    </w:p>
    <w:p w14:paraId="35AFD1C6" w14:textId="77777777" w:rsidR="00CB7F7F" w:rsidRPr="00A5004A" w:rsidRDefault="00CB7F7F"/>
    <w:p w14:paraId="350F61E9"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7. MANIFESTACIONES.</w:t>
      </w:r>
      <w:r w:rsidRPr="00A5004A">
        <w:rPr>
          <w:rFonts w:ascii="Palatino Linotype" w:eastAsia="Palatino Linotype" w:hAnsi="Palatino Linotype" w:cs="Palatino Linotype"/>
          <w:sz w:val="24"/>
          <w:szCs w:val="24"/>
        </w:rPr>
        <w:t xml:space="preserve"> El catorce de diciembre de dos mil veintidós se recibió, a través del Sistema de Acceso a la Información Mexiquense (SAIMEX), el Informe Justificado del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 xml:space="preserve">a través de los siguientes archivos electrónicos: </w:t>
      </w:r>
    </w:p>
    <w:p w14:paraId="2A2BFE57" w14:textId="77777777" w:rsidR="00CB7F7F" w:rsidRPr="00A5004A" w:rsidRDefault="00CB7F7F">
      <w:pPr>
        <w:spacing w:after="0" w:line="360" w:lineRule="auto"/>
        <w:ind w:right="49"/>
        <w:jc w:val="both"/>
        <w:rPr>
          <w:rFonts w:ascii="Palatino Linotype" w:eastAsia="Palatino Linotype" w:hAnsi="Palatino Linotype" w:cs="Palatino Linotype"/>
          <w:sz w:val="24"/>
          <w:szCs w:val="24"/>
        </w:rPr>
      </w:pPr>
    </w:p>
    <w:p w14:paraId="74C90926"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“informe de </w:t>
      </w:r>
      <w:proofErr w:type="spellStart"/>
      <w:r w:rsidRPr="00A5004A">
        <w:rPr>
          <w:rFonts w:ascii="Palatino Linotype" w:eastAsia="Palatino Linotype" w:hAnsi="Palatino Linotype" w:cs="Palatino Linotype"/>
          <w:b/>
          <w:i/>
          <w:sz w:val="24"/>
          <w:szCs w:val="24"/>
          <w:u w:val="single"/>
        </w:rPr>
        <w:t>Justificacion</w:t>
      </w:r>
      <w:proofErr w:type="spellEnd"/>
      <w:r w:rsidRPr="00A5004A">
        <w:rPr>
          <w:rFonts w:ascii="Palatino Linotype" w:eastAsia="Palatino Linotype" w:hAnsi="Palatino Linotype" w:cs="Palatino Linotype"/>
          <w:b/>
          <w:i/>
          <w:sz w:val="24"/>
          <w:szCs w:val="24"/>
          <w:u w:val="single"/>
        </w:rPr>
        <w:t xml:space="preserve"> RR 11504 Folio 00038.pdf” </w:t>
      </w:r>
      <w:r w:rsidRPr="00A5004A">
        <w:rPr>
          <w:rFonts w:ascii="Palatino Linotype" w:eastAsia="Palatino Linotype" w:hAnsi="Palatino Linotype" w:cs="Palatino Linotype"/>
          <w:sz w:val="24"/>
          <w:szCs w:val="24"/>
        </w:rPr>
        <w:t>Oficio con fecha primero de agosto de dos mil veintidós, signado por la Titular de la Unidad de Transparencia, mediante el cual precisa la información que obra en los archivos electrónicos que denominó anexo uno, anexo dos, anexo tres, anexo cuatro, anexo cinco, anexo seis, anexo siete, anexo ocho, anexo nueve y anexo diez.</w:t>
      </w:r>
    </w:p>
    <w:p w14:paraId="5F70E3D3" w14:textId="77777777" w:rsidR="00CB7F7F" w:rsidRPr="00A5004A" w:rsidRDefault="00CB7F7F">
      <w:pPr>
        <w:spacing w:after="0" w:line="360" w:lineRule="auto"/>
        <w:rPr>
          <w:rFonts w:ascii="Palatino Linotype" w:eastAsia="Palatino Linotype" w:hAnsi="Palatino Linotype" w:cs="Palatino Linotype"/>
          <w:b/>
          <w:i/>
          <w:sz w:val="24"/>
          <w:szCs w:val="24"/>
          <w:u w:val="single"/>
        </w:rPr>
      </w:pPr>
    </w:p>
    <w:p w14:paraId="08E0FA96"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“ANEXO NUEVE.pdf”: </w:t>
      </w:r>
      <w:r w:rsidRPr="00A5004A">
        <w:rPr>
          <w:rFonts w:ascii="Palatino Linotype" w:eastAsia="Palatino Linotype" w:hAnsi="Palatino Linotype" w:cs="Palatino Linotype"/>
          <w:sz w:val="24"/>
          <w:szCs w:val="24"/>
        </w:rPr>
        <w:t xml:space="preserve">Oficio 207C0310000100S/364/2021 de fecha nueve de diciembre de dos mil veintiuno, signado por la Coordinadora de Profesionalización, en donde menciona que remite la Cédula Base de Datos Personales, correspondientes a la Coordinación que encabeza. </w:t>
      </w:r>
    </w:p>
    <w:p w14:paraId="39F9F34E"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4F7D49F"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Oficio de fecha catorce de enero de dos mil veintidós, signado por el Coordinador de Estudios Hacendarios, mediante el cual menciona que no cuenta con Cédula de Base de Datos Personales. </w:t>
      </w:r>
    </w:p>
    <w:p w14:paraId="72A4B71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410092D"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Oficio de fecha siete de diciembre de dos mil veintiuno, signado por el Coordinador de Vinculación Interinstitucional, mediante el cual menciona que adjunta la Cédula de Base de Datos Personales con las observaciones que realizó el INFOEM.</w:t>
      </w:r>
    </w:p>
    <w:p w14:paraId="663CE2E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8D8C248"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Oficio de fecha diez de diciembre de dos mil veintiuno, signado por el Coordinador de Normas y Procedimientos, mediante el cual menciona que su Coordinación no cuenta con Base de Datos Personales </w:t>
      </w:r>
    </w:p>
    <w:p w14:paraId="3EA2174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B62DCF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Oficio de fecha de veintidós de diciembre de dos mil veintiuno, signado por el </w:t>
      </w:r>
      <w:proofErr w:type="gramStart"/>
      <w:r w:rsidRPr="00A5004A">
        <w:rPr>
          <w:rFonts w:ascii="Palatino Linotype" w:eastAsia="Palatino Linotype" w:hAnsi="Palatino Linotype" w:cs="Palatino Linotype"/>
          <w:sz w:val="24"/>
          <w:szCs w:val="24"/>
        </w:rPr>
        <w:t>Jefe</w:t>
      </w:r>
      <w:proofErr w:type="gramEnd"/>
      <w:r w:rsidRPr="00A5004A">
        <w:rPr>
          <w:rFonts w:ascii="Palatino Linotype" w:eastAsia="Palatino Linotype" w:hAnsi="Palatino Linotype" w:cs="Palatino Linotype"/>
          <w:sz w:val="24"/>
          <w:szCs w:val="24"/>
        </w:rPr>
        <w:t xml:space="preserve"> de la Unidad de Planeación e Igualdad de Género, mediante el cual menciona que no cuenta con Cédula de Base de Datos que deban modificarse. </w:t>
      </w:r>
    </w:p>
    <w:p w14:paraId="4AC322EE"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B1FD768"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Oficio de fecha diez de diciembre de dos mil veintiuno, signado por el </w:t>
      </w:r>
      <w:proofErr w:type="gramStart"/>
      <w:r w:rsidRPr="00A5004A">
        <w:rPr>
          <w:rFonts w:ascii="Palatino Linotype" w:eastAsia="Palatino Linotype" w:hAnsi="Palatino Linotype" w:cs="Palatino Linotype"/>
          <w:sz w:val="24"/>
          <w:szCs w:val="24"/>
        </w:rPr>
        <w:t>Jefe</w:t>
      </w:r>
      <w:proofErr w:type="gramEnd"/>
      <w:r w:rsidRPr="00A5004A">
        <w:rPr>
          <w:rFonts w:ascii="Palatino Linotype" w:eastAsia="Palatino Linotype" w:hAnsi="Palatino Linotype" w:cs="Palatino Linotype"/>
          <w:sz w:val="24"/>
          <w:szCs w:val="24"/>
        </w:rPr>
        <w:t xml:space="preserve"> de la Unidad de Administración y Finanzas, mediante el cual menciona los datos que deben actualizarse en las Cédulas de Base de Datos que le corresponden a la Unidad que encabeza.</w:t>
      </w:r>
    </w:p>
    <w:p w14:paraId="4F978D8B"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041DE265"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Oficio de fecha de cuatro de enero de dos mil veintidós, signado por el </w:t>
      </w:r>
      <w:proofErr w:type="gramStart"/>
      <w:r w:rsidRPr="00A5004A">
        <w:rPr>
          <w:rFonts w:ascii="Palatino Linotype" w:eastAsia="Palatino Linotype" w:hAnsi="Palatino Linotype" w:cs="Palatino Linotype"/>
          <w:sz w:val="24"/>
          <w:szCs w:val="24"/>
        </w:rPr>
        <w:t>Jefe</w:t>
      </w:r>
      <w:proofErr w:type="gramEnd"/>
      <w:r w:rsidRPr="00A5004A">
        <w:rPr>
          <w:rFonts w:ascii="Palatino Linotype" w:eastAsia="Palatino Linotype" w:hAnsi="Palatino Linotype" w:cs="Palatino Linotype"/>
          <w:sz w:val="24"/>
          <w:szCs w:val="24"/>
        </w:rPr>
        <w:t xml:space="preserve"> de la Unidad de Informática, mediante el cual menciona los datos erróneos en la Cédula de Base de Datos que le corresponde a la Unidad que encabeza. </w:t>
      </w:r>
    </w:p>
    <w:p w14:paraId="0982E874"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7E1C609C"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Oficio de fecha seis de diciembre de dos mil veintidós, signado por el Titular del Órgano Interno de Control, mediante el cual menciona que hace entrega la actualización de la Cédula de Base de Datos que le corresponde a la Unidad que Encabeza. </w:t>
      </w:r>
    </w:p>
    <w:p w14:paraId="21B342E6" w14:textId="77777777" w:rsidR="00CB7F7F" w:rsidRPr="00A5004A" w:rsidRDefault="00CB7F7F">
      <w:pPr>
        <w:spacing w:after="0" w:line="360" w:lineRule="auto"/>
        <w:jc w:val="both"/>
      </w:pPr>
    </w:p>
    <w:p w14:paraId="751A3FB4"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“ANEXO CUATRO.pdf” </w:t>
      </w:r>
      <w:r w:rsidRPr="00A5004A">
        <w:rPr>
          <w:rFonts w:ascii="Palatino Linotype" w:eastAsia="Palatino Linotype" w:hAnsi="Palatino Linotype" w:cs="Palatino Linotype"/>
          <w:sz w:val="24"/>
          <w:szCs w:val="24"/>
        </w:rPr>
        <w:t>Acta de la Vigésima Sexta Sesión Ordinaria del Comité de Transparencia del Instituto Hacendario del Estado de México.</w:t>
      </w:r>
    </w:p>
    <w:p w14:paraId="0B0AC78B"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795C96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Dos Cédulas de Proyectos de Sistematización y Actualización de Información. </w:t>
      </w:r>
    </w:p>
    <w:p w14:paraId="085B7CB0" w14:textId="77777777" w:rsidR="00CB7F7F" w:rsidRPr="00A5004A" w:rsidRDefault="00CB7F7F">
      <w:pPr>
        <w:spacing w:after="0" w:line="360" w:lineRule="auto"/>
        <w:jc w:val="both"/>
      </w:pPr>
    </w:p>
    <w:p w14:paraId="38CB1560"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OCHO.pdf”: </w:t>
      </w:r>
      <w:r w:rsidRPr="00A5004A">
        <w:rPr>
          <w:rFonts w:ascii="Palatino Linotype" w:eastAsia="Palatino Linotype" w:hAnsi="Palatino Linotype" w:cs="Palatino Linotype"/>
          <w:sz w:val="24"/>
          <w:szCs w:val="24"/>
        </w:rPr>
        <w:t>Acta de la Octogésima Sesión Extraordinaria del Comité de Transparencia del Instituto Hacendario del Estado de México.</w:t>
      </w:r>
    </w:p>
    <w:p w14:paraId="61FFC882" w14:textId="77777777" w:rsidR="00CB7F7F" w:rsidRPr="00A5004A" w:rsidRDefault="00CB7F7F">
      <w:pPr>
        <w:spacing w:after="0" w:line="360" w:lineRule="auto"/>
        <w:jc w:val="both"/>
      </w:pPr>
    </w:p>
    <w:p w14:paraId="2CBC0BC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SEIS.pdf” </w:t>
      </w:r>
      <w:r w:rsidRPr="00A5004A">
        <w:rPr>
          <w:rFonts w:ascii="Palatino Linotype" w:eastAsia="Palatino Linotype" w:hAnsi="Palatino Linotype" w:cs="Palatino Linotype"/>
          <w:sz w:val="24"/>
          <w:szCs w:val="24"/>
        </w:rPr>
        <w:t xml:space="preserve">Oficio con fecha del primero de marzo del año dos mil veintidós, signado por la Titular de la Unidad de Transparencia, mediante el cual solicita a siete servidores públicos incorporen a la plataforma IPOMEX, la información correspondiente al Primer Trimestre del Año dos mil veintidós, a más tardar el veinticinco de marzo del año en curso. </w:t>
      </w:r>
    </w:p>
    <w:p w14:paraId="451BAD80" w14:textId="77777777" w:rsidR="00CB7F7F" w:rsidRPr="00A5004A" w:rsidRDefault="00CB7F7F">
      <w:pPr>
        <w:spacing w:after="0" w:line="360" w:lineRule="auto"/>
        <w:jc w:val="both"/>
      </w:pPr>
    </w:p>
    <w:p w14:paraId="51DBDECA"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lastRenderedPageBreak/>
        <w:t xml:space="preserve">“ANEXO DIEZ.pdf”: </w:t>
      </w:r>
      <w:r w:rsidRPr="00A5004A">
        <w:rPr>
          <w:rFonts w:ascii="Palatino Linotype" w:eastAsia="Palatino Linotype" w:hAnsi="Palatino Linotype" w:cs="Palatino Linotype"/>
          <w:sz w:val="24"/>
          <w:szCs w:val="24"/>
        </w:rPr>
        <w:t xml:space="preserve">Versión Pública del Documento de Seguridad del Instituto Hacendario del Estado de México. </w:t>
      </w:r>
    </w:p>
    <w:p w14:paraId="7AFEDCAC" w14:textId="77777777" w:rsidR="00CB7F7F" w:rsidRPr="00A5004A" w:rsidRDefault="00CB7F7F">
      <w:pPr>
        <w:spacing w:after="0" w:line="360" w:lineRule="auto"/>
        <w:jc w:val="both"/>
      </w:pPr>
    </w:p>
    <w:p w14:paraId="1E64A4E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DOS.pdf”: </w:t>
      </w:r>
      <w:r w:rsidRPr="00A5004A">
        <w:rPr>
          <w:rFonts w:ascii="Palatino Linotype" w:eastAsia="Palatino Linotype" w:hAnsi="Palatino Linotype" w:cs="Palatino Linotype"/>
          <w:sz w:val="24"/>
          <w:szCs w:val="24"/>
        </w:rPr>
        <w:t xml:space="preserve">Versión Pública de los Recibos de Nómina enviados en respuesta. </w:t>
      </w:r>
    </w:p>
    <w:p w14:paraId="1616F37C" w14:textId="77777777" w:rsidR="00CB7F7F" w:rsidRPr="00A5004A" w:rsidRDefault="00CB7F7F">
      <w:pPr>
        <w:spacing w:after="0" w:line="360" w:lineRule="auto"/>
        <w:jc w:val="both"/>
      </w:pPr>
    </w:p>
    <w:p w14:paraId="09878D0E"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CINCO.pdf”: </w:t>
      </w:r>
      <w:r w:rsidRPr="00A5004A">
        <w:rPr>
          <w:rFonts w:ascii="Palatino Linotype" w:eastAsia="Palatino Linotype" w:hAnsi="Palatino Linotype" w:cs="Palatino Linotype"/>
          <w:sz w:val="24"/>
          <w:szCs w:val="24"/>
        </w:rPr>
        <w:t>Oficio de fecha tres de diciembre de dos mil veintiuno, signado por la Titular de la Unidad de Transparencia, mediante el cual solicita la actualización, y de ser el caso, identificar la creación, modificación o supresión de Bases de Datos Personales.</w:t>
      </w:r>
    </w:p>
    <w:p w14:paraId="303AFD9F" w14:textId="77777777" w:rsidR="00CB7F7F" w:rsidRPr="00A5004A" w:rsidRDefault="00CB7F7F">
      <w:pPr>
        <w:spacing w:after="0" w:line="360" w:lineRule="auto"/>
        <w:jc w:val="both"/>
      </w:pPr>
    </w:p>
    <w:p w14:paraId="622084B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 xml:space="preserve">“ANEXO TRES.xlsx”: </w:t>
      </w:r>
      <w:r w:rsidRPr="00A5004A">
        <w:rPr>
          <w:rFonts w:ascii="Palatino Linotype" w:eastAsia="Palatino Linotype" w:hAnsi="Palatino Linotype" w:cs="Palatino Linotype"/>
          <w:sz w:val="24"/>
          <w:szCs w:val="24"/>
        </w:rPr>
        <w:t>Pagos y adeudos a proveedores en formato Excel, mismos que se enviaron en respuesta en formato PDF.</w:t>
      </w:r>
    </w:p>
    <w:p w14:paraId="148F6287" w14:textId="77777777" w:rsidR="00CB7F7F" w:rsidRPr="00A5004A" w:rsidRDefault="00CB7F7F">
      <w:pPr>
        <w:spacing w:after="0" w:line="360" w:lineRule="auto"/>
        <w:jc w:val="both"/>
      </w:pPr>
    </w:p>
    <w:p w14:paraId="5BC3A1EB"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UNO.pdf”: </w:t>
      </w:r>
      <w:r w:rsidRPr="00A5004A">
        <w:rPr>
          <w:rFonts w:ascii="Palatino Linotype" w:eastAsia="Palatino Linotype" w:hAnsi="Palatino Linotype" w:cs="Palatino Linotype"/>
          <w:sz w:val="24"/>
          <w:szCs w:val="24"/>
        </w:rPr>
        <w:t>Acta de la Octogésima Novena Sesión Extraordinaria del Comité de Transparencia del Instituto Hacendario del Estado de México.</w:t>
      </w:r>
    </w:p>
    <w:p w14:paraId="7B279C25" w14:textId="77777777" w:rsidR="00CB7F7F" w:rsidRPr="00A5004A" w:rsidRDefault="00CB7F7F">
      <w:pPr>
        <w:spacing w:after="0" w:line="360" w:lineRule="auto"/>
        <w:jc w:val="both"/>
      </w:pPr>
    </w:p>
    <w:p w14:paraId="399E273C"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sz w:val="24"/>
          <w:szCs w:val="24"/>
          <w:u w:val="single"/>
        </w:rPr>
        <w:t>“</w:t>
      </w:r>
      <w:r w:rsidRPr="00A5004A">
        <w:rPr>
          <w:rFonts w:ascii="Palatino Linotype" w:eastAsia="Palatino Linotype" w:hAnsi="Palatino Linotype" w:cs="Palatino Linotype"/>
          <w:b/>
          <w:i/>
          <w:sz w:val="24"/>
          <w:szCs w:val="24"/>
          <w:u w:val="single"/>
        </w:rPr>
        <w:tab/>
        <w:t xml:space="preserve">ANEXO SIETE.pdf”: </w:t>
      </w:r>
      <w:r w:rsidRPr="00A5004A">
        <w:rPr>
          <w:rFonts w:ascii="Palatino Linotype" w:eastAsia="Palatino Linotype" w:hAnsi="Palatino Linotype" w:cs="Palatino Linotype"/>
          <w:sz w:val="24"/>
          <w:szCs w:val="24"/>
        </w:rPr>
        <w:t xml:space="preserve">Oficio de fecha veinte de abril de dos mil veintidós, signado por el Vocal Ejecutivo, mediante el cual menciona que adjunta el Reporte de los Avances de los Proyectos de Sistematización y Actualización de Información (PASAI) del Instituto Hacendario del Estado de México al primer trimestre del año dos mil veintidós. </w:t>
      </w:r>
    </w:p>
    <w:p w14:paraId="035402F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901785F"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Dos reportes de avances de proyectos de sistematización y actualización de información. </w:t>
      </w:r>
    </w:p>
    <w:p w14:paraId="58739D6B"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66AF899"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Dichos documentos se pusieron a la vista del particular mediante acuerdo con fecha de quince de diciembre de dos mil veintidós, por su parte </w:t>
      </w:r>
      <w:r w:rsidRPr="00A5004A">
        <w:rPr>
          <w:rFonts w:ascii="Palatino Linotype" w:eastAsia="Palatino Linotype" w:hAnsi="Palatino Linotype" w:cs="Palatino Linotype"/>
          <w:b/>
          <w:sz w:val="24"/>
          <w:szCs w:val="24"/>
        </w:rPr>
        <w:t>EL RECURRENTE</w:t>
      </w:r>
      <w:r w:rsidRPr="00A5004A">
        <w:rPr>
          <w:rFonts w:ascii="Palatino Linotype" w:eastAsia="Palatino Linotype" w:hAnsi="Palatino Linotype" w:cs="Palatino Linotype"/>
          <w:sz w:val="24"/>
          <w:szCs w:val="24"/>
        </w:rPr>
        <w:t xml:space="preserve"> fue omiso en emitir sus manifestaciones, conforme a derecho le corresponde.</w:t>
      </w:r>
    </w:p>
    <w:p w14:paraId="30CFE08C" w14:textId="77777777" w:rsidR="00CB7F7F" w:rsidRPr="00A5004A" w:rsidRDefault="00CB7F7F"/>
    <w:p w14:paraId="31E621F8"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8. AMPLIACIÓN DEL TÉRMINO PARA RESOLVER</w:t>
      </w:r>
      <w:r w:rsidRPr="00A5004A">
        <w:rPr>
          <w:rFonts w:ascii="Palatino Linotype" w:eastAsia="Palatino Linotype" w:hAnsi="Palatino Linotype" w:cs="Palatino Linotype"/>
          <w:sz w:val="24"/>
          <w:szCs w:val="24"/>
        </w:rPr>
        <w:t>.</w:t>
      </w:r>
      <w:r w:rsidRPr="00A5004A">
        <w:rPr>
          <w:rFonts w:ascii="Palatino Linotype" w:eastAsia="Palatino Linotype" w:hAnsi="Palatino Linotype" w:cs="Palatino Linotype"/>
        </w:rPr>
        <w:t xml:space="preserve"> </w:t>
      </w:r>
      <w:r w:rsidRPr="00A5004A">
        <w:rPr>
          <w:rFonts w:ascii="Palatino Linotype" w:eastAsia="Palatino Linotype" w:hAnsi="Palatino Linotype" w:cs="Palatino Linotype"/>
          <w:sz w:val="24"/>
          <w:szCs w:val="24"/>
        </w:rPr>
        <w:t xml:space="preserve">El quince de diciembre de dos mil veintidós, se amplió el término para resolver el recurso de revisión en términos del artículo 181 párrafo tercero de la Ley de Transparencia y Acceso a la Información Pública del Estado de México y Municipios. </w:t>
      </w:r>
    </w:p>
    <w:p w14:paraId="64B1E907"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1845ABC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3DAC868"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B470796"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Por ello, es menester precisar </w:t>
      </w:r>
      <w:proofErr w:type="gramStart"/>
      <w:r w:rsidRPr="00A5004A">
        <w:rPr>
          <w:rFonts w:ascii="Palatino Linotype" w:eastAsia="Palatino Linotype" w:hAnsi="Palatino Linotype" w:cs="Palatino Linotype"/>
          <w:sz w:val="24"/>
          <w:szCs w:val="24"/>
        </w:rPr>
        <w:t>que</w:t>
      </w:r>
      <w:proofErr w:type="gramEnd"/>
      <w:r w:rsidRPr="00A5004A">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w:t>
      </w:r>
      <w:r w:rsidRPr="00A5004A">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FADC1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8DAF71C"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46DE5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0CB878B"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1BA939"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F37E5B8"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E74A0E8" w14:textId="77777777" w:rsidR="00CB7F7F" w:rsidRPr="00A5004A" w:rsidRDefault="00CB7F7F">
      <w:pPr>
        <w:spacing w:after="0" w:line="360" w:lineRule="auto"/>
        <w:jc w:val="both"/>
        <w:rPr>
          <w:rFonts w:ascii="Palatino Linotype" w:eastAsia="Palatino Linotype" w:hAnsi="Palatino Linotype" w:cs="Palatino Linotype"/>
          <w:strike/>
          <w:sz w:val="24"/>
          <w:szCs w:val="24"/>
        </w:rPr>
      </w:pPr>
    </w:p>
    <w:p w14:paraId="4B4DAEAF" w14:textId="77777777" w:rsidR="00CB7F7F" w:rsidRPr="00A5004A" w:rsidRDefault="00C208D7">
      <w:pPr>
        <w:numPr>
          <w:ilvl w:val="0"/>
          <w:numId w:val="4"/>
        </w:num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E335792" w14:textId="77777777" w:rsidR="00CB7F7F" w:rsidRPr="00A5004A" w:rsidRDefault="00CB7F7F">
      <w:pPr>
        <w:spacing w:after="0" w:line="360" w:lineRule="auto"/>
        <w:ind w:left="927"/>
        <w:jc w:val="both"/>
        <w:rPr>
          <w:rFonts w:ascii="Palatino Linotype" w:eastAsia="Palatino Linotype" w:hAnsi="Palatino Linotype" w:cs="Palatino Linotype"/>
          <w:sz w:val="24"/>
          <w:szCs w:val="24"/>
        </w:rPr>
      </w:pPr>
    </w:p>
    <w:p w14:paraId="12B380BD" w14:textId="77777777" w:rsidR="00CB7F7F" w:rsidRPr="00A5004A" w:rsidRDefault="00C208D7">
      <w:pPr>
        <w:numPr>
          <w:ilvl w:val="0"/>
          <w:numId w:val="4"/>
        </w:num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Actividad Procesal del interesado. Acciones u omisiones del interesado.</w:t>
      </w:r>
    </w:p>
    <w:p w14:paraId="0B5EA084"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84090DD" w14:textId="77777777" w:rsidR="00CB7F7F" w:rsidRPr="00A5004A" w:rsidRDefault="00C208D7">
      <w:pPr>
        <w:numPr>
          <w:ilvl w:val="0"/>
          <w:numId w:val="4"/>
        </w:num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0024EDD" w14:textId="77777777" w:rsidR="00CB7F7F" w:rsidRPr="00A5004A" w:rsidRDefault="00CB7F7F">
      <w:pPr>
        <w:spacing w:after="0" w:line="360" w:lineRule="auto"/>
        <w:ind w:left="708"/>
        <w:rPr>
          <w:rFonts w:ascii="Palatino Linotype" w:eastAsia="Palatino Linotype" w:hAnsi="Palatino Linotype" w:cs="Palatino Linotype"/>
          <w:sz w:val="24"/>
          <w:szCs w:val="24"/>
        </w:rPr>
      </w:pPr>
    </w:p>
    <w:p w14:paraId="239879A9" w14:textId="77777777" w:rsidR="00CB7F7F" w:rsidRPr="00A5004A" w:rsidRDefault="00C208D7">
      <w:pPr>
        <w:spacing w:after="0" w:line="360" w:lineRule="auto"/>
        <w:ind w:left="567"/>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2B800829"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9C5D679"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C1C808"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623C035" w14:textId="77777777"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5004A">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A5004A">
        <w:rPr>
          <w:rFonts w:ascii="Palatino Linotype" w:eastAsia="Palatino Linotype" w:hAnsi="Palatino Linotype" w:cs="Palatino Linotype"/>
          <w:i/>
          <w:sz w:val="24"/>
          <w:szCs w:val="24"/>
        </w:rPr>
        <w:lastRenderedPageBreak/>
        <w:t>CARACTERÍSTICAS DEL CASO.”</w:t>
      </w:r>
      <w:r w:rsidRPr="00A5004A">
        <w:rPr>
          <w:rFonts w:ascii="Palatino Linotype" w:eastAsia="Palatino Linotype" w:hAnsi="Palatino Linotype" w:cs="Palatino Linotype"/>
          <w:sz w:val="24"/>
          <w:szCs w:val="24"/>
        </w:rPr>
        <w:t>, visible en la Gaceta del Seminario Judicial de la Federación con el registro digital 205635.</w:t>
      </w:r>
    </w:p>
    <w:p w14:paraId="3491A146"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1E4C31C"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1DEA5A"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6B46F1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3168A83"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2CCB688"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i/>
          <w:sz w:val="24"/>
          <w:szCs w:val="24"/>
        </w:rPr>
        <w:t>“PLAZO RAZONABLE PARA RESOLVER. DIMENSIÓN Y EFECTOS DE ESTE CONCEPTO CUANDO SE ADUCE EXCESIVA CARGA DE TRABAJO.”</w:t>
      </w:r>
      <w:r w:rsidRPr="00A5004A">
        <w:rPr>
          <w:rFonts w:ascii="Palatino Linotype" w:eastAsia="Palatino Linotype" w:hAnsi="Palatino Linotype" w:cs="Palatino Linotype"/>
          <w:sz w:val="24"/>
          <w:szCs w:val="24"/>
        </w:rPr>
        <w:t xml:space="preserve"> consultable en el Seminario Judicial de la Federación y su gaceta, con el registro digital 2002351.</w:t>
      </w:r>
    </w:p>
    <w:p w14:paraId="42834B75" w14:textId="77777777" w:rsidR="00CB7F7F" w:rsidRPr="00A5004A" w:rsidRDefault="00CB7F7F">
      <w:pPr>
        <w:spacing w:after="0" w:line="360" w:lineRule="auto"/>
        <w:jc w:val="both"/>
        <w:rPr>
          <w:rFonts w:ascii="Palatino Linotype" w:eastAsia="Palatino Linotype" w:hAnsi="Palatino Linotype" w:cs="Palatino Linotype"/>
          <w:b/>
          <w:sz w:val="24"/>
          <w:szCs w:val="24"/>
        </w:rPr>
      </w:pPr>
    </w:p>
    <w:p w14:paraId="41F2AF5B"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A5004A">
        <w:rPr>
          <w:rFonts w:ascii="Palatino Linotype" w:eastAsia="Palatino Linotype" w:hAnsi="Palatino Linotype" w:cs="Palatino Linotype"/>
          <w:sz w:val="24"/>
          <w:szCs w:val="24"/>
        </w:rPr>
        <w:t>, visible en el Seminario Judicial de la Federación y su gaceta, con el registro digital 2002350.</w:t>
      </w:r>
    </w:p>
    <w:p w14:paraId="163E0676"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48A8C85"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23DB83D" w14:textId="77777777" w:rsidR="00CB7F7F" w:rsidRPr="00A5004A" w:rsidRDefault="00CB7F7F"/>
    <w:p w14:paraId="04D1C18C" w14:textId="77777777" w:rsidR="00CB7F7F" w:rsidRPr="00A5004A" w:rsidRDefault="00C208D7">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A5004A">
        <w:rPr>
          <w:rFonts w:ascii="Palatino Linotype" w:eastAsia="Palatino Linotype" w:hAnsi="Palatino Linotype" w:cs="Palatino Linotype"/>
          <w:b/>
          <w:sz w:val="24"/>
          <w:szCs w:val="24"/>
        </w:rPr>
        <w:t xml:space="preserve">8. CIERRE DE INSTRUCCIÓN. </w:t>
      </w:r>
      <w:r w:rsidRPr="00A5004A">
        <w:rPr>
          <w:rFonts w:ascii="Palatino Linotype" w:eastAsia="Palatino Linotype" w:hAnsi="Palatino Linotype" w:cs="Palatino Linotype"/>
          <w:sz w:val="24"/>
          <w:szCs w:val="24"/>
        </w:rPr>
        <w:t>El dieciocho 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DFAD2F9"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1A7CA6BA"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B14E23F"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B3858F7" w14:textId="77777777" w:rsidR="00CB7F7F" w:rsidRPr="00A5004A" w:rsidRDefault="00CB7F7F"/>
    <w:p w14:paraId="2BB9B98C" w14:textId="77777777" w:rsidR="00CB7F7F" w:rsidRPr="00A5004A" w:rsidRDefault="00C208D7">
      <w:pPr>
        <w:widowControl w:val="0"/>
        <w:spacing w:after="0" w:line="360" w:lineRule="auto"/>
        <w:jc w:val="center"/>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t>C O N S I D E R A N D O S</w:t>
      </w:r>
    </w:p>
    <w:p w14:paraId="0F100415" w14:textId="77777777" w:rsidR="00CB7F7F" w:rsidRPr="00A5004A" w:rsidRDefault="00CB7F7F">
      <w:pPr>
        <w:spacing w:after="0" w:line="360" w:lineRule="auto"/>
        <w:jc w:val="both"/>
        <w:rPr>
          <w:rFonts w:ascii="Palatino Linotype" w:eastAsia="Palatino Linotype" w:hAnsi="Palatino Linotype" w:cs="Palatino Linotype"/>
          <w:b/>
          <w:sz w:val="24"/>
          <w:szCs w:val="24"/>
        </w:rPr>
      </w:pPr>
    </w:p>
    <w:p w14:paraId="74795365"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PRIMERO. COMPETENCIA.</w:t>
      </w:r>
      <w:r w:rsidRPr="00A5004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814B9D" w14:textId="77777777" w:rsidR="00CB7F7F" w:rsidRPr="00A5004A" w:rsidRDefault="00CB7F7F"/>
    <w:p w14:paraId="143EC50B" w14:textId="77777777" w:rsidR="00CB7F7F" w:rsidRPr="00A5004A" w:rsidRDefault="00C208D7">
      <w:pPr>
        <w:spacing w:before="160" w:after="0" w:line="360" w:lineRule="auto"/>
        <w:ind w:right="-234"/>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 xml:space="preserve">SEGUNDO. OPORTUNIDAD Y PROCEDIBILIDAD DE LOS RECURSOS DE REVISIÓN.  </w:t>
      </w:r>
      <w:r w:rsidRPr="00A5004A">
        <w:rPr>
          <w:rFonts w:ascii="Palatino Linotype" w:eastAsia="Palatino Linotype" w:hAnsi="Palatino Linotype" w:cs="Palatino Linotype"/>
          <w:sz w:val="24"/>
          <w:szCs w:val="24"/>
        </w:rPr>
        <w:t>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w:t>
      </w:r>
    </w:p>
    <w:p w14:paraId="4719E5FA" w14:textId="77777777" w:rsidR="00CB7F7F" w:rsidRPr="00A5004A" w:rsidRDefault="00CB7F7F"/>
    <w:p w14:paraId="47987D63" w14:textId="77777777" w:rsidR="00CB7F7F" w:rsidRPr="00A5004A" w:rsidRDefault="00C208D7">
      <w:pPr>
        <w:spacing w:after="0" w:line="360" w:lineRule="auto"/>
        <w:ind w:right="-234"/>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sidRPr="00A5004A">
        <w:rPr>
          <w:rFonts w:ascii="Palatino Linotype" w:eastAsia="Palatino Linotype" w:hAnsi="Palatino Linotype" w:cs="Palatino Linotype"/>
          <w:sz w:val="24"/>
          <w:szCs w:val="24"/>
        </w:rPr>
        <w:lastRenderedPageBreak/>
        <w:t>Estado de México y Municipios, contados a partir de la fecha en que</w:t>
      </w:r>
      <w:r w:rsidRPr="00A5004A">
        <w:rPr>
          <w:rFonts w:ascii="Palatino Linotype" w:eastAsia="Palatino Linotype" w:hAnsi="Palatino Linotype" w:cs="Palatino Linotype"/>
          <w:b/>
          <w:sz w:val="24"/>
          <w:szCs w:val="24"/>
        </w:rPr>
        <w:t xml:space="preserve"> EL SUJETO OBLIGADO </w:t>
      </w:r>
      <w:r w:rsidRPr="00A5004A">
        <w:rPr>
          <w:rFonts w:ascii="Palatino Linotype" w:eastAsia="Palatino Linotype" w:hAnsi="Palatino Linotype" w:cs="Palatino Linotype"/>
          <w:sz w:val="24"/>
          <w:szCs w:val="24"/>
        </w:rPr>
        <w:t xml:space="preserve">emitió la respuesta, toda vez que esta fue pronunciada el día diecisiete de junio de dos mil veintidós, mientras que </w:t>
      </w:r>
      <w:r w:rsidRPr="00A5004A">
        <w:rPr>
          <w:rFonts w:ascii="Palatino Linotype" w:eastAsia="Palatino Linotype" w:hAnsi="Palatino Linotype" w:cs="Palatino Linotype"/>
          <w:b/>
          <w:sz w:val="24"/>
          <w:szCs w:val="24"/>
        </w:rPr>
        <w:t>LA</w:t>
      </w: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xml:space="preserve"> interpuso el recurso de revisión el veinte de junio de dos mil veintidós, esto es al siguiente día hábil de haber recibido la respuesta. </w:t>
      </w:r>
    </w:p>
    <w:p w14:paraId="400F2970"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0B58BCD"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6FC0F057"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7D134A3" w14:textId="77777777"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5004A">
        <w:rPr>
          <w:rFonts w:ascii="Palatino Linotype" w:eastAsia="Palatino Linotype" w:hAnsi="Palatino Linotype" w:cs="Palatino Linotype"/>
          <w:b/>
          <w:sz w:val="24"/>
          <w:szCs w:val="24"/>
        </w:rPr>
        <w:t xml:space="preserve">EL SAIMEX.  </w:t>
      </w:r>
    </w:p>
    <w:p w14:paraId="0FDD34F3"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444F8B0" w14:textId="77777777" w:rsidR="00CB7F7F" w:rsidRPr="00A5004A" w:rsidRDefault="00C208D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Finalmente, resulta procedente la interposición del recurso, según lo aducido por </w:t>
      </w:r>
      <w:r w:rsidRPr="00A5004A">
        <w:rPr>
          <w:rFonts w:ascii="Palatino Linotype" w:eastAsia="Palatino Linotype" w:hAnsi="Palatino Linotype" w:cs="Palatino Linotype"/>
          <w:b/>
          <w:sz w:val="24"/>
          <w:szCs w:val="24"/>
        </w:rPr>
        <w:t>LA RECURRENTE</w:t>
      </w:r>
      <w:r w:rsidRPr="00A5004A">
        <w:rPr>
          <w:rFonts w:ascii="Palatino Linotype" w:eastAsia="Palatino Linotype" w:hAnsi="Palatino Linotype" w:cs="Palatino Linotype"/>
          <w:sz w:val="24"/>
          <w:szCs w:val="24"/>
        </w:rPr>
        <w:t xml:space="preserve"> en sus razones o motivos de inconformidad, de acuerdo al artículo 179, fracción II y XIII de la Ley de Transparencia y Acceso a la Información Pública del Estado de México y Municipios; que a la letra dice:</w:t>
      </w:r>
    </w:p>
    <w:p w14:paraId="55054A6F" w14:textId="77777777" w:rsidR="00CB7F7F" w:rsidRPr="00A5004A" w:rsidRDefault="00CB7F7F">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7055DA3" w14:textId="77777777" w:rsidR="00CB7F7F" w:rsidRPr="00A5004A" w:rsidRDefault="00C208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5004A">
        <w:rPr>
          <w:rFonts w:ascii="Palatino Linotype" w:eastAsia="Palatino Linotype" w:hAnsi="Palatino Linotype" w:cs="Palatino Linotype"/>
          <w:b/>
          <w:i/>
        </w:rPr>
        <w:lastRenderedPageBreak/>
        <w:t>“Artículo 179</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El recurso de revisión</w:t>
      </w:r>
      <w:r w:rsidRPr="00A5004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5004A">
        <w:rPr>
          <w:rFonts w:ascii="Palatino Linotype" w:eastAsia="Palatino Linotype" w:hAnsi="Palatino Linotype" w:cs="Palatino Linotype"/>
          <w:b/>
          <w:i/>
        </w:rPr>
        <w:t>, y procederá en contra de las siguientes causas</w:t>
      </w:r>
      <w:r w:rsidRPr="00A5004A">
        <w:rPr>
          <w:rFonts w:ascii="Palatino Linotype" w:eastAsia="Palatino Linotype" w:hAnsi="Palatino Linotype" w:cs="Palatino Linotype"/>
          <w:i/>
        </w:rPr>
        <w:t>:</w:t>
      </w:r>
    </w:p>
    <w:p w14:paraId="33E623D6" w14:textId="77777777" w:rsidR="00CB7F7F" w:rsidRPr="00A5004A" w:rsidRDefault="00C208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5004A">
        <w:rPr>
          <w:rFonts w:ascii="Palatino Linotype" w:eastAsia="Palatino Linotype" w:hAnsi="Palatino Linotype" w:cs="Palatino Linotype"/>
          <w:b/>
          <w:i/>
        </w:rPr>
        <w:t>(</w:t>
      </w:r>
      <w:r w:rsidRPr="00A5004A">
        <w:rPr>
          <w:rFonts w:ascii="Palatino Linotype" w:eastAsia="Palatino Linotype" w:hAnsi="Palatino Linotype" w:cs="Palatino Linotype"/>
          <w:i/>
        </w:rPr>
        <w:t>…)</w:t>
      </w:r>
    </w:p>
    <w:p w14:paraId="1EF9989E" w14:textId="77777777" w:rsidR="00CB7F7F" w:rsidRPr="00A5004A" w:rsidRDefault="00C208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5004A">
        <w:rPr>
          <w:rFonts w:ascii="Palatino Linotype" w:eastAsia="Palatino Linotype" w:hAnsi="Palatino Linotype" w:cs="Palatino Linotype"/>
          <w:i/>
        </w:rPr>
        <w:t>II. La clasificación de la información;</w:t>
      </w:r>
    </w:p>
    <w:p w14:paraId="6860B100" w14:textId="77777777" w:rsidR="00CB7F7F" w:rsidRPr="00A5004A" w:rsidRDefault="00C208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60733167" w14:textId="77777777" w:rsidR="00CB7F7F" w:rsidRPr="00A5004A" w:rsidRDefault="00C208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XIII. La falta, deficiencia o insuficiencia de la fundamentación y/o motivación en la respuesta; y” </w:t>
      </w:r>
    </w:p>
    <w:p w14:paraId="3E3B258B"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7E1C1943"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TERCERO. ANÁLISIS DE LAS CAUSALES DE SOBRESEIMIENTO DEL RECURSO DE REVISIÓN.</w:t>
      </w:r>
      <w:r w:rsidRPr="00A5004A">
        <w:rPr>
          <w:rFonts w:ascii="Palatino Linotype" w:eastAsia="Palatino Linotype" w:hAnsi="Palatino Linotype" w:cs="Palatino Linotype"/>
          <w:sz w:val="24"/>
          <w:szCs w:val="24"/>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w:t>
      </w:r>
    </w:p>
    <w:p w14:paraId="17022264" w14:textId="77777777" w:rsidR="00CB7F7F" w:rsidRPr="00A5004A" w:rsidRDefault="00CB7F7F">
      <w:pPr>
        <w:spacing w:after="0" w:line="360" w:lineRule="auto"/>
        <w:ind w:right="-234"/>
        <w:jc w:val="both"/>
      </w:pPr>
    </w:p>
    <w:p w14:paraId="47EE2454" w14:textId="77777777" w:rsidR="00CB7F7F" w:rsidRPr="00A5004A" w:rsidRDefault="00C208D7">
      <w:pP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Del análisis de la solicitud de información, motivo del recurso de revisión que ahora se resuelve se advierte que la parte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xml:space="preserve"> requirió al </w:t>
      </w:r>
      <w:r w:rsidRPr="00A5004A">
        <w:rPr>
          <w:rFonts w:ascii="Palatino Linotype" w:eastAsia="Palatino Linotype" w:hAnsi="Palatino Linotype" w:cs="Palatino Linotype"/>
          <w:b/>
          <w:sz w:val="24"/>
          <w:szCs w:val="24"/>
        </w:rPr>
        <w:t xml:space="preserve">SUJETO OBLIGADO </w:t>
      </w:r>
      <w:r w:rsidRPr="00A5004A">
        <w:rPr>
          <w:rFonts w:ascii="Palatino Linotype" w:eastAsia="Palatino Linotype" w:hAnsi="Palatino Linotype" w:cs="Palatino Linotype"/>
          <w:sz w:val="24"/>
          <w:szCs w:val="24"/>
        </w:rPr>
        <w:t xml:space="preserve">le proporcione, lo siguiente: </w:t>
      </w:r>
    </w:p>
    <w:p w14:paraId="15F487BB" w14:textId="77777777" w:rsidR="00CB7F7F" w:rsidRPr="00A5004A" w:rsidRDefault="00C208D7">
      <w:pPr>
        <w:numPr>
          <w:ilvl w:val="0"/>
          <w:numId w:val="1"/>
        </w:numPr>
        <w:pBdr>
          <w:top w:val="nil"/>
          <w:left w:val="nil"/>
          <w:bottom w:val="nil"/>
          <w:right w:val="nil"/>
          <w:between w:val="nil"/>
        </w:pBdr>
        <w:spacing w:before="240"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Los recibos de nómina de esta dependencia de la última quincena dispersada.</w:t>
      </w:r>
    </w:p>
    <w:p w14:paraId="6107C2E9" w14:textId="77777777" w:rsidR="00CB7F7F" w:rsidRPr="00A5004A" w:rsidRDefault="00C208D7">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Pagos y adeudos a proveedores 2019 a 2021.</w:t>
      </w:r>
    </w:p>
    <w:p w14:paraId="01CD4468" w14:textId="77777777" w:rsidR="00CB7F7F" w:rsidRPr="00A5004A" w:rsidRDefault="00C208D7">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Qué acciones o mejoras implementó el titular de transparencia durante este primer trimestre 2022.</w:t>
      </w:r>
    </w:p>
    <w:p w14:paraId="3AC60281" w14:textId="77777777" w:rsidR="00CB7F7F" w:rsidRPr="00A5004A" w:rsidRDefault="00C208D7">
      <w:pPr>
        <w:numPr>
          <w:ilvl w:val="0"/>
          <w:numId w:val="1"/>
        </w:numPr>
        <w:pBdr>
          <w:top w:val="nil"/>
          <w:left w:val="nil"/>
          <w:bottom w:val="nil"/>
          <w:right w:val="nil"/>
          <w:between w:val="nil"/>
        </w:pBdr>
        <w:spacing w:after="24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Oficios, bitácoras, análisis brecha, riesgo y en general toda la documentación relacionada con su documento de seguridad 2019 a 2022.</w:t>
      </w:r>
    </w:p>
    <w:p w14:paraId="595AD599"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En respuesta, </w:t>
      </w:r>
      <w:r w:rsidRPr="00A5004A">
        <w:rPr>
          <w:rFonts w:ascii="Palatino Linotype" w:eastAsia="Palatino Linotype" w:hAnsi="Palatino Linotype" w:cs="Palatino Linotype"/>
          <w:b/>
          <w:sz w:val="24"/>
          <w:szCs w:val="24"/>
        </w:rPr>
        <w:t xml:space="preserve">EL SUJETO OBLIGADO, </w:t>
      </w:r>
      <w:r w:rsidRPr="00A5004A">
        <w:rPr>
          <w:rFonts w:ascii="Palatino Linotype" w:eastAsia="Palatino Linotype" w:hAnsi="Palatino Linotype" w:cs="Palatino Linotype"/>
          <w:sz w:val="24"/>
          <w:szCs w:val="24"/>
        </w:rPr>
        <w:t>hace entrega de 66 recibos de nómina con el Acta de la Octogésima Novena Sesión Extraordinaria, 34 fojas de pagos de pagos y adeudos a proveedores de 2019 a 2021, el programa de sistematización y Actualización de la Información (PASAI) para el ejercicio fiscal 2022, así como un oficio signado por la Titular de la Unidad de Transparencia, mediante el cual solicitada la clasificación como confidencial del Documento de Seguridad.</w:t>
      </w:r>
    </w:p>
    <w:p w14:paraId="0CC12B0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99D2461" w14:textId="77777777" w:rsidR="00CB7F7F" w:rsidRPr="00A5004A" w:rsidRDefault="00C208D7">
      <w:pP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Conocida la respuesta por la persona solicitante, al no estar conforme con los términos de la misma, interpuso el recurso de revisión que nos ocupa, mediante el cual señaló como motivo de inconformidad en lo medular por la clasificación errónea de los recibos de nómina y por la clasificación de documento de seguridad ya que no cumple con la motivación y fundamentación conforme al marco legal.</w:t>
      </w:r>
    </w:p>
    <w:p w14:paraId="4C897FD8" w14:textId="77777777" w:rsidR="00CB7F7F" w:rsidRPr="00A5004A" w:rsidRDefault="00CB7F7F">
      <w:pPr>
        <w:spacing w:after="0" w:line="360" w:lineRule="auto"/>
        <w:ind w:right="-234"/>
        <w:jc w:val="both"/>
      </w:pPr>
    </w:p>
    <w:p w14:paraId="51FA5CCE" w14:textId="77777777" w:rsidR="00CB7F7F" w:rsidRPr="00A5004A" w:rsidRDefault="00C208D7">
      <w:pPr>
        <w:spacing w:after="0" w:line="360" w:lineRule="auto"/>
        <w:ind w:right="-234"/>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Admitido el presente recurso de revisión, en términos del artículo 185 fracción II</w:t>
      </w:r>
      <w:r w:rsidRPr="00A5004A">
        <w:rPr>
          <w:rFonts w:ascii="Palatino Linotype" w:eastAsia="Palatino Linotype" w:hAnsi="Palatino Linotype" w:cs="Palatino Linotype"/>
          <w:sz w:val="24"/>
          <w:szCs w:val="24"/>
          <w:vertAlign w:val="superscript"/>
        </w:rPr>
        <w:footnoteReference w:id="1"/>
      </w:r>
      <w:r w:rsidRPr="00A5004A">
        <w:rPr>
          <w:rFonts w:ascii="Palatino Linotype" w:eastAsia="Palatino Linotype" w:hAnsi="Palatino Linotype" w:cs="Palatino Linotype"/>
          <w:sz w:val="24"/>
          <w:szCs w:val="24"/>
        </w:rPr>
        <w:t xml:space="preserve"> de la Ley de Transparencia y Acceso a la Información Pública del Estado de México y </w:t>
      </w:r>
      <w:r w:rsidRPr="00A5004A">
        <w:rPr>
          <w:rFonts w:ascii="Palatino Linotype" w:eastAsia="Palatino Linotype" w:hAnsi="Palatino Linotype" w:cs="Palatino Linotype"/>
          <w:sz w:val="24"/>
          <w:szCs w:val="24"/>
        </w:rPr>
        <w:lastRenderedPageBreak/>
        <w:t xml:space="preserve">Municipios, se integró el expediente y se puso a disposición de las partes para que, en un plazo máximo de siete días hábiles, manifestaran lo que a su derecho resultara conveniente, en donde </w:t>
      </w:r>
      <w:r w:rsidRPr="00A5004A">
        <w:rPr>
          <w:rFonts w:ascii="Palatino Linotype" w:eastAsia="Palatino Linotype" w:hAnsi="Palatino Linotype" w:cs="Palatino Linotype"/>
          <w:b/>
          <w:sz w:val="24"/>
          <w:szCs w:val="24"/>
        </w:rPr>
        <w:t xml:space="preserve">EL SUJETO OBLIGADO </w:t>
      </w:r>
      <w:r w:rsidRPr="00A5004A">
        <w:rPr>
          <w:rFonts w:ascii="Palatino Linotype" w:eastAsia="Palatino Linotype" w:hAnsi="Palatino Linotype" w:cs="Palatino Linotype"/>
          <w:sz w:val="24"/>
          <w:szCs w:val="24"/>
        </w:rPr>
        <w:t>hace entrega de diversos oficios que remite mediante su respuesta inicial, el formato Excel de los pagos y adeudos a proveedores, una nueva versión pública de los recibos de nómina remitidos en respuesta y la versión pública de su documento de seguridad.</w:t>
      </w:r>
    </w:p>
    <w:p w14:paraId="0CC734CA" w14:textId="77777777" w:rsidR="00CB7F7F" w:rsidRPr="00A5004A" w:rsidRDefault="00CB7F7F">
      <w:pPr>
        <w:spacing w:after="0" w:line="360" w:lineRule="auto"/>
        <w:ind w:right="-234"/>
        <w:jc w:val="both"/>
        <w:rPr>
          <w:rFonts w:ascii="Palatino Linotype" w:eastAsia="Palatino Linotype" w:hAnsi="Palatino Linotype" w:cs="Palatino Linotype"/>
          <w:sz w:val="24"/>
          <w:szCs w:val="24"/>
        </w:rPr>
      </w:pPr>
    </w:p>
    <w:p w14:paraId="5140D6B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Por lo que respecta a los motivos de inconformidad, se advierte que, la parte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xml:space="preserve">, sólo se inconforma, porque no se le entregó una correcta versión pública de los recibos de nómina remitidos en respuesta y por la clasificación del documento de seguridad, por consiguiente, la parte de la respuesta que no fue impugnada debe declararse consentida por el hoy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en razón de que no se realizaron manifestaciones de inconformidad relativo a los pagos y adeudos a proveedores de 2019 a 2021, que acciones o mejoras implementó el titular de transparencia durante este primer trimestre 2022, por lo que no pueden producirse efectos jurídicos tendentes a revocar, confirmar o modificar el acto reclamado ya que se infiere un consentimiento de la</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parte</w:t>
      </w:r>
      <w:r w:rsidRPr="00A5004A">
        <w:rPr>
          <w:rFonts w:ascii="Palatino Linotype" w:eastAsia="Palatino Linotype" w:hAnsi="Palatino Linotype" w:cs="Palatino Linotype"/>
          <w:b/>
          <w:sz w:val="24"/>
          <w:szCs w:val="24"/>
        </w:rPr>
        <w:t xml:space="preserve"> RECURRENTE</w:t>
      </w:r>
      <w:r w:rsidRPr="00A5004A">
        <w:rPr>
          <w:rFonts w:ascii="Palatino Linotype" w:eastAsia="Palatino Linotype" w:hAnsi="Palatino Linotype" w:cs="Palatino Linotype"/>
          <w:sz w:val="24"/>
          <w:szCs w:val="24"/>
        </w:rPr>
        <w:t xml:space="preserve"> ante la falta de impugnación eficaz. </w:t>
      </w:r>
    </w:p>
    <w:p w14:paraId="3F7A0033"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6667693"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63DFBB45" w14:textId="77777777" w:rsidR="00CB7F7F" w:rsidRPr="00A5004A" w:rsidRDefault="00C208D7">
      <w:pPr>
        <w:shd w:val="clear" w:color="auto" w:fill="FFFFFF"/>
        <w:spacing w:after="120" w:line="276" w:lineRule="auto"/>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w:t>
      </w:r>
      <w:r w:rsidRPr="00A5004A">
        <w:rPr>
          <w:rFonts w:ascii="Palatino Linotype" w:eastAsia="Palatino Linotype" w:hAnsi="Palatino Linotype" w:cs="Palatino Linotype"/>
          <w:b/>
          <w:i/>
        </w:rPr>
        <w:t>ACTOS CONSENTIDOS. SON LOS QUE NO SE IMPUGNAN MEDIANTE EL RECURSO IDÓNEO</w:t>
      </w:r>
      <w:r w:rsidRPr="00A5004A">
        <w:rPr>
          <w:rFonts w:ascii="Palatino Linotype" w:eastAsia="Palatino Linotype" w:hAnsi="Palatino Linotype" w:cs="Palatino Linotype"/>
          <w:i/>
        </w:rPr>
        <w:t xml:space="preserve">. Debe reputarse como consentido el acto que no se impugnó por el medio establecido por la ley, </w:t>
      </w:r>
      <w:proofErr w:type="gramStart"/>
      <w:r w:rsidRPr="00A5004A">
        <w:rPr>
          <w:rFonts w:ascii="Palatino Linotype" w:eastAsia="Palatino Linotype" w:hAnsi="Palatino Linotype" w:cs="Palatino Linotype"/>
          <w:i/>
        </w:rPr>
        <w:t>ya que</w:t>
      </w:r>
      <w:proofErr w:type="gramEnd"/>
      <w:r w:rsidRPr="00A5004A">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20260D" w14:textId="77777777" w:rsidR="00CB7F7F" w:rsidRPr="00A5004A" w:rsidRDefault="00CB7F7F">
      <w:pPr>
        <w:shd w:val="clear" w:color="auto" w:fill="FFFFFF"/>
        <w:spacing w:before="120" w:after="120" w:line="276" w:lineRule="auto"/>
        <w:ind w:left="851" w:right="902"/>
        <w:jc w:val="both"/>
        <w:rPr>
          <w:rFonts w:ascii="Palatino Linotype" w:eastAsia="Palatino Linotype" w:hAnsi="Palatino Linotype" w:cs="Palatino Linotype"/>
          <w:i/>
        </w:rPr>
      </w:pPr>
    </w:p>
    <w:p w14:paraId="01608E5A" w14:textId="77777777" w:rsidR="00CB7F7F" w:rsidRPr="00A5004A" w:rsidRDefault="00C208D7">
      <w:pPr>
        <w:spacing w:before="120"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Lo anterior es así, debido a que, cuando la parte </w:t>
      </w:r>
      <w:r w:rsidRPr="00A5004A">
        <w:rPr>
          <w:rFonts w:ascii="Palatino Linotype" w:eastAsia="Palatino Linotype" w:hAnsi="Palatino Linotype" w:cs="Palatino Linotype"/>
          <w:b/>
          <w:sz w:val="24"/>
          <w:szCs w:val="24"/>
        </w:rPr>
        <w:t xml:space="preserve">RECURRENTE </w:t>
      </w:r>
      <w:r w:rsidRPr="00A5004A">
        <w:rPr>
          <w:rFonts w:ascii="Palatino Linotype" w:eastAsia="Palatino Linotype" w:hAnsi="Palatino Linotype" w:cs="Palatino Linotype"/>
          <w:sz w:val="24"/>
          <w:szCs w:val="24"/>
        </w:rPr>
        <w:t xml:space="preserve">impugnó la respuesta del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parte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xml:space="preserve"> está conforme con la información al no contravenir la misma.</w:t>
      </w:r>
    </w:p>
    <w:p w14:paraId="7041CD10" w14:textId="77777777" w:rsidR="00CB7F7F" w:rsidRPr="00A5004A" w:rsidRDefault="00CB7F7F">
      <w:pPr>
        <w:spacing w:after="0" w:line="360" w:lineRule="auto"/>
      </w:pPr>
    </w:p>
    <w:p w14:paraId="2764CBC3"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60E9BAE6" w14:textId="77777777" w:rsidR="00CB7F7F" w:rsidRPr="00A5004A" w:rsidRDefault="00CB7F7F">
      <w:pPr>
        <w:spacing w:after="0" w:line="360" w:lineRule="auto"/>
        <w:ind w:right="49"/>
        <w:jc w:val="both"/>
        <w:rPr>
          <w:rFonts w:ascii="Palatino Linotype" w:eastAsia="Palatino Linotype" w:hAnsi="Palatino Linotype" w:cs="Palatino Linotype"/>
          <w:sz w:val="18"/>
          <w:szCs w:val="18"/>
        </w:rPr>
      </w:pPr>
    </w:p>
    <w:p w14:paraId="01B3F934" w14:textId="77777777" w:rsidR="00CB7F7F" w:rsidRPr="00A5004A" w:rsidRDefault="00C208D7">
      <w:pPr>
        <w:spacing w:after="0" w:line="240" w:lineRule="auto"/>
        <w:ind w:left="1080" w:right="918"/>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i/>
        </w:rPr>
        <w:t xml:space="preserve">“REVISIÓN EN AMPARO. LOS RESOLUTIVOS NO COMBATIDOS DEBEN DECLARARSE FIRMES. </w:t>
      </w:r>
      <w:r w:rsidRPr="00A5004A">
        <w:rPr>
          <w:rFonts w:ascii="Palatino Linotype" w:eastAsia="Palatino Linotype" w:hAnsi="Palatino Linotype" w:cs="Palatino Linotype"/>
          <w:i/>
        </w:rPr>
        <w:t xml:space="preserve">Cuando algún resolutivo de la sentencia impugnada afecta a la </w:t>
      </w:r>
      <w:r w:rsidRPr="00A5004A">
        <w:rPr>
          <w:rFonts w:ascii="Palatino Linotype" w:eastAsia="Palatino Linotype" w:hAnsi="Palatino Linotype" w:cs="Palatino Linotype"/>
          <w:b/>
          <w:i/>
        </w:rPr>
        <w:t>RECURRENTE</w:t>
      </w:r>
      <w:r w:rsidRPr="00A5004A">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A5004A">
        <w:rPr>
          <w:rFonts w:ascii="Palatino Linotype" w:eastAsia="Palatino Linotype" w:hAnsi="Palatino Linotype" w:cs="Palatino Linotype"/>
          <w:b/>
          <w:i/>
        </w:rPr>
        <w:t>RECURRENTE</w:t>
      </w:r>
      <w:r w:rsidRPr="00A5004A">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706BE5BA"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Precisado lo anterior, resulta oportuno analizar lo siguiente:</w:t>
      </w:r>
    </w:p>
    <w:p w14:paraId="7659065B" w14:textId="77777777"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sz w:val="24"/>
          <w:szCs w:val="24"/>
        </w:rPr>
        <w:t xml:space="preserve"> </w:t>
      </w:r>
    </w:p>
    <w:p w14:paraId="5055D6A8" w14:textId="77777777"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t>Recibos de nómina de los servidores públicos.</w:t>
      </w:r>
    </w:p>
    <w:p w14:paraId="0818BFC7" w14:textId="77777777" w:rsidR="00CB7F7F" w:rsidRPr="00A5004A" w:rsidRDefault="00CB7F7F">
      <w:pPr>
        <w:spacing w:line="360" w:lineRule="auto"/>
        <w:jc w:val="both"/>
        <w:rPr>
          <w:rFonts w:ascii="Palatino Linotype" w:eastAsia="Palatino Linotype" w:hAnsi="Palatino Linotype" w:cs="Palatino Linotype"/>
          <w:b/>
          <w:sz w:val="24"/>
          <w:szCs w:val="24"/>
        </w:rPr>
      </w:pPr>
    </w:p>
    <w:tbl>
      <w:tblPr>
        <w:tblStyle w:val="a3"/>
        <w:tblW w:w="894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3"/>
        <w:gridCol w:w="2890"/>
        <w:gridCol w:w="2890"/>
      </w:tblGrid>
      <w:tr w:rsidR="00A5004A" w:rsidRPr="00A5004A" w14:paraId="64698CAA" w14:textId="77777777">
        <w:trPr>
          <w:trHeight w:val="807"/>
        </w:trPr>
        <w:tc>
          <w:tcPr>
            <w:tcW w:w="3163" w:type="dxa"/>
            <w:shd w:val="clear" w:color="auto" w:fill="BFBFBF"/>
          </w:tcPr>
          <w:p w14:paraId="3881F97A"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Información requerida.</w:t>
            </w:r>
          </w:p>
        </w:tc>
        <w:tc>
          <w:tcPr>
            <w:tcW w:w="2890" w:type="dxa"/>
            <w:tcBorders>
              <w:bottom w:val="single" w:sz="4" w:space="0" w:color="00FF00"/>
            </w:tcBorders>
            <w:shd w:val="clear" w:color="auto" w:fill="BFBFBF"/>
          </w:tcPr>
          <w:p w14:paraId="6D4CA265"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Respuesta</w:t>
            </w:r>
          </w:p>
        </w:tc>
        <w:tc>
          <w:tcPr>
            <w:tcW w:w="2890" w:type="dxa"/>
            <w:shd w:val="clear" w:color="auto" w:fill="BFBFBF"/>
          </w:tcPr>
          <w:p w14:paraId="2FFEFE2B"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Informe Justificado</w:t>
            </w:r>
          </w:p>
        </w:tc>
      </w:tr>
      <w:tr w:rsidR="00A5004A" w:rsidRPr="00A5004A" w14:paraId="6594B26B" w14:textId="77777777">
        <w:trPr>
          <w:trHeight w:val="2786"/>
        </w:trPr>
        <w:tc>
          <w:tcPr>
            <w:tcW w:w="3163" w:type="dxa"/>
            <w:tcBorders>
              <w:right w:val="single" w:sz="4" w:space="0" w:color="00FF00"/>
            </w:tcBorders>
          </w:tcPr>
          <w:p w14:paraId="404635D1" w14:textId="77777777" w:rsidR="00CB7F7F" w:rsidRPr="00A5004A" w:rsidRDefault="00C208D7">
            <w:pPr>
              <w:spacing w:before="240" w:after="240"/>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 xml:space="preserve">Recibos de nómina de esta dependencia de la última quincena dispersada. </w:t>
            </w:r>
          </w:p>
        </w:tc>
        <w:tc>
          <w:tcPr>
            <w:tcW w:w="2890" w:type="dxa"/>
            <w:tcBorders>
              <w:top w:val="single" w:sz="4" w:space="0" w:color="00FF00"/>
              <w:left w:val="single" w:sz="4" w:space="0" w:color="00FF00"/>
              <w:bottom w:val="single" w:sz="4" w:space="0" w:color="00FF00"/>
              <w:right w:val="single" w:sz="4" w:space="0" w:color="00FF00"/>
            </w:tcBorders>
          </w:tcPr>
          <w:p w14:paraId="608B6785" w14:textId="77777777" w:rsidR="00CB7F7F" w:rsidRPr="00A5004A" w:rsidRDefault="00C208D7">
            <w:pPr>
              <w:spacing w:before="240" w:after="240"/>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 xml:space="preserve">Entrega de 66 recibos de nómina, sin embargo, testa la denominación y monto de algunas percepciones, sellos, cadenas y folios digitales. </w:t>
            </w:r>
          </w:p>
        </w:tc>
        <w:tc>
          <w:tcPr>
            <w:tcW w:w="2890" w:type="dxa"/>
            <w:tcBorders>
              <w:left w:val="single" w:sz="4" w:space="0" w:color="00FF00"/>
            </w:tcBorders>
          </w:tcPr>
          <w:p w14:paraId="5F0F35ED" w14:textId="77777777" w:rsidR="00CB7F7F" w:rsidRPr="00A5004A" w:rsidRDefault="00C208D7">
            <w:pPr>
              <w:spacing w:after="0" w:line="240" w:lineRule="auto"/>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 xml:space="preserve">Entrega de 66 recibos de nómina entregados en respuesta en una correcta versión pública </w:t>
            </w:r>
            <w:proofErr w:type="spellStart"/>
            <w:r w:rsidRPr="00A5004A">
              <w:rPr>
                <w:rFonts w:ascii="Palatino Linotype" w:eastAsia="Palatino Linotype" w:hAnsi="Palatino Linotype" w:cs="Palatino Linotype"/>
                <w:sz w:val="18"/>
                <w:szCs w:val="18"/>
              </w:rPr>
              <w:t>sustentandola</w:t>
            </w:r>
            <w:proofErr w:type="spellEnd"/>
            <w:r w:rsidRPr="00A5004A">
              <w:rPr>
                <w:rFonts w:ascii="Palatino Linotype" w:eastAsia="Palatino Linotype" w:hAnsi="Palatino Linotype" w:cs="Palatino Linotype"/>
                <w:sz w:val="18"/>
                <w:szCs w:val="18"/>
              </w:rPr>
              <w:t xml:space="preserve"> con el Acta de la Octogésima Novena Sesión Extraordinaria.</w:t>
            </w:r>
          </w:p>
        </w:tc>
      </w:tr>
    </w:tbl>
    <w:p w14:paraId="148D8D3D"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157012E3"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De acuerdo a lo anterior, en la versión pública de los recibos de nómina enviados mediante informe justificado, se observa que es testado el RFC, CURP, la clave que asigna el ISSEMYM, deducciones de índole personal y la cadena original del complemento de certificación digital del SAT. </w:t>
      </w:r>
    </w:p>
    <w:p w14:paraId="07914B03"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6BF75C9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Por lo anterior, esta Ponencia considera oportuno mencionar que el </w:t>
      </w:r>
      <w:r w:rsidRPr="00A5004A">
        <w:rPr>
          <w:rFonts w:ascii="Palatino Linotype" w:eastAsia="Palatino Linotype" w:hAnsi="Palatino Linotype" w:cs="Palatino Linotype"/>
          <w:b/>
          <w:sz w:val="24"/>
          <w:szCs w:val="24"/>
        </w:rPr>
        <w:t>Registro Federal de Contribuyentes (RFC),</w:t>
      </w:r>
      <w:r w:rsidRPr="00A5004A">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A5004A">
        <w:rPr>
          <w:rFonts w:ascii="Palatino Linotype" w:eastAsia="Palatino Linotype" w:hAnsi="Palatino Linotype" w:cs="Palatino Linotype"/>
          <w:sz w:val="24"/>
          <w:szCs w:val="24"/>
        </w:rPr>
        <w:t>homoclave</w:t>
      </w:r>
      <w:proofErr w:type="spellEnd"/>
      <w:r w:rsidRPr="00A5004A">
        <w:rPr>
          <w:rFonts w:ascii="Palatino Linotype" w:eastAsia="Palatino Linotype" w:hAnsi="Palatino Linotype" w:cs="Palatino Linotype"/>
          <w:sz w:val="24"/>
          <w:szCs w:val="24"/>
        </w:rPr>
        <w:t xml:space="preserve">, por lo que para su obtención es </w:t>
      </w:r>
      <w:r w:rsidRPr="00A5004A">
        <w:rPr>
          <w:rFonts w:ascii="Palatino Linotype" w:eastAsia="Palatino Linotype" w:hAnsi="Palatino Linotype" w:cs="Palatino Linotype"/>
          <w:sz w:val="24"/>
          <w:szCs w:val="24"/>
        </w:rPr>
        <w:lastRenderedPageBreak/>
        <w:t>necesario acreditar ante la autoridad fiscal previamente la identidad de la persona, su fecha de nacimiento, entre otros aspectos.</w:t>
      </w:r>
    </w:p>
    <w:p w14:paraId="0BA74CDF"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C3CB5FE"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01EA6D8"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22F37095"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7032BBDF" w14:textId="77777777" w:rsidR="00CB7F7F" w:rsidRPr="00A5004A" w:rsidRDefault="00CB7F7F">
      <w:pPr>
        <w:spacing w:after="0" w:line="360" w:lineRule="auto"/>
        <w:ind w:left="851" w:right="900"/>
        <w:jc w:val="both"/>
        <w:rPr>
          <w:rFonts w:ascii="Palatino Linotype" w:eastAsia="Palatino Linotype" w:hAnsi="Palatino Linotype" w:cs="Palatino Linotype"/>
          <w:b/>
          <w:i/>
        </w:rPr>
      </w:pPr>
    </w:p>
    <w:p w14:paraId="655E5F9B" w14:textId="77777777" w:rsidR="00CB7F7F" w:rsidRPr="00A5004A" w:rsidRDefault="00C208D7">
      <w:pPr>
        <w:spacing w:after="0" w:line="276"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“Registro Federal de Contribuyentes (RFC) de personas físicas</w:t>
      </w:r>
      <w:r w:rsidRPr="00A5004A">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7086B86A" w14:textId="77777777" w:rsidR="00CB7F7F" w:rsidRPr="00A5004A" w:rsidRDefault="00CB7F7F">
      <w:pPr>
        <w:spacing w:after="0" w:line="360" w:lineRule="auto"/>
        <w:jc w:val="both"/>
        <w:rPr>
          <w:rFonts w:ascii="Palatino Linotype" w:eastAsia="Palatino Linotype" w:hAnsi="Palatino Linotype" w:cs="Palatino Linotype"/>
        </w:rPr>
      </w:pPr>
    </w:p>
    <w:p w14:paraId="7B5DA50D"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A5004A">
        <w:rPr>
          <w:rFonts w:ascii="Palatino Linotype" w:eastAsia="Palatino Linotype" w:hAnsi="Palatino Linotype" w:cs="Palatino Linotype"/>
          <w:sz w:val="24"/>
          <w:szCs w:val="24"/>
        </w:rPr>
        <w:t>homoclave</w:t>
      </w:r>
      <w:proofErr w:type="spellEnd"/>
      <w:r w:rsidRPr="00A5004A">
        <w:rPr>
          <w:rFonts w:ascii="Palatino Linotype" w:eastAsia="Palatino Linotype" w:hAnsi="Palatino Linotype" w:cs="Palatino Linotype"/>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A5004A">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14:paraId="5291EF50"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396B930"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De igual manera la </w:t>
      </w:r>
      <w:r w:rsidRPr="00A5004A">
        <w:rPr>
          <w:rFonts w:ascii="Palatino Linotype" w:eastAsia="Palatino Linotype" w:hAnsi="Palatino Linotype" w:cs="Palatino Linotype"/>
          <w:b/>
          <w:sz w:val="24"/>
          <w:szCs w:val="24"/>
        </w:rPr>
        <w:t>Clave Única de Registro de Población (CURP)</w:t>
      </w:r>
      <w:r w:rsidRPr="00A5004A">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84B3A36"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4904DFF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A5004A">
        <w:rPr>
          <w:rFonts w:ascii="Palatino Linotype" w:eastAsia="Palatino Linotype" w:hAnsi="Palatino Linotype" w:cs="Palatino Linotype"/>
          <w:b/>
          <w:sz w:val="24"/>
          <w:szCs w:val="24"/>
        </w:rPr>
        <w:t xml:space="preserve">, conforme al </w:t>
      </w:r>
      <w:r w:rsidRPr="00A5004A">
        <w:rPr>
          <w:rFonts w:ascii="Palatino Linotype" w:eastAsia="Palatino Linotype" w:hAnsi="Palatino Linotype" w:cs="Palatino Linotype"/>
          <w:sz w:val="24"/>
          <w:szCs w:val="24"/>
        </w:rPr>
        <w:t xml:space="preserve">criterio 18/17, el cual refiere: </w:t>
      </w:r>
    </w:p>
    <w:p w14:paraId="5B0FEE7A" w14:textId="77777777" w:rsidR="00CB7F7F" w:rsidRPr="00A5004A" w:rsidRDefault="00CB7F7F">
      <w:pPr>
        <w:spacing w:after="0" w:line="360" w:lineRule="auto"/>
        <w:ind w:left="851" w:right="851"/>
        <w:jc w:val="both"/>
        <w:rPr>
          <w:rFonts w:ascii="Palatino Linotype" w:eastAsia="Palatino Linotype" w:hAnsi="Palatino Linotype" w:cs="Palatino Linotype"/>
          <w:b/>
          <w:i/>
        </w:rPr>
      </w:pPr>
    </w:p>
    <w:p w14:paraId="0D3C9491" w14:textId="77777777" w:rsidR="00CB7F7F" w:rsidRPr="00A5004A" w:rsidRDefault="00C208D7">
      <w:pPr>
        <w:spacing w:after="0" w:line="276" w:lineRule="auto"/>
        <w:ind w:left="851" w:right="851"/>
        <w:jc w:val="both"/>
        <w:rPr>
          <w:rFonts w:ascii="Palatino Linotype" w:eastAsia="Palatino Linotype" w:hAnsi="Palatino Linotype" w:cs="Palatino Linotype"/>
          <w:i/>
        </w:rPr>
      </w:pPr>
      <w:r w:rsidRPr="00A5004A">
        <w:rPr>
          <w:rFonts w:ascii="Palatino Linotype" w:eastAsia="Palatino Linotype" w:hAnsi="Palatino Linotype" w:cs="Palatino Linotype"/>
          <w:b/>
          <w:i/>
        </w:rPr>
        <w:t xml:space="preserve">“Clave Única de Registro de Población (CURP). </w:t>
      </w:r>
      <w:r w:rsidRPr="00A5004A">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1C34C6" w14:textId="77777777" w:rsidR="00CB7F7F" w:rsidRPr="00A5004A" w:rsidRDefault="00CB7F7F">
      <w:pPr>
        <w:spacing w:after="0" w:line="360" w:lineRule="auto"/>
        <w:jc w:val="both"/>
        <w:rPr>
          <w:rFonts w:ascii="Palatino Linotype" w:eastAsia="Palatino Linotype" w:hAnsi="Palatino Linotype" w:cs="Palatino Linotype"/>
        </w:rPr>
      </w:pPr>
    </w:p>
    <w:p w14:paraId="1D216F5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Por cuanto hace a la </w:t>
      </w:r>
      <w:r w:rsidRPr="00A5004A">
        <w:rPr>
          <w:rFonts w:ascii="Palatino Linotype" w:eastAsia="Palatino Linotype" w:hAnsi="Palatino Linotype" w:cs="Palatino Linotype"/>
          <w:b/>
          <w:sz w:val="24"/>
          <w:szCs w:val="24"/>
        </w:rPr>
        <w:t xml:space="preserve">Clave de cualquier tipo de seguridad social (ISSEMyM, u otros), </w:t>
      </w:r>
      <w:r w:rsidRPr="00A5004A">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6B832A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037CA576" w14:textId="77777777" w:rsidR="00CB7F7F" w:rsidRPr="00A5004A" w:rsidRDefault="00C208D7">
      <w:pPr>
        <w:spacing w:after="0" w:line="360" w:lineRule="auto"/>
        <w:jc w:val="both"/>
        <w:rPr>
          <w:rFonts w:ascii="Palatino Linotype" w:eastAsia="Palatino Linotype" w:hAnsi="Palatino Linotype" w:cs="Palatino Linotype"/>
          <w:sz w:val="24"/>
          <w:szCs w:val="24"/>
          <w:u w:val="single"/>
        </w:rPr>
      </w:pPr>
      <w:r w:rsidRPr="00A5004A">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04A">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5FE46373"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7C82CD6"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56CE376" w14:textId="77777777" w:rsidR="00CB7F7F" w:rsidRPr="00A5004A" w:rsidRDefault="00CB7F7F">
      <w:pPr>
        <w:spacing w:after="0" w:line="360" w:lineRule="auto"/>
        <w:jc w:val="both"/>
        <w:rPr>
          <w:rFonts w:ascii="Palatino Linotype" w:eastAsia="Palatino Linotype" w:hAnsi="Palatino Linotype" w:cs="Palatino Linotype"/>
        </w:rPr>
      </w:pPr>
    </w:p>
    <w:p w14:paraId="2D5EF7EA"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F59A1E1"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Respecto de los </w:t>
      </w:r>
      <w:r w:rsidRPr="00A5004A">
        <w:rPr>
          <w:rFonts w:ascii="Palatino Linotype" w:eastAsia="Palatino Linotype" w:hAnsi="Palatino Linotype" w:cs="Palatino Linotype"/>
          <w:b/>
          <w:sz w:val="24"/>
          <w:szCs w:val="24"/>
        </w:rPr>
        <w:t>préstamos o descuentos</w:t>
      </w:r>
      <w:r w:rsidRPr="00A5004A">
        <w:rPr>
          <w:rFonts w:ascii="Palatino Linotype" w:eastAsia="Palatino Linotype" w:hAnsi="Palatino Linotype" w:cs="Palatino Linotype"/>
          <w:sz w:val="24"/>
          <w:szCs w:val="24"/>
        </w:rPr>
        <w:t xml:space="preserve"> </w:t>
      </w:r>
      <w:r w:rsidRPr="00A5004A">
        <w:rPr>
          <w:rFonts w:ascii="Palatino Linotype" w:eastAsia="Palatino Linotype" w:hAnsi="Palatino Linotype" w:cs="Palatino Linotype"/>
          <w:b/>
          <w:sz w:val="24"/>
          <w:szCs w:val="24"/>
        </w:rPr>
        <w:t>de carácter personal</w:t>
      </w:r>
      <w:r w:rsidRPr="00A5004A">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CA3EE5C" w14:textId="77777777" w:rsidR="00CB7F7F" w:rsidRPr="00A5004A" w:rsidRDefault="00C208D7">
      <w:pPr>
        <w:spacing w:after="0" w:line="360" w:lineRule="auto"/>
        <w:ind w:right="-9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br/>
      </w:r>
      <w:r w:rsidRPr="00A5004A">
        <w:rPr>
          <w:rFonts w:ascii="Palatino Linotype" w:eastAsia="Palatino Linotype" w:hAnsi="Palatino Linotype" w:cs="Palatino Linotype"/>
          <w:b/>
          <w:sz w:val="24"/>
          <w:szCs w:val="24"/>
        </w:rPr>
        <w:t xml:space="preserve">La cadena original del complemento de certificación digital del SAT </w:t>
      </w:r>
      <w:r w:rsidRPr="00A5004A">
        <w:rPr>
          <w:rFonts w:ascii="Palatino Linotype" w:eastAsia="Palatino Linotype" w:hAnsi="Palatino Linotype" w:cs="Palatino Linotype"/>
          <w:sz w:val="24"/>
          <w:szCs w:val="24"/>
        </w:rPr>
        <w:t xml:space="preserve">es una </w:t>
      </w:r>
      <w:r w:rsidRPr="00A5004A">
        <w:rPr>
          <w:rFonts w:ascii="Palatino Linotype" w:eastAsia="Palatino Linotype" w:hAnsi="Palatino Linotype" w:cs="Palatino Linotype"/>
          <w:sz w:val="24"/>
          <w:szCs w:val="24"/>
        </w:rPr>
        <w:lastRenderedPageBreak/>
        <w:t xml:space="preserve">información incluida en los documentos fiscales, constituyen un elemento adicional que permite a cualquier persona verificar la legitimidad del documento entregado en una solicitud de acceso a la información, sin embargo, en los recibos de nómina que entrega </w:t>
      </w: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xml:space="preserve"> contienen datos personales que son susceptibles de clasificación, ya que hacen identificable a su titular, ya que los datos personales que se observan son, la Clavé Única de Registro Poblacional, el Registro Federal de Contribuyentes, el número de seguridad social ISSEMYM y deducciones personales, bajo las consideraciones antes mencionadas. </w:t>
      </w:r>
    </w:p>
    <w:p w14:paraId="57FC0D0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7B8D661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Motivo por el que las versiones públicas de los recibos de nómina se encuentran debidamente fundadas de conformidad a la Ley de Transparencia y Acceso a la Información Pública del Estado de México y Municipios, en la que dispone lo siguiente:</w:t>
      </w:r>
    </w:p>
    <w:p w14:paraId="7A926D4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E780102" w14:textId="77777777" w:rsidR="00CB7F7F" w:rsidRPr="00A5004A" w:rsidRDefault="00C208D7">
      <w:pPr>
        <w:spacing w:after="240" w:line="36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Artículo 3. Para los efectos de la presente Ley se entenderá por:</w:t>
      </w:r>
    </w:p>
    <w:p w14:paraId="3CCB8211" w14:textId="77777777" w:rsidR="00CB7F7F" w:rsidRPr="00A5004A" w:rsidRDefault="00C208D7">
      <w:pPr>
        <w:spacing w:before="240" w:after="240" w:line="36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6649A5EF" w14:textId="77777777" w:rsidR="00CB7F7F" w:rsidRPr="00A5004A" w:rsidRDefault="00C208D7">
      <w:pPr>
        <w:spacing w:before="240" w:after="240" w:line="36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14:paraId="326FA0E9" w14:textId="77777777" w:rsidR="00CB7F7F" w:rsidRPr="00A5004A" w:rsidRDefault="00C208D7">
      <w:pPr>
        <w:spacing w:before="240" w:after="240" w:line="36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7F7CD160" w14:textId="77777777" w:rsidR="00CB7F7F" w:rsidRPr="00A5004A" w:rsidRDefault="00C208D7">
      <w:pPr>
        <w:spacing w:before="240" w:after="240" w:line="36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2793BB2" w14:textId="77777777" w:rsidR="00CB7F7F" w:rsidRPr="00A5004A" w:rsidRDefault="00C208D7">
      <w:pPr>
        <w:spacing w:before="240" w:after="0" w:line="360" w:lineRule="auto"/>
        <w:ind w:left="851" w:right="900"/>
        <w:jc w:val="both"/>
        <w:rPr>
          <w:rFonts w:ascii="Palatino Linotype" w:eastAsia="Palatino Linotype" w:hAnsi="Palatino Linotype" w:cs="Palatino Linotype"/>
          <w:i/>
          <w:sz w:val="24"/>
          <w:szCs w:val="24"/>
        </w:rPr>
      </w:pPr>
      <w:r w:rsidRPr="00A5004A">
        <w:rPr>
          <w:rFonts w:ascii="Palatino Linotype" w:eastAsia="Palatino Linotype" w:hAnsi="Palatino Linotype" w:cs="Palatino Linotype"/>
          <w:i/>
        </w:rPr>
        <w:t>Artículo 91. El acceso a la información pública será restringido excepcionalmente, cuando ésta sea clasificada como reservada o confidencial.</w:t>
      </w:r>
    </w:p>
    <w:p w14:paraId="2FF4043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3F518E43"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De igual forma resulta relevante mencionar que cuenta con las formalidades establecidas en los Lineamientos Generales en Materia de Clasificación y Desclasificación de la Información, así como para la Elaboración de Versiones Públicas:</w:t>
      </w:r>
    </w:p>
    <w:p w14:paraId="36CB7E9A" w14:textId="77777777" w:rsidR="00CB7F7F" w:rsidRPr="00A5004A" w:rsidRDefault="00CB7F7F">
      <w:pPr>
        <w:shd w:val="clear" w:color="auto" w:fill="FFFFFF"/>
        <w:spacing w:after="80" w:line="240" w:lineRule="auto"/>
        <w:ind w:left="851" w:right="900"/>
        <w:jc w:val="both"/>
        <w:rPr>
          <w:rFonts w:ascii="Palatino Linotype" w:eastAsia="Palatino Linotype" w:hAnsi="Palatino Linotype" w:cs="Palatino Linotype"/>
          <w:b/>
          <w:i/>
        </w:rPr>
      </w:pPr>
    </w:p>
    <w:p w14:paraId="37C4A0C1"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Quincuagésimo. </w:t>
      </w:r>
      <w:r w:rsidRPr="00A5004A">
        <w:rPr>
          <w:rFonts w:ascii="Palatino Linotype" w:eastAsia="Palatino Linotype" w:hAnsi="Palatino Linotype" w:cs="Palatino Linotype"/>
          <w:i/>
        </w:rPr>
        <w:t>Los titulares de las áreas de los sujetos obligados podrán utilizar los formatos contenidos en el presente Capítulo como modelo para señalar la clasificación de documentos o expedientes, sin perjuicio de que establezcan los propios.</w:t>
      </w:r>
    </w:p>
    <w:p w14:paraId="0D57D88B"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Quincuagésimo primero.</w:t>
      </w:r>
      <w:r w:rsidRPr="00A5004A">
        <w:rPr>
          <w:rFonts w:ascii="Palatino Linotype" w:eastAsia="Palatino Linotype" w:hAnsi="Palatino Linotype" w:cs="Palatino Linotype"/>
          <w:i/>
        </w:rPr>
        <w:t> La leyenda en los documentos clasificados indicará:</w:t>
      </w:r>
    </w:p>
    <w:p w14:paraId="7E1B0A75"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I.</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La fecha de sesión del Comité de Transparencia en donde se confirmó la clasificación, en su caso;</w:t>
      </w:r>
    </w:p>
    <w:p w14:paraId="6E6D3305"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II.</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El nombre del área;</w:t>
      </w:r>
    </w:p>
    <w:p w14:paraId="6E4B4538"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III.</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La palabra reservado o confidencial;</w:t>
      </w:r>
    </w:p>
    <w:p w14:paraId="58AB5FAA"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IV.</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Las partes o secciones reservadas o confidenciales, en su caso;</w:t>
      </w:r>
    </w:p>
    <w:p w14:paraId="4181F35F"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V.</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El fundamento legal;</w:t>
      </w:r>
    </w:p>
    <w:p w14:paraId="31624B98"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VI.</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El periodo de reserva, y</w:t>
      </w:r>
    </w:p>
    <w:p w14:paraId="22FAD605" w14:textId="77777777" w:rsidR="00CB7F7F" w:rsidRPr="00A5004A" w:rsidRDefault="00C208D7">
      <w:pPr>
        <w:shd w:val="clear" w:color="auto" w:fill="FFFFFF"/>
        <w:spacing w:after="80" w:line="240" w:lineRule="auto"/>
        <w:ind w:left="851" w:right="900"/>
        <w:jc w:val="both"/>
        <w:rPr>
          <w:rFonts w:ascii="Palatino Linotype" w:eastAsia="Palatino Linotype" w:hAnsi="Palatino Linotype" w:cs="Palatino Linotype"/>
          <w:i/>
        </w:rPr>
      </w:pPr>
      <w:r w:rsidRPr="00A5004A">
        <w:rPr>
          <w:rFonts w:ascii="Palatino Linotype" w:eastAsia="Palatino Linotype" w:hAnsi="Palatino Linotype" w:cs="Palatino Linotype"/>
          <w:b/>
          <w:i/>
        </w:rPr>
        <w:t>VII.</w:t>
      </w:r>
      <w:r w:rsidRPr="00A5004A">
        <w:rPr>
          <w:rFonts w:ascii="Palatino Linotype" w:eastAsia="Palatino Linotype" w:hAnsi="Palatino Linotype" w:cs="Palatino Linotype"/>
          <w:i/>
          <w:sz w:val="24"/>
          <w:szCs w:val="24"/>
        </w:rPr>
        <w:t>     </w:t>
      </w:r>
      <w:r w:rsidRPr="00A5004A">
        <w:rPr>
          <w:rFonts w:ascii="Palatino Linotype" w:eastAsia="Palatino Linotype" w:hAnsi="Palatino Linotype" w:cs="Palatino Linotype"/>
          <w:i/>
        </w:rPr>
        <w:t>La rúbrica del titular del área.</w:t>
      </w:r>
    </w:p>
    <w:p w14:paraId="0BF14274" w14:textId="77777777" w:rsidR="00CB7F7F" w:rsidRPr="00A5004A" w:rsidRDefault="00CB7F7F">
      <w:pPr>
        <w:shd w:val="clear" w:color="auto" w:fill="FFFFFF"/>
        <w:spacing w:after="80" w:line="240" w:lineRule="auto"/>
        <w:ind w:left="851" w:right="900"/>
        <w:jc w:val="both"/>
        <w:rPr>
          <w:rFonts w:ascii="Palatino Linotype" w:eastAsia="Palatino Linotype" w:hAnsi="Palatino Linotype" w:cs="Palatino Linotype"/>
          <w:i/>
        </w:rPr>
      </w:pPr>
    </w:p>
    <w:p w14:paraId="418F1E4D" w14:textId="77777777" w:rsidR="00CB7F7F" w:rsidRPr="00A5004A" w:rsidRDefault="00C208D7">
      <w:pPr>
        <w:spacing w:before="80"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Por lo anterior la versión pública de los recibos de nómina remitidos mediante informe justificado, está debidamente realizadas, razón por la que se considera que se encuentra colmado este punto de la solicitud de información.</w:t>
      </w:r>
    </w:p>
    <w:p w14:paraId="2A8A58B9" w14:textId="77777777" w:rsidR="00CB7F7F" w:rsidRPr="00A5004A" w:rsidRDefault="00CB7F7F">
      <w:pPr>
        <w:spacing w:after="0" w:line="360" w:lineRule="auto"/>
        <w:ind w:right="-234"/>
        <w:jc w:val="both"/>
      </w:pPr>
    </w:p>
    <w:p w14:paraId="187A8880" w14:textId="77777777" w:rsidR="00CB7F7F" w:rsidRPr="00A5004A" w:rsidRDefault="00C208D7">
      <w:pP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t>Documento de Seguridad del SUJETO OBLIGADO</w:t>
      </w:r>
    </w:p>
    <w:p w14:paraId="2FD3616E" w14:textId="77777777" w:rsidR="00CB7F7F" w:rsidRPr="00A5004A" w:rsidRDefault="00CB7F7F">
      <w:pPr>
        <w:spacing w:line="360" w:lineRule="auto"/>
        <w:jc w:val="both"/>
        <w:rPr>
          <w:rFonts w:ascii="Palatino Linotype" w:eastAsia="Palatino Linotype" w:hAnsi="Palatino Linotype" w:cs="Palatino Linotype"/>
          <w:sz w:val="28"/>
          <w:szCs w:val="28"/>
        </w:rPr>
      </w:pPr>
    </w:p>
    <w:tbl>
      <w:tblPr>
        <w:tblStyle w:val="a4"/>
        <w:tblW w:w="916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2"/>
        <w:gridCol w:w="2918"/>
        <w:gridCol w:w="3336"/>
      </w:tblGrid>
      <w:tr w:rsidR="00A5004A" w:rsidRPr="00A5004A" w14:paraId="757E9C4B" w14:textId="77777777">
        <w:trPr>
          <w:trHeight w:val="1070"/>
        </w:trPr>
        <w:tc>
          <w:tcPr>
            <w:tcW w:w="2912" w:type="dxa"/>
            <w:shd w:val="clear" w:color="auto" w:fill="BFBFBF"/>
          </w:tcPr>
          <w:p w14:paraId="5B4D8503"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Información requerida.</w:t>
            </w:r>
          </w:p>
        </w:tc>
        <w:tc>
          <w:tcPr>
            <w:tcW w:w="2918" w:type="dxa"/>
            <w:shd w:val="clear" w:color="auto" w:fill="BFBFBF"/>
          </w:tcPr>
          <w:p w14:paraId="47F4ABF1"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Respuesta</w:t>
            </w:r>
          </w:p>
        </w:tc>
        <w:tc>
          <w:tcPr>
            <w:tcW w:w="3336" w:type="dxa"/>
            <w:shd w:val="clear" w:color="auto" w:fill="BFBFBF"/>
          </w:tcPr>
          <w:p w14:paraId="10750CF4" w14:textId="77777777" w:rsidR="00CB7F7F" w:rsidRPr="00A5004A" w:rsidRDefault="00C208D7">
            <w:pPr>
              <w:spacing w:before="240" w:after="240"/>
              <w:ind w:firstLine="114"/>
              <w:jc w:val="center"/>
              <w:rPr>
                <w:rFonts w:ascii="Palatino Linotype" w:eastAsia="Palatino Linotype" w:hAnsi="Palatino Linotype" w:cs="Palatino Linotype"/>
                <w:b/>
                <w:i/>
                <w:sz w:val="18"/>
                <w:szCs w:val="18"/>
              </w:rPr>
            </w:pPr>
            <w:r w:rsidRPr="00A5004A">
              <w:rPr>
                <w:rFonts w:ascii="Palatino Linotype" w:eastAsia="Palatino Linotype" w:hAnsi="Palatino Linotype" w:cs="Palatino Linotype"/>
                <w:b/>
                <w:i/>
                <w:sz w:val="18"/>
                <w:szCs w:val="18"/>
              </w:rPr>
              <w:t>Informe Justificado</w:t>
            </w:r>
          </w:p>
        </w:tc>
      </w:tr>
      <w:tr w:rsidR="00A5004A" w:rsidRPr="00A5004A" w14:paraId="7E1C9B42" w14:textId="77777777">
        <w:trPr>
          <w:trHeight w:val="1612"/>
        </w:trPr>
        <w:tc>
          <w:tcPr>
            <w:tcW w:w="2912" w:type="dxa"/>
          </w:tcPr>
          <w:p w14:paraId="153ED72B" w14:textId="77777777" w:rsidR="00CB7F7F" w:rsidRPr="00A5004A" w:rsidRDefault="00C208D7">
            <w:pPr>
              <w:spacing w:before="240" w:after="240"/>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Documento de Seguridad del Instituto Hacendario del Estado de México.</w:t>
            </w:r>
          </w:p>
        </w:tc>
        <w:tc>
          <w:tcPr>
            <w:tcW w:w="2918" w:type="dxa"/>
          </w:tcPr>
          <w:p w14:paraId="26D15215" w14:textId="77777777" w:rsidR="00CB7F7F" w:rsidRPr="00A5004A" w:rsidRDefault="00C208D7">
            <w:pPr>
              <w:spacing w:before="240" w:after="240"/>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Oficio en el que la Titular de la Unidad de Transparencia solicita su clasificación como confidencial.</w:t>
            </w:r>
          </w:p>
        </w:tc>
        <w:tc>
          <w:tcPr>
            <w:tcW w:w="3336" w:type="dxa"/>
          </w:tcPr>
          <w:p w14:paraId="4746B1B7" w14:textId="77777777" w:rsidR="00CB7F7F" w:rsidRPr="00A5004A" w:rsidRDefault="00C208D7">
            <w:pPr>
              <w:spacing w:after="0" w:line="360" w:lineRule="auto"/>
              <w:jc w:val="both"/>
              <w:rPr>
                <w:rFonts w:ascii="Palatino Linotype" w:eastAsia="Palatino Linotype" w:hAnsi="Palatino Linotype" w:cs="Palatino Linotype"/>
                <w:sz w:val="18"/>
                <w:szCs w:val="18"/>
              </w:rPr>
            </w:pPr>
            <w:r w:rsidRPr="00A5004A">
              <w:rPr>
                <w:rFonts w:ascii="Palatino Linotype" w:eastAsia="Palatino Linotype" w:hAnsi="Palatino Linotype" w:cs="Palatino Linotype"/>
                <w:sz w:val="18"/>
                <w:szCs w:val="18"/>
              </w:rPr>
              <w:t>Versión Pública del documento de Seguridad del Instituto Hacendario del Estado de México, sustentado dicha versión pública en el Acta de la Octogésima Novena Sesión Extraordinaria del Comité de Transparencia del Instituto Hacendario del Estado de México.</w:t>
            </w:r>
          </w:p>
        </w:tc>
      </w:tr>
    </w:tbl>
    <w:p w14:paraId="2A7D34C1" w14:textId="77777777" w:rsidR="00CB7F7F" w:rsidRPr="00A5004A" w:rsidRDefault="00CB7F7F">
      <w:pPr>
        <w:spacing w:after="0" w:line="360" w:lineRule="auto"/>
        <w:ind w:right="-234"/>
        <w:jc w:val="both"/>
      </w:pPr>
    </w:p>
    <w:p w14:paraId="205D9AAB"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Como bien se advierte, en la respuesta inicial, </w:t>
      </w:r>
      <w:r w:rsidRPr="00A5004A">
        <w:rPr>
          <w:rFonts w:ascii="Palatino Linotype" w:eastAsia="Palatino Linotype" w:hAnsi="Palatino Linotype" w:cs="Palatino Linotype"/>
          <w:b/>
          <w:sz w:val="24"/>
          <w:szCs w:val="24"/>
        </w:rPr>
        <w:t>EL SUJETO OBLIGADO</w:t>
      </w:r>
      <w:r w:rsidRPr="00A5004A">
        <w:rPr>
          <w:rFonts w:ascii="Palatino Linotype" w:eastAsia="Palatino Linotype" w:hAnsi="Palatino Linotype" w:cs="Palatino Linotype"/>
          <w:sz w:val="24"/>
          <w:szCs w:val="24"/>
        </w:rPr>
        <w:t xml:space="preserve"> únicamente remite el oficio en el que se solicita la clasificación del documento de seguridad como confidencial, sin </w:t>
      </w:r>
      <w:proofErr w:type="gramStart"/>
      <w:r w:rsidRPr="00A5004A">
        <w:rPr>
          <w:rFonts w:ascii="Palatino Linotype" w:eastAsia="Palatino Linotype" w:hAnsi="Palatino Linotype" w:cs="Palatino Linotype"/>
          <w:sz w:val="24"/>
          <w:szCs w:val="24"/>
        </w:rPr>
        <w:t>embargo</w:t>
      </w:r>
      <w:proofErr w:type="gramEnd"/>
      <w:r w:rsidRPr="00A5004A">
        <w:rPr>
          <w:rFonts w:ascii="Palatino Linotype" w:eastAsia="Palatino Linotype" w:hAnsi="Palatino Linotype" w:cs="Palatino Linotype"/>
          <w:sz w:val="24"/>
          <w:szCs w:val="24"/>
        </w:rPr>
        <w:t xml:space="preserve"> mediante informe justificado remite dicho documento en versión pública, por lo que se adjunta la primera página a manera de ejemplo:</w:t>
      </w:r>
    </w:p>
    <w:p w14:paraId="420361B2" w14:textId="77777777" w:rsidR="00CB7F7F" w:rsidRPr="00A5004A" w:rsidRDefault="00C208D7">
      <w:pPr>
        <w:spacing w:after="0" w:line="360" w:lineRule="auto"/>
        <w:ind w:right="-234"/>
        <w:jc w:val="both"/>
      </w:pPr>
      <w:r w:rsidRPr="00A5004A">
        <w:rPr>
          <w:noProof/>
        </w:rPr>
        <w:lastRenderedPageBreak/>
        <w:drawing>
          <wp:inline distT="0" distB="0" distL="0" distR="0" wp14:anchorId="422C00CA" wp14:editId="2D273002">
            <wp:extent cx="5703700" cy="4438310"/>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2741" t="11768" r="26001" b="17320"/>
                    <a:stretch>
                      <a:fillRect/>
                    </a:stretch>
                  </pic:blipFill>
                  <pic:spPr>
                    <a:xfrm>
                      <a:off x="0" y="0"/>
                      <a:ext cx="5703700" cy="4438310"/>
                    </a:xfrm>
                    <a:prstGeom prst="rect">
                      <a:avLst/>
                    </a:prstGeom>
                    <a:ln/>
                  </pic:spPr>
                </pic:pic>
              </a:graphicData>
            </a:graphic>
          </wp:inline>
        </w:drawing>
      </w:r>
    </w:p>
    <w:p w14:paraId="16C7BFC2"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Al respecto conviene referir los siguientes artículos de la Ley de Protección de Datos Personales en Posesión de Sujetos Obligados del Estado De México y Municipios:</w:t>
      </w:r>
    </w:p>
    <w:p w14:paraId="08144401"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0C819BA1"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“Artículo 4. Para los efectos de esta Ley se entenderá por</w:t>
      </w:r>
    </w:p>
    <w:p w14:paraId="633C2AFB"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1649C191" w14:textId="77777777" w:rsidR="00CB7F7F" w:rsidRPr="00A5004A" w:rsidRDefault="00C208D7">
      <w:pPr>
        <w:ind w:left="851" w:right="899"/>
        <w:jc w:val="both"/>
        <w:rPr>
          <w:rFonts w:ascii="Palatino Linotype" w:eastAsia="Palatino Linotype" w:hAnsi="Palatino Linotype" w:cs="Palatino Linotype"/>
          <w:b/>
          <w:i/>
          <w:u w:val="single"/>
        </w:rPr>
      </w:pPr>
      <w:r w:rsidRPr="00A5004A">
        <w:rPr>
          <w:rFonts w:ascii="Palatino Linotype" w:eastAsia="Palatino Linotype" w:hAnsi="Palatino Linotype" w:cs="Palatino Linotype"/>
          <w:b/>
          <w:i/>
        </w:rPr>
        <w:t>XVIII. Documento de seguridad:</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u w:val="single"/>
        </w:rPr>
        <w:t xml:space="preserve">al instrumento que describe y da cuenta de manera general sobre las medidas de seguridad técnicas, físicas y administrativas adoptadas por el responsable para garantizar la </w:t>
      </w:r>
      <w:r w:rsidRPr="00A5004A">
        <w:rPr>
          <w:rFonts w:ascii="Palatino Linotype" w:eastAsia="Palatino Linotype" w:hAnsi="Palatino Linotype" w:cs="Palatino Linotype"/>
          <w:b/>
          <w:i/>
          <w:u w:val="single"/>
        </w:rPr>
        <w:lastRenderedPageBreak/>
        <w:t>confidencialidad, integridad y disponibilidad de la información contenida en los sistemas y bases de datos personales.</w:t>
      </w:r>
    </w:p>
    <w:p w14:paraId="26939E1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w:t>
      </w:r>
    </w:p>
    <w:p w14:paraId="0825682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Naturaleza de las medidas de seguridad y registro del nivel de seguridad </w:t>
      </w:r>
    </w:p>
    <w:p w14:paraId="1E183FD6"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43</w:t>
      </w:r>
      <w:r w:rsidRPr="00A5004A">
        <w:rPr>
          <w:rFonts w:ascii="Palatino Linotype" w:eastAsia="Palatino Linotype" w:hAnsi="Palatino Linotype" w:cs="Palatino Linotype"/>
          <w:i/>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2355AEAA"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Por la naturaleza de la información, las medidas de seguridad que se adopten serán consideradas confidenciales y únicamente se comunicará al Instituto, para su registro, el nivel de seguridad aplicable. </w:t>
      </w:r>
    </w:p>
    <w:p w14:paraId="291A72E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76B68B7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5410362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0CF9864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El responsable o el encargado, designarán a una o un administrador, quien tendrá bajo su responsabilidad directa la base y sistema de datos personales. </w:t>
      </w:r>
    </w:p>
    <w:p w14:paraId="5BA20A8B"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Tipos y Niveles de Seguridad </w:t>
      </w:r>
    </w:p>
    <w:p w14:paraId="727B56C7"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44</w:t>
      </w:r>
      <w:r w:rsidRPr="00A5004A">
        <w:rPr>
          <w:rFonts w:ascii="Palatino Linotype" w:eastAsia="Palatino Linotype" w:hAnsi="Palatino Linotype" w:cs="Palatino Linotype"/>
          <w:i/>
        </w:rPr>
        <w:t xml:space="preserve">. El responsable adoptará las medidas de seguridad, conforme a lo siguiente: </w:t>
      </w:r>
    </w:p>
    <w:p w14:paraId="00BCF9C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A. Tipos de seguridad: </w:t>
      </w:r>
    </w:p>
    <w:p w14:paraId="6CC7B0F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I. Física: a la medida orientada a la protección de instalaciones, equipos, soportes, sistemas o bases de datos para la prevención de riesgos por caso fortuito o causas de fuerza mayor. </w:t>
      </w:r>
    </w:p>
    <w:p w14:paraId="43DDEEB8"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341BE42F"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2D0DA2A9"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IV. De cifrado: a la implementación de algoritmos, claves, contraseñas, así como dispositivos concretos de protección que garanticen la seguridad de la información. </w:t>
      </w:r>
    </w:p>
    <w:p w14:paraId="7F260116"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7004A51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B. Niveles de seguridad: </w:t>
      </w:r>
    </w:p>
    <w:p w14:paraId="7D3D9BF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 Básico: a las medidas generales de seguridad cuya aplicación es obligatoria para todos los sistemas y bases de datos personales. Dichas medidas corresponden a los siguientes aspectos: </w:t>
      </w:r>
    </w:p>
    <w:p w14:paraId="3F948F38"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a) Documento de seguridad.</w:t>
      </w:r>
    </w:p>
    <w:p w14:paraId="41473E5F"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 b) Funciones y obligaciones del personal que intervenga en el tratamiento de las bases o sistemas de datos personales. </w:t>
      </w:r>
    </w:p>
    <w:p w14:paraId="653092F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c) Registro de incidencias. </w:t>
      </w:r>
    </w:p>
    <w:p w14:paraId="1383AA89"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d) Identificación y autenticación. </w:t>
      </w:r>
    </w:p>
    <w:p w14:paraId="3D320D3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e) Control de acceso. </w:t>
      </w:r>
    </w:p>
    <w:p w14:paraId="44317003"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f) Gestión de soportes. </w:t>
      </w:r>
    </w:p>
    <w:p w14:paraId="37A3010D"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g) Copias de respaldo y recuperación. </w:t>
      </w:r>
    </w:p>
    <w:p w14:paraId="036C2106"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663B99BA"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Este nivel de seguridad, de manera adicional a las medidas calificadas como básicas, considera los aspectos siguientes: </w:t>
      </w:r>
    </w:p>
    <w:p w14:paraId="17855767"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a) Responsable de seguridad. </w:t>
      </w:r>
    </w:p>
    <w:p w14:paraId="7176D44B"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b) Auditoría. </w:t>
      </w:r>
    </w:p>
    <w:p w14:paraId="76BB4531"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c) Control de acceso físico. </w:t>
      </w:r>
    </w:p>
    <w:p w14:paraId="095A641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d) Pruebas con datos reales. </w:t>
      </w:r>
    </w:p>
    <w:p w14:paraId="6BBD65A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5BF14EBF"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En estos casos, además de incorporar las medidas de nivel básico y medio, deberán completar las que se detallan a continuación: </w:t>
      </w:r>
    </w:p>
    <w:p w14:paraId="5366CD2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a) Distribución de soportes. </w:t>
      </w:r>
    </w:p>
    <w:p w14:paraId="29D8395D"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b) Registro de acceso. </w:t>
      </w:r>
    </w:p>
    <w:p w14:paraId="671D7E79"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c) Telecomunicaciones. </w:t>
      </w:r>
    </w:p>
    <w:p w14:paraId="7189D20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Los diferentes niveles de seguridad serán establecidos atendiendo a las características propias de la información. Elementos a considerar para la adopción de medidas de seguridad y su naturaleza </w:t>
      </w:r>
    </w:p>
    <w:p w14:paraId="4F4C44B8"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45</w:t>
      </w:r>
      <w:r w:rsidRPr="00A5004A">
        <w:rPr>
          <w:rFonts w:ascii="Palatino Linotype" w:eastAsia="Palatino Linotype" w:hAnsi="Palatino Linotype" w:cs="Palatino Linotype"/>
          <w:i/>
        </w:rPr>
        <w:t xml:space="preserve">. Las medidas de seguridad adoptadas por el responsable considerarán: I. El riesgo inherente a los datos personales tratados. </w:t>
      </w:r>
    </w:p>
    <w:p w14:paraId="3BF5146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La sensibilidad de los datos personales tratados. </w:t>
      </w:r>
    </w:p>
    <w:p w14:paraId="441C407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III. El desarrollo tecnológico. </w:t>
      </w:r>
    </w:p>
    <w:p w14:paraId="0AE19336"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IV. Las posibles consecuencias de una vulneración para las y los titulares. </w:t>
      </w:r>
    </w:p>
    <w:p w14:paraId="0AD935C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 Las transferencias de datos personales que se realicen. </w:t>
      </w:r>
    </w:p>
    <w:p w14:paraId="49F06E0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VI. El número de titulares. </w:t>
      </w:r>
    </w:p>
    <w:p w14:paraId="27BADE5D"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VII. Las violaciones a la seguridad previas ocurridas en los sistemas de tratamiento. </w:t>
      </w:r>
    </w:p>
    <w:p w14:paraId="46F15001"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3297156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46</w:t>
      </w:r>
      <w:r w:rsidRPr="00A5004A">
        <w:rPr>
          <w:rFonts w:ascii="Palatino Linotype" w:eastAsia="Palatino Linotype" w:hAnsi="Palatino Linotype" w:cs="Palatino Linotype"/>
          <w:i/>
        </w:rPr>
        <w:t xml:space="preserve">. Para establecer y mantener las medidas de seguridad para la protección de los datos personales, el responsable realizará, al menos, las actividades interrelacionadas siguientes: </w:t>
      </w:r>
    </w:p>
    <w:p w14:paraId="691BC3A3"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692D3428"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Definir las funciones y obligaciones del personal involucrado en el tratamiento de datos personales. </w:t>
      </w:r>
    </w:p>
    <w:p w14:paraId="0636CA9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III. Elaborar un inventario de datos personales y de las bases y o sistemas de tratamiento. </w:t>
      </w:r>
    </w:p>
    <w:p w14:paraId="7F07819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5E042DB0"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 Realizar un análisis de brecha, comparando las medidas de seguridad existentes contra las faltantes en la organización del responsable. </w:t>
      </w:r>
    </w:p>
    <w:p w14:paraId="6159A80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VI. Elaborar un plan de trabajo para la implementación de las medidas de seguridad faltantes, así como las medidas para el cumplimiento cotidiano de las políticas de gestión y tratamiento de los datos personales. </w:t>
      </w:r>
    </w:p>
    <w:p w14:paraId="4791093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VII. Monitorear y revisar de manera periódica las medidas de seguridad implementadas, así como las amenazas y vulnerabilidades a las que están sujetos los datos personales. </w:t>
      </w:r>
    </w:p>
    <w:p w14:paraId="221C2F1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VIII. Diseñar y aplicar diferentes niveles de capacitación del personal bajo su mando, dependiendo de sus roles y responsabilidades respecto del tratamiento de los datos personales. </w:t>
      </w:r>
    </w:p>
    <w:p w14:paraId="2E468B13"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Exigibilidad de Documentos y Registros derivados de un Sistema de Gestión de la Protección de Datos.</w:t>
      </w:r>
    </w:p>
    <w:p w14:paraId="635220F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47.</w:t>
      </w:r>
      <w:r w:rsidRPr="00A5004A">
        <w:rPr>
          <w:rFonts w:ascii="Palatino Linotype" w:eastAsia="Palatino Linotype" w:hAnsi="Palatino Linotype" w:cs="Palatino Linotype"/>
          <w:i/>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60C734AA"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Obligatoriedad del Documento de Seguridad </w:t>
      </w:r>
    </w:p>
    <w:p w14:paraId="553C398B"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Artículo 48. Los sujetos obligados elaborarán y aprobarán un documento que contenga las medidas de seguridad aplicables a las bases y sistemas de datos personales, tomando en cuenta los estándares internacionales de seguridad, la presente </w:t>
      </w:r>
      <w:proofErr w:type="gramStart"/>
      <w:r w:rsidRPr="00A5004A">
        <w:rPr>
          <w:rFonts w:ascii="Palatino Linotype" w:eastAsia="Palatino Linotype" w:hAnsi="Palatino Linotype" w:cs="Palatino Linotype"/>
          <w:b/>
          <w:i/>
        </w:rPr>
        <w:t>Ley</w:t>
      </w:r>
      <w:proofErr w:type="gramEnd"/>
      <w:r w:rsidRPr="00A5004A">
        <w:rPr>
          <w:rFonts w:ascii="Palatino Linotype" w:eastAsia="Palatino Linotype" w:hAnsi="Palatino Linotype" w:cs="Palatino Linotype"/>
          <w:b/>
          <w:i/>
        </w:rPr>
        <w:t xml:space="preserve"> así como los lineamientos que se expidan. </w:t>
      </w:r>
      <w:r w:rsidRPr="00A5004A">
        <w:rPr>
          <w:rFonts w:ascii="Palatino Linotype" w:eastAsia="Palatino Linotype" w:hAnsi="Palatino Linotype" w:cs="Palatino Linotype"/>
          <w:b/>
          <w:i/>
        </w:rPr>
        <w:lastRenderedPageBreak/>
        <w:t xml:space="preserve">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027876E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Contenido del Documento de Seguridad</w:t>
      </w:r>
      <w:r w:rsidRPr="00A5004A">
        <w:rPr>
          <w:rFonts w:ascii="Palatino Linotype" w:eastAsia="Palatino Linotype" w:hAnsi="Palatino Linotype" w:cs="Palatino Linotype"/>
          <w:i/>
        </w:rPr>
        <w:t xml:space="preserve"> </w:t>
      </w:r>
    </w:p>
    <w:p w14:paraId="6275EA28"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Artículo 49. El documento de seguridad deberá contener como mínimo lo siguiente:</w:t>
      </w:r>
      <w:r w:rsidRPr="00A5004A">
        <w:rPr>
          <w:rFonts w:ascii="Palatino Linotype" w:eastAsia="Palatino Linotype" w:hAnsi="Palatino Linotype" w:cs="Palatino Linotype"/>
          <w:i/>
        </w:rPr>
        <w:t xml:space="preserve"> </w:t>
      </w:r>
    </w:p>
    <w:p w14:paraId="60A4FEDC"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 Respecto de los sistemas de datos personales: </w:t>
      </w:r>
    </w:p>
    <w:p w14:paraId="34D2383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a) El nombre.</w:t>
      </w:r>
    </w:p>
    <w:p w14:paraId="7FC30D83"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 b) El nombre, cargo y adscripción del administrador de cada sistema y base de datos.</w:t>
      </w:r>
    </w:p>
    <w:p w14:paraId="78EA46A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 c) Las funciones y obligaciones del responsable, encargado o encargados y todas las personas que traten datos personales. </w:t>
      </w:r>
    </w:p>
    <w:p w14:paraId="4EA4B25B"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d) El folio del registro del sistema y base de datos. </w:t>
      </w:r>
    </w:p>
    <w:p w14:paraId="1F5B307E"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e) El inventario o la especificación detallada del tipo de datos personales contenidos</w:t>
      </w:r>
      <w:r w:rsidRPr="00A5004A">
        <w:rPr>
          <w:rFonts w:ascii="Palatino Linotype" w:eastAsia="Palatino Linotype" w:hAnsi="Palatino Linotype" w:cs="Palatino Linotype"/>
          <w:i/>
        </w:rPr>
        <w:t>.</w:t>
      </w:r>
    </w:p>
    <w:p w14:paraId="086006AD"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f) La estructura y descripción de los sistemas y bases de datos personales, lo cual consiste en precisar y describir el tipo de soporte, así como las características del lugar donde se resguardan</w:t>
      </w:r>
      <w:r w:rsidRPr="00A5004A">
        <w:rPr>
          <w:rFonts w:ascii="Palatino Linotype" w:eastAsia="Palatino Linotype" w:hAnsi="Palatino Linotype" w:cs="Palatino Linotype"/>
          <w:i/>
        </w:rPr>
        <w:t xml:space="preserve">. </w:t>
      </w:r>
    </w:p>
    <w:p w14:paraId="66ECD776"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Respecto de las medidas de seguridad implementadas deberá incluir lo siguiente: </w:t>
      </w:r>
    </w:p>
    <w:p w14:paraId="2712C80C"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i/>
        </w:rPr>
        <w:t xml:space="preserve">a) </w:t>
      </w:r>
      <w:r w:rsidRPr="00A5004A">
        <w:rPr>
          <w:rFonts w:ascii="Palatino Linotype" w:eastAsia="Palatino Linotype" w:hAnsi="Palatino Linotype" w:cs="Palatino Linotype"/>
          <w:b/>
          <w:i/>
        </w:rPr>
        <w:t xml:space="preserve">Transferencia y remisiones. </w:t>
      </w:r>
    </w:p>
    <w:p w14:paraId="169149B5"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b) Resguardo de soportes físicos y electrónicos. </w:t>
      </w:r>
    </w:p>
    <w:p w14:paraId="5EC553F5"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lastRenderedPageBreak/>
        <w:t xml:space="preserve">c) Bitácoras para accesos, operación cotidiana y violaciones a la seguridad de los datos personales. </w:t>
      </w:r>
    </w:p>
    <w:p w14:paraId="5332C87A"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d) El análisis de riesgos. </w:t>
      </w:r>
    </w:p>
    <w:p w14:paraId="5E41CE6E"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e) El análisis de brecha. </w:t>
      </w:r>
    </w:p>
    <w:p w14:paraId="1D993132"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f) Gestión de incidentes.</w:t>
      </w:r>
    </w:p>
    <w:p w14:paraId="19011FD6"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 g) Acceso a las instalaciones.</w:t>
      </w:r>
    </w:p>
    <w:p w14:paraId="5B2F11F5"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h) Identificación y autenticación. </w:t>
      </w:r>
    </w:p>
    <w:p w14:paraId="37D0CD34"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i) Procedimientos de respaldo y recuperación de datos</w:t>
      </w:r>
      <w:r w:rsidRPr="00A5004A">
        <w:rPr>
          <w:rFonts w:ascii="Palatino Linotype" w:eastAsia="Palatino Linotype" w:hAnsi="Palatino Linotype" w:cs="Palatino Linotype"/>
          <w:i/>
        </w:rPr>
        <w:t xml:space="preserve">. </w:t>
      </w:r>
    </w:p>
    <w:p w14:paraId="605D1EA1"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j) Plan de contingencia. </w:t>
      </w:r>
    </w:p>
    <w:p w14:paraId="6F6CDF0D"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k) Auditorías. </w:t>
      </w:r>
    </w:p>
    <w:p w14:paraId="3EB5EA63" w14:textId="77777777" w:rsidR="00CB7F7F" w:rsidRPr="00A5004A" w:rsidRDefault="00C208D7">
      <w:pPr>
        <w:ind w:left="851" w:right="899"/>
        <w:jc w:val="both"/>
        <w:rPr>
          <w:rFonts w:ascii="Palatino Linotype" w:eastAsia="Palatino Linotype" w:hAnsi="Palatino Linotype" w:cs="Palatino Linotype"/>
          <w:b/>
          <w:i/>
        </w:rPr>
      </w:pPr>
      <w:r w:rsidRPr="00A5004A">
        <w:rPr>
          <w:rFonts w:ascii="Palatino Linotype" w:eastAsia="Palatino Linotype" w:hAnsi="Palatino Linotype" w:cs="Palatino Linotype"/>
          <w:b/>
          <w:i/>
        </w:rPr>
        <w:t xml:space="preserve">l) Supresión y borrado seguro de datos. </w:t>
      </w:r>
    </w:p>
    <w:p w14:paraId="63EDAAC2"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m) El plan de trabajo</w:t>
      </w:r>
      <w:r w:rsidRPr="00A5004A">
        <w:rPr>
          <w:rFonts w:ascii="Palatino Linotype" w:eastAsia="Palatino Linotype" w:hAnsi="Palatino Linotype" w:cs="Palatino Linotype"/>
          <w:i/>
        </w:rPr>
        <w:t xml:space="preserve">. </w:t>
      </w:r>
    </w:p>
    <w:p w14:paraId="2FBCC9AA"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b/>
          <w:i/>
        </w:rPr>
        <w:t>n) Los mecanismos de monitoreo y revisión de las medidas de seguridad</w:t>
      </w:r>
      <w:r w:rsidRPr="00A5004A">
        <w:rPr>
          <w:rFonts w:ascii="Palatino Linotype" w:eastAsia="Palatino Linotype" w:hAnsi="Palatino Linotype" w:cs="Palatino Linotype"/>
          <w:i/>
        </w:rPr>
        <w:t>. o) El programa general de capacitación. Revisión y actualización del documento de seguridad.</w:t>
      </w:r>
    </w:p>
    <w:p w14:paraId="78915BE4"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 Artículo 50. El responsable revisará el documento de seguridad de manera periódica y actualizarlo cuando ocurran los eventos siguientes: </w:t>
      </w:r>
    </w:p>
    <w:p w14:paraId="7B7F318F"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 Se produzcan modificaciones sustanciales al tratamiento de datos personales que deriven en un cambio en el nivel de riesgo. </w:t>
      </w:r>
    </w:p>
    <w:p w14:paraId="599D4557"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II. Como resultado de un proceso de mejora continua, derivado del monitoreo y revisión del sistema de gestión. </w:t>
      </w:r>
    </w:p>
    <w:p w14:paraId="017A0755"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III. Como resultado de un proceso de mejora para mitigar el impacto de una vulneración a la seguridad ocurrida.</w:t>
      </w:r>
    </w:p>
    <w:p w14:paraId="4177EA7F" w14:textId="77777777" w:rsidR="00CB7F7F" w:rsidRPr="00A5004A" w:rsidRDefault="00C208D7">
      <w:pPr>
        <w:ind w:left="851" w:right="899"/>
        <w:jc w:val="both"/>
        <w:rPr>
          <w:rFonts w:ascii="Palatino Linotype" w:eastAsia="Palatino Linotype" w:hAnsi="Palatino Linotype" w:cs="Palatino Linotype"/>
          <w:i/>
        </w:rPr>
      </w:pPr>
      <w:r w:rsidRPr="00A5004A">
        <w:rPr>
          <w:rFonts w:ascii="Palatino Linotype" w:eastAsia="Palatino Linotype" w:hAnsi="Palatino Linotype" w:cs="Palatino Linotype"/>
          <w:i/>
        </w:rPr>
        <w:t xml:space="preserve"> IV. Implementación de acciones correctivas y preventivas ante una violación de la seguridad de los datos personales</w:t>
      </w:r>
      <w:proofErr w:type="gramStart"/>
      <w:r w:rsidRPr="00A5004A">
        <w:rPr>
          <w:rFonts w:ascii="Palatino Linotype" w:eastAsia="Palatino Linotype" w:hAnsi="Palatino Linotype" w:cs="Palatino Linotype"/>
          <w:i/>
        </w:rPr>
        <w:t>.”(</w:t>
      </w:r>
      <w:proofErr w:type="gramEnd"/>
      <w:r w:rsidRPr="00A5004A">
        <w:rPr>
          <w:rFonts w:ascii="Palatino Linotype" w:eastAsia="Palatino Linotype" w:hAnsi="Palatino Linotype" w:cs="Palatino Linotype"/>
          <w:i/>
        </w:rPr>
        <w:t>Sic)</w:t>
      </w:r>
    </w:p>
    <w:p w14:paraId="306BE0D5" w14:textId="77777777" w:rsidR="00CB7F7F" w:rsidRPr="00A5004A" w:rsidRDefault="00C208D7">
      <w:pPr>
        <w:tabs>
          <w:tab w:val="left" w:pos="709"/>
        </w:tabs>
        <w:spacing w:before="160"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14:paraId="359D1064" w14:textId="77777777" w:rsidR="00CB7F7F" w:rsidRPr="00A5004A" w:rsidRDefault="00CB7F7F">
      <w:pPr>
        <w:tabs>
          <w:tab w:val="left" w:pos="709"/>
        </w:tabs>
        <w:spacing w:after="0" w:line="360" w:lineRule="auto"/>
        <w:jc w:val="both"/>
        <w:rPr>
          <w:rFonts w:ascii="Palatino Linotype" w:eastAsia="Palatino Linotype" w:hAnsi="Palatino Linotype" w:cs="Palatino Linotype"/>
          <w:sz w:val="24"/>
          <w:szCs w:val="24"/>
        </w:rPr>
      </w:pPr>
    </w:p>
    <w:p w14:paraId="658A8AF7"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w:t>
      </w:r>
    </w:p>
    <w:p w14:paraId="0F02203E"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5F9B9D53" w14:textId="77777777" w:rsidR="00CB7F7F" w:rsidRPr="00A5004A" w:rsidRDefault="00C208D7">
      <w:pPr>
        <w:spacing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Es pertinente reiterar que el documento de seguridad, contendrá las medidas de seguridad aplicables a las bases y sistemas de datos personales, en ese contexto, resulta aplicable lo dispuesto por el artículo 43 de la Ley de Protección de Datos Personales, el cual dispone lo siguiente: </w:t>
      </w:r>
    </w:p>
    <w:p w14:paraId="6FEF58D5" w14:textId="77777777" w:rsidR="00CB7F7F" w:rsidRPr="00A5004A" w:rsidRDefault="00CB7F7F">
      <w:pPr>
        <w:jc w:val="both"/>
        <w:rPr>
          <w:rFonts w:ascii="Palatino Linotype" w:eastAsia="Palatino Linotype" w:hAnsi="Palatino Linotype" w:cs="Palatino Linotype"/>
        </w:rPr>
      </w:pPr>
    </w:p>
    <w:p w14:paraId="4C2FE1DC" w14:textId="77777777" w:rsidR="00CB7F7F" w:rsidRPr="00A5004A" w:rsidRDefault="00C208D7">
      <w:pPr>
        <w:ind w:left="851" w:right="901"/>
        <w:jc w:val="both"/>
        <w:rPr>
          <w:rFonts w:ascii="Palatino Linotype" w:eastAsia="Palatino Linotype" w:hAnsi="Palatino Linotype" w:cs="Palatino Linotype"/>
          <w:b/>
          <w:i/>
        </w:rPr>
      </w:pPr>
      <w:r w:rsidRPr="00A5004A">
        <w:rPr>
          <w:rFonts w:ascii="Palatino Linotype" w:eastAsia="Palatino Linotype" w:hAnsi="Palatino Linotype" w:cs="Palatino Linotype"/>
          <w:i/>
        </w:rPr>
        <w:t>“</w:t>
      </w:r>
      <w:r w:rsidRPr="00A5004A">
        <w:rPr>
          <w:rFonts w:ascii="Palatino Linotype" w:eastAsia="Palatino Linotype" w:hAnsi="Palatino Linotype" w:cs="Palatino Linotype"/>
          <w:b/>
          <w:i/>
        </w:rPr>
        <w:t xml:space="preserve">Artículo 43. </w:t>
      </w:r>
      <w:r w:rsidRPr="00A5004A">
        <w:rPr>
          <w:rFonts w:ascii="Palatino Linotype" w:eastAsia="Palatino Linotype" w:hAnsi="Palatino Linotype" w:cs="Palatino Linotype"/>
          <w:i/>
        </w:rPr>
        <w:t>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w:t>
      </w:r>
      <w:r w:rsidRPr="00A5004A">
        <w:rPr>
          <w:rFonts w:ascii="Palatino Linotype" w:eastAsia="Palatino Linotype" w:hAnsi="Palatino Linotype" w:cs="Palatino Linotype"/>
          <w:b/>
          <w:i/>
        </w:rPr>
        <w:t xml:space="preserve"> las medidas de seguridad que se adopten </w:t>
      </w:r>
      <w:r w:rsidRPr="00A5004A">
        <w:rPr>
          <w:rFonts w:ascii="Palatino Linotype" w:eastAsia="Palatino Linotype" w:hAnsi="Palatino Linotype" w:cs="Palatino Linotype"/>
          <w:b/>
          <w:i/>
          <w:u w:val="single"/>
        </w:rPr>
        <w:t xml:space="preserve">serán consideradas </w:t>
      </w:r>
      <w:r w:rsidRPr="00A5004A">
        <w:rPr>
          <w:rFonts w:ascii="Palatino Linotype" w:eastAsia="Palatino Linotype" w:hAnsi="Palatino Linotype" w:cs="Palatino Linotype"/>
          <w:b/>
          <w:i/>
          <w:u w:val="single"/>
        </w:rPr>
        <w:lastRenderedPageBreak/>
        <w:t>confidenciales</w:t>
      </w:r>
      <w:r w:rsidRPr="00A5004A">
        <w:rPr>
          <w:rFonts w:ascii="Palatino Linotype" w:eastAsia="Palatino Linotype" w:hAnsi="Palatino Linotype" w:cs="Palatino Linotype"/>
          <w:b/>
          <w:i/>
        </w:rPr>
        <w:t xml:space="preserve"> </w:t>
      </w:r>
      <w:r w:rsidRPr="00A5004A">
        <w:rPr>
          <w:rFonts w:ascii="Palatino Linotype" w:eastAsia="Palatino Linotype" w:hAnsi="Palatino Linotype" w:cs="Palatino Linotype"/>
          <w:i/>
        </w:rPr>
        <w:t>y únicamente se comunicará al Instituto, para su registro, el nivel de seguridad aplicable</w:t>
      </w:r>
      <w:r w:rsidRPr="00A5004A">
        <w:rPr>
          <w:rFonts w:ascii="Palatino Linotype" w:eastAsia="Palatino Linotype" w:hAnsi="Palatino Linotype" w:cs="Palatino Linotype"/>
          <w:b/>
          <w:i/>
        </w:rPr>
        <w:t>.” (Sic)</w:t>
      </w:r>
    </w:p>
    <w:p w14:paraId="63F87FC6" w14:textId="77777777" w:rsidR="00CB7F7F" w:rsidRPr="00A5004A" w:rsidRDefault="00C208D7">
      <w:pPr>
        <w:spacing w:before="240" w:after="24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Con base en lo anterior, se actualiza el supuesto de restricción de acceso a la información pública que contempla el artículo 91 de la Ley de Transparencia y Acceso a la Información Pública del Estado de México y Municipios</w:t>
      </w:r>
      <w:r w:rsidRPr="00A5004A">
        <w:rPr>
          <w:rFonts w:ascii="Palatino Linotype" w:eastAsia="Palatino Linotype" w:hAnsi="Palatino Linotype" w:cs="Palatino Linotype"/>
          <w:sz w:val="24"/>
          <w:szCs w:val="24"/>
          <w:vertAlign w:val="superscript"/>
        </w:rPr>
        <w:footnoteReference w:id="2"/>
      </w:r>
      <w:r w:rsidRPr="00A5004A">
        <w:rPr>
          <w:rFonts w:ascii="Palatino Linotype" w:eastAsia="Palatino Linotype" w:hAnsi="Palatino Linotype" w:cs="Palatino Linotype"/>
          <w:sz w:val="24"/>
          <w:szCs w:val="24"/>
        </w:rPr>
        <w:t xml:space="preserve">, aunado a lo que señala el artículo 143, penúltimo párrafo de la misma Ley, que a la letra dice: </w:t>
      </w:r>
    </w:p>
    <w:p w14:paraId="4F4ABA60" w14:textId="77777777" w:rsidR="00CB7F7F" w:rsidRPr="00A5004A" w:rsidRDefault="00C208D7">
      <w:pPr>
        <w:tabs>
          <w:tab w:val="left" w:pos="851"/>
        </w:tabs>
        <w:spacing w:before="120"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r w:rsidRPr="00A5004A">
        <w:rPr>
          <w:rFonts w:ascii="Palatino Linotype" w:eastAsia="Palatino Linotype" w:hAnsi="Palatino Linotype" w:cs="Palatino Linotype"/>
          <w:b/>
          <w:i/>
        </w:rPr>
        <w:t>Artículo 143.</w:t>
      </w:r>
      <w:r w:rsidRPr="00A5004A">
        <w:rPr>
          <w:rFonts w:ascii="Palatino Linotype" w:eastAsia="Palatino Linotype" w:hAnsi="Palatino Linotype" w:cs="Palatino Linotype"/>
          <w:i/>
        </w:rPr>
        <w:t xml:space="preserve"> …</w:t>
      </w:r>
    </w:p>
    <w:p w14:paraId="00DCE0DA" w14:textId="77777777" w:rsidR="00CB7F7F" w:rsidRPr="00A5004A" w:rsidRDefault="00C208D7">
      <w:pPr>
        <w:tabs>
          <w:tab w:val="left" w:pos="851"/>
        </w:tabs>
        <w:spacing w:before="120"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34AAB4DB" w14:textId="77777777" w:rsidR="00CB7F7F" w:rsidRPr="00A5004A" w:rsidRDefault="00C208D7">
      <w:pPr>
        <w:tabs>
          <w:tab w:val="left" w:pos="851"/>
        </w:tabs>
        <w:spacing w:before="120"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roofErr w:type="gramStart"/>
      <w:r w:rsidRPr="00A5004A">
        <w:rPr>
          <w:rFonts w:ascii="Palatino Linotype" w:eastAsia="Palatino Linotype" w:hAnsi="Palatino Linotype" w:cs="Palatino Linotype"/>
          <w:i/>
        </w:rPr>
        <w:t>.”(</w:t>
      </w:r>
      <w:proofErr w:type="gramEnd"/>
      <w:r w:rsidRPr="00A5004A">
        <w:rPr>
          <w:rFonts w:ascii="Palatino Linotype" w:eastAsia="Palatino Linotype" w:hAnsi="Palatino Linotype" w:cs="Palatino Linotype"/>
          <w:i/>
        </w:rPr>
        <w:t>Sic)</w:t>
      </w:r>
    </w:p>
    <w:p w14:paraId="13E90F1A" w14:textId="77777777" w:rsidR="00CB7F7F" w:rsidRPr="00A5004A" w:rsidRDefault="00C208D7">
      <w:pPr>
        <w:spacing w:before="240" w:after="24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En concordancia con expuesto, el numeral Trigésimo Octavo, párrafo segundo de los “Lineamientos Generales en materia de Clasificación y Desclasificación de la información, así como para la elaboración de Versiones Públicas”</w:t>
      </w:r>
      <w:r w:rsidRPr="00A5004A">
        <w:rPr>
          <w:rFonts w:ascii="Palatino Linotype" w:eastAsia="Palatino Linotype" w:hAnsi="Palatino Linotype" w:cs="Palatino Linotype"/>
          <w:sz w:val="24"/>
          <w:szCs w:val="24"/>
          <w:vertAlign w:val="superscript"/>
        </w:rPr>
        <w:footnoteReference w:id="3"/>
      </w:r>
      <w:r w:rsidRPr="00A5004A">
        <w:rPr>
          <w:rFonts w:ascii="Palatino Linotype" w:eastAsia="Palatino Linotype" w:hAnsi="Palatino Linotype" w:cs="Palatino Linotype"/>
          <w:sz w:val="24"/>
          <w:szCs w:val="24"/>
        </w:rPr>
        <w:t xml:space="preserve">, señala lo siguiente: </w:t>
      </w:r>
    </w:p>
    <w:p w14:paraId="6EF519BE" w14:textId="77777777" w:rsidR="00CB7F7F" w:rsidRPr="00A5004A" w:rsidRDefault="00C208D7">
      <w:pPr>
        <w:tabs>
          <w:tab w:val="left" w:pos="851"/>
        </w:tabs>
        <w:spacing w:before="120"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r w:rsidRPr="00A5004A">
        <w:rPr>
          <w:rFonts w:ascii="Palatino Linotype" w:eastAsia="Palatino Linotype" w:hAnsi="Palatino Linotype" w:cs="Palatino Linotype"/>
          <w:b/>
          <w:i/>
        </w:rPr>
        <w:t>Trigésimo octavo.</w:t>
      </w:r>
      <w:r w:rsidRPr="00A5004A">
        <w:rPr>
          <w:rFonts w:ascii="Palatino Linotype" w:eastAsia="Palatino Linotype" w:hAnsi="Palatino Linotype" w:cs="Palatino Linotype"/>
          <w:i/>
        </w:rPr>
        <w:t xml:space="preserve"> …</w:t>
      </w:r>
    </w:p>
    <w:p w14:paraId="4BE9868C" w14:textId="77777777" w:rsidR="00CB7F7F" w:rsidRPr="00A5004A" w:rsidRDefault="00C208D7">
      <w:pPr>
        <w:tabs>
          <w:tab w:val="left" w:pos="851"/>
        </w:tabs>
        <w:spacing w:before="120"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 (Sic)</w:t>
      </w:r>
    </w:p>
    <w:p w14:paraId="58DB761C" w14:textId="77777777" w:rsidR="00CB7F7F" w:rsidRPr="00A5004A" w:rsidRDefault="00CB7F7F">
      <w:pPr>
        <w:spacing w:after="0" w:line="360" w:lineRule="auto"/>
        <w:jc w:val="both"/>
        <w:rPr>
          <w:rFonts w:ascii="Palatino Linotype" w:eastAsia="Palatino Linotype" w:hAnsi="Palatino Linotype" w:cs="Palatino Linotype"/>
          <w:sz w:val="24"/>
          <w:szCs w:val="24"/>
        </w:rPr>
      </w:pPr>
    </w:p>
    <w:p w14:paraId="764EF46C" w14:textId="77777777" w:rsidR="00CB7F7F" w:rsidRPr="00A5004A" w:rsidRDefault="00C208D7">
      <w:pP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Bajo lo previo, resulta importante señalar que las medidas de seguridad aplicables a las bases de datos personales por parte del responsable es </w:t>
      </w:r>
      <w:r w:rsidRPr="00A5004A">
        <w:rPr>
          <w:rFonts w:ascii="Palatino Linotype" w:eastAsia="Palatino Linotype" w:hAnsi="Palatino Linotype" w:cs="Palatino Linotype"/>
          <w:b/>
          <w:sz w:val="24"/>
          <w:szCs w:val="24"/>
        </w:rPr>
        <w:t xml:space="preserve">información de carácter confidencial </w:t>
      </w:r>
      <w:r w:rsidRPr="00A5004A">
        <w:rPr>
          <w:rFonts w:ascii="Palatino Linotype" w:eastAsia="Palatino Linotype" w:hAnsi="Palatino Linotype" w:cs="Palatino Linotype"/>
          <w:sz w:val="24"/>
          <w:szCs w:val="24"/>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w:t>
      </w:r>
    </w:p>
    <w:p w14:paraId="4E03D4C9" w14:textId="77777777" w:rsidR="00CB7F7F" w:rsidRPr="00A5004A" w:rsidRDefault="00CB7F7F">
      <w:pPr>
        <w:spacing w:after="0" w:line="360" w:lineRule="auto"/>
        <w:ind w:right="-234"/>
        <w:jc w:val="both"/>
      </w:pPr>
    </w:p>
    <w:p w14:paraId="0406FF1C"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Asimismo, es pertinente mencionar que conforme a lo dispuesto en el artículo 49 de la Ley de Protección de Datos Personales </w:t>
      </w:r>
      <w:proofErr w:type="spellStart"/>
      <w:r w:rsidRPr="00A5004A">
        <w:rPr>
          <w:rFonts w:ascii="Palatino Linotype" w:eastAsia="Palatino Linotype" w:hAnsi="Palatino Linotype" w:cs="Palatino Linotype"/>
          <w:sz w:val="24"/>
          <w:szCs w:val="24"/>
        </w:rPr>
        <w:t>supraindicada</w:t>
      </w:r>
      <w:proofErr w:type="spellEnd"/>
      <w:r w:rsidRPr="00A5004A">
        <w:rPr>
          <w:rFonts w:ascii="Palatino Linotype" w:eastAsia="Palatino Linotype" w:hAnsi="Palatino Linotype" w:cs="Palatino Linotype"/>
          <w:sz w:val="24"/>
          <w:szCs w:val="24"/>
        </w:rPr>
        <w:t xml:space="preserve">, el documento de seguridad debe contener, como mínimo, lo referente a: </w:t>
      </w:r>
    </w:p>
    <w:p w14:paraId="1B7591B7" w14:textId="77777777" w:rsidR="00CB7F7F" w:rsidRPr="00A5004A" w:rsidRDefault="00CB7F7F">
      <w:pPr>
        <w:spacing w:line="360" w:lineRule="auto"/>
        <w:ind w:right="49"/>
        <w:jc w:val="both"/>
        <w:rPr>
          <w:rFonts w:ascii="Palatino Linotype" w:eastAsia="Palatino Linotype" w:hAnsi="Palatino Linotype" w:cs="Palatino Linotype"/>
          <w:sz w:val="24"/>
          <w:szCs w:val="24"/>
        </w:rPr>
      </w:pPr>
    </w:p>
    <w:p w14:paraId="0863EA55" w14:textId="77777777" w:rsidR="00CB7F7F" w:rsidRPr="00A5004A" w:rsidRDefault="00C208D7">
      <w:pPr>
        <w:numPr>
          <w:ilvl w:val="0"/>
          <w:numId w:val="2"/>
        </w:numPr>
        <w:pBdr>
          <w:top w:val="nil"/>
          <w:left w:val="nil"/>
          <w:bottom w:val="nil"/>
          <w:right w:val="nil"/>
          <w:between w:val="nil"/>
        </w:pBdr>
        <w:spacing w:before="240" w:after="0" w:line="360" w:lineRule="auto"/>
        <w:ind w:left="284" w:right="49" w:firstLine="0"/>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Sistemas de Datos Personales</w:t>
      </w:r>
      <w:r w:rsidRPr="00A5004A">
        <w:rPr>
          <w:rFonts w:ascii="Palatino Linotype" w:eastAsia="Palatino Linotype" w:hAnsi="Palatino Linotype" w:cs="Palatino Linotype"/>
          <w:sz w:val="24"/>
          <w:szCs w:val="24"/>
        </w:rPr>
        <w:t xml:space="preserve">: a) el nombre, </w:t>
      </w:r>
      <w:r w:rsidRPr="00A5004A">
        <w:rPr>
          <w:rFonts w:ascii="Palatino Linotype" w:eastAsia="Palatino Linotype" w:hAnsi="Palatino Linotype" w:cs="Palatino Linotype"/>
          <w:b/>
          <w:sz w:val="24"/>
          <w:szCs w:val="24"/>
        </w:rPr>
        <w:t xml:space="preserve">b) el nombre, cargo y adscripción del administrador de cada sistema y base de datos, c) las funciones y obligaciones del responsable o encargados y todas la personas  que traten datos personales, </w:t>
      </w:r>
      <w:r w:rsidRPr="00A5004A">
        <w:rPr>
          <w:rFonts w:ascii="Palatino Linotype" w:eastAsia="Palatino Linotype" w:hAnsi="Palatino Linotype" w:cs="Palatino Linotype"/>
          <w:sz w:val="24"/>
          <w:szCs w:val="24"/>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7C2171FA" w14:textId="77777777" w:rsidR="00CB7F7F" w:rsidRPr="00A5004A" w:rsidRDefault="00C208D7">
      <w:pPr>
        <w:numPr>
          <w:ilvl w:val="0"/>
          <w:numId w:val="2"/>
        </w:numPr>
        <w:pBdr>
          <w:top w:val="nil"/>
          <w:left w:val="nil"/>
          <w:bottom w:val="nil"/>
          <w:right w:val="nil"/>
          <w:between w:val="nil"/>
        </w:pBdr>
        <w:spacing w:after="240" w:line="360" w:lineRule="auto"/>
        <w:ind w:left="284" w:right="49" w:firstLine="0"/>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lastRenderedPageBreak/>
        <w:t>Las Medidas de Seguridad implementadas</w:t>
      </w:r>
      <w:r w:rsidRPr="00A5004A">
        <w:rPr>
          <w:rFonts w:ascii="Palatino Linotype" w:eastAsia="Palatino Linotype" w:hAnsi="Palatino Linotype" w:cs="Palatino Linotype"/>
          <w:sz w:val="24"/>
          <w:szCs w:val="24"/>
        </w:rPr>
        <w:t xml:space="preserve">, como son: a) transferencia y remisiones, b) resguardo de soportes físicos y electrónicos, c) bitácoras para accesos, operación cotidiana y violaciones a la seguridad de los datos personales, </w:t>
      </w:r>
      <w:r w:rsidRPr="00A5004A">
        <w:rPr>
          <w:rFonts w:ascii="Palatino Linotype" w:eastAsia="Palatino Linotype" w:hAnsi="Palatino Linotype" w:cs="Palatino Linotype"/>
          <w:b/>
          <w:sz w:val="24"/>
          <w:szCs w:val="24"/>
        </w:rPr>
        <w:t>d) el análisis de riesgos, e) el análisis de brecha</w:t>
      </w:r>
      <w:r w:rsidRPr="00A5004A">
        <w:rPr>
          <w:rFonts w:ascii="Palatino Linotype" w:eastAsia="Palatino Linotype" w:hAnsi="Palatino Linotype" w:cs="Palatino Linotype"/>
          <w:sz w:val="24"/>
          <w:szCs w:val="24"/>
        </w:rPr>
        <w:t xml:space="preserve">, f) Gestión de incidentes, g) acceso a las instalaciones, h) Identificación y autenticación, i) procedimientos de respaldo y recuperación de datos, </w:t>
      </w:r>
      <w:r w:rsidRPr="00A5004A">
        <w:rPr>
          <w:rFonts w:ascii="Palatino Linotype" w:eastAsia="Palatino Linotype" w:hAnsi="Palatino Linotype" w:cs="Palatino Linotype"/>
          <w:b/>
          <w:sz w:val="24"/>
          <w:szCs w:val="24"/>
        </w:rPr>
        <w:t>j) plan de contingencia</w:t>
      </w:r>
      <w:r w:rsidRPr="00A5004A">
        <w:rPr>
          <w:rFonts w:ascii="Palatino Linotype" w:eastAsia="Palatino Linotype" w:hAnsi="Palatino Linotype" w:cs="Palatino Linotype"/>
          <w:sz w:val="24"/>
          <w:szCs w:val="24"/>
        </w:rPr>
        <w:t xml:space="preserve">, k) auditorías, l) supresión y borrado seguro de datos, </w:t>
      </w:r>
      <w:r w:rsidRPr="00A5004A">
        <w:rPr>
          <w:rFonts w:ascii="Palatino Linotype" w:eastAsia="Palatino Linotype" w:hAnsi="Palatino Linotype" w:cs="Palatino Linotype"/>
          <w:b/>
          <w:sz w:val="24"/>
          <w:szCs w:val="24"/>
        </w:rPr>
        <w:t>m) plan de trabajo</w:t>
      </w:r>
      <w:r w:rsidRPr="00A5004A">
        <w:rPr>
          <w:rFonts w:ascii="Palatino Linotype" w:eastAsia="Palatino Linotype" w:hAnsi="Palatino Linotype" w:cs="Palatino Linotype"/>
          <w:sz w:val="24"/>
          <w:szCs w:val="24"/>
        </w:rPr>
        <w:t>, n) los mecanismos de monitoreo y revisión de las medidas de seguridad y o) el programa general de capacitación.</w:t>
      </w:r>
    </w:p>
    <w:p w14:paraId="2A1E7F61"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Es importante resaltar que la información relacionada con los incisos “d”, “e”, “</w:t>
      </w:r>
      <w:proofErr w:type="gramStart"/>
      <w:r w:rsidRPr="00A5004A">
        <w:rPr>
          <w:rFonts w:ascii="Palatino Linotype" w:eastAsia="Palatino Linotype" w:hAnsi="Palatino Linotype" w:cs="Palatino Linotype"/>
          <w:sz w:val="24"/>
          <w:szCs w:val="24"/>
        </w:rPr>
        <w:t>j”  y</w:t>
      </w:r>
      <w:proofErr w:type="gramEnd"/>
      <w:r w:rsidRPr="00A5004A">
        <w:rPr>
          <w:rFonts w:ascii="Palatino Linotype" w:eastAsia="Palatino Linotype" w:hAnsi="Palatino Linotype" w:cs="Palatino Linotype"/>
          <w:sz w:val="24"/>
          <w:szCs w:val="24"/>
        </w:rPr>
        <w:t xml:space="preserve"> “m”, es susceptible de clasificarse como información confidencial. </w:t>
      </w:r>
    </w:p>
    <w:p w14:paraId="6F0973F1" w14:textId="77777777" w:rsidR="00CB7F7F" w:rsidRPr="00A5004A" w:rsidRDefault="00CB7F7F">
      <w:pPr>
        <w:ind w:right="49"/>
        <w:jc w:val="both"/>
        <w:rPr>
          <w:rFonts w:ascii="Palatino Linotype" w:eastAsia="Palatino Linotype" w:hAnsi="Palatino Linotype" w:cs="Palatino Linotype"/>
          <w:sz w:val="18"/>
          <w:szCs w:val="18"/>
        </w:rPr>
      </w:pPr>
    </w:p>
    <w:p w14:paraId="58B1DE3C"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Lo anterior, tiene sustento en atención a que el </w:t>
      </w:r>
      <w:r w:rsidRPr="00A5004A">
        <w:rPr>
          <w:rFonts w:ascii="Palatino Linotype" w:eastAsia="Palatino Linotype" w:hAnsi="Palatino Linotype" w:cs="Palatino Linotype"/>
          <w:b/>
          <w:sz w:val="24"/>
          <w:szCs w:val="24"/>
        </w:rPr>
        <w:t>análisis de riesgo</w:t>
      </w:r>
      <w:r w:rsidRPr="00A5004A">
        <w:rPr>
          <w:rFonts w:ascii="Palatino Linotype" w:eastAsia="Palatino Linotype" w:hAnsi="Palatino Linotype" w:cs="Palatino Linotype"/>
          <w:sz w:val="24"/>
          <w:szCs w:val="24"/>
        </w:rPr>
        <w:t xml:space="preserve"> contiene las consideraciones relacionadas con las amenazas y vulnerabilidades existentes.</w:t>
      </w:r>
    </w:p>
    <w:p w14:paraId="3AA77D0A" w14:textId="77777777" w:rsidR="00CB7F7F" w:rsidRPr="00A5004A" w:rsidRDefault="00CB7F7F">
      <w:pPr>
        <w:ind w:right="49"/>
        <w:jc w:val="both"/>
        <w:rPr>
          <w:rFonts w:ascii="Palatino Linotype" w:eastAsia="Palatino Linotype" w:hAnsi="Palatino Linotype" w:cs="Palatino Linotype"/>
          <w:sz w:val="18"/>
          <w:szCs w:val="18"/>
        </w:rPr>
      </w:pPr>
    </w:p>
    <w:p w14:paraId="4674A8EC"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El </w:t>
      </w:r>
      <w:r w:rsidRPr="00A5004A">
        <w:rPr>
          <w:rFonts w:ascii="Palatino Linotype" w:eastAsia="Palatino Linotype" w:hAnsi="Palatino Linotype" w:cs="Palatino Linotype"/>
          <w:b/>
          <w:sz w:val="24"/>
          <w:szCs w:val="24"/>
        </w:rPr>
        <w:t>análisis de brecha</w:t>
      </w:r>
      <w:r w:rsidRPr="00A5004A">
        <w:rPr>
          <w:rFonts w:ascii="Palatino Linotype" w:eastAsia="Palatino Linotype" w:hAnsi="Palatino Linotype" w:cs="Palatino Linotype"/>
          <w:sz w:val="24"/>
          <w:szCs w:val="24"/>
        </w:rPr>
        <w:t xml:space="preserve">, contiene la comparación de las medidas de seguridad existentes y las medidas de </w:t>
      </w:r>
      <w:proofErr w:type="gramStart"/>
      <w:r w:rsidRPr="00A5004A">
        <w:rPr>
          <w:rFonts w:ascii="Palatino Linotype" w:eastAsia="Palatino Linotype" w:hAnsi="Palatino Linotype" w:cs="Palatino Linotype"/>
          <w:sz w:val="24"/>
          <w:szCs w:val="24"/>
        </w:rPr>
        <w:t>seguridad  faltantes</w:t>
      </w:r>
      <w:proofErr w:type="gramEnd"/>
      <w:r w:rsidRPr="00A5004A">
        <w:rPr>
          <w:rFonts w:ascii="Palatino Linotype" w:eastAsia="Palatino Linotype" w:hAnsi="Palatino Linotype" w:cs="Palatino Linotype"/>
          <w:sz w:val="24"/>
          <w:szCs w:val="24"/>
        </w:rPr>
        <w:t xml:space="preserve"> en la organización del responsable del tratamiento de datos personales. </w:t>
      </w:r>
    </w:p>
    <w:p w14:paraId="048139BC" w14:textId="77777777" w:rsidR="00CB7F7F" w:rsidRPr="00A5004A" w:rsidRDefault="00CB7F7F">
      <w:pPr>
        <w:spacing w:line="360" w:lineRule="auto"/>
        <w:ind w:right="49"/>
        <w:jc w:val="both"/>
        <w:rPr>
          <w:rFonts w:ascii="Palatino Linotype" w:eastAsia="Palatino Linotype" w:hAnsi="Palatino Linotype" w:cs="Palatino Linotype"/>
          <w:sz w:val="18"/>
          <w:szCs w:val="18"/>
        </w:rPr>
      </w:pPr>
    </w:p>
    <w:p w14:paraId="6C908629"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 xml:space="preserve">Por lo que hace al </w:t>
      </w:r>
      <w:r w:rsidRPr="00A5004A">
        <w:rPr>
          <w:rFonts w:ascii="Palatino Linotype" w:eastAsia="Palatino Linotype" w:hAnsi="Palatino Linotype" w:cs="Palatino Linotype"/>
          <w:b/>
          <w:sz w:val="24"/>
          <w:szCs w:val="24"/>
        </w:rPr>
        <w:t>plan de contingencia</w:t>
      </w:r>
      <w:r w:rsidRPr="00A5004A">
        <w:rPr>
          <w:rFonts w:ascii="Palatino Linotype" w:eastAsia="Palatino Linotype" w:hAnsi="Palatino Linotype" w:cs="Palatino Linotype"/>
          <w:sz w:val="24"/>
          <w:szCs w:val="24"/>
        </w:rPr>
        <w:t>, éste se relaciona con una eventual “situación de emergencia”</w:t>
      </w:r>
      <w:r w:rsidRPr="00A5004A">
        <w:rPr>
          <w:rFonts w:ascii="Palatino Linotype" w:eastAsia="Palatino Linotype" w:hAnsi="Palatino Linotype" w:cs="Palatino Linotype"/>
          <w:sz w:val="24"/>
          <w:szCs w:val="24"/>
          <w:vertAlign w:val="superscript"/>
        </w:rPr>
        <w:footnoteReference w:id="4"/>
      </w:r>
      <w:r w:rsidRPr="00A5004A">
        <w:rPr>
          <w:rFonts w:ascii="Palatino Linotype" w:eastAsia="Palatino Linotype" w:hAnsi="Palatino Linotype" w:cs="Palatino Linotype"/>
          <w:sz w:val="24"/>
          <w:szCs w:val="24"/>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7F77BAD1" w14:textId="77777777" w:rsidR="00CB7F7F" w:rsidRPr="00A5004A" w:rsidRDefault="00CB7F7F">
      <w:pPr>
        <w:spacing w:after="0"/>
        <w:ind w:left="851" w:right="902"/>
        <w:jc w:val="both"/>
        <w:rPr>
          <w:rFonts w:ascii="Palatino Linotype" w:eastAsia="Palatino Linotype" w:hAnsi="Palatino Linotype" w:cs="Palatino Linotype"/>
          <w:i/>
        </w:rPr>
      </w:pPr>
    </w:p>
    <w:p w14:paraId="2F46E1BB" w14:textId="77777777" w:rsidR="00CB7F7F" w:rsidRPr="00A5004A" w:rsidRDefault="00C208D7">
      <w:pPr>
        <w:spacing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r w:rsidRPr="00A5004A">
        <w:rPr>
          <w:rFonts w:ascii="Palatino Linotype" w:eastAsia="Palatino Linotype" w:hAnsi="Palatino Linotype" w:cs="Palatino Linotype"/>
          <w:b/>
          <w:i/>
        </w:rPr>
        <w:t>Artículo 21.</w:t>
      </w:r>
      <w:r w:rsidRPr="00A5004A">
        <w:rPr>
          <w:rFonts w:ascii="Palatino Linotype" w:eastAsia="Palatino Linotype" w:hAnsi="Palatino Linotype" w:cs="Palatino Linotype"/>
          <w:i/>
        </w:rPr>
        <w:t xml:space="preserve"> El responsable no estará obligado a recabar el consentimiento de la o el titular para el tratamiento de sus datos personales en los casos siguientes:</w:t>
      </w:r>
    </w:p>
    <w:p w14:paraId="4D4E9BDF" w14:textId="77777777" w:rsidR="00CB7F7F" w:rsidRPr="00A5004A" w:rsidRDefault="00C208D7">
      <w:pPr>
        <w:spacing w:before="120" w:after="120"/>
        <w:ind w:left="1134"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5BBEAB27" w14:textId="77777777" w:rsidR="00CB7F7F" w:rsidRPr="00A5004A" w:rsidRDefault="00C208D7">
      <w:pPr>
        <w:spacing w:before="120" w:after="120"/>
        <w:ind w:left="1134" w:right="902"/>
        <w:jc w:val="both"/>
        <w:rPr>
          <w:rFonts w:ascii="Palatino Linotype" w:eastAsia="Palatino Linotype" w:hAnsi="Palatino Linotype" w:cs="Palatino Linotype"/>
          <w:i/>
        </w:rPr>
      </w:pPr>
      <w:r w:rsidRPr="00A5004A">
        <w:rPr>
          <w:rFonts w:ascii="Palatino Linotype" w:eastAsia="Palatino Linotype" w:hAnsi="Palatino Linotype" w:cs="Palatino Linotype"/>
          <w:b/>
          <w:i/>
        </w:rPr>
        <w:t>VI.</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Exista una situación de emergencia</w:t>
      </w:r>
      <w:r w:rsidRPr="00A5004A">
        <w:rPr>
          <w:rFonts w:ascii="Palatino Linotype" w:eastAsia="Palatino Linotype" w:hAnsi="Palatino Linotype" w:cs="Palatino Linotype"/>
          <w:i/>
        </w:rPr>
        <w:t xml:space="preserve"> que pueda dañar a un individuo en su persona o en sus bienes.” (Sic)</w:t>
      </w:r>
    </w:p>
    <w:p w14:paraId="3CB8DBA6" w14:textId="77777777" w:rsidR="00CB7F7F" w:rsidRPr="00A5004A" w:rsidRDefault="00CB7F7F">
      <w:pPr>
        <w:spacing w:after="0"/>
        <w:ind w:left="851" w:right="902"/>
        <w:jc w:val="both"/>
        <w:rPr>
          <w:rFonts w:ascii="Palatino Linotype" w:eastAsia="Palatino Linotype" w:hAnsi="Palatino Linotype" w:cs="Palatino Linotype"/>
          <w:b/>
          <w:i/>
        </w:rPr>
      </w:pPr>
    </w:p>
    <w:p w14:paraId="1ACF3909"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Finalmente, el</w:t>
      </w:r>
      <w:r w:rsidRPr="00A5004A">
        <w:rPr>
          <w:rFonts w:ascii="Palatino Linotype" w:eastAsia="Palatino Linotype" w:hAnsi="Palatino Linotype" w:cs="Palatino Linotype"/>
          <w:b/>
          <w:sz w:val="24"/>
          <w:szCs w:val="24"/>
        </w:rPr>
        <w:t xml:space="preserve"> Plan de trabajo</w:t>
      </w:r>
      <w:r w:rsidRPr="00A5004A">
        <w:rPr>
          <w:rFonts w:ascii="Palatino Linotype" w:eastAsia="Palatino Linotype" w:hAnsi="Palatino Linotype" w:cs="Palatino Linotype"/>
          <w:sz w:val="24"/>
          <w:szCs w:val="24"/>
        </w:rPr>
        <w:t xml:space="preserve"> contiene lo relacionado con la implementación de las medidas de seguridad faltantes y las que dan complimiento cotidiano de las políticas de gestión y tratamiento de los datos personales.     </w:t>
      </w:r>
    </w:p>
    <w:p w14:paraId="1ACBDDEC"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 De lo expuesto, se advierte que los incisos señalados contienen concretamente, la información relacionada con la vulnerabilidad concerniente a las medidas de seguridad que en el caso concreto debe proteger 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 xml:space="preserve">pues se reitera, </w:t>
      </w:r>
      <w:r w:rsidRPr="00A5004A">
        <w:rPr>
          <w:rFonts w:ascii="Palatino Linotype" w:eastAsia="Palatino Linotype" w:hAnsi="Palatino Linotype" w:cs="Palatino Linotype"/>
          <w:sz w:val="24"/>
          <w:szCs w:val="24"/>
        </w:rPr>
        <w:lastRenderedPageBreak/>
        <w:t xml:space="preserve">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p>
    <w:p w14:paraId="1A0D5D6F" w14:textId="77777777" w:rsidR="00CB7F7F" w:rsidRPr="00A5004A" w:rsidRDefault="00C208D7">
      <w:pPr>
        <w:numPr>
          <w:ilvl w:val="0"/>
          <w:numId w:val="2"/>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Sistemas de Datos Personales</w:t>
      </w:r>
      <w:r w:rsidRPr="00A5004A">
        <w:rPr>
          <w:rFonts w:ascii="Palatino Linotype" w:eastAsia="Palatino Linotype" w:hAnsi="Palatino Linotype" w:cs="Palatino Linotype"/>
          <w:sz w:val="24"/>
          <w:szCs w:val="24"/>
        </w:rPr>
        <w:t xml:space="preserve">: a) el nombre, </w:t>
      </w:r>
      <w:r w:rsidRPr="00A5004A">
        <w:rPr>
          <w:rFonts w:ascii="Palatino Linotype" w:eastAsia="Palatino Linotype" w:hAnsi="Palatino Linotype" w:cs="Palatino Linotype"/>
          <w:b/>
          <w:sz w:val="24"/>
          <w:szCs w:val="24"/>
        </w:rPr>
        <w:t xml:space="preserve">b) el nombre, cargo y adscripción del administrador de cada sistema y base de datos, c) las funciones y obligaciones del responsable o encargados y todas la personas  que traten datos personales, </w:t>
      </w:r>
      <w:r w:rsidRPr="00A5004A">
        <w:rPr>
          <w:rFonts w:ascii="Palatino Linotype" w:eastAsia="Palatino Linotype" w:hAnsi="Palatino Linotype" w:cs="Palatino Linotype"/>
          <w:sz w:val="24"/>
          <w:szCs w:val="24"/>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0DC635BB" w14:textId="77777777" w:rsidR="00CB7F7F" w:rsidRPr="00A5004A" w:rsidRDefault="00C208D7">
      <w:pPr>
        <w:numPr>
          <w:ilvl w:val="0"/>
          <w:numId w:val="2"/>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Las Medidas de Seguridad implementadas</w:t>
      </w:r>
      <w:r w:rsidRPr="00A5004A">
        <w:rPr>
          <w:rFonts w:ascii="Palatino Linotype" w:eastAsia="Palatino Linotype" w:hAnsi="Palatino Linotype" w:cs="Palatino Linotype"/>
          <w:sz w:val="24"/>
          <w:szCs w:val="24"/>
        </w:rPr>
        <w:t xml:space="preserve">, como son: a) transferencia y remisiones, b) resguardo de soportes físicos y electrónicos, c) bitácoras para accesos, operación cotidiana y violaciones a la seguridad de los datos personales, </w:t>
      </w:r>
      <w:r w:rsidRPr="00A5004A">
        <w:rPr>
          <w:rFonts w:ascii="Palatino Linotype" w:eastAsia="Palatino Linotype" w:hAnsi="Palatino Linotype" w:cs="Palatino Linotype"/>
          <w:b/>
          <w:sz w:val="24"/>
          <w:szCs w:val="24"/>
        </w:rPr>
        <w:t>d) el análisis de riesgos, e) el análisis de brecha</w:t>
      </w:r>
      <w:r w:rsidRPr="00A5004A">
        <w:rPr>
          <w:rFonts w:ascii="Palatino Linotype" w:eastAsia="Palatino Linotype" w:hAnsi="Palatino Linotype" w:cs="Palatino Linotype"/>
          <w:sz w:val="24"/>
          <w:szCs w:val="24"/>
        </w:rPr>
        <w:t xml:space="preserve">, f) Gestión de incidentes, g) acceso a las instalaciones, h) Identificación y autenticación, i) procedimientos de respaldo y recuperación de datos, </w:t>
      </w:r>
      <w:r w:rsidRPr="00A5004A">
        <w:rPr>
          <w:rFonts w:ascii="Palatino Linotype" w:eastAsia="Palatino Linotype" w:hAnsi="Palatino Linotype" w:cs="Palatino Linotype"/>
          <w:b/>
          <w:sz w:val="24"/>
          <w:szCs w:val="24"/>
        </w:rPr>
        <w:t>j) plan de contingencia</w:t>
      </w:r>
      <w:r w:rsidRPr="00A5004A">
        <w:rPr>
          <w:rFonts w:ascii="Palatino Linotype" w:eastAsia="Palatino Linotype" w:hAnsi="Palatino Linotype" w:cs="Palatino Linotype"/>
          <w:sz w:val="24"/>
          <w:szCs w:val="24"/>
        </w:rPr>
        <w:t xml:space="preserve">, k) auditorías, l) supresión y borrado seguro de datos, </w:t>
      </w:r>
      <w:r w:rsidRPr="00A5004A">
        <w:rPr>
          <w:rFonts w:ascii="Palatino Linotype" w:eastAsia="Palatino Linotype" w:hAnsi="Palatino Linotype" w:cs="Palatino Linotype"/>
          <w:b/>
          <w:sz w:val="24"/>
          <w:szCs w:val="24"/>
        </w:rPr>
        <w:t>m) plan de trabajo</w:t>
      </w:r>
      <w:r w:rsidRPr="00A5004A">
        <w:rPr>
          <w:rFonts w:ascii="Palatino Linotype" w:eastAsia="Palatino Linotype" w:hAnsi="Palatino Linotype" w:cs="Palatino Linotype"/>
          <w:sz w:val="24"/>
          <w:szCs w:val="24"/>
        </w:rPr>
        <w:t>, n) los mecanismos de monitoreo y revisión de las medidas de seguridad y o) el programa general de capacitación.</w:t>
      </w:r>
    </w:p>
    <w:p w14:paraId="08080893"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lastRenderedPageBreak/>
        <w:t>Es importante resaltar que la información relacionada con los incisos “d”, “e”, “</w:t>
      </w:r>
      <w:proofErr w:type="gramStart"/>
      <w:r w:rsidRPr="00A5004A">
        <w:rPr>
          <w:rFonts w:ascii="Palatino Linotype" w:eastAsia="Palatino Linotype" w:hAnsi="Palatino Linotype" w:cs="Palatino Linotype"/>
          <w:sz w:val="24"/>
          <w:szCs w:val="24"/>
        </w:rPr>
        <w:t>j”  y</w:t>
      </w:r>
      <w:proofErr w:type="gramEnd"/>
      <w:r w:rsidRPr="00A5004A">
        <w:rPr>
          <w:rFonts w:ascii="Palatino Linotype" w:eastAsia="Palatino Linotype" w:hAnsi="Palatino Linotype" w:cs="Palatino Linotype"/>
          <w:sz w:val="24"/>
          <w:szCs w:val="24"/>
        </w:rPr>
        <w:t xml:space="preserve"> “m”, es susceptible de clasificarse como información confidencial. </w:t>
      </w:r>
    </w:p>
    <w:p w14:paraId="373DA760" w14:textId="77777777" w:rsidR="00CB7F7F" w:rsidRPr="00A5004A" w:rsidRDefault="00CB7F7F">
      <w:pPr>
        <w:ind w:right="49"/>
        <w:jc w:val="both"/>
        <w:rPr>
          <w:rFonts w:ascii="Palatino Linotype" w:eastAsia="Palatino Linotype" w:hAnsi="Palatino Linotype" w:cs="Palatino Linotype"/>
          <w:sz w:val="24"/>
          <w:szCs w:val="24"/>
        </w:rPr>
      </w:pPr>
    </w:p>
    <w:p w14:paraId="534ADBA6" w14:textId="77777777" w:rsidR="00CB7F7F" w:rsidRPr="00A5004A" w:rsidRDefault="00C208D7">
      <w:pPr>
        <w:spacing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Lo anterior, tiene sustento en atención a que el </w:t>
      </w:r>
      <w:r w:rsidRPr="00A5004A">
        <w:rPr>
          <w:rFonts w:ascii="Palatino Linotype" w:eastAsia="Palatino Linotype" w:hAnsi="Palatino Linotype" w:cs="Palatino Linotype"/>
          <w:b/>
          <w:sz w:val="24"/>
          <w:szCs w:val="24"/>
        </w:rPr>
        <w:t>análisis de riesgo</w:t>
      </w:r>
      <w:r w:rsidRPr="00A5004A">
        <w:rPr>
          <w:rFonts w:ascii="Palatino Linotype" w:eastAsia="Palatino Linotype" w:hAnsi="Palatino Linotype" w:cs="Palatino Linotype"/>
          <w:sz w:val="24"/>
          <w:szCs w:val="24"/>
        </w:rPr>
        <w:t xml:space="preserve"> contiene las consideraciones relacionadas con las amenazas y vulnerabilidades existentes.</w:t>
      </w:r>
    </w:p>
    <w:p w14:paraId="79D95DF8" w14:textId="77777777" w:rsidR="00CB7F7F" w:rsidRPr="00A5004A" w:rsidRDefault="00CB7F7F">
      <w:pPr>
        <w:ind w:right="49"/>
        <w:jc w:val="both"/>
        <w:rPr>
          <w:rFonts w:ascii="Palatino Linotype" w:eastAsia="Palatino Linotype" w:hAnsi="Palatino Linotype" w:cs="Palatino Linotype"/>
          <w:sz w:val="18"/>
          <w:szCs w:val="18"/>
        </w:rPr>
      </w:pPr>
    </w:p>
    <w:p w14:paraId="22F6FE2A" w14:textId="77777777" w:rsidR="00CB7F7F" w:rsidRPr="00A5004A" w:rsidRDefault="00C208D7">
      <w:pP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El </w:t>
      </w:r>
      <w:r w:rsidRPr="00A5004A">
        <w:rPr>
          <w:rFonts w:ascii="Palatino Linotype" w:eastAsia="Palatino Linotype" w:hAnsi="Palatino Linotype" w:cs="Palatino Linotype"/>
          <w:b/>
          <w:sz w:val="24"/>
          <w:szCs w:val="24"/>
        </w:rPr>
        <w:t>análisis de brecha</w:t>
      </w:r>
      <w:r w:rsidRPr="00A5004A">
        <w:rPr>
          <w:rFonts w:ascii="Palatino Linotype" w:eastAsia="Palatino Linotype" w:hAnsi="Palatino Linotype" w:cs="Palatino Linotype"/>
          <w:sz w:val="24"/>
          <w:szCs w:val="24"/>
        </w:rPr>
        <w:t xml:space="preserve">, contiene la comparación de las medidas de seguridad existentes y las medidas de </w:t>
      </w:r>
      <w:proofErr w:type="gramStart"/>
      <w:r w:rsidRPr="00A5004A">
        <w:rPr>
          <w:rFonts w:ascii="Palatino Linotype" w:eastAsia="Palatino Linotype" w:hAnsi="Palatino Linotype" w:cs="Palatino Linotype"/>
          <w:sz w:val="24"/>
          <w:szCs w:val="24"/>
        </w:rPr>
        <w:t>seguridad  faltantes</w:t>
      </w:r>
      <w:proofErr w:type="gramEnd"/>
      <w:r w:rsidRPr="00A5004A">
        <w:rPr>
          <w:rFonts w:ascii="Palatino Linotype" w:eastAsia="Palatino Linotype" w:hAnsi="Palatino Linotype" w:cs="Palatino Linotype"/>
          <w:sz w:val="24"/>
          <w:szCs w:val="24"/>
        </w:rPr>
        <w:t xml:space="preserve"> en la organización del responsable del tratamiento de datos personales. </w:t>
      </w:r>
    </w:p>
    <w:p w14:paraId="78814987" w14:textId="77777777" w:rsidR="00CB7F7F" w:rsidRPr="00A5004A" w:rsidRDefault="00CB7F7F">
      <w:pPr>
        <w:spacing w:after="0" w:line="360" w:lineRule="auto"/>
        <w:ind w:right="51"/>
        <w:jc w:val="both"/>
        <w:rPr>
          <w:rFonts w:ascii="Palatino Linotype" w:eastAsia="Palatino Linotype" w:hAnsi="Palatino Linotype" w:cs="Palatino Linotype"/>
          <w:sz w:val="24"/>
          <w:szCs w:val="24"/>
        </w:rPr>
      </w:pPr>
    </w:p>
    <w:p w14:paraId="12EEA9B2" w14:textId="77777777" w:rsidR="00CB7F7F" w:rsidRPr="00A5004A" w:rsidRDefault="00C208D7">
      <w:pP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Por lo que hace al </w:t>
      </w:r>
      <w:r w:rsidRPr="00A5004A">
        <w:rPr>
          <w:rFonts w:ascii="Palatino Linotype" w:eastAsia="Palatino Linotype" w:hAnsi="Palatino Linotype" w:cs="Palatino Linotype"/>
          <w:b/>
          <w:sz w:val="24"/>
          <w:szCs w:val="24"/>
        </w:rPr>
        <w:t>plan de contingencia</w:t>
      </w:r>
      <w:r w:rsidRPr="00A5004A">
        <w:rPr>
          <w:rFonts w:ascii="Palatino Linotype" w:eastAsia="Palatino Linotype" w:hAnsi="Palatino Linotype" w:cs="Palatino Linotype"/>
          <w:sz w:val="24"/>
          <w:szCs w:val="24"/>
        </w:rPr>
        <w:t>, éste se relaciona con una eventual “situación de emergencia”</w:t>
      </w:r>
      <w:r w:rsidRPr="00A5004A">
        <w:rPr>
          <w:rFonts w:ascii="Palatino Linotype" w:eastAsia="Palatino Linotype" w:hAnsi="Palatino Linotype" w:cs="Palatino Linotype"/>
          <w:sz w:val="24"/>
          <w:szCs w:val="24"/>
          <w:vertAlign w:val="superscript"/>
        </w:rPr>
        <w:footnoteReference w:id="5"/>
      </w:r>
      <w:r w:rsidRPr="00A5004A">
        <w:rPr>
          <w:rFonts w:ascii="Palatino Linotype" w:eastAsia="Palatino Linotype" w:hAnsi="Palatino Linotype" w:cs="Palatino Linotype"/>
          <w:sz w:val="24"/>
          <w:szCs w:val="24"/>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68F0C9A2" w14:textId="77777777" w:rsidR="00CB7F7F" w:rsidRPr="00A5004A" w:rsidRDefault="00CB7F7F">
      <w:pPr>
        <w:spacing w:after="0"/>
        <w:ind w:left="851" w:right="902"/>
        <w:jc w:val="both"/>
        <w:rPr>
          <w:rFonts w:ascii="Palatino Linotype" w:eastAsia="Palatino Linotype" w:hAnsi="Palatino Linotype" w:cs="Palatino Linotype"/>
          <w:i/>
        </w:rPr>
      </w:pPr>
    </w:p>
    <w:p w14:paraId="78743FFD" w14:textId="77777777" w:rsidR="00CB7F7F" w:rsidRPr="00A5004A" w:rsidRDefault="00C208D7">
      <w:pPr>
        <w:spacing w:after="120"/>
        <w:ind w:left="851"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lastRenderedPageBreak/>
        <w:t>“</w:t>
      </w:r>
      <w:r w:rsidRPr="00A5004A">
        <w:rPr>
          <w:rFonts w:ascii="Palatino Linotype" w:eastAsia="Palatino Linotype" w:hAnsi="Palatino Linotype" w:cs="Palatino Linotype"/>
          <w:b/>
          <w:i/>
        </w:rPr>
        <w:t>Artículo 21.</w:t>
      </w:r>
      <w:r w:rsidRPr="00A5004A">
        <w:rPr>
          <w:rFonts w:ascii="Palatino Linotype" w:eastAsia="Palatino Linotype" w:hAnsi="Palatino Linotype" w:cs="Palatino Linotype"/>
          <w:i/>
        </w:rPr>
        <w:t xml:space="preserve"> El responsable no estará obligado a recabar el consentimiento de la o el titular para el tratamiento de sus datos personales en los casos siguientes:</w:t>
      </w:r>
    </w:p>
    <w:p w14:paraId="1EC7BB95" w14:textId="77777777" w:rsidR="00CB7F7F" w:rsidRPr="00A5004A" w:rsidRDefault="00C208D7">
      <w:pPr>
        <w:spacing w:before="120" w:after="120"/>
        <w:ind w:left="1134" w:right="902"/>
        <w:jc w:val="both"/>
        <w:rPr>
          <w:rFonts w:ascii="Palatino Linotype" w:eastAsia="Palatino Linotype" w:hAnsi="Palatino Linotype" w:cs="Palatino Linotype"/>
          <w:i/>
        </w:rPr>
      </w:pPr>
      <w:r w:rsidRPr="00A5004A">
        <w:rPr>
          <w:rFonts w:ascii="Palatino Linotype" w:eastAsia="Palatino Linotype" w:hAnsi="Palatino Linotype" w:cs="Palatino Linotype"/>
          <w:i/>
        </w:rPr>
        <w:t>…</w:t>
      </w:r>
    </w:p>
    <w:p w14:paraId="6F74018B" w14:textId="77777777" w:rsidR="00CB7F7F" w:rsidRPr="00A5004A" w:rsidRDefault="00C208D7">
      <w:pPr>
        <w:spacing w:before="120" w:after="120"/>
        <w:ind w:left="1134" w:right="902"/>
        <w:jc w:val="both"/>
        <w:rPr>
          <w:rFonts w:ascii="Palatino Linotype" w:eastAsia="Palatino Linotype" w:hAnsi="Palatino Linotype" w:cs="Palatino Linotype"/>
          <w:i/>
        </w:rPr>
      </w:pPr>
      <w:r w:rsidRPr="00A5004A">
        <w:rPr>
          <w:rFonts w:ascii="Palatino Linotype" w:eastAsia="Palatino Linotype" w:hAnsi="Palatino Linotype" w:cs="Palatino Linotype"/>
          <w:b/>
          <w:i/>
        </w:rPr>
        <w:t>VI.</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Exista una situación de emergencia</w:t>
      </w:r>
      <w:r w:rsidRPr="00A5004A">
        <w:rPr>
          <w:rFonts w:ascii="Palatino Linotype" w:eastAsia="Palatino Linotype" w:hAnsi="Palatino Linotype" w:cs="Palatino Linotype"/>
          <w:i/>
        </w:rPr>
        <w:t xml:space="preserve"> que pueda dañar a un individuo en su persona o en sus bienes.” (Sic)</w:t>
      </w:r>
    </w:p>
    <w:p w14:paraId="506C1719" w14:textId="77777777" w:rsidR="00CB7F7F" w:rsidRPr="00A5004A" w:rsidRDefault="00CB7F7F">
      <w:pPr>
        <w:spacing w:after="0"/>
        <w:ind w:left="851" w:right="902"/>
        <w:jc w:val="both"/>
        <w:rPr>
          <w:rFonts w:ascii="Palatino Linotype" w:eastAsia="Palatino Linotype" w:hAnsi="Palatino Linotype" w:cs="Palatino Linotype"/>
          <w:b/>
          <w:i/>
        </w:rPr>
      </w:pPr>
    </w:p>
    <w:p w14:paraId="5DBEFF9C" w14:textId="77777777" w:rsidR="00CB7F7F" w:rsidRPr="00A5004A" w:rsidRDefault="00C208D7">
      <w:pPr>
        <w:spacing w:after="0" w:line="360" w:lineRule="auto"/>
        <w:ind w:right="51"/>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Finalmente, el</w:t>
      </w:r>
      <w:r w:rsidRPr="00A5004A">
        <w:rPr>
          <w:rFonts w:ascii="Palatino Linotype" w:eastAsia="Palatino Linotype" w:hAnsi="Palatino Linotype" w:cs="Palatino Linotype"/>
          <w:b/>
          <w:sz w:val="24"/>
          <w:szCs w:val="24"/>
        </w:rPr>
        <w:t xml:space="preserve"> Plan de trabajo</w:t>
      </w:r>
      <w:r w:rsidRPr="00A5004A">
        <w:rPr>
          <w:rFonts w:ascii="Palatino Linotype" w:eastAsia="Palatino Linotype" w:hAnsi="Palatino Linotype" w:cs="Palatino Linotype"/>
          <w:sz w:val="24"/>
          <w:szCs w:val="24"/>
        </w:rPr>
        <w:t xml:space="preserve"> contiene lo relacionado con la implementación de las medidas de seguridad faltantes y las que dan complimiento cotidiano de las políticas de gestión y tratamiento de los datos personales.     </w:t>
      </w:r>
    </w:p>
    <w:p w14:paraId="0360E23C" w14:textId="77777777" w:rsidR="00CB7F7F" w:rsidRPr="00A5004A" w:rsidRDefault="00CB7F7F">
      <w:pPr>
        <w:spacing w:after="0" w:line="360" w:lineRule="auto"/>
        <w:ind w:right="51"/>
        <w:jc w:val="both"/>
        <w:rPr>
          <w:rFonts w:ascii="Palatino Linotype" w:eastAsia="Palatino Linotype" w:hAnsi="Palatino Linotype" w:cs="Palatino Linotype"/>
          <w:sz w:val="24"/>
          <w:szCs w:val="24"/>
        </w:rPr>
      </w:pPr>
    </w:p>
    <w:p w14:paraId="36D3D41D" w14:textId="77777777" w:rsidR="00CB7F7F" w:rsidRPr="00A5004A" w:rsidRDefault="00C208D7">
      <w:pPr>
        <w:spacing w:after="0" w:line="360" w:lineRule="auto"/>
        <w:ind w:right="49"/>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De acuerdo a lo anterior, se observa que el documento de seguridad generado por </w:t>
      </w:r>
      <w:r w:rsidRPr="00A5004A">
        <w:rPr>
          <w:rFonts w:ascii="Palatino Linotype" w:eastAsia="Palatino Linotype" w:hAnsi="Palatino Linotype" w:cs="Palatino Linotype"/>
          <w:b/>
          <w:sz w:val="24"/>
          <w:szCs w:val="24"/>
        </w:rPr>
        <w:t xml:space="preserve">EL SUJETO OBLIGADO </w:t>
      </w:r>
      <w:r w:rsidRPr="00A5004A">
        <w:rPr>
          <w:rFonts w:ascii="Palatino Linotype" w:eastAsia="Palatino Linotype" w:hAnsi="Palatino Linotype" w:cs="Palatino Linotype"/>
          <w:sz w:val="24"/>
          <w:szCs w:val="24"/>
        </w:rPr>
        <w:t xml:space="preserve">es entregado en una correcta versión pública mediante informe justificado tal y como obra en sus archivos del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acompañado del Acuerdo de Clasificación CT/LXXXIXE/001/2022 de la Octogésima Novena Sesión Extraordinaria del Comité de Transparencia del Instituto Hacendario del Estado de México, en los términos antes señalados para sustentar las versiones públicas. </w:t>
      </w:r>
    </w:p>
    <w:p w14:paraId="777D3ED7" w14:textId="77777777" w:rsidR="00CB7F7F" w:rsidRPr="00A5004A" w:rsidRDefault="00CB7F7F">
      <w:pPr>
        <w:spacing w:after="0" w:line="360" w:lineRule="auto"/>
        <w:ind w:right="49"/>
        <w:jc w:val="both"/>
      </w:pPr>
    </w:p>
    <w:p w14:paraId="1AE0A3F0" w14:textId="77777777" w:rsidR="00CB7F7F" w:rsidRPr="00A5004A" w:rsidRDefault="00C208D7">
      <w:pPr>
        <w:spacing w:after="0" w:line="360" w:lineRule="auto"/>
        <w:ind w:right="193"/>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En esta tesitura, se estima que la información remitida por el </w:t>
      </w:r>
      <w:r w:rsidRPr="00A5004A">
        <w:rPr>
          <w:rFonts w:ascii="Palatino Linotype" w:eastAsia="Palatino Linotype" w:hAnsi="Palatino Linotype" w:cs="Palatino Linotype"/>
          <w:b/>
          <w:sz w:val="24"/>
          <w:szCs w:val="24"/>
        </w:rPr>
        <w:t xml:space="preserve">SUJETO OBLIGADO </w:t>
      </w:r>
      <w:r w:rsidRPr="00A5004A">
        <w:rPr>
          <w:rFonts w:ascii="Palatino Linotype" w:eastAsia="Palatino Linotype" w:hAnsi="Palatino Linotype" w:cs="Palatino Linotype"/>
          <w:sz w:val="24"/>
          <w:szCs w:val="24"/>
        </w:rPr>
        <w:t>en la etapa de manifestaciones</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es suficiente para tener por atendido el derecho de acceso a la información de la persona solicitante.</w:t>
      </w:r>
    </w:p>
    <w:p w14:paraId="36FDDBF8" w14:textId="77777777" w:rsidR="00CB7F7F" w:rsidRPr="00A5004A" w:rsidRDefault="00CB7F7F">
      <w:pPr>
        <w:spacing w:after="0" w:line="360" w:lineRule="auto"/>
        <w:ind w:right="193"/>
        <w:jc w:val="both"/>
        <w:rPr>
          <w:rFonts w:ascii="Palatino Linotype" w:eastAsia="Palatino Linotype" w:hAnsi="Palatino Linotype" w:cs="Palatino Linotype"/>
          <w:sz w:val="24"/>
          <w:szCs w:val="24"/>
        </w:rPr>
      </w:pPr>
    </w:p>
    <w:p w14:paraId="43EC9242" w14:textId="77777777" w:rsidR="00CB7F7F" w:rsidRPr="00A5004A" w:rsidRDefault="00C208D7">
      <w:pPr>
        <w:spacing w:line="360" w:lineRule="auto"/>
        <w:ind w:right="193"/>
        <w:jc w:val="both"/>
        <w:rPr>
          <w:rFonts w:ascii="Palatino Linotype" w:eastAsia="Palatino Linotype" w:hAnsi="Palatino Linotype" w:cs="Palatino Linotype"/>
          <w:sz w:val="28"/>
          <w:szCs w:val="28"/>
        </w:rPr>
      </w:pPr>
      <w:r w:rsidRPr="00A5004A">
        <w:rPr>
          <w:rFonts w:ascii="Palatino Linotype" w:eastAsia="Palatino Linotype" w:hAnsi="Palatino Linotype" w:cs="Palatino Linotype"/>
          <w:sz w:val="24"/>
          <w:szCs w:val="24"/>
        </w:rPr>
        <w:lastRenderedPageBreak/>
        <w:t>Por ende, se estima que se actualiza el artículo 192, fracción III de la Ley de Transparencia y Acceso a la Información Pública del Estado de México y Municipios vigente, a saber:</w:t>
      </w:r>
    </w:p>
    <w:p w14:paraId="65B3CDA8" w14:textId="77777777" w:rsidR="00CB7F7F" w:rsidRPr="00A5004A" w:rsidRDefault="00CB7F7F">
      <w:pPr>
        <w:pBdr>
          <w:top w:val="nil"/>
          <w:left w:val="nil"/>
          <w:bottom w:val="nil"/>
          <w:right w:val="nil"/>
          <w:between w:val="nil"/>
        </w:pBdr>
        <w:spacing w:before="240" w:after="0" w:line="360" w:lineRule="auto"/>
        <w:jc w:val="both"/>
        <w:rPr>
          <w:rFonts w:ascii="Times New Roman" w:eastAsia="Times New Roman" w:hAnsi="Times New Roman" w:cs="Times New Roman"/>
          <w:sz w:val="24"/>
          <w:szCs w:val="24"/>
        </w:rPr>
      </w:pPr>
    </w:p>
    <w:p w14:paraId="3DE5A483" w14:textId="77777777" w:rsidR="00CB7F7F" w:rsidRPr="00A5004A" w:rsidRDefault="00C208D7">
      <w:pPr>
        <w:pBdr>
          <w:top w:val="nil"/>
          <w:left w:val="nil"/>
          <w:bottom w:val="nil"/>
          <w:right w:val="nil"/>
          <w:between w:val="nil"/>
        </w:pBdr>
        <w:spacing w:after="0" w:line="360" w:lineRule="auto"/>
        <w:ind w:left="851" w:right="900"/>
        <w:jc w:val="both"/>
        <w:rPr>
          <w:rFonts w:ascii="Times New Roman" w:eastAsia="Times New Roman" w:hAnsi="Times New Roman" w:cs="Times New Roman"/>
          <w:sz w:val="24"/>
          <w:szCs w:val="24"/>
        </w:rPr>
      </w:pPr>
      <w:r w:rsidRPr="00A5004A">
        <w:rPr>
          <w:rFonts w:ascii="Palatino Linotype" w:eastAsia="Palatino Linotype" w:hAnsi="Palatino Linotype" w:cs="Palatino Linotype"/>
          <w:i/>
        </w:rPr>
        <w:t>“</w:t>
      </w:r>
      <w:r w:rsidRPr="00A5004A">
        <w:rPr>
          <w:rFonts w:ascii="Palatino Linotype" w:eastAsia="Palatino Linotype" w:hAnsi="Palatino Linotype" w:cs="Palatino Linotype"/>
          <w:b/>
          <w:i/>
        </w:rPr>
        <w:t>Artículo 192</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El recurso será sobreseído</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en todo o en parte,</w:t>
      </w:r>
      <w:r w:rsidRPr="00A5004A">
        <w:rPr>
          <w:rFonts w:ascii="Palatino Linotype" w:eastAsia="Palatino Linotype" w:hAnsi="Palatino Linotype" w:cs="Palatino Linotype"/>
          <w:i/>
        </w:rPr>
        <w:t xml:space="preserve"> </w:t>
      </w:r>
      <w:r w:rsidRPr="00A5004A">
        <w:rPr>
          <w:rFonts w:ascii="Palatino Linotype" w:eastAsia="Palatino Linotype" w:hAnsi="Palatino Linotype" w:cs="Palatino Linotype"/>
          <w:b/>
          <w:i/>
        </w:rPr>
        <w:t>cuando una vez admitido, se actualicen alguno de los siguientes supuestos</w:t>
      </w:r>
      <w:r w:rsidRPr="00A5004A">
        <w:rPr>
          <w:rFonts w:ascii="Palatino Linotype" w:eastAsia="Palatino Linotype" w:hAnsi="Palatino Linotype" w:cs="Palatino Linotype"/>
          <w:i/>
        </w:rPr>
        <w:t>: </w:t>
      </w:r>
    </w:p>
    <w:p w14:paraId="2DE50072" w14:textId="77777777" w:rsidR="00CB7F7F" w:rsidRPr="00A5004A" w:rsidRDefault="00C208D7">
      <w:pPr>
        <w:pBdr>
          <w:top w:val="nil"/>
          <w:left w:val="nil"/>
          <w:bottom w:val="nil"/>
          <w:right w:val="nil"/>
          <w:between w:val="nil"/>
        </w:pBdr>
        <w:spacing w:after="240" w:line="360" w:lineRule="auto"/>
        <w:ind w:left="1134" w:right="900"/>
        <w:jc w:val="both"/>
        <w:rPr>
          <w:rFonts w:ascii="Times New Roman" w:eastAsia="Times New Roman" w:hAnsi="Times New Roman" w:cs="Times New Roman"/>
          <w:sz w:val="24"/>
          <w:szCs w:val="24"/>
        </w:rPr>
      </w:pPr>
      <w:r w:rsidRPr="00A5004A">
        <w:rPr>
          <w:rFonts w:ascii="Palatino Linotype" w:eastAsia="Palatino Linotype" w:hAnsi="Palatino Linotype" w:cs="Palatino Linotype"/>
          <w:i/>
        </w:rPr>
        <w:t>(…)</w:t>
      </w:r>
    </w:p>
    <w:p w14:paraId="454EDA7F" w14:textId="77777777" w:rsidR="00CB7F7F" w:rsidRPr="00A5004A" w:rsidRDefault="00C208D7">
      <w:pPr>
        <w:pBdr>
          <w:top w:val="nil"/>
          <w:left w:val="nil"/>
          <w:bottom w:val="nil"/>
          <w:right w:val="nil"/>
          <w:between w:val="nil"/>
        </w:pBdr>
        <w:spacing w:before="240" w:after="240" w:line="360" w:lineRule="auto"/>
        <w:ind w:left="1134" w:right="900"/>
        <w:jc w:val="both"/>
        <w:rPr>
          <w:rFonts w:ascii="Times New Roman" w:eastAsia="Times New Roman" w:hAnsi="Times New Roman" w:cs="Times New Roman"/>
          <w:sz w:val="24"/>
          <w:szCs w:val="24"/>
        </w:rPr>
      </w:pPr>
      <w:r w:rsidRPr="00A5004A">
        <w:rPr>
          <w:rFonts w:ascii="Palatino Linotype" w:eastAsia="Palatino Linotype" w:hAnsi="Palatino Linotype" w:cs="Palatino Linotype"/>
          <w:b/>
          <w:i/>
        </w:rPr>
        <w:t>III. El sujeto obligado responsable del acto, lo modifique o revoque de tal manera que el recurso de revisión quede sin materia...</w:t>
      </w:r>
      <w:r w:rsidRPr="00A5004A">
        <w:rPr>
          <w:rFonts w:ascii="Palatino Linotype" w:eastAsia="Palatino Linotype" w:hAnsi="Palatino Linotype" w:cs="Palatino Linotype"/>
          <w:i/>
        </w:rPr>
        <w:t>”</w:t>
      </w:r>
    </w:p>
    <w:p w14:paraId="7D21261B" w14:textId="77777777" w:rsidR="00CB7F7F" w:rsidRPr="00A5004A" w:rsidRDefault="00C208D7">
      <w:p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De lo establecido en el precepto legal citado se advierte que el sobreseimiento del recurso de revisión procede en los siguientes casos</w:t>
      </w:r>
    </w:p>
    <w:p w14:paraId="7BBFD031"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8A2E7B5" w14:textId="77777777" w:rsidR="00CB7F7F" w:rsidRPr="00A5004A" w:rsidRDefault="00C208D7">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 Cuando el sujeto obligado modifique el acto impugnado. </w:t>
      </w:r>
    </w:p>
    <w:p w14:paraId="6C9FC0A0" w14:textId="77777777" w:rsidR="00CB7F7F" w:rsidRPr="00A5004A" w:rsidRDefault="00CB7F7F">
      <w:pPr>
        <w:pBdr>
          <w:top w:val="nil"/>
          <w:left w:val="nil"/>
          <w:bottom w:val="nil"/>
          <w:right w:val="nil"/>
          <w:between w:val="nil"/>
        </w:pBdr>
        <w:spacing w:after="0" w:line="360" w:lineRule="auto"/>
        <w:ind w:left="284"/>
        <w:jc w:val="both"/>
        <w:rPr>
          <w:rFonts w:ascii="Times New Roman" w:eastAsia="Times New Roman" w:hAnsi="Times New Roman" w:cs="Times New Roman"/>
          <w:sz w:val="24"/>
          <w:szCs w:val="24"/>
        </w:rPr>
      </w:pPr>
    </w:p>
    <w:p w14:paraId="47ADAAF8" w14:textId="77777777" w:rsidR="00CB7F7F" w:rsidRPr="00A5004A" w:rsidRDefault="00C208D7">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b) Cuando el sujeto obligado revoque el acto impugnado; </w:t>
      </w:r>
    </w:p>
    <w:p w14:paraId="6C84B4D9" w14:textId="77777777" w:rsidR="00CB7F7F" w:rsidRPr="00A5004A" w:rsidRDefault="00CB7F7F">
      <w:pPr>
        <w:pBdr>
          <w:top w:val="nil"/>
          <w:left w:val="nil"/>
          <w:bottom w:val="nil"/>
          <w:right w:val="nil"/>
          <w:between w:val="nil"/>
        </w:pBdr>
        <w:spacing w:after="0" w:line="360" w:lineRule="auto"/>
        <w:ind w:left="284"/>
        <w:jc w:val="both"/>
        <w:rPr>
          <w:rFonts w:ascii="Palatino Linotype" w:eastAsia="Palatino Linotype" w:hAnsi="Palatino Linotype" w:cs="Palatino Linotype"/>
          <w:sz w:val="24"/>
          <w:szCs w:val="24"/>
        </w:rPr>
      </w:pPr>
    </w:p>
    <w:p w14:paraId="3A1AD0FC"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Quedando en ambos casos el acto combatido sin materia o sin efectos.</w:t>
      </w:r>
    </w:p>
    <w:p w14:paraId="31D0199B"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77322C8"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Como se observa de lo anterior, un acto impugnado es modificado en aquellos casos en los que el Sujeto Obligado después de haber otorgado una respuesta, o haber omitido hacerlo (acto de no hacer), emite una o una diversa de manera posterior y </w:t>
      </w:r>
      <w:r w:rsidRPr="00A5004A">
        <w:rPr>
          <w:rFonts w:ascii="Palatino Linotype" w:eastAsia="Palatino Linotype" w:hAnsi="Palatino Linotype" w:cs="Palatino Linotype"/>
          <w:sz w:val="24"/>
          <w:szCs w:val="24"/>
        </w:rPr>
        <w:lastRenderedPageBreak/>
        <w:t xml:space="preserve">en ésta subsana las deficiencias que hubiera tenido, quedando satisfecho el derecho subjetivo accionado por la parte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w:t>
      </w:r>
    </w:p>
    <w:p w14:paraId="370A1378"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899C102"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D8E181B"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F3FAE5C"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En este orden de ideas, un acto impugnado queda sin efectos, cuando aun existiendo jurídicamente (esto es, que no se ha modificado, ni revocado) ya no genera ninguna consecuencia legal.</w:t>
      </w:r>
    </w:p>
    <w:p w14:paraId="3910BE23"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25B1FD4"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En tanto que, un acto impugnado queda sin materia, cuando ha sido satisfecha la pretensión del recurrente de manera que el Sujeto Obligado entrega una </w:t>
      </w:r>
      <w:proofErr w:type="gramStart"/>
      <w:r w:rsidRPr="00A5004A">
        <w:rPr>
          <w:rFonts w:ascii="Palatino Linotype" w:eastAsia="Palatino Linotype" w:hAnsi="Palatino Linotype" w:cs="Palatino Linotype"/>
          <w:sz w:val="24"/>
          <w:szCs w:val="24"/>
        </w:rPr>
        <w:t>respuesta</w:t>
      </w:r>
      <w:proofErr w:type="gramEnd"/>
      <w:r w:rsidRPr="00A5004A">
        <w:rPr>
          <w:rFonts w:ascii="Palatino Linotype" w:eastAsia="Palatino Linotype" w:hAnsi="Palatino Linotype" w:cs="Palatino Linotype"/>
          <w:sz w:val="24"/>
          <w:szCs w:val="24"/>
        </w:rPr>
        <w:t xml:space="preserve"> aunque sea posterior a los términos previstos en la ley y mediante esta concede la información solicitada.</w:t>
      </w:r>
    </w:p>
    <w:p w14:paraId="0CE0DD10"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98D6882"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 xml:space="preserve">De lo hasta aquí expuesto, resulta evidente que 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modificó la respuesta a la solicitud de acceso a la información pública de la persona solicitante, al entregar la estadística solicitada, aunque ello haya sido de manera posterior a su respuesta inicial, por tal motivo, debe tenerse que con lo entregado por 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se satisface la solicitud planteada, con lo cual quedo sin materia el presente recurso de revisión, actualizándose entonces, la causal prevista en la </w:t>
      </w:r>
      <w:r w:rsidRPr="00A5004A">
        <w:rPr>
          <w:rFonts w:ascii="Palatino Linotype" w:eastAsia="Palatino Linotype" w:hAnsi="Palatino Linotype" w:cs="Palatino Linotype"/>
          <w:sz w:val="24"/>
          <w:szCs w:val="24"/>
        </w:rPr>
        <w:lastRenderedPageBreak/>
        <w:t>fracción III del artículo 192 de la Ley de la Materia vigente en la Entidad, antes transcrita. </w:t>
      </w:r>
    </w:p>
    <w:p w14:paraId="30EF17D2"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F71AFE6"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A5004A">
        <w:rPr>
          <w:rFonts w:ascii="Palatino Linotype" w:eastAsia="Palatino Linotype" w:hAnsi="Palatino Linotype" w:cs="Palatino Linotype"/>
          <w:sz w:val="24"/>
          <w:szCs w:val="24"/>
        </w:rPr>
        <w:t xml:space="preserve">Siendo el </w:t>
      </w:r>
      <w:r w:rsidRPr="00A5004A">
        <w:rPr>
          <w:rFonts w:ascii="Palatino Linotype" w:eastAsia="Palatino Linotype" w:hAnsi="Palatino Linotype" w:cs="Palatino Linotype"/>
          <w:i/>
          <w:sz w:val="24"/>
          <w:szCs w:val="24"/>
        </w:rPr>
        <w:t>sobreseimiento</w:t>
      </w:r>
      <w:r w:rsidRPr="00A5004A">
        <w:rPr>
          <w:rFonts w:ascii="Palatino Linotype" w:eastAsia="Palatino Linotype" w:hAnsi="Palatino Linotype" w:cs="Palatino Linotype"/>
          <w:sz w:val="24"/>
          <w:szCs w:val="24"/>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A5004A">
        <w:rPr>
          <w:rFonts w:ascii="Palatino Linotype" w:eastAsia="Palatino Linotype" w:hAnsi="Palatino Linotype" w:cs="Palatino Linotype"/>
          <w:b/>
          <w:sz w:val="24"/>
          <w:szCs w:val="24"/>
        </w:rPr>
        <w:t>SOBRESEIMIENTO, NO PERMITE ENTRAR AL ESTUDIO DE LAS CUESTIONES DE FONDO.</w:t>
      </w:r>
    </w:p>
    <w:p w14:paraId="2775F7E0"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3B326BC"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AE1FCBF"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AAA0E5F" w14:textId="77777777" w:rsidR="00CB7F7F" w:rsidRPr="00A5004A" w:rsidRDefault="00C208D7">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A5004A">
        <w:rPr>
          <w:rFonts w:ascii="Palatino Linotype" w:eastAsia="Palatino Linotype" w:hAnsi="Palatino Linotype" w:cs="Palatino Linotype"/>
          <w:b/>
          <w:sz w:val="24"/>
          <w:szCs w:val="24"/>
        </w:rPr>
        <w:t>R E S U E L V E</w:t>
      </w:r>
    </w:p>
    <w:p w14:paraId="38F603F7" w14:textId="77777777" w:rsidR="00CB7F7F" w:rsidRPr="00A5004A" w:rsidRDefault="00CB7F7F">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5102F013"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 xml:space="preserve">PRIMERO. </w:t>
      </w:r>
      <w:r w:rsidRPr="00A5004A">
        <w:rPr>
          <w:rFonts w:ascii="Palatino Linotype" w:eastAsia="Palatino Linotype" w:hAnsi="Palatino Linotype" w:cs="Palatino Linotype"/>
          <w:sz w:val="24"/>
          <w:szCs w:val="24"/>
        </w:rPr>
        <w:t>Se</w:t>
      </w:r>
      <w:r w:rsidRPr="00A5004A">
        <w:rPr>
          <w:rFonts w:ascii="Palatino Linotype" w:eastAsia="Palatino Linotype" w:hAnsi="Palatino Linotype" w:cs="Palatino Linotype"/>
          <w:b/>
          <w:sz w:val="24"/>
          <w:szCs w:val="24"/>
        </w:rPr>
        <w:t xml:space="preserve"> Sobresee </w:t>
      </w:r>
      <w:r w:rsidRPr="00A5004A">
        <w:rPr>
          <w:rFonts w:ascii="Palatino Linotype" w:eastAsia="Palatino Linotype" w:hAnsi="Palatino Linotype" w:cs="Palatino Linotype"/>
          <w:sz w:val="24"/>
          <w:szCs w:val="24"/>
        </w:rPr>
        <w:t xml:space="preserve">el recurso de revisión número </w:t>
      </w:r>
      <w:r w:rsidRPr="00A5004A">
        <w:rPr>
          <w:rFonts w:ascii="Palatino Linotype" w:eastAsia="Palatino Linotype" w:hAnsi="Palatino Linotype" w:cs="Palatino Linotype"/>
          <w:b/>
          <w:sz w:val="24"/>
          <w:szCs w:val="24"/>
        </w:rPr>
        <w:t xml:space="preserve">11504/INFOEM/IP/RR/2022, </w:t>
      </w:r>
      <w:r w:rsidRPr="00A5004A">
        <w:rPr>
          <w:rFonts w:ascii="Palatino Linotype" w:eastAsia="Palatino Linotype" w:hAnsi="Palatino Linotype" w:cs="Palatino Linotype"/>
          <w:sz w:val="24"/>
          <w:szCs w:val="24"/>
        </w:rPr>
        <w:t xml:space="preserve">porque al </w:t>
      </w:r>
      <w:r w:rsidRPr="00A5004A">
        <w:rPr>
          <w:rFonts w:ascii="Palatino Linotype" w:eastAsia="Palatino Linotype" w:hAnsi="Palatino Linotype" w:cs="Palatino Linotype"/>
          <w:b/>
          <w:sz w:val="24"/>
          <w:szCs w:val="24"/>
        </w:rPr>
        <w:t>modificar la respuesta</w:t>
      </w:r>
      <w:r w:rsidRPr="00A5004A">
        <w:rPr>
          <w:rFonts w:ascii="Palatino Linotype" w:eastAsia="Palatino Linotype" w:hAnsi="Palatino Linotype" w:cs="Palatino Linotype"/>
          <w:sz w:val="24"/>
          <w:szCs w:val="24"/>
        </w:rPr>
        <w:t xml:space="preserve"> se actualizó la causal prevista en el artículo 192, </w:t>
      </w:r>
      <w:r w:rsidRPr="00A5004A">
        <w:rPr>
          <w:rFonts w:ascii="Palatino Linotype" w:eastAsia="Palatino Linotype" w:hAnsi="Palatino Linotype" w:cs="Palatino Linotype"/>
          <w:sz w:val="24"/>
          <w:szCs w:val="24"/>
        </w:rPr>
        <w:lastRenderedPageBreak/>
        <w:t xml:space="preserve">fracción III, de la Ley de Transparencia y Acceso a la Información Pública del Estado de México y Municipios, quedando sin materia en términos del considerando </w:t>
      </w:r>
      <w:r w:rsidRPr="00A5004A">
        <w:rPr>
          <w:rFonts w:ascii="Palatino Linotype" w:eastAsia="Palatino Linotype" w:hAnsi="Palatino Linotype" w:cs="Palatino Linotype"/>
          <w:b/>
          <w:sz w:val="24"/>
          <w:szCs w:val="24"/>
        </w:rPr>
        <w:t xml:space="preserve">Tercero </w:t>
      </w:r>
      <w:r w:rsidRPr="00A5004A">
        <w:rPr>
          <w:rFonts w:ascii="Palatino Linotype" w:eastAsia="Palatino Linotype" w:hAnsi="Palatino Linotype" w:cs="Palatino Linotype"/>
          <w:sz w:val="24"/>
          <w:szCs w:val="24"/>
        </w:rPr>
        <w:t>de la presente Resolución.</w:t>
      </w:r>
    </w:p>
    <w:p w14:paraId="78C0DE78"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A238C12"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 xml:space="preserve">SEGUNDO. Notifíquese vía </w:t>
      </w:r>
      <w:r w:rsidRPr="00A5004A">
        <w:rPr>
          <w:rFonts w:ascii="Palatino Linotype" w:eastAsia="Palatino Linotype" w:hAnsi="Palatino Linotype" w:cs="Palatino Linotype"/>
          <w:sz w:val="24"/>
          <w:szCs w:val="24"/>
        </w:rPr>
        <w:t>Sistema de Acceso a la Información Mexiquense (</w:t>
      </w:r>
      <w:r w:rsidRPr="00A5004A">
        <w:rPr>
          <w:rFonts w:ascii="Palatino Linotype" w:eastAsia="Palatino Linotype" w:hAnsi="Palatino Linotype" w:cs="Palatino Linotype"/>
          <w:b/>
          <w:sz w:val="24"/>
          <w:szCs w:val="24"/>
        </w:rPr>
        <w:t>SAIMEX)</w:t>
      </w:r>
      <w:r w:rsidRPr="00A5004A">
        <w:rPr>
          <w:rFonts w:ascii="Palatino Linotype" w:eastAsia="Palatino Linotype" w:hAnsi="Palatino Linotype" w:cs="Palatino Linotype"/>
          <w:b/>
          <w:i/>
          <w:sz w:val="24"/>
          <w:szCs w:val="24"/>
        </w:rPr>
        <w:t xml:space="preserve">, </w:t>
      </w:r>
      <w:r w:rsidRPr="00A5004A">
        <w:rPr>
          <w:rFonts w:ascii="Palatino Linotype" w:eastAsia="Palatino Linotype" w:hAnsi="Palatino Linotype" w:cs="Palatino Linotype"/>
          <w:sz w:val="24"/>
          <w:szCs w:val="24"/>
        </w:rPr>
        <w:t xml:space="preserve">al Titular de la Unidad de Transparencia del </w:t>
      </w:r>
      <w:r w:rsidRPr="00A5004A">
        <w:rPr>
          <w:rFonts w:ascii="Palatino Linotype" w:eastAsia="Palatino Linotype" w:hAnsi="Palatino Linotype" w:cs="Palatino Linotype"/>
          <w:b/>
          <w:sz w:val="24"/>
          <w:szCs w:val="24"/>
        </w:rPr>
        <w:t>SUJETO OBLIGADO</w:t>
      </w:r>
      <w:r w:rsidRPr="00A5004A">
        <w:rPr>
          <w:rFonts w:ascii="Palatino Linotype" w:eastAsia="Palatino Linotype" w:hAnsi="Palatino Linotype" w:cs="Palatino Linotype"/>
          <w:sz w:val="24"/>
          <w:szCs w:val="24"/>
        </w:rPr>
        <w:t xml:space="preserve"> la presente resolución, para su conocimiento.</w:t>
      </w:r>
    </w:p>
    <w:p w14:paraId="60C1465C" w14:textId="77777777" w:rsidR="00CB7F7F" w:rsidRPr="00A5004A" w:rsidRDefault="00CB7F7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1B51D9F" w14:textId="77777777" w:rsidR="00CB7F7F" w:rsidRPr="00A5004A" w:rsidRDefault="00C208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5004A">
        <w:rPr>
          <w:rFonts w:ascii="Palatino Linotype" w:eastAsia="Palatino Linotype" w:hAnsi="Palatino Linotype" w:cs="Palatino Linotype"/>
          <w:b/>
          <w:sz w:val="24"/>
          <w:szCs w:val="24"/>
        </w:rPr>
        <w:t xml:space="preserve">TERCERO. Notifíquese, </w:t>
      </w:r>
      <w:r w:rsidRPr="00A5004A">
        <w:rPr>
          <w:rFonts w:ascii="Palatino Linotype" w:eastAsia="Palatino Linotype" w:hAnsi="Palatino Linotype" w:cs="Palatino Linotype"/>
          <w:sz w:val="24"/>
          <w:szCs w:val="24"/>
        </w:rPr>
        <w:t>vía</w:t>
      </w:r>
      <w:r w:rsidRPr="00A5004A">
        <w:rPr>
          <w:rFonts w:ascii="Palatino Linotype" w:eastAsia="Palatino Linotype" w:hAnsi="Palatino Linotype" w:cs="Palatino Linotype"/>
          <w:b/>
          <w:sz w:val="24"/>
          <w:szCs w:val="24"/>
        </w:rPr>
        <w:t xml:space="preserve"> SAIMEX</w:t>
      </w:r>
      <w:r w:rsidRPr="00A5004A">
        <w:rPr>
          <w:rFonts w:ascii="Palatino Linotype" w:eastAsia="Palatino Linotype" w:hAnsi="Palatino Linotype" w:cs="Palatino Linotype"/>
          <w:sz w:val="24"/>
          <w:szCs w:val="24"/>
        </w:rPr>
        <w:t>, a</w:t>
      </w:r>
      <w:r w:rsidRPr="00A5004A">
        <w:rPr>
          <w:rFonts w:ascii="Palatino Linotype" w:eastAsia="Palatino Linotype" w:hAnsi="Palatino Linotype" w:cs="Palatino Linotype"/>
          <w:b/>
          <w:sz w:val="24"/>
          <w:szCs w:val="24"/>
        </w:rPr>
        <w:t xml:space="preserve"> </w:t>
      </w:r>
      <w:r w:rsidRPr="00A5004A">
        <w:rPr>
          <w:rFonts w:ascii="Palatino Linotype" w:eastAsia="Palatino Linotype" w:hAnsi="Palatino Linotype" w:cs="Palatino Linotype"/>
          <w:sz w:val="24"/>
          <w:szCs w:val="24"/>
        </w:rPr>
        <w:t xml:space="preserve">la parte </w:t>
      </w:r>
      <w:r w:rsidRPr="00A5004A">
        <w:rPr>
          <w:rFonts w:ascii="Palatino Linotype" w:eastAsia="Palatino Linotype" w:hAnsi="Palatino Linotype" w:cs="Palatino Linotype"/>
          <w:b/>
          <w:sz w:val="24"/>
          <w:szCs w:val="24"/>
        </w:rPr>
        <w:t>Recurrente</w:t>
      </w:r>
      <w:r w:rsidRPr="00A5004A">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C3E53AC" w14:textId="77777777" w:rsidR="00CB7F7F" w:rsidRPr="00A5004A" w:rsidRDefault="00CB7F7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E1CD184" w14:textId="77777777" w:rsidR="00CB7F7F" w:rsidRPr="00A5004A" w:rsidRDefault="00C208D7">
      <w:pPr>
        <w:pBdr>
          <w:top w:val="nil"/>
          <w:left w:val="nil"/>
          <w:bottom w:val="nil"/>
          <w:right w:val="nil"/>
          <w:between w:val="nil"/>
        </w:pBdr>
        <w:spacing w:after="240" w:line="360" w:lineRule="auto"/>
        <w:jc w:val="both"/>
        <w:rPr>
          <w:rFonts w:ascii="Times New Roman" w:eastAsia="Times New Roman" w:hAnsi="Times New Roman" w:cs="Times New Roman"/>
          <w:sz w:val="24"/>
          <w:szCs w:val="24"/>
        </w:rPr>
      </w:pPr>
      <w:bookmarkStart w:id="1" w:name="_heading=h.3rdcrjn" w:colFirst="0" w:colLast="0"/>
      <w:bookmarkEnd w:id="1"/>
      <w:r w:rsidRPr="00A5004A">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VEINTICINCO DE ENERO DE DOS MIL VEINTITRÉS, ANTE EL SECRETARIO TÉCNICO DEL PLENO ALEXIS TAPIA RAMÍREZ.</w:t>
      </w:r>
    </w:p>
    <w:p w14:paraId="029E7B3D" w14:textId="77777777" w:rsidR="00CB7F7F" w:rsidRPr="00A5004A" w:rsidRDefault="00CB7F7F">
      <w:pPr>
        <w:spacing w:after="0" w:line="360" w:lineRule="auto"/>
        <w:ind w:right="-234"/>
        <w:jc w:val="both"/>
      </w:pPr>
    </w:p>
    <w:sectPr w:rsidR="00CB7F7F" w:rsidRPr="00A5004A">
      <w:headerReference w:type="default" r:id="rId11"/>
      <w:footerReference w:type="default" r:id="rId12"/>
      <w:headerReference w:type="first" r:id="rId13"/>
      <w:footerReference w:type="first" r:id="rId1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A43D0" w14:textId="77777777" w:rsidR="005756F1" w:rsidRDefault="005756F1">
      <w:pPr>
        <w:spacing w:after="0" w:line="240" w:lineRule="auto"/>
      </w:pPr>
      <w:r>
        <w:separator/>
      </w:r>
    </w:p>
  </w:endnote>
  <w:endnote w:type="continuationSeparator" w:id="0">
    <w:p w14:paraId="0BFFA2EF" w14:textId="77777777" w:rsidR="005756F1" w:rsidRDefault="0057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52A6" w14:textId="77777777" w:rsidR="00CB7F7F" w:rsidRDefault="00C208D7">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A1B48">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A1B48">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676B7528" w14:textId="77777777" w:rsidR="00CB7F7F" w:rsidRDefault="00CB7F7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726E" w14:textId="77777777" w:rsidR="00CB7F7F" w:rsidRDefault="00C208D7">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A1B4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A1B48">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293CC738" w14:textId="77777777" w:rsidR="00CB7F7F" w:rsidRDefault="00CB7F7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98269" w14:textId="77777777" w:rsidR="005756F1" w:rsidRDefault="005756F1">
      <w:pPr>
        <w:spacing w:after="0" w:line="240" w:lineRule="auto"/>
      </w:pPr>
      <w:r>
        <w:separator/>
      </w:r>
    </w:p>
  </w:footnote>
  <w:footnote w:type="continuationSeparator" w:id="0">
    <w:p w14:paraId="13168D23" w14:textId="77777777" w:rsidR="005756F1" w:rsidRDefault="005756F1">
      <w:pPr>
        <w:spacing w:after="0" w:line="240" w:lineRule="auto"/>
      </w:pPr>
      <w:r>
        <w:continuationSeparator/>
      </w:r>
    </w:p>
  </w:footnote>
  <w:footnote w:id="1">
    <w:p w14:paraId="3DAC0B9C" w14:textId="77777777" w:rsidR="00CB7F7F" w:rsidRDefault="00C208D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C463A57" w14:textId="77777777" w:rsidR="00CB7F7F" w:rsidRDefault="00C208D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D38C6D6" w14:textId="77777777" w:rsidR="00CB7F7F" w:rsidRDefault="00C208D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91. El acceso a la información pública será restringido excepcionalmente, cuando ésta sea clasificada como reservada o confidencial.</w:t>
      </w:r>
    </w:p>
  </w:footnote>
  <w:footnote w:id="3">
    <w:p w14:paraId="0630F888" w14:textId="77777777" w:rsidR="00CB7F7F" w:rsidRDefault="00C208D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 en el Diario Oficial de la Federación el 15 de abril de 2016.</w:t>
      </w:r>
    </w:p>
  </w:footnote>
  <w:footnote w:id="4">
    <w:p w14:paraId="1FBB2564" w14:textId="77777777" w:rsidR="00CB7F7F" w:rsidRDefault="00C208D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699638B4" w14:textId="77777777" w:rsidR="00CB7F7F" w:rsidRDefault="00C208D7">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430A4741" w14:textId="77777777" w:rsidR="00CB7F7F" w:rsidRDefault="00C208D7">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 w:id="5">
    <w:p w14:paraId="7C5C57BC" w14:textId="77777777" w:rsidR="00CB7F7F" w:rsidRDefault="00C208D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7D9EC04D" w14:textId="77777777" w:rsidR="00CB7F7F" w:rsidRDefault="00C208D7">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4E4457A9" w14:textId="77777777" w:rsidR="00CB7F7F" w:rsidRDefault="00C208D7">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BFE4" w14:textId="77777777" w:rsidR="00CB7F7F" w:rsidRDefault="00CB7F7F">
    <w:pPr>
      <w:widowControl w:val="0"/>
      <w:pBdr>
        <w:top w:val="nil"/>
        <w:left w:val="nil"/>
        <w:bottom w:val="nil"/>
        <w:right w:val="nil"/>
        <w:between w:val="nil"/>
      </w:pBdr>
      <w:spacing w:after="0" w:line="276" w:lineRule="auto"/>
      <w:rPr>
        <w:color w:val="000000"/>
      </w:rPr>
    </w:pPr>
  </w:p>
  <w:tbl>
    <w:tblPr>
      <w:tblStyle w:val="a6"/>
      <w:tblW w:w="10273" w:type="dxa"/>
      <w:tblInd w:w="-1281" w:type="dxa"/>
      <w:tblLayout w:type="fixed"/>
      <w:tblLook w:val="0400" w:firstRow="0" w:lastRow="0" w:firstColumn="0" w:lastColumn="0" w:noHBand="0" w:noVBand="1"/>
    </w:tblPr>
    <w:tblGrid>
      <w:gridCol w:w="5716"/>
      <w:gridCol w:w="4557"/>
    </w:tblGrid>
    <w:tr w:rsidR="00CB7F7F" w14:paraId="74E7D9DE" w14:textId="77777777">
      <w:trPr>
        <w:trHeight w:val="246"/>
      </w:trPr>
      <w:tc>
        <w:tcPr>
          <w:tcW w:w="5716" w:type="dxa"/>
        </w:tcPr>
        <w:p w14:paraId="1D6465CC" w14:textId="77777777" w:rsidR="00CB7F7F" w:rsidRDefault="00C208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2FA20007" w14:textId="77777777" w:rsidR="00CB7F7F" w:rsidRDefault="00C208D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11504/INFOEM/IP/RR/2022.</w:t>
          </w:r>
        </w:p>
      </w:tc>
    </w:tr>
    <w:tr w:rsidR="00CB7F7F" w14:paraId="1EB1D99A" w14:textId="77777777">
      <w:trPr>
        <w:trHeight w:val="212"/>
      </w:trPr>
      <w:tc>
        <w:tcPr>
          <w:tcW w:w="5716" w:type="dxa"/>
        </w:tcPr>
        <w:p w14:paraId="7D9E04DE" w14:textId="77777777" w:rsidR="00CB7F7F" w:rsidRDefault="00C208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322DB628" w14:textId="77777777" w:rsidR="00CB7F7F" w:rsidRDefault="00CB7F7F">
          <w:pPr>
            <w:spacing w:after="120"/>
            <w:ind w:left="-252" w:firstLine="567"/>
            <w:jc w:val="right"/>
            <w:rPr>
              <w:rFonts w:ascii="Palatino Linotype" w:eastAsia="Palatino Linotype" w:hAnsi="Palatino Linotype" w:cs="Palatino Linotype"/>
            </w:rPr>
          </w:pPr>
        </w:p>
      </w:tc>
    </w:tr>
    <w:tr w:rsidR="00CB7F7F" w14:paraId="3BDB9D90" w14:textId="77777777">
      <w:trPr>
        <w:trHeight w:val="264"/>
      </w:trPr>
      <w:tc>
        <w:tcPr>
          <w:tcW w:w="5716" w:type="dxa"/>
        </w:tcPr>
        <w:p w14:paraId="27F59DD9" w14:textId="77777777" w:rsidR="00CB7F7F" w:rsidRDefault="00C208D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14B54A74" w14:textId="77777777" w:rsidR="00CB7F7F" w:rsidRDefault="00C208D7">
          <w:pPr>
            <w:pBdr>
              <w:top w:val="nil"/>
              <w:left w:val="nil"/>
              <w:bottom w:val="nil"/>
              <w:right w:val="nil"/>
              <w:between w:val="nil"/>
            </w:pBdr>
            <w:ind w:left="-252"/>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Instituto Hacendario del </w:t>
          </w:r>
        </w:p>
        <w:p w14:paraId="09F5F599" w14:textId="77777777" w:rsidR="00CB7F7F" w:rsidRDefault="00C208D7">
          <w:pPr>
            <w:pBdr>
              <w:top w:val="nil"/>
              <w:left w:val="nil"/>
              <w:bottom w:val="nil"/>
              <w:right w:val="nil"/>
              <w:between w:val="nil"/>
            </w:pBdr>
            <w:ind w:left="-252"/>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Estado de México</w:t>
          </w:r>
        </w:p>
      </w:tc>
    </w:tr>
    <w:tr w:rsidR="00CB7F7F" w14:paraId="188D51CE" w14:textId="77777777">
      <w:trPr>
        <w:trHeight w:val="373"/>
      </w:trPr>
      <w:tc>
        <w:tcPr>
          <w:tcW w:w="5716" w:type="dxa"/>
        </w:tcPr>
        <w:p w14:paraId="733872E1" w14:textId="77777777" w:rsidR="00CB7F7F" w:rsidRDefault="00C208D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579C0C36" w14:textId="77777777" w:rsidR="00CB7F7F" w:rsidRDefault="00C208D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0880BAE" w14:textId="77777777" w:rsidR="00CB7F7F" w:rsidRDefault="00C208D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2AF26AE" wp14:editId="646BA997">
          <wp:simplePos x="0" y="0"/>
          <wp:positionH relativeFrom="column">
            <wp:posOffset>-683893</wp:posOffset>
          </wp:positionH>
          <wp:positionV relativeFrom="paragraph">
            <wp:posOffset>-1738627</wp:posOffset>
          </wp:positionV>
          <wp:extent cx="7809865" cy="10165715"/>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E4CC" w14:textId="77777777" w:rsidR="00CB7F7F" w:rsidRDefault="00CB7F7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5"/>
      <w:tblW w:w="10273" w:type="dxa"/>
      <w:tblInd w:w="-1281" w:type="dxa"/>
      <w:tblLayout w:type="fixed"/>
      <w:tblLook w:val="0400" w:firstRow="0" w:lastRow="0" w:firstColumn="0" w:lastColumn="0" w:noHBand="0" w:noVBand="1"/>
    </w:tblPr>
    <w:tblGrid>
      <w:gridCol w:w="5716"/>
      <w:gridCol w:w="4557"/>
    </w:tblGrid>
    <w:tr w:rsidR="00CB7F7F" w14:paraId="3732320C" w14:textId="77777777">
      <w:trPr>
        <w:trHeight w:val="246"/>
      </w:trPr>
      <w:tc>
        <w:tcPr>
          <w:tcW w:w="5716" w:type="dxa"/>
        </w:tcPr>
        <w:p w14:paraId="6D640FC4" w14:textId="77777777" w:rsidR="00CB7F7F" w:rsidRDefault="00C208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32BDD21B" w14:textId="77777777" w:rsidR="00CB7F7F" w:rsidRDefault="00C208D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11504/INFOEM/IP/RR/2022.</w:t>
          </w:r>
        </w:p>
      </w:tc>
    </w:tr>
    <w:tr w:rsidR="00CB7F7F" w14:paraId="16BDE055" w14:textId="77777777">
      <w:trPr>
        <w:trHeight w:val="212"/>
      </w:trPr>
      <w:tc>
        <w:tcPr>
          <w:tcW w:w="5716" w:type="dxa"/>
        </w:tcPr>
        <w:p w14:paraId="1BB6C0D7" w14:textId="77777777" w:rsidR="00CB7F7F" w:rsidRDefault="00C208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D10C0B6" w14:textId="67738A7A" w:rsidR="00CB7F7F" w:rsidRDefault="0067100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XXXXXXXXX </w:t>
          </w:r>
          <w:proofErr w:type="spellStart"/>
          <w:r>
            <w:rPr>
              <w:rFonts w:ascii="Palatino Linotype" w:eastAsia="Palatino Linotype" w:hAnsi="Palatino Linotype" w:cs="Palatino Linotype"/>
            </w:rPr>
            <w:t>XXXXXXXXX</w:t>
          </w:r>
          <w:proofErr w:type="spellEnd"/>
          <w:r>
            <w:rPr>
              <w:rFonts w:ascii="Palatino Linotype" w:eastAsia="Palatino Linotype" w:hAnsi="Palatino Linotype" w:cs="Palatino Linotype"/>
            </w:rPr>
            <w:t xml:space="preserve"> XXXXXX</w:t>
          </w:r>
        </w:p>
      </w:tc>
    </w:tr>
    <w:tr w:rsidR="00CB7F7F" w14:paraId="28B7ED90" w14:textId="77777777">
      <w:trPr>
        <w:trHeight w:val="264"/>
      </w:trPr>
      <w:tc>
        <w:tcPr>
          <w:tcW w:w="5716" w:type="dxa"/>
        </w:tcPr>
        <w:p w14:paraId="0D53EB08" w14:textId="77777777" w:rsidR="00CB7F7F" w:rsidRDefault="00C208D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676C56B0" w14:textId="77777777" w:rsidR="00CB7F7F" w:rsidRDefault="00C208D7">
          <w:pPr>
            <w:pBdr>
              <w:top w:val="nil"/>
              <w:left w:val="nil"/>
              <w:bottom w:val="nil"/>
              <w:right w:val="nil"/>
              <w:between w:val="nil"/>
            </w:pBdr>
            <w:ind w:left="-252"/>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Instituto Hacendario del </w:t>
          </w:r>
        </w:p>
        <w:p w14:paraId="42469466" w14:textId="77777777" w:rsidR="00CB7F7F" w:rsidRDefault="00C208D7">
          <w:pPr>
            <w:pBdr>
              <w:top w:val="nil"/>
              <w:left w:val="nil"/>
              <w:bottom w:val="nil"/>
              <w:right w:val="nil"/>
              <w:between w:val="nil"/>
            </w:pBdr>
            <w:ind w:left="-252"/>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Estado de México</w:t>
          </w:r>
        </w:p>
      </w:tc>
    </w:tr>
    <w:tr w:rsidR="00CB7F7F" w14:paraId="7E6E881E" w14:textId="77777777">
      <w:trPr>
        <w:trHeight w:val="373"/>
      </w:trPr>
      <w:tc>
        <w:tcPr>
          <w:tcW w:w="5716" w:type="dxa"/>
        </w:tcPr>
        <w:p w14:paraId="3321855B" w14:textId="77777777" w:rsidR="00CB7F7F" w:rsidRDefault="00C208D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805B7F2" w14:textId="77777777" w:rsidR="00CB7F7F" w:rsidRDefault="00C208D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168D27E" w14:textId="77777777" w:rsidR="00CB7F7F" w:rsidRDefault="00C208D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155F188" wp14:editId="291FA28F">
          <wp:simplePos x="0" y="0"/>
          <wp:positionH relativeFrom="column">
            <wp:posOffset>-664843</wp:posOffset>
          </wp:positionH>
          <wp:positionV relativeFrom="paragraph">
            <wp:posOffset>-1671952</wp:posOffset>
          </wp:positionV>
          <wp:extent cx="7809865" cy="1016571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7565"/>
    <w:multiLevelType w:val="multilevel"/>
    <w:tmpl w:val="0DB421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6236F9"/>
    <w:multiLevelType w:val="multilevel"/>
    <w:tmpl w:val="8054AC6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2D53AF"/>
    <w:multiLevelType w:val="multilevel"/>
    <w:tmpl w:val="645A35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E37816"/>
    <w:multiLevelType w:val="multilevel"/>
    <w:tmpl w:val="49B2B1F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7F"/>
    <w:rsid w:val="001638E0"/>
    <w:rsid w:val="002A5104"/>
    <w:rsid w:val="003C1B3C"/>
    <w:rsid w:val="00403218"/>
    <w:rsid w:val="005756F1"/>
    <w:rsid w:val="0067100C"/>
    <w:rsid w:val="00A3778B"/>
    <w:rsid w:val="00A5004A"/>
    <w:rsid w:val="00C208D7"/>
    <w:rsid w:val="00CB7F7F"/>
    <w:rsid w:val="00CD3224"/>
    <w:rsid w:val="00FA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BA4DE"/>
  <w15:docId w15:val="{B17B4E09-AE0A-4A40-9F85-42A3275B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7D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F17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17DF"/>
  </w:style>
  <w:style w:type="paragraph" w:styleId="Piedepgina">
    <w:name w:val="footer"/>
    <w:basedOn w:val="Normal"/>
    <w:link w:val="PiedepginaCar"/>
    <w:uiPriority w:val="99"/>
    <w:unhideWhenUsed/>
    <w:rsid w:val="00CF17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7D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50EF"/>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7D97"/>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7D9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67D97"/>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7D97"/>
    <w:rPr>
      <w:rFonts w:ascii="Calibri" w:eastAsia="Calibri" w:hAnsi="Calibri" w:cs="Calibri"/>
      <w:lang w:eastAsia="es-MX"/>
    </w:rPr>
  </w:style>
  <w:style w:type="paragraph" w:styleId="NormalWeb">
    <w:name w:val="Normal (Web)"/>
    <w:basedOn w:val="Normal"/>
    <w:uiPriority w:val="99"/>
    <w:rsid w:val="00F67D9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zwwijq3PQ+912Xzwi3D/KK65XA==">AMUW2mWzMoySCLFBMSmpjhYWfAb5Xvocbh7rhsyzoIDy9HqbOCQffmTVyyWHqLF2OLYnsHJTxlnhyj/tFgTxLeq9jRmwNwvkxFxPqybtwv+eCfIggr8T9QRve4RAAJ5SqfBMD3CnCfoL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9631</Words>
  <Characters>52974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2023-01-27T15:50:00Z</cp:lastPrinted>
  <dcterms:created xsi:type="dcterms:W3CDTF">2023-01-30T20:58:00Z</dcterms:created>
  <dcterms:modified xsi:type="dcterms:W3CDTF">2023-01-30T20:58:00Z</dcterms:modified>
</cp:coreProperties>
</file>