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AF2A26" w:rsidRPr="008561BE">
        <w:rPr>
          <w:rFonts w:ascii="Palatino Linotype" w:eastAsia="Palatino Linotype" w:hAnsi="Palatino Linotype" w:cs="Palatino Linotype"/>
          <w:b/>
        </w:rPr>
        <w:t>tres de octu</w:t>
      </w:r>
      <w:r w:rsidRPr="008561BE">
        <w:rPr>
          <w:rFonts w:ascii="Palatino Linotype" w:eastAsia="Palatino Linotype" w:hAnsi="Palatino Linotype" w:cs="Palatino Linotype"/>
          <w:b/>
        </w:rPr>
        <w:t>bre de dos mil veintitrés</w:t>
      </w:r>
      <w:r w:rsidRPr="008561BE">
        <w:rPr>
          <w:rFonts w:ascii="Palatino Linotype" w:eastAsia="Palatino Linotype" w:hAnsi="Palatino Linotype" w:cs="Palatino Linotype"/>
        </w:rPr>
        <w:t xml:space="preserve">. </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b/>
        </w:rPr>
        <w:t>Visto</w:t>
      </w:r>
      <w:r w:rsidRPr="008561BE">
        <w:rPr>
          <w:rFonts w:ascii="Palatino Linotype" w:eastAsia="Palatino Linotype" w:hAnsi="Palatino Linotype" w:cs="Palatino Linotype"/>
        </w:rPr>
        <w:t xml:space="preserve"> el expediente formado con motivo del recurso de revisión </w:t>
      </w:r>
      <w:r w:rsidRPr="008561BE">
        <w:rPr>
          <w:rFonts w:ascii="Palatino Linotype" w:eastAsia="Palatino Linotype" w:hAnsi="Palatino Linotype" w:cs="Palatino Linotype"/>
          <w:b/>
        </w:rPr>
        <w:t>01889/INFOEM/IP/RR/2023</w:t>
      </w:r>
      <w:r w:rsidRPr="008561BE">
        <w:rPr>
          <w:rFonts w:ascii="Palatino Linotype" w:eastAsia="Palatino Linotype" w:hAnsi="Palatino Linotype" w:cs="Palatino Linotype"/>
        </w:rPr>
        <w:t>, interpuesto por</w:t>
      </w:r>
      <w:r w:rsidR="00180BF3">
        <w:rPr>
          <w:rFonts w:ascii="Palatino Linotype" w:eastAsia="Palatino Linotype" w:hAnsi="Palatino Linotype" w:cs="Palatino Linotype"/>
          <w:b/>
        </w:rPr>
        <w:t xml:space="preserve"> XXXXXXXXX XXXXXXXX XXXXX</w:t>
      </w:r>
      <w:r w:rsidRPr="008561BE">
        <w:rPr>
          <w:rFonts w:ascii="Palatino Linotype" w:eastAsia="Palatino Linotype" w:hAnsi="Palatino Linotype" w:cs="Palatino Linotype"/>
          <w:b/>
        </w:rPr>
        <w:t xml:space="preserve">, </w:t>
      </w:r>
      <w:r w:rsidRPr="008561BE">
        <w:rPr>
          <w:rFonts w:ascii="Palatino Linotype" w:eastAsia="Palatino Linotype" w:hAnsi="Palatino Linotype" w:cs="Palatino Linotype"/>
        </w:rPr>
        <w:t>quien en lo sucesivo</w:t>
      </w:r>
      <w:r w:rsidRPr="008561BE">
        <w:rPr>
          <w:rFonts w:ascii="Palatino Linotype" w:eastAsia="Palatino Linotype" w:hAnsi="Palatino Linotype" w:cs="Palatino Linotype"/>
          <w:b/>
        </w:rPr>
        <w:t xml:space="preserve"> </w:t>
      </w:r>
      <w:r w:rsidRPr="008561BE">
        <w:rPr>
          <w:rFonts w:ascii="Palatino Linotype" w:eastAsia="Palatino Linotype" w:hAnsi="Palatino Linotype" w:cs="Palatino Linotype"/>
        </w:rPr>
        <w:t xml:space="preserve">será identificada como </w:t>
      </w:r>
      <w:r w:rsidRPr="008561BE">
        <w:rPr>
          <w:rFonts w:ascii="Palatino Linotype" w:eastAsia="Palatino Linotype" w:hAnsi="Palatino Linotype" w:cs="Palatino Linotype"/>
          <w:b/>
        </w:rPr>
        <w:t>la</w:t>
      </w:r>
      <w:r w:rsidRPr="008561BE">
        <w:rPr>
          <w:rFonts w:ascii="Palatino Linotype" w:eastAsia="Palatino Linotype" w:hAnsi="Palatino Linotype" w:cs="Palatino Linotype"/>
        </w:rPr>
        <w:t xml:space="preserve"> </w:t>
      </w:r>
      <w:r w:rsidRPr="008561BE">
        <w:rPr>
          <w:rFonts w:ascii="Palatino Linotype" w:eastAsia="Palatino Linotype" w:hAnsi="Palatino Linotype" w:cs="Palatino Linotype"/>
          <w:b/>
        </w:rPr>
        <w:t>parte</w:t>
      </w:r>
      <w:r w:rsidRPr="008561BE">
        <w:rPr>
          <w:rFonts w:ascii="Palatino Linotype" w:eastAsia="Palatino Linotype" w:hAnsi="Palatino Linotype" w:cs="Palatino Linotype"/>
        </w:rPr>
        <w:t xml:space="preserve"> </w:t>
      </w:r>
      <w:r w:rsidRPr="008561BE">
        <w:rPr>
          <w:rFonts w:ascii="Palatino Linotype" w:eastAsia="Palatino Linotype" w:hAnsi="Palatino Linotype" w:cs="Palatino Linotype"/>
          <w:b/>
        </w:rPr>
        <w:t>Recurrente,</w:t>
      </w:r>
      <w:r w:rsidRPr="008561BE">
        <w:rPr>
          <w:rFonts w:ascii="Palatino Linotype" w:eastAsia="Palatino Linotype" w:hAnsi="Palatino Linotype" w:cs="Palatino Linotype"/>
        </w:rPr>
        <w:t xml:space="preserve"> en contra de la respuesta del </w:t>
      </w:r>
      <w:r w:rsidRPr="008561BE">
        <w:rPr>
          <w:rFonts w:ascii="Palatino Linotype" w:eastAsia="Palatino Linotype" w:hAnsi="Palatino Linotype" w:cs="Palatino Linotype"/>
          <w:b/>
        </w:rPr>
        <w:t xml:space="preserve">Sistema de Transporte Masivo y Teleférico del Estado de México, </w:t>
      </w:r>
      <w:r w:rsidRPr="008561BE">
        <w:rPr>
          <w:rFonts w:ascii="Palatino Linotype" w:eastAsia="Palatino Linotype" w:hAnsi="Palatino Linotype" w:cs="Palatino Linotype"/>
        </w:rPr>
        <w:t xml:space="preserve">en lo sucesivo el </w:t>
      </w:r>
      <w:r w:rsidRPr="008561BE">
        <w:rPr>
          <w:rFonts w:ascii="Palatino Linotype" w:eastAsia="Palatino Linotype" w:hAnsi="Palatino Linotype" w:cs="Palatino Linotype"/>
          <w:b/>
        </w:rPr>
        <w:t xml:space="preserve">Sujeto Obligado, </w:t>
      </w:r>
      <w:r w:rsidRPr="008561BE">
        <w:rPr>
          <w:rFonts w:ascii="Palatino Linotype" w:eastAsia="Palatino Linotype" w:hAnsi="Palatino Linotype" w:cs="Palatino Linotype"/>
        </w:rPr>
        <w:t xml:space="preserve">se procede a dictar la presente resolución con base en los siguientes: </w:t>
      </w:r>
    </w:p>
    <w:p w:rsidR="001E689A" w:rsidRPr="008561BE" w:rsidRDefault="00C83C0B">
      <w:pPr>
        <w:spacing w:before="240" w:after="240" w:line="360" w:lineRule="auto"/>
        <w:jc w:val="center"/>
        <w:rPr>
          <w:rFonts w:ascii="Palatino Linotype" w:eastAsia="Palatino Linotype" w:hAnsi="Palatino Linotype" w:cs="Palatino Linotype"/>
          <w:b/>
          <w:sz w:val="28"/>
          <w:szCs w:val="28"/>
        </w:rPr>
      </w:pPr>
      <w:r w:rsidRPr="008561BE">
        <w:rPr>
          <w:rFonts w:ascii="Palatino Linotype" w:eastAsia="Palatino Linotype" w:hAnsi="Palatino Linotype" w:cs="Palatino Linotype"/>
          <w:b/>
        </w:rPr>
        <w:t>I. A N T E C E D E N T E S</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b/>
        </w:rPr>
        <w:t>1. Solicitud de acceso a la información.</w:t>
      </w:r>
      <w:r w:rsidRPr="008561BE">
        <w:rPr>
          <w:rFonts w:ascii="Palatino Linotype" w:eastAsia="Palatino Linotype" w:hAnsi="Palatino Linotype" w:cs="Palatino Linotype"/>
        </w:rPr>
        <w:t xml:space="preserve"> El </w:t>
      </w:r>
      <w:r w:rsidRPr="008561BE">
        <w:rPr>
          <w:rFonts w:ascii="Palatino Linotype" w:eastAsia="Palatino Linotype" w:hAnsi="Palatino Linotype" w:cs="Palatino Linotype"/>
          <w:b/>
        </w:rPr>
        <w:t>catorce de marzo de dos mil veintitrés,</w:t>
      </w:r>
      <w:r w:rsidRPr="008561BE">
        <w:rPr>
          <w:rFonts w:ascii="Palatino Linotype" w:eastAsia="Palatino Linotype" w:hAnsi="Palatino Linotype" w:cs="Palatino Linotype"/>
        </w:rPr>
        <w:t xml:space="preserve"> </w:t>
      </w:r>
      <w:r w:rsidRPr="008561BE">
        <w:rPr>
          <w:rFonts w:ascii="Palatino Linotype" w:eastAsia="Palatino Linotype" w:hAnsi="Palatino Linotype" w:cs="Palatino Linotype"/>
          <w:b/>
        </w:rPr>
        <w:t>la</w:t>
      </w:r>
      <w:r w:rsidRPr="008561BE">
        <w:rPr>
          <w:rFonts w:ascii="Palatino Linotype" w:eastAsia="Palatino Linotype" w:hAnsi="Palatino Linotype" w:cs="Palatino Linotype"/>
        </w:rPr>
        <w:t xml:space="preserve"> </w:t>
      </w:r>
      <w:r w:rsidRPr="008561BE">
        <w:rPr>
          <w:rFonts w:ascii="Palatino Linotype" w:eastAsia="Palatino Linotype" w:hAnsi="Palatino Linotype" w:cs="Palatino Linotype"/>
          <w:b/>
        </w:rPr>
        <w:t>parte</w:t>
      </w:r>
      <w:r w:rsidRPr="008561BE">
        <w:rPr>
          <w:rFonts w:ascii="Palatino Linotype" w:eastAsia="Palatino Linotype" w:hAnsi="Palatino Linotype" w:cs="Palatino Linotype"/>
        </w:rPr>
        <w:t xml:space="preserve"> </w:t>
      </w:r>
      <w:r w:rsidRPr="008561BE">
        <w:rPr>
          <w:rFonts w:ascii="Palatino Linotype" w:eastAsia="Palatino Linotype" w:hAnsi="Palatino Linotype" w:cs="Palatino Linotype"/>
          <w:b/>
        </w:rPr>
        <w:t xml:space="preserve">Recurrente </w:t>
      </w:r>
      <w:r w:rsidRPr="008561BE">
        <w:rPr>
          <w:rFonts w:ascii="Palatino Linotype" w:eastAsia="Palatino Linotype" w:hAnsi="Palatino Linotype" w:cs="Palatino Linotype"/>
        </w:rPr>
        <w:t>presentó a través del Sistema de Acceso a la Información Mexiquense (</w:t>
      </w:r>
      <w:r w:rsidRPr="008561BE">
        <w:rPr>
          <w:rFonts w:ascii="Palatino Linotype" w:eastAsia="Palatino Linotype" w:hAnsi="Palatino Linotype" w:cs="Palatino Linotype"/>
          <w:b/>
        </w:rPr>
        <w:t>SAIMEX),</w:t>
      </w:r>
      <w:r w:rsidRPr="008561BE">
        <w:rPr>
          <w:rFonts w:ascii="Palatino Linotype" w:eastAsia="Palatino Linotype" w:hAnsi="Palatino Linotype" w:cs="Palatino Linotype"/>
        </w:rPr>
        <w:t xml:space="preserve"> la solicitud de acceso a la información pública registrada con el número </w:t>
      </w:r>
      <w:r w:rsidRPr="008561BE">
        <w:rPr>
          <w:rFonts w:ascii="Palatino Linotype" w:eastAsia="Palatino Linotype" w:hAnsi="Palatino Linotype" w:cs="Palatino Linotype"/>
          <w:b/>
        </w:rPr>
        <w:t xml:space="preserve">00033/STMEM/IP/2023, </w:t>
      </w:r>
      <w:r w:rsidRPr="008561BE">
        <w:rPr>
          <w:rFonts w:ascii="Palatino Linotype" w:eastAsia="Palatino Linotype" w:hAnsi="Palatino Linotype" w:cs="Palatino Linotype"/>
        </w:rPr>
        <w:t xml:space="preserve">mediante la cual requirió la información siguiente: </w:t>
      </w:r>
    </w:p>
    <w:p w:rsidR="001E689A" w:rsidRPr="008561BE" w:rsidRDefault="00C83C0B">
      <w:pPr>
        <w:spacing w:before="240" w:after="240" w:line="276" w:lineRule="auto"/>
        <w:ind w:left="567" w:right="900"/>
        <w:jc w:val="both"/>
        <w:rPr>
          <w:rFonts w:ascii="Palatino Linotype" w:eastAsia="Palatino Linotype" w:hAnsi="Palatino Linotype" w:cs="Palatino Linotype"/>
          <w:b/>
          <w:i/>
          <w:sz w:val="22"/>
          <w:szCs w:val="22"/>
        </w:rPr>
      </w:pPr>
      <w:bookmarkStart w:id="0" w:name="_heading=h.gjdgxs" w:colFirst="0" w:colLast="0"/>
      <w:bookmarkEnd w:id="0"/>
      <w:r w:rsidRPr="008561BE">
        <w:rPr>
          <w:rFonts w:ascii="Palatino Linotype" w:eastAsia="Palatino Linotype" w:hAnsi="Palatino Linotype" w:cs="Palatino Linotype"/>
          <w:i/>
          <w:sz w:val="22"/>
          <w:szCs w:val="22"/>
        </w:rPr>
        <w:t xml:space="preserve">“SOLICITO </w:t>
      </w:r>
      <w:r w:rsidRPr="008561BE">
        <w:rPr>
          <w:rFonts w:ascii="Palatino Linotype" w:eastAsia="Palatino Linotype" w:hAnsi="Palatino Linotype" w:cs="Palatino Linotype"/>
          <w:b/>
          <w:i/>
          <w:sz w:val="22"/>
          <w:szCs w:val="22"/>
          <w:u w:val="single"/>
        </w:rPr>
        <w:t>LOS NOMBRES Y RECIBOS DE NOMINA DE TODO EL PERSONAL ADSCRITO A LA DIRECCION GENERAL, AREA DE FINANZAS. Y JURIDICO, SUS FICHAS CURRICULARES, TITULOS, CEDULAS PROFECIONALES DEL MES DE FEBRERO 2023</w:t>
      </w:r>
      <w:r w:rsidRPr="008561BE">
        <w:rPr>
          <w:rFonts w:ascii="Palatino Linotype" w:eastAsia="Palatino Linotype" w:hAnsi="Palatino Linotype" w:cs="Palatino Linotype"/>
          <w:i/>
          <w:sz w:val="22"/>
          <w:szCs w:val="22"/>
        </w:rPr>
        <w:t>” (Sic) (Énfasis añadido)</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b/>
        </w:rPr>
        <w:lastRenderedPageBreak/>
        <w:t>Modalidad de Entrega:</w:t>
      </w:r>
      <w:r w:rsidRPr="008561BE">
        <w:rPr>
          <w:rFonts w:ascii="Palatino Linotype" w:eastAsia="Palatino Linotype" w:hAnsi="Palatino Linotype" w:cs="Palatino Linotype"/>
        </w:rPr>
        <w:t xml:space="preserve"> A través del Sistema de Acceso a la Información Mexiquense (</w:t>
      </w:r>
      <w:r w:rsidRPr="008561BE">
        <w:rPr>
          <w:rFonts w:ascii="Palatino Linotype" w:eastAsia="Palatino Linotype" w:hAnsi="Palatino Linotype" w:cs="Palatino Linotype"/>
          <w:b/>
        </w:rPr>
        <w:t>SAIMEX</w:t>
      </w:r>
      <w:r w:rsidRPr="008561BE">
        <w:rPr>
          <w:rFonts w:ascii="Palatino Linotype" w:eastAsia="Palatino Linotype" w:hAnsi="Palatino Linotype" w:cs="Palatino Linotype"/>
        </w:rPr>
        <w:t>)</w:t>
      </w:r>
    </w:p>
    <w:p w:rsidR="001E689A" w:rsidRPr="008561BE" w:rsidRDefault="00C83C0B">
      <w:pPr>
        <w:spacing w:before="240" w:after="240" w:line="360" w:lineRule="auto"/>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rPr>
        <w:t xml:space="preserve">2. Respuesta. </w:t>
      </w:r>
      <w:r w:rsidRPr="008561BE">
        <w:rPr>
          <w:rFonts w:ascii="Palatino Linotype" w:eastAsia="Palatino Linotype" w:hAnsi="Palatino Linotype" w:cs="Palatino Linotype"/>
        </w:rPr>
        <w:t xml:space="preserve"> El </w:t>
      </w:r>
      <w:r w:rsidRPr="008561BE">
        <w:rPr>
          <w:rFonts w:ascii="Palatino Linotype" w:eastAsia="Palatino Linotype" w:hAnsi="Palatino Linotype" w:cs="Palatino Linotype"/>
          <w:b/>
        </w:rPr>
        <w:t>once de abril de dos mil veintitrés</w:t>
      </w:r>
      <w:r w:rsidRPr="008561BE">
        <w:rPr>
          <w:rFonts w:ascii="Palatino Linotype" w:eastAsia="Palatino Linotype" w:hAnsi="Palatino Linotype" w:cs="Palatino Linotype"/>
        </w:rPr>
        <w:t xml:space="preserve">, el </w:t>
      </w:r>
      <w:r w:rsidRPr="008561BE">
        <w:rPr>
          <w:rFonts w:ascii="Palatino Linotype" w:eastAsia="Palatino Linotype" w:hAnsi="Palatino Linotype" w:cs="Palatino Linotype"/>
          <w:b/>
        </w:rPr>
        <w:t>Sujeto Obligado</w:t>
      </w:r>
      <w:r w:rsidRPr="008561BE">
        <w:rPr>
          <w:rFonts w:ascii="Palatino Linotype" w:eastAsia="Palatino Linotype" w:hAnsi="Palatino Linotype" w:cs="Palatino Linotype"/>
        </w:rPr>
        <w:t xml:space="preserve"> respondió a la solicitud de acceso a la información en los términos siguientes:   </w:t>
      </w:r>
    </w:p>
    <w:p w:rsidR="001E689A" w:rsidRPr="008561BE" w:rsidRDefault="00C83C0B">
      <w:pPr>
        <w:spacing w:before="240" w:after="240" w:line="276" w:lineRule="auto"/>
        <w:ind w:left="851"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1E689A" w:rsidRPr="008561BE" w:rsidRDefault="00C83C0B">
      <w:pPr>
        <w:spacing w:before="240" w:after="240" w:line="276" w:lineRule="auto"/>
        <w:ind w:left="851"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Que por medio del presente se da contestación a su solicitud de información publica</w:t>
      </w:r>
    </w:p>
    <w:p w:rsidR="001E689A" w:rsidRPr="008561BE" w:rsidRDefault="00C83C0B">
      <w:pPr>
        <w:spacing w:before="240" w:after="240" w:line="276" w:lineRule="auto"/>
        <w:ind w:left="851"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ATENTAMENTE</w:t>
      </w:r>
    </w:p>
    <w:p w:rsidR="001E689A" w:rsidRPr="008561BE" w:rsidRDefault="00C83C0B">
      <w:pPr>
        <w:spacing w:before="240" w:after="240" w:line="276" w:lineRule="auto"/>
        <w:ind w:left="851"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 xml:space="preserve">LIC. GONZALO LINAS COLIN” (Sic) </w:t>
      </w:r>
    </w:p>
    <w:p w:rsidR="001E689A" w:rsidRPr="008561BE" w:rsidRDefault="00C83C0B">
      <w:pPr>
        <w:spacing w:before="240" w:after="240" w:line="276" w:lineRule="auto"/>
        <w:ind w:left="851" w:right="900"/>
        <w:jc w:val="both"/>
        <w:rPr>
          <w:rFonts w:ascii="Palatino Linotype" w:eastAsia="Palatino Linotype" w:hAnsi="Palatino Linotype" w:cs="Palatino Linotype"/>
          <w:b/>
          <w:sz w:val="22"/>
          <w:szCs w:val="22"/>
        </w:rPr>
      </w:pPr>
      <w:r w:rsidRPr="008561BE">
        <w:rPr>
          <w:rFonts w:ascii="Palatino Linotype" w:eastAsia="Palatino Linotype" w:hAnsi="Palatino Linotype" w:cs="Palatino Linotype"/>
          <w:b/>
          <w:sz w:val="22"/>
          <w:szCs w:val="22"/>
        </w:rPr>
        <w:t>Archivos adjuntos:</w:t>
      </w:r>
    </w:p>
    <w:p w:rsidR="001E689A" w:rsidRPr="008561BE" w:rsidRDefault="00C83C0B">
      <w:pPr>
        <w:spacing w:before="240" w:after="240" w:line="360" w:lineRule="auto"/>
        <w:ind w:left="851" w:right="900"/>
        <w:jc w:val="both"/>
        <w:rPr>
          <w:rFonts w:ascii="Palatino Linotype" w:eastAsia="Palatino Linotype" w:hAnsi="Palatino Linotype" w:cs="Palatino Linotype"/>
        </w:rPr>
      </w:pPr>
      <w:r w:rsidRPr="008561BE">
        <w:rPr>
          <w:rFonts w:ascii="Palatino Linotype" w:eastAsia="Palatino Linotype" w:hAnsi="Palatino Linotype" w:cs="Palatino Linotype"/>
          <w:b/>
          <w:i/>
          <w:sz w:val="22"/>
          <w:szCs w:val="22"/>
        </w:rPr>
        <w:t xml:space="preserve">“RESPUESTA SAIMEX 00033.pdf”: </w:t>
      </w:r>
      <w:r w:rsidRPr="008561BE">
        <w:rPr>
          <w:rFonts w:ascii="Palatino Linotype" w:eastAsia="Palatino Linotype" w:hAnsi="Palatino Linotype" w:cs="Palatino Linotype"/>
        </w:rPr>
        <w:t>Documento de seis fojas en el que se aprecia el pronunciamiento del Jefe de la Unidad de Apoyo Administrativo del SITRAMYTEM, en el cual medularmente refiere la diferencia entre fundamentación y motivación, asimismo refiere lo siguiente:</w:t>
      </w:r>
    </w:p>
    <w:p w:rsidR="001E689A" w:rsidRPr="008561BE" w:rsidRDefault="00C83C0B">
      <w:pPr>
        <w:spacing w:before="240" w:after="240" w:line="276" w:lineRule="auto"/>
        <w:ind w:left="851"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w:t>
      </w:r>
      <w:r w:rsidRPr="008561BE">
        <w:rPr>
          <w:rFonts w:ascii="Palatino Linotype" w:eastAsia="Palatino Linotype" w:hAnsi="Palatino Linotype" w:cs="Palatino Linotype"/>
          <w:i/>
          <w:sz w:val="22"/>
          <w:szCs w:val="22"/>
        </w:rPr>
        <w:t xml:space="preserve">De lo anterior se desprende una carencia de fundamentación y motivación que acredite y sustente la petición expresa que realiza a éste Organismo, además de que a la fecha, ésta Administración ha dado cumplimiento a lo dispuesto en la Ley General de Transparencia y Acceso a la Información Pública, excluyendo la información que se considera “Clasificada”, y no de proporcionar la información a un particular, toda vez que se ha dado cumplimiento a lo estipulado en la Ley </w:t>
      </w:r>
      <w:r w:rsidRPr="008561BE">
        <w:rPr>
          <w:rFonts w:ascii="Palatino Linotype" w:eastAsia="Palatino Linotype" w:hAnsi="Palatino Linotype" w:cs="Palatino Linotype"/>
          <w:i/>
          <w:sz w:val="22"/>
          <w:szCs w:val="22"/>
        </w:rPr>
        <w:lastRenderedPageBreak/>
        <w:t>de mérito, por lo que de requerirlo de forma independiente lacera el principio de legalidad.</w:t>
      </w:r>
    </w:p>
    <w:p w:rsidR="001E689A" w:rsidRPr="008561BE" w:rsidRDefault="00C83C0B">
      <w:pPr>
        <w:spacing w:before="240" w:after="240" w:line="276" w:lineRule="auto"/>
        <w:ind w:left="851"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w:t>
      </w:r>
    </w:p>
    <w:p w:rsidR="001E689A" w:rsidRPr="008561BE" w:rsidRDefault="00C83C0B">
      <w:pPr>
        <w:spacing w:before="240" w:after="240" w:line="276" w:lineRule="auto"/>
        <w:ind w:left="851"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 xml:space="preserve">De ello </w:t>
      </w:r>
      <w:r w:rsidRPr="008561BE">
        <w:rPr>
          <w:rFonts w:ascii="Palatino Linotype" w:eastAsia="Palatino Linotype" w:hAnsi="Palatino Linotype" w:cs="Palatino Linotype"/>
          <w:b/>
          <w:i/>
          <w:sz w:val="22"/>
          <w:szCs w:val="22"/>
        </w:rPr>
        <w:t>resulta indispensable dar vista a los titulares de los datos personales y de la información requerida</w:t>
      </w:r>
      <w:r w:rsidRPr="008561BE">
        <w:rPr>
          <w:rFonts w:ascii="Palatino Linotype" w:eastAsia="Palatino Linotype" w:hAnsi="Palatino Linotype" w:cs="Palatino Linotype"/>
          <w:i/>
          <w:sz w:val="22"/>
          <w:szCs w:val="22"/>
        </w:rPr>
        <w:t>, ya que su solicitud se refiere a entrega de datos propios, por lo que se expondrían datos sensibles de cada uno de los servidores públicos que laboran en este Organismo, para que incluso ejerzan sus derechos ARCO (Acceso, Rectificación, Cancelación y Oposición al tratamiento de datos personales), en especial, el derecho a negar el acceso u oponerse a la divulgación de cierta información confidencial o que puede ser sujeto de reserva y que se encuentra en posesión del sujeto obligado.</w:t>
      </w:r>
    </w:p>
    <w:p w:rsidR="001E689A" w:rsidRPr="008561BE" w:rsidRDefault="00C83C0B">
      <w:pPr>
        <w:spacing w:before="240" w:after="240" w:line="276" w:lineRule="auto"/>
        <w:ind w:left="851"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Al no dar vista a los titulares de la información se llegaría a vulnerar lo dispuesto por el artículo 6 de la Ley de Transparencia y Acceso a la Información Pública del Estado de México y Municipios, debido a que se insiste, la solicitud se refiere a datos propios de los servidores públicos que laboran en este Organismo</w:t>
      </w:r>
      <w:r w:rsidRPr="008561BE">
        <w:rPr>
          <w:rFonts w:ascii="Palatino Linotype" w:eastAsia="Palatino Linotype" w:hAnsi="Palatino Linotype" w:cs="Palatino Linotype"/>
          <w:i/>
          <w:sz w:val="22"/>
          <w:szCs w:val="22"/>
        </w:rPr>
        <w:t xml:space="preserve">, los que contienen datos como el nombre, cargo, (puesto de adscripción o provisional) y el sueldo, junto con las fechas de inicio, </w:t>
      </w:r>
      <w:proofErr w:type="spellStart"/>
      <w:r w:rsidRPr="008561BE">
        <w:rPr>
          <w:rFonts w:ascii="Palatino Linotype" w:eastAsia="Palatino Linotype" w:hAnsi="Palatino Linotype" w:cs="Palatino Linotype"/>
          <w:i/>
          <w:sz w:val="22"/>
          <w:szCs w:val="22"/>
        </w:rPr>
        <w:t>etc</w:t>
      </w:r>
      <w:proofErr w:type="spellEnd"/>
      <w:r w:rsidRPr="008561BE">
        <w:rPr>
          <w:rFonts w:ascii="Palatino Linotype" w:eastAsia="Palatino Linotype" w:hAnsi="Palatino Linotype" w:cs="Palatino Linotype"/>
          <w:i/>
          <w:sz w:val="22"/>
          <w:szCs w:val="22"/>
        </w:rPr>
        <w:t xml:space="preserve">, e </w:t>
      </w:r>
      <w:r w:rsidRPr="008561BE">
        <w:rPr>
          <w:rFonts w:ascii="Palatino Linotype" w:eastAsia="Palatino Linotype" w:hAnsi="Palatino Linotype" w:cs="Palatino Linotype"/>
          <w:b/>
          <w:i/>
          <w:sz w:val="22"/>
          <w:szCs w:val="22"/>
        </w:rPr>
        <w:t>información completamente personal de dichos servidores públicos</w:t>
      </w:r>
      <w:r w:rsidRPr="008561BE">
        <w:rPr>
          <w:rFonts w:ascii="Palatino Linotype" w:eastAsia="Palatino Linotype" w:hAnsi="Palatino Linotype" w:cs="Palatino Linotype"/>
          <w:i/>
          <w:sz w:val="22"/>
          <w:szCs w:val="22"/>
        </w:rPr>
        <w:t>, inclusive al enviarlo como versión pública, entendida como aquella el documento en el que se elimine, suprima o borre la información clasificada como reservada o confidencial para permitir su acceso.</w:t>
      </w:r>
    </w:p>
    <w:p w:rsidR="001E689A" w:rsidRPr="008561BE" w:rsidRDefault="00C83C0B">
      <w:pPr>
        <w:spacing w:before="240" w:after="240" w:line="276" w:lineRule="auto"/>
        <w:ind w:left="851"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 xml:space="preserve">Por otro lado </w:t>
      </w:r>
      <w:r w:rsidRPr="008561BE">
        <w:rPr>
          <w:rFonts w:ascii="Palatino Linotype" w:eastAsia="Palatino Linotype" w:hAnsi="Palatino Linotype" w:cs="Palatino Linotype"/>
          <w:b/>
          <w:i/>
          <w:sz w:val="22"/>
          <w:szCs w:val="22"/>
        </w:rPr>
        <w:t>es importante aclarar que, la documentación no puede ser sustraída del área en la cual se encuentra archivada</w:t>
      </w:r>
      <w:r w:rsidRPr="008561BE">
        <w:rPr>
          <w:rFonts w:ascii="Palatino Linotype" w:eastAsia="Palatino Linotype" w:hAnsi="Palatino Linotype" w:cs="Palatino Linotype"/>
          <w:i/>
          <w:sz w:val="22"/>
          <w:szCs w:val="22"/>
        </w:rPr>
        <w:t>, de acuerdo a lo que señala la Ley General de Archivos en sus artículos 10, 116 fracción IV y 121 fracción I de la Ley General de Responsabilidades Administrativas en el artículo 49 fracción V, la Ley General de Transparencia y Acceso a la Información Pública en el artículo 206 fracción IV y el Código Penal Federal en el artículo 214 fracción IV;…</w:t>
      </w:r>
    </w:p>
    <w:p w:rsidR="001E689A" w:rsidRPr="008561BE" w:rsidRDefault="00C83C0B">
      <w:pPr>
        <w:spacing w:before="240" w:after="240" w:line="276" w:lineRule="auto"/>
        <w:ind w:left="851"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lastRenderedPageBreak/>
        <w:t xml:space="preserve">Ahora bien, y toda vez que dentro de las atribuciones conferidas a su digno cargo se ubican, entre otras, el dar el obligado seguimiento a las solicitudes de información, también lo es que </w:t>
      </w:r>
      <w:r w:rsidRPr="008561BE">
        <w:rPr>
          <w:rFonts w:ascii="Palatino Linotype" w:eastAsia="Palatino Linotype" w:hAnsi="Palatino Linotype" w:cs="Palatino Linotype"/>
          <w:b/>
          <w:i/>
          <w:sz w:val="22"/>
          <w:szCs w:val="22"/>
        </w:rPr>
        <w:t>la documentación original comprobatoria y justificativa que ampara su solicitud;</w:t>
      </w:r>
      <w:r w:rsidRPr="008561BE">
        <w:rPr>
          <w:rFonts w:ascii="Palatino Linotype" w:eastAsia="Palatino Linotype" w:hAnsi="Palatino Linotype" w:cs="Palatino Linotype"/>
          <w:i/>
          <w:sz w:val="22"/>
          <w:szCs w:val="22"/>
        </w:rPr>
        <w:t xml:space="preserve"> ésta</w:t>
      </w:r>
      <w:r w:rsidRPr="008561BE">
        <w:rPr>
          <w:rFonts w:ascii="Palatino Linotype" w:eastAsia="Palatino Linotype" w:hAnsi="Palatino Linotype" w:cs="Palatino Linotype"/>
          <w:b/>
          <w:i/>
          <w:sz w:val="22"/>
          <w:szCs w:val="22"/>
        </w:rPr>
        <w:t xml:space="preserve"> se encuentra bajo el resguardo de ésta Unidad de Apoyo Administrativo</w:t>
      </w:r>
      <w:r w:rsidRPr="008561BE">
        <w:rPr>
          <w:rFonts w:ascii="Palatino Linotype" w:eastAsia="Palatino Linotype" w:hAnsi="Palatino Linotype" w:cs="Palatino Linotype"/>
          <w:i/>
          <w:sz w:val="22"/>
          <w:szCs w:val="22"/>
        </w:rPr>
        <w:t xml:space="preserve">, misma que, previa solicitud fundada y motivada que usted o a través de usted se requiera, </w:t>
      </w:r>
      <w:r w:rsidRPr="008561BE">
        <w:rPr>
          <w:rFonts w:ascii="Palatino Linotype" w:eastAsia="Palatino Linotype" w:hAnsi="Palatino Linotype" w:cs="Palatino Linotype"/>
          <w:b/>
          <w:i/>
          <w:sz w:val="22"/>
          <w:szCs w:val="22"/>
          <w:u w:val="single"/>
        </w:rPr>
        <w:t>será puesta a su disposición en dicha área en días hábiles y en el horario de trabajo autorizado para revisada en sitio</w:t>
      </w:r>
      <w:r w:rsidRPr="008561BE">
        <w:rPr>
          <w:rFonts w:ascii="Palatino Linotype" w:eastAsia="Palatino Linotype" w:hAnsi="Palatino Linotype" w:cs="Palatino Linotype"/>
          <w:i/>
          <w:sz w:val="22"/>
          <w:szCs w:val="22"/>
        </w:rPr>
        <w:t xml:space="preserve">, con las reservas de Ley, en el entendido de que </w:t>
      </w:r>
      <w:r w:rsidRPr="008561BE">
        <w:rPr>
          <w:rFonts w:ascii="Palatino Linotype" w:eastAsia="Palatino Linotype" w:hAnsi="Palatino Linotype" w:cs="Palatino Linotype"/>
          <w:b/>
          <w:i/>
          <w:sz w:val="22"/>
          <w:szCs w:val="22"/>
        </w:rPr>
        <w:t>la documentación no podrá ser retirada de las instalaciones que ocupa esta Unidad de Apoyo Administrativo</w:t>
      </w:r>
      <w:r w:rsidRPr="008561BE">
        <w:rPr>
          <w:rFonts w:ascii="Palatino Linotype" w:eastAsia="Palatino Linotype" w:hAnsi="Palatino Linotype" w:cs="Palatino Linotype"/>
          <w:i/>
          <w:sz w:val="22"/>
          <w:szCs w:val="22"/>
        </w:rPr>
        <w:t>.”</w:t>
      </w:r>
    </w:p>
    <w:p w:rsidR="001E689A" w:rsidRPr="008561BE" w:rsidRDefault="00C83C0B">
      <w:pPr>
        <w:spacing w:before="240" w:after="240" w:line="360" w:lineRule="auto"/>
        <w:ind w:left="851" w:right="900"/>
        <w:jc w:val="both"/>
        <w:rPr>
          <w:rFonts w:ascii="Palatino Linotype" w:eastAsia="Palatino Linotype" w:hAnsi="Palatino Linotype" w:cs="Palatino Linotype"/>
        </w:rPr>
      </w:pPr>
      <w:r w:rsidRPr="008561BE">
        <w:rPr>
          <w:rFonts w:ascii="Palatino Linotype" w:eastAsia="Palatino Linotype" w:hAnsi="Palatino Linotype" w:cs="Palatino Linotype"/>
          <w:noProof/>
        </w:rPr>
        <w:lastRenderedPageBreak/>
        <w:drawing>
          <wp:inline distT="0" distB="0" distL="0" distR="0">
            <wp:extent cx="4160524" cy="5376915"/>
            <wp:effectExtent l="0" t="0" r="0" b="0"/>
            <wp:docPr id="1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4160524" cy="5376915"/>
                    </a:xfrm>
                    <a:prstGeom prst="rect">
                      <a:avLst/>
                    </a:prstGeom>
                    <a:ln/>
                  </pic:spPr>
                </pic:pic>
              </a:graphicData>
            </a:graphic>
          </wp:inline>
        </w:drawing>
      </w:r>
    </w:p>
    <w:p w:rsidR="001E689A" w:rsidRPr="008561BE" w:rsidRDefault="00C83C0B">
      <w:pPr>
        <w:spacing w:before="240" w:after="24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b/>
        </w:rPr>
        <w:t xml:space="preserve">3. Interposición del recurso de revisión.  </w:t>
      </w:r>
      <w:r w:rsidRPr="008561BE">
        <w:rPr>
          <w:rFonts w:ascii="Palatino Linotype" w:eastAsia="Palatino Linotype" w:hAnsi="Palatino Linotype" w:cs="Palatino Linotype"/>
        </w:rPr>
        <w:t xml:space="preserve">El </w:t>
      </w:r>
      <w:r w:rsidRPr="008561BE">
        <w:rPr>
          <w:rFonts w:ascii="Palatino Linotype" w:eastAsia="Palatino Linotype" w:hAnsi="Palatino Linotype" w:cs="Palatino Linotype"/>
          <w:b/>
        </w:rPr>
        <w:t xml:space="preserve">once de abril de dos mil veintitrés, la parte Recurrente, </w:t>
      </w:r>
      <w:r w:rsidRPr="008561BE">
        <w:rPr>
          <w:rFonts w:ascii="Palatino Linotype" w:eastAsia="Palatino Linotype" w:hAnsi="Palatino Linotype" w:cs="Palatino Linotype"/>
        </w:rPr>
        <w:t>inconforme con la respuesta, presentó el recurso de revisión a través del cual expresó lo siguiente:</w:t>
      </w:r>
    </w:p>
    <w:p w:rsidR="001E689A" w:rsidRPr="008561BE" w:rsidRDefault="00C83C0B">
      <w:pPr>
        <w:spacing w:before="240" w:after="240" w:line="360" w:lineRule="auto"/>
        <w:ind w:left="567"/>
        <w:rPr>
          <w:rFonts w:ascii="Palatino Linotype" w:eastAsia="Palatino Linotype" w:hAnsi="Palatino Linotype" w:cs="Palatino Linotype"/>
          <w:b/>
        </w:rPr>
      </w:pPr>
      <w:r w:rsidRPr="008561BE">
        <w:rPr>
          <w:rFonts w:ascii="Palatino Linotype" w:eastAsia="Palatino Linotype" w:hAnsi="Palatino Linotype" w:cs="Palatino Linotype"/>
          <w:b/>
        </w:rPr>
        <w:t>a) Acto impugnado.</w:t>
      </w:r>
    </w:p>
    <w:p w:rsidR="001E689A" w:rsidRPr="008561BE" w:rsidRDefault="00C83C0B">
      <w:pPr>
        <w:spacing w:before="240" w:after="240" w:line="276" w:lineRule="auto"/>
        <w:ind w:left="851" w:right="900"/>
        <w:jc w:val="both"/>
        <w:rPr>
          <w:rFonts w:ascii="Palatino Linotype" w:eastAsia="Palatino Linotype" w:hAnsi="Palatino Linotype" w:cs="Palatino Linotype"/>
          <w:i/>
          <w:color w:val="000000"/>
          <w:sz w:val="22"/>
          <w:szCs w:val="22"/>
        </w:rPr>
      </w:pPr>
      <w:r w:rsidRPr="008561BE">
        <w:rPr>
          <w:rFonts w:ascii="Palatino Linotype" w:eastAsia="Palatino Linotype" w:hAnsi="Palatino Linotype" w:cs="Palatino Linotype"/>
          <w:i/>
          <w:color w:val="000000"/>
          <w:sz w:val="22"/>
          <w:szCs w:val="22"/>
        </w:rPr>
        <w:lastRenderedPageBreak/>
        <w:t>“Respuesta envidia” (Sic)</w:t>
      </w:r>
    </w:p>
    <w:p w:rsidR="001E689A" w:rsidRPr="008561BE" w:rsidRDefault="00C83C0B">
      <w:pPr>
        <w:spacing w:before="240" w:after="240" w:line="360" w:lineRule="auto"/>
        <w:ind w:left="567"/>
        <w:jc w:val="both"/>
        <w:rPr>
          <w:rFonts w:ascii="Palatino Linotype" w:eastAsia="Palatino Linotype" w:hAnsi="Palatino Linotype" w:cs="Palatino Linotype"/>
          <w:b/>
        </w:rPr>
      </w:pPr>
      <w:r w:rsidRPr="008561BE">
        <w:rPr>
          <w:rFonts w:ascii="Palatino Linotype" w:eastAsia="Palatino Linotype" w:hAnsi="Palatino Linotype" w:cs="Palatino Linotype"/>
          <w:b/>
        </w:rPr>
        <w:t>b) Motivos de inconformidad.</w:t>
      </w:r>
    </w:p>
    <w:p w:rsidR="001E689A" w:rsidRPr="008561BE" w:rsidRDefault="00C83C0B">
      <w:pPr>
        <w:spacing w:before="240" w:after="240" w:line="276" w:lineRule="auto"/>
        <w:ind w:left="851" w:right="900"/>
        <w:jc w:val="both"/>
        <w:rPr>
          <w:rFonts w:ascii="Palatino Linotype" w:eastAsia="Palatino Linotype" w:hAnsi="Palatino Linotype" w:cs="Palatino Linotype"/>
          <w:i/>
          <w:color w:val="000000"/>
          <w:sz w:val="22"/>
          <w:szCs w:val="22"/>
        </w:rPr>
      </w:pPr>
      <w:r w:rsidRPr="008561BE">
        <w:rPr>
          <w:rFonts w:ascii="Palatino Linotype" w:eastAsia="Palatino Linotype" w:hAnsi="Palatino Linotype" w:cs="Palatino Linotype"/>
          <w:i/>
          <w:color w:val="000000"/>
          <w:sz w:val="22"/>
          <w:szCs w:val="22"/>
        </w:rPr>
        <w:t>“Recibe la respuesta del servidor público adscrito a la área de finanzas,</w:t>
      </w:r>
      <w:r w:rsidRPr="008561BE">
        <w:rPr>
          <w:rFonts w:ascii="Palatino Linotype" w:eastAsia="Palatino Linotype" w:hAnsi="Palatino Linotype" w:cs="Palatino Linotype"/>
          <w:b/>
          <w:i/>
          <w:color w:val="000000"/>
          <w:sz w:val="22"/>
          <w:szCs w:val="22"/>
          <w:u w:val="single"/>
        </w:rPr>
        <w:t xml:space="preserve"> solicitó se ordene a este sujeto obligado entregue lo solicitado.</w:t>
      </w:r>
      <w:r w:rsidRPr="008561BE">
        <w:rPr>
          <w:rFonts w:ascii="Palatino Linotype" w:eastAsia="Palatino Linotype" w:hAnsi="Palatino Linotype" w:cs="Palatino Linotype"/>
          <w:i/>
          <w:color w:val="000000"/>
          <w:sz w:val="22"/>
          <w:szCs w:val="22"/>
        </w:rPr>
        <w:t>” (Sic) (Énfasis añadido)</w:t>
      </w:r>
    </w:p>
    <w:p w:rsidR="001E689A" w:rsidRPr="008561BE" w:rsidRDefault="001E689A">
      <w:pPr>
        <w:spacing w:before="240" w:after="240" w:line="360" w:lineRule="auto"/>
        <w:jc w:val="both"/>
        <w:rPr>
          <w:rFonts w:ascii="Palatino Linotype" w:eastAsia="Palatino Linotype" w:hAnsi="Palatino Linotype" w:cs="Palatino Linotype"/>
          <w:sz w:val="2"/>
          <w:szCs w:val="2"/>
        </w:rPr>
      </w:pP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b/>
        </w:rPr>
        <w:t>4. Turno.</w:t>
      </w:r>
      <w:r w:rsidRPr="008561BE">
        <w:rPr>
          <w:rFonts w:ascii="Palatino Linotype" w:eastAsia="Palatino Linotype" w:hAnsi="Palatino Linotype" w:cs="Palatino Linotype"/>
          <w:b/>
          <w:sz w:val="28"/>
          <w:szCs w:val="28"/>
        </w:rPr>
        <w:t xml:space="preserve"> </w:t>
      </w:r>
      <w:r w:rsidRPr="008561B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8561BE">
        <w:rPr>
          <w:rFonts w:ascii="Palatino Linotype" w:eastAsia="Palatino Linotype" w:hAnsi="Palatino Linotype" w:cs="Palatino Linotype"/>
          <w:b/>
        </w:rPr>
        <w:t xml:space="preserve">Comisionada Guadalupe Ramírez Peña, </w:t>
      </w:r>
      <w:r w:rsidRPr="008561BE">
        <w:rPr>
          <w:rFonts w:ascii="Palatino Linotype" w:eastAsia="Palatino Linotype" w:hAnsi="Palatino Linotype" w:cs="Palatino Linotype"/>
        </w:rPr>
        <w:t xml:space="preserve">a efecto de que analizara sobre su admisión o su </w:t>
      </w:r>
      <w:proofErr w:type="spellStart"/>
      <w:r w:rsidRPr="008561BE">
        <w:rPr>
          <w:rFonts w:ascii="Palatino Linotype" w:eastAsia="Palatino Linotype" w:hAnsi="Palatino Linotype" w:cs="Palatino Linotype"/>
        </w:rPr>
        <w:t>desechamiento</w:t>
      </w:r>
      <w:proofErr w:type="spellEnd"/>
      <w:r w:rsidRPr="008561BE">
        <w:rPr>
          <w:rFonts w:ascii="Palatino Linotype" w:eastAsia="Palatino Linotype" w:hAnsi="Palatino Linotype" w:cs="Palatino Linotype"/>
        </w:rPr>
        <w:t>.</w:t>
      </w:r>
    </w:p>
    <w:p w:rsidR="001E689A" w:rsidRPr="008561BE" w:rsidRDefault="00C83C0B">
      <w:pPr>
        <w:spacing w:before="240" w:after="240" w:line="360" w:lineRule="auto"/>
        <w:jc w:val="both"/>
        <w:rPr>
          <w:rFonts w:ascii="Palatino Linotype" w:eastAsia="Palatino Linotype" w:hAnsi="Palatino Linotype" w:cs="Palatino Linotype"/>
          <w:b/>
        </w:rPr>
      </w:pPr>
      <w:r w:rsidRPr="008561BE">
        <w:rPr>
          <w:rFonts w:ascii="Palatino Linotype" w:eastAsia="Palatino Linotype" w:hAnsi="Palatino Linotype" w:cs="Palatino Linotype"/>
          <w:b/>
        </w:rPr>
        <w:t>5.</w:t>
      </w:r>
      <w:r w:rsidRPr="008561BE">
        <w:rPr>
          <w:rFonts w:ascii="Palatino Linotype" w:eastAsia="Palatino Linotype" w:hAnsi="Palatino Linotype" w:cs="Palatino Linotype"/>
          <w:b/>
          <w:i/>
        </w:rPr>
        <w:t xml:space="preserve"> </w:t>
      </w:r>
      <w:r w:rsidRPr="008561BE">
        <w:rPr>
          <w:rFonts w:ascii="Palatino Linotype" w:eastAsia="Palatino Linotype" w:hAnsi="Palatino Linotype" w:cs="Palatino Linotype"/>
          <w:b/>
        </w:rPr>
        <w:t>Admisión del Recurso de revisión.</w:t>
      </w:r>
      <w:r w:rsidRPr="008561BE">
        <w:rPr>
          <w:rFonts w:ascii="Palatino Linotype" w:eastAsia="Palatino Linotype" w:hAnsi="Palatino Linotype" w:cs="Palatino Linotype"/>
          <w:sz w:val="28"/>
          <w:szCs w:val="28"/>
        </w:rPr>
        <w:t xml:space="preserve"> El</w:t>
      </w:r>
      <w:r w:rsidRPr="008561BE">
        <w:rPr>
          <w:rFonts w:ascii="Palatino Linotype" w:eastAsia="Palatino Linotype" w:hAnsi="Palatino Linotype" w:cs="Palatino Linotype"/>
          <w:b/>
        </w:rPr>
        <w:t xml:space="preserve"> catorce de abril de dos mil veintitrés, </w:t>
      </w:r>
      <w:r w:rsidRPr="008561BE">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rsidR="001E689A" w:rsidRPr="008561BE" w:rsidRDefault="00C83C0B">
      <w:pPr>
        <w:widowControl w:val="0"/>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b/>
        </w:rPr>
        <w:t>6. Manifestaciones</w:t>
      </w:r>
      <w:r w:rsidRPr="008561BE">
        <w:rPr>
          <w:rFonts w:ascii="Palatino Linotype" w:eastAsia="Palatino Linotype" w:hAnsi="Palatino Linotype" w:cs="Palatino Linotype"/>
        </w:rPr>
        <w:t>.</w:t>
      </w:r>
      <w:r w:rsidRPr="008561BE">
        <w:rPr>
          <w:rFonts w:ascii="Palatino Linotype" w:eastAsia="Palatino Linotype" w:hAnsi="Palatino Linotype" w:cs="Palatino Linotype"/>
          <w:sz w:val="28"/>
          <w:szCs w:val="28"/>
        </w:rPr>
        <w:t xml:space="preserve"> </w:t>
      </w:r>
      <w:r w:rsidRPr="008561BE">
        <w:rPr>
          <w:rFonts w:ascii="Palatino Linotype" w:eastAsia="Palatino Linotype" w:hAnsi="Palatino Linotype" w:cs="Palatino Linotype"/>
        </w:rPr>
        <w:t xml:space="preserve">El </w:t>
      </w:r>
      <w:r w:rsidRPr="008561BE">
        <w:rPr>
          <w:rFonts w:ascii="Palatino Linotype" w:eastAsia="Palatino Linotype" w:hAnsi="Palatino Linotype" w:cs="Palatino Linotype"/>
          <w:b/>
        </w:rPr>
        <w:t xml:space="preserve">Sujeto Obligado </w:t>
      </w:r>
      <w:r w:rsidRPr="008561BE">
        <w:rPr>
          <w:rFonts w:ascii="Palatino Linotype" w:eastAsia="Palatino Linotype" w:hAnsi="Palatino Linotype" w:cs="Palatino Linotype"/>
        </w:rPr>
        <w:t xml:space="preserve">rindió su informe justificado el </w:t>
      </w:r>
      <w:r w:rsidRPr="008561BE">
        <w:rPr>
          <w:rFonts w:ascii="Palatino Linotype" w:eastAsia="Palatino Linotype" w:hAnsi="Palatino Linotype" w:cs="Palatino Linotype"/>
          <w:b/>
        </w:rPr>
        <w:t>veintidós de mayo de dos mil veintitrés</w:t>
      </w:r>
      <w:r w:rsidRPr="008561BE">
        <w:rPr>
          <w:rFonts w:ascii="Palatino Linotype" w:eastAsia="Palatino Linotype" w:hAnsi="Palatino Linotype" w:cs="Palatino Linotype"/>
        </w:rPr>
        <w:t>, ello mediante el archivo electrónico “</w:t>
      </w:r>
      <w:r w:rsidRPr="008561BE">
        <w:rPr>
          <w:rFonts w:ascii="Palatino Linotype" w:eastAsia="Palatino Linotype" w:hAnsi="Palatino Linotype" w:cs="Palatino Linotype"/>
          <w:b/>
          <w:i/>
        </w:rPr>
        <w:t xml:space="preserve">REC DE REV 01889.pdf”, </w:t>
      </w:r>
      <w:r w:rsidRPr="008561BE">
        <w:rPr>
          <w:rFonts w:ascii="Palatino Linotype" w:eastAsia="Palatino Linotype" w:hAnsi="Palatino Linotype" w:cs="Palatino Linotype"/>
        </w:rPr>
        <w:t xml:space="preserve">el cual consiste en un oficio signado por el Titular de la Unidad de Transparencia, quien medularmente solicita que se deseche por improcedente el </w:t>
      </w:r>
      <w:r w:rsidRPr="008561BE">
        <w:rPr>
          <w:rFonts w:ascii="Palatino Linotype" w:eastAsia="Palatino Linotype" w:hAnsi="Palatino Linotype" w:cs="Palatino Linotype"/>
        </w:rPr>
        <w:lastRenderedPageBreak/>
        <w:t xml:space="preserve">recurso de revisión citado al rubro, en virtud de que no se encuentra dentro de los supuestos previstos en procedencia que regula el numeral 179 de la Ley de la Materia, partiendo de que lo manifestado no ha referencia a ninguna de las causas, por las cuales es procedente el citado medio de protección, y de lo contrario sólo se limita a realizar meras apreciaciones subjetivas; es de precisar que una vez analizado este documento, este Instituto determinó ponerlo a la vista de </w:t>
      </w:r>
      <w:r w:rsidRPr="008561BE">
        <w:rPr>
          <w:rFonts w:ascii="Palatino Linotype" w:eastAsia="Palatino Linotype" w:hAnsi="Palatino Linotype" w:cs="Palatino Linotype"/>
          <w:b/>
        </w:rPr>
        <w:t>la parte Recurrente</w:t>
      </w:r>
      <w:r w:rsidRPr="008561BE">
        <w:rPr>
          <w:rFonts w:ascii="Palatino Linotype" w:eastAsia="Palatino Linotype" w:hAnsi="Palatino Linotype" w:cs="Palatino Linotype"/>
        </w:rPr>
        <w:t xml:space="preserve"> por medio del acuerdo signado por la Comisionada Ponente el </w:t>
      </w:r>
      <w:r w:rsidRPr="008561BE">
        <w:rPr>
          <w:rFonts w:ascii="Palatino Linotype" w:eastAsia="Palatino Linotype" w:hAnsi="Palatino Linotype" w:cs="Palatino Linotype"/>
          <w:b/>
        </w:rPr>
        <w:t>diecinueve de septiembre de dos mil veintitrés</w:t>
      </w:r>
      <w:r w:rsidRPr="008561BE">
        <w:rPr>
          <w:rFonts w:ascii="Palatino Linotype" w:eastAsia="Palatino Linotype" w:hAnsi="Palatino Linotype" w:cs="Palatino Linotype"/>
        </w:rPr>
        <w:t xml:space="preserve">, asimismo por cuanto hace a </w:t>
      </w:r>
      <w:r w:rsidRPr="008561BE">
        <w:rPr>
          <w:rFonts w:ascii="Palatino Linotype" w:eastAsia="Palatino Linotype" w:hAnsi="Palatino Linotype" w:cs="Palatino Linotype"/>
          <w:b/>
        </w:rPr>
        <w:t xml:space="preserve">la parte Recurrente </w:t>
      </w:r>
      <w:r w:rsidRPr="008561BE">
        <w:rPr>
          <w:rFonts w:ascii="Palatino Linotype" w:eastAsia="Palatino Linotype" w:hAnsi="Palatino Linotype" w:cs="Palatino Linotype"/>
        </w:rPr>
        <w:t xml:space="preserve">no realizó manifestaciones, ni formuló alegatos y no ofreció medios de prueba, por lo tanto, se tiene por </w:t>
      </w:r>
      <w:proofErr w:type="spellStart"/>
      <w:r w:rsidRPr="008561BE">
        <w:rPr>
          <w:rFonts w:ascii="Palatino Linotype" w:eastAsia="Palatino Linotype" w:hAnsi="Palatino Linotype" w:cs="Palatino Linotype"/>
        </w:rPr>
        <w:t>precluido</w:t>
      </w:r>
      <w:proofErr w:type="spellEnd"/>
      <w:r w:rsidRPr="008561BE">
        <w:rPr>
          <w:rFonts w:ascii="Palatino Linotype" w:eastAsia="Palatino Linotype" w:hAnsi="Palatino Linotype" w:cs="Palatino Linotype"/>
        </w:rPr>
        <w:t xml:space="preserve"> su derecho para tal efecto.</w:t>
      </w:r>
    </w:p>
    <w:p w:rsidR="001E689A" w:rsidRPr="008561BE" w:rsidRDefault="00C83C0B">
      <w:pPr>
        <w:widowControl w:val="0"/>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noProof/>
        </w:rPr>
        <w:drawing>
          <wp:inline distT="0" distB="0" distL="0" distR="0">
            <wp:extent cx="5612130" cy="1920875"/>
            <wp:effectExtent l="0" t="0" r="0" b="0"/>
            <wp:docPr id="1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612130" cy="1920875"/>
                    </a:xfrm>
                    <a:prstGeom prst="rect">
                      <a:avLst/>
                    </a:prstGeom>
                    <a:ln/>
                  </pic:spPr>
                </pic:pic>
              </a:graphicData>
            </a:graphic>
          </wp:inline>
        </w:drawing>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b/>
        </w:rPr>
        <w:t xml:space="preserve">7. Ampliación de plazo. </w:t>
      </w:r>
      <w:r w:rsidRPr="008561BE">
        <w:rPr>
          <w:rFonts w:ascii="Palatino Linotype" w:eastAsia="Palatino Linotype" w:hAnsi="Palatino Linotype" w:cs="Palatino Linotype"/>
        </w:rPr>
        <w:t xml:space="preserve">El </w:t>
      </w:r>
      <w:r w:rsidRPr="008561BE">
        <w:rPr>
          <w:rFonts w:ascii="Palatino Linotype" w:eastAsia="Palatino Linotype" w:hAnsi="Palatino Linotype" w:cs="Palatino Linotype"/>
          <w:b/>
        </w:rPr>
        <w:t>diecinueve</w:t>
      </w:r>
      <w:r w:rsidRPr="008561BE">
        <w:rPr>
          <w:rFonts w:ascii="Palatino Linotype" w:eastAsia="Palatino Linotype" w:hAnsi="Palatino Linotype" w:cs="Palatino Linotype"/>
          <w:b/>
          <w:color w:val="FF0000"/>
        </w:rPr>
        <w:t xml:space="preserve"> </w:t>
      </w:r>
      <w:r w:rsidRPr="008561BE">
        <w:rPr>
          <w:rFonts w:ascii="Palatino Linotype" w:eastAsia="Palatino Linotype" w:hAnsi="Palatino Linotype" w:cs="Palatino Linotype"/>
          <w:b/>
        </w:rPr>
        <w:t>de septiembre de dos mil veintitrés</w:t>
      </w:r>
      <w:r w:rsidRPr="008561BE">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rsidR="001E689A" w:rsidRPr="008561BE" w:rsidRDefault="00C83C0B">
      <w:pPr>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lastRenderedPageBreak/>
        <w:t xml:space="preserve">Este organismo garante no pasa por alto justificar, que el plazo para emitir la resolución en el presente asunto encuentra justificación en el alto número de </w:t>
      </w:r>
      <w:r w:rsidRPr="008561BE">
        <w:rPr>
          <w:rFonts w:ascii="Palatino Linotype" w:eastAsia="Palatino Linotype" w:hAnsi="Palatino Linotype" w:cs="Palatino Linotype"/>
          <w:color w:val="000000"/>
        </w:rPr>
        <w:t xml:space="preserve">recursos de revisión recibidos dentro del año dos mil veintidós, que, en comparación con los recibidos el año dos mil veintiuno dentro del mismo periodo, se incrementó aproximadamente un 300%, </w:t>
      </w:r>
      <w:r w:rsidRPr="008561BE">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rsidR="001E689A" w:rsidRPr="008561BE" w:rsidRDefault="001E689A">
      <w:pPr>
        <w:spacing w:line="360" w:lineRule="auto"/>
        <w:jc w:val="both"/>
        <w:rPr>
          <w:rFonts w:ascii="Palatino Linotype" w:eastAsia="Palatino Linotype" w:hAnsi="Palatino Linotype" w:cs="Palatino Linotype"/>
        </w:rPr>
      </w:pPr>
    </w:p>
    <w:p w:rsidR="001E689A" w:rsidRPr="008561BE" w:rsidRDefault="00C83C0B">
      <w:pPr>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1E689A" w:rsidRPr="008561BE" w:rsidRDefault="001E689A">
      <w:pPr>
        <w:spacing w:line="360" w:lineRule="auto"/>
        <w:jc w:val="both"/>
        <w:rPr>
          <w:rFonts w:ascii="Palatino Linotype" w:eastAsia="Palatino Linotype" w:hAnsi="Palatino Linotype" w:cs="Palatino Linotype"/>
        </w:rPr>
      </w:pPr>
    </w:p>
    <w:p w:rsidR="001E689A" w:rsidRPr="008561BE" w:rsidRDefault="00C83C0B">
      <w:pPr>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1E689A" w:rsidRPr="008561BE" w:rsidRDefault="001E689A">
      <w:pPr>
        <w:spacing w:line="360" w:lineRule="auto"/>
        <w:jc w:val="both"/>
        <w:rPr>
          <w:rFonts w:ascii="Palatino Linotype" w:eastAsia="Palatino Linotype" w:hAnsi="Palatino Linotype" w:cs="Palatino Linotype"/>
        </w:rPr>
      </w:pPr>
    </w:p>
    <w:p w:rsidR="001E689A" w:rsidRPr="008561BE" w:rsidRDefault="00C83C0B">
      <w:pPr>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w:t>
      </w:r>
      <w:r w:rsidRPr="008561BE">
        <w:rPr>
          <w:rFonts w:ascii="Palatino Linotype" w:eastAsia="Palatino Linotype" w:hAnsi="Palatino Linotype" w:cs="Palatino Linotype"/>
        </w:rPr>
        <w:lastRenderedPageBreak/>
        <w:t xml:space="preserve">órganos jurisdiccionales o cuasi jurisdiccionales, tanto por la complejidad de los hechos, como por el número de casos que conocen. </w:t>
      </w:r>
    </w:p>
    <w:p w:rsidR="001E689A" w:rsidRPr="008561BE" w:rsidRDefault="001E689A">
      <w:pPr>
        <w:spacing w:line="360" w:lineRule="auto"/>
        <w:jc w:val="both"/>
        <w:rPr>
          <w:rFonts w:ascii="Palatino Linotype" w:eastAsia="Palatino Linotype" w:hAnsi="Palatino Linotype" w:cs="Palatino Linotype"/>
        </w:rPr>
      </w:pPr>
    </w:p>
    <w:p w:rsidR="001E689A" w:rsidRPr="008561BE" w:rsidRDefault="00C83C0B">
      <w:pPr>
        <w:spacing w:line="360" w:lineRule="auto"/>
        <w:jc w:val="both"/>
        <w:rPr>
          <w:rFonts w:ascii="Palatino Linotype" w:eastAsia="Palatino Linotype" w:hAnsi="Palatino Linotype" w:cs="Palatino Linotype"/>
          <w:strike/>
          <w:color w:val="FF0000"/>
        </w:rPr>
      </w:pPr>
      <w:r w:rsidRPr="008561BE">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rsidR="001E689A" w:rsidRPr="008561BE" w:rsidRDefault="001E689A">
      <w:pPr>
        <w:spacing w:line="360" w:lineRule="auto"/>
        <w:jc w:val="both"/>
        <w:rPr>
          <w:rFonts w:ascii="Palatino Linotype" w:eastAsia="Palatino Linotype" w:hAnsi="Palatino Linotype" w:cs="Palatino Linotype"/>
        </w:rPr>
      </w:pPr>
    </w:p>
    <w:p w:rsidR="001E689A" w:rsidRPr="008561BE" w:rsidRDefault="00C83C0B">
      <w:pPr>
        <w:numPr>
          <w:ilvl w:val="0"/>
          <w:numId w:val="2"/>
        </w:numPr>
        <w:spacing w:line="360" w:lineRule="auto"/>
        <w:ind w:left="567" w:right="900" w:hanging="141"/>
        <w:jc w:val="both"/>
        <w:rPr>
          <w:rFonts w:ascii="Palatino Linotype" w:eastAsia="Palatino Linotype" w:hAnsi="Palatino Linotype" w:cs="Palatino Linotype"/>
        </w:rPr>
      </w:pPr>
      <w:r w:rsidRPr="008561BE">
        <w:rPr>
          <w:rFonts w:ascii="Palatino Linotype" w:eastAsia="Palatino Linotype" w:hAnsi="Palatino Linotype" w:cs="Palatino Linotype"/>
          <w:b/>
        </w:rPr>
        <w:t>Complejidad del Asunto:</w:t>
      </w:r>
      <w:r w:rsidRPr="008561BE">
        <w:rPr>
          <w:rFonts w:ascii="Palatino Linotype" w:eastAsia="Palatino Linotype" w:hAnsi="Palatino Linotype" w:cs="Palatino Linotype"/>
        </w:rPr>
        <w:t xml:space="preserve"> La complejidad de la prueba, la pluralidad de sujetos procesales, el tiempo transcurrido, las características y contexto del recurso. </w:t>
      </w:r>
    </w:p>
    <w:p w:rsidR="001E689A" w:rsidRPr="008561BE" w:rsidRDefault="001E689A">
      <w:pPr>
        <w:spacing w:line="360" w:lineRule="auto"/>
        <w:ind w:left="567" w:right="900" w:hanging="141"/>
        <w:jc w:val="both"/>
        <w:rPr>
          <w:rFonts w:ascii="Palatino Linotype" w:eastAsia="Palatino Linotype" w:hAnsi="Palatino Linotype" w:cs="Palatino Linotype"/>
          <w:b/>
        </w:rPr>
      </w:pPr>
    </w:p>
    <w:p w:rsidR="001E689A" w:rsidRPr="008561BE" w:rsidRDefault="00C83C0B">
      <w:pPr>
        <w:numPr>
          <w:ilvl w:val="0"/>
          <w:numId w:val="2"/>
        </w:numPr>
        <w:spacing w:line="360" w:lineRule="auto"/>
        <w:ind w:left="567" w:right="900" w:hanging="141"/>
        <w:jc w:val="both"/>
        <w:rPr>
          <w:rFonts w:ascii="Palatino Linotype" w:eastAsia="Palatino Linotype" w:hAnsi="Palatino Linotype" w:cs="Palatino Linotype"/>
        </w:rPr>
      </w:pPr>
      <w:r w:rsidRPr="008561BE">
        <w:rPr>
          <w:rFonts w:ascii="Palatino Linotype" w:eastAsia="Palatino Linotype" w:hAnsi="Palatino Linotype" w:cs="Palatino Linotype"/>
          <w:b/>
        </w:rPr>
        <w:t>Actividad Procesal del interesado.</w:t>
      </w:r>
      <w:r w:rsidRPr="008561BE">
        <w:rPr>
          <w:rFonts w:ascii="Palatino Linotype" w:eastAsia="Palatino Linotype" w:hAnsi="Palatino Linotype" w:cs="Palatino Linotype"/>
        </w:rPr>
        <w:t xml:space="preserve"> Acciones u omisiones del interesado.</w:t>
      </w:r>
    </w:p>
    <w:p w:rsidR="001E689A" w:rsidRPr="008561BE" w:rsidRDefault="001E689A">
      <w:pPr>
        <w:spacing w:line="360" w:lineRule="auto"/>
        <w:ind w:left="567" w:right="900" w:hanging="141"/>
        <w:jc w:val="both"/>
        <w:rPr>
          <w:rFonts w:ascii="Palatino Linotype" w:eastAsia="Palatino Linotype" w:hAnsi="Palatino Linotype" w:cs="Palatino Linotype"/>
        </w:rPr>
      </w:pPr>
    </w:p>
    <w:p w:rsidR="001E689A" w:rsidRPr="008561BE" w:rsidRDefault="00C83C0B">
      <w:pPr>
        <w:numPr>
          <w:ilvl w:val="0"/>
          <w:numId w:val="2"/>
        </w:numPr>
        <w:spacing w:line="360" w:lineRule="auto"/>
        <w:ind w:left="567" w:right="900" w:hanging="141"/>
        <w:jc w:val="both"/>
        <w:rPr>
          <w:rFonts w:ascii="Palatino Linotype" w:eastAsia="Palatino Linotype" w:hAnsi="Palatino Linotype" w:cs="Palatino Linotype"/>
        </w:rPr>
      </w:pPr>
      <w:r w:rsidRPr="008561BE">
        <w:rPr>
          <w:rFonts w:ascii="Palatino Linotype" w:eastAsia="Palatino Linotype" w:hAnsi="Palatino Linotype" w:cs="Palatino Linotype"/>
          <w:b/>
        </w:rPr>
        <w:t>Conducta de la Autoridad:</w:t>
      </w:r>
      <w:r w:rsidRPr="008561BE">
        <w:rPr>
          <w:rFonts w:ascii="Palatino Linotype" w:eastAsia="Palatino Linotype" w:hAnsi="Palatino Linotype" w:cs="Palatino Linotype"/>
        </w:rPr>
        <w:t xml:space="preserve"> Las Acciones u omisiones realizadas en el procedimiento. Así como si la autoridad actuó con la debida diligencia.</w:t>
      </w:r>
    </w:p>
    <w:p w:rsidR="001E689A" w:rsidRPr="008561BE" w:rsidRDefault="001E689A">
      <w:pPr>
        <w:spacing w:line="360" w:lineRule="auto"/>
        <w:ind w:left="567" w:right="900" w:hanging="141"/>
        <w:rPr>
          <w:rFonts w:ascii="Palatino Linotype" w:eastAsia="Palatino Linotype" w:hAnsi="Palatino Linotype" w:cs="Palatino Linotype"/>
        </w:rPr>
      </w:pPr>
    </w:p>
    <w:p w:rsidR="001E689A" w:rsidRPr="008561BE" w:rsidRDefault="00C83C0B">
      <w:pPr>
        <w:spacing w:line="360" w:lineRule="auto"/>
        <w:ind w:left="567" w:right="900" w:hanging="141"/>
        <w:jc w:val="both"/>
        <w:rPr>
          <w:rFonts w:ascii="Palatino Linotype" w:eastAsia="Palatino Linotype" w:hAnsi="Palatino Linotype" w:cs="Palatino Linotype"/>
        </w:rPr>
      </w:pPr>
      <w:r w:rsidRPr="008561BE">
        <w:rPr>
          <w:rFonts w:ascii="Palatino Linotype" w:eastAsia="Palatino Linotype" w:hAnsi="Palatino Linotype" w:cs="Palatino Linotype"/>
          <w:b/>
        </w:rPr>
        <w:t>d) La afectación generada en la situación jurídica de la persona involucrada en el proceso</w:t>
      </w:r>
      <w:r w:rsidRPr="008561BE">
        <w:rPr>
          <w:rFonts w:ascii="Palatino Linotype" w:eastAsia="Palatino Linotype" w:hAnsi="Palatino Linotype" w:cs="Palatino Linotype"/>
        </w:rPr>
        <w:t>: Violación a sus derechos humanos.</w:t>
      </w:r>
    </w:p>
    <w:p w:rsidR="001E689A" w:rsidRPr="008561BE" w:rsidRDefault="001E689A">
      <w:pPr>
        <w:spacing w:line="360" w:lineRule="auto"/>
        <w:jc w:val="both"/>
        <w:rPr>
          <w:rFonts w:ascii="Palatino Linotype" w:eastAsia="Palatino Linotype" w:hAnsi="Palatino Linotype" w:cs="Palatino Linotype"/>
        </w:rPr>
      </w:pPr>
    </w:p>
    <w:p w:rsidR="001E689A" w:rsidRPr="008561BE" w:rsidRDefault="00C83C0B">
      <w:pPr>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sidRPr="008561BE">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rsidR="001E689A" w:rsidRPr="008561BE" w:rsidRDefault="001E689A">
      <w:pPr>
        <w:spacing w:line="360" w:lineRule="auto"/>
        <w:jc w:val="both"/>
        <w:rPr>
          <w:rFonts w:ascii="Palatino Linotype" w:eastAsia="Palatino Linotype" w:hAnsi="Palatino Linotype" w:cs="Palatino Linotype"/>
        </w:rPr>
      </w:pPr>
    </w:p>
    <w:p w:rsidR="001E689A" w:rsidRPr="008561BE" w:rsidRDefault="00C83C0B">
      <w:pPr>
        <w:spacing w:line="360" w:lineRule="auto"/>
        <w:jc w:val="both"/>
        <w:rPr>
          <w:rFonts w:ascii="Palatino Linotype" w:eastAsia="Palatino Linotype" w:hAnsi="Palatino Linotype" w:cs="Palatino Linotype"/>
          <w:b/>
        </w:rPr>
      </w:pPr>
      <w:r w:rsidRPr="008561BE">
        <w:rPr>
          <w:rFonts w:ascii="Palatino Linotype" w:eastAsia="Palatino Linotype" w:hAnsi="Palatino Linotype" w:cs="Palatino Linotype"/>
        </w:rPr>
        <w:t>Argumento que encuentra sustento en la jurisprudencia P</w:t>
      </w:r>
      <w:proofErr w:type="gramStart"/>
      <w:r w:rsidRPr="008561BE">
        <w:rPr>
          <w:rFonts w:ascii="Palatino Linotype" w:eastAsia="Palatino Linotype" w:hAnsi="Palatino Linotype" w:cs="Palatino Linotype"/>
        </w:rPr>
        <w:t>./</w:t>
      </w:r>
      <w:proofErr w:type="gramEnd"/>
      <w:r w:rsidRPr="008561BE">
        <w:rPr>
          <w:rFonts w:ascii="Palatino Linotype" w:eastAsia="Palatino Linotype" w:hAnsi="Palatino Linotype" w:cs="Palatino Linotype"/>
        </w:rPr>
        <w:t xml:space="preserve">J. 32/92 emitida por el Pleno de la Suprema Corte de Justicia de la Nación de rubro </w:t>
      </w:r>
      <w:r w:rsidRPr="008561B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8561BE">
        <w:rPr>
          <w:rFonts w:ascii="Palatino Linotype" w:eastAsia="Palatino Linotype" w:hAnsi="Palatino Linotype" w:cs="Palatino Linotype"/>
        </w:rPr>
        <w:t>, visible en la Gaceta del Seminario Judicial de la Federación con el registro digital 205635.</w:t>
      </w:r>
    </w:p>
    <w:p w:rsidR="001E689A" w:rsidRPr="008561BE" w:rsidRDefault="001E689A">
      <w:pPr>
        <w:spacing w:line="360" w:lineRule="auto"/>
        <w:jc w:val="both"/>
        <w:rPr>
          <w:rFonts w:ascii="Palatino Linotype" w:eastAsia="Palatino Linotype" w:hAnsi="Palatino Linotype" w:cs="Palatino Linotype"/>
        </w:rPr>
      </w:pPr>
    </w:p>
    <w:p w:rsidR="001E689A" w:rsidRPr="008561BE" w:rsidRDefault="00C83C0B">
      <w:pPr>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1E689A" w:rsidRPr="008561BE" w:rsidRDefault="00C83C0B">
      <w:pPr>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rsidR="001E689A" w:rsidRPr="008561BE" w:rsidRDefault="001E689A">
      <w:pPr>
        <w:spacing w:line="360" w:lineRule="auto"/>
        <w:jc w:val="both"/>
        <w:rPr>
          <w:rFonts w:ascii="Palatino Linotype" w:eastAsia="Palatino Linotype" w:hAnsi="Palatino Linotype" w:cs="Palatino Linotype"/>
        </w:rPr>
      </w:pPr>
    </w:p>
    <w:p w:rsidR="001E689A" w:rsidRPr="008561BE" w:rsidRDefault="00C83C0B">
      <w:pPr>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 </w:t>
      </w:r>
      <w:r w:rsidRPr="008561BE">
        <w:rPr>
          <w:rFonts w:ascii="Palatino Linotype" w:eastAsia="Palatino Linotype" w:hAnsi="Palatino Linotype" w:cs="Palatino Linotype"/>
          <w:i/>
        </w:rPr>
        <w:t>“PLAZO RAZONABLE PARA RESOLVER. DIMENSIÓN Y EFECTOS DE ESTE CONCEPTO CUANDO SE ADUCE EXCESIVA CARGA DE TRABAJO.”</w:t>
      </w:r>
      <w:r w:rsidRPr="008561BE">
        <w:rPr>
          <w:rFonts w:ascii="Palatino Linotype" w:eastAsia="Palatino Linotype" w:hAnsi="Palatino Linotype" w:cs="Palatino Linotype"/>
        </w:rPr>
        <w:t xml:space="preserve"> consultable en el Seminario Judicial de la Federación y su gaceta, con el registro digital 2002351.</w:t>
      </w:r>
    </w:p>
    <w:p w:rsidR="001E689A" w:rsidRPr="008561BE" w:rsidRDefault="001E689A">
      <w:pPr>
        <w:spacing w:line="360" w:lineRule="auto"/>
        <w:jc w:val="both"/>
        <w:rPr>
          <w:rFonts w:ascii="Palatino Linotype" w:eastAsia="Palatino Linotype" w:hAnsi="Palatino Linotype" w:cs="Palatino Linotype"/>
          <w:b/>
        </w:rPr>
      </w:pPr>
    </w:p>
    <w:p w:rsidR="001E689A" w:rsidRPr="008561BE" w:rsidRDefault="00C83C0B">
      <w:pPr>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i/>
        </w:rPr>
        <w:t>“PLAZO RAZONABLE PARA RESOLVER. CONCEPTO Y ELEMENTOS QUE LO INTEGRAN A LA LUZ DEL DERECHO INTERNACIONAL DE LOS DERECHOS HUMANOS.”</w:t>
      </w:r>
      <w:r w:rsidRPr="008561BE">
        <w:rPr>
          <w:rFonts w:ascii="Palatino Linotype" w:eastAsia="Palatino Linotype" w:hAnsi="Palatino Linotype" w:cs="Palatino Linotype"/>
        </w:rPr>
        <w:t>, visible en el Seminario Judicial de la Federación y su gaceta, con el registro digital 2002350.</w:t>
      </w:r>
    </w:p>
    <w:p w:rsidR="001E689A" w:rsidRPr="008561BE" w:rsidRDefault="001E689A">
      <w:pPr>
        <w:spacing w:line="360" w:lineRule="auto"/>
        <w:jc w:val="both"/>
        <w:rPr>
          <w:rFonts w:ascii="Palatino Linotype" w:eastAsia="Palatino Linotype" w:hAnsi="Palatino Linotype" w:cs="Palatino Linotype"/>
        </w:rPr>
      </w:pPr>
    </w:p>
    <w:p w:rsidR="001E689A" w:rsidRPr="008561BE" w:rsidRDefault="00C83C0B">
      <w:pPr>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b/>
          <w:color w:val="000000"/>
        </w:rPr>
        <w:t xml:space="preserve">8. </w:t>
      </w:r>
      <w:r w:rsidRPr="008561BE">
        <w:rPr>
          <w:rFonts w:ascii="Palatino Linotype" w:eastAsia="Palatino Linotype" w:hAnsi="Palatino Linotype" w:cs="Palatino Linotype"/>
          <w:b/>
        </w:rPr>
        <w:t xml:space="preserve">Requerimiento de información adicional. </w:t>
      </w:r>
      <w:r w:rsidRPr="008561BE">
        <w:rPr>
          <w:rFonts w:ascii="Palatino Linotype" w:eastAsia="Palatino Linotype" w:hAnsi="Palatino Linotype" w:cs="Palatino Linotype"/>
        </w:rPr>
        <w:t xml:space="preserve">Mediante oficio de fecha </w:t>
      </w:r>
      <w:r w:rsidRPr="008561BE">
        <w:rPr>
          <w:rFonts w:ascii="Palatino Linotype" w:eastAsia="Palatino Linotype" w:hAnsi="Palatino Linotype" w:cs="Palatino Linotype"/>
          <w:b/>
        </w:rPr>
        <w:t>veinte de septiembre de dos mil veintitrés</w:t>
      </w:r>
      <w:r w:rsidRPr="008561BE">
        <w:rPr>
          <w:rFonts w:ascii="Palatino Linotype" w:eastAsia="Palatino Linotype" w:hAnsi="Palatino Linotype" w:cs="Palatino Linotype"/>
        </w:rPr>
        <w:t xml:space="preserve">, se envió por correo electrónico un requerimiento de información adicional al </w:t>
      </w:r>
      <w:r w:rsidRPr="008561BE">
        <w:rPr>
          <w:rFonts w:ascii="Palatino Linotype" w:eastAsia="Palatino Linotype" w:hAnsi="Palatino Linotype" w:cs="Palatino Linotype"/>
          <w:b/>
        </w:rPr>
        <w:t>Sujeto Obligado</w:t>
      </w:r>
      <w:r w:rsidRPr="008561BE">
        <w:rPr>
          <w:rFonts w:ascii="Palatino Linotype" w:eastAsia="Palatino Linotype" w:hAnsi="Palatino Linotype" w:cs="Palatino Linotype"/>
        </w:rPr>
        <w:t>, el cual consistió en lo siguiente:</w:t>
      </w:r>
    </w:p>
    <w:p w:rsidR="001E689A" w:rsidRPr="008561BE" w:rsidRDefault="001E689A">
      <w:pPr>
        <w:spacing w:before="240" w:after="240" w:line="360" w:lineRule="auto"/>
        <w:ind w:right="49"/>
        <w:jc w:val="both"/>
        <w:rPr>
          <w:rFonts w:ascii="Palatino Linotype" w:eastAsia="Palatino Linotype" w:hAnsi="Palatino Linotype" w:cs="Palatino Linotype"/>
        </w:rPr>
      </w:pPr>
    </w:p>
    <w:p w:rsidR="001E689A" w:rsidRPr="008561BE" w:rsidRDefault="00C83C0B">
      <w:pPr>
        <w:spacing w:before="240" w:after="240" w:line="360" w:lineRule="auto"/>
        <w:jc w:val="center"/>
        <w:rPr>
          <w:rFonts w:ascii="Palatino Linotype" w:eastAsia="Palatino Linotype" w:hAnsi="Palatino Linotype" w:cs="Palatino Linotype"/>
        </w:rPr>
      </w:pPr>
      <w:r w:rsidRPr="008561BE">
        <w:rPr>
          <w:rFonts w:ascii="Palatino Linotype" w:eastAsia="Palatino Linotype" w:hAnsi="Palatino Linotype" w:cs="Palatino Linotype"/>
          <w:noProof/>
        </w:rPr>
        <w:lastRenderedPageBreak/>
        <w:drawing>
          <wp:inline distT="0" distB="0" distL="0" distR="0">
            <wp:extent cx="5137067" cy="5017600"/>
            <wp:effectExtent l="0" t="0" r="0" b="0"/>
            <wp:docPr id="12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5137067" cy="5017600"/>
                    </a:xfrm>
                    <a:prstGeom prst="rect">
                      <a:avLst/>
                    </a:prstGeom>
                    <a:ln/>
                  </pic:spPr>
                </pic:pic>
              </a:graphicData>
            </a:graphic>
          </wp:inline>
        </w:drawing>
      </w:r>
    </w:p>
    <w:p w:rsidR="001E689A" w:rsidRPr="008561BE" w:rsidRDefault="00C83C0B">
      <w:pPr>
        <w:spacing w:after="240" w:line="360" w:lineRule="auto"/>
        <w:jc w:val="center"/>
        <w:rPr>
          <w:rFonts w:ascii="Palatino Linotype" w:eastAsia="Palatino Linotype" w:hAnsi="Palatino Linotype" w:cs="Palatino Linotype"/>
          <w:b/>
        </w:rPr>
      </w:pPr>
      <w:r w:rsidRPr="008561BE">
        <w:rPr>
          <w:rFonts w:ascii="Palatino Linotype" w:eastAsia="Palatino Linotype" w:hAnsi="Palatino Linotype" w:cs="Palatino Linotype"/>
          <w:b/>
          <w:noProof/>
        </w:rPr>
        <w:lastRenderedPageBreak/>
        <w:drawing>
          <wp:inline distT="0" distB="0" distL="0" distR="0">
            <wp:extent cx="4266755" cy="2529252"/>
            <wp:effectExtent l="0" t="0" r="0" b="0"/>
            <wp:docPr id="10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266755" cy="2529252"/>
                    </a:xfrm>
                    <a:prstGeom prst="rect">
                      <a:avLst/>
                    </a:prstGeom>
                    <a:ln/>
                  </pic:spPr>
                </pic:pic>
              </a:graphicData>
            </a:graphic>
          </wp:inline>
        </w:drawing>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Resulta importante mencionar que no se tiene constancia de que el </w:t>
      </w:r>
      <w:r w:rsidRPr="008561BE">
        <w:rPr>
          <w:rFonts w:ascii="Palatino Linotype" w:eastAsia="Palatino Linotype" w:hAnsi="Palatino Linotype" w:cs="Palatino Linotype"/>
          <w:b/>
        </w:rPr>
        <w:t>Sujeto Obligado</w:t>
      </w:r>
      <w:r w:rsidRPr="008561BE">
        <w:rPr>
          <w:rFonts w:ascii="Palatino Linotype" w:eastAsia="Palatino Linotype" w:hAnsi="Palatino Linotype" w:cs="Palatino Linotype"/>
        </w:rPr>
        <w:t xml:space="preserve"> hubiera otorgado respuesta a dicho requerimiento de información.</w:t>
      </w:r>
    </w:p>
    <w:p w:rsidR="001E689A" w:rsidRPr="008561BE" w:rsidRDefault="00C83C0B">
      <w:pPr>
        <w:spacing w:before="240" w:after="24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Por otro lado, esta Ponencia solicitó el veinte de septiembre de dos mil veintitrés, mediante correo electrónico a la Dirección General de Informática tuviera a bien informar si existía algún reporte de incidencias por parte del </w:t>
      </w:r>
      <w:r w:rsidRPr="008561BE">
        <w:rPr>
          <w:rFonts w:ascii="Palatino Linotype" w:eastAsia="Palatino Linotype" w:hAnsi="Palatino Linotype" w:cs="Palatino Linotype"/>
          <w:b/>
        </w:rPr>
        <w:t>Sujeto Obligado</w:t>
      </w:r>
      <w:r w:rsidRPr="008561BE">
        <w:rPr>
          <w:rFonts w:ascii="Palatino Linotype" w:eastAsia="Palatino Linotype" w:hAnsi="Palatino Linotype" w:cs="Palatino Linotype"/>
        </w:rPr>
        <w:t xml:space="preserve">; unidad administrativa que refirió que </w:t>
      </w:r>
      <w:r w:rsidRPr="008561BE">
        <w:rPr>
          <w:rFonts w:ascii="Palatino Linotype" w:eastAsia="Palatino Linotype" w:hAnsi="Palatino Linotype" w:cs="Palatino Linotype"/>
          <w:u w:val="single"/>
        </w:rPr>
        <w:t>no se había encontrado llamado o el registro correspondiente</w:t>
      </w:r>
      <w:r w:rsidRPr="008561BE">
        <w:rPr>
          <w:rFonts w:ascii="Palatino Linotype" w:eastAsia="Palatino Linotype" w:hAnsi="Palatino Linotype" w:cs="Palatino Linotype"/>
        </w:rPr>
        <w:t>, tal como se observa a continuación: </w:t>
      </w:r>
    </w:p>
    <w:p w:rsidR="001E689A" w:rsidRPr="008561BE" w:rsidRDefault="00C83C0B">
      <w:pPr>
        <w:spacing w:before="240" w:after="240" w:line="360" w:lineRule="auto"/>
        <w:ind w:right="49"/>
        <w:jc w:val="center"/>
        <w:rPr>
          <w:rFonts w:ascii="Palatino Linotype" w:eastAsia="Palatino Linotype" w:hAnsi="Palatino Linotype" w:cs="Palatino Linotype"/>
          <w:b/>
        </w:rPr>
      </w:pPr>
      <w:r w:rsidRPr="008561BE">
        <w:rPr>
          <w:rFonts w:ascii="Palatino Linotype" w:eastAsia="Palatino Linotype" w:hAnsi="Palatino Linotype" w:cs="Palatino Linotype"/>
          <w:b/>
          <w:noProof/>
        </w:rPr>
        <w:lastRenderedPageBreak/>
        <w:drawing>
          <wp:inline distT="0" distB="0" distL="0" distR="0">
            <wp:extent cx="4813347" cy="2159729"/>
            <wp:effectExtent l="0" t="0" r="0" b="0"/>
            <wp:docPr id="11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813347" cy="2159729"/>
                    </a:xfrm>
                    <a:prstGeom prst="rect">
                      <a:avLst/>
                    </a:prstGeom>
                    <a:ln/>
                  </pic:spPr>
                </pic:pic>
              </a:graphicData>
            </a:graphic>
          </wp:inline>
        </w:drawing>
      </w:r>
    </w:p>
    <w:p w:rsidR="001E689A" w:rsidRPr="008561BE" w:rsidRDefault="00C83C0B">
      <w:pPr>
        <w:spacing w:before="240" w:after="240" w:line="360" w:lineRule="auto"/>
        <w:ind w:right="49"/>
        <w:jc w:val="both"/>
        <w:rPr>
          <w:rFonts w:ascii="Palatino Linotype" w:eastAsia="Palatino Linotype" w:hAnsi="Palatino Linotype" w:cs="Palatino Linotype"/>
          <w:b/>
        </w:rPr>
      </w:pPr>
      <w:r w:rsidRPr="008561BE">
        <w:rPr>
          <w:rFonts w:ascii="Palatino Linotype" w:eastAsia="Palatino Linotype" w:hAnsi="Palatino Linotype" w:cs="Palatino Linotype"/>
        </w:rPr>
        <w:t xml:space="preserve">En ese sentido, también resulta importante destacar que de conformidad con la Dirección General de Informática, el peso máximo de archivos que soporta el Sistema de Acceso a la Información Mexiquense para adjuntar como respuesta a las solicitudes de información, tiene un soporte tecnológico de hasta 500MB o un equivalente de hasta 8,000 hojas, convencionales bajo parámetros de escaneo en resolución máxima de 150 </w:t>
      </w:r>
      <w:proofErr w:type="spellStart"/>
      <w:r w:rsidRPr="008561BE">
        <w:rPr>
          <w:rFonts w:ascii="Palatino Linotype" w:eastAsia="Palatino Linotype" w:hAnsi="Palatino Linotype" w:cs="Palatino Linotype"/>
        </w:rPr>
        <w:t>Dpi’s</w:t>
      </w:r>
      <w:proofErr w:type="spellEnd"/>
      <w:r w:rsidRPr="008561BE">
        <w:rPr>
          <w:rFonts w:ascii="Palatino Linotype" w:eastAsia="Palatino Linotype" w:hAnsi="Palatino Linotype" w:cs="Palatino Linotype"/>
        </w:rPr>
        <w:t>, escala de grises y formato PDF.  </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b/>
        </w:rPr>
        <w:t xml:space="preserve">9. Cierre de instrucción. </w:t>
      </w:r>
      <w:r w:rsidRPr="008561BE">
        <w:rPr>
          <w:rFonts w:ascii="Palatino Linotype" w:eastAsia="Palatino Linotype" w:hAnsi="Palatino Linotype" w:cs="Palatino Linotype"/>
        </w:rPr>
        <w:t xml:space="preserve">Una vez transcurrido el periodo otorgado a las partes para realizar sus manifestaciones y no habiendo documentos que integrar al expediente, mediante acuerdo de fecha </w:t>
      </w:r>
      <w:r w:rsidRPr="008561BE">
        <w:rPr>
          <w:rFonts w:ascii="Palatino Linotype" w:eastAsia="Palatino Linotype" w:hAnsi="Palatino Linotype" w:cs="Palatino Linotype"/>
          <w:b/>
          <w:color w:val="000000"/>
        </w:rPr>
        <w:t>veintiséis de septiembre de dos mil veintitrés</w:t>
      </w:r>
      <w:r w:rsidRPr="008561BE">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lastRenderedPageBreak/>
        <w:t xml:space="preserve">En razón de que </w:t>
      </w:r>
      <w:r w:rsidRPr="008561BE">
        <w:rPr>
          <w:rFonts w:ascii="Palatino Linotype" w:eastAsia="Palatino Linotype" w:hAnsi="Palatino Linotype" w:cs="Palatino Linotype"/>
          <w:color w:val="000000"/>
        </w:rPr>
        <w:t xml:space="preserve">fue debidamente sustanciado el expediente electrónico </w:t>
      </w:r>
      <w:r w:rsidRPr="008561BE">
        <w:rPr>
          <w:rFonts w:ascii="Palatino Linotype" w:eastAsia="Palatino Linotype" w:hAnsi="Palatino Linotype" w:cs="Palatino Linotype"/>
        </w:rPr>
        <w:t xml:space="preserve">y no existen diligencias pendientes de desahogo, se emite la Resolución que conforme a Derecho proceda, de acuerdo con los siguientes: </w:t>
      </w:r>
    </w:p>
    <w:p w:rsidR="001E689A" w:rsidRPr="008561BE" w:rsidRDefault="00C83C0B">
      <w:pPr>
        <w:widowControl w:val="0"/>
        <w:spacing w:before="240" w:after="240" w:line="360" w:lineRule="auto"/>
        <w:jc w:val="center"/>
        <w:rPr>
          <w:rFonts w:ascii="Palatino Linotype" w:eastAsia="Palatino Linotype" w:hAnsi="Palatino Linotype" w:cs="Palatino Linotype"/>
          <w:b/>
        </w:rPr>
      </w:pPr>
      <w:r w:rsidRPr="008561BE">
        <w:rPr>
          <w:rFonts w:ascii="Palatino Linotype" w:eastAsia="Palatino Linotype" w:hAnsi="Palatino Linotype" w:cs="Palatino Linotype"/>
          <w:b/>
        </w:rPr>
        <w:t>II. C O N S I D E R A N D O</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b/>
        </w:rPr>
        <w:t>Primero. Competencia.</w:t>
      </w:r>
      <w:r w:rsidRPr="008561B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w:t>
      </w:r>
      <w:r w:rsidRPr="008561BE">
        <w:rPr>
          <w:rFonts w:ascii="Palatino Linotype" w:eastAsia="Palatino Linotype" w:hAnsi="Palatino Linotype" w:cs="Palatino Linotype"/>
          <w:color w:val="000000"/>
        </w:rPr>
        <w:t>XXIII</w:t>
      </w:r>
      <w:r w:rsidRPr="008561BE">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rsidR="001E689A" w:rsidRPr="008561BE" w:rsidRDefault="00C83C0B">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8561BE">
        <w:rPr>
          <w:rFonts w:ascii="Palatino Linotype" w:eastAsia="Palatino Linotype" w:hAnsi="Palatino Linotype" w:cs="Palatino Linotype"/>
          <w:b/>
        </w:rPr>
        <w:t xml:space="preserve">Segundo. Oportunidad y </w:t>
      </w:r>
      <w:proofErr w:type="spellStart"/>
      <w:r w:rsidRPr="008561BE">
        <w:rPr>
          <w:rFonts w:ascii="Palatino Linotype" w:eastAsia="Palatino Linotype" w:hAnsi="Palatino Linotype" w:cs="Palatino Linotype"/>
          <w:b/>
        </w:rPr>
        <w:t>Procedibilidad</w:t>
      </w:r>
      <w:proofErr w:type="spellEnd"/>
      <w:r w:rsidRPr="008561BE">
        <w:rPr>
          <w:rFonts w:ascii="Palatino Linotype" w:eastAsia="Palatino Linotype" w:hAnsi="Palatino Linotype" w:cs="Palatino Linotype"/>
          <w:b/>
        </w:rPr>
        <w:t xml:space="preserve"> del Recurso de Revisión</w:t>
      </w:r>
      <w:r w:rsidRPr="008561BE">
        <w:rPr>
          <w:rFonts w:ascii="Palatino Linotype" w:eastAsia="Palatino Linotype" w:hAnsi="Palatino Linotype" w:cs="Palatino Linotype"/>
        </w:rPr>
        <w:t xml:space="preserve">. Previo al estudio del fondo del asunto, se procede a analizar los requisitos de oportunidad y </w:t>
      </w:r>
      <w:proofErr w:type="spellStart"/>
      <w:r w:rsidRPr="008561BE">
        <w:rPr>
          <w:rFonts w:ascii="Palatino Linotype" w:eastAsia="Palatino Linotype" w:hAnsi="Palatino Linotype" w:cs="Palatino Linotype"/>
        </w:rPr>
        <w:t>procedibilidad</w:t>
      </w:r>
      <w:proofErr w:type="spellEnd"/>
      <w:r w:rsidRPr="008561BE">
        <w:rPr>
          <w:rFonts w:ascii="Palatino Linotype" w:eastAsia="Palatino Linotype" w:hAnsi="Palatino Linotype" w:cs="Palatino Linotype"/>
        </w:rPr>
        <w:t xml:space="preserve"> que debe reunir el recurso de revisión interpuesto, previstos en los artículos 178 y 180 de la Ley de Transparencia y Acceso a la Información Pública del Estado de México y Municipios.</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lastRenderedPageBreak/>
        <w:t xml:space="preserve">El recurso de revisión fue interpuesto dentro del plazo de quince días hábiles, previsto en el artículo 178 de la Ley de Transparencia y Acceso a la Información Pública del Estado de México y Municipios, toda vez que el </w:t>
      </w:r>
      <w:r w:rsidRPr="008561BE">
        <w:rPr>
          <w:rFonts w:ascii="Palatino Linotype" w:eastAsia="Palatino Linotype" w:hAnsi="Palatino Linotype" w:cs="Palatino Linotype"/>
          <w:b/>
        </w:rPr>
        <w:t>Sujeto Obligado</w:t>
      </w:r>
      <w:r w:rsidRPr="008561BE">
        <w:rPr>
          <w:rFonts w:ascii="Palatino Linotype" w:eastAsia="Palatino Linotype" w:hAnsi="Palatino Linotype" w:cs="Palatino Linotype"/>
        </w:rPr>
        <w:t xml:space="preserve"> respondió a la solicitud de información el </w:t>
      </w:r>
      <w:r w:rsidRPr="008561BE">
        <w:rPr>
          <w:rFonts w:ascii="Palatino Linotype" w:eastAsia="Palatino Linotype" w:hAnsi="Palatino Linotype" w:cs="Palatino Linotype"/>
          <w:b/>
        </w:rPr>
        <w:t xml:space="preserve">once de abril de dos mil veintitrés, </w:t>
      </w:r>
      <w:r w:rsidRPr="008561BE">
        <w:rPr>
          <w:rFonts w:ascii="Palatino Linotype" w:eastAsia="Palatino Linotype" w:hAnsi="Palatino Linotype" w:cs="Palatino Linotype"/>
        </w:rPr>
        <w:t xml:space="preserve">mientras que el recurso de revisión se interpuso el </w:t>
      </w:r>
      <w:r w:rsidRPr="008561BE">
        <w:rPr>
          <w:rFonts w:ascii="Palatino Linotype" w:eastAsia="Palatino Linotype" w:hAnsi="Palatino Linotype" w:cs="Palatino Linotype"/>
          <w:b/>
        </w:rPr>
        <w:t>once de abril de dos mil veintitrés</w:t>
      </w:r>
      <w:r w:rsidRPr="008561BE">
        <w:rPr>
          <w:rFonts w:ascii="Palatino Linotype" w:eastAsia="Palatino Linotype" w:hAnsi="Palatino Linotype" w:cs="Palatino Linotype"/>
        </w:rPr>
        <w:t xml:space="preserve">, esto es, el </w:t>
      </w:r>
      <w:r w:rsidRPr="008561BE">
        <w:rPr>
          <w:rFonts w:ascii="Palatino Linotype" w:eastAsia="Palatino Linotype" w:hAnsi="Palatino Linotype" w:cs="Palatino Linotype"/>
          <w:b/>
        </w:rPr>
        <w:t>mismo día hábil</w:t>
      </w:r>
      <w:r w:rsidRPr="008561BE">
        <w:rPr>
          <w:rFonts w:ascii="Palatino Linotype" w:eastAsia="Palatino Linotype" w:hAnsi="Palatino Linotype" w:cs="Palatino Linotype"/>
        </w:rPr>
        <w:t xml:space="preserve"> posterior en que tuvo conocimiento de la respuesta impugnada.</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rsidR="001E689A" w:rsidRPr="008561BE" w:rsidRDefault="00C83C0B">
      <w:pPr>
        <w:spacing w:before="240" w:after="240" w:line="276" w:lineRule="auto"/>
        <w:ind w:left="567" w:right="758"/>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8561BE">
        <w:rPr>
          <w:rFonts w:ascii="Palatino Linotype" w:eastAsia="Palatino Linotype" w:hAnsi="Palatino Linotype" w:cs="Palatino Linotype"/>
          <w:i/>
          <w:sz w:val="22"/>
          <w:szCs w:val="22"/>
        </w:rPr>
        <w:t>.</w:t>
      </w:r>
    </w:p>
    <w:p w:rsidR="001E689A" w:rsidRPr="008561BE" w:rsidRDefault="00C83C0B">
      <w:pPr>
        <w:spacing w:before="240" w:after="240" w:line="276" w:lineRule="auto"/>
        <w:ind w:left="567" w:right="758"/>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w:t>
      </w:r>
      <w:r w:rsidRPr="008561BE">
        <w:rPr>
          <w:rFonts w:ascii="Palatino Linotype" w:eastAsia="Palatino Linotype" w:hAnsi="Palatino Linotype" w:cs="Palatino Linotype"/>
          <w:i/>
          <w:sz w:val="22"/>
          <w:szCs w:val="22"/>
        </w:rPr>
        <w:lastRenderedPageBreak/>
        <w:t>puede hacerse valer después de tres días, por tanto, no impide que el escrito correspondiente se presente antes de iniciado ese término. De ahí que si dicho recurso se interpone antes de que inicie el plazo para hacerlo, su presentación no es extemporánea.”</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Por cuanto hace a la </w:t>
      </w:r>
      <w:proofErr w:type="spellStart"/>
      <w:r w:rsidRPr="008561BE">
        <w:rPr>
          <w:rFonts w:ascii="Palatino Linotype" w:eastAsia="Palatino Linotype" w:hAnsi="Palatino Linotype" w:cs="Palatino Linotype"/>
        </w:rPr>
        <w:t>procedibilidad</w:t>
      </w:r>
      <w:proofErr w:type="spellEnd"/>
      <w:r w:rsidRPr="008561BE">
        <w:rPr>
          <w:rFonts w:ascii="Palatino Linotype" w:eastAsia="Palatino Linotype" w:hAnsi="Palatino Linotype" w:cs="Palatino Linotype"/>
        </w:rPr>
        <w:t xml:space="preserve">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Finalmente, se advierte que resulta procedente la interposición del recurso, según lo manifestado por la parte recurrente en sus motivos de inconformidad, de acuerdo al artículo 179, fracciones I, II y VIII del ordenamiento legal citado, que a la letra dice: </w:t>
      </w:r>
    </w:p>
    <w:p w:rsidR="001E689A" w:rsidRPr="008561BE" w:rsidRDefault="00C83C0B">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r w:rsidRPr="008561BE">
        <w:rPr>
          <w:rFonts w:ascii="Palatino Linotype" w:eastAsia="Palatino Linotype" w:hAnsi="Palatino Linotype" w:cs="Palatino Linotype"/>
          <w:b/>
          <w:i/>
          <w:sz w:val="22"/>
          <w:szCs w:val="22"/>
        </w:rPr>
        <w:t>Artículo 179.</w:t>
      </w:r>
      <w:r w:rsidRPr="008561BE">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1E689A" w:rsidRPr="008561BE" w:rsidRDefault="00C83C0B">
      <w:pPr>
        <w:tabs>
          <w:tab w:val="left" w:pos="7088"/>
        </w:tabs>
        <w:spacing w:before="240" w:after="240" w:line="276" w:lineRule="auto"/>
        <w:ind w:left="851" w:right="616"/>
        <w:jc w:val="both"/>
        <w:rPr>
          <w:rFonts w:ascii="Palatino Linotype" w:eastAsia="Palatino Linotype" w:hAnsi="Palatino Linotype" w:cs="Palatino Linotype"/>
          <w:b/>
          <w:i/>
          <w:sz w:val="22"/>
          <w:szCs w:val="22"/>
        </w:rPr>
      </w:pPr>
      <w:r w:rsidRPr="008561BE">
        <w:rPr>
          <w:rFonts w:ascii="Palatino Linotype" w:eastAsia="Palatino Linotype" w:hAnsi="Palatino Linotype" w:cs="Palatino Linotype"/>
          <w:b/>
          <w:i/>
          <w:sz w:val="22"/>
          <w:szCs w:val="22"/>
        </w:rPr>
        <w:t>I. La negativa a la información solicitada;</w:t>
      </w:r>
    </w:p>
    <w:p w:rsidR="001E689A" w:rsidRPr="008561BE" w:rsidRDefault="00C83C0B">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II. La clasificación de la información;</w:t>
      </w:r>
    </w:p>
    <w:p w:rsidR="001E689A" w:rsidRPr="008561BE" w:rsidRDefault="00C83C0B">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p>
    <w:p w:rsidR="001E689A" w:rsidRPr="008561BE" w:rsidRDefault="00C83C0B">
      <w:pPr>
        <w:tabs>
          <w:tab w:val="left" w:pos="7088"/>
        </w:tabs>
        <w:spacing w:before="240" w:after="240" w:line="276" w:lineRule="auto"/>
        <w:ind w:left="851" w:right="616"/>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VIII. La notificación, entrega o puesta a disposición de información en una modalidad o formato distinto al solicitado</w:t>
      </w:r>
      <w:r w:rsidRPr="008561BE">
        <w:rPr>
          <w:rFonts w:ascii="Palatino Linotype" w:eastAsia="Palatino Linotype" w:hAnsi="Palatino Linotype" w:cs="Palatino Linotype"/>
          <w:i/>
          <w:sz w:val="22"/>
          <w:szCs w:val="22"/>
        </w:rPr>
        <w:t>;” (Énfasis añadido)</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b/>
        </w:rPr>
        <w:t xml:space="preserve">Tercero. Materia de la revisión. </w:t>
      </w:r>
      <w:r w:rsidRPr="008561BE">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8561BE">
        <w:rPr>
          <w:rFonts w:ascii="Palatino Linotype" w:eastAsia="Palatino Linotype" w:hAnsi="Palatino Linotype" w:cs="Palatino Linotype"/>
          <w:b/>
        </w:rPr>
        <w:lastRenderedPageBreak/>
        <w:t xml:space="preserve">verificar si la respuesta otorgada por el Sujeto Obligado es adecuada y suficiente para satisfacer el derecho de acceso a la información pública </w:t>
      </w:r>
      <w:r w:rsidRPr="008561BE">
        <w:rPr>
          <w:rFonts w:ascii="Palatino Linotype" w:eastAsia="Palatino Linotype" w:hAnsi="Palatino Linotype" w:cs="Palatino Linotype"/>
        </w:rPr>
        <w:t xml:space="preserve">de </w:t>
      </w:r>
      <w:r w:rsidRPr="008561BE">
        <w:rPr>
          <w:rFonts w:ascii="Palatino Linotype" w:eastAsia="Palatino Linotype" w:hAnsi="Palatino Linotype" w:cs="Palatino Linotype"/>
          <w:b/>
        </w:rPr>
        <w:t>la Recurrente</w:t>
      </w:r>
      <w:r w:rsidRPr="008561BE">
        <w:rPr>
          <w:rFonts w:ascii="Palatino Linotype" w:eastAsia="Palatino Linotype" w:hAnsi="Palatino Linotype" w:cs="Palatino Linotype"/>
        </w:rPr>
        <w:t>, o en su defecto, en caso de ser procedente, ordenar la entrega de información oportuna.</w:t>
      </w:r>
    </w:p>
    <w:p w:rsidR="001E689A" w:rsidRPr="008561BE" w:rsidRDefault="00C83C0B">
      <w:pPr>
        <w:pBdr>
          <w:top w:val="nil"/>
          <w:left w:val="nil"/>
          <w:bottom w:val="nil"/>
          <w:right w:val="nil"/>
          <w:between w:val="nil"/>
        </w:pBdr>
        <w:spacing w:before="240" w:after="240" w:line="360" w:lineRule="auto"/>
        <w:jc w:val="both"/>
        <w:rPr>
          <w:color w:val="000000"/>
        </w:rPr>
      </w:pPr>
      <w:r w:rsidRPr="008561BE">
        <w:rPr>
          <w:rFonts w:ascii="Palatino Linotype" w:eastAsia="Palatino Linotype" w:hAnsi="Palatino Linotype" w:cs="Palatino Linotype"/>
          <w:b/>
          <w:color w:val="000000"/>
        </w:rPr>
        <w:t xml:space="preserve">Cuarto. Estudio del asunto. </w:t>
      </w:r>
      <w:r w:rsidRPr="008561BE">
        <w:rPr>
          <w:rFonts w:ascii="Palatino Linotype" w:eastAsia="Palatino Linotype" w:hAnsi="Palatino Linotype" w:cs="Palatino Linotype"/>
          <w:color w:val="000000"/>
        </w:rPr>
        <w:t xml:space="preserve">Antes de entrar al análisis de los pronunciamientos del </w:t>
      </w:r>
      <w:r w:rsidRPr="008561BE">
        <w:rPr>
          <w:rFonts w:ascii="Palatino Linotype" w:eastAsia="Palatino Linotype" w:hAnsi="Palatino Linotype" w:cs="Palatino Linotype"/>
          <w:b/>
          <w:color w:val="000000"/>
        </w:rPr>
        <w:t>Sujeto Obligado</w:t>
      </w:r>
      <w:r w:rsidRPr="008561BE">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1E689A" w:rsidRPr="008561BE" w:rsidRDefault="00C83C0B">
      <w:pPr>
        <w:pBdr>
          <w:top w:val="nil"/>
          <w:left w:val="nil"/>
          <w:bottom w:val="nil"/>
          <w:right w:val="nil"/>
          <w:between w:val="nil"/>
        </w:pBdr>
        <w:spacing w:before="240" w:after="240"/>
        <w:ind w:left="851" w:right="850"/>
        <w:jc w:val="both"/>
        <w:rPr>
          <w:color w:val="000000"/>
        </w:rPr>
      </w:pPr>
      <w:r w:rsidRPr="008561BE">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8561BE">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rsidR="001E689A" w:rsidRPr="008561BE" w:rsidRDefault="00C83C0B">
      <w:pPr>
        <w:pBdr>
          <w:top w:val="nil"/>
          <w:left w:val="nil"/>
          <w:bottom w:val="nil"/>
          <w:right w:val="nil"/>
          <w:between w:val="nil"/>
        </w:pBdr>
        <w:spacing w:before="240" w:after="240"/>
        <w:ind w:left="851" w:right="850"/>
        <w:jc w:val="both"/>
        <w:rPr>
          <w:color w:val="000000"/>
        </w:rPr>
      </w:pPr>
      <w:r w:rsidRPr="008561BE">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rsidR="001E689A" w:rsidRPr="008561BE" w:rsidRDefault="00C83C0B">
      <w:pPr>
        <w:pBdr>
          <w:top w:val="nil"/>
          <w:left w:val="nil"/>
          <w:bottom w:val="nil"/>
          <w:right w:val="nil"/>
          <w:between w:val="nil"/>
        </w:pBdr>
        <w:spacing w:before="240" w:after="240"/>
        <w:ind w:left="851" w:right="850"/>
        <w:jc w:val="both"/>
        <w:rPr>
          <w:color w:val="000000"/>
        </w:rPr>
      </w:pPr>
      <w:r w:rsidRPr="008561BE">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8561BE">
        <w:rPr>
          <w:rFonts w:ascii="Palatino Linotype" w:eastAsia="Palatino Linotype" w:hAnsi="Palatino Linotype" w:cs="Palatino Linotype"/>
          <w:i/>
          <w:color w:val="000000"/>
          <w:sz w:val="22"/>
          <w:szCs w:val="22"/>
        </w:rPr>
        <w:t xml:space="preserve"> En consecuencia, el </w:t>
      </w:r>
      <w:r w:rsidRPr="008561BE">
        <w:rPr>
          <w:rFonts w:ascii="Palatino Linotype" w:eastAsia="Palatino Linotype" w:hAnsi="Palatino Linotype" w:cs="Palatino Linotype"/>
          <w:i/>
          <w:color w:val="000000"/>
          <w:sz w:val="22"/>
          <w:szCs w:val="22"/>
        </w:rPr>
        <w:lastRenderedPageBreak/>
        <w:t>Estado deberá prevenir, investigar, sancionar y reparar las violaciones a los derechos humanos, en los términos que establezca la ley</w:t>
      </w:r>
    </w:p>
    <w:p w:rsidR="001E689A" w:rsidRPr="008561BE" w:rsidRDefault="00C83C0B">
      <w:pPr>
        <w:pBdr>
          <w:top w:val="nil"/>
          <w:left w:val="nil"/>
          <w:bottom w:val="nil"/>
          <w:right w:val="nil"/>
          <w:between w:val="nil"/>
        </w:pBdr>
        <w:spacing w:before="240" w:after="240"/>
        <w:ind w:left="851" w:right="850"/>
        <w:jc w:val="both"/>
        <w:rPr>
          <w:color w:val="000000"/>
        </w:rPr>
      </w:pPr>
      <w:r w:rsidRPr="008561BE">
        <w:rPr>
          <w:rFonts w:ascii="Palatino Linotype" w:eastAsia="Palatino Linotype" w:hAnsi="Palatino Linotype" w:cs="Palatino Linotype"/>
          <w:i/>
          <w:color w:val="000000"/>
          <w:sz w:val="22"/>
          <w:szCs w:val="22"/>
        </w:rPr>
        <w:t>[…]</w:t>
      </w:r>
    </w:p>
    <w:p w:rsidR="001E689A" w:rsidRPr="008561BE" w:rsidRDefault="00C83C0B">
      <w:pPr>
        <w:pBdr>
          <w:top w:val="nil"/>
          <w:left w:val="nil"/>
          <w:bottom w:val="nil"/>
          <w:right w:val="nil"/>
          <w:between w:val="nil"/>
        </w:pBdr>
        <w:spacing w:before="240" w:after="240"/>
        <w:ind w:left="851" w:right="901"/>
        <w:jc w:val="both"/>
        <w:rPr>
          <w:color w:val="000000"/>
        </w:rPr>
      </w:pPr>
      <w:r w:rsidRPr="008561BE">
        <w:rPr>
          <w:rFonts w:ascii="Palatino Linotype" w:eastAsia="Palatino Linotype" w:hAnsi="Palatino Linotype" w:cs="Palatino Linotype"/>
          <w:b/>
          <w:i/>
          <w:color w:val="000000"/>
          <w:sz w:val="22"/>
          <w:szCs w:val="22"/>
        </w:rPr>
        <w:t>“Artículo 6o.</w:t>
      </w:r>
    </w:p>
    <w:p w:rsidR="001E689A" w:rsidRPr="008561BE" w:rsidRDefault="00C83C0B">
      <w:pPr>
        <w:pBdr>
          <w:top w:val="nil"/>
          <w:left w:val="nil"/>
          <w:bottom w:val="nil"/>
          <w:right w:val="nil"/>
          <w:between w:val="nil"/>
        </w:pBdr>
        <w:spacing w:before="240" w:after="240"/>
        <w:ind w:left="851" w:right="901"/>
        <w:jc w:val="both"/>
        <w:rPr>
          <w:color w:val="000000"/>
        </w:rPr>
      </w:pPr>
      <w:r w:rsidRPr="008561BE">
        <w:rPr>
          <w:rFonts w:ascii="Palatino Linotype" w:eastAsia="Palatino Linotype" w:hAnsi="Palatino Linotype" w:cs="Palatino Linotype"/>
          <w:i/>
          <w:color w:val="000000"/>
          <w:sz w:val="22"/>
          <w:szCs w:val="22"/>
        </w:rPr>
        <w:t>[...]</w:t>
      </w:r>
    </w:p>
    <w:p w:rsidR="001E689A" w:rsidRPr="008561BE" w:rsidRDefault="00C83C0B">
      <w:pPr>
        <w:pBdr>
          <w:top w:val="nil"/>
          <w:left w:val="nil"/>
          <w:bottom w:val="nil"/>
          <w:right w:val="nil"/>
          <w:between w:val="nil"/>
        </w:pBdr>
        <w:spacing w:before="240" w:after="240"/>
        <w:ind w:left="851" w:right="851"/>
        <w:jc w:val="both"/>
        <w:rPr>
          <w:color w:val="000000"/>
        </w:rPr>
      </w:pPr>
      <w:r w:rsidRPr="008561BE">
        <w:rPr>
          <w:rFonts w:ascii="Palatino Linotype" w:eastAsia="Palatino Linotype" w:hAnsi="Palatino Linotype" w:cs="Palatino Linotype"/>
          <w:b/>
          <w:i/>
          <w:color w:val="000000"/>
          <w:sz w:val="22"/>
          <w:szCs w:val="22"/>
        </w:rPr>
        <w:t xml:space="preserve">A. Para el ejercicio del derecho de acceso a la información, la Federación y </w:t>
      </w:r>
      <w:r w:rsidRPr="008561BE">
        <w:rPr>
          <w:rFonts w:ascii="Palatino Linotype" w:eastAsia="Palatino Linotype" w:hAnsi="Palatino Linotype" w:cs="Palatino Linotype"/>
          <w:b/>
          <w:i/>
          <w:color w:val="000000"/>
          <w:sz w:val="22"/>
          <w:szCs w:val="22"/>
          <w:u w:val="single"/>
        </w:rPr>
        <w:t>las entidades federativas</w:t>
      </w:r>
      <w:r w:rsidRPr="008561BE">
        <w:rPr>
          <w:rFonts w:ascii="Palatino Linotype" w:eastAsia="Palatino Linotype" w:hAnsi="Palatino Linotype" w:cs="Palatino Linotype"/>
          <w:b/>
          <w:i/>
          <w:color w:val="000000"/>
          <w:sz w:val="22"/>
          <w:szCs w:val="22"/>
        </w:rPr>
        <w:t>,</w:t>
      </w:r>
      <w:r w:rsidRPr="008561BE">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rsidR="001E689A" w:rsidRPr="008561BE" w:rsidRDefault="00C83C0B">
      <w:pPr>
        <w:pBdr>
          <w:top w:val="nil"/>
          <w:left w:val="nil"/>
          <w:bottom w:val="nil"/>
          <w:right w:val="nil"/>
          <w:between w:val="nil"/>
        </w:pBdr>
        <w:spacing w:before="240" w:after="240"/>
        <w:ind w:left="851" w:right="851"/>
        <w:jc w:val="both"/>
        <w:rPr>
          <w:color w:val="000000"/>
        </w:rPr>
      </w:pPr>
      <w:r w:rsidRPr="008561BE">
        <w:rPr>
          <w:rFonts w:ascii="Palatino Linotype" w:eastAsia="Palatino Linotype" w:hAnsi="Palatino Linotype" w:cs="Palatino Linotype"/>
          <w:i/>
          <w:color w:val="000000"/>
          <w:sz w:val="22"/>
          <w:szCs w:val="22"/>
        </w:rPr>
        <w:t> </w:t>
      </w:r>
      <w:r w:rsidRPr="008561BE">
        <w:rPr>
          <w:rFonts w:ascii="Palatino Linotype" w:eastAsia="Palatino Linotype" w:hAnsi="Palatino Linotype" w:cs="Palatino Linotype"/>
          <w:b/>
          <w:i/>
          <w:color w:val="000000"/>
          <w:sz w:val="22"/>
          <w:szCs w:val="22"/>
        </w:rPr>
        <w:t xml:space="preserve">I. </w:t>
      </w:r>
      <w:r w:rsidRPr="008561BE">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8561BE">
        <w:rPr>
          <w:rFonts w:ascii="Palatino Linotype" w:eastAsia="Palatino Linotype" w:hAnsi="Palatino Linotype" w:cs="Palatino Linotype"/>
          <w:i/>
          <w:color w:val="000000"/>
          <w:sz w:val="22"/>
          <w:szCs w:val="22"/>
        </w:rPr>
        <w:t xml:space="preserve"> Ejecutivo, Legislativo </w:t>
      </w:r>
      <w:r w:rsidRPr="008561BE">
        <w:rPr>
          <w:rFonts w:ascii="Palatino Linotype" w:eastAsia="Palatino Linotype" w:hAnsi="Palatino Linotype" w:cs="Palatino Linotype"/>
          <w:b/>
          <w:i/>
          <w:color w:val="000000"/>
          <w:sz w:val="22"/>
          <w:szCs w:val="22"/>
          <w:u w:val="single"/>
        </w:rPr>
        <w:t>y Judicial</w:t>
      </w:r>
      <w:r w:rsidRPr="008561BE">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8561BE">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8561BE">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E689A" w:rsidRPr="008561BE" w:rsidRDefault="00C83C0B">
      <w:pPr>
        <w:pBdr>
          <w:top w:val="nil"/>
          <w:left w:val="nil"/>
          <w:bottom w:val="nil"/>
          <w:right w:val="nil"/>
          <w:between w:val="nil"/>
        </w:pBdr>
        <w:spacing w:before="240" w:after="240"/>
        <w:ind w:left="851" w:right="851"/>
        <w:jc w:val="both"/>
        <w:rPr>
          <w:color w:val="000000"/>
        </w:rPr>
      </w:pPr>
      <w:r w:rsidRPr="008561BE">
        <w:rPr>
          <w:rFonts w:ascii="Palatino Linotype" w:eastAsia="Palatino Linotype" w:hAnsi="Palatino Linotype" w:cs="Palatino Linotype"/>
          <w:i/>
          <w:color w:val="000000"/>
          <w:sz w:val="22"/>
          <w:szCs w:val="22"/>
        </w:rPr>
        <w:t> </w:t>
      </w:r>
      <w:r w:rsidRPr="008561BE">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rsidR="001E689A" w:rsidRPr="008561BE" w:rsidRDefault="00C83C0B">
      <w:pPr>
        <w:pBdr>
          <w:top w:val="nil"/>
          <w:left w:val="nil"/>
          <w:bottom w:val="nil"/>
          <w:right w:val="nil"/>
          <w:between w:val="nil"/>
        </w:pBdr>
        <w:spacing w:before="240" w:after="240"/>
        <w:ind w:left="851" w:right="851"/>
        <w:jc w:val="both"/>
        <w:rPr>
          <w:color w:val="000000"/>
        </w:rPr>
      </w:pPr>
      <w:r w:rsidRPr="008561BE">
        <w:rPr>
          <w:rFonts w:ascii="Palatino Linotype" w:eastAsia="Palatino Linotype" w:hAnsi="Palatino Linotype" w:cs="Palatino Linotype"/>
          <w:i/>
          <w:color w:val="000000"/>
          <w:sz w:val="22"/>
          <w:szCs w:val="22"/>
        </w:rPr>
        <w:t> </w:t>
      </w:r>
      <w:r w:rsidRPr="008561BE">
        <w:rPr>
          <w:rFonts w:ascii="Palatino Linotype" w:eastAsia="Palatino Linotype" w:hAnsi="Palatino Linotype" w:cs="Palatino Linotype"/>
          <w:b/>
          <w:i/>
          <w:color w:val="000000"/>
          <w:sz w:val="22"/>
          <w:szCs w:val="22"/>
        </w:rPr>
        <w:t xml:space="preserve">III. </w:t>
      </w:r>
      <w:r w:rsidRPr="008561BE">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8561BE">
        <w:rPr>
          <w:rFonts w:ascii="Palatino Linotype" w:eastAsia="Palatino Linotype" w:hAnsi="Palatino Linotype" w:cs="Palatino Linotype"/>
          <w:i/>
          <w:color w:val="000000"/>
          <w:sz w:val="22"/>
          <w:szCs w:val="22"/>
        </w:rPr>
        <w:t xml:space="preserve"> a sus datos personales o a la rectificación de éstos.</w:t>
      </w:r>
    </w:p>
    <w:p w:rsidR="001E689A" w:rsidRPr="008561BE" w:rsidRDefault="00C83C0B">
      <w:pPr>
        <w:pBdr>
          <w:top w:val="nil"/>
          <w:left w:val="nil"/>
          <w:bottom w:val="nil"/>
          <w:right w:val="nil"/>
          <w:between w:val="nil"/>
        </w:pBdr>
        <w:spacing w:before="240" w:after="240"/>
        <w:ind w:left="851" w:right="851"/>
        <w:jc w:val="both"/>
        <w:rPr>
          <w:color w:val="000000"/>
        </w:rPr>
      </w:pPr>
      <w:r w:rsidRPr="008561BE">
        <w:rPr>
          <w:rFonts w:ascii="Palatino Linotype" w:eastAsia="Palatino Linotype" w:hAnsi="Palatino Linotype" w:cs="Palatino Linotype"/>
          <w:i/>
          <w:color w:val="000000"/>
          <w:sz w:val="22"/>
          <w:szCs w:val="22"/>
        </w:rPr>
        <w:t> </w:t>
      </w:r>
      <w:r w:rsidRPr="008561BE">
        <w:rPr>
          <w:rFonts w:ascii="Palatino Linotype" w:eastAsia="Palatino Linotype" w:hAnsi="Palatino Linotype" w:cs="Palatino Linotype"/>
          <w:b/>
          <w:i/>
          <w:color w:val="000000"/>
          <w:sz w:val="22"/>
          <w:szCs w:val="22"/>
        </w:rPr>
        <w:t xml:space="preserve">IV. </w:t>
      </w:r>
      <w:r w:rsidRPr="008561BE">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rsidR="001E689A" w:rsidRPr="008561BE" w:rsidRDefault="00C83C0B">
      <w:pPr>
        <w:pBdr>
          <w:top w:val="nil"/>
          <w:left w:val="nil"/>
          <w:bottom w:val="nil"/>
          <w:right w:val="nil"/>
          <w:between w:val="nil"/>
        </w:pBdr>
        <w:spacing w:before="240" w:after="240"/>
        <w:ind w:left="851" w:right="851"/>
        <w:jc w:val="both"/>
        <w:rPr>
          <w:color w:val="000000"/>
        </w:rPr>
      </w:pPr>
      <w:r w:rsidRPr="008561BE">
        <w:rPr>
          <w:rFonts w:ascii="Palatino Linotype" w:eastAsia="Palatino Linotype" w:hAnsi="Palatino Linotype" w:cs="Palatino Linotype"/>
          <w:b/>
          <w:i/>
          <w:color w:val="000000"/>
          <w:sz w:val="22"/>
          <w:szCs w:val="22"/>
        </w:rPr>
        <w:t xml:space="preserve">V. </w:t>
      </w:r>
      <w:r w:rsidRPr="008561BE">
        <w:rPr>
          <w:rFonts w:ascii="Palatino Linotype" w:eastAsia="Palatino Linotype" w:hAnsi="Palatino Linotype" w:cs="Palatino Linotype"/>
          <w:i/>
          <w:color w:val="000000"/>
          <w:sz w:val="22"/>
          <w:szCs w:val="22"/>
        </w:rPr>
        <w:t xml:space="preserve">Los sujetos obligados deberán preservar sus documentos en archivos administrativos actualizados y publicarán, a través de los medios electrónicos disponibles, la información completa y actualizada sobre el ejercicio de los recursos </w:t>
      </w:r>
      <w:r w:rsidRPr="008561BE">
        <w:rPr>
          <w:rFonts w:ascii="Palatino Linotype" w:eastAsia="Palatino Linotype" w:hAnsi="Palatino Linotype" w:cs="Palatino Linotype"/>
          <w:i/>
          <w:color w:val="000000"/>
          <w:sz w:val="22"/>
          <w:szCs w:val="22"/>
        </w:rPr>
        <w:lastRenderedPageBreak/>
        <w:t>públicos y los indicadores que permitan rendir cuenta del cumplimiento de sus objetivos y de los resultados obtenidos.</w:t>
      </w:r>
    </w:p>
    <w:p w:rsidR="001E689A" w:rsidRPr="008561BE" w:rsidRDefault="00C83C0B">
      <w:pPr>
        <w:pBdr>
          <w:top w:val="nil"/>
          <w:left w:val="nil"/>
          <w:bottom w:val="nil"/>
          <w:right w:val="nil"/>
          <w:between w:val="nil"/>
        </w:pBdr>
        <w:spacing w:before="240" w:after="240"/>
        <w:ind w:left="851" w:right="851"/>
        <w:jc w:val="both"/>
        <w:rPr>
          <w:color w:val="000000"/>
        </w:rPr>
      </w:pPr>
      <w:r w:rsidRPr="008561BE">
        <w:rPr>
          <w:rFonts w:ascii="Palatino Linotype" w:eastAsia="Palatino Linotype" w:hAnsi="Palatino Linotype" w:cs="Palatino Linotype"/>
          <w:i/>
          <w:color w:val="000000"/>
          <w:sz w:val="22"/>
          <w:szCs w:val="22"/>
        </w:rPr>
        <w:t> </w:t>
      </w:r>
      <w:r w:rsidRPr="008561BE">
        <w:rPr>
          <w:rFonts w:ascii="Palatino Linotype" w:eastAsia="Palatino Linotype" w:hAnsi="Palatino Linotype" w:cs="Palatino Linotype"/>
          <w:b/>
          <w:i/>
          <w:color w:val="000000"/>
          <w:sz w:val="22"/>
          <w:szCs w:val="22"/>
        </w:rPr>
        <w:t xml:space="preserve">VI. </w:t>
      </w:r>
      <w:r w:rsidRPr="008561BE">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rsidR="001E689A" w:rsidRPr="008561BE" w:rsidRDefault="00C83C0B">
      <w:pPr>
        <w:pBdr>
          <w:top w:val="nil"/>
          <w:left w:val="nil"/>
          <w:bottom w:val="nil"/>
          <w:right w:val="nil"/>
          <w:between w:val="nil"/>
        </w:pBdr>
        <w:spacing w:before="240" w:after="240"/>
        <w:ind w:left="851" w:right="851"/>
        <w:jc w:val="both"/>
        <w:rPr>
          <w:color w:val="000000"/>
        </w:rPr>
      </w:pPr>
      <w:r w:rsidRPr="008561BE">
        <w:rPr>
          <w:rFonts w:ascii="Palatino Linotype" w:eastAsia="Palatino Linotype" w:hAnsi="Palatino Linotype" w:cs="Palatino Linotype"/>
          <w:i/>
          <w:color w:val="000000"/>
          <w:sz w:val="22"/>
          <w:szCs w:val="22"/>
        </w:rPr>
        <w:t> </w:t>
      </w:r>
      <w:r w:rsidRPr="008561BE">
        <w:rPr>
          <w:rFonts w:ascii="Palatino Linotype" w:eastAsia="Palatino Linotype" w:hAnsi="Palatino Linotype" w:cs="Palatino Linotype"/>
          <w:b/>
          <w:i/>
          <w:color w:val="000000"/>
          <w:sz w:val="22"/>
          <w:szCs w:val="22"/>
        </w:rPr>
        <w:t xml:space="preserve">VII. </w:t>
      </w:r>
      <w:r w:rsidRPr="008561BE">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rsidR="001E689A" w:rsidRPr="008561BE" w:rsidRDefault="00C83C0B">
      <w:pPr>
        <w:pBdr>
          <w:top w:val="nil"/>
          <w:left w:val="nil"/>
          <w:bottom w:val="nil"/>
          <w:right w:val="nil"/>
          <w:between w:val="nil"/>
        </w:pBdr>
        <w:spacing w:before="240" w:after="240" w:line="360" w:lineRule="auto"/>
        <w:jc w:val="both"/>
        <w:rPr>
          <w:color w:val="000000"/>
        </w:rPr>
      </w:pPr>
      <w:r w:rsidRPr="008561BE">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1E689A" w:rsidRPr="008561BE" w:rsidRDefault="00C83C0B">
      <w:pPr>
        <w:pBdr>
          <w:top w:val="nil"/>
          <w:left w:val="nil"/>
          <w:bottom w:val="nil"/>
          <w:right w:val="nil"/>
          <w:between w:val="nil"/>
        </w:pBdr>
        <w:spacing w:before="240" w:after="240"/>
        <w:ind w:left="709" w:right="760"/>
        <w:jc w:val="both"/>
        <w:rPr>
          <w:color w:val="000000"/>
        </w:rPr>
      </w:pPr>
      <w:r w:rsidRPr="008561BE">
        <w:rPr>
          <w:rFonts w:ascii="Palatino Linotype" w:eastAsia="Palatino Linotype" w:hAnsi="Palatino Linotype" w:cs="Palatino Linotype"/>
          <w:i/>
          <w:color w:val="000000"/>
          <w:sz w:val="22"/>
          <w:szCs w:val="22"/>
        </w:rPr>
        <w:t>“</w:t>
      </w:r>
      <w:r w:rsidRPr="008561BE">
        <w:rPr>
          <w:rFonts w:ascii="Palatino Linotype" w:eastAsia="Palatino Linotype" w:hAnsi="Palatino Linotype" w:cs="Palatino Linotype"/>
          <w:b/>
          <w:i/>
          <w:color w:val="000000"/>
          <w:sz w:val="22"/>
          <w:szCs w:val="22"/>
        </w:rPr>
        <w:t>Artículo 4</w:t>
      </w:r>
      <w:r w:rsidRPr="008561BE">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rsidR="001E689A" w:rsidRPr="008561BE" w:rsidRDefault="00C83C0B">
      <w:pPr>
        <w:pBdr>
          <w:top w:val="nil"/>
          <w:left w:val="nil"/>
          <w:bottom w:val="nil"/>
          <w:right w:val="nil"/>
          <w:between w:val="nil"/>
        </w:pBdr>
        <w:spacing w:before="240" w:after="240"/>
        <w:ind w:left="709" w:right="760"/>
        <w:jc w:val="both"/>
        <w:rPr>
          <w:color w:val="000000"/>
        </w:rPr>
      </w:pPr>
      <w:r w:rsidRPr="008561BE">
        <w:rPr>
          <w:rFonts w:ascii="Palatino Linotype" w:eastAsia="Palatino Linotype" w:hAnsi="Palatino Linotype" w:cs="Palatino Linotype"/>
          <w:b/>
          <w:i/>
          <w:color w:val="000000"/>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8561BE">
        <w:rPr>
          <w:rFonts w:ascii="Palatino Linotype" w:eastAsia="Palatino Linotype" w:hAnsi="Palatino Linotype" w:cs="Palatino Linotype"/>
          <w:b/>
          <w:i/>
          <w:color w:val="000000"/>
          <w:sz w:val="22"/>
          <w:szCs w:val="22"/>
        </w:rPr>
        <w:lastRenderedPageBreak/>
        <w:t>público, en los términos de las causas legítimas y estrictamente necesarias previstas por esta Ley.</w:t>
      </w:r>
    </w:p>
    <w:p w:rsidR="001E689A" w:rsidRPr="008561BE" w:rsidRDefault="00C83C0B">
      <w:pPr>
        <w:pBdr>
          <w:top w:val="nil"/>
          <w:left w:val="nil"/>
          <w:bottom w:val="nil"/>
          <w:right w:val="nil"/>
          <w:between w:val="nil"/>
        </w:pBdr>
        <w:spacing w:before="240" w:after="240"/>
        <w:ind w:left="709" w:right="760"/>
        <w:jc w:val="both"/>
        <w:rPr>
          <w:color w:val="000000"/>
        </w:rPr>
      </w:pPr>
      <w:r w:rsidRPr="008561BE">
        <w:rPr>
          <w:rFonts w:ascii="Palatino Linotype" w:eastAsia="Palatino Linotype" w:hAnsi="Palatino Linotype" w:cs="Palatino Linotype"/>
          <w:i/>
          <w:color w:val="000000"/>
          <w:sz w:val="22"/>
          <w:szCs w:val="22"/>
        </w:rPr>
        <w:t>Los sujetos obligados deben poner en práctica, políticas y programas de acceso a la información que se apeguen a criterios de publicidad, veracidad, oportunidad, precisión y suficiencia en beneficio de los solicitantes.”(Sic)</w:t>
      </w:r>
    </w:p>
    <w:p w:rsidR="001E689A" w:rsidRPr="008561BE" w:rsidRDefault="00C83C0B">
      <w:pPr>
        <w:pBdr>
          <w:top w:val="nil"/>
          <w:left w:val="nil"/>
          <w:bottom w:val="nil"/>
          <w:right w:val="nil"/>
          <w:between w:val="nil"/>
        </w:pBdr>
        <w:spacing w:before="240" w:after="240" w:line="360" w:lineRule="auto"/>
        <w:jc w:val="both"/>
        <w:rPr>
          <w:color w:val="000000"/>
        </w:rPr>
      </w:pPr>
      <w:r w:rsidRPr="008561BE">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rsidR="001E689A" w:rsidRPr="008561BE" w:rsidRDefault="00C83C0B">
      <w:pPr>
        <w:pBdr>
          <w:top w:val="nil"/>
          <w:left w:val="nil"/>
          <w:bottom w:val="nil"/>
          <w:right w:val="nil"/>
          <w:between w:val="nil"/>
        </w:pBdr>
        <w:spacing w:before="240" w:after="240"/>
        <w:ind w:left="567" w:right="758"/>
        <w:jc w:val="both"/>
        <w:rPr>
          <w:color w:val="000000"/>
        </w:rPr>
      </w:pPr>
      <w:r w:rsidRPr="008561BE">
        <w:rPr>
          <w:rFonts w:ascii="Palatino Linotype" w:eastAsia="Palatino Linotype" w:hAnsi="Palatino Linotype" w:cs="Palatino Linotype"/>
          <w:i/>
          <w:color w:val="000000"/>
          <w:sz w:val="22"/>
          <w:szCs w:val="22"/>
        </w:rPr>
        <w:t>“</w:t>
      </w:r>
      <w:r w:rsidRPr="008561BE">
        <w:rPr>
          <w:rFonts w:ascii="Palatino Linotype" w:eastAsia="Palatino Linotype" w:hAnsi="Palatino Linotype" w:cs="Palatino Linotype"/>
          <w:b/>
          <w:i/>
          <w:color w:val="000000"/>
          <w:sz w:val="22"/>
          <w:szCs w:val="22"/>
        </w:rPr>
        <w:t>Artículo 12</w:t>
      </w:r>
      <w:r w:rsidRPr="008561BE">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rsidR="001E689A" w:rsidRPr="008561BE" w:rsidRDefault="00C83C0B">
      <w:pPr>
        <w:pBdr>
          <w:top w:val="nil"/>
          <w:left w:val="nil"/>
          <w:bottom w:val="nil"/>
          <w:right w:val="nil"/>
          <w:between w:val="nil"/>
        </w:pBdr>
        <w:spacing w:before="240" w:after="240"/>
        <w:ind w:left="567" w:right="758"/>
        <w:jc w:val="both"/>
        <w:rPr>
          <w:color w:val="000000"/>
        </w:rPr>
      </w:pPr>
      <w:r w:rsidRPr="008561BE">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1E689A" w:rsidRPr="008561BE" w:rsidRDefault="00C83C0B">
      <w:pPr>
        <w:pBdr>
          <w:top w:val="nil"/>
          <w:left w:val="nil"/>
          <w:bottom w:val="nil"/>
          <w:right w:val="nil"/>
          <w:between w:val="nil"/>
        </w:pBdr>
        <w:spacing w:before="240" w:after="240" w:line="360" w:lineRule="auto"/>
        <w:jc w:val="both"/>
        <w:rPr>
          <w:color w:val="000000"/>
        </w:rPr>
      </w:pPr>
      <w:r w:rsidRPr="008561BE">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8561BE">
        <w:rPr>
          <w:rFonts w:ascii="Palatino Linotype" w:eastAsia="Palatino Linotype" w:hAnsi="Palatino Linotype" w:cs="Palatino Linotype"/>
          <w:b/>
          <w:color w:val="000000"/>
        </w:rPr>
        <w:t xml:space="preserve"> </w:t>
      </w:r>
      <w:r w:rsidRPr="008561BE">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8561BE">
        <w:rPr>
          <w:rFonts w:ascii="Palatino Linotype" w:eastAsia="Palatino Linotype" w:hAnsi="Palatino Linotype" w:cs="Palatino Linotype"/>
          <w:i/>
          <w:color w:val="000000"/>
        </w:rPr>
        <w:t>ad hoc</w:t>
      </w:r>
      <w:r w:rsidRPr="008561BE">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rsidR="001E689A" w:rsidRPr="008561BE" w:rsidRDefault="00C83C0B">
      <w:pPr>
        <w:pBdr>
          <w:top w:val="nil"/>
          <w:left w:val="nil"/>
          <w:bottom w:val="nil"/>
          <w:right w:val="nil"/>
          <w:between w:val="nil"/>
        </w:pBdr>
        <w:spacing w:before="240" w:after="240"/>
        <w:ind w:left="567" w:right="567"/>
        <w:jc w:val="both"/>
        <w:rPr>
          <w:color w:val="000000"/>
        </w:rPr>
      </w:pPr>
      <w:r w:rsidRPr="008561BE">
        <w:rPr>
          <w:rFonts w:ascii="Palatino Linotype" w:eastAsia="Palatino Linotype" w:hAnsi="Palatino Linotype" w:cs="Palatino Linotype"/>
          <w:b/>
          <w:i/>
          <w:color w:val="000000"/>
          <w:sz w:val="22"/>
          <w:szCs w:val="22"/>
        </w:rPr>
        <w:lastRenderedPageBreak/>
        <w:t>03/17</w:t>
      </w:r>
    </w:p>
    <w:p w:rsidR="001E689A" w:rsidRPr="008561BE" w:rsidRDefault="00C83C0B">
      <w:pPr>
        <w:pBdr>
          <w:top w:val="nil"/>
          <w:left w:val="nil"/>
          <w:bottom w:val="nil"/>
          <w:right w:val="nil"/>
          <w:between w:val="nil"/>
        </w:pBdr>
        <w:spacing w:before="240" w:after="240"/>
        <w:ind w:left="567" w:right="567"/>
        <w:jc w:val="both"/>
        <w:rPr>
          <w:color w:val="000000"/>
        </w:rPr>
      </w:pPr>
      <w:r w:rsidRPr="008561BE">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p>
    <w:p w:rsidR="001E689A" w:rsidRPr="008561BE" w:rsidRDefault="00C83C0B">
      <w:pPr>
        <w:pBdr>
          <w:top w:val="nil"/>
          <w:left w:val="nil"/>
          <w:bottom w:val="nil"/>
          <w:right w:val="nil"/>
          <w:between w:val="nil"/>
        </w:pBdr>
        <w:spacing w:before="240" w:after="240"/>
        <w:ind w:left="567" w:right="567"/>
        <w:jc w:val="both"/>
        <w:rPr>
          <w:color w:val="000000"/>
        </w:rPr>
      </w:pPr>
      <w:r w:rsidRPr="008561BE">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1E689A" w:rsidRPr="008561BE" w:rsidRDefault="00C83C0B">
      <w:pPr>
        <w:pBdr>
          <w:top w:val="nil"/>
          <w:left w:val="nil"/>
          <w:bottom w:val="nil"/>
          <w:right w:val="nil"/>
          <w:between w:val="nil"/>
        </w:pBdr>
        <w:spacing w:before="240" w:after="240" w:line="360" w:lineRule="auto"/>
        <w:jc w:val="both"/>
        <w:rPr>
          <w:color w:val="000000"/>
        </w:rPr>
      </w:pPr>
      <w:r w:rsidRPr="008561BE">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1E689A" w:rsidRPr="008561BE" w:rsidRDefault="00C83C0B">
      <w:pPr>
        <w:pBdr>
          <w:top w:val="nil"/>
          <w:left w:val="nil"/>
          <w:bottom w:val="nil"/>
          <w:right w:val="nil"/>
          <w:between w:val="nil"/>
        </w:pBdr>
        <w:spacing w:before="240" w:after="240" w:line="360" w:lineRule="auto"/>
        <w:ind w:right="49"/>
        <w:jc w:val="both"/>
        <w:rPr>
          <w:color w:val="000000"/>
        </w:rPr>
      </w:pPr>
      <w:r w:rsidRPr="008561BE">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1E689A" w:rsidRPr="008561BE" w:rsidRDefault="00C83C0B">
      <w:pPr>
        <w:pBdr>
          <w:top w:val="nil"/>
          <w:left w:val="nil"/>
          <w:bottom w:val="nil"/>
          <w:right w:val="nil"/>
          <w:between w:val="nil"/>
        </w:pBdr>
        <w:spacing w:before="240" w:after="240" w:line="360" w:lineRule="auto"/>
        <w:jc w:val="both"/>
        <w:rPr>
          <w:color w:val="000000"/>
        </w:rPr>
      </w:pPr>
      <w:r w:rsidRPr="008561BE">
        <w:rPr>
          <w:rFonts w:ascii="Palatino Linotype" w:eastAsia="Palatino Linotype" w:hAnsi="Palatino Linotype" w:cs="Palatino Linotype"/>
          <w:color w:val="000000"/>
        </w:rPr>
        <w:lastRenderedPageBreak/>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1E689A" w:rsidRPr="008561BE" w:rsidRDefault="00C83C0B">
      <w:pPr>
        <w:pBdr>
          <w:top w:val="nil"/>
          <w:left w:val="nil"/>
          <w:bottom w:val="nil"/>
          <w:right w:val="nil"/>
          <w:between w:val="nil"/>
        </w:pBdr>
        <w:spacing w:before="240" w:after="240"/>
        <w:ind w:left="567" w:right="567"/>
        <w:jc w:val="both"/>
        <w:rPr>
          <w:color w:val="000000"/>
        </w:rPr>
      </w:pPr>
      <w:r w:rsidRPr="008561BE">
        <w:rPr>
          <w:rFonts w:ascii="Palatino Linotype" w:eastAsia="Palatino Linotype" w:hAnsi="Palatino Linotype" w:cs="Palatino Linotype"/>
          <w:i/>
          <w:color w:val="000000"/>
          <w:sz w:val="22"/>
          <w:szCs w:val="22"/>
        </w:rPr>
        <w:t>“</w:t>
      </w:r>
      <w:r w:rsidRPr="008561BE">
        <w:rPr>
          <w:rFonts w:ascii="Palatino Linotype" w:eastAsia="Palatino Linotype" w:hAnsi="Palatino Linotype" w:cs="Palatino Linotype"/>
          <w:b/>
          <w:i/>
          <w:color w:val="000000"/>
          <w:sz w:val="22"/>
          <w:szCs w:val="22"/>
        </w:rPr>
        <w:t xml:space="preserve">Artículo 3. </w:t>
      </w:r>
      <w:r w:rsidRPr="008561BE">
        <w:rPr>
          <w:rFonts w:ascii="Palatino Linotype" w:eastAsia="Palatino Linotype" w:hAnsi="Palatino Linotype" w:cs="Palatino Linotype"/>
          <w:i/>
          <w:color w:val="000000"/>
          <w:sz w:val="22"/>
          <w:szCs w:val="22"/>
        </w:rPr>
        <w:t>Para los efectos de la presente Ley se entenderá por:</w:t>
      </w:r>
    </w:p>
    <w:p w:rsidR="001E689A" w:rsidRPr="008561BE" w:rsidRDefault="00C83C0B">
      <w:pPr>
        <w:pBdr>
          <w:top w:val="nil"/>
          <w:left w:val="nil"/>
          <w:bottom w:val="nil"/>
          <w:right w:val="nil"/>
          <w:between w:val="nil"/>
        </w:pBdr>
        <w:spacing w:before="240" w:after="240"/>
        <w:ind w:left="567" w:right="567"/>
        <w:jc w:val="both"/>
        <w:rPr>
          <w:color w:val="000000"/>
        </w:rPr>
      </w:pPr>
      <w:r w:rsidRPr="008561BE">
        <w:rPr>
          <w:rFonts w:ascii="Palatino Linotype" w:eastAsia="Palatino Linotype" w:hAnsi="Palatino Linotype" w:cs="Palatino Linotype"/>
          <w:i/>
          <w:color w:val="000000"/>
          <w:sz w:val="22"/>
          <w:szCs w:val="22"/>
        </w:rPr>
        <w:t>…</w:t>
      </w:r>
    </w:p>
    <w:p w:rsidR="001E689A" w:rsidRPr="008561BE" w:rsidRDefault="00C83C0B">
      <w:pPr>
        <w:pBdr>
          <w:top w:val="nil"/>
          <w:left w:val="nil"/>
          <w:bottom w:val="nil"/>
          <w:right w:val="nil"/>
          <w:between w:val="nil"/>
        </w:pBdr>
        <w:spacing w:before="240" w:after="240"/>
        <w:ind w:left="567" w:right="567"/>
        <w:jc w:val="both"/>
        <w:rPr>
          <w:color w:val="000000"/>
        </w:rPr>
      </w:pPr>
      <w:r w:rsidRPr="008561BE">
        <w:rPr>
          <w:rFonts w:ascii="Palatino Linotype" w:eastAsia="Palatino Linotype" w:hAnsi="Palatino Linotype" w:cs="Palatino Linotype"/>
          <w:b/>
          <w:i/>
          <w:color w:val="000000"/>
          <w:sz w:val="22"/>
          <w:szCs w:val="22"/>
        </w:rPr>
        <w:t>XI. Documento:</w:t>
      </w:r>
      <w:r w:rsidRPr="008561BE">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8561BE">
        <w:rPr>
          <w:rFonts w:ascii="Palatino Linotype" w:eastAsia="Palatino Linotype" w:hAnsi="Palatino Linotype" w:cs="Palatino Linotype"/>
          <w:b/>
          <w:i/>
          <w:color w:val="000000"/>
          <w:sz w:val="22"/>
          <w:szCs w:val="22"/>
        </w:rPr>
        <w:t>…</w:t>
      </w:r>
      <w:r w:rsidRPr="008561BE">
        <w:rPr>
          <w:rFonts w:ascii="Palatino Linotype" w:eastAsia="Palatino Linotype" w:hAnsi="Palatino Linotype" w:cs="Palatino Linotype"/>
          <w:i/>
          <w:color w:val="000000"/>
          <w:sz w:val="22"/>
          <w:szCs w:val="22"/>
        </w:rPr>
        <w:t xml:space="preserve">” </w:t>
      </w:r>
    </w:p>
    <w:p w:rsidR="001E689A" w:rsidRPr="008561BE" w:rsidRDefault="00C83C0B">
      <w:pPr>
        <w:pBdr>
          <w:top w:val="nil"/>
          <w:left w:val="nil"/>
          <w:bottom w:val="nil"/>
          <w:right w:val="nil"/>
          <w:between w:val="nil"/>
        </w:pBdr>
        <w:spacing w:before="240" w:after="240" w:line="360" w:lineRule="auto"/>
        <w:jc w:val="both"/>
        <w:rPr>
          <w:color w:val="000000"/>
        </w:rPr>
      </w:pPr>
      <w:r w:rsidRPr="008561BE">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1E689A" w:rsidRPr="008561BE" w:rsidRDefault="00C83C0B">
      <w:pPr>
        <w:pBdr>
          <w:top w:val="nil"/>
          <w:left w:val="nil"/>
          <w:bottom w:val="nil"/>
          <w:right w:val="nil"/>
          <w:between w:val="nil"/>
        </w:pBdr>
        <w:spacing w:before="240" w:after="240"/>
        <w:ind w:left="567" w:right="567"/>
        <w:jc w:val="both"/>
        <w:rPr>
          <w:color w:val="000000"/>
        </w:rPr>
      </w:pPr>
      <w:r w:rsidRPr="008561BE">
        <w:rPr>
          <w:rFonts w:ascii="Palatino Linotype" w:eastAsia="Palatino Linotype" w:hAnsi="Palatino Linotype" w:cs="Palatino Linotype"/>
          <w:b/>
          <w:color w:val="000000"/>
          <w:sz w:val="22"/>
          <w:szCs w:val="22"/>
        </w:rPr>
        <w:t>“</w:t>
      </w:r>
      <w:r w:rsidRPr="008561BE">
        <w:rPr>
          <w:rFonts w:ascii="Palatino Linotype" w:eastAsia="Palatino Linotype" w:hAnsi="Palatino Linotype" w:cs="Palatino Linotype"/>
          <w:b/>
          <w:i/>
          <w:color w:val="000000"/>
          <w:sz w:val="22"/>
          <w:szCs w:val="22"/>
        </w:rPr>
        <w:t>CRITERIO 0002-11</w:t>
      </w:r>
    </w:p>
    <w:p w:rsidR="001E689A" w:rsidRPr="008561BE" w:rsidRDefault="00C83C0B">
      <w:pPr>
        <w:pBdr>
          <w:top w:val="nil"/>
          <w:left w:val="nil"/>
          <w:bottom w:val="nil"/>
          <w:right w:val="nil"/>
          <w:between w:val="nil"/>
        </w:pBdr>
        <w:spacing w:before="240" w:after="240"/>
        <w:ind w:left="567" w:right="567"/>
        <w:jc w:val="both"/>
        <w:rPr>
          <w:color w:val="000000"/>
        </w:rPr>
      </w:pPr>
      <w:r w:rsidRPr="008561BE">
        <w:rPr>
          <w:rFonts w:ascii="Palatino Linotype" w:eastAsia="Palatino Linotype" w:hAnsi="Palatino Linotype" w:cs="Palatino Linotype"/>
          <w:b/>
          <w:i/>
          <w:color w:val="000000"/>
          <w:sz w:val="22"/>
          <w:szCs w:val="22"/>
        </w:rPr>
        <w:lastRenderedPageBreak/>
        <w:t>INFORMACIÓN PÚBLICA, CONCEPTO DE, EN MATERIA DE TRANSPARENCIA. INTERPRETACIÓN SISTEMÁTICA DE LOS ARTÍCULOS 2°, FRACCIÓN V, XV, Y XVI, 3°, 4°, 11 Y 41.</w:t>
      </w:r>
      <w:r w:rsidRPr="008561BE">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1E689A" w:rsidRPr="008561BE" w:rsidRDefault="00C83C0B">
      <w:pPr>
        <w:pBdr>
          <w:top w:val="nil"/>
          <w:left w:val="nil"/>
          <w:bottom w:val="nil"/>
          <w:right w:val="nil"/>
          <w:between w:val="nil"/>
        </w:pBdr>
        <w:spacing w:before="240" w:after="240"/>
        <w:ind w:left="567" w:right="567"/>
        <w:jc w:val="both"/>
        <w:rPr>
          <w:color w:val="000000"/>
        </w:rPr>
      </w:pPr>
      <w:r w:rsidRPr="008561BE">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rsidR="001E689A" w:rsidRPr="008561BE" w:rsidRDefault="00C83C0B">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8561BE">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rsidR="001E689A" w:rsidRPr="008561BE" w:rsidRDefault="00C83C0B">
      <w:pPr>
        <w:numPr>
          <w:ilvl w:val="0"/>
          <w:numId w:val="3"/>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8561BE">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rsidR="001E689A" w:rsidRPr="008561BE" w:rsidRDefault="00C83C0B">
      <w:pPr>
        <w:pBdr>
          <w:top w:val="nil"/>
          <w:left w:val="nil"/>
          <w:bottom w:val="nil"/>
          <w:right w:val="nil"/>
          <w:between w:val="nil"/>
        </w:pBdr>
        <w:spacing w:before="240" w:after="240"/>
        <w:ind w:left="567" w:right="567" w:hanging="284"/>
        <w:jc w:val="both"/>
        <w:rPr>
          <w:color w:val="000000"/>
        </w:rPr>
      </w:pPr>
      <w:r w:rsidRPr="008561BE">
        <w:rPr>
          <w:rFonts w:ascii="Palatino Linotype" w:eastAsia="Palatino Linotype" w:hAnsi="Palatino Linotype" w:cs="Palatino Linotype"/>
          <w:i/>
          <w:color w:val="000000"/>
          <w:sz w:val="22"/>
          <w:szCs w:val="22"/>
        </w:rPr>
        <w:t xml:space="preserve">3. </w:t>
      </w:r>
      <w:r w:rsidRPr="008561BE">
        <w:rPr>
          <w:rFonts w:ascii="Palatino Linotype" w:eastAsia="Palatino Linotype" w:hAnsi="Palatino Linotype" w:cs="Palatino Linotype"/>
          <w:b/>
          <w:i/>
          <w:color w:val="000000"/>
          <w:sz w:val="22"/>
          <w:szCs w:val="22"/>
        </w:rPr>
        <w:t xml:space="preserve">Que se trate de información registrada en cualquier soporte documental, que en ejercicio de las atribuciones conferidas, se encuentre en posesión de los Sujetos Obligados.” </w:t>
      </w:r>
      <w:r w:rsidRPr="008561BE">
        <w:rPr>
          <w:rFonts w:ascii="Palatino Linotype" w:eastAsia="Palatino Linotype" w:hAnsi="Palatino Linotype" w:cs="Palatino Linotype"/>
          <w:i/>
          <w:color w:val="000000"/>
          <w:sz w:val="22"/>
          <w:szCs w:val="22"/>
        </w:rPr>
        <w:t>(Énfasis añadido)</w:t>
      </w:r>
    </w:p>
    <w:p w:rsidR="001E689A" w:rsidRPr="008561BE" w:rsidRDefault="00C83C0B">
      <w:pPr>
        <w:pBdr>
          <w:top w:val="nil"/>
          <w:left w:val="nil"/>
          <w:bottom w:val="nil"/>
          <w:right w:val="nil"/>
          <w:between w:val="nil"/>
        </w:pBdr>
        <w:spacing w:before="240" w:after="240" w:line="360" w:lineRule="auto"/>
        <w:jc w:val="both"/>
        <w:rPr>
          <w:color w:val="000000"/>
        </w:rPr>
      </w:pPr>
      <w:r w:rsidRPr="008561BE">
        <w:rPr>
          <w:rFonts w:ascii="Palatino Linotype" w:eastAsia="Palatino Linotype" w:hAnsi="Palatino Linotype" w:cs="Palatino Linotype"/>
          <w:color w:val="000000"/>
        </w:rPr>
        <w:t xml:space="preserve">De ahí que el </w:t>
      </w:r>
      <w:r w:rsidRPr="008561BE">
        <w:rPr>
          <w:rFonts w:ascii="Palatino Linotype" w:eastAsia="Palatino Linotype" w:hAnsi="Palatino Linotype" w:cs="Palatino Linotype"/>
          <w:b/>
          <w:color w:val="000000"/>
        </w:rPr>
        <w:t>Sujeto Obligado</w:t>
      </w:r>
      <w:r w:rsidRPr="008561BE">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rsidR="001E689A" w:rsidRPr="008561BE" w:rsidRDefault="00C83C0B">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8561BE">
        <w:rPr>
          <w:rFonts w:ascii="Palatino Linotype" w:eastAsia="Palatino Linotype" w:hAnsi="Palatino Linotype" w:cs="Palatino Linotype"/>
          <w:color w:val="000000"/>
        </w:rPr>
        <w:lastRenderedPageBreak/>
        <w:t xml:space="preserve">Ahora bien, para profundizar en el estudio del presente asunto, es conveniente recordar que la solicitante requirió al </w:t>
      </w:r>
      <w:r w:rsidRPr="008561BE">
        <w:rPr>
          <w:rFonts w:ascii="Palatino Linotype" w:eastAsia="Palatino Linotype" w:hAnsi="Palatino Linotype" w:cs="Palatino Linotype"/>
          <w:b/>
          <w:color w:val="000000"/>
        </w:rPr>
        <w:t>Sujeto Obligado</w:t>
      </w:r>
      <w:r w:rsidRPr="008561BE">
        <w:rPr>
          <w:rFonts w:ascii="Palatino Linotype" w:eastAsia="Palatino Linotype" w:hAnsi="Palatino Linotype" w:cs="Palatino Linotype"/>
          <w:color w:val="000000"/>
        </w:rPr>
        <w:t>, le proporcionara lo siguiente:</w:t>
      </w:r>
    </w:p>
    <w:p w:rsidR="001E689A" w:rsidRPr="008561BE" w:rsidRDefault="00C83C0B">
      <w:pPr>
        <w:spacing w:before="240" w:after="240" w:line="360" w:lineRule="auto"/>
        <w:ind w:left="567" w:right="1041" w:hanging="141"/>
        <w:jc w:val="both"/>
        <w:rPr>
          <w:rFonts w:ascii="Palatino Linotype" w:eastAsia="Palatino Linotype" w:hAnsi="Palatino Linotype" w:cs="Palatino Linotype"/>
          <w:b/>
          <w:color w:val="000000"/>
          <w:sz w:val="22"/>
          <w:szCs w:val="22"/>
        </w:rPr>
      </w:pPr>
      <w:r w:rsidRPr="008561BE">
        <w:rPr>
          <w:rFonts w:ascii="Palatino Linotype" w:eastAsia="Palatino Linotype" w:hAnsi="Palatino Linotype" w:cs="Palatino Linotype"/>
          <w:b/>
          <w:color w:val="000000"/>
          <w:sz w:val="22"/>
          <w:szCs w:val="22"/>
        </w:rPr>
        <w:t>De todo el personal adscrito a la Dirección General, Área de Finanzas y Jurídico, el mes de febrero 2023:</w:t>
      </w:r>
    </w:p>
    <w:p w:rsidR="001E689A" w:rsidRPr="008561BE" w:rsidRDefault="00C83C0B">
      <w:pPr>
        <w:numPr>
          <w:ilvl w:val="0"/>
          <w:numId w:val="4"/>
        </w:numPr>
        <w:pBdr>
          <w:top w:val="nil"/>
          <w:left w:val="nil"/>
          <w:bottom w:val="nil"/>
          <w:right w:val="nil"/>
          <w:between w:val="nil"/>
        </w:pBdr>
        <w:spacing w:before="240" w:line="360" w:lineRule="auto"/>
        <w:ind w:right="49"/>
        <w:jc w:val="both"/>
        <w:rPr>
          <w:rFonts w:ascii="Palatino Linotype" w:eastAsia="Palatino Linotype" w:hAnsi="Palatino Linotype" w:cs="Palatino Linotype"/>
          <w:color w:val="000000"/>
          <w:sz w:val="22"/>
          <w:szCs w:val="22"/>
        </w:rPr>
      </w:pPr>
      <w:r w:rsidRPr="008561BE">
        <w:rPr>
          <w:rFonts w:ascii="Palatino Linotype" w:eastAsia="Palatino Linotype" w:hAnsi="Palatino Linotype" w:cs="Palatino Linotype"/>
          <w:color w:val="000000"/>
          <w:sz w:val="22"/>
          <w:szCs w:val="22"/>
        </w:rPr>
        <w:t xml:space="preserve">Nombres </w:t>
      </w:r>
    </w:p>
    <w:p w:rsidR="001E689A" w:rsidRPr="008561BE" w:rsidRDefault="00C83C0B">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8561BE">
        <w:rPr>
          <w:rFonts w:ascii="Palatino Linotype" w:eastAsia="Palatino Linotype" w:hAnsi="Palatino Linotype" w:cs="Palatino Linotype"/>
          <w:color w:val="000000"/>
          <w:sz w:val="22"/>
          <w:szCs w:val="22"/>
        </w:rPr>
        <w:t>Recibos de nomina</w:t>
      </w:r>
    </w:p>
    <w:p w:rsidR="001E689A" w:rsidRPr="008561BE" w:rsidRDefault="00C83C0B">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8561BE">
        <w:rPr>
          <w:rFonts w:ascii="Palatino Linotype" w:eastAsia="Palatino Linotype" w:hAnsi="Palatino Linotype" w:cs="Palatino Linotype"/>
          <w:color w:val="000000"/>
          <w:sz w:val="22"/>
          <w:szCs w:val="22"/>
        </w:rPr>
        <w:t>Fichas curriculares</w:t>
      </w:r>
    </w:p>
    <w:p w:rsidR="001E689A" w:rsidRPr="008561BE" w:rsidRDefault="00C83C0B">
      <w:pPr>
        <w:numPr>
          <w:ilvl w:val="0"/>
          <w:numId w:val="4"/>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8561BE">
        <w:rPr>
          <w:rFonts w:ascii="Palatino Linotype" w:eastAsia="Palatino Linotype" w:hAnsi="Palatino Linotype" w:cs="Palatino Linotype"/>
          <w:color w:val="000000"/>
          <w:sz w:val="22"/>
          <w:szCs w:val="22"/>
        </w:rPr>
        <w:t>Títulos</w:t>
      </w:r>
    </w:p>
    <w:p w:rsidR="001E689A" w:rsidRPr="008561BE" w:rsidRDefault="00C83C0B">
      <w:pPr>
        <w:numPr>
          <w:ilvl w:val="0"/>
          <w:numId w:val="4"/>
        </w:numPr>
        <w:pBdr>
          <w:top w:val="nil"/>
          <w:left w:val="nil"/>
          <w:bottom w:val="nil"/>
          <w:right w:val="nil"/>
          <w:between w:val="nil"/>
        </w:pBdr>
        <w:spacing w:after="240" w:line="360" w:lineRule="auto"/>
        <w:ind w:right="49"/>
        <w:jc w:val="both"/>
        <w:rPr>
          <w:rFonts w:ascii="Palatino Linotype" w:eastAsia="Palatino Linotype" w:hAnsi="Palatino Linotype" w:cs="Palatino Linotype"/>
          <w:color w:val="000000"/>
          <w:sz w:val="22"/>
          <w:szCs w:val="22"/>
        </w:rPr>
      </w:pPr>
      <w:r w:rsidRPr="008561BE">
        <w:rPr>
          <w:rFonts w:ascii="Palatino Linotype" w:eastAsia="Palatino Linotype" w:hAnsi="Palatino Linotype" w:cs="Palatino Linotype"/>
          <w:color w:val="000000"/>
          <w:sz w:val="22"/>
          <w:szCs w:val="22"/>
        </w:rPr>
        <w:t>Cédulas profesionales</w:t>
      </w:r>
    </w:p>
    <w:p w:rsidR="001E689A" w:rsidRPr="008561BE" w:rsidRDefault="00C83C0B">
      <w:pPr>
        <w:spacing w:before="240" w:after="24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En su respuesta, el </w:t>
      </w:r>
      <w:r w:rsidRPr="008561BE">
        <w:rPr>
          <w:rFonts w:ascii="Palatino Linotype" w:eastAsia="Palatino Linotype" w:hAnsi="Palatino Linotype" w:cs="Palatino Linotype"/>
          <w:b/>
        </w:rPr>
        <w:t xml:space="preserve">Sujeto Obligado </w:t>
      </w:r>
      <w:r w:rsidRPr="008561BE">
        <w:rPr>
          <w:rFonts w:ascii="Palatino Linotype" w:eastAsia="Palatino Linotype" w:hAnsi="Palatino Linotype" w:cs="Palatino Linotype"/>
        </w:rPr>
        <w:t>adjuntó un documento en el que se desprende el siguiente pronunciamiento:</w:t>
      </w:r>
    </w:p>
    <w:p w:rsidR="001E689A" w:rsidRPr="008561BE" w:rsidRDefault="00C83C0B">
      <w:pPr>
        <w:spacing w:before="240" w:after="240" w:line="276"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 xml:space="preserve"> “…De lo anterior se desprende una carencia de fundamentación y motivación que acredite y sustente la petición expresa que realiza a éste Organismo, además de que a la fecha, ésta Administración ha dado cumplimiento a lo dispuesto en la Ley General de Transparencia y Acceso a la Información Pública, excluyendo la información que se considera “Clasificada”, y no de proporcionar la información a un particular, toda vez que se ha dado cumplimiento a lo estipulado en la Ley de mérito, por lo que de requerirlo de forma independiente lacera el principio de legalidad.</w:t>
      </w:r>
    </w:p>
    <w:p w:rsidR="001E689A" w:rsidRPr="008561BE" w:rsidRDefault="00C83C0B">
      <w:pPr>
        <w:spacing w:before="240" w:after="240" w:line="360"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p>
    <w:p w:rsidR="001E689A" w:rsidRPr="008561BE" w:rsidRDefault="00C83C0B">
      <w:pPr>
        <w:spacing w:before="240" w:after="240" w:line="276"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 xml:space="preserve">De ello resulta </w:t>
      </w:r>
      <w:r w:rsidRPr="008561BE">
        <w:rPr>
          <w:rFonts w:ascii="Palatino Linotype" w:eastAsia="Palatino Linotype" w:hAnsi="Palatino Linotype" w:cs="Palatino Linotype"/>
          <w:b/>
          <w:i/>
          <w:sz w:val="22"/>
          <w:szCs w:val="22"/>
        </w:rPr>
        <w:t>indispensable dar vista a los titulares de los datos personales y de la información requerida</w:t>
      </w:r>
      <w:r w:rsidRPr="008561BE">
        <w:rPr>
          <w:rFonts w:ascii="Palatino Linotype" w:eastAsia="Palatino Linotype" w:hAnsi="Palatino Linotype" w:cs="Palatino Linotype"/>
          <w:i/>
          <w:sz w:val="22"/>
          <w:szCs w:val="22"/>
        </w:rPr>
        <w:t xml:space="preserve">, ya que su solicitud se refiere a entrega de datos propios, por lo que se expondrían datos sensibles de cada uno de los servidores </w:t>
      </w:r>
      <w:r w:rsidRPr="008561BE">
        <w:rPr>
          <w:rFonts w:ascii="Palatino Linotype" w:eastAsia="Palatino Linotype" w:hAnsi="Palatino Linotype" w:cs="Palatino Linotype"/>
          <w:i/>
          <w:sz w:val="22"/>
          <w:szCs w:val="22"/>
        </w:rPr>
        <w:lastRenderedPageBreak/>
        <w:t>públicos que laboran en este Organismo, para que incluso ejerzan sus derechos ARCO (Acceso, Rectificación, Cancelación y Oposición al tratamiento de datos personales), en especial, el derecho a negar el acceso u oponerse a la divulgación de cierta información confidencial o que puede ser sujeto de reserva y que se encuentra en posesión del sujeto obligado.</w:t>
      </w:r>
    </w:p>
    <w:p w:rsidR="001E689A" w:rsidRPr="008561BE" w:rsidRDefault="00C83C0B">
      <w:pPr>
        <w:spacing w:before="240" w:after="240" w:line="276"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Al no dar vista a los titulares de la información se llegaría a vulnerar lo dispuesto por el artículo 6 de la Ley de Transparencia y Acceso a la Información Pública del Estado de México y Municipios, debido a que se insiste, la solicitud se refiere a datos propios de los servidores públicos que laboran en este Organismo</w:t>
      </w:r>
      <w:r w:rsidRPr="008561BE">
        <w:rPr>
          <w:rFonts w:ascii="Palatino Linotype" w:eastAsia="Palatino Linotype" w:hAnsi="Palatino Linotype" w:cs="Palatino Linotype"/>
          <w:i/>
          <w:sz w:val="22"/>
          <w:szCs w:val="22"/>
        </w:rPr>
        <w:t xml:space="preserve">, los que contienen datos como el nombre, cargo, (puesto de adscripción o provisional) y el sueldo, junto con las fechas de inicio, </w:t>
      </w:r>
      <w:proofErr w:type="spellStart"/>
      <w:r w:rsidRPr="008561BE">
        <w:rPr>
          <w:rFonts w:ascii="Palatino Linotype" w:eastAsia="Palatino Linotype" w:hAnsi="Palatino Linotype" w:cs="Palatino Linotype"/>
          <w:i/>
          <w:sz w:val="22"/>
          <w:szCs w:val="22"/>
        </w:rPr>
        <w:t>etc</w:t>
      </w:r>
      <w:proofErr w:type="spellEnd"/>
      <w:r w:rsidRPr="008561BE">
        <w:rPr>
          <w:rFonts w:ascii="Palatino Linotype" w:eastAsia="Palatino Linotype" w:hAnsi="Palatino Linotype" w:cs="Palatino Linotype"/>
          <w:b/>
          <w:i/>
          <w:sz w:val="22"/>
          <w:szCs w:val="22"/>
        </w:rPr>
        <w:t>, e información completamente personal de dichos servidores públicos</w:t>
      </w:r>
      <w:r w:rsidRPr="008561BE">
        <w:rPr>
          <w:rFonts w:ascii="Palatino Linotype" w:eastAsia="Palatino Linotype" w:hAnsi="Palatino Linotype" w:cs="Palatino Linotype"/>
          <w:i/>
          <w:sz w:val="22"/>
          <w:szCs w:val="22"/>
        </w:rPr>
        <w:t>, inclusive al enviarlo como versión pública, entendida como aquella el documento en el que se elimine, suprima o borre la información clasificada como reservada o confidencial para permitir su acceso.</w:t>
      </w:r>
    </w:p>
    <w:p w:rsidR="001E689A" w:rsidRPr="008561BE" w:rsidRDefault="00C83C0B">
      <w:pPr>
        <w:spacing w:before="240" w:after="240" w:line="276"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 xml:space="preserve">Por otro lado </w:t>
      </w:r>
      <w:r w:rsidRPr="008561BE">
        <w:rPr>
          <w:rFonts w:ascii="Palatino Linotype" w:eastAsia="Palatino Linotype" w:hAnsi="Palatino Linotype" w:cs="Palatino Linotype"/>
          <w:b/>
          <w:i/>
          <w:sz w:val="22"/>
          <w:szCs w:val="22"/>
        </w:rPr>
        <w:t>es importante aclarar que, la documentación no puede ser sustraída del área en la cual se encuentra archivada</w:t>
      </w:r>
      <w:r w:rsidRPr="008561BE">
        <w:rPr>
          <w:rFonts w:ascii="Palatino Linotype" w:eastAsia="Palatino Linotype" w:hAnsi="Palatino Linotype" w:cs="Palatino Linotype"/>
          <w:i/>
          <w:sz w:val="22"/>
          <w:szCs w:val="22"/>
        </w:rPr>
        <w:t>, de acuerdo a lo que señala la Ley General de Archivos en sus artículos 10, 116 fracción IV y 121 fracción I de la Ley General de Responsabilidades Administrativas en el artículo 49 fracción V, la Ley General de Transparencia y Acceso a la Información Pública en el artículo 206 fracción IV y el Código Penal Federal en el artículo 214 fracción IV;…</w:t>
      </w:r>
    </w:p>
    <w:p w:rsidR="001E689A" w:rsidRPr="008561BE" w:rsidRDefault="00C83C0B">
      <w:pPr>
        <w:spacing w:before="240" w:after="240" w:line="276"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 xml:space="preserve">Ahora bien, y toda vez que dentro de las atribuciones conferidas a su digno cargo se ubican, entre otras, el dar el obligado seguimiento a las solicitudes de información, también lo es que </w:t>
      </w:r>
      <w:r w:rsidRPr="008561BE">
        <w:rPr>
          <w:rFonts w:ascii="Palatino Linotype" w:eastAsia="Palatino Linotype" w:hAnsi="Palatino Linotype" w:cs="Palatino Linotype"/>
          <w:b/>
          <w:i/>
          <w:sz w:val="22"/>
          <w:szCs w:val="22"/>
        </w:rPr>
        <w:t xml:space="preserve">la documentación original comprobatoria y justificativa que ampara su solicitud; </w:t>
      </w:r>
      <w:r w:rsidRPr="008561BE">
        <w:rPr>
          <w:rFonts w:ascii="Palatino Linotype" w:eastAsia="Palatino Linotype" w:hAnsi="Palatino Linotype" w:cs="Palatino Linotype"/>
          <w:i/>
          <w:sz w:val="22"/>
          <w:szCs w:val="22"/>
        </w:rPr>
        <w:t xml:space="preserve">ésta </w:t>
      </w:r>
      <w:r w:rsidRPr="008561BE">
        <w:rPr>
          <w:rFonts w:ascii="Palatino Linotype" w:eastAsia="Palatino Linotype" w:hAnsi="Palatino Linotype" w:cs="Palatino Linotype"/>
          <w:b/>
          <w:i/>
          <w:sz w:val="22"/>
          <w:szCs w:val="22"/>
        </w:rPr>
        <w:t xml:space="preserve">se encuentra bajo el resguardo de ésta Unidad de Apoyo Administrativo, misma que, previa solicitud fundada y motivada que usted o a través de usted se requiera, </w:t>
      </w:r>
      <w:r w:rsidRPr="008561BE">
        <w:rPr>
          <w:rFonts w:ascii="Palatino Linotype" w:eastAsia="Palatino Linotype" w:hAnsi="Palatino Linotype" w:cs="Palatino Linotype"/>
          <w:b/>
          <w:i/>
          <w:sz w:val="22"/>
          <w:szCs w:val="22"/>
          <w:u w:val="single"/>
        </w:rPr>
        <w:t>será puesta a su disposición en dicha área en días hábiles y en el horario de trabajo autorizado para revisada en sitio</w:t>
      </w:r>
      <w:r w:rsidRPr="008561BE">
        <w:rPr>
          <w:rFonts w:ascii="Palatino Linotype" w:eastAsia="Palatino Linotype" w:hAnsi="Palatino Linotype" w:cs="Palatino Linotype"/>
          <w:i/>
          <w:sz w:val="22"/>
          <w:szCs w:val="22"/>
        </w:rPr>
        <w:t>, con las reservas de Ley, en el entendido de que la documentación no podrá ser retirada de las instalaciones que ocupa esta Unidad de Apoyo Administrativo.”</w:t>
      </w:r>
    </w:p>
    <w:p w:rsidR="001E689A" w:rsidRPr="008561BE" w:rsidRDefault="00C83C0B">
      <w:pPr>
        <w:spacing w:before="240" w:after="240" w:line="360" w:lineRule="auto"/>
        <w:ind w:right="49"/>
        <w:jc w:val="both"/>
        <w:rPr>
          <w:rFonts w:ascii="Palatino Linotype" w:eastAsia="Palatino Linotype" w:hAnsi="Palatino Linotype" w:cs="Palatino Linotype"/>
          <w:b/>
          <w:i/>
          <w:color w:val="000000"/>
          <w:u w:val="single"/>
        </w:rPr>
      </w:pPr>
      <w:r w:rsidRPr="008561BE">
        <w:rPr>
          <w:rFonts w:ascii="Palatino Linotype" w:eastAsia="Palatino Linotype" w:hAnsi="Palatino Linotype" w:cs="Palatino Linotype"/>
        </w:rPr>
        <w:lastRenderedPageBreak/>
        <w:t xml:space="preserve">En tal tesitura, una </w:t>
      </w:r>
      <w:r w:rsidRPr="008561BE">
        <w:rPr>
          <w:rFonts w:ascii="Palatino Linotype" w:eastAsia="Palatino Linotype" w:hAnsi="Palatino Linotype" w:cs="Palatino Linotype"/>
          <w:color w:val="000000"/>
        </w:rPr>
        <w:t xml:space="preserve">vez conocida esta respuesta, </w:t>
      </w:r>
      <w:r w:rsidRPr="008561BE">
        <w:rPr>
          <w:rFonts w:ascii="Palatino Linotype" w:eastAsia="Palatino Linotype" w:hAnsi="Palatino Linotype" w:cs="Palatino Linotype"/>
          <w:b/>
          <w:color w:val="000000"/>
        </w:rPr>
        <w:t>la parte Recurrente</w:t>
      </w:r>
      <w:r w:rsidRPr="008561BE">
        <w:rPr>
          <w:rFonts w:ascii="Palatino Linotype" w:eastAsia="Palatino Linotype" w:hAnsi="Palatino Linotype" w:cs="Palatino Linotype"/>
          <w:color w:val="000000"/>
        </w:rPr>
        <w:t xml:space="preserve"> interpuso el medio de impugnación que nos ocupa, expresando dentro de sus razones o motivos de inconformidad, lo siguiente: </w:t>
      </w:r>
      <w:r w:rsidRPr="008561BE">
        <w:rPr>
          <w:rFonts w:ascii="Palatino Linotype" w:eastAsia="Palatino Linotype" w:hAnsi="Palatino Linotype" w:cs="Palatino Linotype"/>
          <w:b/>
          <w:i/>
          <w:color w:val="000000"/>
          <w:u w:val="single"/>
        </w:rPr>
        <w:t xml:space="preserve">“Recibe la respuesta del servidor público adscrito a la área de finanzas, solicitó se ordene a este sujeto obligado entregue lo solicitado.” </w:t>
      </w:r>
      <w:r w:rsidRPr="008561BE">
        <w:rPr>
          <w:rFonts w:ascii="Palatino Linotype" w:eastAsia="Palatino Linotype" w:hAnsi="Palatino Linotype" w:cs="Palatino Linotype"/>
          <w:i/>
          <w:color w:val="000000"/>
        </w:rPr>
        <w:t>(Sic) (Énfasis añadido)</w:t>
      </w:r>
    </w:p>
    <w:p w:rsidR="001E689A" w:rsidRPr="008561BE" w:rsidRDefault="00C83C0B">
      <w:pPr>
        <w:spacing w:before="240" w:after="240" w:line="360" w:lineRule="auto"/>
        <w:ind w:right="49"/>
        <w:jc w:val="both"/>
        <w:rPr>
          <w:rFonts w:ascii="Palatino Linotype" w:eastAsia="Palatino Linotype" w:hAnsi="Palatino Linotype" w:cs="Palatino Linotype"/>
          <w:color w:val="000000"/>
        </w:rPr>
      </w:pPr>
      <w:r w:rsidRPr="008561BE">
        <w:rPr>
          <w:rFonts w:ascii="Palatino Linotype" w:eastAsia="Palatino Linotype" w:hAnsi="Palatino Linotype" w:cs="Palatino Linotype"/>
          <w:color w:val="000000"/>
        </w:rPr>
        <w:t xml:space="preserve">Una vez admitido el recurso de revisión a trámite, debe mencionarse que el </w:t>
      </w:r>
      <w:r w:rsidRPr="008561BE">
        <w:rPr>
          <w:rFonts w:ascii="Palatino Linotype" w:eastAsia="Palatino Linotype" w:hAnsi="Palatino Linotype" w:cs="Palatino Linotype"/>
          <w:b/>
          <w:color w:val="000000"/>
        </w:rPr>
        <w:t xml:space="preserve">Sujeto Obligado </w:t>
      </w:r>
      <w:r w:rsidRPr="008561BE">
        <w:rPr>
          <w:rFonts w:ascii="Palatino Linotype" w:eastAsia="Palatino Linotype" w:hAnsi="Palatino Linotype" w:cs="Palatino Linotype"/>
          <w:color w:val="000000"/>
        </w:rPr>
        <w:t xml:space="preserve">remitió su informe justificado, solicitando que el presente recurso de revisión fuera desechado, en virtud de que se consideraba improcedente por no actualizar alguna causal de procedencia, es de precisar que en este mismo acto, la parte Recurrente fue omisa en remitir sus manifestaciones, por lo que se tiene por </w:t>
      </w:r>
      <w:proofErr w:type="spellStart"/>
      <w:r w:rsidRPr="008561BE">
        <w:rPr>
          <w:rFonts w:ascii="Palatino Linotype" w:eastAsia="Palatino Linotype" w:hAnsi="Palatino Linotype" w:cs="Palatino Linotype"/>
          <w:color w:val="000000"/>
        </w:rPr>
        <w:t>precluido</w:t>
      </w:r>
      <w:proofErr w:type="spellEnd"/>
      <w:r w:rsidRPr="008561BE">
        <w:rPr>
          <w:rFonts w:ascii="Palatino Linotype" w:eastAsia="Palatino Linotype" w:hAnsi="Palatino Linotype" w:cs="Palatino Linotype"/>
          <w:color w:val="000000"/>
        </w:rPr>
        <w:t xml:space="preserve"> su derecho para tal efecto y se procede a emitir la siguiente resolución.</w:t>
      </w:r>
    </w:p>
    <w:p w:rsidR="001E689A" w:rsidRPr="008561BE" w:rsidRDefault="00C83C0B">
      <w:pPr>
        <w:spacing w:before="240" w:after="240" w:line="360" w:lineRule="auto"/>
        <w:ind w:right="49"/>
        <w:jc w:val="both"/>
        <w:rPr>
          <w:rFonts w:ascii="Palatino Linotype" w:eastAsia="Palatino Linotype" w:hAnsi="Palatino Linotype" w:cs="Palatino Linotype"/>
          <w:color w:val="000000"/>
        </w:rPr>
      </w:pPr>
      <w:r w:rsidRPr="008561BE">
        <w:rPr>
          <w:rFonts w:ascii="Palatino Linotype" w:eastAsia="Palatino Linotype" w:hAnsi="Palatino Linotype" w:cs="Palatino Linotype"/>
          <w:color w:val="000000"/>
        </w:rPr>
        <w:t xml:space="preserve">Acotadas las posturas de las partes, es conveniente señalar que si bien es cierto, </w:t>
      </w:r>
      <w:r w:rsidRPr="008561BE">
        <w:rPr>
          <w:rFonts w:ascii="Palatino Linotype" w:eastAsia="Palatino Linotype" w:hAnsi="Palatino Linotype" w:cs="Palatino Linotype"/>
          <w:b/>
          <w:color w:val="000000"/>
        </w:rPr>
        <w:t xml:space="preserve">la parte Recurrente </w:t>
      </w:r>
      <w:r w:rsidRPr="008561BE">
        <w:rPr>
          <w:rFonts w:ascii="Palatino Linotype" w:eastAsia="Palatino Linotype" w:hAnsi="Palatino Linotype" w:cs="Palatino Linotype"/>
          <w:color w:val="000000"/>
        </w:rPr>
        <w:t xml:space="preserve">expresó en sus razones o motivos de inconformidad </w:t>
      </w:r>
      <w:r w:rsidRPr="008561BE">
        <w:rPr>
          <w:rFonts w:ascii="Palatino Linotype" w:eastAsia="Palatino Linotype" w:hAnsi="Palatino Linotype" w:cs="Palatino Linotype"/>
          <w:b/>
          <w:i/>
          <w:color w:val="000000"/>
          <w:u w:val="single"/>
        </w:rPr>
        <w:t>“Recibe la respuesta del servidor público adscrito a la área de finanzas…</w:t>
      </w:r>
      <w:r w:rsidRPr="008561BE">
        <w:rPr>
          <w:rFonts w:ascii="Palatino Linotype" w:eastAsia="Palatino Linotype" w:hAnsi="Palatino Linotype" w:cs="Palatino Linotype"/>
          <w:b/>
          <w:i/>
          <w:color w:val="000000"/>
        </w:rPr>
        <w:t xml:space="preserve">” </w:t>
      </w:r>
      <w:r w:rsidRPr="008561BE">
        <w:rPr>
          <w:rFonts w:ascii="Palatino Linotype" w:eastAsia="Palatino Linotype" w:hAnsi="Palatino Linotype" w:cs="Palatino Linotype"/>
          <w:i/>
          <w:color w:val="000000"/>
        </w:rPr>
        <w:t xml:space="preserve">(Sic) (Énfasis añadido), </w:t>
      </w:r>
      <w:r w:rsidRPr="008561BE">
        <w:rPr>
          <w:rFonts w:ascii="Palatino Linotype" w:eastAsia="Palatino Linotype" w:hAnsi="Palatino Linotype" w:cs="Palatino Linotype"/>
          <w:color w:val="000000"/>
        </w:rPr>
        <w:t xml:space="preserve">no menos cierto es que se refiere a la respuesta proporcionada por el Jefe de la Unidad de Apoyo Administrativo, la cual de conformidad con el artículo 18, fracción I del Reglamento Interno del Sistema de Transporte Masivo y Teleférico del Estado de México, a dicha unidad le corresponde planear, organizar y controlar el suministro, administración y aplicación de los recursos humanos, materiales y financieros, por lo tanto, la expresión de </w:t>
      </w:r>
      <w:r w:rsidRPr="008561BE">
        <w:rPr>
          <w:rFonts w:ascii="Palatino Linotype" w:eastAsia="Palatino Linotype" w:hAnsi="Palatino Linotype" w:cs="Palatino Linotype"/>
          <w:b/>
          <w:color w:val="000000"/>
        </w:rPr>
        <w:t>la parte Recurrente</w:t>
      </w:r>
      <w:r w:rsidRPr="008561BE">
        <w:rPr>
          <w:rFonts w:ascii="Palatino Linotype" w:eastAsia="Palatino Linotype" w:hAnsi="Palatino Linotype" w:cs="Palatino Linotype"/>
          <w:color w:val="000000"/>
        </w:rPr>
        <w:t xml:space="preserve"> es válida; asimismo debe resaltarse el hecho de que el </w:t>
      </w:r>
      <w:r w:rsidRPr="008561BE">
        <w:rPr>
          <w:rFonts w:ascii="Palatino Linotype" w:eastAsia="Palatino Linotype" w:hAnsi="Palatino Linotype" w:cs="Palatino Linotype"/>
          <w:b/>
          <w:color w:val="000000"/>
        </w:rPr>
        <w:t>Sujeto Obligado</w:t>
      </w:r>
      <w:r w:rsidRPr="008561BE">
        <w:rPr>
          <w:rFonts w:ascii="Palatino Linotype" w:eastAsia="Palatino Linotype" w:hAnsi="Palatino Linotype" w:cs="Palatino Linotype"/>
          <w:color w:val="000000"/>
        </w:rPr>
        <w:t xml:space="preserve"> en su respuesta medularmente </w:t>
      </w:r>
      <w:r w:rsidRPr="008561BE">
        <w:rPr>
          <w:rFonts w:ascii="Palatino Linotype" w:eastAsia="Palatino Linotype" w:hAnsi="Palatino Linotype" w:cs="Palatino Linotype"/>
          <w:color w:val="000000"/>
        </w:rPr>
        <w:lastRenderedPageBreak/>
        <w:t>expresó una negativa a proporcionarle la información solicitada, por lo tanto, sus razones o motivos de inconformidad devienen fundados.</w:t>
      </w:r>
    </w:p>
    <w:p w:rsidR="001E689A" w:rsidRPr="008561BE" w:rsidRDefault="00C83C0B">
      <w:pPr>
        <w:spacing w:before="240" w:after="24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color w:val="000000"/>
        </w:rPr>
        <w:t xml:space="preserve">Ahora bien, es necesario destacar </w:t>
      </w:r>
      <w:r w:rsidRPr="008561BE">
        <w:rPr>
          <w:rFonts w:ascii="Palatino Linotype" w:eastAsia="Palatino Linotype" w:hAnsi="Palatino Linotype" w:cs="Palatino Linotype"/>
        </w:rPr>
        <w:t xml:space="preserve">que de la revisión a los requerimientos de información de </w:t>
      </w:r>
      <w:r w:rsidRPr="008561BE">
        <w:rPr>
          <w:rFonts w:ascii="Palatino Linotype" w:eastAsia="Palatino Linotype" w:hAnsi="Palatino Linotype" w:cs="Palatino Linotype"/>
          <w:b/>
        </w:rPr>
        <w:t>la parte Recurrente</w:t>
      </w:r>
      <w:r w:rsidRPr="008561BE">
        <w:rPr>
          <w:rFonts w:ascii="Palatino Linotype" w:eastAsia="Palatino Linotype" w:hAnsi="Palatino Linotype" w:cs="Palatino Linotype"/>
        </w:rPr>
        <w:t xml:space="preserve">, en confronta con el organigrama del </w:t>
      </w:r>
      <w:r w:rsidRPr="008561BE">
        <w:rPr>
          <w:rFonts w:ascii="Palatino Linotype" w:eastAsia="Palatino Linotype" w:hAnsi="Palatino Linotype" w:cs="Palatino Linotype"/>
          <w:b/>
        </w:rPr>
        <w:t>Sujeto Obligado</w:t>
      </w:r>
      <w:r w:rsidRPr="008561BE">
        <w:rPr>
          <w:rFonts w:ascii="Palatino Linotype" w:eastAsia="Palatino Linotype" w:hAnsi="Palatino Linotype" w:cs="Palatino Linotype"/>
        </w:rPr>
        <w:t>, vigente a la fecha de la solicitud, las áreas de las que se solicita la información, son las siguientes:</w:t>
      </w:r>
    </w:p>
    <w:p w:rsidR="001E689A" w:rsidRPr="008561BE" w:rsidRDefault="00C83C0B">
      <w:pPr>
        <w:spacing w:before="240" w:after="240" w:line="360" w:lineRule="auto"/>
        <w:ind w:right="49"/>
        <w:jc w:val="both"/>
        <w:rPr>
          <w:rFonts w:ascii="Palatino Linotype" w:eastAsia="Palatino Linotype" w:hAnsi="Palatino Linotype" w:cs="Palatino Linotype"/>
          <w:b/>
        </w:rPr>
      </w:pPr>
      <w:r w:rsidRPr="008561BE">
        <w:rPr>
          <w:rFonts w:ascii="Palatino Linotype" w:eastAsia="Palatino Linotype" w:hAnsi="Palatino Linotype" w:cs="Palatino Linotype"/>
          <w:b/>
        </w:rPr>
        <w:t>Dirección General:</w:t>
      </w:r>
    </w:p>
    <w:p w:rsidR="001E689A" w:rsidRPr="008561BE" w:rsidRDefault="00C83C0B">
      <w:pPr>
        <w:spacing w:before="240" w:after="240" w:line="360" w:lineRule="auto"/>
        <w:ind w:right="49"/>
        <w:jc w:val="both"/>
        <w:rPr>
          <w:rFonts w:ascii="Palatino Linotype" w:eastAsia="Palatino Linotype" w:hAnsi="Palatino Linotype" w:cs="Palatino Linotype"/>
          <w:b/>
        </w:rPr>
      </w:pPr>
      <w:r w:rsidRPr="008561BE">
        <w:rPr>
          <w:rFonts w:ascii="Palatino Linotype" w:eastAsia="Palatino Linotype" w:hAnsi="Palatino Linotype" w:cs="Palatino Linotype"/>
          <w:b/>
          <w:noProof/>
        </w:rPr>
        <w:drawing>
          <wp:inline distT="0" distB="0" distL="0" distR="0">
            <wp:extent cx="5163271" cy="552527"/>
            <wp:effectExtent l="9525" t="9525" r="9525" b="9525"/>
            <wp:docPr id="1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l="1811" t="54688"/>
                    <a:stretch>
                      <a:fillRect/>
                    </a:stretch>
                  </pic:blipFill>
                  <pic:spPr>
                    <a:xfrm>
                      <a:off x="0" y="0"/>
                      <a:ext cx="5163271" cy="552527"/>
                    </a:xfrm>
                    <a:prstGeom prst="rect">
                      <a:avLst/>
                    </a:prstGeom>
                    <a:ln w="9525">
                      <a:solidFill>
                        <a:srgbClr val="000000"/>
                      </a:solidFill>
                      <a:prstDash val="solid"/>
                    </a:ln>
                  </pic:spPr>
                </pic:pic>
              </a:graphicData>
            </a:graphic>
          </wp:inline>
        </w:drawing>
      </w:r>
    </w:p>
    <w:p w:rsidR="001E689A" w:rsidRPr="008561BE" w:rsidRDefault="00C83C0B">
      <w:pPr>
        <w:spacing w:before="240" w:after="240" w:line="360" w:lineRule="auto"/>
        <w:ind w:right="49"/>
        <w:jc w:val="both"/>
        <w:rPr>
          <w:rFonts w:ascii="Palatino Linotype" w:eastAsia="Palatino Linotype" w:hAnsi="Palatino Linotype" w:cs="Palatino Linotype"/>
          <w:b/>
        </w:rPr>
      </w:pPr>
      <w:r w:rsidRPr="008561BE">
        <w:rPr>
          <w:rFonts w:ascii="Palatino Linotype" w:eastAsia="Palatino Linotype" w:hAnsi="Palatino Linotype" w:cs="Palatino Linotype"/>
          <w:b/>
        </w:rPr>
        <w:t>(Área de finanzas) de la cual su denominación correcta es Unidad de Apoyo Administrativo:</w:t>
      </w:r>
    </w:p>
    <w:p w:rsidR="001E689A" w:rsidRPr="008561BE" w:rsidRDefault="00C83C0B">
      <w:pPr>
        <w:spacing w:before="240" w:after="240" w:line="360" w:lineRule="auto"/>
        <w:ind w:right="49"/>
        <w:jc w:val="both"/>
        <w:rPr>
          <w:rFonts w:ascii="Palatino Linotype" w:eastAsia="Palatino Linotype" w:hAnsi="Palatino Linotype" w:cs="Palatino Linotype"/>
          <w:b/>
        </w:rPr>
      </w:pPr>
      <w:r w:rsidRPr="008561BE">
        <w:rPr>
          <w:rFonts w:ascii="Palatino Linotype" w:eastAsia="Palatino Linotype" w:hAnsi="Palatino Linotype" w:cs="Palatino Linotype"/>
          <w:b/>
          <w:noProof/>
        </w:rPr>
        <w:drawing>
          <wp:inline distT="0" distB="0" distL="0" distR="0">
            <wp:extent cx="3658111" cy="514422"/>
            <wp:effectExtent l="0" t="0" r="0" b="0"/>
            <wp:docPr id="1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3658111" cy="514422"/>
                    </a:xfrm>
                    <a:prstGeom prst="rect">
                      <a:avLst/>
                    </a:prstGeom>
                    <a:ln/>
                  </pic:spPr>
                </pic:pic>
              </a:graphicData>
            </a:graphic>
          </wp:inline>
        </w:drawing>
      </w:r>
    </w:p>
    <w:p w:rsidR="001E689A" w:rsidRPr="008561BE" w:rsidRDefault="00C83C0B">
      <w:pPr>
        <w:spacing w:before="240" w:after="240" w:line="360" w:lineRule="auto"/>
        <w:ind w:right="49"/>
        <w:jc w:val="both"/>
        <w:rPr>
          <w:rFonts w:ascii="Palatino Linotype" w:eastAsia="Palatino Linotype" w:hAnsi="Palatino Linotype" w:cs="Palatino Linotype"/>
          <w:b/>
        </w:rPr>
      </w:pPr>
      <w:r w:rsidRPr="008561BE">
        <w:rPr>
          <w:rFonts w:ascii="Palatino Linotype" w:eastAsia="Palatino Linotype" w:hAnsi="Palatino Linotype" w:cs="Palatino Linotype"/>
          <w:b/>
        </w:rPr>
        <w:t>(Jurídico) de la cual su denominación correcta es Dirección Jurídica Financiera y de Igualdad de Género:</w:t>
      </w:r>
    </w:p>
    <w:p w:rsidR="001E689A" w:rsidRPr="008561BE" w:rsidRDefault="00C83C0B">
      <w:pPr>
        <w:spacing w:before="240" w:after="240" w:line="360" w:lineRule="auto"/>
        <w:ind w:right="49"/>
        <w:jc w:val="both"/>
        <w:rPr>
          <w:rFonts w:ascii="Palatino Linotype" w:eastAsia="Palatino Linotype" w:hAnsi="Palatino Linotype" w:cs="Palatino Linotype"/>
        </w:rPr>
      </w:pPr>
      <w:bookmarkStart w:id="2" w:name="_GoBack"/>
      <w:r w:rsidRPr="008561BE">
        <w:rPr>
          <w:rFonts w:ascii="Palatino Linotype" w:eastAsia="Palatino Linotype" w:hAnsi="Palatino Linotype" w:cs="Palatino Linotype"/>
          <w:noProof/>
        </w:rPr>
        <w:drawing>
          <wp:inline distT="0" distB="0" distL="0" distR="0">
            <wp:extent cx="4544059" cy="847843"/>
            <wp:effectExtent l="0" t="0" r="0" b="0"/>
            <wp:docPr id="1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a:stretch>
                      <a:fillRect/>
                    </a:stretch>
                  </pic:blipFill>
                  <pic:spPr>
                    <a:xfrm>
                      <a:off x="0" y="0"/>
                      <a:ext cx="4544059" cy="847843"/>
                    </a:xfrm>
                    <a:prstGeom prst="rect">
                      <a:avLst/>
                    </a:prstGeom>
                    <a:ln/>
                  </pic:spPr>
                </pic:pic>
              </a:graphicData>
            </a:graphic>
          </wp:inline>
        </w:drawing>
      </w:r>
      <w:bookmarkEnd w:id="2"/>
    </w:p>
    <w:p w:rsidR="001E689A" w:rsidRPr="008561BE" w:rsidRDefault="00C83C0B">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8561BE">
        <w:rPr>
          <w:rFonts w:ascii="Palatino Linotype" w:eastAsia="Palatino Linotype" w:hAnsi="Palatino Linotype" w:cs="Palatino Linotype"/>
          <w:color w:val="000000"/>
        </w:rPr>
        <w:lastRenderedPageBreak/>
        <w:t xml:space="preserve">Ahora que se comprobó que efectivamente las áreas que requiere el particular se encuentran dentro de la estructura orgánica del </w:t>
      </w:r>
      <w:r w:rsidRPr="008561BE">
        <w:rPr>
          <w:rFonts w:ascii="Palatino Linotype" w:eastAsia="Palatino Linotype" w:hAnsi="Palatino Linotype" w:cs="Palatino Linotype"/>
          <w:b/>
          <w:color w:val="000000"/>
        </w:rPr>
        <w:t>Sujeto Obligado</w:t>
      </w:r>
      <w:r w:rsidRPr="008561BE">
        <w:rPr>
          <w:rFonts w:ascii="Palatino Linotype" w:eastAsia="Palatino Linotype" w:hAnsi="Palatino Linotype" w:cs="Palatino Linotype"/>
          <w:color w:val="000000"/>
        </w:rPr>
        <w:t xml:space="preserve">, es necesario mencionar que del análisis a la respuesta, se aprecia que el Servidor Público Habilitado de la Unidad de Apoyo Administrativo pretende clasificar la información de la información solicitada, en virtud de que a su consideración </w:t>
      </w:r>
      <w:r w:rsidRPr="008561BE">
        <w:rPr>
          <w:rFonts w:ascii="Palatino Linotype" w:eastAsia="Palatino Linotype" w:hAnsi="Palatino Linotype" w:cs="Palatino Linotype"/>
          <w:b/>
          <w:color w:val="000000"/>
          <w:u w:val="single"/>
        </w:rPr>
        <w:t>resulta indispensable dar vista a los titulares de los datos personales y de la información requerida, ya que su solicitud se refiere a entrega de datos propios, por lo que se expondrían datos sensibles de cada uno de los servidores públicos que laboran en dicho Organismo</w:t>
      </w:r>
      <w:r w:rsidRPr="008561BE">
        <w:rPr>
          <w:rFonts w:ascii="Palatino Linotype" w:eastAsia="Palatino Linotype" w:hAnsi="Palatino Linotype" w:cs="Palatino Linotype"/>
          <w:color w:val="000000"/>
        </w:rPr>
        <w:t xml:space="preserve">, toda vez que al no dar vista a los titulares de la información se llegaría a vulnerar lo dispuesto por el artículo 6 de la Ley de Transparencia y Acceso a la Información Pública del Estado de México y Municipios, debido a que se insiste, </w:t>
      </w:r>
      <w:r w:rsidRPr="008561BE">
        <w:rPr>
          <w:rFonts w:ascii="Palatino Linotype" w:eastAsia="Palatino Linotype" w:hAnsi="Palatino Linotype" w:cs="Palatino Linotype"/>
          <w:b/>
          <w:color w:val="000000"/>
          <w:u w:val="single"/>
        </w:rPr>
        <w:t xml:space="preserve">la solicitud se refiere a datos propios de los servidores públicos que laboran en este Organismo, los que contienen datos como el nombre, cargo, (puesto de adscripción o provisional) y el sueldo, junto con las fechas de inicio, </w:t>
      </w:r>
      <w:proofErr w:type="spellStart"/>
      <w:r w:rsidRPr="008561BE">
        <w:rPr>
          <w:rFonts w:ascii="Palatino Linotype" w:eastAsia="Palatino Linotype" w:hAnsi="Palatino Linotype" w:cs="Palatino Linotype"/>
          <w:b/>
          <w:color w:val="000000"/>
          <w:u w:val="single"/>
        </w:rPr>
        <w:t>etc</w:t>
      </w:r>
      <w:proofErr w:type="spellEnd"/>
      <w:r w:rsidRPr="008561BE">
        <w:rPr>
          <w:rFonts w:ascii="Palatino Linotype" w:eastAsia="Palatino Linotype" w:hAnsi="Palatino Linotype" w:cs="Palatino Linotype"/>
          <w:b/>
          <w:color w:val="000000"/>
          <w:u w:val="single"/>
        </w:rPr>
        <w:t>, e información completamente personal de dichos servidores públicos</w:t>
      </w:r>
      <w:r w:rsidRPr="008561BE">
        <w:rPr>
          <w:rFonts w:ascii="Palatino Linotype" w:eastAsia="Palatino Linotype" w:hAnsi="Palatino Linotype" w:cs="Palatino Linotype"/>
          <w:color w:val="000000"/>
        </w:rPr>
        <w:t>, inclusive al enviarlo como versión pública, entendida como aquella el documento en el que se elimine, suprima o borre la información clasificada como reservada o confidencial para permitir su acceso.</w:t>
      </w:r>
    </w:p>
    <w:p w:rsidR="001E689A" w:rsidRPr="008561BE" w:rsidRDefault="001E689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E689A" w:rsidRPr="008561BE" w:rsidRDefault="00C83C0B">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8561BE">
        <w:rPr>
          <w:rFonts w:ascii="Palatino Linotype" w:eastAsia="Palatino Linotype" w:hAnsi="Palatino Linotype" w:cs="Palatino Linotype"/>
          <w:color w:val="000000"/>
        </w:rPr>
        <w:t xml:space="preserve">Asimismo, no escapa de la óptica de este Organismo Garante que el Servidor Público Habilitado de la Unidad de Apoyo Administrativo pretendió cambiar la modalidad a consulta directa, pues a través de su respuesta señaló que si bien la documentación original comprobatoria y justificativa que ampara la solicitud se encuentra bajo el </w:t>
      </w:r>
      <w:r w:rsidRPr="008561BE">
        <w:rPr>
          <w:rFonts w:ascii="Palatino Linotype" w:eastAsia="Palatino Linotype" w:hAnsi="Palatino Linotype" w:cs="Palatino Linotype"/>
          <w:color w:val="000000"/>
        </w:rPr>
        <w:lastRenderedPageBreak/>
        <w:t>resguardo de la Unidad de Apoyo Administrativo, previa solicitud fundada y motivada a través de la Unidad de Transparencia, será puesta a disposición de la persona solicitante en dicha área, en días hábiles y en el horario de trabajo autorizado para revisada en sitio, con las reservas de Ley, en el entendido de que la documentación no podrá ser retirada de las instalaciones que ocupa la Unidad de Apoyo Administrativo.</w:t>
      </w:r>
    </w:p>
    <w:p w:rsidR="001E689A" w:rsidRPr="008561BE" w:rsidRDefault="00C83C0B">
      <w:pPr>
        <w:shd w:val="clear" w:color="auto" w:fill="FFFFFF"/>
        <w:spacing w:before="240" w:after="240" w:line="360" w:lineRule="auto"/>
        <w:ind w:right="51"/>
        <w:jc w:val="both"/>
        <w:rPr>
          <w:rFonts w:ascii="Palatino Linotype" w:eastAsia="Palatino Linotype" w:hAnsi="Palatino Linotype" w:cs="Palatino Linotype"/>
        </w:rPr>
      </w:pPr>
      <w:r w:rsidRPr="008561BE">
        <w:rPr>
          <w:rFonts w:ascii="Palatino Linotype" w:eastAsia="Palatino Linotype" w:hAnsi="Palatino Linotype" w:cs="Palatino Linotype"/>
          <w:color w:val="000000"/>
        </w:rPr>
        <w:t xml:space="preserve">En primera instancia, </w:t>
      </w:r>
      <w:r w:rsidRPr="008561BE">
        <w:rPr>
          <w:rFonts w:ascii="Palatino Linotype" w:eastAsia="Palatino Linotype" w:hAnsi="Palatino Linotype" w:cs="Palatino Linotype"/>
        </w:rPr>
        <w:t xml:space="preserve">al pretender clasificar la información, bajo el argumento de que debe darse vista a los titulares de los datos personales y de la información requerida, ya que su solicitud se refiere a entrega de datos propios, por lo que se expondrían datos sensibles de cada uno de los servidores públicos que laboran en este Organismo, por lo que </w:t>
      </w:r>
      <w:r w:rsidRPr="008561BE">
        <w:rPr>
          <w:rFonts w:ascii="Palatino Linotype" w:eastAsia="Palatino Linotype" w:hAnsi="Palatino Linotype" w:cs="Palatino Linotype"/>
          <w:color w:val="222222"/>
        </w:rPr>
        <w:t xml:space="preserve">debe precisarse que la inexistencia de la información y su clasificación no podrán coexistir. </w:t>
      </w:r>
    </w:p>
    <w:p w:rsidR="001E689A" w:rsidRPr="008561BE" w:rsidRDefault="00C83C0B">
      <w:pPr>
        <w:shd w:val="clear" w:color="auto" w:fill="FFFFFF"/>
        <w:spacing w:before="240" w:after="240" w:line="360" w:lineRule="auto"/>
        <w:ind w:right="51"/>
        <w:jc w:val="both"/>
        <w:rPr>
          <w:rFonts w:ascii="Palatino Linotype" w:eastAsia="Palatino Linotype" w:hAnsi="Palatino Linotype" w:cs="Palatino Linotype"/>
          <w:color w:val="222222"/>
        </w:rPr>
      </w:pPr>
      <w:r w:rsidRPr="008561BE">
        <w:rPr>
          <w:rFonts w:ascii="Palatino Linotype" w:eastAsia="Palatino Linotype" w:hAnsi="Palatino Linotype" w:cs="Palatino Linotype"/>
          <w:color w:val="222222"/>
        </w:rPr>
        <w:t>A efecto de robustecer lo anterior, sirve de sustento el criterio orientador 29/10 emitido por el Instituto </w:t>
      </w:r>
      <w:r w:rsidRPr="008561BE">
        <w:rPr>
          <w:rFonts w:ascii="Palatino Linotype" w:eastAsia="Palatino Linotype" w:hAnsi="Palatino Linotype" w:cs="Palatino Linotype"/>
          <w:color w:val="000000"/>
        </w:rPr>
        <w:t>Nacional de Transparencia, Acceso a la Información y Protección de Datos Personales, INAI</w:t>
      </w:r>
      <w:r w:rsidRPr="008561BE">
        <w:rPr>
          <w:rFonts w:ascii="Palatino Linotype" w:eastAsia="Palatino Linotype" w:hAnsi="Palatino Linotype" w:cs="Palatino Linotype"/>
          <w:b/>
          <w:color w:val="222222"/>
        </w:rPr>
        <w:t>, </w:t>
      </w:r>
      <w:r w:rsidRPr="008561BE">
        <w:rPr>
          <w:rFonts w:ascii="Palatino Linotype" w:eastAsia="Palatino Linotype" w:hAnsi="Palatino Linotype" w:cs="Palatino Linotype"/>
          <w:color w:val="222222"/>
        </w:rPr>
        <w:t>el cual refiere lo siguiente:</w:t>
      </w:r>
    </w:p>
    <w:p w:rsidR="001E689A" w:rsidRPr="008561BE" w:rsidRDefault="00C83C0B">
      <w:pPr>
        <w:shd w:val="clear" w:color="auto" w:fill="FFFFFF"/>
        <w:spacing w:before="240" w:after="240" w:line="276" w:lineRule="auto"/>
        <w:ind w:left="567" w:right="900"/>
        <w:jc w:val="both"/>
        <w:rPr>
          <w:rFonts w:ascii="Palatino Linotype" w:eastAsia="Palatino Linotype" w:hAnsi="Palatino Linotype" w:cs="Palatino Linotype"/>
          <w:i/>
          <w:color w:val="222222"/>
          <w:sz w:val="22"/>
          <w:szCs w:val="22"/>
        </w:rPr>
      </w:pPr>
      <w:r w:rsidRPr="008561BE">
        <w:rPr>
          <w:rFonts w:ascii="Palatino Linotype" w:eastAsia="Palatino Linotype" w:hAnsi="Palatino Linotype" w:cs="Palatino Linotype"/>
          <w:b/>
          <w:i/>
          <w:color w:val="222222"/>
          <w:sz w:val="22"/>
          <w:szCs w:val="22"/>
        </w:rPr>
        <w:t xml:space="preserve">“La clasificación y la inexistencia de información son conceptos que no pueden coexistir. </w:t>
      </w:r>
      <w:r w:rsidRPr="008561BE">
        <w:rPr>
          <w:rFonts w:ascii="Palatino Linotype" w:eastAsia="Palatino Linotype" w:hAnsi="Palatino Linotype" w:cs="Palatino Linotype"/>
          <w:i/>
          <w:color w:val="222222"/>
          <w:sz w:val="22"/>
          <w:szCs w:val="22"/>
        </w:rPr>
        <w:t xml:space="preserve">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w:t>
      </w:r>
      <w:r w:rsidRPr="008561BE">
        <w:rPr>
          <w:rFonts w:ascii="Palatino Linotype" w:eastAsia="Palatino Linotype" w:hAnsi="Palatino Linotype" w:cs="Palatino Linotype"/>
          <w:b/>
          <w:i/>
          <w:color w:val="222222"/>
          <w:sz w:val="22"/>
          <w:szCs w:val="22"/>
          <w:u w:val="single"/>
        </w:rPr>
        <w:t xml:space="preserve">Por lo </w:t>
      </w:r>
      <w:r w:rsidRPr="008561BE">
        <w:rPr>
          <w:rFonts w:ascii="Palatino Linotype" w:eastAsia="Palatino Linotype" w:hAnsi="Palatino Linotype" w:cs="Palatino Linotype"/>
          <w:b/>
          <w:i/>
          <w:color w:val="222222"/>
          <w:sz w:val="22"/>
          <w:szCs w:val="22"/>
          <w:u w:val="single"/>
        </w:rPr>
        <w:lastRenderedPageBreak/>
        <w:t>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r w:rsidRPr="008561BE">
        <w:rPr>
          <w:rFonts w:ascii="Palatino Linotype" w:eastAsia="Palatino Linotype" w:hAnsi="Palatino Linotype" w:cs="Palatino Linotype"/>
          <w:i/>
          <w:color w:val="222222"/>
          <w:sz w:val="22"/>
          <w:szCs w:val="22"/>
        </w:rPr>
        <w:t xml:space="preserve">" </w:t>
      </w:r>
      <w:r w:rsidRPr="008561BE">
        <w:rPr>
          <w:rFonts w:ascii="Palatino Linotype" w:eastAsia="Palatino Linotype" w:hAnsi="Palatino Linotype" w:cs="Palatino Linotype"/>
          <w:b/>
          <w:i/>
          <w:color w:val="222222"/>
          <w:sz w:val="22"/>
          <w:szCs w:val="22"/>
        </w:rPr>
        <w:t>(Énfasis añadido)</w:t>
      </w:r>
    </w:p>
    <w:p w:rsidR="001E689A" w:rsidRPr="008561BE" w:rsidRDefault="00C83C0B">
      <w:pPr>
        <w:spacing w:line="360" w:lineRule="auto"/>
        <w:ind w:right="-93"/>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Ahora bien, sobre la clasificación pretendida por el </w:t>
      </w:r>
      <w:r w:rsidRPr="008561BE">
        <w:rPr>
          <w:rFonts w:ascii="Palatino Linotype" w:eastAsia="Palatino Linotype" w:hAnsi="Palatino Linotype" w:cs="Palatino Linotype"/>
          <w:b/>
        </w:rPr>
        <w:t>Sujeto Obligado</w:t>
      </w:r>
      <w:r w:rsidRPr="008561BE">
        <w:rPr>
          <w:rFonts w:ascii="Palatino Linotype" w:eastAsia="Palatino Linotype" w:hAnsi="Palatino Linotype" w:cs="Palatino Linotype"/>
        </w:rPr>
        <w:t>,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la Constitución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1E689A" w:rsidRPr="008561BE" w:rsidRDefault="001E689A">
      <w:pPr>
        <w:spacing w:line="360" w:lineRule="auto"/>
        <w:ind w:right="-93"/>
        <w:jc w:val="both"/>
        <w:rPr>
          <w:rFonts w:ascii="Palatino Linotype" w:eastAsia="Palatino Linotype" w:hAnsi="Palatino Linotype" w:cs="Palatino Linotype"/>
        </w:rPr>
      </w:pPr>
    </w:p>
    <w:p w:rsidR="001E689A" w:rsidRPr="008561BE" w:rsidRDefault="00C83C0B">
      <w:pPr>
        <w:spacing w:line="360" w:lineRule="auto"/>
        <w:ind w:right="-93"/>
        <w:jc w:val="both"/>
        <w:rPr>
          <w:rFonts w:ascii="Palatino Linotype" w:eastAsia="Palatino Linotype" w:hAnsi="Palatino Linotype" w:cs="Palatino Linotype"/>
        </w:rPr>
      </w:pPr>
      <w:r w:rsidRPr="008561BE">
        <w:rPr>
          <w:rFonts w:ascii="Palatino Linotype" w:eastAsia="Palatino Linotype" w:hAnsi="Palatino Linotype" w:cs="Palatino Linotype"/>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001E689A" w:rsidRPr="008561BE" w:rsidRDefault="001E689A">
      <w:pPr>
        <w:spacing w:line="360" w:lineRule="auto"/>
        <w:ind w:right="-93"/>
        <w:jc w:val="both"/>
        <w:rPr>
          <w:rFonts w:ascii="Palatino Linotype" w:eastAsia="Palatino Linotype" w:hAnsi="Palatino Linotype" w:cs="Palatino Linotype"/>
        </w:rPr>
      </w:pPr>
    </w:p>
    <w:p w:rsidR="001E689A" w:rsidRPr="008561BE" w:rsidRDefault="00C83C0B">
      <w:pPr>
        <w:spacing w:line="360" w:lineRule="auto"/>
        <w:ind w:right="-93"/>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De la misma manera, el artículo 5°, fracciones I y II de la Constitución Política del Estado Libre y Soberano de México, </w:t>
      </w:r>
      <w:r w:rsidRPr="008561BE">
        <w:rPr>
          <w:rFonts w:ascii="Palatino Linotype" w:eastAsia="Palatino Linotype" w:hAnsi="Palatino Linotype" w:cs="Palatino Linotype"/>
          <w:b/>
          <w:u w:val="single"/>
        </w:rPr>
        <w:t xml:space="preserve">prevé que toda la información en posesión de </w:t>
      </w:r>
      <w:r w:rsidRPr="008561BE">
        <w:rPr>
          <w:rFonts w:ascii="Palatino Linotype" w:eastAsia="Palatino Linotype" w:hAnsi="Palatino Linotype" w:cs="Palatino Linotype"/>
          <w:b/>
          <w:u w:val="single"/>
        </w:rPr>
        <w:lastRenderedPageBreak/>
        <w:t>los Sujetos Obligados será pública; no obstante, aquella referente a la intimidad de la vida privada</w:t>
      </w:r>
      <w:r w:rsidRPr="008561BE">
        <w:rPr>
          <w:rFonts w:ascii="Palatino Linotype" w:eastAsia="Palatino Linotype" w:hAnsi="Palatino Linotype" w:cs="Palatino Linotype"/>
        </w:rPr>
        <w:t xml:space="preserve"> y la imagen de las personas, será protegida a través de un marco jurídico rígido, de tratamiento y manejo de datos personales.</w:t>
      </w:r>
    </w:p>
    <w:p w:rsidR="001E689A" w:rsidRPr="008561BE" w:rsidRDefault="001E689A">
      <w:pPr>
        <w:spacing w:line="360" w:lineRule="auto"/>
        <w:jc w:val="both"/>
        <w:rPr>
          <w:rFonts w:ascii="Palatino Linotype" w:eastAsia="Palatino Linotype" w:hAnsi="Palatino Linotype" w:cs="Palatino Linotype"/>
        </w:rPr>
      </w:pPr>
    </w:p>
    <w:p w:rsidR="001E689A" w:rsidRPr="008561BE" w:rsidRDefault="00C83C0B">
      <w:pPr>
        <w:spacing w:line="360" w:lineRule="auto"/>
        <w:ind w:right="-93"/>
        <w:jc w:val="both"/>
        <w:rPr>
          <w:rFonts w:ascii="Palatino Linotype" w:eastAsia="Palatino Linotype" w:hAnsi="Palatino Linotype" w:cs="Palatino Linotype"/>
        </w:rPr>
      </w:pPr>
      <w:r w:rsidRPr="008561BE">
        <w:rPr>
          <w:rFonts w:ascii="Palatino Linotype" w:eastAsia="Palatino Linotype" w:hAnsi="Palatino Linotype" w:cs="Palatino Linotype"/>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001E689A" w:rsidRPr="008561BE" w:rsidRDefault="001E689A">
      <w:pPr>
        <w:spacing w:line="360" w:lineRule="auto"/>
        <w:ind w:right="-93"/>
        <w:jc w:val="both"/>
        <w:rPr>
          <w:rFonts w:ascii="Palatino Linotype" w:eastAsia="Palatino Linotype" w:hAnsi="Palatino Linotype" w:cs="Palatino Linotype"/>
          <w:sz w:val="28"/>
          <w:szCs w:val="28"/>
        </w:rPr>
      </w:pPr>
    </w:p>
    <w:p w:rsidR="001E689A" w:rsidRPr="008561BE" w:rsidRDefault="00C83C0B">
      <w:pPr>
        <w:spacing w:line="360" w:lineRule="auto"/>
        <w:ind w:right="-93"/>
        <w:jc w:val="both"/>
        <w:rPr>
          <w:rFonts w:ascii="Palatino Linotype" w:eastAsia="Palatino Linotype" w:hAnsi="Palatino Linotype" w:cs="Palatino Linotype"/>
        </w:rPr>
      </w:pPr>
      <w:r w:rsidRPr="008561BE">
        <w:rPr>
          <w:rFonts w:ascii="Palatino Linotype" w:eastAsia="Palatino Linotype" w:hAnsi="Palatino Linotype" w:cs="Palatino Linotype"/>
        </w:rPr>
        <w:t>En concordancia con lo previo, el artículo 143, fracción I, de la Ley citada, establece que la información privada y los datos personales, concernientes a una persona física o jurídica colectiva identificada o identificable son confidenciales.</w:t>
      </w:r>
    </w:p>
    <w:p w:rsidR="001E689A" w:rsidRPr="008561BE" w:rsidRDefault="001E689A">
      <w:pPr>
        <w:spacing w:line="360" w:lineRule="auto"/>
        <w:ind w:right="-93"/>
        <w:jc w:val="both"/>
        <w:rPr>
          <w:rFonts w:ascii="Palatino Linotype" w:eastAsia="Palatino Linotype" w:hAnsi="Palatino Linotype" w:cs="Palatino Linotype"/>
        </w:rPr>
      </w:pPr>
    </w:p>
    <w:p w:rsidR="001E689A" w:rsidRPr="008561BE" w:rsidRDefault="00C83C0B">
      <w:pPr>
        <w:spacing w:line="360" w:lineRule="auto"/>
        <w:ind w:right="-93"/>
        <w:jc w:val="both"/>
        <w:rPr>
          <w:rFonts w:ascii="Palatino Linotype" w:eastAsia="Palatino Linotype" w:hAnsi="Palatino Linotype" w:cs="Palatino Linotype"/>
          <w:b/>
          <w:u w:val="single"/>
        </w:rPr>
      </w:pPr>
      <w:r w:rsidRPr="008561BE">
        <w:rPr>
          <w:rFonts w:ascii="Palatino Linotype" w:eastAsia="Palatino Linotype" w:hAnsi="Palatino Linotype" w:cs="Palatino Linotype"/>
        </w:rPr>
        <w:t xml:space="preserve">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w:t>
      </w:r>
      <w:r w:rsidRPr="008561BE">
        <w:rPr>
          <w:rFonts w:ascii="Palatino Linotype" w:eastAsia="Palatino Linotype" w:hAnsi="Palatino Linotype" w:cs="Palatino Linotype"/>
          <w:b/>
          <w:u w:val="single"/>
        </w:rPr>
        <w:t>excepto cuando:</w:t>
      </w:r>
    </w:p>
    <w:p w:rsidR="001E689A" w:rsidRPr="008561BE" w:rsidRDefault="001E689A">
      <w:pPr>
        <w:spacing w:line="360" w:lineRule="auto"/>
        <w:ind w:right="-93"/>
        <w:jc w:val="both"/>
        <w:rPr>
          <w:rFonts w:ascii="Palatino Linotype" w:eastAsia="Palatino Linotype" w:hAnsi="Palatino Linotype" w:cs="Palatino Linotype"/>
        </w:rPr>
      </w:pPr>
    </w:p>
    <w:p w:rsidR="001E689A" w:rsidRPr="008561BE" w:rsidRDefault="00C83C0B">
      <w:pPr>
        <w:numPr>
          <w:ilvl w:val="0"/>
          <w:numId w:val="1"/>
        </w:numPr>
        <w:spacing w:line="360" w:lineRule="auto"/>
        <w:ind w:left="567" w:right="900" w:hanging="425"/>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La información se encuentre en registros públicos o fuentes de acceso público; </w:t>
      </w:r>
    </w:p>
    <w:p w:rsidR="001E689A" w:rsidRPr="008561BE" w:rsidRDefault="00C83C0B">
      <w:pPr>
        <w:numPr>
          <w:ilvl w:val="0"/>
          <w:numId w:val="1"/>
        </w:numPr>
        <w:spacing w:line="360" w:lineRule="auto"/>
        <w:ind w:left="567" w:right="900" w:hanging="425"/>
        <w:jc w:val="both"/>
        <w:rPr>
          <w:rFonts w:ascii="Palatino Linotype" w:eastAsia="Palatino Linotype" w:hAnsi="Palatino Linotype" w:cs="Palatino Linotype"/>
          <w:b/>
        </w:rPr>
      </w:pPr>
      <w:r w:rsidRPr="008561BE">
        <w:rPr>
          <w:rFonts w:ascii="Palatino Linotype" w:eastAsia="Palatino Linotype" w:hAnsi="Palatino Linotype" w:cs="Palatino Linotype"/>
          <w:b/>
          <w:u w:val="single"/>
        </w:rPr>
        <w:t>Por ley tenga el carácter de pública;</w:t>
      </w:r>
    </w:p>
    <w:p w:rsidR="001E689A" w:rsidRPr="008561BE" w:rsidRDefault="00C83C0B">
      <w:pPr>
        <w:numPr>
          <w:ilvl w:val="0"/>
          <w:numId w:val="1"/>
        </w:numPr>
        <w:spacing w:line="360" w:lineRule="auto"/>
        <w:ind w:left="567" w:right="900" w:hanging="425"/>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Exista una orden judicial; </w:t>
      </w:r>
    </w:p>
    <w:p w:rsidR="001E689A" w:rsidRPr="008561BE" w:rsidRDefault="00C83C0B">
      <w:pPr>
        <w:numPr>
          <w:ilvl w:val="0"/>
          <w:numId w:val="1"/>
        </w:numPr>
        <w:spacing w:line="360" w:lineRule="auto"/>
        <w:ind w:left="567" w:right="900" w:hanging="425"/>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Por razones de seguridad nacional y salubridad general,  o </w:t>
      </w:r>
    </w:p>
    <w:p w:rsidR="001E689A" w:rsidRPr="008561BE" w:rsidRDefault="00C83C0B">
      <w:pPr>
        <w:numPr>
          <w:ilvl w:val="0"/>
          <w:numId w:val="1"/>
        </w:numPr>
        <w:spacing w:line="360" w:lineRule="auto"/>
        <w:ind w:left="567" w:right="900" w:hanging="425"/>
        <w:jc w:val="both"/>
        <w:rPr>
          <w:rFonts w:ascii="Palatino Linotype" w:eastAsia="Palatino Linotype" w:hAnsi="Palatino Linotype" w:cs="Palatino Linotype"/>
        </w:rPr>
      </w:pPr>
      <w:r w:rsidRPr="008561BE">
        <w:rPr>
          <w:rFonts w:ascii="Palatino Linotype" w:eastAsia="Palatino Linotype" w:hAnsi="Palatino Linotype" w:cs="Palatino Linotype"/>
        </w:rPr>
        <w:lastRenderedPageBreak/>
        <w:t>Para proteger los derechos de terceros o cuando se transmita entre sujetos obligados en términos de los tratados y los acuerdos interinstitucionales.</w:t>
      </w:r>
    </w:p>
    <w:p w:rsidR="001E689A" w:rsidRPr="008561BE" w:rsidRDefault="001E689A">
      <w:pPr>
        <w:spacing w:line="360" w:lineRule="auto"/>
        <w:ind w:left="1489" w:right="-93"/>
        <w:jc w:val="both"/>
        <w:rPr>
          <w:rFonts w:ascii="Palatino Linotype" w:eastAsia="Palatino Linotype" w:hAnsi="Palatino Linotype" w:cs="Palatino Linotype"/>
        </w:rPr>
      </w:pPr>
    </w:p>
    <w:p w:rsidR="001E689A" w:rsidRPr="008561BE" w:rsidRDefault="00C83C0B">
      <w:pPr>
        <w:spacing w:line="360" w:lineRule="auto"/>
        <w:ind w:right="-93"/>
        <w:jc w:val="both"/>
        <w:rPr>
          <w:rFonts w:ascii="Palatino Linotype" w:eastAsia="Palatino Linotype" w:hAnsi="Palatino Linotype" w:cs="Palatino Linotype"/>
          <w:b/>
        </w:rPr>
      </w:pPr>
      <w:r w:rsidRPr="008561BE">
        <w:rPr>
          <w:rFonts w:ascii="Palatino Linotype" w:eastAsia="Palatino Linotype" w:hAnsi="Palatino Linotype" w:cs="Palatino Linotype"/>
          <w:b/>
        </w:rPr>
        <w:t>En términos de lo expuesto, la documentación y aquellos datos que se consideren confidenciales, serán una limitante del derecho de acceso a la información, siempre y cuando:</w:t>
      </w:r>
    </w:p>
    <w:p w:rsidR="001E689A" w:rsidRPr="008561BE" w:rsidRDefault="001E689A">
      <w:pPr>
        <w:spacing w:line="360" w:lineRule="auto"/>
        <w:ind w:right="-93"/>
        <w:jc w:val="both"/>
        <w:rPr>
          <w:rFonts w:ascii="Palatino Linotype" w:eastAsia="Palatino Linotype" w:hAnsi="Palatino Linotype" w:cs="Palatino Linotype"/>
          <w:b/>
        </w:rPr>
      </w:pPr>
    </w:p>
    <w:p w:rsidR="001E689A" w:rsidRPr="008561BE" w:rsidRDefault="00C83C0B">
      <w:pPr>
        <w:numPr>
          <w:ilvl w:val="0"/>
          <w:numId w:val="5"/>
        </w:numPr>
        <w:spacing w:line="360" w:lineRule="auto"/>
        <w:ind w:left="567" w:right="1134" w:hanging="207"/>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 Se trate de datos personales o información privada; esto es, información concerniente a una persona física o jurídico colectiva y que esta sea identificada o identificable. </w:t>
      </w:r>
    </w:p>
    <w:p w:rsidR="001E689A" w:rsidRPr="008561BE" w:rsidRDefault="00C83C0B">
      <w:pPr>
        <w:numPr>
          <w:ilvl w:val="0"/>
          <w:numId w:val="5"/>
        </w:numPr>
        <w:spacing w:line="360" w:lineRule="auto"/>
        <w:ind w:left="567" w:right="1134" w:hanging="207"/>
        <w:jc w:val="both"/>
        <w:rPr>
          <w:rFonts w:ascii="Palatino Linotype" w:eastAsia="Palatino Linotype" w:hAnsi="Palatino Linotype" w:cs="Palatino Linotype"/>
        </w:rPr>
      </w:pPr>
      <w:r w:rsidRPr="008561BE">
        <w:rPr>
          <w:rFonts w:ascii="Palatino Linotype" w:eastAsia="Palatino Linotype" w:hAnsi="Palatino Linotype" w:cs="Palatino Linotype"/>
        </w:rPr>
        <w:t>Para la difusión de los datos, se requiera el consentimiento del titular.</w:t>
      </w:r>
    </w:p>
    <w:p w:rsidR="001E689A" w:rsidRPr="008561BE" w:rsidRDefault="001E689A">
      <w:pPr>
        <w:spacing w:line="360" w:lineRule="auto"/>
        <w:jc w:val="both"/>
        <w:rPr>
          <w:rFonts w:ascii="Palatino Linotype" w:eastAsia="Palatino Linotype" w:hAnsi="Palatino Linotype" w:cs="Palatino Linotype"/>
        </w:rPr>
      </w:pPr>
    </w:p>
    <w:p w:rsidR="001E689A" w:rsidRPr="008561BE" w:rsidRDefault="00C83C0B">
      <w:pPr>
        <w:spacing w:line="360" w:lineRule="auto"/>
        <w:ind w:right="-93"/>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En ese orden de ideas,  es importante precisar que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Además, refiere que se consideran Datos Personales Sensibles las referentes de la </w:t>
      </w:r>
      <w:r w:rsidRPr="008561BE">
        <w:rPr>
          <w:rFonts w:ascii="Palatino Linotype" w:eastAsia="Palatino Linotype" w:hAnsi="Palatino Linotype" w:cs="Palatino Linotype"/>
        </w:rPr>
        <w:lastRenderedPageBreak/>
        <w:t>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w:t>
      </w:r>
    </w:p>
    <w:p w:rsidR="001E689A" w:rsidRPr="008561BE" w:rsidRDefault="001E689A">
      <w:pPr>
        <w:spacing w:line="360" w:lineRule="auto"/>
        <w:ind w:right="-93"/>
        <w:jc w:val="both"/>
        <w:rPr>
          <w:rFonts w:ascii="Palatino Linotype" w:eastAsia="Palatino Linotype" w:hAnsi="Palatino Linotype" w:cs="Palatino Linotype"/>
        </w:rPr>
      </w:pPr>
    </w:p>
    <w:p w:rsidR="001E689A" w:rsidRPr="008561BE" w:rsidRDefault="00C83C0B">
      <w:pPr>
        <w:spacing w:line="360" w:lineRule="auto"/>
        <w:ind w:right="-93"/>
        <w:jc w:val="both"/>
        <w:rPr>
          <w:rFonts w:ascii="Palatino Linotype" w:eastAsia="Palatino Linotype" w:hAnsi="Palatino Linotype" w:cs="Palatino Linotype"/>
        </w:rPr>
      </w:pPr>
      <w:r w:rsidRPr="008561BE">
        <w:rPr>
          <w:rFonts w:ascii="Palatino Linotype" w:eastAsia="Palatino Linotype" w:hAnsi="Palatino Linotype" w:cs="Palatino Linotype"/>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001E689A" w:rsidRPr="008561BE" w:rsidRDefault="001E689A">
      <w:pPr>
        <w:spacing w:line="360" w:lineRule="auto"/>
        <w:jc w:val="both"/>
        <w:rPr>
          <w:rFonts w:ascii="Palatino Linotype" w:eastAsia="Palatino Linotype" w:hAnsi="Palatino Linotype" w:cs="Palatino Linotype"/>
          <w:sz w:val="28"/>
          <w:szCs w:val="28"/>
        </w:rPr>
      </w:pPr>
    </w:p>
    <w:p w:rsidR="001E689A" w:rsidRPr="008561BE" w:rsidRDefault="00C83C0B">
      <w:pPr>
        <w:spacing w:line="360" w:lineRule="auto"/>
        <w:ind w:right="-93"/>
        <w:jc w:val="both"/>
        <w:rPr>
          <w:rFonts w:ascii="Palatino Linotype" w:eastAsia="Palatino Linotype" w:hAnsi="Palatino Linotype" w:cs="Palatino Linotype"/>
        </w:rPr>
      </w:pPr>
      <w:r w:rsidRPr="008561BE">
        <w:rPr>
          <w:rFonts w:ascii="Palatino Linotype" w:eastAsia="Palatino Linotype" w:hAnsi="Palatino Linotype" w:cs="Palatino Linotype"/>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001E689A" w:rsidRPr="008561BE" w:rsidRDefault="001E689A">
      <w:pPr>
        <w:spacing w:line="360" w:lineRule="auto"/>
        <w:jc w:val="both"/>
        <w:rPr>
          <w:rFonts w:ascii="Palatino Linotype" w:eastAsia="Palatino Linotype" w:hAnsi="Palatino Linotype" w:cs="Palatino Linotype"/>
        </w:rPr>
      </w:pPr>
    </w:p>
    <w:p w:rsidR="001E689A" w:rsidRPr="008561BE" w:rsidRDefault="00C83C0B">
      <w:pPr>
        <w:spacing w:line="360" w:lineRule="auto"/>
        <w:ind w:right="-93"/>
        <w:jc w:val="both"/>
        <w:rPr>
          <w:rFonts w:ascii="Palatino Linotype" w:eastAsia="Palatino Linotype" w:hAnsi="Palatino Linotype" w:cs="Palatino Linotype"/>
        </w:rPr>
      </w:pPr>
      <w:r w:rsidRPr="008561BE">
        <w:rPr>
          <w:rFonts w:ascii="Palatino Linotype" w:eastAsia="Palatino Linotype" w:hAnsi="Palatino Linotype" w:cs="Palatino Linotype"/>
        </w:rPr>
        <w:lastRenderedPageBreak/>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w:t>
      </w:r>
      <w:r w:rsidRPr="008561BE">
        <w:rPr>
          <w:rFonts w:ascii="Palatino Linotype" w:eastAsia="Palatino Linotype" w:hAnsi="Palatino Linotype" w:cs="Palatino Linotype"/>
          <w:b/>
          <w:u w:val="single"/>
        </w:rPr>
        <w:t>se ponderaban dos derechos: el derecho a la intimidad y la protección de los datos personales versus el interés público de conocer el ejercicio de atribuciones y de recursos públicos de las instituciones</w:t>
      </w:r>
      <w:r w:rsidRPr="008561BE">
        <w:rPr>
          <w:rFonts w:ascii="Palatino Linotype" w:eastAsia="Palatino Linotype" w:hAnsi="Palatino Linotype" w:cs="Palatino Linotype"/>
        </w:rPr>
        <w:t xml:space="preserve"> y es a partir de ahí, en donde las instituciones públicas deben determinar la publicidad de su información.</w:t>
      </w:r>
    </w:p>
    <w:p w:rsidR="001E689A" w:rsidRPr="008561BE" w:rsidRDefault="001E689A">
      <w:pPr>
        <w:spacing w:line="360" w:lineRule="auto"/>
        <w:ind w:right="-93"/>
        <w:jc w:val="both"/>
        <w:rPr>
          <w:rFonts w:ascii="Palatino Linotype" w:eastAsia="Palatino Linotype" w:hAnsi="Palatino Linotype" w:cs="Palatino Linotype"/>
        </w:rPr>
      </w:pPr>
    </w:p>
    <w:p w:rsidR="001E689A" w:rsidRPr="008561BE" w:rsidRDefault="00C83C0B">
      <w:pPr>
        <w:spacing w:line="360" w:lineRule="auto"/>
        <w:ind w:right="-93"/>
        <w:jc w:val="both"/>
        <w:rPr>
          <w:rFonts w:ascii="Palatino Linotype" w:eastAsia="Palatino Linotype" w:hAnsi="Palatino Linotype" w:cs="Palatino Linotype"/>
        </w:rPr>
      </w:pPr>
      <w:r w:rsidRPr="008561BE">
        <w:rPr>
          <w:rFonts w:ascii="Palatino Linotype" w:eastAsia="Palatino Linotype" w:hAnsi="Palatino Linotype" w:cs="Palatino Linotype"/>
        </w:rPr>
        <w:t>De tal suerte, las instituciones públicas tienen la doble responsabilidad, por un lado de proteger los datos personales y por otro, darles publicidad cuando la relevancia de esos datos sea de interés público.</w:t>
      </w:r>
    </w:p>
    <w:p w:rsidR="001E689A" w:rsidRPr="008561BE" w:rsidRDefault="001E689A">
      <w:pPr>
        <w:spacing w:line="360" w:lineRule="auto"/>
        <w:ind w:right="-93"/>
        <w:jc w:val="both"/>
        <w:rPr>
          <w:rFonts w:ascii="Palatino Linotype" w:eastAsia="Palatino Linotype" w:hAnsi="Palatino Linotype" w:cs="Palatino Linotype"/>
        </w:rPr>
      </w:pPr>
    </w:p>
    <w:p w:rsidR="001E689A" w:rsidRPr="008561BE" w:rsidRDefault="00C83C0B">
      <w:pPr>
        <w:spacing w:line="360" w:lineRule="auto"/>
        <w:ind w:right="-93"/>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En este orden de ideas, </w:t>
      </w:r>
      <w:r w:rsidRPr="008561BE">
        <w:rPr>
          <w:rFonts w:ascii="Palatino Linotype" w:eastAsia="Palatino Linotype" w:hAnsi="Palatino Linotype" w:cs="Palatino Linotype"/>
          <w:b/>
          <w:u w:val="single"/>
        </w:rPr>
        <w:t>toda la información que transparente la gestión pública, favorezca la rendición de cuentas y contribuya a la democratización del Estado Mexicano es, sin excepción, de naturaleza pública; tal es el caso de los recibos de nómina, nombres, fichas curriculares, títulos y cédulas profesionales de todos los servidores públicos</w:t>
      </w:r>
      <w:r w:rsidRPr="008561BE">
        <w:rPr>
          <w:rFonts w:ascii="Palatino Linotype" w:eastAsia="Palatino Linotype" w:hAnsi="Palatino Linotype" w:cs="Palatino Linotype"/>
        </w:rPr>
        <w:t>, entre otros; información que necesariamente está vinculada con datos personales, que pierden la protección en beneficio del interés público (no por eso dejan de ser datos personales, sólo que no están protegidos en la confidencialidad).</w:t>
      </w:r>
    </w:p>
    <w:p w:rsidR="001E689A" w:rsidRPr="008561BE" w:rsidRDefault="001E689A">
      <w:pPr>
        <w:spacing w:line="360" w:lineRule="auto"/>
        <w:ind w:right="-93"/>
        <w:jc w:val="both"/>
        <w:rPr>
          <w:rFonts w:ascii="Palatino Linotype" w:eastAsia="Palatino Linotype" w:hAnsi="Palatino Linotype" w:cs="Palatino Linotype"/>
        </w:rPr>
      </w:pPr>
    </w:p>
    <w:p w:rsidR="001E689A" w:rsidRPr="008561BE" w:rsidRDefault="00C83C0B">
      <w:pPr>
        <w:spacing w:line="360" w:lineRule="auto"/>
        <w:ind w:right="-93"/>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En efecto, los documentos solicitados son de interés general y de alcance público, puesto que la ciudadanía tiene derecho a saber cuál es el gasto ejercido para el pago </w:t>
      </w:r>
      <w:r w:rsidRPr="008561BE">
        <w:rPr>
          <w:rFonts w:ascii="Palatino Linotype" w:eastAsia="Palatino Linotype" w:hAnsi="Palatino Linotype" w:cs="Palatino Linotype"/>
        </w:rPr>
        <w:lastRenderedPageBreak/>
        <w:t>de remuneraciones por servicios personales al realizar las funciones públicas, así como el grado de preparación de aquellos que desempeñan cargos públicos;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1E689A" w:rsidRPr="008561BE" w:rsidRDefault="001E689A">
      <w:pPr>
        <w:spacing w:line="360" w:lineRule="auto"/>
        <w:ind w:right="-93"/>
        <w:jc w:val="both"/>
        <w:rPr>
          <w:rFonts w:ascii="Palatino Linotype" w:eastAsia="Palatino Linotype" w:hAnsi="Palatino Linotype" w:cs="Palatino Linotype"/>
        </w:rPr>
      </w:pPr>
    </w:p>
    <w:p w:rsidR="001E689A" w:rsidRPr="008561BE" w:rsidRDefault="00C83C0B">
      <w:pPr>
        <w:spacing w:after="160" w:line="259" w:lineRule="auto"/>
        <w:ind w:left="851" w:right="851"/>
        <w:jc w:val="both"/>
        <w:rPr>
          <w:rFonts w:ascii="Palatino Linotype" w:eastAsia="Palatino Linotype" w:hAnsi="Palatino Linotype" w:cs="Palatino Linotype"/>
          <w:i/>
          <w:sz w:val="22"/>
          <w:szCs w:val="22"/>
          <w:u w:val="single"/>
        </w:rPr>
      </w:pPr>
      <w:r w:rsidRPr="008561BE">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8561BE">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8561BE">
        <w:rPr>
          <w:rFonts w:ascii="Palatino Linotype" w:eastAsia="Palatino Linotype" w:hAnsi="Palatino Linotype" w:cs="Palatino Linotype"/>
          <w:b/>
          <w:i/>
          <w:sz w:val="22"/>
          <w:szCs w:val="22"/>
          <w:u w:val="single"/>
        </w:rPr>
        <w:t>que reciba y ejerza recursos públicos</w:t>
      </w:r>
      <w:r w:rsidRPr="008561BE">
        <w:rPr>
          <w:rFonts w:ascii="Palatino Linotype" w:eastAsia="Palatino Linotype" w:hAnsi="Palatino Linotype" w:cs="Palatino Linotype"/>
          <w:i/>
          <w:sz w:val="22"/>
          <w:szCs w:val="22"/>
        </w:rPr>
        <w:t xml:space="preserve"> o realice actos de autoridad </w:t>
      </w:r>
      <w:r w:rsidRPr="008561BE">
        <w:rPr>
          <w:rFonts w:ascii="Palatino Linotype" w:eastAsia="Palatino Linotype" w:hAnsi="Palatino Linotype" w:cs="Palatino Linotype"/>
          <w:b/>
          <w:i/>
          <w:sz w:val="22"/>
          <w:szCs w:val="22"/>
          <w:u w:val="single"/>
        </w:rPr>
        <w:t>en el ámbito de competencia del Estado de México y sus municipios</w:t>
      </w:r>
      <w:r w:rsidRPr="008561BE">
        <w:rPr>
          <w:rFonts w:ascii="Palatino Linotype" w:eastAsia="Palatino Linotype" w:hAnsi="Palatino Linotype" w:cs="Palatino Linotype"/>
          <w:i/>
          <w:sz w:val="22"/>
          <w:szCs w:val="22"/>
          <w:u w:val="single"/>
        </w:rPr>
        <w:t>.</w:t>
      </w:r>
    </w:p>
    <w:p w:rsidR="001E689A" w:rsidRPr="008561BE" w:rsidRDefault="00C83C0B">
      <w:pPr>
        <w:spacing w:after="160" w:line="259" w:lineRule="auto"/>
        <w:ind w:left="851" w:right="851"/>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rsidR="001E689A" w:rsidRPr="008561BE" w:rsidRDefault="00C83C0B">
      <w:pPr>
        <w:spacing w:after="160" w:line="259" w:lineRule="auto"/>
        <w:ind w:left="851" w:right="851"/>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p>
    <w:p w:rsidR="001E689A" w:rsidRPr="008561BE" w:rsidRDefault="00C83C0B">
      <w:pPr>
        <w:spacing w:after="160" w:line="259" w:lineRule="auto"/>
        <w:ind w:left="851" w:right="851"/>
        <w:jc w:val="both"/>
        <w:rPr>
          <w:rFonts w:ascii="Palatino Linotype" w:eastAsia="Palatino Linotype" w:hAnsi="Palatino Linotype" w:cs="Palatino Linotype"/>
          <w:b/>
          <w:i/>
          <w:sz w:val="22"/>
          <w:szCs w:val="22"/>
          <w:u w:val="single"/>
        </w:rPr>
      </w:pPr>
      <w:r w:rsidRPr="008561BE">
        <w:rPr>
          <w:rFonts w:ascii="Palatino Linotype" w:eastAsia="Palatino Linotype" w:hAnsi="Palatino Linotype" w:cs="Palatino Linotype"/>
          <w:b/>
          <w:i/>
          <w:sz w:val="22"/>
          <w:szCs w:val="22"/>
          <w:u w:val="single"/>
        </w:rPr>
        <w:t>IV. Los ayuntamientos y las dependencias, organismos, órganos y entidades de la administración municipal;</w:t>
      </w:r>
    </w:p>
    <w:p w:rsidR="001E689A" w:rsidRPr="008561BE" w:rsidRDefault="00C83C0B">
      <w:pPr>
        <w:spacing w:after="160" w:line="259" w:lineRule="auto"/>
        <w:ind w:left="851" w:right="851"/>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p>
    <w:p w:rsidR="001E689A" w:rsidRPr="008561BE" w:rsidRDefault="00C83C0B">
      <w:pPr>
        <w:spacing w:after="160" w:line="259" w:lineRule="auto"/>
        <w:ind w:left="851" w:right="851"/>
        <w:jc w:val="both"/>
        <w:rPr>
          <w:rFonts w:ascii="Palatino Linotype" w:eastAsia="Palatino Linotype" w:hAnsi="Palatino Linotype" w:cs="Palatino Linotype"/>
          <w:b/>
          <w:i/>
          <w:sz w:val="22"/>
          <w:szCs w:val="22"/>
          <w:u w:val="single"/>
        </w:rPr>
      </w:pPr>
      <w:r w:rsidRPr="008561BE">
        <w:rPr>
          <w:rFonts w:ascii="Palatino Linotype" w:eastAsia="Palatino Linotype" w:hAnsi="Palatino Linotype" w:cs="Palatino Linotype"/>
          <w:b/>
          <w:i/>
          <w:sz w:val="22"/>
          <w:szCs w:val="22"/>
          <w:u w:val="single"/>
        </w:rPr>
        <w:t xml:space="preserve">Los sujetos obligados deberán hacer pública toda aquella información relativa a los montos y las personas a quienes entreguen, por cualquier </w:t>
      </w:r>
      <w:r w:rsidRPr="008561BE">
        <w:rPr>
          <w:rFonts w:ascii="Palatino Linotype" w:eastAsia="Palatino Linotype" w:hAnsi="Palatino Linotype" w:cs="Palatino Linotype"/>
          <w:b/>
          <w:i/>
          <w:sz w:val="22"/>
          <w:szCs w:val="22"/>
          <w:u w:val="single"/>
        </w:rPr>
        <w:lastRenderedPageBreak/>
        <w:t>motivo, recursos públicos, así como los informes que dichas personas les entreguen sobre el uso y destino de dichos recursos.</w:t>
      </w:r>
    </w:p>
    <w:p w:rsidR="001E689A" w:rsidRPr="008561BE" w:rsidRDefault="001E689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E689A" w:rsidRPr="008561BE" w:rsidRDefault="00C83C0B">
      <w:pPr>
        <w:spacing w:before="240" w:after="240" w:line="360" w:lineRule="auto"/>
        <w:ind w:right="49"/>
        <w:jc w:val="both"/>
        <w:rPr>
          <w:rFonts w:ascii="Palatino Linotype" w:eastAsia="Palatino Linotype" w:hAnsi="Palatino Linotype" w:cs="Palatino Linotype"/>
          <w:color w:val="000000"/>
        </w:rPr>
      </w:pPr>
      <w:r w:rsidRPr="008561BE">
        <w:rPr>
          <w:rFonts w:ascii="Palatino Linotype" w:eastAsia="Palatino Linotype" w:hAnsi="Palatino Linotype" w:cs="Palatino Linotype"/>
          <w:color w:val="000000"/>
        </w:rPr>
        <w:t xml:space="preserve">Por otro lado, respecto del cambio de modalidad pretendido por el </w:t>
      </w:r>
      <w:r w:rsidRPr="008561BE">
        <w:rPr>
          <w:rFonts w:ascii="Palatino Linotype" w:eastAsia="Palatino Linotype" w:hAnsi="Palatino Linotype" w:cs="Palatino Linotype"/>
          <w:b/>
          <w:color w:val="000000"/>
        </w:rPr>
        <w:t xml:space="preserve">Sujeto Obligado </w:t>
      </w:r>
      <w:r w:rsidRPr="008561BE">
        <w:rPr>
          <w:rFonts w:ascii="Palatino Linotype" w:eastAsia="Palatino Linotype" w:hAnsi="Palatino Linotype" w:cs="Palatino Linotype"/>
          <w:color w:val="000000"/>
        </w:rPr>
        <w:t>es de recordar que</w:t>
      </w:r>
      <w:r w:rsidRPr="008561BE">
        <w:rPr>
          <w:rFonts w:ascii="Palatino Linotype" w:eastAsia="Palatino Linotype" w:hAnsi="Palatino Linotype" w:cs="Palatino Linotype"/>
          <w:b/>
          <w:color w:val="000000"/>
        </w:rPr>
        <w:t xml:space="preserve"> la parte Recurrente </w:t>
      </w:r>
      <w:r w:rsidRPr="008561BE">
        <w:rPr>
          <w:rFonts w:ascii="Palatino Linotype" w:eastAsia="Palatino Linotype" w:hAnsi="Palatino Linotype" w:cs="Palatino Linotype"/>
          <w:color w:val="000000"/>
        </w:rPr>
        <w:t>al momento de presentar la solicitud de información que dio origen al Recurso de Revisión que nos ocupa, eligió como modalidad de entrega</w:t>
      </w:r>
      <w:r w:rsidRPr="008561BE">
        <w:rPr>
          <w:rFonts w:ascii="Palatino Linotype" w:eastAsia="Palatino Linotype" w:hAnsi="Palatino Linotype" w:cs="Palatino Linotype"/>
          <w:b/>
          <w:color w:val="000000"/>
        </w:rPr>
        <w:t xml:space="preserve"> </w:t>
      </w:r>
      <w:r w:rsidRPr="008561BE">
        <w:rPr>
          <w:rFonts w:ascii="Palatino Linotype" w:eastAsia="Palatino Linotype" w:hAnsi="Palatino Linotype" w:cs="Palatino Linotype"/>
          <w:b/>
          <w:i/>
          <w:color w:val="000000"/>
        </w:rPr>
        <w:t>“Sistema de Acceso a la Información Pública Mexiquense”</w:t>
      </w:r>
      <w:r w:rsidRPr="008561BE">
        <w:rPr>
          <w:rFonts w:ascii="Palatino Linotype" w:eastAsia="Palatino Linotype" w:hAnsi="Palatino Linotype" w:cs="Palatino Linotype"/>
          <w:b/>
          <w:color w:val="000000"/>
        </w:rPr>
        <w:t xml:space="preserve">, </w:t>
      </w:r>
      <w:r w:rsidRPr="008561BE">
        <w:rPr>
          <w:rFonts w:ascii="Palatino Linotype" w:eastAsia="Palatino Linotype" w:hAnsi="Palatino Linotype" w:cs="Palatino Linotype"/>
          <w:color w:val="000000"/>
        </w:rPr>
        <w:t>tal como se aprecia a continuación:</w:t>
      </w:r>
    </w:p>
    <w:p w:rsidR="001E689A" w:rsidRPr="008561BE" w:rsidRDefault="00C83C0B">
      <w:pPr>
        <w:spacing w:before="240" w:after="240" w:line="360" w:lineRule="auto"/>
        <w:ind w:right="49"/>
        <w:jc w:val="both"/>
        <w:rPr>
          <w:rFonts w:ascii="Palatino Linotype" w:eastAsia="Palatino Linotype" w:hAnsi="Palatino Linotype" w:cs="Palatino Linotype"/>
          <w:b/>
          <w:color w:val="000000"/>
        </w:rPr>
      </w:pPr>
      <w:r w:rsidRPr="008561BE">
        <w:rPr>
          <w:rFonts w:ascii="Palatino Linotype" w:eastAsia="Palatino Linotype" w:hAnsi="Palatino Linotype" w:cs="Palatino Linotype"/>
          <w:b/>
          <w:noProof/>
          <w:color w:val="000000"/>
        </w:rPr>
        <w:drawing>
          <wp:inline distT="0" distB="0" distL="0" distR="0">
            <wp:extent cx="5612130" cy="1857375"/>
            <wp:effectExtent l="0" t="0" r="0" b="0"/>
            <wp:docPr id="11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5612130" cy="1857375"/>
                    </a:xfrm>
                    <a:prstGeom prst="rect">
                      <a:avLst/>
                    </a:prstGeom>
                    <a:ln/>
                  </pic:spPr>
                </pic:pic>
              </a:graphicData>
            </a:graphic>
          </wp:inline>
        </w:drawing>
      </w:r>
    </w:p>
    <w:p w:rsidR="001E689A" w:rsidRPr="008561BE" w:rsidRDefault="00C83C0B">
      <w:pPr>
        <w:spacing w:before="240" w:after="240" w:line="360" w:lineRule="auto"/>
        <w:ind w:right="49"/>
        <w:jc w:val="both"/>
        <w:rPr>
          <w:rFonts w:ascii="Palatino Linotype" w:eastAsia="Palatino Linotype" w:hAnsi="Palatino Linotype" w:cs="Palatino Linotype"/>
          <w:color w:val="000000"/>
        </w:rPr>
      </w:pPr>
      <w:r w:rsidRPr="008561BE">
        <w:rPr>
          <w:rFonts w:ascii="Palatino Linotype" w:eastAsia="Palatino Linotype" w:hAnsi="Palatino Linotype" w:cs="Palatino Linotype"/>
          <w:color w:val="000000"/>
        </w:rPr>
        <w:t>De tal forma, resulta necesario traer a colación que el artículo 155, fracción V de la Ley de Transparencia y Acceso a la Información Pública del Estado de México y Municipios precisa que, para presentar una solicitud de información, el particular podrá señalar la modalidad en la que prefiere se otorgue el acceso a esta, tal como se observa a la literalidad:</w:t>
      </w:r>
    </w:p>
    <w:p w:rsidR="001E689A" w:rsidRPr="008561BE" w:rsidRDefault="00C83C0B">
      <w:pPr>
        <w:spacing w:before="240" w:after="240" w:line="276" w:lineRule="auto"/>
        <w:ind w:left="567" w:right="900"/>
        <w:jc w:val="both"/>
        <w:rPr>
          <w:rFonts w:ascii="Palatino Linotype" w:eastAsia="Palatino Linotype" w:hAnsi="Palatino Linotype" w:cs="Palatino Linotype"/>
          <w:color w:val="000000"/>
          <w:sz w:val="22"/>
          <w:szCs w:val="22"/>
        </w:rPr>
      </w:pPr>
      <w:r w:rsidRPr="008561BE">
        <w:rPr>
          <w:rFonts w:ascii="Palatino Linotype" w:eastAsia="Palatino Linotype" w:hAnsi="Palatino Linotype" w:cs="Palatino Linotype"/>
          <w:i/>
          <w:color w:val="000000"/>
          <w:sz w:val="22"/>
          <w:szCs w:val="22"/>
        </w:rPr>
        <w:t>“Artículo 155. Para presentar una solicitud por escrito, no se podrán exigir mayores requisitos que los siguientes:</w:t>
      </w:r>
    </w:p>
    <w:p w:rsidR="001E689A" w:rsidRPr="008561BE" w:rsidRDefault="00C83C0B">
      <w:pPr>
        <w:spacing w:before="240" w:after="240" w:line="276" w:lineRule="auto"/>
        <w:ind w:left="567" w:right="900"/>
        <w:jc w:val="both"/>
        <w:rPr>
          <w:rFonts w:ascii="Palatino Linotype" w:eastAsia="Palatino Linotype" w:hAnsi="Palatino Linotype" w:cs="Palatino Linotype"/>
          <w:color w:val="000000"/>
          <w:sz w:val="22"/>
          <w:szCs w:val="22"/>
        </w:rPr>
      </w:pPr>
      <w:r w:rsidRPr="008561BE">
        <w:rPr>
          <w:rFonts w:ascii="Palatino Linotype" w:eastAsia="Palatino Linotype" w:hAnsi="Palatino Linotype" w:cs="Palatino Linotype"/>
          <w:i/>
          <w:color w:val="000000"/>
          <w:sz w:val="22"/>
          <w:szCs w:val="22"/>
        </w:rPr>
        <w:lastRenderedPageBreak/>
        <w:t>…</w:t>
      </w:r>
    </w:p>
    <w:p w:rsidR="001E689A" w:rsidRPr="008561BE" w:rsidRDefault="00C83C0B">
      <w:pPr>
        <w:spacing w:before="240" w:after="240" w:line="276" w:lineRule="auto"/>
        <w:ind w:left="567" w:right="900"/>
        <w:jc w:val="both"/>
        <w:rPr>
          <w:rFonts w:ascii="Palatino Linotype" w:eastAsia="Palatino Linotype" w:hAnsi="Palatino Linotype" w:cs="Palatino Linotype"/>
          <w:color w:val="000000"/>
          <w:sz w:val="22"/>
          <w:szCs w:val="22"/>
        </w:rPr>
      </w:pPr>
      <w:r w:rsidRPr="008561BE">
        <w:rPr>
          <w:rFonts w:ascii="Palatino Linotype" w:eastAsia="Palatino Linotype" w:hAnsi="Palatino Linotype" w:cs="Palatino Linotype"/>
          <w:i/>
          <w:color w:val="000000"/>
          <w:sz w:val="22"/>
          <w:szCs w:val="22"/>
        </w:rPr>
        <w:t>V. La modalidad en la que prefiere se otorgue el acceso a la información, la cual podrá ser verbal, siempre y cuando sea para fines de orientación, mediante consulta directa, mediante la expedición de copias simples o certificadas o la reproducción en cualquier otro medio, incluidos los electrónicos.</w:t>
      </w:r>
    </w:p>
    <w:p w:rsidR="001E689A" w:rsidRPr="008561BE" w:rsidRDefault="00C83C0B">
      <w:pPr>
        <w:spacing w:before="240" w:after="240" w:line="276" w:lineRule="auto"/>
        <w:ind w:left="567" w:right="900"/>
        <w:jc w:val="both"/>
        <w:rPr>
          <w:rFonts w:ascii="Palatino Linotype" w:eastAsia="Palatino Linotype" w:hAnsi="Palatino Linotype" w:cs="Palatino Linotype"/>
          <w:color w:val="000000"/>
          <w:sz w:val="22"/>
          <w:szCs w:val="22"/>
        </w:rPr>
      </w:pPr>
      <w:r w:rsidRPr="008561BE">
        <w:rPr>
          <w:rFonts w:ascii="Palatino Linotype" w:eastAsia="Palatino Linotype" w:hAnsi="Palatino Linotype" w:cs="Palatino Linotype"/>
          <w:i/>
          <w:color w:val="000000"/>
          <w:sz w:val="22"/>
          <w:szCs w:val="22"/>
        </w:rPr>
        <w:t>…”</w:t>
      </w:r>
    </w:p>
    <w:p w:rsidR="001E689A" w:rsidRPr="008561BE" w:rsidRDefault="00C83C0B">
      <w:pPr>
        <w:spacing w:before="240" w:after="240" w:line="360" w:lineRule="auto"/>
        <w:ind w:right="49"/>
        <w:jc w:val="both"/>
        <w:rPr>
          <w:rFonts w:ascii="Palatino Linotype" w:eastAsia="Palatino Linotype" w:hAnsi="Palatino Linotype" w:cs="Palatino Linotype"/>
          <w:color w:val="000000"/>
        </w:rPr>
      </w:pPr>
      <w:r w:rsidRPr="008561BE">
        <w:rPr>
          <w:rFonts w:ascii="Palatino Linotype" w:eastAsia="Palatino Linotype" w:hAnsi="Palatino Linotype" w:cs="Palatino Linotype"/>
          <w:color w:val="000000"/>
        </w:rPr>
        <w:t>El artículo 158, dispone que, de manera excepcional, cuando de manera fundada y motivada lo determine el Sujeto Obligado, 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001E689A" w:rsidRPr="008561BE" w:rsidRDefault="00C83C0B">
      <w:pPr>
        <w:spacing w:before="240" w:after="240" w:line="360" w:lineRule="auto"/>
        <w:ind w:right="49"/>
        <w:jc w:val="both"/>
        <w:rPr>
          <w:rFonts w:ascii="Palatino Linotype" w:eastAsia="Palatino Linotype" w:hAnsi="Palatino Linotype" w:cs="Palatino Linotype"/>
          <w:color w:val="000000"/>
        </w:rPr>
      </w:pPr>
      <w:r w:rsidRPr="008561BE">
        <w:rPr>
          <w:rFonts w:ascii="Palatino Linotype" w:eastAsia="Palatino Linotype" w:hAnsi="Palatino Linotype" w:cs="Palatino Linotype"/>
          <w:color w:val="000000"/>
        </w:rPr>
        <w:t>En el mismo orden de ideas, el artículo 164 de la Ley en la materia dispone que el acceso, se dará en la modalidad de entrega y, en su caso, de envío elegidos por el solicitante, de tal modo que, para el caso que no pueda entregarse o enviarse en la modalidad elegida, el sujeto obligado deberá ofrecer otra y otras modalidades de entrega, para lo que se deberá fundar y motivar dicha necesidad, como se advierte a continuación: </w:t>
      </w:r>
    </w:p>
    <w:p w:rsidR="001E689A" w:rsidRPr="008561BE" w:rsidRDefault="00C83C0B">
      <w:pPr>
        <w:spacing w:before="240" w:after="240" w:line="276" w:lineRule="auto"/>
        <w:ind w:left="567" w:right="900"/>
        <w:jc w:val="both"/>
        <w:rPr>
          <w:rFonts w:ascii="Palatino Linotype" w:eastAsia="Palatino Linotype" w:hAnsi="Palatino Linotype" w:cs="Palatino Linotype"/>
          <w:color w:val="000000"/>
          <w:sz w:val="22"/>
          <w:szCs w:val="22"/>
        </w:rPr>
      </w:pPr>
      <w:r w:rsidRPr="008561BE">
        <w:rPr>
          <w:rFonts w:ascii="Palatino Linotype" w:eastAsia="Palatino Linotype" w:hAnsi="Palatino Linotype" w:cs="Palatino Linotype"/>
          <w:i/>
          <w:color w:val="000000"/>
          <w:sz w:val="22"/>
          <w:szCs w:val="22"/>
        </w:rPr>
        <w:t>“Artículo 164. El acceso se dará en la modalidad de entrega y, en su caso, de envío elegidos por el solicitante. Cuando la información no pueda entregarse o enviarse en la modalidad solicitada, el sujeto obligado deberá ofrecer otra u otras modalidades de entrega. </w:t>
      </w:r>
    </w:p>
    <w:p w:rsidR="001E689A" w:rsidRPr="008561BE" w:rsidRDefault="00C83C0B">
      <w:pPr>
        <w:spacing w:before="240" w:after="240" w:line="276" w:lineRule="auto"/>
        <w:ind w:left="567" w:right="900"/>
        <w:jc w:val="both"/>
        <w:rPr>
          <w:rFonts w:ascii="Palatino Linotype" w:eastAsia="Palatino Linotype" w:hAnsi="Palatino Linotype" w:cs="Palatino Linotype"/>
          <w:color w:val="000000"/>
          <w:sz w:val="22"/>
          <w:szCs w:val="22"/>
        </w:rPr>
      </w:pPr>
      <w:r w:rsidRPr="008561BE">
        <w:rPr>
          <w:rFonts w:ascii="Palatino Linotype" w:eastAsia="Palatino Linotype" w:hAnsi="Palatino Linotype" w:cs="Palatino Linotype"/>
          <w:i/>
          <w:color w:val="000000"/>
          <w:sz w:val="22"/>
          <w:szCs w:val="22"/>
        </w:rPr>
        <w:t>En cualquier caso, se deberá fundar y motivar la necesidad de ofrecer otras modalidades.”</w:t>
      </w:r>
    </w:p>
    <w:p w:rsidR="001E689A" w:rsidRPr="008561BE" w:rsidRDefault="00C83C0B">
      <w:pPr>
        <w:spacing w:before="240" w:after="240" w:line="360" w:lineRule="auto"/>
        <w:ind w:right="49"/>
        <w:jc w:val="both"/>
        <w:rPr>
          <w:rFonts w:ascii="Palatino Linotype" w:eastAsia="Palatino Linotype" w:hAnsi="Palatino Linotype" w:cs="Palatino Linotype"/>
          <w:color w:val="000000"/>
        </w:rPr>
      </w:pPr>
      <w:r w:rsidRPr="008561BE">
        <w:rPr>
          <w:rFonts w:ascii="Palatino Linotype" w:eastAsia="Palatino Linotype" w:hAnsi="Palatino Linotype" w:cs="Palatino Linotype"/>
          <w:color w:val="000000"/>
        </w:rPr>
        <w:lastRenderedPageBreak/>
        <w:t>Para lo cual, conforme al artículo 174 de la Ley de la materia, indica que los costos de reproducción y, en su caso, de envío para la obtención de la información deberán ser cubiertos por el solicitante de manera previa a la entrega por parte del Sujeto Obligado. </w:t>
      </w:r>
    </w:p>
    <w:p w:rsidR="001E689A" w:rsidRPr="008561BE" w:rsidRDefault="00C83C0B">
      <w:pPr>
        <w:spacing w:before="240" w:after="240" w:line="360" w:lineRule="auto"/>
        <w:ind w:right="49"/>
        <w:jc w:val="both"/>
        <w:rPr>
          <w:rFonts w:ascii="Palatino Linotype" w:eastAsia="Palatino Linotype" w:hAnsi="Palatino Linotype" w:cs="Palatino Linotype"/>
          <w:color w:val="000000"/>
        </w:rPr>
      </w:pPr>
      <w:r w:rsidRPr="008561BE">
        <w:rPr>
          <w:rFonts w:ascii="Palatino Linotype" w:eastAsia="Palatino Linotype" w:hAnsi="Palatino Linotype" w:cs="Palatino Linotype"/>
          <w:color w:val="000000"/>
        </w:rPr>
        <w:t>En tales consideraciones, la entrega de la información deberá hacerse, en la medida de lo posible en la forma solicitada por el interesado, salvo que exista un impedimento justificado para atenderla, en cuyo caso, deberán exponerse las razones por las cuales no se es posible utilizar el medio de reproducción solicitado, por lo que, la entrega la modalidad de entrega distinta a la elegida sólo procederán cuando se acredite la imposibilidad de atenderla. </w:t>
      </w:r>
    </w:p>
    <w:p w:rsidR="001E689A" w:rsidRPr="008561BE" w:rsidRDefault="00C83C0B">
      <w:pPr>
        <w:spacing w:before="240" w:after="240" w:line="360" w:lineRule="auto"/>
        <w:ind w:right="49"/>
        <w:jc w:val="both"/>
        <w:rPr>
          <w:rFonts w:ascii="Palatino Linotype" w:eastAsia="Palatino Linotype" w:hAnsi="Palatino Linotype" w:cs="Palatino Linotype"/>
          <w:color w:val="000000"/>
        </w:rPr>
      </w:pPr>
      <w:r w:rsidRPr="008561BE">
        <w:rPr>
          <w:rFonts w:ascii="Palatino Linotype" w:eastAsia="Palatino Linotype" w:hAnsi="Palatino Linotype" w:cs="Palatino Linotype"/>
          <w:color w:val="000000"/>
        </w:rPr>
        <w:t>Por lo anterior, en caso de impedimento, los sujetos obligados deberán ofrecer al particular otras modalidades de entrega a la solicitada, tal como lo establece el Criterio 08/17 emitido por el Pleno del Instituto Nacional de Transparencia, Acceso a la Información y Protección de Datos Personales, el cual establece lo siguiente: </w:t>
      </w:r>
    </w:p>
    <w:p w:rsidR="001E689A" w:rsidRPr="008561BE" w:rsidRDefault="00C83C0B">
      <w:pPr>
        <w:spacing w:before="240" w:after="240" w:line="276" w:lineRule="auto"/>
        <w:ind w:left="567" w:right="900"/>
        <w:jc w:val="both"/>
        <w:rPr>
          <w:rFonts w:ascii="Palatino Linotype" w:eastAsia="Palatino Linotype" w:hAnsi="Palatino Linotype" w:cs="Palatino Linotype"/>
          <w:color w:val="000000"/>
        </w:rPr>
      </w:pPr>
      <w:r w:rsidRPr="008561BE">
        <w:rPr>
          <w:rFonts w:ascii="Palatino Linotype" w:eastAsia="Palatino Linotype" w:hAnsi="Palatino Linotype" w:cs="Palatino Linotype"/>
          <w:i/>
          <w:color w:val="000000"/>
        </w:rPr>
        <w:t>“</w:t>
      </w:r>
      <w:r w:rsidRPr="008561BE">
        <w:rPr>
          <w:rFonts w:ascii="Palatino Linotype" w:eastAsia="Palatino Linotype" w:hAnsi="Palatino Linotype" w:cs="Palatino Linotype"/>
          <w:b/>
          <w:i/>
          <w:color w:val="000000"/>
        </w:rPr>
        <w:t>Modalidad de entrega. Procedencia de proporcionar la información solicitada en una diversa a la elegida por el solicitante</w:t>
      </w:r>
      <w:r w:rsidRPr="008561BE">
        <w:rPr>
          <w:rFonts w:ascii="Palatino Linotype" w:eastAsia="Palatino Linotype" w:hAnsi="Palatino Linotype" w:cs="Palatino Linotype"/>
          <w:i/>
          <w:color w:val="00000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w:t>
      </w:r>
      <w:r w:rsidRPr="008561BE">
        <w:rPr>
          <w:rFonts w:ascii="Palatino Linotype" w:eastAsia="Palatino Linotype" w:hAnsi="Palatino Linotype" w:cs="Palatino Linotype"/>
          <w:i/>
          <w:color w:val="000000"/>
          <w:u w:val="single"/>
        </w:rPr>
        <w:t>a) justifique el impedimento para atender la misma y b) se notifique al particular la disposición de la información en todas las modalidades que permita el documento de que se trate, procurando reducir, en todo momento, los costos de entrega.”</w:t>
      </w:r>
    </w:p>
    <w:p w:rsidR="001E689A" w:rsidRPr="008561BE" w:rsidRDefault="00C83C0B">
      <w:pPr>
        <w:spacing w:before="240" w:after="240" w:line="360" w:lineRule="auto"/>
        <w:ind w:right="49"/>
        <w:jc w:val="both"/>
        <w:rPr>
          <w:rFonts w:ascii="Palatino Linotype" w:eastAsia="Palatino Linotype" w:hAnsi="Palatino Linotype" w:cs="Palatino Linotype"/>
          <w:color w:val="000000"/>
        </w:rPr>
      </w:pPr>
      <w:r w:rsidRPr="008561BE">
        <w:rPr>
          <w:rFonts w:ascii="Palatino Linotype" w:eastAsia="Palatino Linotype" w:hAnsi="Palatino Linotype" w:cs="Palatino Linotype"/>
          <w:color w:val="000000"/>
        </w:rPr>
        <w:lastRenderedPageBreak/>
        <w:t>Es así que, se desprende que, cuando no sea posible atender la modalidad elegida por los solicitantes, el sujeto obligado deberá justificar el impedimento para atender esta y notificar al particular la puesta a disposición de la información en todas las modalidades que lo permitan, procurando reducir los costos de entrega.</w:t>
      </w:r>
    </w:p>
    <w:p w:rsidR="001E689A" w:rsidRPr="008561BE" w:rsidRDefault="00C83C0B">
      <w:pPr>
        <w:spacing w:before="240" w:after="240" w:line="360" w:lineRule="auto"/>
        <w:ind w:right="49"/>
        <w:jc w:val="both"/>
        <w:rPr>
          <w:rFonts w:ascii="Palatino Linotype" w:eastAsia="Palatino Linotype" w:hAnsi="Palatino Linotype" w:cs="Palatino Linotype"/>
          <w:color w:val="000000"/>
        </w:rPr>
      </w:pPr>
      <w:r w:rsidRPr="008561BE">
        <w:rPr>
          <w:rFonts w:ascii="Palatino Linotype" w:eastAsia="Palatino Linotype" w:hAnsi="Palatino Linotype" w:cs="Palatino Linotype"/>
          <w:color w:val="000000"/>
        </w:rPr>
        <w:t xml:space="preserve">En el caso que ahora nos ocupa, este Organismo Garante notificó al </w:t>
      </w:r>
      <w:r w:rsidRPr="008561BE">
        <w:rPr>
          <w:rFonts w:ascii="Palatino Linotype" w:eastAsia="Palatino Linotype" w:hAnsi="Palatino Linotype" w:cs="Palatino Linotype"/>
          <w:b/>
          <w:color w:val="000000"/>
        </w:rPr>
        <w:t>Sujeto Obligado</w:t>
      </w:r>
      <w:r w:rsidRPr="008561BE">
        <w:rPr>
          <w:rFonts w:ascii="Palatino Linotype" w:eastAsia="Palatino Linotype" w:hAnsi="Palatino Linotype" w:cs="Palatino Linotype"/>
          <w:color w:val="000000"/>
        </w:rPr>
        <w:t xml:space="preserve"> un requerimiento de información adicional, con la finalidad de obtener mayores elementos para resolver el presente asunto, sirven de referencia las siguientes impresiones de pantalla:</w:t>
      </w:r>
    </w:p>
    <w:p w:rsidR="001E689A" w:rsidRPr="008561BE" w:rsidRDefault="00C83C0B">
      <w:pPr>
        <w:spacing w:before="240" w:after="240" w:line="360" w:lineRule="auto"/>
        <w:jc w:val="center"/>
        <w:rPr>
          <w:rFonts w:ascii="Palatino Linotype" w:eastAsia="Palatino Linotype" w:hAnsi="Palatino Linotype" w:cs="Palatino Linotype"/>
        </w:rPr>
      </w:pPr>
      <w:r w:rsidRPr="008561BE">
        <w:rPr>
          <w:rFonts w:ascii="Palatino Linotype" w:eastAsia="Palatino Linotype" w:hAnsi="Palatino Linotype" w:cs="Palatino Linotype"/>
          <w:noProof/>
        </w:rPr>
        <w:drawing>
          <wp:inline distT="0" distB="0" distL="0" distR="0">
            <wp:extent cx="4505502" cy="4395899"/>
            <wp:effectExtent l="0" t="0" r="0" b="0"/>
            <wp:docPr id="11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4505502" cy="4395899"/>
                    </a:xfrm>
                    <a:prstGeom prst="rect">
                      <a:avLst/>
                    </a:prstGeom>
                    <a:ln/>
                  </pic:spPr>
                </pic:pic>
              </a:graphicData>
            </a:graphic>
          </wp:inline>
        </w:drawing>
      </w:r>
    </w:p>
    <w:p w:rsidR="001E689A" w:rsidRPr="008561BE" w:rsidRDefault="00C83C0B">
      <w:pPr>
        <w:spacing w:after="240" w:line="360" w:lineRule="auto"/>
        <w:jc w:val="center"/>
        <w:rPr>
          <w:rFonts w:ascii="Palatino Linotype" w:eastAsia="Palatino Linotype" w:hAnsi="Palatino Linotype" w:cs="Palatino Linotype"/>
          <w:b/>
        </w:rPr>
      </w:pPr>
      <w:r w:rsidRPr="008561BE">
        <w:rPr>
          <w:rFonts w:ascii="Palatino Linotype" w:eastAsia="Palatino Linotype" w:hAnsi="Palatino Linotype" w:cs="Palatino Linotype"/>
          <w:b/>
          <w:noProof/>
        </w:rPr>
        <w:lastRenderedPageBreak/>
        <w:drawing>
          <wp:inline distT="0" distB="0" distL="0" distR="0">
            <wp:extent cx="4266755" cy="2529252"/>
            <wp:effectExtent l="0" t="0" r="0" b="0"/>
            <wp:docPr id="12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4266755" cy="2529252"/>
                    </a:xfrm>
                    <a:prstGeom prst="rect">
                      <a:avLst/>
                    </a:prstGeom>
                    <a:ln/>
                  </pic:spPr>
                </pic:pic>
              </a:graphicData>
            </a:graphic>
          </wp:inline>
        </w:drawing>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Resulta importante mencionar que no se tiene constancia de que el </w:t>
      </w:r>
      <w:r w:rsidRPr="008561BE">
        <w:rPr>
          <w:rFonts w:ascii="Palatino Linotype" w:eastAsia="Palatino Linotype" w:hAnsi="Palatino Linotype" w:cs="Palatino Linotype"/>
          <w:b/>
        </w:rPr>
        <w:t>Sujeto Obligado</w:t>
      </w:r>
      <w:r w:rsidRPr="008561BE">
        <w:rPr>
          <w:rFonts w:ascii="Palatino Linotype" w:eastAsia="Palatino Linotype" w:hAnsi="Palatino Linotype" w:cs="Palatino Linotype"/>
        </w:rPr>
        <w:t xml:space="preserve"> hubiera otorgado respuesta a dicho requerimiento de información.</w:t>
      </w:r>
    </w:p>
    <w:p w:rsidR="001E689A" w:rsidRPr="008561BE" w:rsidRDefault="00C83C0B">
      <w:pPr>
        <w:spacing w:before="240" w:after="240" w:line="360" w:lineRule="auto"/>
        <w:ind w:right="49"/>
        <w:jc w:val="both"/>
        <w:rPr>
          <w:rFonts w:ascii="Palatino Linotype" w:eastAsia="Palatino Linotype" w:hAnsi="Palatino Linotype" w:cs="Palatino Linotype"/>
          <w:color w:val="000000"/>
        </w:rPr>
      </w:pPr>
      <w:r w:rsidRPr="008561BE">
        <w:rPr>
          <w:rFonts w:ascii="Palatino Linotype" w:eastAsia="Palatino Linotype" w:hAnsi="Palatino Linotype" w:cs="Palatino Linotype"/>
          <w:color w:val="000000"/>
        </w:rPr>
        <w:t xml:space="preserve">Por otro lado, esta Ponencia solicitó a la Dirección General de Informática tuviera a bien informar si existía algún reporte de incidencias por parte del </w:t>
      </w:r>
      <w:r w:rsidRPr="008561BE">
        <w:rPr>
          <w:rFonts w:ascii="Palatino Linotype" w:eastAsia="Palatino Linotype" w:hAnsi="Palatino Linotype" w:cs="Palatino Linotype"/>
          <w:b/>
          <w:color w:val="000000"/>
        </w:rPr>
        <w:t>Sujeto Obligado</w:t>
      </w:r>
      <w:r w:rsidRPr="008561BE">
        <w:rPr>
          <w:rFonts w:ascii="Palatino Linotype" w:eastAsia="Palatino Linotype" w:hAnsi="Palatino Linotype" w:cs="Palatino Linotype"/>
          <w:color w:val="000000"/>
        </w:rPr>
        <w:t xml:space="preserve">; unidad administrativa que refirió que </w:t>
      </w:r>
      <w:r w:rsidRPr="008561BE">
        <w:rPr>
          <w:rFonts w:ascii="Palatino Linotype" w:eastAsia="Palatino Linotype" w:hAnsi="Palatino Linotype" w:cs="Palatino Linotype"/>
          <w:color w:val="000000"/>
          <w:u w:val="single"/>
        </w:rPr>
        <w:t>no se había encontrado llamado o el registro correspondiente</w:t>
      </w:r>
      <w:r w:rsidRPr="008561BE">
        <w:rPr>
          <w:rFonts w:ascii="Palatino Linotype" w:eastAsia="Palatino Linotype" w:hAnsi="Palatino Linotype" w:cs="Palatino Linotype"/>
          <w:color w:val="000000"/>
        </w:rPr>
        <w:t>, tal como se observa a continuación: </w:t>
      </w:r>
    </w:p>
    <w:p w:rsidR="001E689A" w:rsidRPr="008561BE" w:rsidRDefault="00C83C0B">
      <w:pPr>
        <w:spacing w:before="240" w:after="240" w:line="360" w:lineRule="auto"/>
        <w:ind w:right="49"/>
        <w:jc w:val="center"/>
        <w:rPr>
          <w:rFonts w:ascii="Palatino Linotype" w:eastAsia="Palatino Linotype" w:hAnsi="Palatino Linotype" w:cs="Palatino Linotype"/>
          <w:b/>
          <w:color w:val="000000"/>
        </w:rPr>
      </w:pPr>
      <w:r w:rsidRPr="008561BE">
        <w:rPr>
          <w:rFonts w:ascii="Palatino Linotype" w:eastAsia="Palatino Linotype" w:hAnsi="Palatino Linotype" w:cs="Palatino Linotype"/>
          <w:b/>
          <w:noProof/>
          <w:color w:val="000000"/>
        </w:rPr>
        <w:drawing>
          <wp:inline distT="0" distB="0" distL="0" distR="0">
            <wp:extent cx="4813347" cy="2159729"/>
            <wp:effectExtent l="0" t="0" r="0" b="0"/>
            <wp:docPr id="12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4813347" cy="2159729"/>
                    </a:xfrm>
                    <a:prstGeom prst="rect">
                      <a:avLst/>
                    </a:prstGeom>
                    <a:ln/>
                  </pic:spPr>
                </pic:pic>
              </a:graphicData>
            </a:graphic>
          </wp:inline>
        </w:drawing>
      </w:r>
    </w:p>
    <w:p w:rsidR="001E689A" w:rsidRPr="008561BE" w:rsidRDefault="00C83C0B">
      <w:pPr>
        <w:spacing w:before="240" w:after="240" w:line="360" w:lineRule="auto"/>
        <w:ind w:right="49"/>
        <w:jc w:val="both"/>
        <w:rPr>
          <w:rFonts w:ascii="Palatino Linotype" w:eastAsia="Palatino Linotype" w:hAnsi="Palatino Linotype" w:cs="Palatino Linotype"/>
          <w:color w:val="000000"/>
        </w:rPr>
      </w:pPr>
      <w:r w:rsidRPr="008561BE">
        <w:rPr>
          <w:rFonts w:ascii="Palatino Linotype" w:eastAsia="Palatino Linotype" w:hAnsi="Palatino Linotype" w:cs="Palatino Linotype"/>
          <w:color w:val="000000"/>
        </w:rPr>
        <w:lastRenderedPageBreak/>
        <w:t xml:space="preserve">En ese sentido, también resulta importante destacar que de conformidad con la Dirección General de Informática, el peso máximo de archivos que soporta el Sistema de Acceso a la Información Mexiquense para adjuntar como respuesta a las solicitudes de información, tiene un soporte tecnológico de hasta 500MB o un equivalente de hasta 8,000 hojas, convencionales bajo parámetros de escaneo en resolución máxima de 150 </w:t>
      </w:r>
      <w:proofErr w:type="spellStart"/>
      <w:r w:rsidRPr="008561BE">
        <w:rPr>
          <w:rFonts w:ascii="Palatino Linotype" w:eastAsia="Palatino Linotype" w:hAnsi="Palatino Linotype" w:cs="Palatino Linotype"/>
          <w:color w:val="000000"/>
        </w:rPr>
        <w:t>Dpi’s</w:t>
      </w:r>
      <w:proofErr w:type="spellEnd"/>
      <w:r w:rsidRPr="008561BE">
        <w:rPr>
          <w:rFonts w:ascii="Palatino Linotype" w:eastAsia="Palatino Linotype" w:hAnsi="Palatino Linotype" w:cs="Palatino Linotype"/>
          <w:color w:val="000000"/>
        </w:rPr>
        <w:t>, escala de grises y formato PDF.  </w:t>
      </w:r>
    </w:p>
    <w:p w:rsidR="001E689A" w:rsidRPr="008561BE" w:rsidRDefault="00C83C0B">
      <w:pPr>
        <w:spacing w:before="240" w:after="240" w:line="360" w:lineRule="auto"/>
        <w:ind w:right="49"/>
        <w:jc w:val="both"/>
        <w:rPr>
          <w:rFonts w:ascii="Palatino Linotype" w:eastAsia="Palatino Linotype" w:hAnsi="Palatino Linotype" w:cs="Palatino Linotype"/>
          <w:color w:val="000000"/>
        </w:rPr>
      </w:pPr>
      <w:r w:rsidRPr="008561BE">
        <w:rPr>
          <w:rFonts w:ascii="Palatino Linotype" w:eastAsia="Palatino Linotype" w:hAnsi="Palatino Linotype" w:cs="Palatino Linotype"/>
          <w:color w:val="000000"/>
        </w:rPr>
        <w:t xml:space="preserve">Dicho lo anterior, este Organismo Garante precisa que el </w:t>
      </w:r>
      <w:r w:rsidRPr="008561BE">
        <w:rPr>
          <w:rFonts w:ascii="Palatino Linotype" w:eastAsia="Palatino Linotype" w:hAnsi="Palatino Linotype" w:cs="Palatino Linotype"/>
          <w:b/>
          <w:color w:val="000000"/>
        </w:rPr>
        <w:t>Sujeto Obligado</w:t>
      </w:r>
      <w:r w:rsidRPr="008561BE">
        <w:rPr>
          <w:rFonts w:ascii="Palatino Linotype" w:eastAsia="Palatino Linotype" w:hAnsi="Palatino Linotype" w:cs="Palatino Linotype"/>
          <w:color w:val="000000"/>
        </w:rPr>
        <w:t xml:space="preserve"> no justificó que la información requerida sobrepasaba las capacidades técnicas del Sistema de Acceso a la Información Mexiquense y no realizó el procedimiento de registro de incidencias correspondiente, por lo que, no se actualiza el supuesto que indique que se exceden las capacidades técnicas. </w:t>
      </w:r>
    </w:p>
    <w:p w:rsidR="001E689A" w:rsidRPr="008561BE" w:rsidRDefault="00C83C0B">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8561BE">
        <w:rPr>
          <w:rFonts w:ascii="Palatino Linotype" w:eastAsia="Palatino Linotype" w:hAnsi="Palatino Linotype" w:cs="Palatino Linotype"/>
          <w:color w:val="000000"/>
        </w:rPr>
        <w:t>Expuesto lo anterior, se procede al análisis de la naturaleza de la información solicitada:</w:t>
      </w:r>
    </w:p>
    <w:p w:rsidR="001E689A" w:rsidRPr="008561BE" w:rsidRDefault="001E689A">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1E689A" w:rsidRPr="008561BE" w:rsidRDefault="00C83C0B">
      <w:pPr>
        <w:spacing w:line="360" w:lineRule="auto"/>
        <w:jc w:val="both"/>
        <w:rPr>
          <w:rFonts w:ascii="Palatino Linotype" w:eastAsia="Palatino Linotype" w:hAnsi="Palatino Linotype" w:cs="Palatino Linotype"/>
          <w:b/>
        </w:rPr>
      </w:pPr>
      <w:r w:rsidRPr="008561BE">
        <w:rPr>
          <w:rFonts w:ascii="Palatino Linotype" w:eastAsia="Palatino Linotype" w:hAnsi="Palatino Linotype" w:cs="Palatino Linotype"/>
          <w:b/>
        </w:rPr>
        <w:t>a) Nombres de servidores públicos</w:t>
      </w:r>
    </w:p>
    <w:p w:rsidR="001E689A" w:rsidRPr="008561BE" w:rsidRDefault="001E689A">
      <w:pPr>
        <w:spacing w:line="360" w:lineRule="auto"/>
        <w:jc w:val="both"/>
        <w:rPr>
          <w:rFonts w:ascii="Palatino Linotype" w:eastAsia="Palatino Linotype" w:hAnsi="Palatino Linotype" w:cs="Palatino Linotype"/>
          <w:b/>
        </w:rPr>
      </w:pPr>
    </w:p>
    <w:p w:rsidR="001E689A" w:rsidRPr="008561BE" w:rsidRDefault="00C83C0B">
      <w:pPr>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Por cuanto hace al nombre de servidores públicos, debe señalarse que si bien es cierto, el nombre es uno de los atributos de la personalidad y la manifestación principal del derecho subjetivo a la identidad, en virtud de que hace a una persona física identificada e identificable, por lo que al individualizar a los sujetos y se forma con el sustantivo propio, el primer apellido del padre y el primer apellido de la madre, en el orden que de común acuerdo determinen, es que se concluye que en </w:t>
      </w:r>
      <w:r w:rsidRPr="008561BE">
        <w:rPr>
          <w:rFonts w:ascii="Palatino Linotype" w:eastAsia="Palatino Linotype" w:hAnsi="Palatino Linotype" w:cs="Palatino Linotype"/>
        </w:rPr>
        <w:lastRenderedPageBreak/>
        <w:t>efecto, el nombre identifica y hace identificables a las personas, por lo que además constituye un dato personal, susceptible de clasificación, sin embargo, si se trata de servidores públicos, dichos datos son de naturaleza pública, de conformidad con el artículo 70, fracción VII de la Ley General de Transparencia y Acceso a la Información Pública del Estado de México, y 92, fracción VII, de la Ley de Transparencia y Acceso a la Información Pública del Estado de México y Municipios.</w:t>
      </w:r>
    </w:p>
    <w:p w:rsidR="001E689A" w:rsidRPr="008561BE" w:rsidRDefault="001E689A">
      <w:pPr>
        <w:spacing w:line="360" w:lineRule="auto"/>
        <w:jc w:val="both"/>
        <w:rPr>
          <w:rFonts w:ascii="Palatino Linotype" w:eastAsia="Palatino Linotype" w:hAnsi="Palatino Linotype" w:cs="Palatino Linotype"/>
        </w:rPr>
      </w:pP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rsidR="001E689A" w:rsidRPr="008561BE" w:rsidRDefault="00C83C0B">
      <w:pPr>
        <w:spacing w:line="276"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 xml:space="preserve">El directorio deberá incluir, al menos el </w:t>
      </w:r>
      <w:r w:rsidRPr="008561BE">
        <w:rPr>
          <w:rFonts w:ascii="Palatino Linotype" w:eastAsia="Palatino Linotype" w:hAnsi="Palatino Linotype" w:cs="Palatino Linotype"/>
          <w:b/>
          <w:i/>
          <w:sz w:val="22"/>
          <w:szCs w:val="22"/>
          <w:u w:val="single"/>
        </w:rPr>
        <w:t>nombre</w:t>
      </w:r>
      <w:r w:rsidRPr="008561BE">
        <w:rPr>
          <w:rFonts w:ascii="Palatino Linotype" w:eastAsia="Palatino Linotype" w:hAnsi="Palatino Linotype" w:cs="Palatino Linotype"/>
          <w:b/>
          <w:i/>
          <w:sz w:val="22"/>
          <w:szCs w:val="22"/>
        </w:rPr>
        <w:t>, cargo o nombramiento oficial asignado, nivel del puesto en la estructura orgánica</w:t>
      </w:r>
      <w:r w:rsidRPr="008561BE">
        <w:rPr>
          <w:rFonts w:ascii="Palatino Linotype" w:eastAsia="Palatino Linotype" w:hAnsi="Palatino Linotype" w:cs="Palatino Linotype"/>
          <w:i/>
          <w:sz w:val="22"/>
          <w:szCs w:val="22"/>
        </w:rPr>
        <w:t>, fecha de alta en el cargo, número telefónico, domicilio para recibir correspondencia y dirección de correo electrónico oficiales, datos que deberán señalarse de forma independiente por dependencia y entidad pública de cada sujeto obligado…” (Énfasis añadido)</w:t>
      </w:r>
    </w:p>
    <w:p w:rsidR="001E689A" w:rsidRPr="008561BE" w:rsidRDefault="001E689A">
      <w:pPr>
        <w:spacing w:line="276" w:lineRule="auto"/>
        <w:ind w:left="567" w:right="900"/>
        <w:jc w:val="both"/>
        <w:rPr>
          <w:rFonts w:ascii="Palatino Linotype" w:eastAsia="Palatino Linotype" w:hAnsi="Palatino Linotype" w:cs="Palatino Linotype"/>
          <w:sz w:val="22"/>
          <w:szCs w:val="22"/>
        </w:rPr>
      </w:pPr>
    </w:p>
    <w:p w:rsidR="001E689A" w:rsidRPr="008561BE" w:rsidRDefault="00C83C0B">
      <w:pPr>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Lo que se robustece, con lo señalado por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w:t>
      </w:r>
      <w:r w:rsidRPr="008561BE">
        <w:rPr>
          <w:rFonts w:ascii="Palatino Linotype" w:eastAsia="Palatino Linotype" w:hAnsi="Palatino Linotype" w:cs="Palatino Linotype"/>
        </w:rPr>
        <w:lastRenderedPageBreak/>
        <w:t>difundir los sujetos obligados en los portales de Internet y en la Plataforma Nacional de Transparencia, que señala para su fracción VII, lo siguiente:</w:t>
      </w:r>
    </w:p>
    <w:p w:rsidR="001E689A" w:rsidRPr="008561BE" w:rsidRDefault="001E689A">
      <w:pPr>
        <w:spacing w:line="276" w:lineRule="auto"/>
        <w:ind w:left="567" w:right="900"/>
        <w:jc w:val="both"/>
        <w:rPr>
          <w:rFonts w:ascii="Palatino Linotype" w:eastAsia="Palatino Linotype" w:hAnsi="Palatino Linotype" w:cs="Palatino Linotype"/>
          <w:i/>
          <w:sz w:val="22"/>
          <w:szCs w:val="22"/>
        </w:rPr>
      </w:pP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El directorio deberá incluir al menos el nombre, cargo o nombramiento asignado, nivel del puesto en la estructura orgánica, fecha de alta en el cargo, número telefónico, domicilio para recibir correspondencia y dirección de correo electrónico oficiales Para el cumplimiento de la presente fracción los sujetos obligados deberán integrar el directorio con los datos básicos para establecer contacto con sus servidores(as) públicos(as), integrantes y/o miembros, así como toda persona que desempeñe un empleo, cargo o comisión y/o ejerza actos de autoridad en los mismos.</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 Se publicará la información correspondiente desde el nivel de jefe de departamento o equivalente, hasta el titular del sujeto obligado; y de menor nivel en caso de que brinden atención al público, manejen o apliquen recursos públicos, realicen actos de autoridad o presten servicios profesionales bajo el régimen de honorarios, confianza y personal de base10. Respecto de los prestadores de servicios profesionales reportados se incluirá una nota que especifique que éstos no forman parte de la estructura orgánica del sujeto obligado toda vez que fungen como apoyo para el desarrollo de las actividades de los puestos que sí conforman la estructura. </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Periodo de actualización: trimestral En su caso, 15 días hábiles después de alguna modificación </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Conservar en sitio de Internet: información vigente </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Aplica a: todos los sujetos obligados </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Criterios sustantivos de contenido </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Criterio 1 Ejercicio </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Criterio 2 Periodo que se informa (fecha de inicio y fecha de término con el formato día/mes/año) </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Criterio 3 Clave o nivel del puesto (de acuerdo con el catálogo que regule la actividad del sujeto obligado) </w:t>
      </w:r>
    </w:p>
    <w:p w:rsidR="001E689A" w:rsidRPr="008561BE" w:rsidRDefault="00C83C0B">
      <w:pPr>
        <w:spacing w:line="276" w:lineRule="auto"/>
        <w:ind w:left="567" w:right="900"/>
        <w:jc w:val="both"/>
        <w:rPr>
          <w:rFonts w:ascii="Palatino Linotype" w:eastAsia="Palatino Linotype" w:hAnsi="Palatino Linotype" w:cs="Palatino Linotype"/>
          <w:b/>
          <w:sz w:val="22"/>
          <w:szCs w:val="22"/>
        </w:rPr>
      </w:pPr>
      <w:r w:rsidRPr="008561BE">
        <w:rPr>
          <w:rFonts w:ascii="Palatino Linotype" w:eastAsia="Palatino Linotype" w:hAnsi="Palatino Linotype" w:cs="Palatino Linotype"/>
          <w:b/>
          <w:i/>
          <w:sz w:val="22"/>
          <w:szCs w:val="22"/>
        </w:rPr>
        <w:lastRenderedPageBreak/>
        <w:t>Criterio 4 Denominación del cargo (de conformidad con nombramiento otorgado) </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b/>
          <w:i/>
          <w:sz w:val="22"/>
          <w:szCs w:val="22"/>
        </w:rPr>
        <w:t>Criterio 5 Nombre del servidor(a) público(a</w:t>
      </w:r>
      <w:proofErr w:type="gramStart"/>
      <w:r w:rsidRPr="008561BE">
        <w:rPr>
          <w:rFonts w:ascii="Palatino Linotype" w:eastAsia="Palatino Linotype" w:hAnsi="Palatino Linotype" w:cs="Palatino Linotype"/>
          <w:b/>
          <w:i/>
          <w:sz w:val="22"/>
          <w:szCs w:val="22"/>
        </w:rPr>
        <w:t>)(</w:t>
      </w:r>
      <w:proofErr w:type="gramEnd"/>
      <w:r w:rsidRPr="008561BE">
        <w:rPr>
          <w:rFonts w:ascii="Palatino Linotype" w:eastAsia="Palatino Linotype" w:hAnsi="Palatino Linotype" w:cs="Palatino Linotype"/>
          <w:b/>
          <w:i/>
          <w:sz w:val="22"/>
          <w:szCs w:val="22"/>
        </w:rPr>
        <w:t>nombre[s], primer apellido, segundo apellido), integrante y/o miembro del sujeto obligado, y/o persona que desempeñe un empleo, cargo o comisión y/o ejerza actos de autoridad</w:t>
      </w:r>
      <w:r w:rsidRPr="008561BE">
        <w:rPr>
          <w:rFonts w:ascii="Palatino Linotype" w:eastAsia="Palatino Linotype" w:hAnsi="Palatino Linotype" w:cs="Palatino Linotype"/>
          <w:i/>
          <w:sz w:val="22"/>
          <w:szCs w:val="22"/>
        </w:rPr>
        <w:t>. En su caso, incluir una nota que especifique el motivo por el cual no existe servidor(a) público(a) ocupando el cargo, por ejemplo: Vacante </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Criterio 6 Área de adscripción (de acuerdo con el catálogo que, en su caso, regule la actividad del sujeto obligado) </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Criterio 7 Fecha de alta en el cargo con el formato día/mes/año </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roofErr w:type="gramStart"/>
      <w:r w:rsidRPr="008561BE">
        <w:rPr>
          <w:rFonts w:ascii="Palatino Linotype" w:eastAsia="Palatino Linotype" w:hAnsi="Palatino Linotype" w:cs="Palatino Linotype"/>
          <w:i/>
          <w:sz w:val="22"/>
          <w:szCs w:val="22"/>
        </w:rPr>
        <w:t>)12</w:t>
      </w:r>
      <w:proofErr w:type="gramEnd"/>
      <w:r w:rsidRPr="008561BE">
        <w:rPr>
          <w:rFonts w:ascii="Palatino Linotype" w:eastAsia="Palatino Linotype" w:hAnsi="Palatino Linotype" w:cs="Palatino Linotype"/>
          <w:i/>
          <w:sz w:val="22"/>
          <w:szCs w:val="22"/>
        </w:rPr>
        <w:t> </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Criterio 9 Número(s) de teléfono(s) oficial(es) y extensión (es) </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Criterio 10 Correo electrónico oficial, en su caso</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Criterio 11 Periodo de actualización de la información: trimestral. En su caso, 15 días hábiles después de alguna modificación </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Criterio 12 La información publicada deberá estar actualizada al periodo que corresponde de acuerdo con la Tabla de actualización y conservación de la información </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Criterio 13 Conservar en el sitio de Internet y a través de la Plataforma Nacional la Información de acuerdo con la Tabla de actualización y conservación de la información Criterios adjetivos de confiabilidad </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Criterio 14 Área(s) responsable(s</w:t>
      </w:r>
      <w:proofErr w:type="gramStart"/>
      <w:r w:rsidRPr="008561BE">
        <w:rPr>
          <w:rFonts w:ascii="Palatino Linotype" w:eastAsia="Palatino Linotype" w:hAnsi="Palatino Linotype" w:cs="Palatino Linotype"/>
          <w:i/>
          <w:sz w:val="22"/>
          <w:szCs w:val="22"/>
        </w:rPr>
        <w:t>)que</w:t>
      </w:r>
      <w:proofErr w:type="gramEnd"/>
      <w:r w:rsidRPr="008561BE">
        <w:rPr>
          <w:rFonts w:ascii="Palatino Linotype" w:eastAsia="Palatino Linotype" w:hAnsi="Palatino Linotype" w:cs="Palatino Linotype"/>
          <w:i/>
          <w:sz w:val="22"/>
          <w:szCs w:val="22"/>
        </w:rPr>
        <w:t xml:space="preserve"> genera(n), posee(n), publica(n) y actualiza(n) la información </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Criterio 15 Fecha de actualización de la información publicada con el formato día/mes/año </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Criterio 16 Fecha de validación de la información publicada con el formato día/mes/año </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lastRenderedPageBreak/>
        <w:t>Criterio 17 Nota. Este criterio se cumple en caso de que sea necesario que el sujeto obligado incluya alguna aclaración relativa a la información publicada y/o explicación por la falta de información Criterios adjetivos de formato </w:t>
      </w:r>
    </w:p>
    <w:p w:rsidR="001E689A" w:rsidRPr="008561BE" w:rsidRDefault="00C83C0B">
      <w:pPr>
        <w:spacing w:line="276" w:lineRule="auto"/>
        <w:ind w:left="567" w:right="900"/>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i/>
          <w:sz w:val="22"/>
          <w:szCs w:val="22"/>
        </w:rPr>
        <w:t>Criterio 18 La información publicada se organiza mediante el formato 7, en el que se incluyen todos los campos especificados en los criterios sustantivos de contenido Criterio 19 El soporte de la información permite su reutilización…” (Énfasis añadido)</w:t>
      </w:r>
    </w:p>
    <w:p w:rsidR="001E689A" w:rsidRPr="008561BE" w:rsidRDefault="001E689A">
      <w:pPr>
        <w:spacing w:line="276" w:lineRule="auto"/>
        <w:ind w:right="900"/>
        <w:jc w:val="both"/>
        <w:rPr>
          <w:rFonts w:ascii="Palatino Linotype" w:eastAsia="Palatino Linotype" w:hAnsi="Palatino Linotype" w:cs="Palatino Linotype"/>
          <w:sz w:val="22"/>
          <w:szCs w:val="22"/>
        </w:rPr>
      </w:pPr>
    </w:p>
    <w:p w:rsidR="001E689A" w:rsidRPr="008561BE" w:rsidRDefault="00C83C0B">
      <w:pPr>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De ahí que se estime procedente que el pronunciamiento del</w:t>
      </w:r>
      <w:r w:rsidRPr="008561BE">
        <w:rPr>
          <w:rFonts w:ascii="Palatino Linotype" w:eastAsia="Palatino Linotype" w:hAnsi="Palatino Linotype" w:cs="Palatino Linotype"/>
          <w:b/>
        </w:rPr>
        <w:t xml:space="preserve"> Sujeto Obligado </w:t>
      </w:r>
      <w:r w:rsidRPr="008561BE">
        <w:rPr>
          <w:rFonts w:ascii="Palatino Linotype" w:eastAsia="Palatino Linotype" w:hAnsi="Palatino Linotype" w:cs="Palatino Linotype"/>
        </w:rPr>
        <w:t>no sea válido y resulte pertinente ordenar la entrega del documento donde consten los nombres de los servidores públicos adscritos a la Dirección General, Unidad de Apoyo Administrativo y Dirección Jurídica Financiera y de Igualdad de Género, en funciones al catorce de marzo de dos mil veintitrés.</w:t>
      </w:r>
    </w:p>
    <w:p w:rsidR="001E689A" w:rsidRPr="008561BE" w:rsidRDefault="001E689A">
      <w:pPr>
        <w:spacing w:line="360" w:lineRule="auto"/>
        <w:jc w:val="both"/>
        <w:rPr>
          <w:rFonts w:ascii="Palatino Linotype" w:eastAsia="Palatino Linotype" w:hAnsi="Palatino Linotype" w:cs="Palatino Linotype"/>
        </w:rPr>
      </w:pPr>
    </w:p>
    <w:p w:rsidR="001E689A" w:rsidRPr="008561BE" w:rsidRDefault="00C83C0B">
      <w:pPr>
        <w:spacing w:line="360" w:lineRule="auto"/>
        <w:jc w:val="both"/>
        <w:rPr>
          <w:rFonts w:ascii="Palatino Linotype" w:eastAsia="Palatino Linotype" w:hAnsi="Palatino Linotype" w:cs="Palatino Linotype"/>
          <w:b/>
        </w:rPr>
      </w:pPr>
      <w:r w:rsidRPr="008561BE">
        <w:rPr>
          <w:rFonts w:ascii="Palatino Linotype" w:eastAsia="Palatino Linotype" w:hAnsi="Palatino Linotype" w:cs="Palatino Linotype"/>
          <w:b/>
        </w:rPr>
        <w:t>b) Recibos de nómina</w:t>
      </w:r>
    </w:p>
    <w:p w:rsidR="001E689A" w:rsidRPr="008561BE" w:rsidRDefault="001E689A">
      <w:pPr>
        <w:spacing w:line="360" w:lineRule="auto"/>
        <w:jc w:val="both"/>
        <w:rPr>
          <w:rFonts w:ascii="Palatino Linotype" w:eastAsia="Palatino Linotype" w:hAnsi="Palatino Linotype" w:cs="Palatino Linotype"/>
          <w:b/>
        </w:rPr>
      </w:pPr>
    </w:p>
    <w:p w:rsidR="001E689A" w:rsidRPr="008561BE" w:rsidRDefault="00C83C0B">
      <w:pPr>
        <w:spacing w:line="360" w:lineRule="auto"/>
        <w:jc w:val="both"/>
        <w:rPr>
          <w:rFonts w:ascii="Palatino Linotype" w:eastAsia="Palatino Linotype" w:hAnsi="Palatino Linotype" w:cs="Palatino Linotype"/>
          <w:i/>
        </w:rPr>
      </w:pPr>
      <w:r w:rsidRPr="008561BE">
        <w:rPr>
          <w:rFonts w:ascii="Palatino Linotype" w:eastAsia="Palatino Linotype" w:hAnsi="Palatino Linotype" w:cs="Palatino Linotype"/>
        </w:rPr>
        <w:t>En lo tocante a este punto, conviene precisar que si bien el término “</w:t>
      </w:r>
      <w:r w:rsidRPr="008561BE">
        <w:rPr>
          <w:rFonts w:ascii="Palatino Linotype" w:eastAsia="Palatino Linotype" w:hAnsi="Palatino Linotype" w:cs="Palatino Linotype"/>
          <w:i/>
        </w:rPr>
        <w:t xml:space="preserve">nómina” </w:t>
      </w:r>
      <w:r w:rsidRPr="008561BE">
        <w:rPr>
          <w:rFonts w:ascii="Palatino Linotype" w:eastAsia="Palatino Linotype" w:hAnsi="Palatino Linotype" w:cs="Palatino Linotype"/>
        </w:rPr>
        <w:t xml:space="preserve">no está definido en nuestra legislación, también lo es que el “Glosario de Términos para el Proceso de Planeación, Programación, </w:t>
      </w:r>
      <w:proofErr w:type="spellStart"/>
      <w:r w:rsidRPr="008561BE">
        <w:rPr>
          <w:rFonts w:ascii="Palatino Linotype" w:eastAsia="Palatino Linotype" w:hAnsi="Palatino Linotype" w:cs="Palatino Linotype"/>
        </w:rPr>
        <w:t>Presupuestación</w:t>
      </w:r>
      <w:proofErr w:type="spellEnd"/>
      <w:r w:rsidRPr="008561BE">
        <w:rPr>
          <w:rFonts w:ascii="Palatino Linotype" w:eastAsia="Palatino Linotype" w:hAnsi="Palatino Linotype" w:cs="Palatino Linotype"/>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8561BE">
        <w:rPr>
          <w:rFonts w:ascii="Palatino Linotype" w:eastAsia="Palatino Linotype" w:hAnsi="Palatino Linotype" w:cs="Palatino Linotype"/>
          <w:i/>
        </w:rPr>
        <w:t>listado general de los trabajadores de una institución, en</w:t>
      </w:r>
      <w:r w:rsidRPr="008561BE">
        <w:rPr>
          <w:rFonts w:ascii="Palatino Linotype" w:eastAsia="Palatino Linotype" w:hAnsi="Palatino Linotype" w:cs="Palatino Linotype"/>
          <w:b/>
          <w:i/>
        </w:rPr>
        <w:t xml:space="preserve"> </w:t>
      </w:r>
      <w:r w:rsidRPr="008561BE">
        <w:rPr>
          <w:rFonts w:ascii="Palatino Linotype" w:eastAsia="Palatino Linotype" w:hAnsi="Palatino Linotype" w:cs="Palatino Linotype"/>
          <w:i/>
        </w:rPr>
        <w:t xml:space="preserve">el cual se </w:t>
      </w:r>
      <w:r w:rsidRPr="008561BE">
        <w:rPr>
          <w:rFonts w:ascii="Palatino Linotype" w:eastAsia="Palatino Linotype" w:hAnsi="Palatino Linotype" w:cs="Palatino Linotype"/>
          <w:b/>
          <w:i/>
        </w:rPr>
        <w:t xml:space="preserve">asientan las </w:t>
      </w:r>
      <w:r w:rsidRPr="008561BE">
        <w:rPr>
          <w:rFonts w:ascii="Palatino Linotype" w:eastAsia="Palatino Linotype" w:hAnsi="Palatino Linotype" w:cs="Palatino Linotype"/>
          <w:b/>
          <w:i/>
          <w:u w:val="single"/>
        </w:rPr>
        <w:t>percepciones brutas, deducciones y alcance neto de las mismas</w:t>
      </w:r>
      <w:r w:rsidRPr="008561BE">
        <w:rPr>
          <w:rFonts w:ascii="Palatino Linotype" w:eastAsia="Palatino Linotype" w:hAnsi="Palatino Linotype" w:cs="Palatino Linotype"/>
          <w:i/>
        </w:rPr>
        <w:t>; la nómina es utilizada para</w:t>
      </w:r>
      <w:r w:rsidRPr="008561BE">
        <w:rPr>
          <w:rFonts w:ascii="Palatino Linotype" w:eastAsia="Palatino Linotype" w:hAnsi="Palatino Linotype" w:cs="Palatino Linotype"/>
          <w:b/>
          <w:i/>
        </w:rPr>
        <w:t xml:space="preserve"> efectuar los pagos periódicos</w:t>
      </w:r>
      <w:r w:rsidRPr="008561BE">
        <w:rPr>
          <w:rFonts w:ascii="Palatino Linotype" w:eastAsia="Palatino Linotype" w:hAnsi="Palatino Linotype" w:cs="Palatino Linotype"/>
          <w:i/>
        </w:rPr>
        <w:t xml:space="preserve"> (semanales, quincenales o</w:t>
      </w:r>
      <w:r w:rsidRPr="008561BE">
        <w:rPr>
          <w:rFonts w:ascii="Palatino Linotype" w:eastAsia="Palatino Linotype" w:hAnsi="Palatino Linotype" w:cs="Palatino Linotype"/>
          <w:b/>
          <w:i/>
        </w:rPr>
        <w:t xml:space="preserve"> </w:t>
      </w:r>
      <w:r w:rsidRPr="008561BE">
        <w:rPr>
          <w:rFonts w:ascii="Palatino Linotype" w:eastAsia="Palatino Linotype" w:hAnsi="Palatino Linotype" w:cs="Palatino Linotype"/>
          <w:i/>
        </w:rPr>
        <w:t xml:space="preserve">mensuales) a los trabajadores por concepto de </w:t>
      </w:r>
      <w:r w:rsidRPr="008561BE">
        <w:rPr>
          <w:rFonts w:ascii="Palatino Linotype" w:eastAsia="Palatino Linotype" w:hAnsi="Palatino Linotype" w:cs="Palatino Linotype"/>
          <w:b/>
          <w:i/>
        </w:rPr>
        <w:t>sueldos y salarios</w:t>
      </w:r>
      <w:r w:rsidRPr="008561BE">
        <w:rPr>
          <w:rFonts w:ascii="Palatino Linotype" w:eastAsia="Palatino Linotype" w:hAnsi="Palatino Linotype" w:cs="Palatino Linotype"/>
          <w:i/>
        </w:rPr>
        <w:t>.</w:t>
      </w:r>
    </w:p>
    <w:p w:rsidR="001E689A" w:rsidRPr="008561BE" w:rsidRDefault="00C83C0B">
      <w:pPr>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lastRenderedPageBreak/>
        <w:t xml:space="preserve">Documento o término que ha sido mencionado en diferentes ordenamientos legales, tal es el caso, de la </w:t>
      </w:r>
      <w:r w:rsidRPr="008561BE">
        <w:rPr>
          <w:rFonts w:ascii="Palatino Linotype" w:eastAsia="Palatino Linotype" w:hAnsi="Palatino Linotype" w:cs="Palatino Linotype"/>
          <w:i/>
        </w:rPr>
        <w:t>Ley Federal del Trabajo</w:t>
      </w:r>
      <w:r w:rsidRPr="008561BE">
        <w:rPr>
          <w:rFonts w:ascii="Palatino Linotype" w:eastAsia="Palatino Linotype" w:hAnsi="Palatino Linotype" w:cs="Palatino Linotype"/>
        </w:rPr>
        <w:t xml:space="preserve"> en el artículo 804 fracción II, que además reconoce los recibos de pagos de salarios, por lo que resulta indispensable citar el artículo de referencia.</w:t>
      </w:r>
    </w:p>
    <w:p w:rsidR="001E689A" w:rsidRPr="008561BE" w:rsidRDefault="001E689A">
      <w:pPr>
        <w:spacing w:line="360" w:lineRule="auto"/>
        <w:jc w:val="both"/>
        <w:rPr>
          <w:rFonts w:ascii="Palatino Linotype" w:eastAsia="Palatino Linotype" w:hAnsi="Palatino Linotype" w:cs="Palatino Linotype"/>
          <w:i/>
          <w:sz w:val="22"/>
          <w:szCs w:val="22"/>
        </w:rPr>
      </w:pPr>
    </w:p>
    <w:p w:rsidR="001E689A" w:rsidRPr="008561BE" w:rsidRDefault="00C83C0B">
      <w:pPr>
        <w:pBdr>
          <w:top w:val="nil"/>
          <w:left w:val="nil"/>
          <w:bottom w:val="nil"/>
          <w:right w:val="nil"/>
          <w:between w:val="nil"/>
        </w:pBdr>
        <w:spacing w:after="120" w:line="259" w:lineRule="auto"/>
        <w:ind w:left="851"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“Artículo 804.-</w:t>
      </w:r>
      <w:r w:rsidRPr="008561BE">
        <w:rPr>
          <w:rFonts w:ascii="Palatino Linotype" w:eastAsia="Palatino Linotype" w:hAnsi="Palatino Linotype" w:cs="Palatino Linotype"/>
          <w:i/>
          <w:sz w:val="22"/>
          <w:szCs w:val="22"/>
        </w:rPr>
        <w:t xml:space="preserve"> El patrón tiene obligación de conservar y exhibir en juicio los documentos que a continuación se precisan:</w:t>
      </w:r>
    </w:p>
    <w:p w:rsidR="001E689A" w:rsidRPr="008561BE" w:rsidRDefault="00C83C0B">
      <w:pPr>
        <w:pBdr>
          <w:top w:val="nil"/>
          <w:left w:val="nil"/>
          <w:bottom w:val="nil"/>
          <w:right w:val="nil"/>
          <w:between w:val="nil"/>
        </w:pBdr>
        <w:spacing w:after="120" w:line="259" w:lineRule="auto"/>
        <w:ind w:left="993"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w:t>
      </w:r>
    </w:p>
    <w:p w:rsidR="001E689A" w:rsidRPr="008561BE" w:rsidRDefault="00C83C0B">
      <w:pPr>
        <w:pBdr>
          <w:top w:val="nil"/>
          <w:left w:val="nil"/>
          <w:bottom w:val="nil"/>
          <w:right w:val="nil"/>
          <w:between w:val="nil"/>
        </w:pBdr>
        <w:spacing w:after="120" w:line="259" w:lineRule="auto"/>
        <w:ind w:left="993" w:right="902"/>
        <w:jc w:val="both"/>
        <w:rPr>
          <w:rFonts w:ascii="Palatino Linotype" w:eastAsia="Palatino Linotype" w:hAnsi="Palatino Linotype" w:cs="Palatino Linotype"/>
          <w:b/>
          <w:i/>
          <w:sz w:val="22"/>
          <w:szCs w:val="22"/>
        </w:rPr>
      </w:pPr>
      <w:r w:rsidRPr="008561BE">
        <w:rPr>
          <w:rFonts w:ascii="Palatino Linotype" w:eastAsia="Palatino Linotype" w:hAnsi="Palatino Linotype" w:cs="Palatino Linotype"/>
          <w:b/>
          <w:i/>
          <w:sz w:val="22"/>
          <w:szCs w:val="22"/>
        </w:rPr>
        <w:t>II.</w:t>
      </w:r>
      <w:r w:rsidRPr="008561BE">
        <w:rPr>
          <w:rFonts w:ascii="Palatino Linotype" w:eastAsia="Palatino Linotype" w:hAnsi="Palatino Linotype" w:cs="Palatino Linotype"/>
          <w:i/>
          <w:sz w:val="22"/>
          <w:szCs w:val="22"/>
        </w:rPr>
        <w:t xml:space="preserve"> </w:t>
      </w:r>
      <w:r w:rsidRPr="008561BE">
        <w:rPr>
          <w:rFonts w:ascii="Palatino Linotype" w:eastAsia="Palatino Linotype" w:hAnsi="Palatino Linotype" w:cs="Palatino Linotype"/>
          <w:b/>
          <w:i/>
          <w:sz w:val="22"/>
          <w:szCs w:val="22"/>
        </w:rPr>
        <w:t>Listas de raya o nómina de personal</w:t>
      </w:r>
      <w:r w:rsidRPr="008561BE">
        <w:rPr>
          <w:rFonts w:ascii="Palatino Linotype" w:eastAsia="Palatino Linotype" w:hAnsi="Palatino Linotype" w:cs="Palatino Linotype"/>
          <w:i/>
          <w:sz w:val="22"/>
          <w:szCs w:val="22"/>
        </w:rPr>
        <w:t xml:space="preserve">, cuando se lleven en el centro de trabajo; </w:t>
      </w:r>
      <w:r w:rsidRPr="008561BE">
        <w:rPr>
          <w:rFonts w:ascii="Palatino Linotype" w:eastAsia="Palatino Linotype" w:hAnsi="Palatino Linotype" w:cs="Palatino Linotype"/>
          <w:b/>
          <w:i/>
          <w:sz w:val="22"/>
          <w:szCs w:val="22"/>
        </w:rPr>
        <w:t>o recibos de pagos de salarios;</w:t>
      </w:r>
    </w:p>
    <w:p w:rsidR="001E689A" w:rsidRPr="008561BE" w:rsidRDefault="00C83C0B">
      <w:pPr>
        <w:pBdr>
          <w:top w:val="nil"/>
          <w:left w:val="nil"/>
          <w:bottom w:val="nil"/>
          <w:right w:val="nil"/>
          <w:between w:val="nil"/>
        </w:pBdr>
        <w:spacing w:after="120" w:line="259" w:lineRule="auto"/>
        <w:ind w:left="993"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p>
    <w:p w:rsidR="001E689A" w:rsidRPr="008561BE" w:rsidRDefault="00C83C0B">
      <w:pPr>
        <w:pBdr>
          <w:top w:val="nil"/>
          <w:left w:val="nil"/>
          <w:bottom w:val="nil"/>
          <w:right w:val="nil"/>
          <w:between w:val="nil"/>
        </w:pBdr>
        <w:spacing w:after="120" w:line="259" w:lineRule="auto"/>
        <w:ind w:left="855"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 xml:space="preserve">Los documentos señalados en la fracción I deberán conservarse mientras dure la relación laboral y hasta un año después; los señalados en las fracciones </w:t>
      </w:r>
      <w:r w:rsidRPr="008561BE">
        <w:rPr>
          <w:rFonts w:ascii="Palatino Linotype" w:eastAsia="Palatino Linotype" w:hAnsi="Palatino Linotype" w:cs="Palatino Linotype"/>
          <w:b/>
          <w:i/>
          <w:sz w:val="22"/>
          <w:szCs w:val="22"/>
        </w:rPr>
        <w:t>II</w:t>
      </w:r>
      <w:r w:rsidRPr="008561BE">
        <w:rPr>
          <w:rFonts w:ascii="Palatino Linotype" w:eastAsia="Palatino Linotype" w:hAnsi="Palatino Linotype" w:cs="Palatino Linotype"/>
          <w:i/>
          <w:sz w:val="22"/>
          <w:szCs w:val="22"/>
        </w:rPr>
        <w:t>, III y IV, durante el último año y un año después de que se extinga la relación laboral; y los mencionados en la fracción V, conforme lo señalen las Leyes que los rijan.”</w:t>
      </w:r>
    </w:p>
    <w:p w:rsidR="001E689A" w:rsidRPr="008561BE" w:rsidRDefault="00C83C0B">
      <w:pPr>
        <w:spacing w:before="240" w:after="36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De lo anteriormente citado, se puede llegar a la conclusión de que la nómina, es el documento que contiene el registro de los trabajadores a los cuales se va a remunerar por los </w:t>
      </w:r>
      <w:hyperlink r:id="rId18">
        <w:r w:rsidRPr="008561BE">
          <w:rPr>
            <w:rFonts w:ascii="Palatino Linotype" w:eastAsia="Palatino Linotype" w:hAnsi="Palatino Linotype" w:cs="Palatino Linotype"/>
          </w:rPr>
          <w:t>servicios</w:t>
        </w:r>
      </w:hyperlink>
      <w:r w:rsidRPr="008561BE">
        <w:rPr>
          <w:rFonts w:ascii="Palatino Linotype" w:eastAsia="Palatino Linotype" w:hAnsi="Palatino Linotype" w:cs="Palatino Linotype"/>
        </w:rPr>
        <w:t xml:space="preserve"> que éstos le prestan al patrón, en el cual </w:t>
      </w:r>
      <w:r w:rsidRPr="008561BE">
        <w:rPr>
          <w:rFonts w:ascii="Palatino Linotype" w:eastAsia="Palatino Linotype" w:hAnsi="Palatino Linotype" w:cs="Palatino Linotype"/>
          <w:b/>
        </w:rPr>
        <w:t>se asientan las percepciones brutas, deducciones y el neto</w:t>
      </w:r>
      <w:r w:rsidRPr="008561BE">
        <w:rPr>
          <w:rFonts w:ascii="Palatino Linotype" w:eastAsia="Palatino Linotype" w:hAnsi="Palatino Linotype" w:cs="Palatino Linotype"/>
        </w:rPr>
        <w:t xml:space="preserve"> a recibir de dichos trabajadores.</w:t>
      </w:r>
    </w:p>
    <w:p w:rsidR="001E689A" w:rsidRPr="008561BE" w:rsidRDefault="00C83C0B">
      <w:pPr>
        <w:spacing w:before="240" w:after="36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En tal sentido, es oportuno traer a colación el contenido del artículo 350 del Código Financiero del Estado de México y Municipios, en el que se establece la obligación a cargo de las entidades fiscalizables, -como lo es el Sujeto Obligado-, de comunicar al Órgano Superior de Fiscalización del Estado de México, todo lo relacionado con la información contable, presupuestal y financiera, en los términos siguientes:</w:t>
      </w:r>
    </w:p>
    <w:p w:rsidR="001E689A" w:rsidRPr="008561BE" w:rsidRDefault="00C83C0B">
      <w:pPr>
        <w:spacing w:after="160" w:line="259" w:lineRule="auto"/>
        <w:ind w:left="567" w:right="849"/>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lastRenderedPageBreak/>
        <w:t xml:space="preserve"> “</w:t>
      </w:r>
      <w:r w:rsidRPr="008561BE">
        <w:rPr>
          <w:rFonts w:ascii="Palatino Linotype" w:eastAsia="Palatino Linotype" w:hAnsi="Palatino Linotype" w:cs="Palatino Linotype"/>
          <w:b/>
          <w:i/>
          <w:sz w:val="22"/>
          <w:szCs w:val="22"/>
        </w:rPr>
        <w:t>Artículo 350.-</w:t>
      </w:r>
      <w:r w:rsidRPr="008561BE">
        <w:rPr>
          <w:rFonts w:ascii="Palatino Linotype" w:eastAsia="Palatino Linotype" w:hAnsi="Palatino Linotype" w:cs="Palatino Linotype"/>
          <w:i/>
          <w:sz w:val="22"/>
          <w:szCs w:val="22"/>
        </w:rPr>
        <w:t xml:space="preserve"> La Secretaría y </w:t>
      </w:r>
      <w:r w:rsidRPr="008561BE">
        <w:rPr>
          <w:rFonts w:ascii="Palatino Linotype" w:eastAsia="Palatino Linotype" w:hAnsi="Palatino Linotype" w:cs="Palatino Linotype"/>
          <w:b/>
          <w:i/>
          <w:sz w:val="22"/>
          <w:szCs w:val="22"/>
        </w:rPr>
        <w:t>las tesorerías</w:t>
      </w:r>
      <w:r w:rsidRPr="008561BE">
        <w:rPr>
          <w:rFonts w:ascii="Palatino Linotype" w:eastAsia="Palatino Linotype" w:hAnsi="Palatino Linotype" w:cs="Palatino Linotype"/>
          <w:i/>
          <w:sz w:val="22"/>
          <w:szCs w:val="22"/>
        </w:rPr>
        <w:t xml:space="preserve"> enviarán al Órgano Superior, de manera trimestral, dentro de los primeros veinte días hábiles posteriores al término del trimestre que se informa, para su análisis, la siguiente información:</w:t>
      </w:r>
    </w:p>
    <w:p w:rsidR="001E689A" w:rsidRPr="008561BE" w:rsidRDefault="00C83C0B">
      <w:pPr>
        <w:spacing w:after="160" w:line="259" w:lineRule="auto"/>
        <w:ind w:left="567" w:right="849"/>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I.</w:t>
      </w:r>
      <w:r w:rsidRPr="008561BE">
        <w:rPr>
          <w:rFonts w:ascii="Palatino Linotype" w:eastAsia="Palatino Linotype" w:hAnsi="Palatino Linotype" w:cs="Palatino Linotype"/>
          <w:i/>
          <w:sz w:val="22"/>
          <w:szCs w:val="22"/>
        </w:rPr>
        <w:t xml:space="preserve"> Patrimonial. </w:t>
      </w:r>
    </w:p>
    <w:p w:rsidR="001E689A" w:rsidRPr="008561BE" w:rsidRDefault="00C83C0B">
      <w:pPr>
        <w:spacing w:after="160" w:line="259" w:lineRule="auto"/>
        <w:ind w:left="567" w:right="849"/>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II</w:t>
      </w:r>
      <w:r w:rsidRPr="008561BE">
        <w:rPr>
          <w:rFonts w:ascii="Palatino Linotype" w:eastAsia="Palatino Linotype" w:hAnsi="Palatino Linotype" w:cs="Palatino Linotype"/>
          <w:i/>
          <w:sz w:val="22"/>
          <w:szCs w:val="22"/>
        </w:rPr>
        <w:t xml:space="preserve">. Presupuestal. </w:t>
      </w:r>
    </w:p>
    <w:p w:rsidR="001E689A" w:rsidRPr="008561BE" w:rsidRDefault="00C83C0B">
      <w:pPr>
        <w:spacing w:after="160" w:line="259" w:lineRule="auto"/>
        <w:ind w:left="567" w:right="849"/>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III</w:t>
      </w:r>
      <w:r w:rsidRPr="008561BE">
        <w:rPr>
          <w:rFonts w:ascii="Palatino Linotype" w:eastAsia="Palatino Linotype" w:hAnsi="Palatino Linotype" w:cs="Palatino Linotype"/>
          <w:i/>
          <w:sz w:val="22"/>
          <w:szCs w:val="22"/>
        </w:rPr>
        <w:t>. De la obra pública.</w:t>
      </w:r>
    </w:p>
    <w:p w:rsidR="001E689A" w:rsidRPr="008561BE" w:rsidRDefault="00C83C0B">
      <w:pPr>
        <w:spacing w:after="160" w:line="259" w:lineRule="auto"/>
        <w:ind w:left="567" w:right="849"/>
        <w:jc w:val="both"/>
        <w:rPr>
          <w:rFonts w:ascii="Palatino Linotype" w:eastAsia="Palatino Linotype" w:hAnsi="Palatino Linotype" w:cs="Palatino Linotype"/>
          <w:b/>
          <w:i/>
          <w:sz w:val="22"/>
          <w:szCs w:val="22"/>
        </w:rPr>
      </w:pPr>
      <w:r w:rsidRPr="008561BE">
        <w:rPr>
          <w:rFonts w:ascii="Palatino Linotype" w:eastAsia="Palatino Linotype" w:hAnsi="Palatino Linotype" w:cs="Palatino Linotype"/>
          <w:b/>
          <w:i/>
          <w:sz w:val="22"/>
          <w:szCs w:val="22"/>
        </w:rPr>
        <w:t>IV. De nómina.</w:t>
      </w:r>
    </w:p>
    <w:p w:rsidR="001E689A" w:rsidRPr="008561BE" w:rsidRDefault="00C83C0B">
      <w:pPr>
        <w:spacing w:after="160" w:line="259" w:lineRule="auto"/>
        <w:ind w:left="567" w:right="849"/>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V</w:t>
      </w:r>
      <w:r w:rsidRPr="008561BE">
        <w:rPr>
          <w:rFonts w:ascii="Palatino Linotype" w:eastAsia="Palatino Linotype" w:hAnsi="Palatino Linotype" w:cs="Palatino Linotype"/>
          <w:i/>
          <w:sz w:val="22"/>
          <w:szCs w:val="22"/>
        </w:rPr>
        <w:t xml:space="preserve">. Avance del cumplimiento del Plan de Desarrollo del Estado de México. </w:t>
      </w:r>
    </w:p>
    <w:p w:rsidR="001E689A" w:rsidRPr="008561BE" w:rsidRDefault="00C83C0B">
      <w:pPr>
        <w:spacing w:after="160" w:line="259" w:lineRule="auto"/>
        <w:ind w:left="851" w:right="849"/>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Los informes trimestrales deberán contener la evolución de las finanzas públicas integradas con los comentarios correspondientes y los estados financieros consolidados, así como un reporte de los ingresos y egresos de los organismos auxiliares.</w:t>
      </w:r>
    </w:p>
    <w:p w:rsidR="001E689A" w:rsidRPr="008561BE" w:rsidRDefault="00C83C0B">
      <w:pPr>
        <w:spacing w:after="160" w:line="259" w:lineRule="auto"/>
        <w:ind w:left="851" w:right="849"/>
        <w:jc w:val="both"/>
        <w:rPr>
          <w:rFonts w:ascii="Palatino Linotype" w:eastAsia="Palatino Linotype" w:hAnsi="Palatino Linotype" w:cs="Palatino Linotype"/>
          <w:b/>
          <w:i/>
          <w:sz w:val="22"/>
          <w:szCs w:val="22"/>
        </w:rPr>
      </w:pPr>
      <w:r w:rsidRPr="008561BE">
        <w:rPr>
          <w:rFonts w:ascii="Palatino Linotype" w:eastAsia="Palatino Linotype" w:hAnsi="Palatino Linotype" w:cs="Palatino Linotype"/>
          <w:i/>
          <w:sz w:val="22"/>
          <w:szCs w:val="22"/>
        </w:rPr>
        <w:t>El informe trimestral correspondiente al cuarto trimestre se entregará junto con las Cuentas Públicas del ejercicio fiscal de que se trate</w:t>
      </w:r>
      <w:r w:rsidRPr="008561BE">
        <w:rPr>
          <w:rFonts w:ascii="Palatino Linotype" w:eastAsia="Palatino Linotype" w:hAnsi="Palatino Linotype" w:cs="Palatino Linotype"/>
          <w:b/>
          <w:i/>
          <w:sz w:val="22"/>
          <w:szCs w:val="22"/>
        </w:rPr>
        <w:t>.”</w:t>
      </w:r>
    </w:p>
    <w:p w:rsidR="001E689A" w:rsidRPr="008561BE" w:rsidRDefault="00C83C0B">
      <w:pPr>
        <w:spacing w:before="240" w:after="36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Por su parte la Ley del Trabajo de los Servidores Públicos del Estado y Municipios, en su artículo 220-K fracciones II y IV y último párrafo, establecen lo siguiente:</w:t>
      </w:r>
    </w:p>
    <w:p w:rsidR="001E689A" w:rsidRPr="008561BE" w:rsidRDefault="00C83C0B">
      <w:pPr>
        <w:tabs>
          <w:tab w:val="left" w:pos="9072"/>
        </w:tabs>
        <w:spacing w:after="16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“ARTÍCULO 220 K.-</w:t>
      </w:r>
      <w:r w:rsidRPr="008561BE">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rsidR="001E689A" w:rsidRPr="008561BE" w:rsidRDefault="00C83C0B">
      <w:pPr>
        <w:tabs>
          <w:tab w:val="left" w:pos="9072"/>
        </w:tabs>
        <w:spacing w:after="16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p>
    <w:p w:rsidR="001E689A" w:rsidRPr="008561BE" w:rsidRDefault="00C83C0B">
      <w:pPr>
        <w:tabs>
          <w:tab w:val="left" w:pos="9072"/>
        </w:tabs>
        <w:spacing w:after="16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 xml:space="preserve">II. </w:t>
      </w:r>
      <w:r w:rsidRPr="008561BE">
        <w:rPr>
          <w:rFonts w:ascii="Palatino Linotype" w:eastAsia="Palatino Linotype" w:hAnsi="Palatino Linotype" w:cs="Palatino Linotype"/>
          <w:b/>
          <w:i/>
          <w:sz w:val="22"/>
          <w:szCs w:val="22"/>
        </w:rPr>
        <w:t>Recibos de pagos de salarios</w:t>
      </w:r>
      <w:r w:rsidRPr="008561BE">
        <w:rPr>
          <w:rFonts w:ascii="Palatino Linotype" w:eastAsia="Palatino Linotype" w:hAnsi="Palatino Linotype" w:cs="Palatino Linotype"/>
          <w:i/>
          <w:sz w:val="22"/>
          <w:szCs w:val="22"/>
        </w:rPr>
        <w:t xml:space="preserve"> o las constancias documentales del pago de salario cuando sea por depósito o mediante información electrónica;</w:t>
      </w:r>
    </w:p>
    <w:p w:rsidR="001E689A" w:rsidRPr="008561BE" w:rsidRDefault="00C83C0B">
      <w:pPr>
        <w:tabs>
          <w:tab w:val="left" w:pos="9072"/>
        </w:tabs>
        <w:spacing w:after="16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p>
    <w:p w:rsidR="001E689A" w:rsidRPr="008561BE" w:rsidRDefault="001E689A">
      <w:pPr>
        <w:tabs>
          <w:tab w:val="left" w:pos="9072"/>
        </w:tabs>
        <w:spacing w:after="160" w:line="259" w:lineRule="auto"/>
        <w:ind w:left="567" w:right="902"/>
        <w:jc w:val="both"/>
        <w:rPr>
          <w:rFonts w:ascii="Palatino Linotype" w:eastAsia="Palatino Linotype" w:hAnsi="Palatino Linotype" w:cs="Palatino Linotype"/>
          <w:i/>
          <w:sz w:val="22"/>
          <w:szCs w:val="22"/>
        </w:rPr>
      </w:pPr>
    </w:p>
    <w:p w:rsidR="001E689A" w:rsidRPr="008561BE" w:rsidRDefault="00C83C0B">
      <w:pPr>
        <w:tabs>
          <w:tab w:val="left" w:pos="9072"/>
        </w:tabs>
        <w:spacing w:after="16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IV. Recibos o las constancias de depósito o del medio de información magnética o electrónica que sean utilizadas para el pago de salarios, prima vacacional, aguinaldo y demás prestaciones establecidas en la presente ley; y…</w:t>
      </w:r>
    </w:p>
    <w:p w:rsidR="001E689A" w:rsidRPr="008561BE" w:rsidRDefault="00C83C0B">
      <w:pPr>
        <w:tabs>
          <w:tab w:val="left" w:pos="9072"/>
        </w:tabs>
        <w:spacing w:after="16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lastRenderedPageBreak/>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1E689A" w:rsidRPr="008561BE" w:rsidRDefault="00C83C0B">
      <w:pPr>
        <w:tabs>
          <w:tab w:val="left" w:pos="9072"/>
        </w:tabs>
        <w:spacing w:after="16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1E689A" w:rsidRPr="008561BE" w:rsidRDefault="00C83C0B">
      <w:pPr>
        <w:tabs>
          <w:tab w:val="left" w:pos="9072"/>
        </w:tabs>
        <w:spacing w:after="16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w:t>
      </w:r>
    </w:p>
    <w:p w:rsidR="001E689A" w:rsidRPr="008561BE" w:rsidRDefault="001E689A">
      <w:pPr>
        <w:spacing w:before="120" w:line="360" w:lineRule="auto"/>
        <w:jc w:val="both"/>
        <w:rPr>
          <w:rFonts w:ascii="Palatino Linotype" w:eastAsia="Palatino Linotype" w:hAnsi="Palatino Linotype" w:cs="Palatino Linotype"/>
        </w:rPr>
      </w:pPr>
    </w:p>
    <w:p w:rsidR="001E689A" w:rsidRPr="008561BE" w:rsidRDefault="00C83C0B">
      <w:pPr>
        <w:spacing w:before="12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Sobre la base del precepto legal citado, se advierte que 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rsidR="001E689A" w:rsidRPr="008561BE" w:rsidRDefault="001E689A">
      <w:pPr>
        <w:spacing w:line="360" w:lineRule="auto"/>
        <w:jc w:val="both"/>
        <w:rPr>
          <w:rFonts w:ascii="Palatino Linotype" w:eastAsia="Palatino Linotype" w:hAnsi="Palatino Linotype" w:cs="Palatino Linotype"/>
        </w:rPr>
      </w:pPr>
    </w:p>
    <w:p w:rsidR="001E689A" w:rsidRPr="008561BE" w:rsidRDefault="00C83C0B">
      <w:pPr>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Por tanto, los </w:t>
      </w:r>
      <w:r w:rsidRPr="008561BE">
        <w:rPr>
          <w:rFonts w:ascii="Palatino Linotype" w:eastAsia="Palatino Linotype" w:hAnsi="Palatino Linotype" w:cs="Palatino Linotype"/>
          <w:i/>
        </w:rPr>
        <w:t xml:space="preserve">recibos de nómina o comprobantes digitales por concepto de nómina </w:t>
      </w:r>
      <w:r w:rsidRPr="008561BE">
        <w:rPr>
          <w:rFonts w:ascii="Palatino Linotype" w:eastAsia="Palatino Linotype" w:hAnsi="Palatino Linotype" w:cs="Palatino Linotype"/>
        </w:rPr>
        <w:t>tienen como objetivo presentar la información del pago de las remuneraciones de cada uno de los servidores públicos de la entidad fiscalizable de que se trate correspondiente a un periodo determinado.</w:t>
      </w:r>
    </w:p>
    <w:p w:rsidR="001E689A" w:rsidRPr="008561BE" w:rsidRDefault="00C83C0B">
      <w:pPr>
        <w:spacing w:before="240" w:after="240" w:line="360" w:lineRule="auto"/>
        <w:ind w:right="-100"/>
        <w:jc w:val="both"/>
        <w:rPr>
          <w:rFonts w:ascii="Palatino Linotype" w:eastAsia="Palatino Linotype" w:hAnsi="Palatino Linotype" w:cs="Palatino Linotype"/>
        </w:rPr>
      </w:pPr>
      <w:r w:rsidRPr="008561BE">
        <w:rPr>
          <w:rFonts w:ascii="Palatino Linotype" w:eastAsia="Palatino Linotype" w:hAnsi="Palatino Linotype" w:cs="Palatino Linotype"/>
        </w:rPr>
        <w:lastRenderedPageBreak/>
        <w:t>En este sentido, es oportuno referir que los comprobantes de percepciones y deducciones de los servidores públicos, son obtenidos por ellos mismos, ingresando a la página del Gobierno del Estado de México denominado Portal de Gestión Interna G2G, mediante una clave personal confidencial que es creada por ellos mismos, tal como se muestra a continuación:</w:t>
      </w:r>
    </w:p>
    <w:p w:rsidR="001E689A" w:rsidRPr="008561BE" w:rsidRDefault="00C83C0B">
      <w:pPr>
        <w:spacing w:before="240" w:after="240" w:line="360" w:lineRule="auto"/>
        <w:ind w:right="-100"/>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 </w:t>
      </w:r>
      <w:r w:rsidRPr="008561BE">
        <w:rPr>
          <w:rFonts w:ascii="Palatino Linotype" w:eastAsia="Palatino Linotype" w:hAnsi="Palatino Linotype" w:cs="Palatino Linotype"/>
          <w:noProof/>
        </w:rPr>
        <w:drawing>
          <wp:inline distT="114300" distB="114300" distL="114300" distR="114300">
            <wp:extent cx="5612130" cy="1765300"/>
            <wp:effectExtent l="0" t="0" r="0" b="0"/>
            <wp:docPr id="10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9"/>
                    <a:srcRect/>
                    <a:stretch>
                      <a:fillRect/>
                    </a:stretch>
                  </pic:blipFill>
                  <pic:spPr>
                    <a:xfrm>
                      <a:off x="0" y="0"/>
                      <a:ext cx="5612130" cy="1765300"/>
                    </a:xfrm>
                    <a:prstGeom prst="rect">
                      <a:avLst/>
                    </a:prstGeom>
                    <a:ln/>
                  </pic:spPr>
                </pic:pic>
              </a:graphicData>
            </a:graphic>
          </wp:inline>
        </w:drawing>
      </w:r>
    </w:p>
    <w:p w:rsidR="001E689A" w:rsidRPr="008561BE" w:rsidRDefault="00C83C0B">
      <w:pPr>
        <w:spacing w:before="240" w:after="240" w:line="360" w:lineRule="auto"/>
        <w:ind w:right="-100"/>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 No obstante lo anterior, es necesario precisar que en el presente caso, se trata de las remuneraciones de los servidores públicos que laboran para una dependencia del Poder Ejecutivo del Estado de México, es decir, que dicha información busca acreditar la manera en que se ejercieron determinados recursos públicos; sobre el tema, según Arizmendi, Guillermo (2016), en la “Ley General de Transparencia y Acceso a la Información Pública Comentada” (p. 240 y 241), los recursos públicos, deber ser administrados con responsabilidad y transparencia.</w:t>
      </w:r>
    </w:p>
    <w:p w:rsidR="001E689A" w:rsidRPr="008561BE" w:rsidRDefault="00C83C0B">
      <w:pPr>
        <w:spacing w:before="240" w:after="240" w:line="360" w:lineRule="auto"/>
        <w:jc w:val="both"/>
        <w:rPr>
          <w:rFonts w:ascii="Palatino Linotype" w:eastAsia="Palatino Linotype" w:hAnsi="Palatino Linotype" w:cs="Palatino Linotype"/>
          <w:b/>
        </w:rPr>
      </w:pPr>
      <w:r w:rsidRPr="008561BE">
        <w:rPr>
          <w:rFonts w:ascii="Palatino Linotype" w:eastAsia="Palatino Linotype" w:hAnsi="Palatino Linotype" w:cs="Palatino Linotype"/>
        </w:rPr>
        <w:t xml:space="preserve"> En ese orden de ideas, según Trujillo, Humberto (2019), en el “Diccionario de Transparencia y Acceso a la Información Pública” (p. 276), </w:t>
      </w:r>
      <w:r w:rsidRPr="008561BE">
        <w:rPr>
          <w:rFonts w:ascii="Palatino Linotype" w:eastAsia="Palatino Linotype" w:hAnsi="Palatino Linotype" w:cs="Palatino Linotype"/>
          <w:b/>
        </w:rPr>
        <w:t xml:space="preserve">los recursos públicos son los ingresos económicos, que obtiene el Estado y que asigna (a partir del presupuesto) al ejercicio de sus actividades, los cuales deben ser asignados de </w:t>
      </w:r>
      <w:r w:rsidRPr="008561BE">
        <w:rPr>
          <w:rFonts w:ascii="Palatino Linotype" w:eastAsia="Palatino Linotype" w:hAnsi="Palatino Linotype" w:cs="Palatino Linotype"/>
          <w:b/>
        </w:rPr>
        <w:lastRenderedPageBreak/>
        <w:t>manera transparente y bajo un sistema de rendición de cuentas, para que las personas puedan monitorear, evaluar y cuestionar su gasto.</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En ese orden de ideas, los artículos 134 de la Constitución Política de los Estados Unidos Mexicanos y el 129 de la Constitución Política del Estado Libre y Soberano de México, establecen que los recursos públicos de que dispongan, entre otros, los Municipios, se administrarán con eficiencia, eficacia, economía, </w:t>
      </w:r>
      <w:r w:rsidRPr="008561BE">
        <w:rPr>
          <w:rFonts w:ascii="Palatino Linotype" w:eastAsia="Palatino Linotype" w:hAnsi="Palatino Linotype" w:cs="Palatino Linotype"/>
          <w:b/>
        </w:rPr>
        <w:t xml:space="preserve">transparencia </w:t>
      </w:r>
      <w:r w:rsidRPr="008561BE">
        <w:rPr>
          <w:rFonts w:ascii="Palatino Linotype" w:eastAsia="Palatino Linotype" w:hAnsi="Palatino Linotype" w:cs="Palatino Linotype"/>
        </w:rPr>
        <w:t>y honradez; sobre lo referido,  la Tesis número 1a.CXLV/2009, Novena Época, publicada en el Semanario Judicial de la Federación, Tomo XXX, de septiembre de dos mil nueve, (p. 2712), establece lo siguiente:</w:t>
      </w:r>
    </w:p>
    <w:p w:rsidR="001E689A" w:rsidRPr="008561BE" w:rsidRDefault="00C83C0B">
      <w:pPr>
        <w:spacing w:line="276" w:lineRule="auto"/>
        <w:ind w:left="560" w:right="56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 xml:space="preserve">“GASTO PÚBLICO. EL ARTÍCULO 134 DE LA CONSTITUCIÓN POLÍTICA DE LOS ESTADOS UNIDOS MEXICANOS ELEVA A RANGO CONSTITUCIONAL LOS PRINCIPIOS DE LEGALIDAD, EFICIENCIA, EFICACIA, ECONOMÍA, TRANSPARENCIA Y HONRADEZ EN ESTA MATERIA. </w:t>
      </w:r>
      <w:r w:rsidRPr="008561BE">
        <w:rPr>
          <w:rFonts w:ascii="Palatino Linotype" w:eastAsia="Palatino Linotype" w:hAnsi="Palatino Linotype" w:cs="Palatino Linotype"/>
          <w:i/>
          <w:sz w:val="22"/>
          <w:szCs w:val="22"/>
        </w:rPr>
        <w:t>Del citado precepto constitucional se advierte que el correcto ejercicio del gasto público se salvaguarda por los siguientes principios: 1. Legalidad, en tanto que debe estar prescrito en el Presupuesto de Egresos o, en su defecto, en una ley expedida por el Congreso de la Unión, lo cual significa la sujeción de las autoridades a un modelo normativo previamente establecido; 2. Honradez, pues implica que no debe llevarse a cabo de manera abusiva, ni para un destino diverso al programado; 3. Eficiencia, en el entendido de que las autoridades deben disponer de los medios que estimen convenientes para que el ejercicio del gasto público logre el fin para el cual se programó y destinó; 4. Eficacia, ya que es indispensable contar con la capacidad suficiente para lograr las metas estimadas; 5. Economía, en el sentido de que el gasto público debe ejercerse recta y prudentemente, lo cual implica que los servidores públicos siempre deben buscar las mejores condiciones de contratación para el Estado, y 6. Transparencia, para permitir hacer del conocimiento público el ejercicio del gasto estatal.”</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 </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lastRenderedPageBreak/>
        <w:t>Como se logra observar, el ejercicio de recursos públicos por parte de los tres niveles de Gobierno, que incluye a los Municipios, debe seguir el Principio de Transparencia, que implica permitir a la ciudadanía conocer en la forma en que se gasta el Estado, los recursos con los que cuenta para el cumplimiento de sus obligaciones y atribuciones.</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Al respecto, según Merino, Mauricio (2019), en el “Diccionario de Transparencia y Acceso a la Información Pública” (p. 276), </w:t>
      </w:r>
      <w:r w:rsidRPr="008561BE">
        <w:rPr>
          <w:rFonts w:ascii="Palatino Linotype" w:eastAsia="Palatino Linotype" w:hAnsi="Palatino Linotype" w:cs="Palatino Linotype"/>
          <w:b/>
        </w:rPr>
        <w:t xml:space="preserve">la rendición de cuentas, </w:t>
      </w:r>
      <w:r w:rsidRPr="008561BE">
        <w:rPr>
          <w:rFonts w:ascii="Palatino Linotype" w:eastAsia="Palatino Linotype" w:hAnsi="Palatino Linotype" w:cs="Palatino Linotype"/>
        </w:rPr>
        <w:t xml:space="preserve">es un ejercicio de transparencia e información pública; es un medio a través del cual los gobiernos informan al público de sus actividades, </w:t>
      </w:r>
      <w:r w:rsidRPr="008561BE">
        <w:rPr>
          <w:rFonts w:ascii="Palatino Linotype" w:eastAsia="Palatino Linotype" w:hAnsi="Palatino Linotype" w:cs="Palatino Linotype"/>
          <w:b/>
        </w:rPr>
        <w:t>de los recursos que han ejercido</w:t>
      </w:r>
      <w:r w:rsidRPr="008561BE">
        <w:rPr>
          <w:rFonts w:ascii="Palatino Linotype" w:eastAsia="Palatino Linotype" w:hAnsi="Palatino Linotype" w:cs="Palatino Linotype"/>
        </w:rPr>
        <w:t xml:space="preserve"> y de los resultados obtenidos.</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Conforme a lo anterior, se logra vislumbrar que cualquier tipo de erogación de recursos por parte de las instituciones públicas, guarda la naturaleza de pública; por lo que, las remuneraciones, sueldos y prestaciones de los servidores públicos, rinde cuentas de los recursos utilizados por el Gobierno del Estado de México, para el pago de personal. Así, este Instituto considera que el Sistema de Transporte Masivo y Teleférico del Estado de México debe de contar con algún documento que dé cuenta de las remuneraciones que reciben sus trabajadores; dicha 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lastRenderedPageBreak/>
        <w:t xml:space="preserve"> De esta manera, el derecho de acceso a la información pública se satisface en aquellos casos en que se entregue el soporte documental en el que conste la información solicitada, sin necesidad de elaborar documentos </w:t>
      </w:r>
      <w:r w:rsidRPr="008561BE">
        <w:rPr>
          <w:rFonts w:ascii="Palatino Linotype" w:eastAsia="Palatino Linotype" w:hAnsi="Palatino Linotype" w:cs="Palatino Linotype"/>
          <w:i/>
        </w:rPr>
        <w:t>ad hoc</w:t>
      </w:r>
      <w:r w:rsidRPr="008561BE">
        <w:rPr>
          <w:rFonts w:ascii="Palatino Linotype" w:eastAsia="Palatino Linotype" w:hAnsi="Palatino Linotype" w:cs="Palatino Linotype"/>
        </w:rPr>
        <w:t>; lo cual, de conformidad con en el artículo 160 de la Ley de Transparencia y Acceso a la Información Pública del Estado de México y Municipios, el cual refiere que los sujetos obligados deberán entregar la información que obre en sus archivos.</w:t>
      </w:r>
    </w:p>
    <w:p w:rsidR="001E689A" w:rsidRPr="008561BE" w:rsidRDefault="00C83C0B">
      <w:pPr>
        <w:spacing w:before="240" w:after="240" w:line="360" w:lineRule="auto"/>
        <w:jc w:val="both"/>
        <w:rPr>
          <w:rFonts w:ascii="Palatino Linotype" w:eastAsia="Palatino Linotype" w:hAnsi="Palatino Linotype" w:cs="Palatino Linotype"/>
          <w:b/>
        </w:rPr>
      </w:pPr>
      <w:r w:rsidRPr="008561BE">
        <w:rPr>
          <w:rFonts w:ascii="Palatino Linotype" w:eastAsia="Palatino Linotype" w:hAnsi="Palatino Linotype" w:cs="Palatino Linotype"/>
        </w:rPr>
        <w:t>Además, resulta aplicable el Criterio de Interpretación: SO/003/2017, de la Segunda Época, emitido por el Instituto Nacional de Transparencia, Acceso a la Información y Protección de Datos Personales que a continuación se cita:</w:t>
      </w:r>
    </w:p>
    <w:p w:rsidR="001E689A" w:rsidRPr="008561BE" w:rsidRDefault="00C83C0B">
      <w:pPr>
        <w:spacing w:line="276" w:lineRule="auto"/>
        <w:ind w:left="560" w:right="560"/>
        <w:jc w:val="both"/>
        <w:rPr>
          <w:rFonts w:ascii="Palatino Linotype" w:eastAsia="Palatino Linotype" w:hAnsi="Palatino Linotype" w:cs="Palatino Linotype"/>
        </w:rPr>
      </w:pPr>
      <w:r w:rsidRPr="008561BE">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sidRPr="008561BE">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1E689A" w:rsidRPr="008561BE" w:rsidRDefault="00C83C0B">
      <w:pPr>
        <w:spacing w:before="240" w:after="240" w:line="360" w:lineRule="auto"/>
        <w:ind w:right="-100"/>
        <w:jc w:val="both"/>
        <w:rPr>
          <w:rFonts w:ascii="Palatino Linotype" w:eastAsia="Palatino Linotype" w:hAnsi="Palatino Linotype" w:cs="Palatino Linotype"/>
        </w:rPr>
      </w:pPr>
      <w:r w:rsidRPr="008561BE">
        <w:rPr>
          <w:rFonts w:ascii="Palatino Linotype" w:eastAsia="Palatino Linotype" w:hAnsi="Palatino Linotype" w:cs="Palatino Linotype"/>
        </w:rPr>
        <w:t>De tales circunstancias, se concluye que los sujetos obligados únicamente se encuentran constreñidos a proporcionar los documentos que den cuenta de la información solicitada, como obren en sus archivos, sin tener que elaborarlos a las necesidades de</w:t>
      </w:r>
      <w:r w:rsidRPr="008561BE">
        <w:rPr>
          <w:rFonts w:ascii="Palatino Linotype" w:eastAsia="Palatino Linotype" w:hAnsi="Palatino Linotype" w:cs="Palatino Linotype"/>
          <w:b/>
        </w:rPr>
        <w:t xml:space="preserve"> la parte Recurrente</w:t>
      </w:r>
      <w:r w:rsidRPr="008561BE">
        <w:rPr>
          <w:rFonts w:ascii="Palatino Linotype" w:eastAsia="Palatino Linotype" w:hAnsi="Palatino Linotype" w:cs="Palatino Linotype"/>
        </w:rPr>
        <w:t>.</w:t>
      </w:r>
    </w:p>
    <w:p w:rsidR="001E689A" w:rsidRPr="008561BE" w:rsidRDefault="00C83C0B">
      <w:pPr>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lastRenderedPageBreak/>
        <w:t>Para conocer lo que debe contener la información correspondiente a la nómina, es necesario señalar que, al Órgano Superior de Fiscalización del Estado de México, OSFEM, le asiste la facultad de emitir los lineamientos para la integración del informe trimestral, en términos de la fracción XI del artículo 8 de la Ley de Fiscalización Superior del Estado de México, que es del tenor literal siguiente:</w:t>
      </w:r>
    </w:p>
    <w:p w:rsidR="001E689A" w:rsidRPr="008561BE" w:rsidRDefault="001E689A">
      <w:pPr>
        <w:spacing w:line="360" w:lineRule="auto"/>
        <w:jc w:val="both"/>
        <w:rPr>
          <w:rFonts w:ascii="Palatino Linotype" w:eastAsia="Palatino Linotype" w:hAnsi="Palatino Linotype" w:cs="Palatino Linotype"/>
        </w:rPr>
      </w:pPr>
    </w:p>
    <w:p w:rsidR="001E689A" w:rsidRPr="008561BE" w:rsidRDefault="00C83C0B">
      <w:pPr>
        <w:spacing w:line="276"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“Artículo 8.-</w:t>
      </w:r>
      <w:r w:rsidRPr="008561BE">
        <w:rPr>
          <w:rFonts w:ascii="Palatino Linotype" w:eastAsia="Palatino Linotype" w:hAnsi="Palatino Linotype" w:cs="Palatino Linotype"/>
          <w:i/>
          <w:sz w:val="22"/>
          <w:szCs w:val="22"/>
        </w:rPr>
        <w:t xml:space="preserve"> El </w:t>
      </w:r>
      <w:r w:rsidRPr="008561BE">
        <w:rPr>
          <w:rFonts w:ascii="Palatino Linotype" w:eastAsia="Palatino Linotype" w:hAnsi="Palatino Linotype" w:cs="Palatino Linotype"/>
          <w:b/>
          <w:i/>
          <w:sz w:val="22"/>
          <w:szCs w:val="22"/>
        </w:rPr>
        <w:t>Órgano Superior</w:t>
      </w:r>
      <w:r w:rsidRPr="008561BE">
        <w:rPr>
          <w:rFonts w:ascii="Palatino Linotype" w:eastAsia="Palatino Linotype" w:hAnsi="Palatino Linotype" w:cs="Palatino Linotype"/>
          <w:i/>
          <w:sz w:val="22"/>
          <w:szCs w:val="22"/>
        </w:rPr>
        <w:t xml:space="preserve"> tendrá las siguientes atribuciones:</w:t>
      </w:r>
    </w:p>
    <w:p w:rsidR="001E689A" w:rsidRPr="008561BE" w:rsidRDefault="00C83C0B">
      <w:pPr>
        <w:spacing w:line="276"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p>
    <w:p w:rsidR="001E689A" w:rsidRPr="008561BE" w:rsidRDefault="00C83C0B">
      <w:pPr>
        <w:spacing w:line="276"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XI</w:t>
      </w:r>
      <w:r w:rsidRPr="008561BE">
        <w:rPr>
          <w:rFonts w:ascii="Palatino Linotype" w:eastAsia="Palatino Linotype" w:hAnsi="Palatino Linotype" w:cs="Palatino Linotype"/>
          <w:i/>
          <w:sz w:val="22"/>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w:t>
      </w:r>
    </w:p>
    <w:p w:rsidR="001E689A" w:rsidRPr="008561BE" w:rsidRDefault="001E689A">
      <w:pPr>
        <w:spacing w:line="276" w:lineRule="auto"/>
        <w:ind w:left="1134" w:right="902"/>
        <w:jc w:val="both"/>
        <w:rPr>
          <w:rFonts w:ascii="Palatino Linotype" w:eastAsia="Palatino Linotype" w:hAnsi="Palatino Linotype" w:cs="Palatino Linotype"/>
          <w:i/>
          <w:sz w:val="22"/>
          <w:szCs w:val="22"/>
        </w:rPr>
      </w:pPr>
    </w:p>
    <w:p w:rsidR="001E689A" w:rsidRPr="008561BE" w:rsidRDefault="00C83C0B">
      <w:pPr>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los titulares o quienes hagan sus veces en empresas de participación estatal o municipal, sociedades o asociaciones asimiladas a éstas y en los fideicomisos públicos, y que manejen recursos públicos, como lo son los municipios; en atención a ello, el informe trimestral deberá ser presentado al OSFEM dentro de los veinte días posteriores al término del trimestre correspondiente de acuerdo a lo establecido en el artículo 350 del Código Financiero del Estado de México citado con antelación.</w:t>
      </w:r>
    </w:p>
    <w:p w:rsidR="001E689A" w:rsidRPr="008561BE" w:rsidRDefault="001E689A">
      <w:pPr>
        <w:spacing w:line="360" w:lineRule="auto"/>
        <w:jc w:val="both"/>
        <w:rPr>
          <w:rFonts w:ascii="Palatino Linotype" w:eastAsia="Palatino Linotype" w:hAnsi="Palatino Linotype" w:cs="Palatino Linotype"/>
          <w:i/>
        </w:rPr>
      </w:pPr>
    </w:p>
    <w:p w:rsidR="001E689A" w:rsidRPr="008561BE" w:rsidRDefault="00C83C0B">
      <w:pPr>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lastRenderedPageBreak/>
        <w:t>La información documental comprobatoria de los informes trimestrales presentados, debe conservarse en los archivos de la entidad fiscalizada -municipio- en original y debidamente integrada en términos de los lineamientos de referencia, pues son susceptibles de revisión directa por el Órgano Superior de Fiscalización del Estado de México.</w:t>
      </w:r>
    </w:p>
    <w:p w:rsidR="001E689A" w:rsidRPr="008561BE" w:rsidRDefault="001E689A">
      <w:pPr>
        <w:spacing w:line="360" w:lineRule="auto"/>
        <w:jc w:val="both"/>
        <w:rPr>
          <w:rFonts w:ascii="Palatino Linotype" w:eastAsia="Palatino Linotype" w:hAnsi="Palatino Linotype" w:cs="Palatino Linotype"/>
        </w:rPr>
      </w:pPr>
    </w:p>
    <w:p w:rsidR="001E689A" w:rsidRPr="008561BE" w:rsidRDefault="00C83C0B">
      <w:pPr>
        <w:spacing w:after="8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En este contexto, el Órgano Superior de Fiscalización del Estado de México, emite en cada ejercicio fiscal los Lineamientos para la Integración y Entrega de los Informes Trimestrales Estatales del Ejercicio Fiscal 2023, es de señalar que al ser el </w:t>
      </w:r>
      <w:r w:rsidRPr="008561BE">
        <w:rPr>
          <w:rFonts w:ascii="Palatino Linotype" w:eastAsia="Palatino Linotype" w:hAnsi="Palatino Linotype" w:cs="Palatino Linotype"/>
          <w:b/>
        </w:rPr>
        <w:t>Sujeto Obligado</w:t>
      </w:r>
      <w:r w:rsidRPr="008561BE">
        <w:rPr>
          <w:rFonts w:ascii="Palatino Linotype" w:eastAsia="Palatino Linotype" w:hAnsi="Palatino Linotype" w:cs="Palatino Linotype"/>
        </w:rPr>
        <w:t xml:space="preserve"> un organismo auxiliar de la Secretaría de Movilidad, ante la antinomia jurídica que se presenta en el Código Financiero del Estado de México y Municipios, respecto a la Ley General de Contabilidad Gubernamental, el oficio de presentación debe estar firmado por el Secretario de Finanzas; adicionando también, copias simples de los oficios signados por los titulares de los Organismo Auxiliares y sus respectivos Directores de Finanzas o equivalentes, por lo tanto, de manera enunciativa más no limitativa, para dar cumplimiento a este punto podrá entregarse la nómina detallada que se genera en el módulo 4 reviste interés para el presente estudio lo siguiente:</w:t>
      </w:r>
    </w:p>
    <w:p w:rsidR="001E689A" w:rsidRPr="008561BE" w:rsidRDefault="00C83C0B">
      <w:pPr>
        <w:spacing w:after="8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noProof/>
        </w:rPr>
        <w:lastRenderedPageBreak/>
        <w:drawing>
          <wp:inline distT="0" distB="0" distL="0" distR="0">
            <wp:extent cx="5563376" cy="6925642"/>
            <wp:effectExtent l="0" t="0" r="0" b="0"/>
            <wp:docPr id="1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563376" cy="6925642"/>
                    </a:xfrm>
                    <a:prstGeom prst="rect">
                      <a:avLst/>
                    </a:prstGeom>
                    <a:ln/>
                  </pic:spPr>
                </pic:pic>
              </a:graphicData>
            </a:graphic>
          </wp:inline>
        </w:drawing>
      </w:r>
      <w:r w:rsidRPr="008561BE">
        <w:rPr>
          <w:noProof/>
        </w:rPr>
        <mc:AlternateContent>
          <mc:Choice Requires="wps">
            <w:drawing>
              <wp:anchor distT="0" distB="0" distL="114300" distR="114300" simplePos="0" relativeHeight="251658240" behindDoc="0" locked="0" layoutInCell="1" hidden="0" allowOverlap="1">
                <wp:simplePos x="0" y="0"/>
                <wp:positionH relativeFrom="column">
                  <wp:posOffset>889000</wp:posOffset>
                </wp:positionH>
                <wp:positionV relativeFrom="paragraph">
                  <wp:posOffset>812800</wp:posOffset>
                </wp:positionV>
                <wp:extent cx="4696460" cy="257175"/>
                <wp:effectExtent l="0" t="0" r="0" b="0"/>
                <wp:wrapNone/>
                <wp:docPr id="105" name="Rectángulo 105"/>
                <wp:cNvGraphicFramePr/>
                <a:graphic xmlns:a="http://schemas.openxmlformats.org/drawingml/2006/main">
                  <a:graphicData uri="http://schemas.microsoft.com/office/word/2010/wordprocessingShape">
                    <wps:wsp>
                      <wps:cNvSpPr/>
                      <wps:spPr>
                        <a:xfrm>
                          <a:off x="3012058" y="3665700"/>
                          <a:ext cx="4667885" cy="228600"/>
                        </a:xfrm>
                        <a:prstGeom prst="rect">
                          <a:avLst/>
                        </a:prstGeom>
                        <a:noFill/>
                        <a:ln w="28575" cap="flat" cmpd="sng">
                          <a:solidFill>
                            <a:srgbClr val="C00000"/>
                          </a:solidFill>
                          <a:prstDash val="solid"/>
                          <a:round/>
                          <a:headEnd type="none" w="sm" len="sm"/>
                          <a:tailEnd type="none" w="sm" len="sm"/>
                        </a:ln>
                      </wps:spPr>
                      <wps:txbx>
                        <w:txbxContent>
                          <w:p w:rsidR="00180BF3" w:rsidRDefault="00180BF3">
                            <w:pPr>
                              <w:textDirection w:val="btLr"/>
                            </w:pPr>
                          </w:p>
                        </w:txbxContent>
                      </wps:txbx>
                      <wps:bodyPr spcFirstLastPara="1" wrap="square" lIns="91425" tIns="91425" rIns="91425" bIns="91425" anchor="ctr" anchorCtr="0">
                        <a:noAutofit/>
                      </wps:bodyPr>
                    </wps:wsp>
                  </a:graphicData>
                </a:graphic>
              </wp:anchor>
            </w:drawing>
          </mc:Choice>
          <mc:Fallback>
            <w:pict>
              <v:rect id="Rectángulo 105" o:spid="_x0000_s1026" style="position:absolute;left:0;text-align:left;margin-left:70pt;margin-top:64pt;width:369.8pt;height:20.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" filled="f" strokecolor="#c00000" strokeweight="2.25pt">
                <v:stroke startarrowwidth="narrow" startarrowlength="short" endarrowwidth="narrow" endarrowlength="short" joinstyle="round"/>
                <v:textbox inset="2.53958mm,2.53958mm,2.53958mm,2.53958mm">
                  <w:txbxContent>
                    <w:p w:rsidR="00180BF3" w:rsidRDefault="00180BF3">
                      <w:pPr>
                        <w:textDirection w:val="btLr"/>
                      </w:pPr>
                    </w:p>
                  </w:txbxContent>
                </v:textbox>
              </v:rect>
            </w:pict>
          </mc:Fallback>
        </mc:AlternateContent>
      </w:r>
    </w:p>
    <w:p w:rsidR="001E689A" w:rsidRPr="008561BE" w:rsidRDefault="00C83C0B">
      <w:pPr>
        <w:spacing w:after="8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rPr>
        <w:lastRenderedPageBreak/>
        <w:t>Ahora bien, de conformidad con el Instructivo del Módulo 4, dicha nómina detallada se generará en los siguientes términos:</w:t>
      </w:r>
    </w:p>
    <w:p w:rsidR="001E689A" w:rsidRPr="008561BE" w:rsidRDefault="00C83C0B">
      <w:pPr>
        <w:spacing w:after="8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noProof/>
        </w:rPr>
        <w:drawing>
          <wp:inline distT="0" distB="0" distL="0" distR="0">
            <wp:extent cx="5612130" cy="3063875"/>
            <wp:effectExtent l="0" t="0" r="0" b="0"/>
            <wp:docPr id="1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
                    <a:srcRect/>
                    <a:stretch>
                      <a:fillRect/>
                    </a:stretch>
                  </pic:blipFill>
                  <pic:spPr>
                    <a:xfrm>
                      <a:off x="0" y="0"/>
                      <a:ext cx="5612130" cy="3063875"/>
                    </a:xfrm>
                    <a:prstGeom prst="rect">
                      <a:avLst/>
                    </a:prstGeom>
                    <a:ln/>
                  </pic:spPr>
                </pic:pic>
              </a:graphicData>
            </a:graphic>
          </wp:inline>
        </w:drawing>
      </w:r>
    </w:p>
    <w:p w:rsidR="001E689A" w:rsidRPr="008561BE" w:rsidRDefault="00C83C0B">
      <w:pPr>
        <w:spacing w:after="8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noProof/>
        </w:rPr>
        <w:lastRenderedPageBreak/>
        <w:drawing>
          <wp:inline distT="0" distB="0" distL="0" distR="0">
            <wp:extent cx="5612130" cy="6447790"/>
            <wp:effectExtent l="0" t="0" r="0" b="0"/>
            <wp:docPr id="1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a:stretch>
                      <a:fillRect/>
                    </a:stretch>
                  </pic:blipFill>
                  <pic:spPr>
                    <a:xfrm>
                      <a:off x="0" y="0"/>
                      <a:ext cx="5612130" cy="6447790"/>
                    </a:xfrm>
                    <a:prstGeom prst="rect">
                      <a:avLst/>
                    </a:prstGeom>
                    <a:ln/>
                  </pic:spPr>
                </pic:pic>
              </a:graphicData>
            </a:graphic>
          </wp:inline>
        </w:drawing>
      </w:r>
    </w:p>
    <w:p w:rsidR="001E689A" w:rsidRPr="008561BE" w:rsidRDefault="001E689A">
      <w:pPr>
        <w:spacing w:after="80" w:line="360" w:lineRule="auto"/>
        <w:ind w:right="49"/>
        <w:jc w:val="both"/>
        <w:rPr>
          <w:rFonts w:ascii="Palatino Linotype" w:eastAsia="Palatino Linotype" w:hAnsi="Palatino Linotype" w:cs="Palatino Linotype"/>
        </w:rPr>
      </w:pPr>
    </w:p>
    <w:p w:rsidR="001E689A" w:rsidRPr="008561BE" w:rsidRDefault="001E689A">
      <w:pPr>
        <w:spacing w:after="80" w:line="360" w:lineRule="auto"/>
        <w:ind w:right="49"/>
        <w:jc w:val="both"/>
        <w:rPr>
          <w:rFonts w:ascii="Palatino Linotype" w:eastAsia="Palatino Linotype" w:hAnsi="Palatino Linotype" w:cs="Palatino Linotype"/>
        </w:rPr>
      </w:pPr>
    </w:p>
    <w:p w:rsidR="001E689A" w:rsidRPr="008561BE" w:rsidRDefault="00C83C0B">
      <w:pPr>
        <w:spacing w:after="8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noProof/>
        </w:rPr>
        <w:lastRenderedPageBreak/>
        <w:drawing>
          <wp:inline distT="0" distB="0" distL="0" distR="0">
            <wp:extent cx="5612130" cy="5612130"/>
            <wp:effectExtent l="0" t="0" r="0" b="0"/>
            <wp:docPr id="1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a:stretch>
                      <a:fillRect/>
                    </a:stretch>
                  </pic:blipFill>
                  <pic:spPr>
                    <a:xfrm>
                      <a:off x="0" y="0"/>
                      <a:ext cx="5612130" cy="5612130"/>
                    </a:xfrm>
                    <a:prstGeom prst="rect">
                      <a:avLst/>
                    </a:prstGeom>
                    <a:ln/>
                  </pic:spPr>
                </pic:pic>
              </a:graphicData>
            </a:graphic>
          </wp:inline>
        </w:drawing>
      </w:r>
    </w:p>
    <w:p w:rsidR="001E689A" w:rsidRPr="008561BE" w:rsidRDefault="00C83C0B">
      <w:pPr>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En estas condiciones, resulta claro que la información de mérito es generada en ejercicio de las atribuciones del </w:t>
      </w:r>
      <w:r w:rsidRPr="008561BE">
        <w:rPr>
          <w:rFonts w:ascii="Palatino Linotype" w:eastAsia="Palatino Linotype" w:hAnsi="Palatino Linotype" w:cs="Palatino Linotype"/>
          <w:b/>
        </w:rPr>
        <w:t>Sujeto Obligado</w:t>
      </w:r>
      <w:r w:rsidRPr="008561BE">
        <w:rPr>
          <w:rFonts w:ascii="Palatino Linotype" w:eastAsia="Palatino Linotype" w:hAnsi="Palatino Linotype" w:cs="Palatino Linotype"/>
        </w:rPr>
        <w:t xml:space="preserve"> de acuerdo a lo dispuesto por los artículos 4, segundo párrafo y 12, segundo párrafo de la Ley de Transparencia y Acceso a la Información Pública del Estado de México y Municipios; consecuentemente debe obrar en sus archivos de conformidad a lo que señala el </w:t>
      </w:r>
      <w:r w:rsidRPr="008561BE">
        <w:rPr>
          <w:rFonts w:ascii="Palatino Linotype" w:eastAsia="Palatino Linotype" w:hAnsi="Palatino Linotype" w:cs="Palatino Linotype"/>
        </w:rPr>
        <w:lastRenderedPageBreak/>
        <w:t>artículo 19 de la Ley de Transparencia Local que establece que debe presumirse la existencia de la información, si se refiere a las facultades, competencias y funciones que los ordenamientos jurídicos aplicables otorgan a los Sujetos Obligados.</w:t>
      </w:r>
    </w:p>
    <w:p w:rsidR="001E689A" w:rsidRPr="008561BE" w:rsidRDefault="001E689A">
      <w:pPr>
        <w:spacing w:line="360" w:lineRule="auto"/>
        <w:jc w:val="both"/>
        <w:rPr>
          <w:rFonts w:ascii="Palatino Linotype" w:eastAsia="Palatino Linotype" w:hAnsi="Palatino Linotype" w:cs="Palatino Linotype"/>
        </w:rPr>
      </w:pPr>
    </w:p>
    <w:p w:rsidR="001E689A" w:rsidRPr="008561BE" w:rsidRDefault="00C83C0B">
      <w:pPr>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Además, de que la información que se ordena, es de interés general y de alcance público, puesto que la ciudadanía tiene derecho a saber cuál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los artículos 7 y 23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finalidad en la disposición de esos recursos; precepto legal que es del tenor siguiente:</w:t>
      </w:r>
    </w:p>
    <w:p w:rsidR="001E689A" w:rsidRPr="008561BE" w:rsidRDefault="001E689A">
      <w:pPr>
        <w:spacing w:after="160" w:line="259" w:lineRule="auto"/>
        <w:ind w:left="851" w:right="851"/>
        <w:jc w:val="both"/>
        <w:rPr>
          <w:rFonts w:ascii="Palatino Linotype" w:eastAsia="Palatino Linotype" w:hAnsi="Palatino Linotype" w:cs="Palatino Linotype"/>
          <w:b/>
          <w:i/>
          <w:sz w:val="22"/>
          <w:szCs w:val="22"/>
          <w:u w:val="single"/>
        </w:rPr>
      </w:pPr>
    </w:p>
    <w:p w:rsidR="001E689A" w:rsidRPr="008561BE" w:rsidRDefault="00C83C0B">
      <w:pPr>
        <w:spacing w:after="160" w:line="259" w:lineRule="auto"/>
        <w:ind w:left="851" w:right="851"/>
        <w:jc w:val="both"/>
        <w:rPr>
          <w:rFonts w:ascii="Palatino Linotype" w:eastAsia="Palatino Linotype" w:hAnsi="Palatino Linotype" w:cs="Palatino Linotype"/>
          <w:i/>
          <w:sz w:val="22"/>
          <w:szCs w:val="22"/>
          <w:u w:val="single"/>
        </w:rPr>
      </w:pPr>
      <w:r w:rsidRPr="008561BE">
        <w:rPr>
          <w:rFonts w:ascii="Palatino Linotype" w:eastAsia="Palatino Linotype" w:hAnsi="Palatino Linotype" w:cs="Palatino Linotype"/>
          <w:b/>
          <w:i/>
          <w:sz w:val="22"/>
          <w:szCs w:val="22"/>
          <w:u w:val="single"/>
        </w:rPr>
        <w:t>“Artículo 7. El Estado de México garantizará el efectivo acceso de toda persona a la información en posesión de cualquier entidad,</w:t>
      </w:r>
      <w:r w:rsidRPr="008561BE">
        <w:rPr>
          <w:rFonts w:ascii="Palatino Linotype" w:eastAsia="Palatino Linotype" w:hAnsi="Palatino Linotype" w:cs="Palatino Linotype"/>
          <w:i/>
          <w:sz w:val="22"/>
          <w:szCs w:val="22"/>
        </w:rPr>
        <w:t xml:space="preserve"> autoridad, órgano y organismo de los poderes Ejecutivo, Legislativo y Judicial, órganos autónomos, partidos políticos, fideicomisos y fondos públicos, así como de cualquier persona física, jurídico colectiva o sindicato </w:t>
      </w:r>
      <w:r w:rsidRPr="008561BE">
        <w:rPr>
          <w:rFonts w:ascii="Palatino Linotype" w:eastAsia="Palatino Linotype" w:hAnsi="Palatino Linotype" w:cs="Palatino Linotype"/>
          <w:b/>
          <w:i/>
          <w:sz w:val="22"/>
          <w:szCs w:val="22"/>
          <w:u w:val="single"/>
        </w:rPr>
        <w:t>que reciba y ejerza recursos públicos</w:t>
      </w:r>
      <w:r w:rsidRPr="008561BE">
        <w:rPr>
          <w:rFonts w:ascii="Palatino Linotype" w:eastAsia="Palatino Linotype" w:hAnsi="Palatino Linotype" w:cs="Palatino Linotype"/>
          <w:i/>
          <w:sz w:val="22"/>
          <w:szCs w:val="22"/>
        </w:rPr>
        <w:t xml:space="preserve"> o realice actos de autoridad </w:t>
      </w:r>
      <w:r w:rsidRPr="008561BE">
        <w:rPr>
          <w:rFonts w:ascii="Palatino Linotype" w:eastAsia="Palatino Linotype" w:hAnsi="Palatino Linotype" w:cs="Palatino Linotype"/>
          <w:b/>
          <w:i/>
          <w:sz w:val="22"/>
          <w:szCs w:val="22"/>
          <w:u w:val="single"/>
        </w:rPr>
        <w:t>en el ámbito de competencia del Estado de México y sus municipios</w:t>
      </w:r>
      <w:r w:rsidRPr="008561BE">
        <w:rPr>
          <w:rFonts w:ascii="Palatino Linotype" w:eastAsia="Palatino Linotype" w:hAnsi="Palatino Linotype" w:cs="Palatino Linotype"/>
          <w:i/>
          <w:sz w:val="22"/>
          <w:szCs w:val="22"/>
          <w:u w:val="single"/>
        </w:rPr>
        <w:t>.</w:t>
      </w:r>
    </w:p>
    <w:p w:rsidR="001E689A" w:rsidRPr="008561BE" w:rsidRDefault="00C83C0B">
      <w:pPr>
        <w:spacing w:after="160" w:line="259" w:lineRule="auto"/>
        <w:ind w:left="851" w:right="851"/>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Artículo 23. Son sujetos obligados a transparentar y permitir el acceso a su información y proteger los datos personales que obren en su poder:</w:t>
      </w:r>
    </w:p>
    <w:p w:rsidR="001E689A" w:rsidRPr="008561BE" w:rsidRDefault="00C83C0B">
      <w:pPr>
        <w:spacing w:after="160" w:line="259" w:lineRule="auto"/>
        <w:ind w:left="851" w:right="851"/>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p>
    <w:p w:rsidR="001E689A" w:rsidRPr="008561BE" w:rsidRDefault="00C83C0B">
      <w:pPr>
        <w:spacing w:after="160" w:line="259" w:lineRule="auto"/>
        <w:ind w:left="851" w:right="851"/>
        <w:jc w:val="both"/>
        <w:rPr>
          <w:rFonts w:ascii="Palatino Linotype" w:eastAsia="Palatino Linotype" w:hAnsi="Palatino Linotype" w:cs="Palatino Linotype"/>
          <w:b/>
          <w:i/>
          <w:sz w:val="22"/>
          <w:szCs w:val="22"/>
          <w:u w:val="single"/>
        </w:rPr>
      </w:pPr>
      <w:r w:rsidRPr="008561BE">
        <w:rPr>
          <w:rFonts w:ascii="Palatino Linotype" w:eastAsia="Palatino Linotype" w:hAnsi="Palatino Linotype" w:cs="Palatino Linotype"/>
          <w:b/>
          <w:i/>
          <w:sz w:val="22"/>
          <w:szCs w:val="22"/>
          <w:u w:val="single"/>
        </w:rPr>
        <w:lastRenderedPageBreak/>
        <w:t>IV. Los ayuntamientos y las dependencias, organismos, órganos y entidades de la administración municipal;</w:t>
      </w:r>
    </w:p>
    <w:p w:rsidR="001E689A" w:rsidRPr="008561BE" w:rsidRDefault="00C83C0B">
      <w:pPr>
        <w:spacing w:after="160" w:line="259" w:lineRule="auto"/>
        <w:ind w:left="851" w:right="851"/>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p>
    <w:p w:rsidR="001E689A" w:rsidRPr="008561BE" w:rsidRDefault="00C83C0B">
      <w:pPr>
        <w:spacing w:after="160" w:line="259" w:lineRule="auto"/>
        <w:ind w:left="851" w:right="851"/>
        <w:jc w:val="both"/>
        <w:rPr>
          <w:rFonts w:ascii="Palatino Linotype" w:eastAsia="Palatino Linotype" w:hAnsi="Palatino Linotype" w:cs="Palatino Linotype"/>
          <w:b/>
          <w:i/>
          <w:sz w:val="22"/>
          <w:szCs w:val="22"/>
          <w:u w:val="single"/>
        </w:rPr>
      </w:pPr>
      <w:r w:rsidRPr="008561BE">
        <w:rPr>
          <w:rFonts w:ascii="Palatino Linotype" w:eastAsia="Palatino Linotype" w:hAnsi="Palatino Linotype" w:cs="Palatino Linotype"/>
          <w:b/>
          <w:i/>
          <w:sz w:val="22"/>
          <w:szCs w:val="22"/>
          <w:u w:val="single"/>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1E689A" w:rsidRPr="008561BE" w:rsidRDefault="00C83C0B">
      <w:pPr>
        <w:spacing w:after="160" w:line="259" w:lineRule="auto"/>
        <w:ind w:left="851" w:right="851"/>
        <w:jc w:val="both"/>
        <w:rPr>
          <w:rFonts w:ascii="Palatino Linotype" w:eastAsia="Palatino Linotype" w:hAnsi="Palatino Linotype" w:cs="Palatino Linotype"/>
          <w:b/>
          <w:i/>
          <w:sz w:val="22"/>
          <w:szCs w:val="22"/>
        </w:rPr>
      </w:pPr>
      <w:r w:rsidRPr="008561BE">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r w:rsidRPr="008561BE">
        <w:rPr>
          <w:rFonts w:ascii="Palatino Linotype" w:eastAsia="Palatino Linotype" w:hAnsi="Palatino Linotype" w:cs="Palatino Linotype"/>
          <w:b/>
          <w:i/>
          <w:sz w:val="22"/>
          <w:szCs w:val="22"/>
        </w:rPr>
        <w:t xml:space="preserve"> [Énfasis añadido]</w:t>
      </w:r>
    </w:p>
    <w:p w:rsidR="001E689A" w:rsidRPr="008561BE" w:rsidRDefault="00C83C0B">
      <w:pPr>
        <w:spacing w:after="16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Sirve de sustento por analogía, para justificar la publicidad sobre los datos relativos a los montos por concepto de pago de las remuneraciones, los criterios </w:t>
      </w:r>
      <w:r w:rsidRPr="008561BE">
        <w:rPr>
          <w:rFonts w:ascii="Palatino Linotype" w:eastAsia="Palatino Linotype" w:hAnsi="Palatino Linotype" w:cs="Palatino Linotype"/>
          <w:b/>
        </w:rPr>
        <w:t>01/2003</w:t>
      </w:r>
      <w:r w:rsidRPr="008561BE">
        <w:rPr>
          <w:rFonts w:ascii="Palatino Linotype" w:eastAsia="Palatino Linotype" w:hAnsi="Palatino Linotype" w:cs="Palatino Linotype"/>
        </w:rPr>
        <w:t xml:space="preserve"> y </w:t>
      </w:r>
      <w:r w:rsidRPr="008561BE">
        <w:rPr>
          <w:rFonts w:ascii="Palatino Linotype" w:eastAsia="Palatino Linotype" w:hAnsi="Palatino Linotype" w:cs="Palatino Linotype"/>
          <w:b/>
        </w:rPr>
        <w:t>02/2003</w:t>
      </w:r>
      <w:r w:rsidRPr="008561BE">
        <w:rPr>
          <w:rFonts w:ascii="Palatino Linotype" w:eastAsia="Palatino Linotype" w:hAnsi="Palatino Linotype" w:cs="Palatino Linotype"/>
        </w:rPr>
        <w:t xml:space="preserve"> emitidos por el Comité de Acceso a la Información Pública y Protección de Datos Personales de la Suprema Corte de Justicia de la Nación que a continuación se citan: </w:t>
      </w:r>
    </w:p>
    <w:p w:rsidR="001E689A" w:rsidRPr="008561BE" w:rsidRDefault="00C83C0B">
      <w:pPr>
        <w:spacing w:after="160" w:line="259" w:lineRule="auto"/>
        <w:ind w:left="851" w:right="851"/>
        <w:rPr>
          <w:rFonts w:ascii="Palatino Linotype" w:eastAsia="Palatino Linotype" w:hAnsi="Palatino Linotype" w:cs="Palatino Linotype"/>
          <w:b/>
          <w:i/>
          <w:sz w:val="22"/>
          <w:szCs w:val="22"/>
        </w:rPr>
      </w:pPr>
      <w:r w:rsidRPr="008561BE">
        <w:rPr>
          <w:rFonts w:ascii="Palatino Linotype" w:eastAsia="Palatino Linotype" w:hAnsi="Palatino Linotype" w:cs="Palatino Linotype"/>
          <w:b/>
          <w:i/>
          <w:sz w:val="22"/>
          <w:szCs w:val="22"/>
        </w:rPr>
        <w:t>“Criterio 01/2003.</w:t>
      </w:r>
    </w:p>
    <w:p w:rsidR="001E689A" w:rsidRPr="008561BE" w:rsidRDefault="00C83C0B">
      <w:pPr>
        <w:spacing w:after="160" w:line="259" w:lineRule="auto"/>
        <w:ind w:left="851" w:right="851"/>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INGRESOS DE LOS SERVIDORES PÚBLICOS. CONSTITUYEN INFORMACIÓN PÚBLICA AÚN Y CUANDO SU DIFUSIÓN PUEDE AFECTAR LA VIDA O LA SEGURIDAD DE AQUELLOS.</w:t>
      </w:r>
      <w:r w:rsidRPr="008561BE">
        <w:rPr>
          <w:rFonts w:ascii="Palatino Linotype" w:eastAsia="Palatino Linotype" w:hAnsi="Palatino Linotype" w:cs="Palatino Linotype"/>
          <w:i/>
          <w:sz w:val="22"/>
          <w:szCs w:val="22"/>
        </w:rPr>
        <w:t xml:space="preserve"> </w:t>
      </w:r>
    </w:p>
    <w:p w:rsidR="001E689A" w:rsidRPr="008561BE" w:rsidRDefault="00C83C0B">
      <w:pPr>
        <w:spacing w:after="160" w:line="259" w:lineRule="auto"/>
        <w:ind w:left="851" w:right="851"/>
        <w:jc w:val="both"/>
        <w:rPr>
          <w:rFonts w:ascii="Palatino Linotype" w:eastAsia="Palatino Linotype" w:hAnsi="Palatino Linotype" w:cs="Palatino Linotype"/>
          <w:i/>
          <w:sz w:val="22"/>
          <w:szCs w:val="22"/>
          <w:u w:val="single"/>
        </w:rPr>
      </w:pPr>
      <w:r w:rsidRPr="008561BE">
        <w:rPr>
          <w:rFonts w:ascii="Palatino Linotype" w:eastAsia="Palatino Linotype" w:hAnsi="Palatino Linotype" w:cs="Palatino Linotype"/>
          <w:i/>
          <w:sz w:val="22"/>
          <w:szCs w:val="22"/>
        </w:rPr>
        <w:t xml:space="preserve">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8561BE">
        <w:rPr>
          <w:rFonts w:ascii="Palatino Linotype" w:eastAsia="Palatino Linotype" w:hAnsi="Palatino Linotype" w:cs="Palatino Linotype"/>
          <w:b/>
          <w:i/>
          <w:sz w:val="22"/>
          <w:szCs w:val="22"/>
          <w:u w:val="single"/>
        </w:rPr>
        <w:t xml:space="preserve">deben publicarse en medios remotos o locales de comunicación electrónica, lo que se sustenta en el hecho de que el monto de todos los ingresos que recibe un servidor público por desarrollar las </w:t>
      </w:r>
      <w:r w:rsidRPr="008561BE">
        <w:rPr>
          <w:rFonts w:ascii="Palatino Linotype" w:eastAsia="Palatino Linotype" w:hAnsi="Palatino Linotype" w:cs="Palatino Linotype"/>
          <w:b/>
          <w:i/>
          <w:sz w:val="22"/>
          <w:szCs w:val="22"/>
          <w:u w:val="single"/>
        </w:rPr>
        <w:lastRenderedPageBreak/>
        <w:t>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8561BE">
        <w:rPr>
          <w:rFonts w:ascii="Palatino Linotype" w:eastAsia="Palatino Linotype" w:hAnsi="Palatino Linotype" w:cs="Palatino Linotype"/>
          <w:i/>
          <w:sz w:val="22"/>
          <w:szCs w:val="22"/>
          <w:u w:val="single"/>
        </w:rPr>
        <w:t>…”</w:t>
      </w:r>
    </w:p>
    <w:p w:rsidR="001E689A" w:rsidRPr="008561BE" w:rsidRDefault="001E689A">
      <w:pPr>
        <w:spacing w:after="160" w:line="259" w:lineRule="auto"/>
        <w:ind w:left="851" w:right="851"/>
        <w:jc w:val="both"/>
        <w:rPr>
          <w:rFonts w:ascii="Palatino Linotype" w:eastAsia="Palatino Linotype" w:hAnsi="Palatino Linotype" w:cs="Palatino Linotype"/>
          <w:i/>
          <w:sz w:val="22"/>
          <w:szCs w:val="22"/>
        </w:rPr>
      </w:pPr>
    </w:p>
    <w:p w:rsidR="001E689A" w:rsidRPr="008561BE" w:rsidRDefault="00C83C0B">
      <w:pPr>
        <w:spacing w:after="160" w:line="259" w:lineRule="auto"/>
        <w:ind w:left="851" w:right="851"/>
        <w:rPr>
          <w:rFonts w:ascii="Palatino Linotype" w:eastAsia="Palatino Linotype" w:hAnsi="Palatino Linotype" w:cs="Palatino Linotype"/>
          <w:b/>
          <w:i/>
          <w:sz w:val="22"/>
          <w:szCs w:val="22"/>
        </w:rPr>
      </w:pPr>
      <w:r w:rsidRPr="008561BE">
        <w:rPr>
          <w:rFonts w:ascii="Palatino Linotype" w:eastAsia="Palatino Linotype" w:hAnsi="Palatino Linotype" w:cs="Palatino Linotype"/>
          <w:b/>
          <w:i/>
          <w:sz w:val="22"/>
          <w:szCs w:val="22"/>
        </w:rPr>
        <w:t>“Criterio 02/2003.</w:t>
      </w:r>
    </w:p>
    <w:p w:rsidR="001E689A" w:rsidRPr="008561BE" w:rsidRDefault="00C83C0B">
      <w:pPr>
        <w:spacing w:after="160" w:line="259" w:lineRule="auto"/>
        <w:ind w:left="851" w:right="851"/>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INGRESOS DE LOS SERVIDORES PÚBLICOS, SON INFORMACIÓN PÚBLICA AÚN Y CUANDO CONSTITUYEN DATOS PERSONALES QUE SE REFIEREN AL PATRIMONIO DE AQUÉLLOS.</w:t>
      </w:r>
      <w:r w:rsidRPr="008561BE">
        <w:rPr>
          <w:rFonts w:ascii="Palatino Linotype" w:eastAsia="Palatino Linotype" w:hAnsi="Palatino Linotype" w:cs="Palatino Linotype"/>
          <w:i/>
          <w:sz w:val="22"/>
          <w:szCs w:val="22"/>
        </w:rPr>
        <w:t xml:space="preserve"> </w:t>
      </w:r>
    </w:p>
    <w:p w:rsidR="001E689A" w:rsidRPr="008561BE" w:rsidRDefault="00C83C0B">
      <w:pPr>
        <w:spacing w:line="276" w:lineRule="auto"/>
        <w:ind w:left="851" w:right="851"/>
        <w:jc w:val="both"/>
        <w:rPr>
          <w:rFonts w:ascii="Palatino Linotype" w:eastAsia="Palatino Linotype" w:hAnsi="Palatino Linotype" w:cs="Palatino Linotype"/>
          <w:b/>
          <w:i/>
          <w:sz w:val="22"/>
          <w:szCs w:val="22"/>
        </w:rPr>
      </w:pPr>
      <w:r w:rsidRPr="008561BE">
        <w:rPr>
          <w:rFonts w:ascii="Palatino Linotype" w:eastAsia="Palatino Linotype" w:hAnsi="Palatino Linotype" w:cs="Palatino Linotype"/>
          <w:i/>
          <w:sz w:val="22"/>
          <w:szCs w:val="22"/>
        </w:rPr>
        <w:t xml:space="preserve">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8561BE">
        <w:rPr>
          <w:rFonts w:ascii="Palatino Linotype" w:eastAsia="Palatino Linotype" w:hAnsi="Palatino Linotype" w:cs="Palatino Linotype"/>
          <w:b/>
          <w:i/>
          <w:sz w:val="22"/>
          <w:szCs w:val="22"/>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8561BE">
        <w:rPr>
          <w:rFonts w:ascii="Palatino Linotype" w:eastAsia="Palatino Linotype" w:hAnsi="Palatino Linotype" w:cs="Palatino Linotype"/>
          <w:i/>
          <w:sz w:val="22"/>
          <w:szCs w:val="22"/>
        </w:rPr>
        <w:t xml:space="preserve"> el sistema de compensación…” </w:t>
      </w:r>
      <w:r w:rsidRPr="008561BE">
        <w:rPr>
          <w:rFonts w:ascii="Palatino Linotype" w:eastAsia="Palatino Linotype" w:hAnsi="Palatino Linotype" w:cs="Palatino Linotype"/>
          <w:b/>
          <w:i/>
          <w:sz w:val="22"/>
          <w:szCs w:val="22"/>
        </w:rPr>
        <w:t>[Sic]</w:t>
      </w:r>
    </w:p>
    <w:p w:rsidR="001E689A" w:rsidRPr="008561BE" w:rsidRDefault="001E689A">
      <w:pPr>
        <w:spacing w:line="360" w:lineRule="auto"/>
        <w:jc w:val="both"/>
        <w:rPr>
          <w:rFonts w:ascii="Palatino Linotype" w:eastAsia="Palatino Linotype" w:hAnsi="Palatino Linotype" w:cs="Palatino Linotype"/>
        </w:rPr>
      </w:pPr>
    </w:p>
    <w:p w:rsidR="001E689A" w:rsidRPr="008561BE" w:rsidRDefault="00C83C0B">
      <w:pPr>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Ahora bien, el artículo 70 de la Ley General de Transparencia y Acceso a la Información Pública dispone lo siguiente: </w:t>
      </w:r>
    </w:p>
    <w:p w:rsidR="001E689A" w:rsidRPr="008561BE" w:rsidRDefault="001E689A">
      <w:pPr>
        <w:spacing w:line="360" w:lineRule="auto"/>
        <w:jc w:val="both"/>
        <w:rPr>
          <w:rFonts w:ascii="Palatino Linotype" w:eastAsia="Palatino Linotype" w:hAnsi="Palatino Linotype" w:cs="Palatino Linotype"/>
          <w:sz w:val="22"/>
          <w:szCs w:val="22"/>
        </w:rPr>
      </w:pPr>
    </w:p>
    <w:p w:rsidR="001E689A" w:rsidRPr="008561BE" w:rsidRDefault="00C83C0B">
      <w:pPr>
        <w:spacing w:line="276" w:lineRule="auto"/>
        <w:ind w:left="851"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 xml:space="preserve">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 </w:t>
      </w:r>
    </w:p>
    <w:p w:rsidR="001E689A" w:rsidRPr="008561BE" w:rsidRDefault="00C83C0B">
      <w:pPr>
        <w:spacing w:line="276" w:lineRule="auto"/>
        <w:ind w:left="851"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 xml:space="preserve">… </w:t>
      </w:r>
    </w:p>
    <w:p w:rsidR="001E689A" w:rsidRPr="008561BE" w:rsidRDefault="00C83C0B">
      <w:pPr>
        <w:spacing w:line="276" w:lineRule="auto"/>
        <w:ind w:left="851"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lastRenderedPageBreak/>
        <w:t xml:space="preserve">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rsidR="001E689A" w:rsidRPr="008561BE" w:rsidRDefault="001E689A">
      <w:pPr>
        <w:spacing w:line="360" w:lineRule="auto"/>
        <w:ind w:right="49"/>
        <w:jc w:val="both"/>
        <w:rPr>
          <w:rFonts w:ascii="Palatino Linotype" w:eastAsia="Palatino Linotype" w:hAnsi="Palatino Linotype" w:cs="Palatino Linotype"/>
        </w:rPr>
      </w:pPr>
    </w:p>
    <w:p w:rsidR="001E689A" w:rsidRPr="008561BE" w:rsidRDefault="00C83C0B">
      <w:pPr>
        <w:spacing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Robustece lo anterior, el artículo 92, fracción VIII de la Ley de Transparencia y Acceso a la Información Pública del Estado de México y Municipios, señala: </w:t>
      </w:r>
    </w:p>
    <w:p w:rsidR="001E689A" w:rsidRPr="008561BE" w:rsidRDefault="001E689A">
      <w:pPr>
        <w:spacing w:line="360" w:lineRule="auto"/>
        <w:ind w:right="49"/>
        <w:jc w:val="both"/>
        <w:rPr>
          <w:rFonts w:ascii="Palatino Linotype" w:eastAsia="Palatino Linotype" w:hAnsi="Palatino Linotype" w:cs="Palatino Linotype"/>
          <w:sz w:val="22"/>
          <w:szCs w:val="22"/>
        </w:rPr>
      </w:pPr>
    </w:p>
    <w:p w:rsidR="001E689A" w:rsidRPr="008561BE" w:rsidRDefault="00C83C0B">
      <w:pPr>
        <w:spacing w:line="276" w:lineRule="auto"/>
        <w:ind w:left="851"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1E689A" w:rsidRPr="008561BE" w:rsidRDefault="00C83C0B">
      <w:pPr>
        <w:spacing w:line="276" w:lineRule="auto"/>
        <w:ind w:left="851"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p>
    <w:p w:rsidR="001E689A" w:rsidRPr="008561BE" w:rsidRDefault="00C83C0B">
      <w:pPr>
        <w:spacing w:line="276" w:lineRule="auto"/>
        <w:ind w:left="851"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1E689A" w:rsidRPr="008561BE" w:rsidRDefault="001E689A">
      <w:pPr>
        <w:spacing w:line="360" w:lineRule="auto"/>
        <w:jc w:val="both"/>
        <w:rPr>
          <w:rFonts w:ascii="Calibri" w:eastAsia="Calibri" w:hAnsi="Calibri" w:cs="Calibri"/>
          <w:sz w:val="22"/>
          <w:szCs w:val="22"/>
        </w:rPr>
      </w:pPr>
    </w:p>
    <w:p w:rsidR="001E689A" w:rsidRPr="008561BE" w:rsidRDefault="00C83C0B">
      <w:pPr>
        <w:spacing w:before="240" w:after="24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las remuneraciones que perciban los servidores públicos de acuerdo con lo establecido en el Código Financiero del Estado de México y Municipios, de ahí que se estime procedente la entrega de los documentos donde consten las remuneraciones otorgadas a todos los servidores públicos adscritos a la Dirección General, Unidad de Apoyo </w:t>
      </w:r>
      <w:r w:rsidRPr="008561BE">
        <w:rPr>
          <w:rFonts w:ascii="Palatino Linotype" w:eastAsia="Palatino Linotype" w:hAnsi="Palatino Linotype" w:cs="Palatino Linotype"/>
        </w:rPr>
        <w:lastRenderedPageBreak/>
        <w:t>Administrativo y Dirección Jurídica Financiera y de Igualdad de Género, de la primera y segunda quincena del mes de febrero de dos mil veintitrés, lo anterior en virtud de que se genera de manera quincenal.</w:t>
      </w:r>
    </w:p>
    <w:p w:rsidR="001E689A" w:rsidRPr="008561BE" w:rsidRDefault="00C83C0B">
      <w:pPr>
        <w:spacing w:line="360" w:lineRule="auto"/>
        <w:jc w:val="both"/>
        <w:rPr>
          <w:rFonts w:ascii="Palatino Linotype" w:eastAsia="Palatino Linotype" w:hAnsi="Palatino Linotype" w:cs="Palatino Linotype"/>
          <w:b/>
        </w:rPr>
      </w:pPr>
      <w:r w:rsidRPr="008561BE">
        <w:rPr>
          <w:rFonts w:ascii="Palatino Linotype" w:eastAsia="Palatino Linotype" w:hAnsi="Palatino Linotype" w:cs="Palatino Linotype"/>
          <w:b/>
        </w:rPr>
        <w:t>c) Fichas curriculares</w:t>
      </w:r>
    </w:p>
    <w:p w:rsidR="001E689A" w:rsidRPr="008561BE" w:rsidRDefault="00C83C0B">
      <w:pPr>
        <w:pBdr>
          <w:top w:val="nil"/>
          <w:left w:val="nil"/>
          <w:bottom w:val="nil"/>
          <w:right w:val="nil"/>
          <w:between w:val="nil"/>
        </w:pBdr>
        <w:spacing w:before="240" w:after="240" w:line="360" w:lineRule="auto"/>
        <w:ind w:right="-93"/>
        <w:jc w:val="both"/>
        <w:rPr>
          <w:color w:val="000000"/>
        </w:rPr>
      </w:pPr>
      <w:r w:rsidRPr="008561BE">
        <w:rPr>
          <w:rFonts w:ascii="Palatino Linotype" w:eastAsia="Palatino Linotype" w:hAnsi="Palatino Linotype" w:cs="Palatino Linotype"/>
          <w:color w:val="000000"/>
        </w:rPr>
        <w:t>En lo concerniente a este punto, es pertinente señalar que el currículum vítae es aquel que contiene la información relacionada con la trayectoria académica, profesional y laboral de un Servidor Público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 del cual se desprende el último cargo que ocupó.</w:t>
      </w:r>
    </w:p>
    <w:p w:rsidR="001E689A" w:rsidRPr="008561BE" w:rsidRDefault="00C83C0B">
      <w:pPr>
        <w:pBdr>
          <w:top w:val="nil"/>
          <w:left w:val="nil"/>
          <w:bottom w:val="nil"/>
          <w:right w:val="nil"/>
          <w:between w:val="nil"/>
        </w:pBdr>
        <w:spacing w:before="240" w:after="240" w:line="360" w:lineRule="auto"/>
        <w:ind w:right="-234"/>
        <w:jc w:val="both"/>
        <w:rPr>
          <w:color w:val="000000"/>
        </w:rPr>
      </w:pPr>
      <w:r w:rsidRPr="008561BE">
        <w:rPr>
          <w:rFonts w:ascii="Palatino Linotype" w:eastAsia="Palatino Linotype" w:hAnsi="Palatino Linotype" w:cs="Palatino Linotype"/>
          <w:color w:val="000000"/>
        </w:rPr>
        <w:t xml:space="preserve">En ese orden de ideas, si bien, el documento referido es elaborado por cada persona sin ninguna validez oficial, el cual tiene como objetivo que las personas conozcan la trayectoria de quien lo presenta, situación que toma mayor relevancia al tratarse de aquel que ostenta un cargo en la administración; por lo que, existe un interés público para dar a conocer su contenido, pues transparenta que el personal que labora para el </w:t>
      </w:r>
      <w:r w:rsidRPr="008561BE">
        <w:rPr>
          <w:rFonts w:ascii="Palatino Linotype" w:eastAsia="Palatino Linotype" w:hAnsi="Palatino Linotype" w:cs="Palatino Linotype"/>
          <w:b/>
          <w:color w:val="000000"/>
        </w:rPr>
        <w:t> Sujeto Obligado</w:t>
      </w:r>
      <w:r w:rsidRPr="008561BE">
        <w:rPr>
          <w:rFonts w:ascii="Palatino Linotype" w:eastAsia="Palatino Linotype" w:hAnsi="Palatino Linotype" w:cs="Palatino Linotype"/>
          <w:color w:val="000000"/>
        </w:rPr>
        <w:t xml:space="preserve"> cuenta con las capacidades, conocimientos y experiencia necesaria para el cabal cumplimiento de sus funciones. </w:t>
      </w:r>
    </w:p>
    <w:p w:rsidR="001E689A" w:rsidRPr="008561BE" w:rsidRDefault="00C83C0B">
      <w:pPr>
        <w:pBdr>
          <w:top w:val="nil"/>
          <w:left w:val="nil"/>
          <w:bottom w:val="nil"/>
          <w:right w:val="nil"/>
          <w:between w:val="nil"/>
        </w:pBdr>
        <w:spacing w:before="240" w:after="240" w:line="360" w:lineRule="auto"/>
        <w:ind w:right="51"/>
        <w:jc w:val="both"/>
        <w:rPr>
          <w:color w:val="000000"/>
        </w:rPr>
      </w:pPr>
      <w:r w:rsidRPr="008561BE">
        <w:rPr>
          <w:rFonts w:ascii="Palatino Linotype" w:eastAsia="Palatino Linotype" w:hAnsi="Palatino Linotype" w:cs="Palatino Linotype"/>
          <w:color w:val="000000"/>
        </w:rPr>
        <w:t xml:space="preserve">Lo que se sustenta, con lo señalado por el Instituto Federal de Acceso a la Información ahora Instituto Nacional de Transparencia Acceso a la Información y Protección de Datos Personales, en su criterio 03/2009 que indica que una de las </w:t>
      </w:r>
      <w:r w:rsidRPr="008561BE">
        <w:rPr>
          <w:rFonts w:ascii="Palatino Linotype" w:eastAsia="Palatino Linotype" w:hAnsi="Palatino Linotype" w:cs="Palatino Linotype"/>
          <w:color w:val="000000"/>
        </w:rPr>
        <w:lastRenderedPageBreak/>
        <w:t>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rsidR="001E689A" w:rsidRPr="008561BE" w:rsidRDefault="00C83C0B">
      <w:pPr>
        <w:pBdr>
          <w:top w:val="nil"/>
          <w:left w:val="nil"/>
          <w:bottom w:val="nil"/>
          <w:right w:val="nil"/>
          <w:between w:val="nil"/>
        </w:pBdr>
        <w:spacing w:before="240" w:after="240" w:line="276" w:lineRule="auto"/>
        <w:ind w:left="567" w:right="618"/>
        <w:jc w:val="both"/>
        <w:rPr>
          <w:color w:val="000000"/>
        </w:rPr>
      </w:pPr>
      <w:r w:rsidRPr="008561BE">
        <w:rPr>
          <w:rFonts w:ascii="Palatino Linotype" w:eastAsia="Palatino Linotype" w:hAnsi="Palatino Linotype" w:cs="Palatino Linotype"/>
          <w:i/>
          <w:color w:val="000000"/>
          <w:sz w:val="22"/>
          <w:szCs w:val="22"/>
        </w:rPr>
        <w:t>“</w:t>
      </w:r>
      <w:proofErr w:type="spellStart"/>
      <w:r w:rsidRPr="008561BE">
        <w:rPr>
          <w:rFonts w:ascii="Palatino Linotype" w:eastAsia="Palatino Linotype" w:hAnsi="Palatino Linotype" w:cs="Palatino Linotype"/>
          <w:b/>
          <w:i/>
          <w:color w:val="000000"/>
          <w:sz w:val="22"/>
          <w:szCs w:val="22"/>
        </w:rPr>
        <w:t>Curriculum</w:t>
      </w:r>
      <w:proofErr w:type="spellEnd"/>
      <w:r w:rsidRPr="008561BE">
        <w:rPr>
          <w:rFonts w:ascii="Palatino Linotype" w:eastAsia="Palatino Linotype" w:hAnsi="Palatino Linotype" w:cs="Palatino Linotype"/>
          <w:b/>
          <w:i/>
          <w:color w:val="000000"/>
          <w:sz w:val="22"/>
          <w:szCs w:val="22"/>
        </w:rPr>
        <w:t xml:space="preserve"> Vitae de servidores públicos. Es obligación de los sujetos obligados otorgar acceso a versiones públicas de los mismos ante una solicitud de acceso. </w:t>
      </w:r>
      <w:r w:rsidRPr="008561BE">
        <w:rPr>
          <w:rFonts w:ascii="Palatino Linotype" w:eastAsia="Palatino Linotype" w:hAnsi="Palatino Linotype" w:cs="Palatino Linotype"/>
          <w:i/>
          <w:color w:val="000000"/>
          <w:sz w:val="22"/>
          <w:szCs w:val="22"/>
        </w:rPr>
        <w:t xml:space="preserve">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w:t>
      </w:r>
      <w:proofErr w:type="spellStart"/>
      <w:r w:rsidRPr="008561BE">
        <w:rPr>
          <w:rFonts w:ascii="Palatino Linotype" w:eastAsia="Palatino Linotype" w:hAnsi="Palatino Linotype" w:cs="Palatino Linotype"/>
          <w:i/>
          <w:color w:val="000000"/>
          <w:sz w:val="22"/>
          <w:szCs w:val="22"/>
        </w:rPr>
        <w:t>curriculum</w:t>
      </w:r>
      <w:proofErr w:type="spellEnd"/>
      <w:r w:rsidRPr="008561BE">
        <w:rPr>
          <w:rFonts w:ascii="Palatino Linotype" w:eastAsia="Palatino Linotype" w:hAnsi="Palatino Linotype" w:cs="Palatino Linotype"/>
          <w:i/>
          <w:color w:val="000000"/>
          <w:sz w:val="22"/>
          <w:szCs w:val="22"/>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8561BE">
        <w:rPr>
          <w:rFonts w:ascii="Palatino Linotype" w:eastAsia="Palatino Linotype" w:hAnsi="Palatino Linotype" w:cs="Palatino Linotype"/>
          <w:i/>
          <w:color w:val="000000"/>
          <w:sz w:val="22"/>
          <w:szCs w:val="22"/>
        </w:rPr>
        <w:t>curriculum</w:t>
      </w:r>
      <w:proofErr w:type="spellEnd"/>
      <w:r w:rsidRPr="008561BE">
        <w:rPr>
          <w:rFonts w:ascii="Palatino Linotype" w:eastAsia="Palatino Linotype" w:hAnsi="Palatino Linotype" w:cs="Palatino Linotype"/>
          <w:i/>
          <w:color w:val="000000"/>
          <w:sz w:val="22"/>
          <w:szCs w:val="22"/>
        </w:rPr>
        <w:t xml:space="preserve">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rsidR="001E689A" w:rsidRPr="008561BE" w:rsidRDefault="00C83C0B">
      <w:pPr>
        <w:pBdr>
          <w:top w:val="nil"/>
          <w:left w:val="nil"/>
          <w:bottom w:val="nil"/>
          <w:right w:val="nil"/>
          <w:between w:val="nil"/>
        </w:pBdr>
        <w:spacing w:before="240" w:after="240" w:line="360" w:lineRule="auto"/>
        <w:jc w:val="both"/>
        <w:rPr>
          <w:color w:val="000000"/>
        </w:rPr>
      </w:pPr>
      <w:r w:rsidRPr="008561BE">
        <w:rPr>
          <w:rFonts w:ascii="Palatino Linotype" w:eastAsia="Palatino Linotype" w:hAnsi="Palatino Linotype" w:cs="Palatino Linotype"/>
          <w:color w:val="000000"/>
        </w:rPr>
        <w:t xml:space="preserve">En esa tesitura, debe apuntarse que esta constituye una obligación de transparencia, pues el </w:t>
      </w:r>
      <w:r w:rsidRPr="008561BE">
        <w:rPr>
          <w:rFonts w:ascii="Palatino Linotype" w:eastAsia="Palatino Linotype" w:hAnsi="Palatino Linotype" w:cs="Palatino Linotype"/>
          <w:b/>
          <w:color w:val="000000"/>
        </w:rPr>
        <w:t>Sujeto Obligado</w:t>
      </w:r>
      <w:r w:rsidRPr="008561BE">
        <w:rPr>
          <w:rFonts w:ascii="Palatino Linotype" w:eastAsia="Palatino Linotype" w:hAnsi="Palatino Linotype" w:cs="Palatino Linotype"/>
          <w:color w:val="000000"/>
        </w:rPr>
        <w:t xml:space="preserve"> se encuentra constreñido a poner a disposición del público en su portal de Información Pública de Oficio Mexiquense (IPOMEX), la información curricular de sus servidores públicos, ello con la finalidad de enaltecer los principios </w:t>
      </w:r>
      <w:r w:rsidRPr="008561BE">
        <w:rPr>
          <w:rFonts w:ascii="Palatino Linotype" w:eastAsia="Palatino Linotype" w:hAnsi="Palatino Linotype" w:cs="Palatino Linotype"/>
          <w:color w:val="000000"/>
        </w:rPr>
        <w:lastRenderedPageBreak/>
        <w:t>de máxima publicidad, transparencia y certeza, como lo estipula el artículo 92, fracción XXI de la ley aplicable a la materia, que es del tenor literal siguiente: </w:t>
      </w:r>
    </w:p>
    <w:p w:rsidR="001E689A" w:rsidRPr="008561BE" w:rsidRDefault="00C83C0B">
      <w:pPr>
        <w:pBdr>
          <w:top w:val="nil"/>
          <w:left w:val="nil"/>
          <w:bottom w:val="nil"/>
          <w:right w:val="nil"/>
          <w:between w:val="nil"/>
        </w:pBdr>
        <w:spacing w:before="240" w:after="240" w:line="276" w:lineRule="auto"/>
        <w:ind w:left="567" w:right="902"/>
        <w:jc w:val="both"/>
        <w:rPr>
          <w:color w:val="000000"/>
        </w:rPr>
      </w:pPr>
      <w:r w:rsidRPr="008561BE">
        <w:rPr>
          <w:rFonts w:ascii="Palatino Linotype" w:eastAsia="Palatino Linotype" w:hAnsi="Palatino Linotype" w:cs="Palatino Linotype"/>
          <w:i/>
          <w:color w:val="000000"/>
          <w:sz w:val="22"/>
          <w:szCs w:val="22"/>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1E689A" w:rsidRPr="008561BE" w:rsidRDefault="00C83C0B">
      <w:pPr>
        <w:pBdr>
          <w:top w:val="nil"/>
          <w:left w:val="nil"/>
          <w:bottom w:val="nil"/>
          <w:right w:val="nil"/>
          <w:between w:val="nil"/>
        </w:pBdr>
        <w:spacing w:before="240" w:after="240" w:line="276" w:lineRule="auto"/>
        <w:ind w:left="567" w:right="902"/>
        <w:jc w:val="both"/>
        <w:rPr>
          <w:color w:val="000000"/>
        </w:rPr>
      </w:pPr>
      <w:r w:rsidRPr="008561BE">
        <w:rPr>
          <w:rFonts w:ascii="Palatino Linotype" w:eastAsia="Palatino Linotype" w:hAnsi="Palatino Linotype" w:cs="Palatino Linotype"/>
          <w:i/>
          <w:color w:val="000000"/>
          <w:sz w:val="22"/>
          <w:szCs w:val="22"/>
        </w:rPr>
        <w:t>...</w:t>
      </w:r>
    </w:p>
    <w:p w:rsidR="001E689A" w:rsidRPr="008561BE" w:rsidRDefault="00C83C0B">
      <w:pPr>
        <w:pBdr>
          <w:top w:val="nil"/>
          <w:left w:val="nil"/>
          <w:bottom w:val="nil"/>
          <w:right w:val="nil"/>
          <w:between w:val="nil"/>
        </w:pBdr>
        <w:spacing w:before="240" w:after="240" w:line="276" w:lineRule="auto"/>
        <w:ind w:left="567" w:right="902"/>
        <w:jc w:val="both"/>
        <w:rPr>
          <w:color w:val="000000"/>
        </w:rPr>
      </w:pPr>
      <w:r w:rsidRPr="008561BE">
        <w:rPr>
          <w:rFonts w:ascii="Palatino Linotype" w:eastAsia="Palatino Linotype" w:hAnsi="Palatino Linotype" w:cs="Palatino Linotype"/>
          <w:b/>
          <w:i/>
          <w:color w:val="000000"/>
          <w:sz w:val="22"/>
          <w:szCs w:val="22"/>
        </w:rPr>
        <w:t>XXI. La información curricular, desde el nivel de jefe de departamento o equivalente, hasta el titular del sujeto obligado</w:t>
      </w:r>
      <w:r w:rsidRPr="008561BE">
        <w:rPr>
          <w:rFonts w:ascii="Palatino Linotype" w:eastAsia="Palatino Linotype" w:hAnsi="Palatino Linotype" w:cs="Palatino Linotype"/>
          <w:i/>
          <w:color w:val="000000"/>
          <w:sz w:val="22"/>
          <w:szCs w:val="22"/>
        </w:rPr>
        <w:t>, así como, en su caso, las sanciones administrativas de que haya sido objeto” (Énfasis añadido)</w:t>
      </w:r>
    </w:p>
    <w:p w:rsidR="001E689A" w:rsidRPr="008561BE" w:rsidRDefault="00C83C0B">
      <w:pPr>
        <w:pBdr>
          <w:top w:val="nil"/>
          <w:left w:val="nil"/>
          <w:bottom w:val="nil"/>
          <w:right w:val="nil"/>
          <w:between w:val="nil"/>
        </w:pBdr>
        <w:spacing w:before="240" w:after="240" w:line="360" w:lineRule="auto"/>
        <w:ind w:right="51"/>
        <w:jc w:val="both"/>
        <w:rPr>
          <w:color w:val="000000"/>
        </w:rPr>
      </w:pPr>
      <w:r w:rsidRPr="008561BE">
        <w:rPr>
          <w:rFonts w:ascii="Palatino Linotype" w:eastAsia="Palatino Linotype" w:hAnsi="Palatino Linotype" w:cs="Palatino Linotype"/>
          <w:color w:val="000000"/>
        </w:rPr>
        <w:t>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rsidR="001E689A" w:rsidRPr="008561BE" w:rsidRDefault="00C83C0B">
      <w:pPr>
        <w:pBdr>
          <w:top w:val="nil"/>
          <w:left w:val="nil"/>
          <w:bottom w:val="nil"/>
          <w:right w:val="nil"/>
          <w:between w:val="nil"/>
        </w:pBdr>
        <w:spacing w:before="240" w:after="240" w:line="276" w:lineRule="auto"/>
        <w:ind w:left="567" w:right="902"/>
        <w:jc w:val="both"/>
        <w:rPr>
          <w:color w:val="000000"/>
        </w:rPr>
      </w:pPr>
      <w:r w:rsidRPr="008561BE">
        <w:rPr>
          <w:rFonts w:ascii="Palatino Linotype" w:eastAsia="Palatino Linotype" w:hAnsi="Palatino Linotype" w:cs="Palatino Linotype"/>
          <w:i/>
          <w:color w:val="000000"/>
          <w:sz w:val="22"/>
          <w:szCs w:val="22"/>
        </w:rPr>
        <w:t>“XVII. La información curricular desde el nivel de jefe de departamento o equivalente hasta el titular del sujeto obligado, así como, en su caso, las sanciones administrativas de que haya sido objeto. </w:t>
      </w:r>
    </w:p>
    <w:p w:rsidR="001E689A" w:rsidRPr="008561BE" w:rsidRDefault="00C83C0B">
      <w:pPr>
        <w:pBdr>
          <w:top w:val="nil"/>
          <w:left w:val="nil"/>
          <w:bottom w:val="nil"/>
          <w:right w:val="nil"/>
          <w:between w:val="nil"/>
        </w:pBdr>
        <w:spacing w:before="240" w:after="240" w:line="276" w:lineRule="auto"/>
        <w:ind w:left="567" w:right="902"/>
        <w:jc w:val="both"/>
        <w:rPr>
          <w:color w:val="000000"/>
        </w:rPr>
      </w:pPr>
      <w:r w:rsidRPr="008561BE">
        <w:rPr>
          <w:rFonts w:ascii="Palatino Linotype" w:eastAsia="Palatino Linotype" w:hAnsi="Palatino Linotype" w:cs="Palatino Linotype"/>
          <w:b/>
          <w:i/>
          <w:color w:val="000000"/>
          <w:sz w:val="22"/>
          <w:szCs w:val="22"/>
        </w:rPr>
        <w:t xml:space="preserve">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w:t>
      </w:r>
      <w:r w:rsidRPr="008561BE">
        <w:rPr>
          <w:rFonts w:ascii="Palatino Linotype" w:eastAsia="Palatino Linotype" w:hAnsi="Palatino Linotype" w:cs="Palatino Linotype"/>
          <w:b/>
          <w:i/>
          <w:color w:val="000000"/>
          <w:sz w:val="22"/>
          <w:szCs w:val="22"/>
        </w:rPr>
        <w:lastRenderedPageBreak/>
        <w:t xml:space="preserve">el sujeto obligado </w:t>
      </w:r>
      <w:r w:rsidRPr="008561BE">
        <w:rPr>
          <w:rFonts w:ascii="Palatino Linotype" w:eastAsia="Palatino Linotype" w:hAnsi="Palatino Linotype" w:cs="Palatino Linotype"/>
          <w:i/>
          <w:color w:val="000000"/>
          <w:sz w:val="22"/>
          <w:szCs w:val="22"/>
        </w:rPr>
        <w:t>–desde nivel de jefe de departamento o equivalente y hasta el titular del sujeto obligado–, que permita conocer su trayectoria en el ámbito laboral y escolar. </w:t>
      </w:r>
    </w:p>
    <w:p w:rsidR="001E689A" w:rsidRPr="008561BE" w:rsidRDefault="00C83C0B">
      <w:pPr>
        <w:pBdr>
          <w:top w:val="nil"/>
          <w:left w:val="nil"/>
          <w:bottom w:val="nil"/>
          <w:right w:val="nil"/>
          <w:between w:val="nil"/>
        </w:pBdr>
        <w:spacing w:before="240" w:after="240" w:line="276" w:lineRule="auto"/>
        <w:ind w:left="567" w:right="902"/>
        <w:jc w:val="both"/>
        <w:rPr>
          <w:color w:val="000000"/>
        </w:rPr>
      </w:pPr>
      <w:r w:rsidRPr="008561BE">
        <w:rPr>
          <w:rFonts w:ascii="Palatino Linotype" w:eastAsia="Palatino Linotype" w:hAnsi="Palatino Linotype" w:cs="Palatino Linotype"/>
          <w:i/>
          <w:color w:val="000000"/>
          <w:sz w:val="22"/>
          <w:szCs w:val="22"/>
        </w:rPr>
        <w:t>Por cada servidor(a) público(a) se deberá especificar si ha sido acreedor a sanciones administrativas definitivas y que hayan sido aplicadas por autoridad u organismo competente. </w:t>
      </w:r>
    </w:p>
    <w:p w:rsidR="001E689A" w:rsidRPr="008561BE" w:rsidRDefault="00C83C0B">
      <w:pPr>
        <w:pBdr>
          <w:top w:val="nil"/>
          <w:left w:val="nil"/>
          <w:bottom w:val="nil"/>
          <w:right w:val="nil"/>
          <w:between w:val="nil"/>
        </w:pBdr>
        <w:spacing w:before="240" w:after="240" w:line="276" w:lineRule="auto"/>
        <w:ind w:left="567" w:right="902"/>
        <w:jc w:val="both"/>
        <w:rPr>
          <w:color w:val="000000"/>
        </w:rPr>
      </w:pPr>
      <w:r w:rsidRPr="008561BE">
        <w:rPr>
          <w:rFonts w:ascii="Palatino Linotype" w:eastAsia="Palatino Linotype" w:hAnsi="Palatino Linotype" w:cs="Palatino Linotype"/>
          <w:b/>
          <w:i/>
          <w:color w:val="000000"/>
          <w:sz w:val="22"/>
          <w:szCs w:val="22"/>
        </w:rPr>
        <w:t>Periodo de actualización: trimestral </w:t>
      </w:r>
    </w:p>
    <w:p w:rsidR="001E689A" w:rsidRPr="008561BE" w:rsidRDefault="00C83C0B">
      <w:pPr>
        <w:pBdr>
          <w:top w:val="nil"/>
          <w:left w:val="nil"/>
          <w:bottom w:val="nil"/>
          <w:right w:val="nil"/>
          <w:between w:val="nil"/>
        </w:pBdr>
        <w:spacing w:before="240" w:after="240" w:line="276" w:lineRule="auto"/>
        <w:ind w:left="567" w:right="902"/>
        <w:jc w:val="both"/>
        <w:rPr>
          <w:color w:val="000000"/>
        </w:rPr>
      </w:pPr>
      <w:r w:rsidRPr="008561BE">
        <w:rPr>
          <w:rFonts w:ascii="Palatino Linotype" w:eastAsia="Palatino Linotype" w:hAnsi="Palatino Linotype" w:cs="Palatino Linotype"/>
          <w:b/>
          <w:i/>
          <w:color w:val="000000"/>
          <w:sz w:val="22"/>
          <w:szCs w:val="22"/>
        </w:rPr>
        <w:t>En su caso, 15 días hábiles después de alguna modificación a la información de los servidores públicos que integran el sujeto obligado, así como su información curricular.</w:t>
      </w:r>
    </w:p>
    <w:p w:rsidR="001E689A" w:rsidRPr="008561BE" w:rsidRDefault="00C83C0B">
      <w:pPr>
        <w:pBdr>
          <w:top w:val="nil"/>
          <w:left w:val="nil"/>
          <w:bottom w:val="nil"/>
          <w:right w:val="nil"/>
          <w:between w:val="nil"/>
        </w:pBdr>
        <w:spacing w:before="240" w:after="240" w:line="276" w:lineRule="auto"/>
        <w:ind w:left="567" w:right="902"/>
        <w:jc w:val="both"/>
        <w:rPr>
          <w:color w:val="000000"/>
        </w:rPr>
      </w:pPr>
      <w:r w:rsidRPr="008561BE">
        <w:rPr>
          <w:rFonts w:ascii="Palatino Linotype" w:eastAsia="Palatino Linotype" w:hAnsi="Palatino Linotype" w:cs="Palatino Linotype"/>
          <w:b/>
          <w:i/>
          <w:color w:val="000000"/>
          <w:sz w:val="22"/>
          <w:szCs w:val="22"/>
        </w:rPr>
        <w:t>Conservar en el sitio de Internet: información vigente </w:t>
      </w:r>
    </w:p>
    <w:p w:rsidR="001E689A" w:rsidRPr="008561BE" w:rsidRDefault="00C83C0B">
      <w:pPr>
        <w:pBdr>
          <w:top w:val="nil"/>
          <w:left w:val="nil"/>
          <w:bottom w:val="nil"/>
          <w:right w:val="nil"/>
          <w:between w:val="nil"/>
        </w:pBdr>
        <w:spacing w:before="240" w:after="240" w:line="276" w:lineRule="auto"/>
        <w:ind w:left="567" w:right="902"/>
        <w:jc w:val="both"/>
        <w:rPr>
          <w:color w:val="000000"/>
        </w:rPr>
      </w:pPr>
      <w:r w:rsidRPr="008561BE">
        <w:rPr>
          <w:rFonts w:ascii="Palatino Linotype" w:eastAsia="Palatino Linotype" w:hAnsi="Palatino Linotype" w:cs="Palatino Linotype"/>
          <w:b/>
          <w:i/>
          <w:color w:val="000000"/>
          <w:sz w:val="22"/>
          <w:szCs w:val="22"/>
        </w:rPr>
        <w:t>Aplica a: todos los sujetos obligados</w:t>
      </w:r>
      <w:proofErr w:type="gramStart"/>
      <w:r w:rsidRPr="008561BE">
        <w:rPr>
          <w:rFonts w:ascii="Palatino Linotype" w:eastAsia="Palatino Linotype" w:hAnsi="Palatino Linotype" w:cs="Palatino Linotype"/>
          <w:i/>
          <w:color w:val="000000"/>
          <w:sz w:val="22"/>
          <w:szCs w:val="22"/>
        </w:rPr>
        <w:t>”(</w:t>
      </w:r>
      <w:proofErr w:type="gramEnd"/>
      <w:r w:rsidRPr="008561BE">
        <w:rPr>
          <w:rFonts w:ascii="Palatino Linotype" w:eastAsia="Palatino Linotype" w:hAnsi="Palatino Linotype" w:cs="Palatino Linotype"/>
          <w:i/>
          <w:color w:val="000000"/>
          <w:sz w:val="22"/>
          <w:szCs w:val="22"/>
        </w:rPr>
        <w:t>Énfasis añadido)</w:t>
      </w:r>
    </w:p>
    <w:p w:rsidR="001E689A" w:rsidRPr="008561BE" w:rsidRDefault="00C83C0B">
      <w:pPr>
        <w:pBdr>
          <w:top w:val="nil"/>
          <w:left w:val="nil"/>
          <w:bottom w:val="nil"/>
          <w:right w:val="nil"/>
          <w:between w:val="nil"/>
        </w:pBdr>
        <w:spacing w:before="240" w:after="240" w:line="360" w:lineRule="auto"/>
        <w:ind w:right="51"/>
        <w:jc w:val="both"/>
        <w:rPr>
          <w:color w:val="000000"/>
        </w:rPr>
      </w:pPr>
      <w:r w:rsidRPr="008561BE">
        <w:rPr>
          <w:rFonts w:ascii="Palatino Linotype" w:eastAsia="Palatino Linotype" w:hAnsi="Palatino Linotype" w:cs="Palatino Linotype"/>
          <w:noProof/>
          <w:color w:val="000000"/>
        </w:rPr>
        <w:drawing>
          <wp:inline distT="0" distB="0" distL="0" distR="0">
            <wp:extent cx="5724525" cy="3333750"/>
            <wp:effectExtent l="0" t="0" r="0" b="0"/>
            <wp:docPr id="126" name="image15.png" descr="https://lh4.googleusercontent.com/DFTmPt32Xdf8pnx9wvaqoy9EvhRULZjAyK1fqOlVBLfWQVSgeQnX4QxNGG1j-tGFMS1U4MyKUJtylBrDDwmeJLpfJ79uH0wGKMscMef5JtWoAW8A4tgBTuRmqWAaXgPJe732z31cbF_TLhFyLPjE"/>
            <wp:cNvGraphicFramePr/>
            <a:graphic xmlns:a="http://schemas.openxmlformats.org/drawingml/2006/main">
              <a:graphicData uri="http://schemas.openxmlformats.org/drawingml/2006/picture">
                <pic:pic xmlns:pic="http://schemas.openxmlformats.org/drawingml/2006/picture">
                  <pic:nvPicPr>
                    <pic:cNvPr id="0" name="image15.png" descr="https://lh4.googleusercontent.com/DFTmPt32Xdf8pnx9wvaqoy9EvhRULZjAyK1fqOlVBLfWQVSgeQnX4QxNGG1j-tGFMS1U4MyKUJtylBrDDwmeJLpfJ79uH0wGKMscMef5JtWoAW8A4tgBTuRmqWAaXgPJe732z31cbF_TLhFyLPjE"/>
                    <pic:cNvPicPr preferRelativeResize="0"/>
                  </pic:nvPicPr>
                  <pic:blipFill>
                    <a:blip r:embed="rId24"/>
                    <a:srcRect/>
                    <a:stretch>
                      <a:fillRect/>
                    </a:stretch>
                  </pic:blipFill>
                  <pic:spPr>
                    <a:xfrm>
                      <a:off x="0" y="0"/>
                      <a:ext cx="5724525" cy="3333750"/>
                    </a:xfrm>
                    <a:prstGeom prst="rect">
                      <a:avLst/>
                    </a:prstGeom>
                    <a:ln/>
                  </pic:spPr>
                </pic:pic>
              </a:graphicData>
            </a:graphic>
          </wp:inline>
        </w:drawing>
      </w:r>
    </w:p>
    <w:p w:rsidR="001E689A" w:rsidRPr="008561BE" w:rsidRDefault="00C83C0B">
      <w:pPr>
        <w:pBdr>
          <w:top w:val="nil"/>
          <w:left w:val="nil"/>
          <w:bottom w:val="nil"/>
          <w:right w:val="nil"/>
          <w:between w:val="nil"/>
        </w:pBdr>
        <w:spacing w:before="240" w:after="240" w:line="360" w:lineRule="auto"/>
        <w:ind w:right="51"/>
        <w:jc w:val="both"/>
        <w:rPr>
          <w:color w:val="000000"/>
        </w:rPr>
      </w:pPr>
      <w:r w:rsidRPr="008561BE">
        <w:rPr>
          <w:rFonts w:ascii="Palatino Linotype" w:eastAsia="Palatino Linotype" w:hAnsi="Palatino Linotype" w:cs="Palatino Linotype"/>
          <w:noProof/>
          <w:color w:val="000000"/>
        </w:rPr>
        <w:lastRenderedPageBreak/>
        <w:drawing>
          <wp:inline distT="0" distB="0" distL="0" distR="0">
            <wp:extent cx="5610225" cy="3000375"/>
            <wp:effectExtent l="0" t="0" r="0" b="0"/>
            <wp:docPr id="127" name="image16.png" descr="https://lh5.googleusercontent.com/RIWkmHOSFqRcag6ud4rgeCYDSApi6YAbEN9rUyRIBgne3eerILSyfgtlHG-0CcBAuuyPI2A8rHqJmuQqstyLfD-6Q03xtPApdN92Qd5aI-FghmNOlAsONhMfBHEDgW2-CN6ei7I_Zt4c8a2F_JA4"/>
            <wp:cNvGraphicFramePr/>
            <a:graphic xmlns:a="http://schemas.openxmlformats.org/drawingml/2006/main">
              <a:graphicData uri="http://schemas.openxmlformats.org/drawingml/2006/picture">
                <pic:pic xmlns:pic="http://schemas.openxmlformats.org/drawingml/2006/picture">
                  <pic:nvPicPr>
                    <pic:cNvPr id="0" name="image16.png" descr="https://lh5.googleusercontent.com/RIWkmHOSFqRcag6ud4rgeCYDSApi6YAbEN9rUyRIBgne3eerILSyfgtlHG-0CcBAuuyPI2A8rHqJmuQqstyLfD-6Q03xtPApdN92Qd5aI-FghmNOlAsONhMfBHEDgW2-CN6ei7I_Zt4c8a2F_JA4"/>
                    <pic:cNvPicPr preferRelativeResize="0"/>
                  </pic:nvPicPr>
                  <pic:blipFill>
                    <a:blip r:embed="rId25"/>
                    <a:srcRect/>
                    <a:stretch>
                      <a:fillRect/>
                    </a:stretch>
                  </pic:blipFill>
                  <pic:spPr>
                    <a:xfrm>
                      <a:off x="0" y="0"/>
                      <a:ext cx="5610225" cy="3000375"/>
                    </a:xfrm>
                    <a:prstGeom prst="rect">
                      <a:avLst/>
                    </a:prstGeom>
                    <a:ln/>
                  </pic:spPr>
                </pic:pic>
              </a:graphicData>
            </a:graphic>
          </wp:inline>
        </w:drawing>
      </w:r>
    </w:p>
    <w:p w:rsidR="001E689A" w:rsidRPr="008561BE" w:rsidRDefault="00C83C0B">
      <w:pPr>
        <w:pBdr>
          <w:top w:val="nil"/>
          <w:left w:val="nil"/>
          <w:bottom w:val="nil"/>
          <w:right w:val="nil"/>
          <w:between w:val="nil"/>
        </w:pBdr>
        <w:spacing w:before="240" w:after="240" w:line="360" w:lineRule="auto"/>
        <w:ind w:right="51"/>
        <w:jc w:val="both"/>
        <w:rPr>
          <w:color w:val="000000"/>
        </w:rPr>
      </w:pPr>
      <w:r w:rsidRPr="008561BE">
        <w:rPr>
          <w:rFonts w:ascii="Palatino Linotype" w:eastAsia="Palatino Linotype" w:hAnsi="Palatino Linotype" w:cs="Palatino Linotype"/>
          <w:color w:val="000000"/>
        </w:rPr>
        <w:t xml:space="preserve">Como se aprecia en el dispositivo legal citado, lo sujetos obligados deben publicar la información curricular de los(as) servidores(as) públicos(as) y/o personas que desempeñen actualmente un empleo, cargo o comisión y/o ejerzan actos de autoridad en el </w:t>
      </w:r>
      <w:r w:rsidRPr="008561BE">
        <w:rPr>
          <w:rFonts w:ascii="Palatino Linotype" w:eastAsia="Palatino Linotype" w:hAnsi="Palatino Linotype" w:cs="Palatino Linotype"/>
          <w:b/>
          <w:color w:val="000000"/>
        </w:rPr>
        <w:t xml:space="preserve">Sujeto Obligado, </w:t>
      </w:r>
      <w:r w:rsidRPr="008561BE">
        <w:rPr>
          <w:rFonts w:ascii="Palatino Linotype" w:eastAsia="Palatino Linotype" w:hAnsi="Palatino Linotype" w:cs="Palatino Linotype"/>
          <w:color w:val="000000"/>
        </w:rPr>
        <w:t>como se apreció en la cita, debe precisarse que dicha circunstancia no es</w:t>
      </w:r>
      <w:r w:rsidRPr="008561BE">
        <w:rPr>
          <w:rFonts w:ascii="Palatino Linotype" w:eastAsia="Palatino Linotype" w:hAnsi="Palatino Linotype" w:cs="Palatino Linotype"/>
          <w:b/>
          <w:color w:val="000000"/>
        </w:rPr>
        <w:t xml:space="preserve"> </w:t>
      </w:r>
      <w:r w:rsidRPr="008561BE">
        <w:rPr>
          <w:rFonts w:ascii="Palatino Linotype" w:eastAsia="Palatino Linotype" w:hAnsi="Palatino Linotype" w:cs="Palatino Linotype"/>
          <w:color w:val="000000"/>
        </w:rPr>
        <w:t>óbice para que se encuentre impedido a contar con dicha información respecto de todos los servidores públicos con los que tenga una relación laboral.</w:t>
      </w:r>
    </w:p>
    <w:p w:rsidR="001E689A" w:rsidRPr="008561BE" w:rsidRDefault="00C83C0B">
      <w:pPr>
        <w:pBdr>
          <w:top w:val="nil"/>
          <w:left w:val="nil"/>
          <w:bottom w:val="nil"/>
          <w:right w:val="nil"/>
          <w:between w:val="nil"/>
        </w:pBdr>
        <w:spacing w:before="240" w:after="240" w:line="360" w:lineRule="auto"/>
        <w:ind w:right="49"/>
        <w:jc w:val="both"/>
        <w:rPr>
          <w:color w:val="000000"/>
        </w:rPr>
      </w:pPr>
      <w:r w:rsidRPr="008561BE">
        <w:rPr>
          <w:rFonts w:ascii="Palatino Linotype" w:eastAsia="Palatino Linotype" w:hAnsi="Palatino Linotype" w:cs="Palatino Linotype"/>
          <w:color w:val="000000"/>
        </w:rPr>
        <w:t xml:space="preserve">De lo anterior, se desprende que una de las formas en que los ciudadanos pueden evaluar las aptitudes para desempeñar un cargo público determinado, es mediante la publicidad de ciertos datos contenidos en la ficha curricular, tales como: la trayectoria académica, profesional, laboral, así como todos aquellos que acrediten su capacidad, habilidades y pericia para ocupar el puesto público. Lo anterior, para </w:t>
      </w:r>
      <w:r w:rsidRPr="008561BE">
        <w:rPr>
          <w:rFonts w:ascii="Palatino Linotype" w:eastAsia="Palatino Linotype" w:hAnsi="Palatino Linotype" w:cs="Palatino Linotype"/>
          <w:color w:val="000000"/>
        </w:rPr>
        <w:lastRenderedPageBreak/>
        <w:t>favorecer la rendición de cuentas, pues la publicidad de lo anterior tiene como fin verificar el correcto desempeño de los sujetos obligados.</w:t>
      </w:r>
    </w:p>
    <w:p w:rsidR="001E689A" w:rsidRPr="008561BE" w:rsidRDefault="00C83C0B">
      <w:pPr>
        <w:pBdr>
          <w:top w:val="nil"/>
          <w:left w:val="nil"/>
          <w:bottom w:val="nil"/>
          <w:right w:val="nil"/>
          <w:between w:val="nil"/>
        </w:pBdr>
        <w:spacing w:before="240" w:after="240" w:line="360" w:lineRule="auto"/>
        <w:jc w:val="both"/>
        <w:rPr>
          <w:color w:val="000000"/>
        </w:rPr>
      </w:pPr>
      <w:r w:rsidRPr="008561BE">
        <w:rPr>
          <w:rFonts w:ascii="Palatino Linotype" w:eastAsia="Palatino Linotype" w:hAnsi="Palatino Linotype" w:cs="Palatino Linotype"/>
          <w:color w:val="000000"/>
        </w:rPr>
        <w:t xml:space="preserve">Por otro lado, otro documento en donde pudiera constar la información curricular de sus servidores públicos del </w:t>
      </w:r>
      <w:r w:rsidRPr="008561BE">
        <w:rPr>
          <w:rFonts w:ascii="Palatino Linotype" w:eastAsia="Palatino Linotype" w:hAnsi="Palatino Linotype" w:cs="Palatino Linotype"/>
          <w:b/>
          <w:color w:val="000000"/>
        </w:rPr>
        <w:t>Sujeto Obligado</w:t>
      </w:r>
      <w:r w:rsidRPr="008561BE">
        <w:rPr>
          <w:rFonts w:ascii="Palatino Linotype" w:eastAsia="Palatino Linotype" w:hAnsi="Palatino Linotype" w:cs="Palatino Linotype"/>
          <w:color w:val="000000"/>
        </w:rPr>
        <w:t>, sería de manera enunciativa más no limitada la solicitud de empleo.</w:t>
      </w:r>
    </w:p>
    <w:p w:rsidR="001E689A" w:rsidRPr="008561BE" w:rsidRDefault="00C83C0B">
      <w:pPr>
        <w:pBdr>
          <w:top w:val="nil"/>
          <w:left w:val="nil"/>
          <w:bottom w:val="nil"/>
          <w:right w:val="nil"/>
          <w:between w:val="nil"/>
        </w:pBdr>
        <w:spacing w:before="240" w:after="240" w:line="360" w:lineRule="auto"/>
        <w:jc w:val="both"/>
        <w:rPr>
          <w:color w:val="000000"/>
        </w:rPr>
      </w:pPr>
      <w:r w:rsidRPr="008561BE">
        <w:rPr>
          <w:rFonts w:ascii="Palatino Linotype" w:eastAsia="Palatino Linotype" w:hAnsi="Palatino Linotype" w:cs="Palatino Linotype"/>
          <w:color w:val="000000"/>
        </w:rPr>
        <w:t>Sobre la solicitud de empleo, es un documento en el que se pudiere advertir también la experiencia académica, capacitaciones o aprendizajes de un Servidor Público, ya que la solicitud de empleo, debe ser presentada para ingresar al servicio público por así determinarlo el artículo 47 de la Ley del Trabajo de los Servidores Públicos del Estado y Municipios, vigente en la entidad, el cual a la letra dice lo siguiente:</w:t>
      </w:r>
    </w:p>
    <w:p w:rsidR="001E689A" w:rsidRPr="008561BE" w:rsidRDefault="00C83C0B">
      <w:pPr>
        <w:pBdr>
          <w:top w:val="nil"/>
          <w:left w:val="nil"/>
          <w:bottom w:val="nil"/>
          <w:right w:val="nil"/>
          <w:between w:val="nil"/>
        </w:pBdr>
        <w:spacing w:before="240" w:after="240" w:line="276" w:lineRule="auto"/>
        <w:ind w:left="567" w:right="618"/>
        <w:jc w:val="both"/>
        <w:rPr>
          <w:color w:val="000000"/>
        </w:rPr>
      </w:pPr>
      <w:r w:rsidRPr="008561BE">
        <w:rPr>
          <w:rFonts w:ascii="Palatino Linotype" w:eastAsia="Palatino Linotype" w:hAnsi="Palatino Linotype" w:cs="Palatino Linotype"/>
          <w:i/>
          <w:color w:val="000000"/>
          <w:sz w:val="22"/>
          <w:szCs w:val="22"/>
        </w:rPr>
        <w:t>“</w:t>
      </w:r>
      <w:r w:rsidRPr="008561BE">
        <w:rPr>
          <w:rFonts w:ascii="Palatino Linotype" w:eastAsia="Palatino Linotype" w:hAnsi="Palatino Linotype" w:cs="Palatino Linotype"/>
          <w:b/>
          <w:i/>
          <w:color w:val="000000"/>
          <w:sz w:val="22"/>
          <w:szCs w:val="22"/>
        </w:rPr>
        <w:t>ARTÍCULO 47</w:t>
      </w:r>
      <w:r w:rsidRPr="008561BE">
        <w:rPr>
          <w:rFonts w:ascii="Palatino Linotype" w:eastAsia="Palatino Linotype" w:hAnsi="Palatino Linotype" w:cs="Palatino Linotype"/>
          <w:i/>
          <w:color w:val="000000"/>
          <w:sz w:val="22"/>
          <w:szCs w:val="22"/>
        </w:rPr>
        <w:t>. Para ingresar al servicio público se requiere: </w:t>
      </w:r>
    </w:p>
    <w:p w:rsidR="001E689A" w:rsidRPr="008561BE" w:rsidRDefault="00C83C0B">
      <w:pPr>
        <w:pBdr>
          <w:top w:val="nil"/>
          <w:left w:val="nil"/>
          <w:bottom w:val="nil"/>
          <w:right w:val="nil"/>
          <w:between w:val="nil"/>
        </w:pBdr>
        <w:spacing w:before="240" w:after="240" w:line="276" w:lineRule="auto"/>
        <w:ind w:left="567" w:right="618"/>
        <w:jc w:val="both"/>
        <w:rPr>
          <w:color w:val="000000"/>
        </w:rPr>
      </w:pPr>
      <w:r w:rsidRPr="008561BE">
        <w:rPr>
          <w:rFonts w:ascii="Palatino Linotype" w:eastAsia="Palatino Linotype" w:hAnsi="Palatino Linotype" w:cs="Palatino Linotype"/>
          <w:i/>
          <w:color w:val="000000"/>
          <w:sz w:val="22"/>
          <w:szCs w:val="22"/>
        </w:rPr>
        <w:t>I</w:t>
      </w:r>
      <w:r w:rsidRPr="008561BE">
        <w:rPr>
          <w:rFonts w:ascii="Palatino Linotype" w:eastAsia="Palatino Linotype" w:hAnsi="Palatino Linotype" w:cs="Palatino Linotype"/>
          <w:b/>
          <w:i/>
          <w:color w:val="000000"/>
          <w:sz w:val="22"/>
          <w:szCs w:val="22"/>
        </w:rPr>
        <w:t>. Presentar una solicitud utilizando la forma oficial que se autorice por la institución pública o dependencia correspondiente</w:t>
      </w:r>
      <w:r w:rsidRPr="008561BE">
        <w:rPr>
          <w:rFonts w:ascii="Palatino Linotype" w:eastAsia="Palatino Linotype" w:hAnsi="Palatino Linotype" w:cs="Palatino Linotype"/>
          <w:i/>
          <w:color w:val="000000"/>
          <w:sz w:val="22"/>
          <w:szCs w:val="22"/>
        </w:rPr>
        <w:t>; </w:t>
      </w:r>
    </w:p>
    <w:p w:rsidR="001E689A" w:rsidRPr="008561BE" w:rsidRDefault="00C83C0B">
      <w:pPr>
        <w:pBdr>
          <w:top w:val="nil"/>
          <w:left w:val="nil"/>
          <w:bottom w:val="nil"/>
          <w:right w:val="nil"/>
          <w:between w:val="nil"/>
        </w:pBdr>
        <w:spacing w:before="240" w:after="240" w:line="276" w:lineRule="auto"/>
        <w:ind w:left="567" w:right="618"/>
        <w:jc w:val="both"/>
        <w:rPr>
          <w:color w:val="000000"/>
        </w:rPr>
      </w:pPr>
      <w:r w:rsidRPr="008561BE">
        <w:rPr>
          <w:rFonts w:ascii="Palatino Linotype" w:eastAsia="Palatino Linotype" w:hAnsi="Palatino Linotype" w:cs="Palatino Linotype"/>
          <w:i/>
          <w:color w:val="000000"/>
          <w:sz w:val="22"/>
          <w:szCs w:val="22"/>
        </w:rPr>
        <w:t>II. Ser de nacionalidad mexicana, con la excepción prevista en el artículo 17 de la presente ley;</w:t>
      </w:r>
    </w:p>
    <w:p w:rsidR="001E689A" w:rsidRPr="008561BE" w:rsidRDefault="00C83C0B">
      <w:pPr>
        <w:pBdr>
          <w:top w:val="nil"/>
          <w:left w:val="nil"/>
          <w:bottom w:val="nil"/>
          <w:right w:val="nil"/>
          <w:between w:val="nil"/>
        </w:pBdr>
        <w:spacing w:before="240" w:after="240" w:line="276" w:lineRule="auto"/>
        <w:ind w:left="567" w:right="618"/>
        <w:jc w:val="both"/>
        <w:rPr>
          <w:color w:val="000000"/>
        </w:rPr>
      </w:pPr>
      <w:r w:rsidRPr="008561BE">
        <w:rPr>
          <w:rFonts w:ascii="Palatino Linotype" w:eastAsia="Palatino Linotype" w:hAnsi="Palatino Linotype" w:cs="Palatino Linotype"/>
          <w:i/>
          <w:color w:val="000000"/>
          <w:sz w:val="22"/>
          <w:szCs w:val="22"/>
        </w:rPr>
        <w:t>III. Estar en pleno ejercicio de sus derechos civiles y políticos, en su caso;</w:t>
      </w:r>
    </w:p>
    <w:p w:rsidR="001E689A" w:rsidRPr="008561BE" w:rsidRDefault="00C83C0B">
      <w:pPr>
        <w:pBdr>
          <w:top w:val="nil"/>
          <w:left w:val="nil"/>
          <w:bottom w:val="nil"/>
          <w:right w:val="nil"/>
          <w:between w:val="nil"/>
        </w:pBdr>
        <w:spacing w:before="240" w:after="240" w:line="276" w:lineRule="auto"/>
        <w:ind w:left="567" w:right="618"/>
        <w:jc w:val="both"/>
        <w:rPr>
          <w:color w:val="000000"/>
        </w:rPr>
      </w:pPr>
      <w:r w:rsidRPr="008561BE">
        <w:rPr>
          <w:rFonts w:ascii="Palatino Linotype" w:eastAsia="Palatino Linotype" w:hAnsi="Palatino Linotype" w:cs="Palatino Linotype"/>
          <w:i/>
          <w:color w:val="000000"/>
          <w:sz w:val="22"/>
          <w:szCs w:val="22"/>
        </w:rPr>
        <w:t>IV. Acreditar, cuando proceda, el cumplimiento de la Ley del Servicio Militar Nacional; V. Derogada.</w:t>
      </w:r>
    </w:p>
    <w:p w:rsidR="001E689A" w:rsidRPr="008561BE" w:rsidRDefault="00C83C0B">
      <w:pPr>
        <w:pBdr>
          <w:top w:val="nil"/>
          <w:left w:val="nil"/>
          <w:bottom w:val="nil"/>
          <w:right w:val="nil"/>
          <w:between w:val="nil"/>
        </w:pBdr>
        <w:spacing w:before="240" w:after="240" w:line="276" w:lineRule="auto"/>
        <w:ind w:left="567" w:right="618"/>
        <w:jc w:val="both"/>
        <w:rPr>
          <w:color w:val="000000"/>
        </w:rPr>
      </w:pPr>
      <w:r w:rsidRPr="008561BE">
        <w:rPr>
          <w:rFonts w:ascii="Palatino Linotype" w:eastAsia="Palatino Linotype" w:hAnsi="Palatino Linotype" w:cs="Palatino Linotype"/>
          <w:i/>
          <w:color w:val="000000"/>
          <w:sz w:val="22"/>
          <w:szCs w:val="22"/>
        </w:rPr>
        <w:t>VI. No haber sido separado anteriormente del servicio por las causas previstas en el artículo 93 de la presente ley;</w:t>
      </w:r>
    </w:p>
    <w:p w:rsidR="001E689A" w:rsidRPr="008561BE" w:rsidRDefault="00C83C0B">
      <w:pPr>
        <w:pBdr>
          <w:top w:val="nil"/>
          <w:left w:val="nil"/>
          <w:bottom w:val="nil"/>
          <w:right w:val="nil"/>
          <w:between w:val="nil"/>
        </w:pBdr>
        <w:spacing w:before="240" w:after="240" w:line="276" w:lineRule="auto"/>
        <w:ind w:left="567" w:right="618"/>
        <w:jc w:val="both"/>
        <w:rPr>
          <w:color w:val="000000"/>
        </w:rPr>
      </w:pPr>
      <w:r w:rsidRPr="008561BE">
        <w:rPr>
          <w:rFonts w:ascii="Palatino Linotype" w:eastAsia="Palatino Linotype" w:hAnsi="Palatino Linotype" w:cs="Palatino Linotype"/>
          <w:i/>
          <w:color w:val="000000"/>
          <w:sz w:val="22"/>
          <w:szCs w:val="22"/>
        </w:rPr>
        <w:t>VII. Tener buena salud, lo que se comprobará con los certificados médicos correspondientes, en la forma en que se establezca en cada institución pública;</w:t>
      </w:r>
    </w:p>
    <w:p w:rsidR="001E689A" w:rsidRPr="008561BE" w:rsidRDefault="00C83C0B">
      <w:pPr>
        <w:pBdr>
          <w:top w:val="nil"/>
          <w:left w:val="nil"/>
          <w:bottom w:val="nil"/>
          <w:right w:val="nil"/>
          <w:between w:val="nil"/>
        </w:pBdr>
        <w:spacing w:before="240" w:after="240" w:line="276" w:lineRule="auto"/>
        <w:ind w:left="567" w:right="618"/>
        <w:jc w:val="both"/>
        <w:rPr>
          <w:color w:val="000000"/>
        </w:rPr>
      </w:pPr>
      <w:r w:rsidRPr="008561BE">
        <w:rPr>
          <w:rFonts w:ascii="Palatino Linotype" w:eastAsia="Palatino Linotype" w:hAnsi="Palatino Linotype" w:cs="Palatino Linotype"/>
          <w:i/>
          <w:color w:val="000000"/>
          <w:sz w:val="22"/>
          <w:szCs w:val="22"/>
        </w:rPr>
        <w:lastRenderedPageBreak/>
        <w:t>VIII. Cumplir con los requisitos que se establezcan para los diferentes puestos;</w:t>
      </w:r>
    </w:p>
    <w:p w:rsidR="001E689A" w:rsidRPr="008561BE" w:rsidRDefault="00C83C0B">
      <w:pPr>
        <w:pBdr>
          <w:top w:val="nil"/>
          <w:left w:val="nil"/>
          <w:bottom w:val="nil"/>
          <w:right w:val="nil"/>
          <w:between w:val="nil"/>
        </w:pBdr>
        <w:spacing w:before="240" w:after="240" w:line="276" w:lineRule="auto"/>
        <w:ind w:left="567" w:right="618"/>
        <w:jc w:val="both"/>
        <w:rPr>
          <w:color w:val="000000"/>
        </w:rPr>
      </w:pPr>
      <w:r w:rsidRPr="008561BE">
        <w:rPr>
          <w:rFonts w:ascii="Palatino Linotype" w:eastAsia="Palatino Linotype" w:hAnsi="Palatino Linotype" w:cs="Palatino Linotype"/>
          <w:i/>
          <w:color w:val="000000"/>
          <w:sz w:val="22"/>
          <w:szCs w:val="22"/>
        </w:rPr>
        <w:t>IX. Acreditar por medio de los exámenes correspondientes los conocimientos y aptitudes necesarios para el desempeño del puesto; y</w:t>
      </w:r>
    </w:p>
    <w:p w:rsidR="001E689A" w:rsidRPr="008561BE" w:rsidRDefault="00C83C0B">
      <w:pPr>
        <w:pBdr>
          <w:top w:val="nil"/>
          <w:left w:val="nil"/>
          <w:bottom w:val="nil"/>
          <w:right w:val="nil"/>
          <w:between w:val="nil"/>
        </w:pBdr>
        <w:spacing w:before="240" w:after="240" w:line="276" w:lineRule="auto"/>
        <w:ind w:left="567" w:right="618"/>
        <w:jc w:val="both"/>
        <w:rPr>
          <w:color w:val="000000"/>
        </w:rPr>
      </w:pPr>
      <w:r w:rsidRPr="008561BE">
        <w:rPr>
          <w:rFonts w:ascii="Palatino Linotype" w:eastAsia="Palatino Linotype" w:hAnsi="Palatino Linotype" w:cs="Palatino Linotype"/>
          <w:i/>
          <w:color w:val="000000"/>
          <w:sz w:val="22"/>
          <w:szCs w:val="22"/>
        </w:rPr>
        <w:t>X. No estar inhabilitado para el ejercicio del servicio público.</w:t>
      </w:r>
    </w:p>
    <w:p w:rsidR="001E689A" w:rsidRPr="008561BE" w:rsidRDefault="00C83C0B">
      <w:pPr>
        <w:pBdr>
          <w:top w:val="nil"/>
          <w:left w:val="nil"/>
          <w:bottom w:val="nil"/>
          <w:right w:val="nil"/>
          <w:between w:val="nil"/>
        </w:pBdr>
        <w:spacing w:before="240" w:after="240" w:line="276" w:lineRule="auto"/>
        <w:ind w:left="567" w:right="618"/>
        <w:jc w:val="both"/>
        <w:rPr>
          <w:color w:val="000000"/>
        </w:rPr>
      </w:pPr>
      <w:r w:rsidRPr="008561BE">
        <w:rPr>
          <w:rFonts w:ascii="Palatino Linotype" w:eastAsia="Palatino Linotype" w:hAnsi="Palatino Linotype" w:cs="Palatino Linotype"/>
          <w:i/>
          <w:color w:val="000000"/>
          <w:sz w:val="22"/>
          <w:szCs w:val="22"/>
        </w:rPr>
        <w:t>XI. Presentar certificado expedido por la Unidad del Registro de Deudores Alimentarios Morosos en el que conste, si se encuentra inscrito o no en el mismo.</w:t>
      </w:r>
    </w:p>
    <w:p w:rsidR="001E689A" w:rsidRPr="008561BE" w:rsidRDefault="00C83C0B">
      <w:pPr>
        <w:pBdr>
          <w:top w:val="nil"/>
          <w:left w:val="nil"/>
          <w:bottom w:val="nil"/>
          <w:right w:val="nil"/>
          <w:between w:val="nil"/>
        </w:pBdr>
        <w:spacing w:before="240" w:after="240" w:line="276" w:lineRule="auto"/>
        <w:ind w:left="567" w:right="618"/>
        <w:jc w:val="both"/>
        <w:rPr>
          <w:color w:val="000000"/>
        </w:rPr>
      </w:pPr>
      <w:r w:rsidRPr="008561BE">
        <w:rPr>
          <w:rFonts w:ascii="Palatino Linotype" w:eastAsia="Palatino Linotype" w:hAnsi="Palatino Linotype" w:cs="Palatino Linotype"/>
          <w:i/>
          <w:color w:val="000000"/>
          <w:sz w:val="22"/>
          <w:szCs w:val="22"/>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 (Énfasis añadido)</w:t>
      </w:r>
    </w:p>
    <w:p w:rsidR="001E689A" w:rsidRPr="008561BE" w:rsidRDefault="00C83C0B">
      <w:pPr>
        <w:pBdr>
          <w:top w:val="nil"/>
          <w:left w:val="nil"/>
          <w:bottom w:val="nil"/>
          <w:right w:val="nil"/>
          <w:between w:val="nil"/>
        </w:pBdr>
        <w:spacing w:before="240" w:after="240" w:line="360" w:lineRule="auto"/>
        <w:jc w:val="both"/>
        <w:rPr>
          <w:color w:val="000000"/>
        </w:rPr>
      </w:pPr>
      <w:r w:rsidRPr="008561BE">
        <w:rPr>
          <w:rFonts w:ascii="Palatino Linotype" w:eastAsia="Palatino Linotype" w:hAnsi="Palatino Linotype" w:cs="Palatino Linotype"/>
          <w:color w:val="000000"/>
        </w:rPr>
        <w:t xml:space="preserve">Por lo que se estima que, en el presente punto, es procedente la entrega del </w:t>
      </w:r>
      <w:proofErr w:type="spellStart"/>
      <w:r w:rsidRPr="008561BE">
        <w:rPr>
          <w:rFonts w:ascii="Palatino Linotype" w:eastAsia="Palatino Linotype" w:hAnsi="Palatino Linotype" w:cs="Palatino Linotype"/>
          <w:color w:val="000000"/>
        </w:rPr>
        <w:t>curriculum</w:t>
      </w:r>
      <w:proofErr w:type="spellEnd"/>
      <w:r w:rsidRPr="008561BE">
        <w:rPr>
          <w:rFonts w:ascii="Palatino Linotype" w:eastAsia="Palatino Linotype" w:hAnsi="Palatino Linotype" w:cs="Palatino Linotype"/>
          <w:color w:val="000000"/>
        </w:rPr>
        <w:t>, ficha curricular o solicitud de empleo de todos los servidores públicos adscritos a la Dirección General, Unidad de Apoyo Administrativo y Dirección Jurídica Financiera y de Igualdad de Género, en funciones al catorce de marzo de dos mil veintitrés, de ser procedente en versión pública conforme a lo señalado por el considerando quinto del presente fallo. </w:t>
      </w:r>
    </w:p>
    <w:p w:rsidR="001E689A" w:rsidRPr="008561BE" w:rsidRDefault="00C83C0B">
      <w:pPr>
        <w:spacing w:line="360" w:lineRule="auto"/>
        <w:jc w:val="both"/>
        <w:rPr>
          <w:rFonts w:ascii="Palatino Linotype" w:eastAsia="Palatino Linotype" w:hAnsi="Palatino Linotype" w:cs="Palatino Linotype"/>
          <w:b/>
        </w:rPr>
      </w:pPr>
      <w:r w:rsidRPr="008561BE">
        <w:rPr>
          <w:rFonts w:ascii="Palatino Linotype" w:eastAsia="Palatino Linotype" w:hAnsi="Palatino Linotype" w:cs="Palatino Linotype"/>
          <w:b/>
        </w:rPr>
        <w:t>d) Títulos profesionales</w:t>
      </w:r>
    </w:p>
    <w:p w:rsidR="00197EFC" w:rsidRPr="008561BE" w:rsidRDefault="00C83C0B">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r w:rsidRPr="008561BE">
        <w:rPr>
          <w:rFonts w:ascii="Palatino Linotype" w:eastAsia="Palatino Linotype" w:hAnsi="Palatino Linotype" w:cs="Palatino Linotype"/>
          <w:color w:val="000000"/>
        </w:rPr>
        <w:t xml:space="preserve">En lo tocante a este punto, resulta oportuno referir que </w:t>
      </w:r>
      <w:r w:rsidR="00197EFC" w:rsidRPr="008561BE">
        <w:rPr>
          <w:rFonts w:ascii="Palatino Linotype" w:eastAsia="Palatino Linotype" w:hAnsi="Palatino Linotype" w:cs="Palatino Linotype"/>
          <w:color w:val="000000"/>
        </w:rPr>
        <w:t xml:space="preserve">si bien es cierto, este requisito puede no ser obligatorio para todos los servidores públicos, no menos cierto es que como se detalló en líneas anteriores, el </w:t>
      </w:r>
      <w:r w:rsidR="00197EFC" w:rsidRPr="008561BE">
        <w:rPr>
          <w:rFonts w:ascii="Palatino Linotype" w:eastAsia="Palatino Linotype" w:hAnsi="Palatino Linotype" w:cs="Palatino Linotype"/>
          <w:b/>
          <w:color w:val="000000"/>
        </w:rPr>
        <w:t>Sujeto Obligado</w:t>
      </w:r>
      <w:r w:rsidR="00197EFC" w:rsidRPr="008561BE">
        <w:rPr>
          <w:rFonts w:ascii="Palatino Linotype" w:eastAsia="Palatino Linotype" w:hAnsi="Palatino Linotype" w:cs="Palatino Linotype"/>
          <w:color w:val="000000"/>
        </w:rPr>
        <w:t xml:space="preserve"> aseveró contar con la información, tan es así que desde la respuesta pretendió clasificarla y cambiar la modalidad de entrega de las documentales, por lo tanto, existe una manifestación respecto de la existencia de esta información. </w:t>
      </w:r>
    </w:p>
    <w:p w:rsidR="001E689A" w:rsidRPr="008561BE" w:rsidRDefault="00197EFC">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r w:rsidRPr="008561BE">
        <w:rPr>
          <w:rFonts w:ascii="Palatino Linotype" w:eastAsia="Palatino Linotype" w:hAnsi="Palatino Linotype" w:cs="Palatino Linotype"/>
          <w:color w:val="000000"/>
        </w:rPr>
        <w:lastRenderedPageBreak/>
        <w:t xml:space="preserve">En tal sentido, </w:t>
      </w:r>
      <w:r w:rsidR="00C83C0B" w:rsidRPr="008561BE">
        <w:rPr>
          <w:rFonts w:ascii="Palatino Linotype" w:eastAsia="Palatino Linotype" w:hAnsi="Palatino Linotype" w:cs="Palatino Linotype"/>
          <w:color w:val="000000"/>
        </w:rPr>
        <w:t>el título profesional es el documento expedido por instituciones del Estado o descentralizadas, y por instituciones particulares que tengan reconocimiento de validez oficial de estudios, a favor de la persona que haya concluido los estudios correspondientes o demostrados tener los conocimientos necesarios de conformidad con la normatividad aplicable.</w:t>
      </w:r>
    </w:p>
    <w:p w:rsidR="001E689A" w:rsidRPr="008561BE" w:rsidRDefault="00C83C0B">
      <w:pPr>
        <w:pBdr>
          <w:top w:val="nil"/>
          <w:left w:val="nil"/>
          <w:bottom w:val="nil"/>
          <w:right w:val="nil"/>
          <w:between w:val="nil"/>
        </w:pBdr>
        <w:tabs>
          <w:tab w:val="left" w:pos="426"/>
        </w:tabs>
        <w:spacing w:before="240" w:line="360" w:lineRule="auto"/>
        <w:jc w:val="both"/>
        <w:rPr>
          <w:rFonts w:ascii="Palatino Linotype" w:eastAsia="Palatino Linotype" w:hAnsi="Palatino Linotype" w:cs="Palatino Linotype"/>
          <w:color w:val="000000"/>
        </w:rPr>
      </w:pPr>
      <w:r w:rsidRPr="008561BE">
        <w:rPr>
          <w:rFonts w:ascii="Palatino Linotype" w:eastAsia="Palatino Linotype" w:hAnsi="Palatino Linotype" w:cs="Palatino Linotype"/>
          <w:color w:val="000000"/>
        </w:rPr>
        <w:t>En este sentido, el documento en cita es susceptible de reflejar algunos de los siguientes atributos:</w:t>
      </w:r>
    </w:p>
    <w:p w:rsidR="001E689A" w:rsidRPr="008561BE" w:rsidRDefault="00C83C0B">
      <w:pPr>
        <w:pBdr>
          <w:top w:val="nil"/>
          <w:left w:val="nil"/>
          <w:bottom w:val="nil"/>
          <w:right w:val="nil"/>
          <w:between w:val="nil"/>
        </w:pBdr>
        <w:tabs>
          <w:tab w:val="left" w:pos="426"/>
        </w:tabs>
        <w:spacing w:before="240" w:line="360" w:lineRule="auto"/>
        <w:ind w:left="567" w:right="851"/>
        <w:jc w:val="both"/>
        <w:rPr>
          <w:rFonts w:ascii="Palatino Linotype" w:eastAsia="Palatino Linotype" w:hAnsi="Palatino Linotype" w:cs="Palatino Linotype"/>
          <w:color w:val="000000"/>
          <w:sz w:val="22"/>
          <w:szCs w:val="22"/>
        </w:rPr>
      </w:pPr>
      <w:r w:rsidRPr="008561BE">
        <w:rPr>
          <w:rFonts w:ascii="Noto Sans Symbols" w:eastAsia="Noto Sans Symbols" w:hAnsi="Noto Sans Symbols" w:cs="Noto Sans Symbols"/>
          <w:color w:val="000000"/>
          <w:sz w:val="22"/>
          <w:szCs w:val="22"/>
        </w:rPr>
        <w:t>∙</w:t>
      </w:r>
      <w:r w:rsidRPr="008561BE">
        <w:rPr>
          <w:rFonts w:ascii="Palatino Linotype" w:eastAsia="Palatino Linotype" w:hAnsi="Palatino Linotype" w:cs="Palatino Linotype"/>
          <w:color w:val="000000"/>
          <w:sz w:val="22"/>
          <w:szCs w:val="22"/>
        </w:rPr>
        <w:t xml:space="preserve"> </w:t>
      </w:r>
      <w:r w:rsidRPr="008561BE">
        <w:rPr>
          <w:rFonts w:ascii="Palatino Linotype" w:eastAsia="Palatino Linotype" w:hAnsi="Palatino Linotype" w:cs="Palatino Linotype"/>
          <w:b/>
          <w:color w:val="000000"/>
          <w:sz w:val="22"/>
          <w:szCs w:val="22"/>
        </w:rPr>
        <w:t>Fotografía:</w:t>
      </w:r>
      <w:r w:rsidRPr="008561BE">
        <w:rPr>
          <w:rFonts w:ascii="Palatino Linotype" w:eastAsia="Palatino Linotype" w:hAnsi="Palatino Linotype" w:cs="Palatino Linotype"/>
          <w:color w:val="000000"/>
          <w:sz w:val="22"/>
          <w:szCs w:val="22"/>
        </w:rPr>
        <w:t xml:space="preserve"> Tratándose de servidores públicos se cuenta con un espectro menor de protección a sus datos personales en comparación con cualquier otra persona física, en razón del interés público que revisten sus funciones, por lo que, aquellos con la calidad de mando medio y/o superior, por mayoría de razón,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 ya que sus atribuciones van enfocadas a las actividades de dirección en el sector gubernamental, toma de decisiones y emisión de actos que pudieren generar molestia e incluso en algunos casos, al contacto directo con la ciudadanía. </w:t>
      </w:r>
    </w:p>
    <w:p w:rsidR="001E689A" w:rsidRPr="008561BE" w:rsidRDefault="00C83C0B">
      <w:pPr>
        <w:pBdr>
          <w:top w:val="nil"/>
          <w:left w:val="nil"/>
          <w:bottom w:val="nil"/>
          <w:right w:val="nil"/>
          <w:between w:val="nil"/>
        </w:pBdr>
        <w:tabs>
          <w:tab w:val="left" w:pos="426"/>
        </w:tabs>
        <w:spacing w:before="240" w:line="360" w:lineRule="auto"/>
        <w:ind w:left="567" w:right="851"/>
        <w:jc w:val="both"/>
        <w:rPr>
          <w:rFonts w:ascii="Palatino Linotype" w:eastAsia="Palatino Linotype" w:hAnsi="Palatino Linotype" w:cs="Palatino Linotype"/>
          <w:color w:val="000000"/>
          <w:sz w:val="22"/>
          <w:szCs w:val="22"/>
        </w:rPr>
      </w:pPr>
      <w:r w:rsidRPr="008561BE">
        <w:rPr>
          <w:rFonts w:ascii="Noto Sans Symbols" w:eastAsia="Noto Sans Symbols" w:hAnsi="Noto Sans Symbols" w:cs="Noto Sans Symbols"/>
          <w:color w:val="000000"/>
          <w:sz w:val="22"/>
          <w:szCs w:val="22"/>
        </w:rPr>
        <w:t>∙</w:t>
      </w:r>
      <w:r w:rsidRPr="008561BE">
        <w:rPr>
          <w:rFonts w:ascii="Palatino Linotype" w:eastAsia="Palatino Linotype" w:hAnsi="Palatino Linotype" w:cs="Palatino Linotype"/>
          <w:color w:val="000000"/>
          <w:sz w:val="22"/>
          <w:szCs w:val="22"/>
        </w:rPr>
        <w:t xml:space="preserve"> </w:t>
      </w:r>
      <w:r w:rsidRPr="008561BE">
        <w:rPr>
          <w:rFonts w:ascii="Palatino Linotype" w:eastAsia="Palatino Linotype" w:hAnsi="Palatino Linotype" w:cs="Palatino Linotype"/>
          <w:b/>
          <w:color w:val="000000"/>
          <w:sz w:val="22"/>
          <w:szCs w:val="22"/>
        </w:rPr>
        <w:t>Nombre del titular:</w:t>
      </w:r>
      <w:r w:rsidRPr="008561BE">
        <w:rPr>
          <w:rFonts w:ascii="Palatino Linotype" w:eastAsia="Palatino Linotype" w:hAnsi="Palatino Linotype" w:cs="Palatino Linotype"/>
          <w:color w:val="000000"/>
          <w:sz w:val="22"/>
          <w:szCs w:val="22"/>
        </w:rPr>
        <w:t xml:space="preserve"> Es un atributo de la personalidad, esto es la manifestación del derecho a la identidad y razón que de por sí misma permite identificar a una persona física. Debe evitarse su revelación tratándose de </w:t>
      </w:r>
      <w:r w:rsidRPr="008561BE">
        <w:rPr>
          <w:rFonts w:ascii="Palatino Linotype" w:eastAsia="Palatino Linotype" w:hAnsi="Palatino Linotype" w:cs="Palatino Linotype"/>
          <w:color w:val="000000"/>
          <w:sz w:val="22"/>
          <w:szCs w:val="22"/>
        </w:rPr>
        <w:lastRenderedPageBreak/>
        <w:t>particulares, en sentido contrario, tratándose de servidores públicos, el nombre no goza de protección, al ser un dato público.</w:t>
      </w:r>
    </w:p>
    <w:p w:rsidR="001E689A" w:rsidRPr="008561BE" w:rsidRDefault="00C83C0B">
      <w:pPr>
        <w:pBdr>
          <w:top w:val="nil"/>
          <w:left w:val="nil"/>
          <w:bottom w:val="nil"/>
          <w:right w:val="nil"/>
          <w:between w:val="nil"/>
        </w:pBdr>
        <w:tabs>
          <w:tab w:val="left" w:pos="426"/>
        </w:tabs>
        <w:spacing w:before="240" w:line="360" w:lineRule="auto"/>
        <w:ind w:left="567" w:right="851"/>
        <w:jc w:val="both"/>
        <w:rPr>
          <w:rFonts w:ascii="Palatino Linotype" w:eastAsia="Palatino Linotype" w:hAnsi="Palatino Linotype" w:cs="Palatino Linotype"/>
          <w:color w:val="000000"/>
          <w:sz w:val="22"/>
          <w:szCs w:val="22"/>
        </w:rPr>
      </w:pPr>
      <w:r w:rsidRPr="008561BE">
        <w:rPr>
          <w:rFonts w:ascii="Noto Sans Symbols" w:eastAsia="Noto Sans Symbols" w:hAnsi="Noto Sans Symbols" w:cs="Noto Sans Symbols"/>
          <w:color w:val="000000"/>
          <w:sz w:val="22"/>
          <w:szCs w:val="22"/>
        </w:rPr>
        <w:t>∙</w:t>
      </w:r>
      <w:r w:rsidRPr="008561BE">
        <w:rPr>
          <w:rFonts w:ascii="Palatino Linotype" w:eastAsia="Palatino Linotype" w:hAnsi="Palatino Linotype" w:cs="Palatino Linotype"/>
          <w:color w:val="000000"/>
          <w:sz w:val="22"/>
          <w:szCs w:val="22"/>
        </w:rPr>
        <w:t xml:space="preserve"> </w:t>
      </w:r>
      <w:r w:rsidRPr="008561BE">
        <w:rPr>
          <w:rFonts w:ascii="Palatino Linotype" w:eastAsia="Palatino Linotype" w:hAnsi="Palatino Linotype" w:cs="Palatino Linotype"/>
          <w:b/>
          <w:color w:val="000000"/>
          <w:sz w:val="22"/>
          <w:szCs w:val="22"/>
        </w:rPr>
        <w:t>Clave Única de Registro de Población:</w:t>
      </w:r>
      <w:r w:rsidRPr="008561BE">
        <w:rPr>
          <w:rFonts w:ascii="Palatino Linotype" w:eastAsia="Palatino Linotype" w:hAnsi="Palatino Linotype" w:cs="Palatino Linotype"/>
          <w:color w:val="000000"/>
          <w:sz w:val="22"/>
          <w:szCs w:val="22"/>
        </w:rPr>
        <w:t xml:space="preserve">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001E689A" w:rsidRPr="008561BE" w:rsidRDefault="00C83C0B">
      <w:pPr>
        <w:pBdr>
          <w:top w:val="nil"/>
          <w:left w:val="nil"/>
          <w:bottom w:val="nil"/>
          <w:right w:val="nil"/>
          <w:between w:val="nil"/>
        </w:pBdr>
        <w:tabs>
          <w:tab w:val="left" w:pos="426"/>
        </w:tabs>
        <w:spacing w:before="240" w:line="360" w:lineRule="auto"/>
        <w:ind w:left="567" w:right="851"/>
        <w:jc w:val="both"/>
        <w:rPr>
          <w:rFonts w:ascii="Palatino Linotype" w:eastAsia="Palatino Linotype" w:hAnsi="Palatino Linotype" w:cs="Palatino Linotype"/>
          <w:color w:val="000000"/>
          <w:sz w:val="22"/>
          <w:szCs w:val="22"/>
        </w:rPr>
      </w:pPr>
      <w:r w:rsidRPr="008561BE">
        <w:rPr>
          <w:rFonts w:ascii="Noto Sans Symbols" w:eastAsia="Noto Sans Symbols" w:hAnsi="Noto Sans Symbols" w:cs="Noto Sans Symbols"/>
          <w:color w:val="000000"/>
          <w:sz w:val="22"/>
          <w:szCs w:val="22"/>
        </w:rPr>
        <w:t>∙</w:t>
      </w:r>
      <w:r w:rsidRPr="008561BE">
        <w:rPr>
          <w:rFonts w:ascii="Palatino Linotype" w:eastAsia="Palatino Linotype" w:hAnsi="Palatino Linotype" w:cs="Palatino Linotype"/>
          <w:color w:val="000000"/>
          <w:sz w:val="22"/>
          <w:szCs w:val="22"/>
        </w:rPr>
        <w:t xml:space="preserve"> </w:t>
      </w:r>
      <w:r w:rsidRPr="008561BE">
        <w:rPr>
          <w:rFonts w:ascii="Palatino Linotype" w:eastAsia="Palatino Linotype" w:hAnsi="Palatino Linotype" w:cs="Palatino Linotype"/>
          <w:b/>
          <w:color w:val="000000"/>
          <w:sz w:val="22"/>
          <w:szCs w:val="22"/>
        </w:rPr>
        <w:t>Nombre y firma del Director General de Profesiones de la Secretaría de Educación Pública:</w:t>
      </w:r>
      <w:r w:rsidRPr="008561BE">
        <w:rPr>
          <w:rFonts w:ascii="Palatino Linotype" w:eastAsia="Palatino Linotype" w:hAnsi="Palatino Linotype" w:cs="Palatino Linotype"/>
          <w:color w:val="000000"/>
          <w:sz w:val="22"/>
          <w:szCs w:val="22"/>
        </w:rPr>
        <w:t xml:space="preserve"> Se estima como un dato de carácter público, al dar fe de que la expedición del título profesional fue en ejercicio de las facultades conferidas. </w:t>
      </w:r>
    </w:p>
    <w:p w:rsidR="001E689A" w:rsidRPr="008561BE" w:rsidRDefault="00C83C0B">
      <w:pPr>
        <w:pBdr>
          <w:top w:val="nil"/>
          <w:left w:val="nil"/>
          <w:bottom w:val="nil"/>
          <w:right w:val="nil"/>
          <w:between w:val="nil"/>
        </w:pBdr>
        <w:tabs>
          <w:tab w:val="left" w:pos="426"/>
        </w:tabs>
        <w:spacing w:before="240" w:line="360" w:lineRule="auto"/>
        <w:ind w:left="567" w:right="851"/>
        <w:jc w:val="both"/>
        <w:rPr>
          <w:rFonts w:ascii="Palatino Linotype" w:eastAsia="Palatino Linotype" w:hAnsi="Palatino Linotype" w:cs="Palatino Linotype"/>
          <w:color w:val="000000"/>
          <w:sz w:val="28"/>
          <w:szCs w:val="28"/>
        </w:rPr>
      </w:pPr>
      <w:r w:rsidRPr="008561BE">
        <w:rPr>
          <w:rFonts w:ascii="Noto Sans Symbols" w:eastAsia="Noto Sans Symbols" w:hAnsi="Noto Sans Symbols" w:cs="Noto Sans Symbols"/>
          <w:color w:val="000000"/>
          <w:sz w:val="22"/>
          <w:szCs w:val="22"/>
        </w:rPr>
        <w:t>∙</w:t>
      </w:r>
      <w:r w:rsidRPr="008561BE">
        <w:rPr>
          <w:rFonts w:ascii="Palatino Linotype" w:eastAsia="Palatino Linotype" w:hAnsi="Palatino Linotype" w:cs="Palatino Linotype"/>
          <w:color w:val="000000"/>
          <w:sz w:val="22"/>
          <w:szCs w:val="22"/>
        </w:rPr>
        <w:t xml:space="preserve"> </w:t>
      </w:r>
      <w:r w:rsidRPr="008561BE">
        <w:rPr>
          <w:rFonts w:ascii="Palatino Linotype" w:eastAsia="Palatino Linotype" w:hAnsi="Palatino Linotype" w:cs="Palatino Linotype"/>
          <w:b/>
          <w:color w:val="000000"/>
          <w:sz w:val="22"/>
          <w:szCs w:val="22"/>
        </w:rPr>
        <w:t>Firma del titular:</w:t>
      </w:r>
      <w:r w:rsidRPr="008561BE">
        <w:rPr>
          <w:rFonts w:ascii="Palatino Linotype" w:eastAsia="Palatino Linotype" w:hAnsi="Palatino Linotype" w:cs="Palatino Linotype"/>
          <w:color w:val="000000"/>
          <w:sz w:val="22"/>
          <w:szCs w:val="22"/>
        </w:rPr>
        <w:t xml:space="preserve"> Tratándose de personas físicas en el rol de ciudadanos, es considerada como un atributo de la personalidad, en virtud de que a través de esta se puede identificar a una persona, por lo que se considera un dato personal y, dado que para otorgar su acceso se necesita el consentimiento de su titular, es información clasificada como confidencial. En contraste, tratándose de servidores públicos cuando se emite un acto de autoridad en ejercicio de las atribuciones que tiene conferidas, la firma mediante la cual valida dicho acto jurídico es pública. Lo anterior, en virtud de que la firma se plasmó en cumplimiento de las obligaciones que le corresponden en términos de las disposiciones jurídicas aplicables, estribando entonces en un requisito de validez. Por tanto, la firma de los servidores públicos vinculada al ejercicio de la función pública es información pública, dado que documenta y rinde </w:t>
      </w:r>
      <w:r w:rsidRPr="008561BE">
        <w:rPr>
          <w:rFonts w:ascii="Palatino Linotype" w:eastAsia="Palatino Linotype" w:hAnsi="Palatino Linotype" w:cs="Palatino Linotype"/>
          <w:color w:val="000000"/>
          <w:sz w:val="22"/>
          <w:szCs w:val="22"/>
        </w:rPr>
        <w:lastRenderedPageBreak/>
        <w:t>cuentas sobre el debido ejercicio de sus atribuciones con motivo del empleo, cargo o comisión que le han sido encomendados.</w:t>
      </w:r>
    </w:p>
    <w:p w:rsidR="001E689A" w:rsidRPr="008561BE" w:rsidRDefault="00C83C0B">
      <w:pPr>
        <w:spacing w:before="240" w:after="240" w:line="360" w:lineRule="auto"/>
        <w:ind w:left="142" w:right="49"/>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Ahora bien, es necesario resaltar el hecho de que una vez realizada al marco normativo que regula al </w:t>
      </w:r>
      <w:r w:rsidRPr="008561BE">
        <w:rPr>
          <w:rFonts w:ascii="Palatino Linotype" w:eastAsia="Palatino Linotype" w:hAnsi="Palatino Linotype" w:cs="Palatino Linotype"/>
          <w:b/>
        </w:rPr>
        <w:t>Sujeto Obligado</w:t>
      </w:r>
      <w:r w:rsidRPr="008561BE">
        <w:rPr>
          <w:rFonts w:ascii="Palatino Linotype" w:eastAsia="Palatino Linotype" w:hAnsi="Palatino Linotype" w:cs="Palatino Linotype"/>
        </w:rPr>
        <w:t xml:space="preserve">, </w:t>
      </w:r>
      <w:r w:rsidRPr="008561BE">
        <w:rPr>
          <w:rFonts w:ascii="Palatino Linotype" w:eastAsia="Palatino Linotype" w:hAnsi="Palatino Linotype" w:cs="Palatino Linotype"/>
          <w:b/>
        </w:rPr>
        <w:t>no se advirtió fuente obligacional para exigirle al personal que labora en el Sistema de Transporte Masivo y Teleférico del Estado de México, la presentación de su título profesional</w:t>
      </w:r>
      <w:r w:rsidRPr="008561BE">
        <w:rPr>
          <w:rFonts w:ascii="Palatino Linotype" w:eastAsia="Palatino Linotype" w:hAnsi="Palatino Linotype" w:cs="Palatino Linotype"/>
        </w:rPr>
        <w:t>, no obstante, debemos recordar que en el caso particular, se pronunció, el Jefe de la Unidad de Apoyo Administrativo, quien pretendió una clasificación, es de precisar que este servidor público cuenta con las siguientes atribuciones:</w:t>
      </w:r>
    </w:p>
    <w:p w:rsidR="001E689A" w:rsidRPr="008561BE" w:rsidRDefault="00C83C0B">
      <w:pPr>
        <w:spacing w:before="240" w:after="240" w:line="276"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r w:rsidRPr="008561BE">
        <w:rPr>
          <w:rFonts w:ascii="Palatino Linotype" w:eastAsia="Palatino Linotype" w:hAnsi="Palatino Linotype" w:cs="Palatino Linotype"/>
          <w:b/>
          <w:i/>
          <w:sz w:val="22"/>
          <w:szCs w:val="22"/>
        </w:rPr>
        <w:t>Artículo 18. Corresponde a la Unidad de Apoyo Administrativo:</w:t>
      </w:r>
    </w:p>
    <w:p w:rsidR="001E689A" w:rsidRPr="008561BE" w:rsidRDefault="00C83C0B">
      <w:pPr>
        <w:spacing w:before="240" w:after="240" w:line="276"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p>
    <w:p w:rsidR="001E689A" w:rsidRPr="008561BE" w:rsidRDefault="00C83C0B">
      <w:pPr>
        <w:spacing w:before="240" w:after="240" w:line="276" w:lineRule="auto"/>
        <w:ind w:left="567" w:right="900"/>
        <w:jc w:val="both"/>
        <w:rPr>
          <w:rFonts w:ascii="Palatino Linotype" w:eastAsia="Palatino Linotype" w:hAnsi="Palatino Linotype" w:cs="Palatino Linotype"/>
          <w:i/>
        </w:rPr>
      </w:pPr>
      <w:r w:rsidRPr="008561BE">
        <w:rPr>
          <w:rFonts w:ascii="Palatino Linotype" w:eastAsia="Palatino Linotype" w:hAnsi="Palatino Linotype" w:cs="Palatino Linotype"/>
          <w:i/>
          <w:sz w:val="22"/>
          <w:szCs w:val="22"/>
        </w:rPr>
        <w:t xml:space="preserve">I. Planear, organizar y controlar el suministro, administración y aplicación de los recursos humanos, materiales y financieros, así como los servicios generales necesarios para el </w:t>
      </w:r>
      <w:r w:rsidRPr="008561BE">
        <w:rPr>
          <w:rFonts w:ascii="Palatino Linotype" w:eastAsia="Palatino Linotype" w:hAnsi="Palatino Linotype" w:cs="Palatino Linotype"/>
          <w:i/>
        </w:rPr>
        <w:t>funcionamiento de las unidades administrativas del Sistema, en términos de la normatividad en la materia;</w:t>
      </w:r>
    </w:p>
    <w:p w:rsidR="001E689A" w:rsidRPr="008561BE" w:rsidRDefault="00C83C0B">
      <w:pPr>
        <w:spacing w:before="240" w:after="240" w:line="276"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u w:val="single"/>
        </w:rPr>
        <w:t>II. Establecer, en el ámbito de su competencia, políticas y procedimientos para la administración de los recursos humanos</w:t>
      </w:r>
      <w:r w:rsidRPr="008561BE">
        <w:rPr>
          <w:rFonts w:ascii="Palatino Linotype" w:eastAsia="Palatino Linotype" w:hAnsi="Palatino Linotype" w:cs="Palatino Linotype"/>
          <w:i/>
          <w:sz w:val="22"/>
          <w:szCs w:val="22"/>
        </w:rPr>
        <w:t>, materiales y financieros, así como llevar a cabo su seguimiento y control, de acuerdo con los objetivos y estrategias definidas en los programas del Sistema;</w:t>
      </w:r>
    </w:p>
    <w:p w:rsidR="001E689A" w:rsidRPr="008561BE" w:rsidRDefault="00C83C0B">
      <w:pPr>
        <w:spacing w:before="240" w:after="240" w:line="276"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p>
    <w:p w:rsidR="001E689A" w:rsidRPr="008561BE" w:rsidRDefault="00C83C0B">
      <w:pPr>
        <w:spacing w:line="276"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XI. Tramitar los movimientos de ingreso, contratación, cambios, permisos, licencias, incidencias, remuneraciones y demás movimientos del personal del Sistema, en términos de las disposiciones jurídicas aplicables;”</w:t>
      </w:r>
    </w:p>
    <w:p w:rsidR="001E689A" w:rsidRPr="008561BE" w:rsidRDefault="001E689A">
      <w:pPr>
        <w:spacing w:line="360" w:lineRule="auto"/>
        <w:jc w:val="both"/>
        <w:rPr>
          <w:rFonts w:ascii="Palatino Linotype" w:eastAsia="Palatino Linotype" w:hAnsi="Palatino Linotype" w:cs="Palatino Linotype"/>
          <w:b/>
        </w:rPr>
      </w:pPr>
    </w:p>
    <w:p w:rsidR="00C83C0B" w:rsidRPr="008561BE" w:rsidRDefault="00C83C0B" w:rsidP="00197EFC">
      <w:pPr>
        <w:spacing w:line="360" w:lineRule="auto"/>
        <w:jc w:val="both"/>
        <w:rPr>
          <w:rFonts w:ascii="Palatino Linotype" w:eastAsia="Palatino Linotype" w:hAnsi="Palatino Linotype" w:cs="Palatino Linotype"/>
          <w:color w:val="000000"/>
        </w:rPr>
      </w:pPr>
      <w:r w:rsidRPr="008561BE">
        <w:rPr>
          <w:rFonts w:ascii="Palatino Linotype" w:eastAsia="Palatino Linotype" w:hAnsi="Palatino Linotype" w:cs="Palatino Linotype"/>
        </w:rPr>
        <w:lastRenderedPageBreak/>
        <w:t xml:space="preserve">Por lo anterior, al aseverar contar con la información procede la entrega de los títulos profesionales de los servidores públicos adscritos </w:t>
      </w:r>
      <w:r w:rsidRPr="008561BE">
        <w:rPr>
          <w:rFonts w:ascii="Palatino Linotype" w:eastAsia="Palatino Linotype" w:hAnsi="Palatino Linotype" w:cs="Palatino Linotype"/>
          <w:color w:val="000000"/>
        </w:rPr>
        <w:t>de todos los servidores públicos adscritos a la Dirección General, Unidad de Apoyo Administrativo y Dirección Jurídica Financiera y de Igualdad de Género, en funciones al catorce de marzo de dos mil veintitrés.</w:t>
      </w:r>
    </w:p>
    <w:p w:rsidR="001E689A" w:rsidRPr="008561BE" w:rsidRDefault="00C83C0B">
      <w:pPr>
        <w:spacing w:line="360" w:lineRule="auto"/>
        <w:jc w:val="both"/>
        <w:rPr>
          <w:rFonts w:ascii="Palatino Linotype" w:eastAsia="Palatino Linotype" w:hAnsi="Palatino Linotype" w:cs="Palatino Linotype"/>
          <w:b/>
        </w:rPr>
      </w:pPr>
      <w:r w:rsidRPr="008561BE">
        <w:rPr>
          <w:rFonts w:ascii="Palatino Linotype" w:eastAsia="Palatino Linotype" w:hAnsi="Palatino Linotype" w:cs="Palatino Linotype"/>
          <w:b/>
        </w:rPr>
        <w:t xml:space="preserve">e) Cédulas profesionales del mes de febrero 2023  </w:t>
      </w:r>
    </w:p>
    <w:p w:rsidR="00197EFC" w:rsidRPr="008561BE" w:rsidRDefault="00197EFC">
      <w:pPr>
        <w:spacing w:before="240" w:after="24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color w:val="000000"/>
        </w:rPr>
        <w:t xml:space="preserve">Previo análisis de este punto, </w:t>
      </w:r>
      <w:r w:rsidR="00772A77" w:rsidRPr="008561BE">
        <w:rPr>
          <w:rFonts w:ascii="Palatino Linotype" w:eastAsia="Palatino Linotype" w:hAnsi="Palatino Linotype" w:cs="Palatino Linotype"/>
          <w:color w:val="000000"/>
        </w:rPr>
        <w:t>resulta oportuno resaltar el hecho de</w:t>
      </w:r>
      <w:r w:rsidRPr="008561BE">
        <w:rPr>
          <w:rFonts w:ascii="Palatino Linotype" w:eastAsia="Palatino Linotype" w:hAnsi="Palatino Linotype" w:cs="Palatino Linotype"/>
          <w:color w:val="000000"/>
        </w:rPr>
        <w:t xml:space="preserve"> que si bien es cierto, este requisito puede no ser obligatorio para todos los servidores públicos, no menos cierto es que como se detalló en líneas anteriores, el </w:t>
      </w:r>
      <w:r w:rsidRPr="008561BE">
        <w:rPr>
          <w:rFonts w:ascii="Palatino Linotype" w:eastAsia="Palatino Linotype" w:hAnsi="Palatino Linotype" w:cs="Palatino Linotype"/>
          <w:b/>
          <w:color w:val="000000"/>
        </w:rPr>
        <w:t>Sujeto Obligado</w:t>
      </w:r>
      <w:r w:rsidRPr="008561BE">
        <w:rPr>
          <w:rFonts w:ascii="Palatino Linotype" w:eastAsia="Palatino Linotype" w:hAnsi="Palatino Linotype" w:cs="Palatino Linotype"/>
          <w:color w:val="000000"/>
        </w:rPr>
        <w:t xml:space="preserve"> aseveró contar con la información, tan es así que desde la respuesta pretendió clasificarla y cambiar la modalidad de entrega de las documentales, por lo tanto, existe una manifestación respecto de la existencia de esta información.</w:t>
      </w:r>
    </w:p>
    <w:p w:rsidR="001E689A" w:rsidRPr="008561BE" w:rsidRDefault="00C83C0B">
      <w:pPr>
        <w:spacing w:before="240" w:after="24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rPr>
        <w:t>La Cédula Profesional es el documento por medio del cual se autoriza oficialmente a una persona a ejercer su profesión, con lo que se atiende la disposición contenida en el segundo párrafo del artículo 5° de la Constitución Política de los Estados Unidos Mexicanos; en este orden de ideas, la Ley Reglamentaria antes señalada, en su artículo 2° amplía este supuesto jurídico a otras leyes que regulen campos de acción relacionados como alguna rama o especialidad profesional, mientras que el artículo 23, fracción IV, de la misma, faculta a la Dirección General de Profesiones para expedir la cédula profesional correspondiente, con efectos de patente para el ejercicio profesional y para la identidad de su titular en todas sus actividades profesionales.</w:t>
      </w:r>
    </w:p>
    <w:p w:rsidR="001E689A" w:rsidRPr="008561BE" w:rsidRDefault="00C83C0B">
      <w:pPr>
        <w:spacing w:before="240" w:after="24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rPr>
        <w:lastRenderedPageBreak/>
        <w:t>Así mismo, el artículo 13, fracción III, de la Ley Reglamentaria multicitada,  prevé que el Ejecutivo Federal, por conducto de la Secretaría de Educación Pública, podrá celebrar convenios de coordinación con los gobiernos de los Estados para la unificación del registro profesional y establecer los requisitos necesarios para el reconocimiento de los títulos profesionales, así como los de forma y contenido que los mismos deberán satisfacer.</w:t>
      </w:r>
    </w:p>
    <w:p w:rsidR="001E689A" w:rsidRPr="008561BE" w:rsidRDefault="00C83C0B">
      <w:pPr>
        <w:spacing w:before="240" w:after="24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rPr>
        <w:t>En este sentido, el artículo 23, fracción IV de la Ley referida, establece que la cédula tiene “efectos de patente para el ejercicio profesional y para su identidad en actividades profesionales; por lo que constituye un documento de identidad frente a terceros, quienes podrán identificar el nombre de la persona, su identidad y profesión.</w:t>
      </w:r>
    </w:p>
    <w:p w:rsidR="001E689A" w:rsidRPr="008561BE" w:rsidRDefault="00C83C0B">
      <w:pPr>
        <w:spacing w:before="240" w:after="24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Además, acceder a la fotocopia de la cédula profesional donde se precise el número, acredite la experiencia académica de quienes ocupan cargos en la administración pública, permite conocer con toda certeza y de manera indudable si las personas que se desempeñan como servidores públicos tienen el perfil idóneo para desarrollar las actividades y atribuciones que se deriven de este. </w:t>
      </w:r>
    </w:p>
    <w:p w:rsidR="001E689A" w:rsidRPr="008561BE" w:rsidRDefault="00C83C0B">
      <w:pPr>
        <w:spacing w:before="240" w:after="24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Ahora bien, la entrega de la cédula profesional cabe en el supuesto de “dato personal” en virtud de que identifica y hace identificable a su titular del resto de la población, su publicidad resulta: a) ser idónea  al ser el único medio para que </w:t>
      </w:r>
      <w:r w:rsidRPr="008561BE">
        <w:rPr>
          <w:rFonts w:ascii="Palatino Linotype" w:eastAsia="Palatino Linotype" w:hAnsi="Palatino Linotype" w:cs="Palatino Linotype"/>
          <w:b/>
        </w:rPr>
        <w:t>la parte Recurrente</w:t>
      </w:r>
      <w:r w:rsidRPr="008561BE">
        <w:rPr>
          <w:rFonts w:ascii="Palatino Linotype" w:eastAsia="Palatino Linotype" w:hAnsi="Palatino Linotype" w:cs="Palatino Linotype"/>
        </w:rPr>
        <w:t xml:space="preserve">  satisfaga su interés de verificar el grado o grados académicos con las que se ostentan quienes desempeñan un cargo público. Asimismo, esta </w:t>
      </w:r>
      <w:r w:rsidRPr="008561BE">
        <w:rPr>
          <w:rFonts w:ascii="Palatino Linotype" w:eastAsia="Palatino Linotype" w:hAnsi="Palatino Linotype" w:cs="Palatino Linotype"/>
        </w:rPr>
        <w:lastRenderedPageBreak/>
        <w:t>documentación en algunos casos, también permite verificar que el servidor público tenga el perfil adecuado o exigido para el cargo.</w:t>
      </w:r>
    </w:p>
    <w:p w:rsidR="001E689A" w:rsidRPr="008561BE" w:rsidRDefault="00C83C0B">
      <w:pPr>
        <w:spacing w:before="240" w:after="24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rPr>
        <w:t>Además, la publicidad satisface plenamente b) ser necesaria, en virtud de que el número de cedula profesional, acredita que los funcionarios públicos cumplen con el perfil señalado en la ley o el idóneo si es que no existe un perfil de puesto aprobado por autoridad competente, con lo que se fortalece la cultura de la rendición de cuentas y el debate informado en una sociedad democrática. Restar un elemento como la fotografía reduce su valor y disminuye sensiblemente los elementos de convicción sobre la legalidad del documento.</w:t>
      </w:r>
    </w:p>
    <w:p w:rsidR="001E689A" w:rsidRPr="008561BE" w:rsidRDefault="00C83C0B">
      <w:pPr>
        <w:spacing w:before="240" w:after="24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Finalmente, este Organismo Garante considera que la  publicidad de este documento supera el juicio de c) proporcionalidad; pues en efecto, no se trata de una invasión a la intimidad o la vida profesional del titular del dato, ya que su intensión al tramitarlos y obtenerlos es ponerlos a la vista de cualquier tercero, frente al que quiera acreditar su patente de profesionista. </w:t>
      </w:r>
    </w:p>
    <w:p w:rsidR="001E689A" w:rsidRPr="008561BE" w:rsidRDefault="00C83C0B">
      <w:pPr>
        <w:spacing w:before="240" w:after="24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rPr>
        <w:t>Así, la estricta proporcionalidad de la cédula profesional deviene de la naturaleza del mismo, en razón de que es el documento de identificación, respecto de la profesión que puede desempeñar una persona al haber sido autorizado por el Estado para ello.</w:t>
      </w:r>
    </w:p>
    <w:p w:rsidR="001E689A" w:rsidRPr="008561BE" w:rsidRDefault="00C83C0B">
      <w:pPr>
        <w:spacing w:before="240" w:after="24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En consecuencia, es que resulta legítimo ordenar la entrega de la documentación solicitada relativa a las cédulas profesionales de los servidores públicos adscritos de todos los servidores públicos adscritos a la Dirección General, Unidad de Apoyo </w:t>
      </w:r>
      <w:r w:rsidRPr="008561BE">
        <w:rPr>
          <w:rFonts w:ascii="Palatino Linotype" w:eastAsia="Palatino Linotype" w:hAnsi="Palatino Linotype" w:cs="Palatino Linotype"/>
        </w:rPr>
        <w:lastRenderedPageBreak/>
        <w:t>Administrativo y Dirección Jurídica Financiera y de Igualdad de Género, con las que cuente al veintiocho de febrero de dos mil veintitrés.</w:t>
      </w:r>
    </w:p>
    <w:p w:rsidR="001E689A" w:rsidRPr="008561BE" w:rsidRDefault="00C83C0B">
      <w:pPr>
        <w:spacing w:before="240" w:after="24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En mérito de lo expuesto, esta autoridad estima que las razones o motivos de inconformidad hechos valer por </w:t>
      </w:r>
      <w:r w:rsidRPr="008561BE">
        <w:rPr>
          <w:rFonts w:ascii="Palatino Linotype" w:eastAsia="Palatino Linotype" w:hAnsi="Palatino Linotype" w:cs="Palatino Linotype"/>
          <w:b/>
        </w:rPr>
        <w:t>la</w:t>
      </w:r>
      <w:r w:rsidRPr="008561BE">
        <w:rPr>
          <w:rFonts w:ascii="Palatino Linotype" w:eastAsia="Palatino Linotype" w:hAnsi="Palatino Linotype" w:cs="Palatino Linotype"/>
        </w:rPr>
        <w:t xml:space="preserve"> parte </w:t>
      </w:r>
      <w:r w:rsidRPr="008561BE">
        <w:rPr>
          <w:rFonts w:ascii="Palatino Linotype" w:eastAsia="Palatino Linotype" w:hAnsi="Palatino Linotype" w:cs="Palatino Linotype"/>
          <w:b/>
        </w:rPr>
        <w:t>Recurrente</w:t>
      </w:r>
      <w:r w:rsidRPr="008561BE">
        <w:rPr>
          <w:rFonts w:ascii="Palatino Linotype" w:eastAsia="Palatino Linotype" w:hAnsi="Palatino Linotype" w:cs="Palatino Linotype"/>
        </w:rPr>
        <w:t xml:space="preserve"> se estiman  fundados; por lo que, lo procedente </w:t>
      </w:r>
      <w:r w:rsidRPr="008561BE">
        <w:rPr>
          <w:rFonts w:ascii="Palatino Linotype" w:eastAsia="Palatino Linotype" w:hAnsi="Palatino Linotype" w:cs="Palatino Linotype"/>
          <w:color w:val="000000"/>
        </w:rPr>
        <w:t>es </w:t>
      </w:r>
      <w:r w:rsidRPr="008561BE">
        <w:rPr>
          <w:rFonts w:ascii="Palatino Linotype" w:eastAsia="Palatino Linotype" w:hAnsi="Palatino Linotype" w:cs="Palatino Linotype"/>
          <w:b/>
          <w:color w:val="000000"/>
        </w:rPr>
        <w:t>REVOCAR</w:t>
      </w:r>
      <w:r w:rsidRPr="008561BE">
        <w:rPr>
          <w:rFonts w:ascii="Palatino Linotype" w:eastAsia="Palatino Linotype" w:hAnsi="Palatino Linotype" w:cs="Palatino Linotype"/>
          <w:color w:val="000000"/>
        </w:rPr>
        <w:t> </w:t>
      </w:r>
      <w:r w:rsidRPr="008561BE">
        <w:rPr>
          <w:rFonts w:ascii="Palatino Linotype" w:eastAsia="Palatino Linotype" w:hAnsi="Palatino Linotype" w:cs="Palatino Linotype"/>
        </w:rPr>
        <w:t xml:space="preserve">la respuesta del </w:t>
      </w:r>
      <w:r w:rsidRPr="008561BE">
        <w:rPr>
          <w:rFonts w:ascii="Palatino Linotype" w:eastAsia="Palatino Linotype" w:hAnsi="Palatino Linotype" w:cs="Palatino Linotype"/>
          <w:b/>
        </w:rPr>
        <w:t xml:space="preserve">Sujeto Obligado y previa búsqueda exhaustiva y razonable, ordenar la entrega </w:t>
      </w:r>
      <w:r w:rsidRPr="008561BE">
        <w:rPr>
          <w:rFonts w:ascii="Palatino Linotype" w:eastAsia="Palatino Linotype" w:hAnsi="Palatino Linotype" w:cs="Palatino Linotype"/>
        </w:rPr>
        <w:t>de la siguiente información, en versión pública de ser procedente, atendiendo a lo dispuesto por el considerando siguiente:</w:t>
      </w:r>
    </w:p>
    <w:p w:rsidR="001E689A" w:rsidRPr="008561BE" w:rsidRDefault="00C83C0B">
      <w:pPr>
        <w:spacing w:before="240" w:after="240" w:line="276" w:lineRule="auto"/>
        <w:ind w:left="567" w:right="900"/>
        <w:jc w:val="both"/>
        <w:rPr>
          <w:rFonts w:ascii="Palatino Linotype" w:eastAsia="Palatino Linotype" w:hAnsi="Palatino Linotype" w:cs="Palatino Linotype"/>
          <w:b/>
          <w:sz w:val="22"/>
          <w:szCs w:val="22"/>
        </w:rPr>
      </w:pPr>
      <w:r w:rsidRPr="008561BE">
        <w:rPr>
          <w:rFonts w:ascii="Palatino Linotype" w:eastAsia="Palatino Linotype" w:hAnsi="Palatino Linotype" w:cs="Palatino Linotype"/>
          <w:b/>
          <w:sz w:val="22"/>
          <w:szCs w:val="22"/>
        </w:rPr>
        <w:t>De los servidores públicos adscritos a la Dirección General, Unidad de Apoyo Administrativo y Dirección Jurídica Financiera y de Igualdad de Género:</w:t>
      </w:r>
    </w:p>
    <w:p w:rsidR="001E689A" w:rsidRPr="008561BE" w:rsidRDefault="00C83C0B">
      <w:pPr>
        <w:spacing w:before="240" w:after="240" w:line="276"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Documento donde consten los nombres de los servidores públicos en funciones al catorce de marzo de dos mil veintitrés</w:t>
      </w:r>
    </w:p>
    <w:p w:rsidR="001E689A" w:rsidRPr="008561BE" w:rsidRDefault="00C83C0B">
      <w:pPr>
        <w:spacing w:before="240" w:after="240" w:line="276"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Nómina detallada de la primera y segunda quincena del mes de febrero de dos mil veintitrés.</w:t>
      </w:r>
    </w:p>
    <w:p w:rsidR="001E689A" w:rsidRPr="008561BE" w:rsidRDefault="00C83C0B">
      <w:pPr>
        <w:spacing w:before="240" w:after="240" w:line="276" w:lineRule="auto"/>
        <w:ind w:left="567" w:right="900"/>
        <w:jc w:val="both"/>
        <w:rPr>
          <w:rFonts w:ascii="Palatino Linotype" w:eastAsia="Palatino Linotype" w:hAnsi="Palatino Linotype" w:cs="Palatino Linotype"/>
          <w:i/>
          <w:sz w:val="22"/>
          <w:szCs w:val="22"/>
        </w:rPr>
      </w:pPr>
      <w:proofErr w:type="spellStart"/>
      <w:r w:rsidRPr="008561BE">
        <w:rPr>
          <w:rFonts w:ascii="Palatino Linotype" w:eastAsia="Palatino Linotype" w:hAnsi="Palatino Linotype" w:cs="Palatino Linotype"/>
          <w:i/>
          <w:sz w:val="22"/>
          <w:szCs w:val="22"/>
        </w:rPr>
        <w:t>Curriculums</w:t>
      </w:r>
      <w:proofErr w:type="spellEnd"/>
      <w:r w:rsidRPr="008561BE">
        <w:rPr>
          <w:rFonts w:ascii="Palatino Linotype" w:eastAsia="Palatino Linotype" w:hAnsi="Palatino Linotype" w:cs="Palatino Linotype"/>
          <w:i/>
          <w:sz w:val="22"/>
          <w:szCs w:val="22"/>
        </w:rPr>
        <w:t>, ficha curricular o solicitud de empleo de todos los servidores públicos, en funciones al catorce de marzo de dos mil veintitrés.</w:t>
      </w:r>
    </w:p>
    <w:p w:rsidR="001E689A" w:rsidRPr="008561BE" w:rsidRDefault="00C83C0B">
      <w:pPr>
        <w:spacing w:before="240" w:after="240" w:line="276"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Títulos profesionales de los servidores públicos, en funciones al catorce de marzo de dos mil veintitrés.</w:t>
      </w:r>
    </w:p>
    <w:p w:rsidR="001E689A" w:rsidRPr="008561BE" w:rsidRDefault="00C83C0B">
      <w:pPr>
        <w:spacing w:before="240" w:after="240" w:line="276"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Cédulas profesionales de los servidores públicos, con las que cuente al veintiocho de febrero de dos mil veintitrés.</w:t>
      </w:r>
    </w:p>
    <w:p w:rsidR="001E689A" w:rsidRPr="008561BE" w:rsidRDefault="00C83C0B">
      <w:pPr>
        <w:spacing w:before="240" w:after="240" w:line="360" w:lineRule="auto"/>
        <w:ind w:right="51"/>
        <w:jc w:val="both"/>
        <w:rPr>
          <w:rFonts w:ascii="Palatino Linotype" w:eastAsia="Palatino Linotype" w:hAnsi="Palatino Linotype" w:cs="Palatino Linotype"/>
        </w:rPr>
      </w:pPr>
      <w:r w:rsidRPr="008561BE">
        <w:rPr>
          <w:rFonts w:ascii="Palatino Linotype" w:eastAsia="Palatino Linotype" w:hAnsi="Palatino Linotype" w:cs="Palatino Linotype"/>
          <w:b/>
          <w:sz w:val="22"/>
          <w:szCs w:val="22"/>
        </w:rPr>
        <w:t xml:space="preserve">Quinto. Versión Pública. </w:t>
      </w:r>
      <w:r w:rsidRPr="008561BE">
        <w:rPr>
          <w:rFonts w:ascii="Palatino Linotype" w:eastAsia="Palatino Linotype" w:hAnsi="Palatino Linotype" w:cs="Palatino Linotype"/>
        </w:rPr>
        <w:t>Como fue debidamente apuntado, el </w:t>
      </w:r>
      <w:r w:rsidRPr="008561BE">
        <w:rPr>
          <w:rFonts w:ascii="Palatino Linotype" w:eastAsia="Palatino Linotype" w:hAnsi="Palatino Linotype" w:cs="Palatino Linotype"/>
          <w:b/>
        </w:rPr>
        <w:t>Sujeto Obligado</w:t>
      </w:r>
      <w:r w:rsidRPr="008561BE">
        <w:rPr>
          <w:rFonts w:ascii="Palatino Linotype" w:eastAsia="Palatino Linotype" w:hAnsi="Palatino Linotype" w:cs="Palatino Linotype"/>
        </w:rPr>
        <w:t xml:space="preserve"> debe satisfacer la solicitud de acceso a la información; sin embargo, dada la naturaleza de </w:t>
      </w:r>
      <w:r w:rsidRPr="008561BE">
        <w:rPr>
          <w:rFonts w:ascii="Palatino Linotype" w:eastAsia="Palatino Linotype" w:hAnsi="Palatino Linotype" w:cs="Palatino Linotype"/>
        </w:rPr>
        <w:lastRenderedPageBreak/>
        <w:t>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1E689A" w:rsidRPr="008561BE" w:rsidRDefault="00C83C0B">
      <w:pPr>
        <w:spacing w:before="240" w:after="24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rPr>
        <w:t>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w:t>
      </w:r>
    </w:p>
    <w:p w:rsidR="001E689A" w:rsidRPr="008561BE" w:rsidRDefault="00C83C0B">
      <w:pPr>
        <w:spacing w:before="240" w:after="24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1E689A" w:rsidRPr="008561BE" w:rsidRDefault="00C83C0B">
      <w:pPr>
        <w:spacing w:before="240" w:after="24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Al respecto, los artículos 3, fracciones IX, XX, XXI, XXXII, XLV; 6, 91, 137, 143 </w:t>
      </w:r>
      <w:proofErr w:type="gramStart"/>
      <w:r w:rsidRPr="008561BE">
        <w:rPr>
          <w:rFonts w:ascii="Palatino Linotype" w:eastAsia="Palatino Linotype" w:hAnsi="Palatino Linotype" w:cs="Palatino Linotype"/>
        </w:rPr>
        <w:t>fracción</w:t>
      </w:r>
      <w:proofErr w:type="gramEnd"/>
      <w:r w:rsidRPr="008561BE">
        <w:rPr>
          <w:rFonts w:ascii="Palatino Linotype" w:eastAsia="Palatino Linotype" w:hAnsi="Palatino Linotype" w:cs="Palatino Linotype"/>
        </w:rPr>
        <w:t xml:space="preserve"> I, de la Ley de Transparencia y Acceso a la Información Pública del Estado de México y Municipios vigente establecen:</w:t>
      </w:r>
    </w:p>
    <w:p w:rsidR="001E689A" w:rsidRPr="008561BE" w:rsidRDefault="00C83C0B">
      <w:pPr>
        <w:spacing w:before="120" w:after="12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sz w:val="22"/>
          <w:szCs w:val="22"/>
        </w:rPr>
        <w:t> </w:t>
      </w:r>
      <w:r w:rsidRPr="008561BE">
        <w:rPr>
          <w:rFonts w:ascii="Palatino Linotype" w:eastAsia="Palatino Linotype" w:hAnsi="Palatino Linotype" w:cs="Palatino Linotype"/>
          <w:i/>
          <w:sz w:val="22"/>
          <w:szCs w:val="22"/>
        </w:rPr>
        <w:t>“</w:t>
      </w:r>
      <w:r w:rsidRPr="008561BE">
        <w:rPr>
          <w:rFonts w:ascii="Palatino Linotype" w:eastAsia="Palatino Linotype" w:hAnsi="Palatino Linotype" w:cs="Palatino Linotype"/>
          <w:b/>
          <w:i/>
          <w:sz w:val="22"/>
          <w:szCs w:val="22"/>
        </w:rPr>
        <w:t>Artículo 3.</w:t>
      </w:r>
      <w:r w:rsidRPr="008561BE">
        <w:rPr>
          <w:rFonts w:ascii="Palatino Linotype" w:eastAsia="Palatino Linotype" w:hAnsi="Palatino Linotype" w:cs="Palatino Linotype"/>
          <w:i/>
          <w:sz w:val="22"/>
          <w:szCs w:val="22"/>
        </w:rPr>
        <w:t xml:space="preserve"> Para los efectos de la presente Ley se entenderá por:</w:t>
      </w:r>
    </w:p>
    <w:p w:rsidR="001E689A" w:rsidRPr="008561BE" w:rsidRDefault="00C83C0B">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p>
    <w:p w:rsidR="001E689A" w:rsidRPr="008561BE" w:rsidRDefault="00C83C0B">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IX. Datos personales</w:t>
      </w:r>
      <w:r w:rsidRPr="008561BE">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rsidR="001E689A" w:rsidRPr="008561BE" w:rsidRDefault="00C83C0B">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p>
    <w:p w:rsidR="001E689A" w:rsidRPr="008561BE" w:rsidRDefault="00C83C0B">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lastRenderedPageBreak/>
        <w:t>XX. Información clasificada</w:t>
      </w:r>
      <w:r w:rsidRPr="008561BE">
        <w:rPr>
          <w:rFonts w:ascii="Palatino Linotype" w:eastAsia="Palatino Linotype" w:hAnsi="Palatino Linotype" w:cs="Palatino Linotype"/>
          <w:i/>
          <w:sz w:val="22"/>
          <w:szCs w:val="22"/>
        </w:rPr>
        <w:t>: Aquella considerada por la presente Ley como reservada o confidencial;</w:t>
      </w:r>
    </w:p>
    <w:p w:rsidR="001E689A" w:rsidRPr="008561BE" w:rsidRDefault="00C83C0B">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XXI. Información confidencial</w:t>
      </w:r>
      <w:r w:rsidRPr="008561BE">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1E689A" w:rsidRPr="008561BE" w:rsidRDefault="00C83C0B">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p>
    <w:p w:rsidR="001E689A" w:rsidRPr="008561BE" w:rsidRDefault="00C83C0B">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XXXII. Protección de Datos Personales</w:t>
      </w:r>
      <w:r w:rsidRPr="008561BE">
        <w:rPr>
          <w:rFonts w:ascii="Palatino Linotype" w:eastAsia="Palatino Linotype" w:hAnsi="Palatino Linotype" w:cs="Palatino Linotype"/>
          <w:i/>
          <w:sz w:val="22"/>
          <w:szCs w:val="22"/>
        </w:rPr>
        <w:t>: Derecho humano que tutela la privacidad de datos personales en poder de los sujetos obligados y sujetos particulares;</w:t>
      </w:r>
    </w:p>
    <w:p w:rsidR="001E689A" w:rsidRPr="008561BE" w:rsidRDefault="00C83C0B">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p>
    <w:p w:rsidR="001E689A" w:rsidRPr="008561BE" w:rsidRDefault="00C83C0B">
      <w:pPr>
        <w:tabs>
          <w:tab w:val="left" w:pos="1276"/>
        </w:tabs>
        <w:spacing w:before="120" w:after="12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XLV. Versión pública</w:t>
      </w:r>
      <w:r w:rsidRPr="008561BE">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1E689A" w:rsidRPr="008561BE" w:rsidRDefault="00C83C0B">
      <w:pPr>
        <w:spacing w:before="120" w:after="12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 Artículo 6</w:t>
      </w:r>
      <w:r w:rsidRPr="008561BE">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1E689A" w:rsidRPr="008561BE" w:rsidRDefault="00C83C0B">
      <w:pPr>
        <w:spacing w:before="120" w:after="12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 (…)</w:t>
      </w:r>
    </w:p>
    <w:p w:rsidR="001E689A" w:rsidRPr="008561BE" w:rsidRDefault="00C83C0B">
      <w:pPr>
        <w:spacing w:before="120" w:after="12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Artículo 91.</w:t>
      </w:r>
      <w:r w:rsidRPr="008561BE">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rsidR="001E689A" w:rsidRPr="008561BE" w:rsidRDefault="00C83C0B">
      <w:pPr>
        <w:spacing w:before="120" w:after="12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p>
    <w:p w:rsidR="001E689A" w:rsidRPr="008561BE" w:rsidRDefault="00C83C0B">
      <w:pPr>
        <w:spacing w:before="120" w:after="12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Artículo 137.</w:t>
      </w:r>
      <w:r w:rsidRPr="008561BE">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1E689A" w:rsidRPr="008561BE" w:rsidRDefault="00C83C0B">
      <w:pPr>
        <w:spacing w:before="120" w:after="12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 Artículo 143.</w:t>
      </w:r>
      <w:r w:rsidRPr="008561BE">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rsidR="001E689A" w:rsidRPr="008561BE" w:rsidRDefault="00C83C0B">
      <w:pPr>
        <w:spacing w:before="120" w:after="120" w:line="259" w:lineRule="auto"/>
        <w:ind w:left="567"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lastRenderedPageBreak/>
        <w:t>I.</w:t>
      </w:r>
      <w:r w:rsidRPr="008561BE">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1E689A" w:rsidRPr="008561BE" w:rsidRDefault="00C83C0B">
      <w:pPr>
        <w:spacing w:before="240" w:after="240" w:line="360" w:lineRule="auto"/>
        <w:ind w:right="50"/>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8561BE">
        <w:rPr>
          <w:rFonts w:ascii="Palatino Linotype" w:eastAsia="Palatino Linotype" w:hAnsi="Palatino Linotype" w:cs="Palatino Linotype"/>
          <w:b/>
        </w:rPr>
        <w:t>Sujeto Obligado</w:t>
      </w:r>
      <w:r w:rsidRPr="008561BE">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1E689A" w:rsidRPr="008561BE" w:rsidRDefault="00C83C0B">
      <w:pPr>
        <w:spacing w:before="240" w:after="240" w:line="360" w:lineRule="auto"/>
        <w:ind w:right="50"/>
        <w:jc w:val="both"/>
        <w:rPr>
          <w:rFonts w:ascii="Palatino Linotype" w:eastAsia="Palatino Linotype" w:hAnsi="Palatino Linotype" w:cs="Palatino Linotype"/>
        </w:rPr>
      </w:pPr>
      <w:r w:rsidRPr="008561BE">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1E689A" w:rsidRPr="008561BE" w:rsidRDefault="00C83C0B">
      <w:pPr>
        <w:tabs>
          <w:tab w:val="left" w:pos="7938"/>
        </w:tabs>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w:t>
      </w:r>
      <w:r w:rsidRPr="008561BE">
        <w:rPr>
          <w:rFonts w:ascii="Palatino Linotype" w:eastAsia="Palatino Linotype" w:hAnsi="Palatino Linotype" w:cs="Palatino Linotype"/>
        </w:rPr>
        <w:lastRenderedPageBreak/>
        <w:t>reproducida, publicada y divulgada por diversos medios, desde volantes impresos de la forma más rudimentaria, hasta filmaciones y fotografías transmitidas por televisión cine, video, correo electrónico o Internet.</w:t>
      </w:r>
    </w:p>
    <w:p w:rsidR="001E689A" w:rsidRPr="008561BE" w:rsidRDefault="001E689A">
      <w:pPr>
        <w:tabs>
          <w:tab w:val="left" w:pos="7938"/>
        </w:tabs>
        <w:spacing w:line="360" w:lineRule="auto"/>
        <w:jc w:val="both"/>
        <w:rPr>
          <w:rFonts w:ascii="Palatino Linotype" w:eastAsia="Palatino Linotype" w:hAnsi="Palatino Linotype" w:cs="Palatino Linotype"/>
        </w:rPr>
      </w:pPr>
    </w:p>
    <w:p w:rsidR="001E689A" w:rsidRPr="008561BE" w:rsidRDefault="00C83C0B">
      <w:pPr>
        <w:tabs>
          <w:tab w:val="left" w:pos="7938"/>
        </w:tabs>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rsidR="001E689A" w:rsidRPr="008561BE" w:rsidRDefault="001E689A">
      <w:pPr>
        <w:tabs>
          <w:tab w:val="left" w:pos="7938"/>
        </w:tabs>
        <w:spacing w:line="360" w:lineRule="auto"/>
        <w:jc w:val="both"/>
        <w:rPr>
          <w:rFonts w:ascii="Palatino Linotype" w:eastAsia="Palatino Linotype" w:hAnsi="Palatino Linotype" w:cs="Palatino Linotype"/>
        </w:rPr>
      </w:pPr>
    </w:p>
    <w:p w:rsidR="001E689A" w:rsidRPr="008561BE" w:rsidRDefault="00C83C0B">
      <w:pPr>
        <w:tabs>
          <w:tab w:val="left" w:pos="7938"/>
        </w:tabs>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rsidR="001E689A" w:rsidRPr="008561BE" w:rsidRDefault="001E689A">
      <w:pPr>
        <w:tabs>
          <w:tab w:val="left" w:pos="7938"/>
        </w:tabs>
        <w:spacing w:line="360" w:lineRule="auto"/>
        <w:jc w:val="both"/>
        <w:rPr>
          <w:rFonts w:ascii="Palatino Linotype" w:eastAsia="Palatino Linotype" w:hAnsi="Palatino Linotype" w:cs="Palatino Linotype"/>
        </w:rPr>
      </w:pPr>
    </w:p>
    <w:p w:rsidR="001E689A" w:rsidRPr="008561BE" w:rsidRDefault="00C83C0B">
      <w:pPr>
        <w:tabs>
          <w:tab w:val="left" w:pos="7938"/>
        </w:tabs>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lastRenderedPageBreak/>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rsidR="001E689A" w:rsidRPr="008561BE" w:rsidRDefault="001E689A">
      <w:pPr>
        <w:tabs>
          <w:tab w:val="left" w:pos="7938"/>
        </w:tabs>
        <w:spacing w:line="360" w:lineRule="auto"/>
        <w:jc w:val="both"/>
        <w:rPr>
          <w:rFonts w:ascii="Palatino Linotype" w:eastAsia="Palatino Linotype" w:hAnsi="Palatino Linotype" w:cs="Palatino Linotype"/>
        </w:rPr>
      </w:pPr>
    </w:p>
    <w:p w:rsidR="001E689A" w:rsidRPr="008561BE" w:rsidRDefault="00C83C0B">
      <w:pPr>
        <w:tabs>
          <w:tab w:val="left" w:pos="7938"/>
        </w:tabs>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rsidR="001E689A" w:rsidRPr="008561BE" w:rsidRDefault="001E689A">
      <w:pPr>
        <w:tabs>
          <w:tab w:val="left" w:pos="7938"/>
        </w:tabs>
        <w:spacing w:line="360" w:lineRule="auto"/>
        <w:jc w:val="both"/>
        <w:rPr>
          <w:rFonts w:ascii="Palatino Linotype" w:eastAsia="Palatino Linotype" w:hAnsi="Palatino Linotype" w:cs="Palatino Linotype"/>
        </w:rPr>
      </w:pPr>
    </w:p>
    <w:p w:rsidR="001E689A" w:rsidRPr="008561BE" w:rsidRDefault="00C83C0B">
      <w:pPr>
        <w:tabs>
          <w:tab w:val="left" w:pos="7938"/>
        </w:tabs>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w:t>
      </w:r>
      <w:r w:rsidRPr="008561BE">
        <w:rPr>
          <w:rFonts w:ascii="Palatino Linotype" w:eastAsia="Palatino Linotype" w:hAnsi="Palatino Linotype" w:cs="Palatino Linotype"/>
        </w:rPr>
        <w:lastRenderedPageBreak/>
        <w:t>publicidad o clasificación el cargo o nivel jerárquico en el que se desempeñe el servidor público.</w:t>
      </w:r>
    </w:p>
    <w:p w:rsidR="001E689A" w:rsidRPr="008561BE" w:rsidRDefault="001E689A">
      <w:pPr>
        <w:tabs>
          <w:tab w:val="left" w:pos="7938"/>
        </w:tabs>
        <w:spacing w:line="360" w:lineRule="auto"/>
        <w:jc w:val="both"/>
        <w:rPr>
          <w:rFonts w:ascii="Palatino Linotype" w:eastAsia="Palatino Linotype" w:hAnsi="Palatino Linotype" w:cs="Palatino Linotype"/>
        </w:rPr>
      </w:pPr>
    </w:p>
    <w:p w:rsidR="001E689A" w:rsidRPr="008561BE" w:rsidRDefault="00C83C0B">
      <w:pPr>
        <w:tabs>
          <w:tab w:val="left" w:pos="7938"/>
        </w:tabs>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de México y Municipios, por lo que en las versiones públicas que se ordenen, no podrá clasificarse esa información.</w:t>
      </w:r>
    </w:p>
    <w:p w:rsidR="001E689A" w:rsidRPr="008561BE" w:rsidRDefault="001E689A">
      <w:pPr>
        <w:tabs>
          <w:tab w:val="left" w:pos="7938"/>
        </w:tabs>
        <w:spacing w:line="360" w:lineRule="auto"/>
        <w:jc w:val="both"/>
        <w:rPr>
          <w:rFonts w:ascii="Palatino Linotype" w:eastAsia="Palatino Linotype" w:hAnsi="Palatino Linotype" w:cs="Palatino Linotype"/>
        </w:rPr>
      </w:pPr>
    </w:p>
    <w:p w:rsidR="001E689A" w:rsidRPr="008561BE" w:rsidRDefault="00C83C0B">
      <w:pPr>
        <w:tabs>
          <w:tab w:val="left" w:pos="7938"/>
        </w:tabs>
        <w:spacing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Cabe hacer la aclaración que aquellos documentos que sean clasificados en su totalidad por no revestir de interés público, como lo es la credencial de elector, la fotografía correrá la misma suerte que el documento en cuestión, únicamente para dicha expresión documental.</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En el caso específico, dada la naturaleza de la información que se ordena, si bien tiene el carácter información pública en razón de que se trata de documentos que se encuentran en posesión del </w:t>
      </w:r>
      <w:r w:rsidRPr="008561BE">
        <w:rPr>
          <w:rFonts w:ascii="Palatino Linotype" w:eastAsia="Palatino Linotype" w:hAnsi="Palatino Linotype" w:cs="Palatino Linotype"/>
          <w:b/>
        </w:rPr>
        <w:t>Sujeto Obligado</w:t>
      </w:r>
      <w:r w:rsidRPr="008561BE">
        <w:rPr>
          <w:rFonts w:ascii="Palatino Linotype" w:eastAsia="Palatino Linotype" w:hAnsi="Palatino Linotype" w:cs="Palatino Linotype"/>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w:t>
      </w:r>
      <w:r w:rsidRPr="008561BE">
        <w:rPr>
          <w:rFonts w:ascii="Palatino Linotype" w:eastAsia="Palatino Linotype" w:hAnsi="Palatino Linotype" w:cs="Palatino Linotype"/>
        </w:rPr>
        <w:lastRenderedPageBreak/>
        <w:t xml:space="preserve">la elaboración de versiones públicas el </w:t>
      </w:r>
      <w:r w:rsidRPr="008561BE">
        <w:rPr>
          <w:rFonts w:ascii="Palatino Linotype" w:eastAsia="Palatino Linotype" w:hAnsi="Palatino Linotype" w:cs="Palatino Linotype"/>
          <w:b/>
        </w:rPr>
        <w:t>Registro Federal de Contribuyentes</w:t>
      </w:r>
      <w:r w:rsidRPr="008561BE">
        <w:rPr>
          <w:rFonts w:ascii="Palatino Linotype" w:eastAsia="Palatino Linotype" w:hAnsi="Palatino Linotype" w:cs="Palatino Linotype"/>
        </w:rPr>
        <w:t xml:space="preserve"> (RFC), la </w:t>
      </w:r>
      <w:r w:rsidRPr="008561BE">
        <w:rPr>
          <w:rFonts w:ascii="Palatino Linotype" w:eastAsia="Palatino Linotype" w:hAnsi="Palatino Linotype" w:cs="Palatino Linotype"/>
          <w:b/>
        </w:rPr>
        <w:t>Clave Única de Registro de Población</w:t>
      </w:r>
      <w:r w:rsidRPr="008561BE">
        <w:rPr>
          <w:rFonts w:ascii="Palatino Linotype" w:eastAsia="Palatino Linotype" w:hAnsi="Palatino Linotype" w:cs="Palatino Linotype"/>
        </w:rPr>
        <w:t xml:space="preserve"> (CURP), la </w:t>
      </w:r>
      <w:r w:rsidRPr="008561BE">
        <w:rPr>
          <w:rFonts w:ascii="Palatino Linotype" w:eastAsia="Palatino Linotype" w:hAnsi="Palatino Linotype" w:cs="Palatino Linotype"/>
          <w:b/>
        </w:rPr>
        <w:t>Clave de cualquier tipo de seguridad social</w:t>
      </w:r>
      <w:r w:rsidRPr="008561BE">
        <w:rPr>
          <w:rFonts w:ascii="Palatino Linotype" w:eastAsia="Palatino Linotype" w:hAnsi="Palatino Linotype" w:cs="Palatino Linotype"/>
        </w:rPr>
        <w:t xml:space="preserve"> (ISSEMYM, u otros), los </w:t>
      </w:r>
      <w:r w:rsidRPr="008561BE">
        <w:rPr>
          <w:rFonts w:ascii="Palatino Linotype" w:eastAsia="Palatino Linotype" w:hAnsi="Palatino Linotype" w:cs="Palatino Linotype"/>
          <w:b/>
        </w:rPr>
        <w:t>números de cuentas bancarias</w:t>
      </w:r>
      <w:r w:rsidRPr="008561BE">
        <w:rPr>
          <w:rFonts w:ascii="Palatino Linotype" w:eastAsia="Palatino Linotype" w:hAnsi="Palatino Linotype" w:cs="Palatino Linotype"/>
        </w:rPr>
        <w:t xml:space="preserve">, claves estandarizadas – interbancarias - (CLABES) y de tarjetas, los </w:t>
      </w:r>
      <w:r w:rsidRPr="008561BE">
        <w:rPr>
          <w:rFonts w:ascii="Palatino Linotype" w:eastAsia="Palatino Linotype" w:hAnsi="Palatino Linotype" w:cs="Palatino Linotype"/>
          <w:b/>
        </w:rPr>
        <w:t>préstamos o descuentos</w:t>
      </w:r>
      <w:r w:rsidRPr="008561BE">
        <w:rPr>
          <w:rFonts w:ascii="Palatino Linotype" w:eastAsia="Palatino Linotype" w:hAnsi="Palatino Linotype" w:cs="Palatino Linotype"/>
        </w:rPr>
        <w:t xml:space="preserve"> que se le hagan a la persona y que no tengan relación con los impuestos o la cuota por seguridad social, el</w:t>
      </w:r>
      <w:r w:rsidRPr="008561BE">
        <w:rPr>
          <w:rFonts w:ascii="Palatino Linotype" w:eastAsia="Palatino Linotype" w:hAnsi="Palatino Linotype" w:cs="Palatino Linotype"/>
          <w:b/>
        </w:rPr>
        <w:t xml:space="preserve"> número de empleado, </w:t>
      </w:r>
      <w:r w:rsidRPr="008561BE">
        <w:rPr>
          <w:rFonts w:ascii="Palatino Linotype" w:eastAsia="Palatino Linotype" w:hAnsi="Palatino Linotype" w:cs="Palatino Linotype"/>
        </w:rPr>
        <w:t xml:space="preserve">así como de ser el caso, el </w:t>
      </w:r>
      <w:r w:rsidRPr="008561BE">
        <w:rPr>
          <w:rFonts w:ascii="Palatino Linotype" w:eastAsia="Palatino Linotype" w:hAnsi="Palatino Linotype" w:cs="Palatino Linotype"/>
          <w:b/>
        </w:rPr>
        <w:t>folio fiscal</w:t>
      </w:r>
      <w:r w:rsidRPr="008561BE">
        <w:rPr>
          <w:rFonts w:ascii="Palatino Linotype" w:eastAsia="Palatino Linotype" w:hAnsi="Palatino Linotype" w:cs="Palatino Linotype"/>
        </w:rPr>
        <w:t xml:space="preserve">, la  </w:t>
      </w:r>
      <w:r w:rsidRPr="008561BE">
        <w:rPr>
          <w:rFonts w:ascii="Palatino Linotype" w:eastAsia="Palatino Linotype" w:hAnsi="Palatino Linotype" w:cs="Palatino Linotype"/>
          <w:b/>
        </w:rPr>
        <w:t xml:space="preserve">cadena original, </w:t>
      </w:r>
      <w:r w:rsidRPr="008561BE">
        <w:rPr>
          <w:rFonts w:ascii="Palatino Linotype" w:eastAsia="Palatino Linotype" w:hAnsi="Palatino Linotype" w:cs="Palatino Linotype"/>
        </w:rPr>
        <w:t>los</w:t>
      </w:r>
      <w:r w:rsidRPr="008561BE">
        <w:rPr>
          <w:rFonts w:ascii="Palatino Linotype" w:eastAsia="Palatino Linotype" w:hAnsi="Palatino Linotype" w:cs="Palatino Linotype"/>
          <w:b/>
        </w:rPr>
        <w:t xml:space="preserve"> códigos bidimensionales o códigos QR,</w:t>
      </w:r>
      <w:r w:rsidRPr="008561BE">
        <w:rPr>
          <w:rFonts w:ascii="Palatino Linotype" w:eastAsia="Palatino Linotype" w:hAnsi="Palatino Linotype" w:cs="Palatino Linotype"/>
        </w:rPr>
        <w:t xml:space="preserve"> y cualquier información de carácter fiscal, bajo las siguientes consideraciones. </w:t>
      </w:r>
    </w:p>
    <w:p w:rsidR="001E689A" w:rsidRPr="008561BE" w:rsidRDefault="00C83C0B">
      <w:pPr>
        <w:spacing w:before="240" w:after="240" w:line="360" w:lineRule="auto"/>
        <w:ind w:right="50"/>
        <w:jc w:val="both"/>
        <w:rPr>
          <w:rFonts w:ascii="Palatino Linotype" w:eastAsia="Palatino Linotype" w:hAnsi="Palatino Linotype" w:cs="Palatino Linotype"/>
        </w:rPr>
      </w:pPr>
      <w:r w:rsidRPr="008561BE">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8561BE">
        <w:rPr>
          <w:rFonts w:ascii="Palatino Linotype" w:eastAsia="Palatino Linotype" w:hAnsi="Palatino Linotype" w:cs="Palatino Linotype"/>
        </w:rPr>
        <w:t>homoclave</w:t>
      </w:r>
      <w:proofErr w:type="spellEnd"/>
      <w:r w:rsidRPr="008561BE">
        <w:rPr>
          <w:rFonts w:ascii="Palatino Linotype" w:eastAsia="Palatino Linotype" w:hAnsi="Palatino Linotype" w:cs="Palatino Linotype"/>
        </w:rPr>
        <w:t>, por lo que para su obtención es necesario acreditar ante la autoridad fiscal previamente la identidad de la persona, su fecha de nacimiento, entre otros aspectos.</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lastRenderedPageBreak/>
        <w:t>Lo anterior es compartido por el Instituto Nacional de Transparencia, Acceso a la Información y Protección de Datos Personales, INAI, a través del Criterio 19/17, el cual es del tenor literal siguiente:</w:t>
      </w:r>
    </w:p>
    <w:p w:rsidR="001E689A" w:rsidRPr="008561BE" w:rsidRDefault="00C83C0B">
      <w:pPr>
        <w:spacing w:after="160" w:line="259" w:lineRule="auto"/>
        <w:ind w:left="851"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 xml:space="preserve"> “Registro Federal de Contribuyentes (RFC) de personas físicas</w:t>
      </w:r>
      <w:r w:rsidRPr="008561BE">
        <w:rPr>
          <w:rFonts w:ascii="Palatino Linotype" w:eastAsia="Palatino Linotype" w:hAnsi="Palatino Linotype" w:cs="Palatino Linotype"/>
          <w:i/>
          <w:sz w:val="22"/>
          <w:szCs w:val="22"/>
        </w:rPr>
        <w:t>. El RFC es una clave de carácter fiscal, única e irrepetible, que permite identificar al titular, su edad y fecha de nacimiento, por lo que es un dato personal de carácter confidencial.”</w:t>
      </w:r>
    </w:p>
    <w:p w:rsidR="001E689A" w:rsidRPr="008561BE" w:rsidRDefault="00C83C0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Así, el Registro Federal de Contribuyentes, RFC, se vincula al nombre de su titular y permite identificar la edad de la persona, su fecha de nacimiento, así como su </w:t>
      </w:r>
      <w:proofErr w:type="spellStart"/>
      <w:r w:rsidRPr="008561BE">
        <w:rPr>
          <w:rFonts w:ascii="Palatino Linotype" w:eastAsia="Palatino Linotype" w:hAnsi="Palatino Linotype" w:cs="Palatino Linotype"/>
        </w:rPr>
        <w:t>homoclave</w:t>
      </w:r>
      <w:proofErr w:type="spellEnd"/>
      <w:r w:rsidRPr="008561BE">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fracciones XI y XII de la Ley de Protección de Datos Personales en Posesión de los Sujetos Obligados del Estado de México y Municipios.</w:t>
      </w:r>
    </w:p>
    <w:p w:rsidR="001E689A" w:rsidRPr="008561BE" w:rsidRDefault="00C83C0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1E689A" w:rsidRPr="008561BE" w:rsidRDefault="00C83C0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lastRenderedPageBreak/>
        <w:t>Argumento que es compartido por el Instituto Nacional de Transparencia, Acceso a la Información y Protección de Datos Personales, INAI, conforme al criterio 18/17, el cual refiere:</w:t>
      </w:r>
    </w:p>
    <w:p w:rsidR="001E689A" w:rsidRPr="008561BE" w:rsidRDefault="00C83C0B">
      <w:pPr>
        <w:spacing w:after="160" w:line="259" w:lineRule="auto"/>
        <w:ind w:left="851" w:right="851"/>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 xml:space="preserve"> “Clave Única de Registro de Población (CURP). </w:t>
      </w:r>
      <w:r w:rsidRPr="008561BE">
        <w:rPr>
          <w:rFonts w:ascii="Palatino Linotype" w:eastAsia="Palatino Linotype" w:hAnsi="Palatino Linotype" w:cs="Palatino Linotype"/>
          <w:i/>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Respecto de los números de cuentas bancarias, claves estandarizadas –interbancarias- (CLABES) y de tarjetas, el Pleno de este Instituto ha determinado que esa información debe clasificarse como confidencial, y elaborarse una versión pública en la que se teste la misma.</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lastRenderedPageBreak/>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1E689A" w:rsidRPr="008561BE" w:rsidRDefault="00C83C0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En esa virtud, este Pleno determina que dicha información no puede ser del dominio público, toda vez que se podría dar un uso inadecuado a la misma o cometer algún ilícito o fraude como ya ha sido expuesto. </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Lo anterior no es así tratándose de las cuentas bancarias o claves interbancarias de los Sujetos Obligados ya que su publicidad cede a la rendición de cuentas al transparentar la forma en que son administrados los recursos públicos.</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Lo argumentado encuentra sustento en los criterios 10/17 y 11/17 emitidos por el Instituto Nacional de Transparencia, Acceso a la Información y Protección de Datos Personales, INAI, que llevan por rubro y texto los siguientes:</w:t>
      </w:r>
    </w:p>
    <w:p w:rsidR="001E689A" w:rsidRPr="008561BE" w:rsidRDefault="00C83C0B">
      <w:pPr>
        <w:spacing w:before="240" w:after="240" w:line="259" w:lineRule="auto"/>
        <w:ind w:left="851"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r w:rsidRPr="008561BE">
        <w:rPr>
          <w:rFonts w:ascii="Palatino Linotype" w:eastAsia="Palatino Linotype" w:hAnsi="Palatino Linotype" w:cs="Palatino Linotype"/>
          <w:b/>
          <w:i/>
          <w:sz w:val="22"/>
          <w:szCs w:val="22"/>
        </w:rPr>
        <w:t>Cuentas bancarias y/o CLABE interbancaria de personas físicas y morales privadas.</w:t>
      </w:r>
      <w:r w:rsidRPr="008561BE">
        <w:rPr>
          <w:rFonts w:ascii="Palatino Linotype" w:eastAsia="Palatino Linotype" w:hAnsi="Palatino Linotype" w:cs="Palatino Linotype"/>
          <w:i/>
          <w:sz w:val="22"/>
          <w:szCs w:val="22"/>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1E689A" w:rsidRPr="008561BE" w:rsidRDefault="00C83C0B">
      <w:pPr>
        <w:spacing w:before="240" w:after="240" w:line="259" w:lineRule="auto"/>
        <w:ind w:left="851"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Cuentas bancarias y/o CLABE interbancaria de sujetos obligados que reciben y/o transfieren recursos públicos, son información pública.</w:t>
      </w:r>
      <w:r w:rsidRPr="008561BE">
        <w:rPr>
          <w:rFonts w:ascii="Palatino Linotype" w:eastAsia="Palatino Linotype" w:hAnsi="Palatino Linotype" w:cs="Palatino Linotype"/>
          <w:i/>
          <w:sz w:val="22"/>
          <w:szCs w:val="22"/>
        </w:rPr>
        <w:t xml:space="preserve"> La difusión de las cuentas bancarias y claves interbancarias pertenecientes a un </w:t>
      </w:r>
      <w:r w:rsidRPr="008561BE">
        <w:rPr>
          <w:rFonts w:ascii="Palatino Linotype" w:eastAsia="Palatino Linotype" w:hAnsi="Palatino Linotype" w:cs="Palatino Linotype"/>
          <w:i/>
          <w:sz w:val="22"/>
          <w:szCs w:val="22"/>
        </w:rPr>
        <w:lastRenderedPageBreak/>
        <w:t>sujeto obligado favorece la rendición de cuentas al transparentar la forma en que se administran los recursos públicos, razón por la cual no pueden considerarse como información clasificada.”</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Por cuanto hace a los </w:t>
      </w:r>
      <w:r w:rsidRPr="008561BE">
        <w:rPr>
          <w:rFonts w:ascii="Palatino Linotype" w:eastAsia="Palatino Linotype" w:hAnsi="Palatino Linotype" w:cs="Palatino Linotype"/>
          <w:b/>
        </w:rPr>
        <w:t>préstamos o descuentos de carácter personal</w:t>
      </w:r>
      <w:r w:rsidRPr="008561BE">
        <w:rPr>
          <w:rFonts w:ascii="Palatino Linotype" w:eastAsia="Palatino Linotype" w:hAnsi="Palatino Linotype" w:cs="Palatino Linotype"/>
        </w:rPr>
        <w:t>, en virtud de no tener relación con la prestación del servicio y al no involucrar instituciones públicas, se consideran datos confidenciales.</w:t>
      </w:r>
    </w:p>
    <w:p w:rsidR="001E689A" w:rsidRPr="008561BE" w:rsidRDefault="00C83C0B">
      <w:pPr>
        <w:spacing w:before="240" w:after="240" w:line="360" w:lineRule="auto"/>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sz w:val="22"/>
          <w:szCs w:val="22"/>
        </w:rPr>
        <w:t>Para entender los límites y alcances de esta restricción, es oportuno recurrir al artículo 84 de la Ley del Trabajo de los Servidores Públicos del Estado y Municipios:</w:t>
      </w:r>
    </w:p>
    <w:p w:rsidR="001E689A" w:rsidRPr="008561BE" w:rsidRDefault="00C83C0B">
      <w:pPr>
        <w:spacing w:before="240" w:after="240" w:line="259" w:lineRule="auto"/>
        <w:ind w:left="851" w:right="900"/>
        <w:jc w:val="both"/>
        <w:rPr>
          <w:rFonts w:ascii="Palatino Linotype" w:eastAsia="Palatino Linotype" w:hAnsi="Palatino Linotype" w:cs="Palatino Linotype"/>
          <w:b/>
          <w:i/>
          <w:sz w:val="22"/>
          <w:szCs w:val="22"/>
        </w:rPr>
      </w:pPr>
      <w:r w:rsidRPr="008561BE">
        <w:rPr>
          <w:rFonts w:ascii="Palatino Linotype" w:eastAsia="Palatino Linotype" w:hAnsi="Palatino Linotype" w:cs="Palatino Linotype"/>
          <w:b/>
          <w:i/>
          <w:sz w:val="22"/>
          <w:szCs w:val="22"/>
        </w:rPr>
        <w:t xml:space="preserve">“ARTÍCULO 84. </w:t>
      </w:r>
      <w:r w:rsidRPr="008561BE">
        <w:rPr>
          <w:rFonts w:ascii="Palatino Linotype" w:eastAsia="Palatino Linotype" w:hAnsi="Palatino Linotype" w:cs="Palatino Linotype"/>
          <w:i/>
          <w:sz w:val="22"/>
          <w:szCs w:val="22"/>
        </w:rPr>
        <w:t>Sólo podrán hacerse retenciones, descuentos o deducciones al sueldo de los servidores públicos por concepto de:</w:t>
      </w:r>
    </w:p>
    <w:p w:rsidR="001E689A" w:rsidRPr="008561BE" w:rsidRDefault="00C83C0B">
      <w:pPr>
        <w:spacing w:after="160" w:line="259" w:lineRule="auto"/>
        <w:ind w:left="993"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I. Gravámenes fiscales relacionados con el sueldo;</w:t>
      </w:r>
    </w:p>
    <w:p w:rsidR="001E689A" w:rsidRPr="008561BE" w:rsidRDefault="00C83C0B">
      <w:pPr>
        <w:spacing w:after="160" w:line="259" w:lineRule="auto"/>
        <w:ind w:left="993"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rsidR="001E689A" w:rsidRPr="008561BE" w:rsidRDefault="00C83C0B">
      <w:pPr>
        <w:spacing w:after="160" w:line="259" w:lineRule="auto"/>
        <w:ind w:left="993"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III. Cuotas sindicales;</w:t>
      </w:r>
    </w:p>
    <w:p w:rsidR="001E689A" w:rsidRPr="008561BE" w:rsidRDefault="00C83C0B">
      <w:pPr>
        <w:spacing w:after="160" w:line="259" w:lineRule="auto"/>
        <w:ind w:left="993"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rsidR="001E689A" w:rsidRPr="008561BE" w:rsidRDefault="00C83C0B">
      <w:pPr>
        <w:spacing w:after="160" w:line="259" w:lineRule="auto"/>
        <w:ind w:left="993"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rsidR="001E689A" w:rsidRPr="008561BE" w:rsidRDefault="00C83C0B">
      <w:pPr>
        <w:spacing w:after="160" w:line="259" w:lineRule="auto"/>
        <w:ind w:left="993"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rsidR="001E689A" w:rsidRPr="008561BE" w:rsidRDefault="00C83C0B">
      <w:pPr>
        <w:spacing w:after="160" w:line="259" w:lineRule="auto"/>
        <w:ind w:left="993"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VII. Faltas de puntualidad o de asistencia injustificadas;</w:t>
      </w:r>
    </w:p>
    <w:p w:rsidR="001E689A" w:rsidRPr="008561BE" w:rsidRDefault="00C83C0B">
      <w:pPr>
        <w:spacing w:after="160" w:line="259" w:lineRule="auto"/>
        <w:ind w:left="993" w:right="90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VIII. Pensiones alimenticias ordenadas por la autoridad judicial;</w:t>
      </w:r>
      <w:r w:rsidRPr="008561BE">
        <w:rPr>
          <w:rFonts w:ascii="Palatino Linotype" w:eastAsia="Palatino Linotype" w:hAnsi="Palatino Linotype" w:cs="Palatino Linotype"/>
          <w:i/>
          <w:sz w:val="22"/>
          <w:szCs w:val="22"/>
        </w:rPr>
        <w:t xml:space="preserve"> o</w:t>
      </w:r>
    </w:p>
    <w:p w:rsidR="001E689A" w:rsidRPr="008561BE" w:rsidRDefault="00C83C0B">
      <w:pPr>
        <w:spacing w:after="160" w:line="259" w:lineRule="auto"/>
        <w:ind w:left="993" w:right="902"/>
        <w:jc w:val="both"/>
        <w:rPr>
          <w:rFonts w:ascii="Palatino Linotype" w:eastAsia="Palatino Linotype" w:hAnsi="Palatino Linotype" w:cs="Palatino Linotype"/>
          <w:b/>
          <w:i/>
          <w:sz w:val="22"/>
          <w:szCs w:val="22"/>
        </w:rPr>
      </w:pPr>
      <w:r w:rsidRPr="008561BE">
        <w:rPr>
          <w:rFonts w:ascii="Palatino Linotype" w:eastAsia="Palatino Linotype" w:hAnsi="Palatino Linotype" w:cs="Palatino Linotype"/>
          <w:b/>
          <w:i/>
          <w:sz w:val="22"/>
          <w:szCs w:val="22"/>
        </w:rPr>
        <w:lastRenderedPageBreak/>
        <w:t>IX. Cualquier otro convenido con instituciones de servicios y aceptado por el servidor público.</w:t>
      </w:r>
    </w:p>
    <w:p w:rsidR="001E689A" w:rsidRPr="008561BE" w:rsidRDefault="00C83C0B">
      <w:pPr>
        <w:spacing w:before="240" w:after="240" w:line="259" w:lineRule="auto"/>
        <w:ind w:left="851"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Con relación al </w:t>
      </w:r>
      <w:r w:rsidRPr="008561BE">
        <w:rPr>
          <w:rFonts w:ascii="Palatino Linotype" w:eastAsia="Palatino Linotype" w:hAnsi="Palatino Linotype" w:cs="Palatino Linotype"/>
          <w:b/>
        </w:rPr>
        <w:t>número de empleado</w:t>
      </w:r>
      <w:r w:rsidRPr="008561BE">
        <w:rPr>
          <w:rFonts w:ascii="Palatino Linotype" w:eastAsia="Palatino Linotype" w:hAnsi="Palatino Linotype" w:cs="Palatino Linotype"/>
        </w:rPr>
        <w:t xml:space="preserve"> debe precisarse que este constituye un código, en virtud del cual, los trabajadores pueden acceder a un sistema de datos o información de la dependencia o entidad a la que pertenecen, a fin de presentar consultas relacionadas con su situación laboral particular, siendo un número único, permanente e intransferible que se asigna para llevar un registro de los trabajadores</w:t>
      </w:r>
      <w:r w:rsidRPr="008561BE">
        <w:rPr>
          <w:rFonts w:ascii="Palatino Linotype" w:eastAsia="Palatino Linotype" w:hAnsi="Palatino Linotype" w:cs="Palatino Linotype"/>
          <w:vertAlign w:val="superscript"/>
        </w:rPr>
        <w:footnoteReference w:id="1"/>
      </w:r>
      <w:r w:rsidRPr="008561BE">
        <w:rPr>
          <w:rFonts w:ascii="Palatino Linotype" w:eastAsia="Palatino Linotype" w:hAnsi="Palatino Linotype" w:cs="Palatino Linotype"/>
        </w:rPr>
        <w:t>.</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Bajo esos argumentos, se entendería que la información relativa al número de empleado constituye información confidencial al tratarse de un número de </w:t>
      </w:r>
      <w:r w:rsidRPr="008561BE">
        <w:rPr>
          <w:rFonts w:ascii="Palatino Linotype" w:eastAsia="Palatino Linotype" w:hAnsi="Palatino Linotype" w:cs="Palatino Linotype"/>
        </w:rPr>
        <w:lastRenderedPageBreak/>
        <w:t>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rsidR="001E689A" w:rsidRPr="008561BE" w:rsidRDefault="00C83C0B">
      <w:pPr>
        <w:tabs>
          <w:tab w:val="left" w:pos="7655"/>
        </w:tabs>
        <w:spacing w:before="240" w:after="240" w:line="259" w:lineRule="auto"/>
        <w:ind w:left="993" w:right="992"/>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 xml:space="preserve">“Número de empleado. </w:t>
      </w:r>
      <w:r w:rsidRPr="008561BE">
        <w:rPr>
          <w:rFonts w:ascii="Palatino Linotype" w:eastAsia="Palatino Linotype" w:hAnsi="Palatino Linotype" w:cs="Palatino Linotype"/>
          <w:i/>
          <w:sz w:val="22"/>
          <w:szCs w:val="22"/>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8561BE">
        <w:rPr>
          <w:rFonts w:ascii="Palatino Linotype" w:eastAsia="Palatino Linotype" w:hAnsi="Palatino Linotype" w:cs="Palatino Linotype"/>
          <w:b/>
        </w:rPr>
        <w:t>Sujeto Obligado</w:t>
      </w:r>
      <w:r w:rsidRPr="008561BE">
        <w:rPr>
          <w:rFonts w:ascii="Palatino Linotype" w:eastAsia="Palatino Linotype" w:hAnsi="Palatino Linotype" w:cs="Palatino Linotype"/>
        </w:rPr>
        <w:t xml:space="preserve"> deberá acatar lo establecido y de ser procedente, entregará el número de empleado o equivalente de los servidores públicos materia de la solicitud, o en su caso, los clasificará como información confidencial, a través del Acuerdo emitido por su Comité de Transparencia conforme a la Ley de la Materia.</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b/>
        </w:rPr>
        <w:t>De la información fiscal</w:t>
      </w:r>
      <w:r w:rsidRPr="008561BE">
        <w:rPr>
          <w:rFonts w:ascii="Palatino Linotype" w:eastAsia="Palatino Linotype" w:hAnsi="Palatino Linotype" w:cs="Palatino Linotype"/>
        </w:rPr>
        <w:t xml:space="preserve">: </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La </w:t>
      </w:r>
      <w:r w:rsidRPr="008561BE">
        <w:rPr>
          <w:rFonts w:ascii="Palatino Linotype" w:eastAsia="Palatino Linotype" w:hAnsi="Palatino Linotype" w:cs="Palatino Linotype"/>
          <w:b/>
        </w:rPr>
        <w:t>Cadena Original</w:t>
      </w:r>
      <w:r w:rsidRPr="008561BE">
        <w:rPr>
          <w:rFonts w:ascii="Palatino Linotype" w:eastAsia="Palatino Linotype" w:hAnsi="Palatino Linotype" w:cs="Palatino Linotype"/>
        </w:rPr>
        <w:t xml:space="preserve"> es la secuencia de datos formada con la información contenida dentro de los comprobantes fiscales, entre los que podría encontrarse de manera </w:t>
      </w:r>
      <w:r w:rsidRPr="008561BE">
        <w:rPr>
          <w:rFonts w:ascii="Palatino Linotype" w:eastAsia="Palatino Linotype" w:hAnsi="Palatino Linotype" w:cs="Palatino Linotype"/>
        </w:rPr>
        <w:lastRenderedPageBreak/>
        <w:t xml:space="preserve">enunciativa, más no limitativa, el RFC del receptor, es decir del servidor público. En dicho supuesto, la cadena original constituiría información que únicamente atañe al contribuyente, siendo tarea del </w:t>
      </w:r>
      <w:r w:rsidRPr="008561BE">
        <w:rPr>
          <w:rFonts w:ascii="Palatino Linotype" w:eastAsia="Palatino Linotype" w:hAnsi="Palatino Linotype" w:cs="Palatino Linotype"/>
          <w:b/>
        </w:rPr>
        <w:t>Sujeto Obligado</w:t>
      </w:r>
      <w:r w:rsidRPr="008561BE">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Los </w:t>
      </w:r>
      <w:r w:rsidRPr="008561BE">
        <w:rPr>
          <w:rFonts w:ascii="Palatino Linotype" w:eastAsia="Palatino Linotype" w:hAnsi="Palatino Linotype" w:cs="Palatino Linotype"/>
          <w:b/>
        </w:rPr>
        <w:t>códigos bidimensionales</w:t>
      </w:r>
      <w:r w:rsidRPr="008561BE">
        <w:rPr>
          <w:rFonts w:ascii="Palatino Linotype" w:eastAsia="Palatino Linotype" w:hAnsi="Palatino Linotype" w:cs="Palatino Linotype"/>
        </w:rPr>
        <w:t xml:space="preserve"> o </w:t>
      </w:r>
      <w:r w:rsidRPr="008561BE">
        <w:rPr>
          <w:rFonts w:ascii="Palatino Linotype" w:eastAsia="Palatino Linotype" w:hAnsi="Palatino Linotype" w:cs="Palatino Linotype"/>
          <w:b/>
        </w:rPr>
        <w:t xml:space="preserve">códigos QR, </w:t>
      </w:r>
      <w:r w:rsidRPr="008561BE">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8561BE">
        <w:rPr>
          <w:rFonts w:ascii="Palatino Linotype" w:eastAsia="Palatino Linotype" w:hAnsi="Palatino Linotype" w:cs="Palatino Linotype"/>
          <w:b/>
        </w:rPr>
        <w:t xml:space="preserve">Sujeto Obligado </w:t>
      </w:r>
      <w:r w:rsidRPr="008561BE">
        <w:rPr>
          <w:rFonts w:ascii="Palatino Linotype" w:eastAsia="Palatino Linotype" w:hAnsi="Palatino Linotype" w:cs="Palatino Linotype"/>
        </w:rPr>
        <w:t>analizar dicha circunstancia con la finalidad de determinar si se actualiza algún supuesto de confidencialidad.</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En tal sentido, si derivado del análisis efectuado por </w:t>
      </w:r>
      <w:r w:rsidRPr="008561BE">
        <w:rPr>
          <w:rFonts w:ascii="Palatino Linotype" w:eastAsia="Palatino Linotype" w:hAnsi="Palatino Linotype" w:cs="Palatino Linotype"/>
          <w:b/>
        </w:rPr>
        <w:t xml:space="preserve">Sujeto Obligado </w:t>
      </w:r>
      <w:r w:rsidRPr="008561BE">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en este sentido, en su caso, deberá clasificarla como confidencial, de manera fundada y motivada en términos del artículo 143, fracción I de la Ley de Transparencia y Acceso a la Información Pública del Estado de México y Municipios.</w:t>
      </w:r>
    </w:p>
    <w:p w:rsidR="001E689A" w:rsidRPr="008561BE" w:rsidRDefault="00C83C0B">
      <w:pPr>
        <w:widowControl w:val="0"/>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El Acuerdo de Clasificación de Información, se emitirá en términos de lo dispuesto </w:t>
      </w:r>
      <w:r w:rsidRPr="008561BE">
        <w:rPr>
          <w:rFonts w:ascii="Palatino Linotype" w:eastAsia="Palatino Linotype" w:hAnsi="Palatino Linotype" w:cs="Palatino Linotype"/>
        </w:rPr>
        <w:lastRenderedPageBreak/>
        <w:t xml:space="preserve">tanto como en los en los artículos 128 y 129 de la Ley de Transparencia y Acceso a la Información Pública del Estado de México y Municipios, como en los 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motivando la referida clasificación al señalar las </w:t>
      </w:r>
      <w:r w:rsidRPr="008561BE">
        <w:rPr>
          <w:rFonts w:ascii="Palatino Linotype" w:eastAsia="Palatino Linotype" w:hAnsi="Palatino Linotype" w:cs="Palatino Linotype"/>
          <w:b/>
          <w:u w:val="single"/>
        </w:rPr>
        <w:t>razones, motivos o circunstancias especiales</w:t>
      </w:r>
      <w:r w:rsidRPr="008561BE">
        <w:rPr>
          <w:rFonts w:ascii="Palatino Linotype" w:eastAsia="Palatino Linotype" w:hAnsi="Palatino Linotype" w:cs="Palatino Linotype"/>
        </w:rPr>
        <w:t xml:space="preserve"> que lo llevaron a concluir que el caso concreto, se ajustó a los supuestos previstos en la normatividad legal invocada como fundamento, para dichos efectos, debe proceder a su vez a realizar una prueba de daño, en la que se justificaran las razones, motivos y circunstancias que avalen que la divulgación de la información representa un riesgo real, demostrable e identificable de perjuicio significativo al interés público o a la seguridad nacional; que el riesgo de perjuicio que supondría la divulgación supera el interés público general de que se difunda, y que la limitación sea adecuada al principio de proporcionalidad y representa el medio menos restrictivo disponible para evitar el perjuicio.</w:t>
      </w:r>
    </w:p>
    <w:p w:rsidR="001E689A" w:rsidRPr="008561BE" w:rsidRDefault="00C83C0B">
      <w:pPr>
        <w:spacing w:before="240" w:after="240" w:line="360" w:lineRule="auto"/>
        <w:ind w:right="50"/>
        <w:jc w:val="both"/>
        <w:rPr>
          <w:rFonts w:ascii="Palatino Linotype" w:eastAsia="Palatino Linotype" w:hAnsi="Palatino Linotype" w:cs="Palatino Linotype"/>
        </w:rPr>
      </w:pPr>
      <w:r w:rsidRPr="008561BE">
        <w:rPr>
          <w:rFonts w:ascii="Palatino Linotype" w:eastAsia="Palatino Linotype" w:hAnsi="Palatino Linotype" w:cs="Palatino Linotype"/>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1E689A" w:rsidRPr="008561BE" w:rsidRDefault="00C83C0B">
      <w:pPr>
        <w:spacing w:before="120" w:after="120" w:line="259"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lastRenderedPageBreak/>
        <w:t>“Artículo 49.</w:t>
      </w:r>
      <w:r w:rsidRPr="008561BE">
        <w:rPr>
          <w:rFonts w:ascii="Palatino Linotype" w:eastAsia="Palatino Linotype" w:hAnsi="Palatino Linotype" w:cs="Palatino Linotype"/>
          <w:i/>
          <w:sz w:val="22"/>
          <w:szCs w:val="22"/>
        </w:rPr>
        <w:t xml:space="preserve"> </w:t>
      </w:r>
      <w:r w:rsidRPr="008561BE">
        <w:rPr>
          <w:rFonts w:ascii="Palatino Linotype" w:eastAsia="Palatino Linotype" w:hAnsi="Palatino Linotype" w:cs="Palatino Linotype"/>
          <w:b/>
          <w:i/>
          <w:sz w:val="22"/>
          <w:szCs w:val="22"/>
        </w:rPr>
        <w:t>Los Comités de Transparencia</w:t>
      </w:r>
      <w:r w:rsidRPr="008561BE">
        <w:rPr>
          <w:rFonts w:ascii="Palatino Linotype" w:eastAsia="Palatino Linotype" w:hAnsi="Palatino Linotype" w:cs="Palatino Linotype"/>
          <w:i/>
          <w:sz w:val="22"/>
          <w:szCs w:val="22"/>
        </w:rPr>
        <w:t xml:space="preserve"> tendrán las siguientes atribuciones:</w:t>
      </w:r>
    </w:p>
    <w:p w:rsidR="001E689A" w:rsidRPr="008561BE" w:rsidRDefault="00C83C0B">
      <w:pPr>
        <w:spacing w:before="120" w:after="120" w:line="259"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VIII. Aprobar, modificar o revocar la clasificación de la información</w:t>
      </w:r>
      <w:r w:rsidRPr="008561BE">
        <w:rPr>
          <w:rFonts w:ascii="Palatino Linotype" w:eastAsia="Palatino Linotype" w:hAnsi="Palatino Linotype" w:cs="Palatino Linotype"/>
          <w:i/>
          <w:sz w:val="22"/>
          <w:szCs w:val="22"/>
        </w:rPr>
        <w:t>…”</w:t>
      </w:r>
    </w:p>
    <w:p w:rsidR="001E689A" w:rsidRPr="008561BE" w:rsidRDefault="00C83C0B">
      <w:pPr>
        <w:spacing w:before="120" w:after="120" w:line="259"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r w:rsidRPr="008561BE">
        <w:rPr>
          <w:rFonts w:ascii="Palatino Linotype" w:eastAsia="Palatino Linotype" w:hAnsi="Palatino Linotype" w:cs="Palatino Linotype"/>
          <w:b/>
          <w:i/>
          <w:sz w:val="22"/>
          <w:szCs w:val="22"/>
        </w:rPr>
        <w:t>Artículo 53.</w:t>
      </w:r>
      <w:r w:rsidRPr="008561BE">
        <w:rPr>
          <w:rFonts w:ascii="Palatino Linotype" w:eastAsia="Palatino Linotype" w:hAnsi="Palatino Linotype" w:cs="Palatino Linotype"/>
          <w:i/>
          <w:sz w:val="22"/>
          <w:szCs w:val="22"/>
        </w:rPr>
        <w:t xml:space="preserve"> Las </w:t>
      </w:r>
      <w:r w:rsidRPr="008561BE">
        <w:rPr>
          <w:rFonts w:ascii="Palatino Linotype" w:eastAsia="Palatino Linotype" w:hAnsi="Palatino Linotype" w:cs="Palatino Linotype"/>
          <w:b/>
          <w:i/>
          <w:sz w:val="22"/>
          <w:szCs w:val="22"/>
        </w:rPr>
        <w:t>Unidades de Transparencia</w:t>
      </w:r>
      <w:r w:rsidRPr="008561BE">
        <w:rPr>
          <w:rFonts w:ascii="Palatino Linotype" w:eastAsia="Palatino Linotype" w:hAnsi="Palatino Linotype" w:cs="Palatino Linotype"/>
          <w:i/>
          <w:sz w:val="22"/>
          <w:szCs w:val="22"/>
        </w:rPr>
        <w:t xml:space="preserve"> tendrán las siguientes </w:t>
      </w:r>
      <w:r w:rsidRPr="008561BE">
        <w:rPr>
          <w:rFonts w:ascii="Palatino Linotype" w:eastAsia="Palatino Linotype" w:hAnsi="Palatino Linotype" w:cs="Palatino Linotype"/>
          <w:b/>
          <w:i/>
          <w:sz w:val="22"/>
          <w:szCs w:val="22"/>
        </w:rPr>
        <w:t>funciones</w:t>
      </w:r>
      <w:r w:rsidRPr="008561BE">
        <w:rPr>
          <w:rFonts w:ascii="Palatino Linotype" w:eastAsia="Palatino Linotype" w:hAnsi="Palatino Linotype" w:cs="Palatino Linotype"/>
          <w:i/>
          <w:sz w:val="22"/>
          <w:szCs w:val="22"/>
        </w:rPr>
        <w:t>:</w:t>
      </w:r>
    </w:p>
    <w:p w:rsidR="001E689A" w:rsidRPr="008561BE" w:rsidRDefault="00C83C0B">
      <w:pPr>
        <w:spacing w:before="120" w:after="120" w:line="259"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X. Presentar ante el Comité, el proyecto de clasificación de información</w:t>
      </w:r>
      <w:r w:rsidRPr="008561BE">
        <w:rPr>
          <w:rFonts w:ascii="Palatino Linotype" w:eastAsia="Palatino Linotype" w:hAnsi="Palatino Linotype" w:cs="Palatino Linotype"/>
          <w:i/>
          <w:sz w:val="22"/>
          <w:szCs w:val="22"/>
        </w:rPr>
        <w:t xml:space="preserve">…” </w:t>
      </w:r>
    </w:p>
    <w:p w:rsidR="001E689A" w:rsidRPr="008561BE" w:rsidRDefault="00C83C0B">
      <w:pPr>
        <w:spacing w:before="120" w:after="120" w:line="259"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“Artículo 59.</w:t>
      </w:r>
      <w:r w:rsidRPr="008561BE">
        <w:rPr>
          <w:rFonts w:ascii="Palatino Linotype" w:eastAsia="Palatino Linotype" w:hAnsi="Palatino Linotype" w:cs="Palatino Linotype"/>
          <w:i/>
          <w:sz w:val="22"/>
          <w:szCs w:val="22"/>
        </w:rPr>
        <w:t xml:space="preserve"> Los </w:t>
      </w:r>
      <w:r w:rsidRPr="008561BE">
        <w:rPr>
          <w:rFonts w:ascii="Palatino Linotype" w:eastAsia="Palatino Linotype" w:hAnsi="Palatino Linotype" w:cs="Palatino Linotype"/>
          <w:b/>
          <w:i/>
          <w:sz w:val="22"/>
          <w:szCs w:val="22"/>
        </w:rPr>
        <w:t>servidores públicos habilitados</w:t>
      </w:r>
      <w:r w:rsidRPr="008561BE">
        <w:rPr>
          <w:rFonts w:ascii="Palatino Linotype" w:eastAsia="Palatino Linotype" w:hAnsi="Palatino Linotype" w:cs="Palatino Linotype"/>
          <w:i/>
          <w:sz w:val="22"/>
          <w:szCs w:val="22"/>
        </w:rPr>
        <w:t xml:space="preserve"> tendrán las </w:t>
      </w:r>
      <w:r w:rsidRPr="008561BE">
        <w:rPr>
          <w:rFonts w:ascii="Palatino Linotype" w:eastAsia="Palatino Linotype" w:hAnsi="Palatino Linotype" w:cs="Palatino Linotype"/>
          <w:b/>
          <w:i/>
          <w:sz w:val="22"/>
          <w:szCs w:val="22"/>
        </w:rPr>
        <w:t>funciones</w:t>
      </w:r>
      <w:r w:rsidRPr="008561BE">
        <w:rPr>
          <w:rFonts w:ascii="Palatino Linotype" w:eastAsia="Palatino Linotype" w:hAnsi="Palatino Linotype" w:cs="Palatino Linotype"/>
          <w:i/>
          <w:sz w:val="22"/>
          <w:szCs w:val="22"/>
        </w:rPr>
        <w:t xml:space="preserve"> siguientes:</w:t>
      </w:r>
    </w:p>
    <w:p w:rsidR="001E689A" w:rsidRPr="008561BE" w:rsidRDefault="00C83C0B">
      <w:pPr>
        <w:spacing w:before="120" w:after="120" w:line="259"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8561BE">
        <w:rPr>
          <w:rFonts w:ascii="Palatino Linotype" w:eastAsia="Palatino Linotype" w:hAnsi="Palatino Linotype" w:cs="Palatino Linotype"/>
          <w:i/>
          <w:sz w:val="22"/>
          <w:szCs w:val="22"/>
        </w:rPr>
        <w:t>, la cual tendrá los fundamentos y argumentos en que se basa dicha propuesta…”</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1E689A" w:rsidRPr="008561BE" w:rsidRDefault="00C83C0B">
      <w:pPr>
        <w:spacing w:before="240" w:after="240" w:line="360" w:lineRule="auto"/>
        <w:jc w:val="both"/>
        <w:rPr>
          <w:rFonts w:ascii="Palatino Linotype" w:eastAsia="Palatino Linotype" w:hAnsi="Palatino Linotype" w:cs="Palatino Linotype"/>
          <w:sz w:val="22"/>
          <w:szCs w:val="22"/>
        </w:rPr>
      </w:pPr>
      <w:r w:rsidRPr="008561BE">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r w:rsidRPr="008561BE">
        <w:rPr>
          <w:rFonts w:ascii="Palatino Linotype" w:eastAsia="Palatino Linotype" w:hAnsi="Palatino Linotype" w:cs="Palatino Linotype"/>
          <w:sz w:val="22"/>
          <w:szCs w:val="22"/>
        </w:rPr>
        <w:t>:</w:t>
      </w:r>
    </w:p>
    <w:p w:rsidR="001E689A" w:rsidRPr="008561BE" w:rsidRDefault="00C83C0B">
      <w:pPr>
        <w:spacing w:after="240" w:line="259" w:lineRule="auto"/>
        <w:ind w:left="851"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r w:rsidRPr="008561BE">
        <w:rPr>
          <w:rFonts w:ascii="Palatino Linotype" w:eastAsia="Palatino Linotype" w:hAnsi="Palatino Linotype" w:cs="Palatino Linotype"/>
          <w:b/>
          <w:i/>
          <w:sz w:val="22"/>
          <w:szCs w:val="22"/>
        </w:rPr>
        <w:t>Artículo 149.</w:t>
      </w:r>
      <w:r w:rsidRPr="008561BE">
        <w:rPr>
          <w:rFonts w:ascii="Palatino Linotype" w:eastAsia="Palatino Linotype" w:hAnsi="Palatino Linotype" w:cs="Palatino Linotype"/>
          <w:i/>
          <w:sz w:val="22"/>
          <w:szCs w:val="22"/>
        </w:rPr>
        <w:t xml:space="preserve"> El </w:t>
      </w:r>
      <w:r w:rsidRPr="008561BE">
        <w:rPr>
          <w:rFonts w:ascii="Palatino Linotype" w:eastAsia="Palatino Linotype" w:hAnsi="Palatino Linotype" w:cs="Palatino Linotype"/>
          <w:b/>
          <w:i/>
          <w:sz w:val="22"/>
          <w:szCs w:val="22"/>
        </w:rPr>
        <w:t>acuerdo que clasifique la información como confidencial</w:t>
      </w:r>
      <w:r w:rsidRPr="008561BE">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rsidR="001E689A" w:rsidRPr="008561BE" w:rsidRDefault="00C83C0B">
      <w:pPr>
        <w:spacing w:before="240" w:after="240" w:line="360" w:lineRule="auto"/>
        <w:ind w:right="51"/>
        <w:jc w:val="both"/>
        <w:rPr>
          <w:rFonts w:ascii="Palatino Linotype" w:eastAsia="Palatino Linotype" w:hAnsi="Palatino Linotype" w:cs="Palatino Linotype"/>
        </w:rPr>
      </w:pPr>
      <w:r w:rsidRPr="008561BE">
        <w:rPr>
          <w:rFonts w:ascii="Palatino Linotype" w:eastAsia="Palatino Linotype" w:hAnsi="Palatino Linotype" w:cs="Palatino Linotype"/>
        </w:rPr>
        <w:lastRenderedPageBreak/>
        <w:t xml:space="preserve">Es decir, el </w:t>
      </w:r>
      <w:r w:rsidRPr="008561BE">
        <w:rPr>
          <w:rFonts w:ascii="Palatino Linotype" w:eastAsia="Palatino Linotype" w:hAnsi="Palatino Linotype" w:cs="Palatino Linotype"/>
          <w:b/>
        </w:rPr>
        <w:t>Sujeto Obligado</w:t>
      </w:r>
      <w:r w:rsidRPr="008561BE">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1E689A" w:rsidRPr="008561BE" w:rsidRDefault="00C83C0B">
      <w:pPr>
        <w:spacing w:before="240" w:after="240" w:line="360" w:lineRule="auto"/>
        <w:ind w:right="49"/>
        <w:jc w:val="both"/>
        <w:rPr>
          <w:rFonts w:ascii="Palatino Linotype" w:eastAsia="Palatino Linotype" w:hAnsi="Palatino Linotype" w:cs="Palatino Linotype"/>
        </w:rPr>
      </w:pPr>
      <w:r w:rsidRPr="008561BE">
        <w:rPr>
          <w:rFonts w:ascii="Palatino Linotype" w:eastAsia="Palatino Linotype" w:hAnsi="Palatino Linotype" w:cs="Palatino Linotype"/>
        </w:rPr>
        <w:t xml:space="preserve">Por último, respecto a la versión pública de los documentos que contenga la información solicitada, cabe señalar que el Comité de Transparencia del </w:t>
      </w:r>
      <w:r w:rsidRPr="008561BE">
        <w:rPr>
          <w:rFonts w:ascii="Palatino Linotype" w:eastAsia="Palatino Linotype" w:hAnsi="Palatino Linotype" w:cs="Palatino Linotype"/>
          <w:b/>
        </w:rPr>
        <w:t>Sujeto Obligado</w:t>
      </w:r>
      <w:r w:rsidRPr="008561BE">
        <w:rPr>
          <w:rFonts w:ascii="Palatino Linotype" w:eastAsia="Palatino Linotype" w:hAnsi="Palatino Linotype" w:cs="Palatino Linotype"/>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vigentes que literalmente expresan:</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b/>
          <w:sz w:val="22"/>
          <w:szCs w:val="22"/>
        </w:rPr>
      </w:pPr>
      <w:bookmarkStart w:id="3" w:name="_heading=h.1t3h5sf" w:colFirst="0" w:colLast="0"/>
      <w:bookmarkEnd w:id="3"/>
      <w:r w:rsidRPr="008561BE">
        <w:rPr>
          <w:rFonts w:ascii="Palatino Linotype" w:eastAsia="Palatino Linotype" w:hAnsi="Palatino Linotype" w:cs="Palatino Linotype"/>
          <w:i/>
          <w:sz w:val="21"/>
          <w:szCs w:val="21"/>
        </w:rPr>
        <w:t>“</w:t>
      </w:r>
      <w:r w:rsidRPr="008561BE">
        <w:rPr>
          <w:rFonts w:ascii="Palatino Linotype" w:eastAsia="Palatino Linotype" w:hAnsi="Palatino Linotype" w:cs="Palatino Linotype"/>
          <w:b/>
          <w:i/>
          <w:sz w:val="22"/>
          <w:szCs w:val="22"/>
        </w:rPr>
        <w:t>Ley de Transparencia y Acceso a la Información Pública del Estado de México y Municipios</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b/>
          <w:i/>
          <w:sz w:val="22"/>
          <w:szCs w:val="22"/>
        </w:rPr>
      </w:pPr>
      <w:r w:rsidRPr="008561BE">
        <w:rPr>
          <w:rFonts w:ascii="Palatino Linotype" w:eastAsia="Palatino Linotype" w:hAnsi="Palatino Linotype" w:cs="Palatino Linotype"/>
          <w:b/>
          <w:i/>
          <w:sz w:val="22"/>
          <w:szCs w:val="22"/>
        </w:rPr>
        <w:t>Artículo 132.</w:t>
      </w:r>
      <w:r w:rsidRPr="008561BE">
        <w:rPr>
          <w:rFonts w:ascii="Palatino Linotype" w:eastAsia="Palatino Linotype" w:hAnsi="Palatino Linotype" w:cs="Palatino Linotype"/>
          <w:i/>
          <w:sz w:val="22"/>
          <w:szCs w:val="22"/>
        </w:rPr>
        <w:t xml:space="preserve"> </w:t>
      </w:r>
      <w:r w:rsidRPr="008561BE">
        <w:rPr>
          <w:rFonts w:ascii="Palatino Linotype" w:eastAsia="Palatino Linotype" w:hAnsi="Palatino Linotype" w:cs="Palatino Linotype"/>
          <w:b/>
          <w:i/>
          <w:sz w:val="22"/>
          <w:szCs w:val="22"/>
        </w:rPr>
        <w:t>La clasificación de la información se llevará a cabo en el momento en que:</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lastRenderedPageBreak/>
        <w:t>II.</w:t>
      </w:r>
      <w:r w:rsidRPr="008561BE">
        <w:rPr>
          <w:rFonts w:ascii="Palatino Linotype" w:eastAsia="Palatino Linotype" w:hAnsi="Palatino Linotype" w:cs="Palatino Linotype"/>
          <w:i/>
          <w:sz w:val="22"/>
          <w:szCs w:val="22"/>
        </w:rPr>
        <w:t xml:space="preserve"> Se determine mediante resolución de autoridad competente; o</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III</w:t>
      </w:r>
      <w:r w:rsidRPr="008561BE">
        <w:rPr>
          <w:rFonts w:ascii="Palatino Linotype" w:eastAsia="Palatino Linotype" w:hAnsi="Palatino Linotype" w:cs="Palatino Linotype"/>
          <w:i/>
          <w:sz w:val="22"/>
          <w:szCs w:val="22"/>
        </w:rPr>
        <w:t xml:space="preserve">. </w:t>
      </w:r>
      <w:r w:rsidRPr="008561BE">
        <w:rPr>
          <w:rFonts w:ascii="Palatino Linotype" w:eastAsia="Palatino Linotype" w:hAnsi="Palatino Linotype" w:cs="Palatino Linotype"/>
          <w:b/>
          <w:i/>
          <w:sz w:val="22"/>
          <w:szCs w:val="22"/>
        </w:rPr>
        <w:t>Se generen versiones públicas para dar cumplimiento a las obligaciones de transparencia previstas en esta Ley</w:t>
      </w:r>
      <w:r w:rsidRPr="008561BE">
        <w:rPr>
          <w:rFonts w:ascii="Palatino Linotype" w:eastAsia="Palatino Linotype" w:hAnsi="Palatino Linotype" w:cs="Palatino Linotype"/>
          <w:i/>
          <w:sz w:val="22"/>
          <w:szCs w:val="22"/>
        </w:rPr>
        <w:t>.”</w:t>
      </w:r>
    </w:p>
    <w:p w:rsidR="001E689A" w:rsidRPr="008561BE" w:rsidRDefault="001E689A">
      <w:pPr>
        <w:tabs>
          <w:tab w:val="left" w:pos="8222"/>
        </w:tabs>
        <w:spacing w:before="120" w:after="120" w:line="259" w:lineRule="auto"/>
        <w:ind w:left="567" w:right="1134"/>
        <w:jc w:val="both"/>
        <w:rPr>
          <w:rFonts w:ascii="Palatino Linotype" w:eastAsia="Palatino Linotype" w:hAnsi="Palatino Linotype" w:cs="Palatino Linotype"/>
          <w:i/>
          <w:sz w:val="22"/>
          <w:szCs w:val="22"/>
        </w:rPr>
      </w:pP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b/>
          <w:i/>
          <w:sz w:val="22"/>
          <w:szCs w:val="22"/>
        </w:rPr>
      </w:pPr>
      <w:r w:rsidRPr="008561BE">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w:t>
      </w:r>
      <w:r w:rsidRPr="008561BE">
        <w:rPr>
          <w:rFonts w:ascii="Palatino Linotype" w:eastAsia="Palatino Linotype" w:hAnsi="Palatino Linotype" w:cs="Palatino Linotype"/>
          <w:b/>
          <w:i/>
          <w:sz w:val="22"/>
          <w:szCs w:val="22"/>
        </w:rPr>
        <w:t xml:space="preserve">Segundo. </w:t>
      </w:r>
      <w:r w:rsidRPr="008561BE">
        <w:rPr>
          <w:rFonts w:ascii="Palatino Linotype" w:eastAsia="Palatino Linotype" w:hAnsi="Palatino Linotype" w:cs="Palatino Linotype"/>
          <w:i/>
          <w:sz w:val="22"/>
          <w:szCs w:val="22"/>
        </w:rPr>
        <w:t>Para efectos de los presentes Lineamientos Generales, se entenderá por:</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b/>
          <w:i/>
          <w:sz w:val="22"/>
          <w:szCs w:val="22"/>
        </w:rPr>
      </w:pPr>
      <w:r w:rsidRPr="008561BE">
        <w:rPr>
          <w:rFonts w:ascii="Palatino Linotype" w:eastAsia="Palatino Linotype" w:hAnsi="Palatino Linotype" w:cs="Palatino Linotype"/>
          <w:b/>
          <w:i/>
          <w:sz w:val="22"/>
          <w:szCs w:val="22"/>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b/>
          <w:i/>
          <w:sz w:val="22"/>
          <w:szCs w:val="22"/>
        </w:rPr>
      </w:pPr>
      <w:r w:rsidRPr="008561BE">
        <w:rPr>
          <w:rFonts w:ascii="Palatino Linotype" w:eastAsia="Palatino Linotype" w:hAnsi="Palatino Linotype" w:cs="Palatino Linotype"/>
          <w:b/>
          <w:i/>
          <w:sz w:val="22"/>
          <w:szCs w:val="22"/>
        </w:rPr>
        <w:t>…</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Cuarto. Para clasificar la información como reservada o confidencial, de manera total o parcial, el titular del área del sujeto obligado deberá atender lo dispuesto por el Título Sexto de la Ley General,</w:t>
      </w:r>
      <w:r w:rsidRPr="008561BE">
        <w:rPr>
          <w:rFonts w:ascii="Palatino Linotype" w:eastAsia="Palatino Linotype" w:hAnsi="Palatino Linotype" w:cs="Palatino Linotype"/>
          <w:i/>
          <w:sz w:val="22"/>
          <w:szCs w:val="22"/>
        </w:rPr>
        <w:t xml:space="preserve">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i/>
          <w:sz w:val="21"/>
          <w:szCs w:val="21"/>
        </w:rPr>
      </w:pPr>
      <w:r w:rsidRPr="008561BE">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r w:rsidRPr="008561BE">
        <w:rPr>
          <w:rFonts w:ascii="Palatino Linotype" w:eastAsia="Palatino Linotype" w:hAnsi="Palatino Linotype" w:cs="Palatino Linotype"/>
          <w:i/>
          <w:sz w:val="21"/>
          <w:szCs w:val="21"/>
        </w:rPr>
        <w:t>.</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b/>
          <w:i/>
          <w:sz w:val="22"/>
          <w:szCs w:val="22"/>
        </w:rPr>
      </w:pPr>
      <w:r w:rsidRPr="008561BE">
        <w:rPr>
          <w:rFonts w:ascii="Palatino Linotype" w:eastAsia="Palatino Linotype" w:hAnsi="Palatino Linotype" w:cs="Palatino Linotype"/>
          <w:b/>
          <w:i/>
          <w:sz w:val="22"/>
          <w:szCs w:val="22"/>
        </w:rPr>
        <w:t xml:space="preserve">Quinto. </w:t>
      </w:r>
      <w:r w:rsidRPr="008561BE">
        <w:rPr>
          <w:rFonts w:ascii="Palatino Linotype" w:eastAsia="Palatino Linotype" w:hAnsi="Palatino Linotype" w:cs="Palatino Linotype"/>
          <w:i/>
          <w:sz w:val="22"/>
          <w:szCs w:val="22"/>
        </w:rPr>
        <w:t>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RPr="008561BE">
        <w:rPr>
          <w:rFonts w:ascii="Palatino Linotype" w:eastAsia="Palatino Linotype" w:hAnsi="Palatino Linotype" w:cs="Palatino Linotype"/>
          <w:b/>
          <w:i/>
          <w:sz w:val="22"/>
          <w:szCs w:val="22"/>
        </w:rPr>
        <w:t xml:space="preserve"> </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lastRenderedPageBreak/>
        <w:t>Sexto.</w:t>
      </w:r>
      <w:r w:rsidRPr="008561BE">
        <w:rPr>
          <w:rFonts w:ascii="Palatino Linotype" w:eastAsia="Palatino Linotype" w:hAnsi="Palatino Linotype" w:cs="Palatino Linotype"/>
          <w:i/>
          <w:sz w:val="22"/>
          <w:szCs w:val="22"/>
        </w:rPr>
        <w:t xml:space="preserve"> Derogado.</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 xml:space="preserve">Séptimo. </w:t>
      </w:r>
      <w:r w:rsidRPr="008561BE">
        <w:rPr>
          <w:rFonts w:ascii="Palatino Linotype" w:eastAsia="Palatino Linotype" w:hAnsi="Palatino Linotype" w:cs="Palatino Linotype"/>
          <w:i/>
          <w:sz w:val="22"/>
          <w:szCs w:val="22"/>
        </w:rPr>
        <w:t xml:space="preserve">La clasificación de la información se llevará a cabo en el momento en que: </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 xml:space="preserve">I. Se reciba una solicitud de acceso a la información; </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 xml:space="preserve">II. Se determine mediante resolución del Comité de Transparencia, el órgano garante competente, o en cumplimiento a una sentencia del Poder Judicial; o </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III. Se generen versiones públicas para dar cumplimiento a las obligaciones de transparencia previstas en la Ley General, la Ley Federal y las correspondientes de las entidades federativas.</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 xml:space="preserve"> Los titulares de las áreas deberán revisar la información requerida al momento de la recepción de una solicitud de acceso, para verificar, conforme a su naturaleza, si encuadra en una causal de reserva o de confidencialidad.</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 xml:space="preserve">Octavo. </w:t>
      </w:r>
      <w:r w:rsidRPr="008561BE">
        <w:rPr>
          <w:rFonts w:ascii="Palatino Linotype" w:eastAsia="Palatino Linotype" w:hAnsi="Palatino Linotype" w:cs="Palatino Linotype"/>
          <w:i/>
          <w:sz w:val="22"/>
          <w:szCs w:val="22"/>
        </w:rPr>
        <w:t xml:space="preserve">Para fundar la clasificación de la información se debe señalar el artículo, fracción, inciso, párrafo o numeral de la ley o tratado internacional suscrito por el Estado mexicano que expresamente le otorga el carácter de reservada o confidencial. </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 xml:space="preserve">Para motivar la clasificación se deberán señalar las razones o circunstancias especiales que lo llevaron a concluir que el caso particular se ajusta al supuesto previsto por la norma legal invocada como fundamento. </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 xml:space="preserve">Noveno. </w:t>
      </w:r>
      <w:r w:rsidRPr="008561BE">
        <w:rPr>
          <w:rFonts w:ascii="Palatino Linotype" w:eastAsia="Palatino Linotype" w:hAnsi="Palatino Linotype" w:cs="Palatino Linotype"/>
          <w:i/>
          <w:sz w:val="22"/>
          <w:szCs w:val="22"/>
        </w:rPr>
        <w:t xml:space="preserve">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 </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lastRenderedPageBreak/>
        <w:t xml:space="preserve">Décimo. </w:t>
      </w:r>
      <w:r w:rsidRPr="008561BE">
        <w:rPr>
          <w:rFonts w:ascii="Palatino Linotype" w:eastAsia="Palatino Linotype" w:hAnsi="Palatino Linotype" w:cs="Palatino Linotype"/>
          <w:i/>
          <w:sz w:val="22"/>
          <w:szCs w:val="22"/>
        </w:rPr>
        <w:t xml:space="preserve">Los titulares de las áreas, deberán tener conocimiento y llevar un registro del personal que, por la naturaleza de sus atribuciones, tenga acceso a los documentos clasificados. </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 xml:space="preserve">En ausencia de los titulares de las áreas, la información será clasificada o desclasificada por la persona que lo supla, en términos de la normativa que rija la actuación del sujeto obligado. </w:t>
      </w:r>
    </w:p>
    <w:p w:rsidR="001E689A" w:rsidRPr="008561BE" w:rsidRDefault="00C83C0B">
      <w:pPr>
        <w:tabs>
          <w:tab w:val="left" w:pos="8222"/>
        </w:tabs>
        <w:spacing w:before="120" w:after="120" w:line="259" w:lineRule="auto"/>
        <w:ind w:left="567" w:right="1134"/>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t>Décimo primero.</w:t>
      </w:r>
      <w:r w:rsidRPr="008561BE">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1E689A" w:rsidRPr="008561BE" w:rsidRDefault="00C83C0B">
      <w:pPr>
        <w:spacing w:before="240" w:after="240" w:line="360" w:lineRule="auto"/>
        <w:jc w:val="both"/>
        <w:rPr>
          <w:rFonts w:ascii="Palatino Linotype" w:eastAsia="Palatino Linotype" w:hAnsi="Palatino Linotype" w:cs="Palatino Linotype"/>
        </w:rPr>
      </w:pPr>
      <w:bookmarkStart w:id="4" w:name="_heading=h.4d34og8" w:colFirst="0" w:colLast="0"/>
      <w:bookmarkEnd w:id="4"/>
      <w:r w:rsidRPr="008561BE">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w:t>
      </w:r>
      <w:proofErr w:type="spellStart"/>
      <w:r w:rsidRPr="008561BE">
        <w:rPr>
          <w:rFonts w:ascii="Palatino Linotype" w:eastAsia="Palatino Linotype" w:hAnsi="Palatino Linotype" w:cs="Palatino Linotype"/>
        </w:rPr>
        <w:t>supraindicados</w:t>
      </w:r>
      <w:proofErr w:type="spellEnd"/>
      <w:r w:rsidRPr="008561BE">
        <w:rPr>
          <w:rFonts w:ascii="Palatino Linotype" w:eastAsia="Palatino Linotype" w:hAnsi="Palatino Linotype" w:cs="Palatino Linotype"/>
        </w:rPr>
        <w:t xml:space="preserve">, que establecen los formatos para la clasificación parcial y total de los documentos, conforme a lo siguiente: </w:t>
      </w:r>
    </w:p>
    <w:p w:rsidR="001E689A" w:rsidRPr="008561BE" w:rsidRDefault="00C83C0B">
      <w:pPr>
        <w:spacing w:after="160" w:line="259" w:lineRule="auto"/>
        <w:ind w:left="851" w:right="900"/>
        <w:jc w:val="both"/>
        <w:rPr>
          <w:rFonts w:ascii="Palatino Linotype" w:eastAsia="Palatino Linotype" w:hAnsi="Palatino Linotype" w:cs="Palatino Linotype"/>
          <w:b/>
          <w:i/>
          <w:sz w:val="22"/>
          <w:szCs w:val="22"/>
        </w:rPr>
      </w:pPr>
      <w:r w:rsidRPr="008561BE">
        <w:rPr>
          <w:rFonts w:ascii="Palatino Linotype" w:eastAsia="Palatino Linotype" w:hAnsi="Palatino Linotype" w:cs="Palatino Linotype"/>
          <w:b/>
          <w:i/>
          <w:sz w:val="22"/>
          <w:szCs w:val="22"/>
        </w:rPr>
        <w:t>“…</w:t>
      </w:r>
    </w:p>
    <w:p w:rsidR="001E689A" w:rsidRPr="008561BE" w:rsidRDefault="00C83C0B">
      <w:pPr>
        <w:spacing w:after="160" w:line="259" w:lineRule="auto"/>
        <w:ind w:left="851"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b/>
          <w:i/>
          <w:sz w:val="22"/>
          <w:szCs w:val="22"/>
        </w:rPr>
        <w:lastRenderedPageBreak/>
        <w:t>Quincuagésimo tercero.</w:t>
      </w:r>
      <w:r w:rsidRPr="008561BE">
        <w:rPr>
          <w:rFonts w:ascii="Palatino Linotype" w:eastAsia="Palatino Linotype" w:hAnsi="Palatino Linotype" w:cs="Palatino Linotype"/>
          <w:i/>
          <w:sz w:val="22"/>
          <w:szCs w:val="22"/>
        </w:rPr>
        <w:t xml:space="preserve"> El formato para señalar la clasificación de un documento o expediente que contenga información reservada, es el siguiente:</w:t>
      </w:r>
      <w:r w:rsidRPr="008561BE">
        <w:rPr>
          <w:noProof/>
        </w:rPr>
        <w:drawing>
          <wp:anchor distT="0" distB="0" distL="114300" distR="114300" simplePos="0" relativeHeight="251659264" behindDoc="0" locked="0" layoutInCell="1" hidden="0" allowOverlap="1">
            <wp:simplePos x="0" y="0"/>
            <wp:positionH relativeFrom="column">
              <wp:posOffset>596265</wp:posOffset>
            </wp:positionH>
            <wp:positionV relativeFrom="paragraph">
              <wp:posOffset>676910</wp:posOffset>
            </wp:positionV>
            <wp:extent cx="4667250" cy="371475"/>
            <wp:effectExtent l="9525" t="9525" r="9525" b="9525"/>
            <wp:wrapTopAndBottom distT="0" distB="0"/>
            <wp:docPr id="1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6"/>
                    <a:srcRect l="7298" t="10022" b="24833"/>
                    <a:stretch>
                      <a:fillRect/>
                    </a:stretch>
                  </pic:blipFill>
                  <pic:spPr>
                    <a:xfrm>
                      <a:off x="0" y="0"/>
                      <a:ext cx="4667250" cy="371475"/>
                    </a:xfrm>
                    <a:prstGeom prst="rect">
                      <a:avLst/>
                    </a:prstGeom>
                    <a:ln w="9525">
                      <a:solidFill>
                        <a:srgbClr val="000000"/>
                      </a:solidFill>
                      <a:prstDash val="solid"/>
                    </a:ln>
                  </pic:spPr>
                </pic:pic>
              </a:graphicData>
            </a:graphic>
          </wp:anchor>
        </w:drawing>
      </w:r>
      <w:r w:rsidRPr="008561BE">
        <w:rPr>
          <w:noProof/>
        </w:rPr>
        <w:drawing>
          <wp:anchor distT="0" distB="0" distL="114300" distR="114300" simplePos="0" relativeHeight="251660288" behindDoc="0" locked="0" layoutInCell="1" hidden="0" allowOverlap="1">
            <wp:simplePos x="0" y="0"/>
            <wp:positionH relativeFrom="column">
              <wp:posOffset>596265</wp:posOffset>
            </wp:positionH>
            <wp:positionV relativeFrom="paragraph">
              <wp:posOffset>1096010</wp:posOffset>
            </wp:positionV>
            <wp:extent cx="4638675" cy="5153025"/>
            <wp:effectExtent l="9525" t="9525" r="9525" b="9525"/>
            <wp:wrapTopAndBottom distT="0" distB="0"/>
            <wp:docPr id="10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l="1787" t="1078" r="1419" b="1594"/>
                    <a:stretch>
                      <a:fillRect/>
                    </a:stretch>
                  </pic:blipFill>
                  <pic:spPr>
                    <a:xfrm>
                      <a:off x="0" y="0"/>
                      <a:ext cx="4638675" cy="5153025"/>
                    </a:xfrm>
                    <a:prstGeom prst="rect">
                      <a:avLst/>
                    </a:prstGeom>
                    <a:ln w="9525">
                      <a:solidFill>
                        <a:srgbClr val="000000"/>
                      </a:solidFill>
                      <a:prstDash val="solid"/>
                    </a:ln>
                  </pic:spPr>
                </pic:pic>
              </a:graphicData>
            </a:graphic>
          </wp:anchor>
        </w:drawing>
      </w:r>
    </w:p>
    <w:p w:rsidR="001E689A" w:rsidRPr="008561BE" w:rsidRDefault="00C83C0B">
      <w:pPr>
        <w:spacing w:after="160" w:line="259" w:lineRule="auto"/>
        <w:ind w:left="851" w:right="900"/>
        <w:jc w:val="both"/>
        <w:rPr>
          <w:rFonts w:ascii="Palatino Linotype" w:eastAsia="Palatino Linotype" w:hAnsi="Palatino Linotype" w:cs="Palatino Linotype"/>
          <w:b/>
          <w:i/>
          <w:sz w:val="22"/>
          <w:szCs w:val="22"/>
        </w:rPr>
      </w:pPr>
      <w:r w:rsidRPr="008561BE">
        <w:rPr>
          <w:rFonts w:ascii="Palatino Linotype" w:eastAsia="Palatino Linotype" w:hAnsi="Palatino Linotype" w:cs="Palatino Linotype"/>
          <w:b/>
          <w:i/>
          <w:sz w:val="22"/>
          <w:szCs w:val="22"/>
        </w:rPr>
        <w:t>...</w:t>
      </w:r>
    </w:p>
    <w:p w:rsidR="001E689A" w:rsidRPr="008561BE" w:rsidRDefault="00C83C0B">
      <w:pPr>
        <w:spacing w:after="160" w:line="259" w:lineRule="auto"/>
        <w:ind w:left="851" w:right="900"/>
        <w:jc w:val="both"/>
        <w:rPr>
          <w:rFonts w:ascii="Palatino Linotype" w:eastAsia="Palatino Linotype" w:hAnsi="Palatino Linotype" w:cs="Palatino Linotype"/>
        </w:rPr>
      </w:pPr>
      <w:r w:rsidRPr="008561BE">
        <w:rPr>
          <w:rFonts w:ascii="Palatino Linotype" w:eastAsia="Palatino Linotype" w:hAnsi="Palatino Linotype" w:cs="Palatino Linotype"/>
          <w:b/>
          <w:i/>
          <w:sz w:val="22"/>
          <w:szCs w:val="22"/>
        </w:rPr>
        <w:t xml:space="preserve">Quincuagésimo quinto. </w:t>
      </w:r>
      <w:r w:rsidRPr="008561BE">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8561BE">
        <w:rPr>
          <w:rFonts w:ascii="Palatino Linotype" w:eastAsia="Palatino Linotype" w:hAnsi="Palatino Linotype" w:cs="Palatino Linotype"/>
          <w:i/>
          <w:sz w:val="22"/>
          <w:szCs w:val="22"/>
        </w:rPr>
        <w:t>testado</w:t>
      </w:r>
      <w:proofErr w:type="spellEnd"/>
      <w:r w:rsidRPr="008561BE">
        <w:rPr>
          <w:rFonts w:ascii="Palatino Linotype" w:eastAsia="Palatino Linotype" w:hAnsi="Palatino Linotype" w:cs="Palatino Linotype"/>
          <w:i/>
          <w:sz w:val="22"/>
          <w:szCs w:val="22"/>
        </w:rPr>
        <w:t xml:space="preserve">, que sean encargadas de la adecuada elaboración o supervisión de las versiones públicas de </w:t>
      </w:r>
      <w:r w:rsidRPr="008561BE">
        <w:rPr>
          <w:rFonts w:ascii="Palatino Linotype" w:eastAsia="Palatino Linotype" w:hAnsi="Palatino Linotype" w:cs="Palatino Linotype"/>
          <w:i/>
          <w:sz w:val="22"/>
          <w:szCs w:val="22"/>
        </w:rPr>
        <w:lastRenderedPageBreak/>
        <w:t>los documentos o expedientes, verificando que cumplan con los requisitos señalados en las Leyes Generales, los presentes Lineamientos y demás normativa aplicable antes de su confirmación por el Comité de Transparencia</w:t>
      </w:r>
      <w:r w:rsidRPr="008561BE">
        <w:rPr>
          <w:rFonts w:ascii="Palatino Linotype" w:eastAsia="Palatino Linotype" w:hAnsi="Palatino Linotype" w:cs="Palatino Linotype"/>
          <w:b/>
          <w:i/>
          <w:sz w:val="22"/>
          <w:szCs w:val="22"/>
        </w:rPr>
        <w:t>.</w:t>
      </w:r>
      <w:r w:rsidRPr="008561BE">
        <w:rPr>
          <w:rFonts w:ascii="Palatino Linotype" w:eastAsia="Palatino Linotype" w:hAnsi="Palatino Linotype" w:cs="Palatino Linotype"/>
          <w:i/>
          <w:sz w:val="22"/>
          <w:szCs w:val="22"/>
        </w:rPr>
        <w:t>”</w:t>
      </w:r>
      <w:r w:rsidRPr="008561BE">
        <w:rPr>
          <w:rFonts w:ascii="Palatino Linotype" w:eastAsia="Palatino Linotype" w:hAnsi="Palatino Linotype" w:cs="Palatino Linotype"/>
        </w:rPr>
        <w:t xml:space="preserve"> </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rPr>
        <w:t>Por lo anteriormente expuesto y con fundamento en lo prescrito en los artículos 5 párrafos vigésimo segundo, vigésimo tercero y vigésimo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rsidR="001E689A" w:rsidRPr="008561BE" w:rsidRDefault="00C83C0B">
      <w:pPr>
        <w:numPr>
          <w:ilvl w:val="0"/>
          <w:numId w:val="6"/>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color w:val="000000"/>
        </w:rPr>
      </w:pPr>
      <w:r w:rsidRPr="008561BE">
        <w:rPr>
          <w:rFonts w:ascii="Palatino Linotype" w:eastAsia="Palatino Linotype" w:hAnsi="Palatino Linotype" w:cs="Palatino Linotype"/>
          <w:b/>
          <w:color w:val="000000"/>
        </w:rPr>
        <w:t>R E S U E L V E:</w:t>
      </w:r>
    </w:p>
    <w:p w:rsidR="001E689A" w:rsidRPr="008561BE" w:rsidRDefault="00C83C0B">
      <w:pPr>
        <w:spacing w:before="240" w:after="240" w:line="360" w:lineRule="auto"/>
        <w:jc w:val="both"/>
        <w:rPr>
          <w:rFonts w:ascii="Palatino Linotype" w:eastAsia="Palatino Linotype" w:hAnsi="Palatino Linotype" w:cs="Palatino Linotype"/>
        </w:rPr>
      </w:pPr>
      <w:bookmarkStart w:id="5" w:name="_heading=h.3znysh7" w:colFirst="0" w:colLast="0"/>
      <w:bookmarkEnd w:id="5"/>
      <w:r w:rsidRPr="008561BE">
        <w:rPr>
          <w:rFonts w:ascii="Palatino Linotype" w:eastAsia="Palatino Linotype" w:hAnsi="Palatino Linotype" w:cs="Palatino Linotype"/>
          <w:b/>
        </w:rPr>
        <w:t xml:space="preserve">Primero. </w:t>
      </w:r>
      <w:r w:rsidRPr="008561BE">
        <w:rPr>
          <w:rFonts w:ascii="Palatino Linotype" w:eastAsia="Palatino Linotype" w:hAnsi="Palatino Linotype" w:cs="Palatino Linotype"/>
        </w:rPr>
        <w:t xml:space="preserve">Resultan </w:t>
      </w:r>
      <w:r w:rsidRPr="008561BE">
        <w:rPr>
          <w:rFonts w:ascii="Palatino Linotype" w:eastAsia="Palatino Linotype" w:hAnsi="Palatino Linotype" w:cs="Palatino Linotype"/>
          <w:b/>
        </w:rPr>
        <w:t>fundadas</w:t>
      </w:r>
      <w:r w:rsidRPr="008561BE">
        <w:rPr>
          <w:rFonts w:ascii="Palatino Linotype" w:eastAsia="Palatino Linotype" w:hAnsi="Palatino Linotype" w:cs="Palatino Linotype"/>
        </w:rPr>
        <w:t xml:space="preserve"> las razones o motivos de inconformidad hechos valer por </w:t>
      </w:r>
      <w:r w:rsidRPr="008561BE">
        <w:rPr>
          <w:rFonts w:ascii="Palatino Linotype" w:eastAsia="Palatino Linotype" w:hAnsi="Palatino Linotype" w:cs="Palatino Linotype"/>
          <w:b/>
          <w:color w:val="000000"/>
        </w:rPr>
        <w:t>la parte Recurrente</w:t>
      </w:r>
      <w:r w:rsidRPr="008561BE">
        <w:rPr>
          <w:rFonts w:ascii="Palatino Linotype" w:eastAsia="Palatino Linotype" w:hAnsi="Palatino Linotype" w:cs="Palatino Linotype"/>
          <w:color w:val="000000"/>
        </w:rPr>
        <w:t xml:space="preserve"> </w:t>
      </w:r>
      <w:r w:rsidRPr="008561BE">
        <w:rPr>
          <w:rFonts w:ascii="Palatino Linotype" w:eastAsia="Palatino Linotype" w:hAnsi="Palatino Linotype" w:cs="Palatino Linotype"/>
        </w:rPr>
        <w:t xml:space="preserve">en el recurso de revisión </w:t>
      </w:r>
      <w:r w:rsidRPr="008561BE">
        <w:rPr>
          <w:rFonts w:ascii="Palatino Linotype" w:eastAsia="Palatino Linotype" w:hAnsi="Palatino Linotype" w:cs="Palatino Linotype"/>
          <w:b/>
        </w:rPr>
        <w:t>01889/INFOEM/IP/RR/2023</w:t>
      </w:r>
      <w:r w:rsidRPr="008561BE">
        <w:rPr>
          <w:rFonts w:ascii="Palatino Linotype" w:eastAsia="Palatino Linotype" w:hAnsi="Palatino Linotype" w:cs="Palatino Linotype"/>
        </w:rPr>
        <w:t xml:space="preserve">; por lo que, en términos del </w:t>
      </w:r>
      <w:r w:rsidRPr="008561BE">
        <w:rPr>
          <w:rFonts w:ascii="Palatino Linotype" w:eastAsia="Palatino Linotype" w:hAnsi="Palatino Linotype" w:cs="Palatino Linotype"/>
          <w:b/>
        </w:rPr>
        <w:t>Considerando</w:t>
      </w:r>
      <w:r w:rsidRPr="008561BE">
        <w:rPr>
          <w:rFonts w:ascii="Palatino Linotype" w:eastAsia="Palatino Linotype" w:hAnsi="Palatino Linotype" w:cs="Palatino Linotype"/>
        </w:rPr>
        <w:t xml:space="preserve"> </w:t>
      </w:r>
      <w:r w:rsidRPr="008561BE">
        <w:rPr>
          <w:rFonts w:ascii="Palatino Linotype" w:eastAsia="Palatino Linotype" w:hAnsi="Palatino Linotype" w:cs="Palatino Linotype"/>
          <w:b/>
        </w:rPr>
        <w:t xml:space="preserve">Cuarto </w:t>
      </w:r>
      <w:r w:rsidRPr="008561BE">
        <w:rPr>
          <w:rFonts w:ascii="Palatino Linotype" w:eastAsia="Palatino Linotype" w:hAnsi="Palatino Linotype" w:cs="Palatino Linotype"/>
        </w:rPr>
        <w:t xml:space="preserve">de esta resolución, se </w:t>
      </w:r>
      <w:r w:rsidRPr="008561BE">
        <w:rPr>
          <w:rFonts w:ascii="Palatino Linotype" w:eastAsia="Palatino Linotype" w:hAnsi="Palatino Linotype" w:cs="Palatino Linotype"/>
          <w:b/>
        </w:rPr>
        <w:t xml:space="preserve">REVOCA </w:t>
      </w:r>
      <w:r w:rsidRPr="008561BE">
        <w:rPr>
          <w:rFonts w:ascii="Palatino Linotype" w:eastAsia="Palatino Linotype" w:hAnsi="Palatino Linotype" w:cs="Palatino Linotype"/>
        </w:rPr>
        <w:t xml:space="preserve">la respuesta emitida por el </w:t>
      </w:r>
      <w:r w:rsidRPr="008561BE">
        <w:rPr>
          <w:rFonts w:ascii="Palatino Linotype" w:eastAsia="Palatino Linotype" w:hAnsi="Palatino Linotype" w:cs="Palatino Linotype"/>
          <w:b/>
        </w:rPr>
        <w:t>Sujeto Obligado.</w:t>
      </w:r>
    </w:p>
    <w:p w:rsidR="001E689A" w:rsidRPr="008561BE" w:rsidRDefault="00C83C0B">
      <w:pPr>
        <w:spacing w:before="240" w:after="240" w:line="360" w:lineRule="auto"/>
        <w:ind w:right="49"/>
        <w:jc w:val="both"/>
        <w:rPr>
          <w:rFonts w:ascii="Palatino Linotype" w:eastAsia="Palatino Linotype" w:hAnsi="Palatino Linotype" w:cs="Palatino Linotype"/>
          <w:u w:val="single"/>
        </w:rPr>
      </w:pPr>
      <w:bookmarkStart w:id="6" w:name="_heading=h.1fob9te" w:colFirst="0" w:colLast="0"/>
      <w:bookmarkEnd w:id="6"/>
      <w:r w:rsidRPr="008561BE">
        <w:rPr>
          <w:rFonts w:ascii="Palatino Linotype" w:eastAsia="Palatino Linotype" w:hAnsi="Palatino Linotype" w:cs="Palatino Linotype"/>
          <w:b/>
        </w:rPr>
        <w:t xml:space="preserve">Segundo. </w:t>
      </w:r>
      <w:r w:rsidRPr="008561BE">
        <w:rPr>
          <w:rFonts w:ascii="Palatino Linotype" w:eastAsia="Palatino Linotype" w:hAnsi="Palatino Linotype" w:cs="Palatino Linotype"/>
        </w:rPr>
        <w:t xml:space="preserve">Se </w:t>
      </w:r>
      <w:r w:rsidRPr="008561BE">
        <w:rPr>
          <w:rFonts w:ascii="Palatino Linotype" w:eastAsia="Palatino Linotype" w:hAnsi="Palatino Linotype" w:cs="Palatino Linotype"/>
          <w:b/>
        </w:rPr>
        <w:t xml:space="preserve">Ordena </w:t>
      </w:r>
      <w:r w:rsidRPr="008561BE">
        <w:rPr>
          <w:rFonts w:ascii="Palatino Linotype" w:eastAsia="Palatino Linotype" w:hAnsi="Palatino Linotype" w:cs="Palatino Linotype"/>
        </w:rPr>
        <w:t xml:space="preserve">al </w:t>
      </w:r>
      <w:r w:rsidRPr="008561BE">
        <w:rPr>
          <w:rFonts w:ascii="Palatino Linotype" w:eastAsia="Palatino Linotype" w:hAnsi="Palatino Linotype" w:cs="Palatino Linotype"/>
          <w:b/>
        </w:rPr>
        <w:t>Sujeto Obligado</w:t>
      </w:r>
      <w:r w:rsidRPr="008561BE">
        <w:rPr>
          <w:rFonts w:ascii="Palatino Linotype" w:eastAsia="Palatino Linotype" w:hAnsi="Palatino Linotype" w:cs="Palatino Linotype"/>
        </w:rPr>
        <w:t xml:space="preserve"> haga entrega a </w:t>
      </w:r>
      <w:r w:rsidRPr="008561BE">
        <w:rPr>
          <w:rFonts w:ascii="Palatino Linotype" w:eastAsia="Palatino Linotype" w:hAnsi="Palatino Linotype" w:cs="Palatino Linotype"/>
          <w:b/>
        </w:rPr>
        <w:t>la</w:t>
      </w:r>
      <w:r w:rsidRPr="008561BE">
        <w:rPr>
          <w:rFonts w:ascii="Palatino Linotype" w:eastAsia="Palatino Linotype" w:hAnsi="Palatino Linotype" w:cs="Palatino Linotype"/>
        </w:rPr>
        <w:t xml:space="preserve"> </w:t>
      </w:r>
      <w:r w:rsidRPr="008561BE">
        <w:rPr>
          <w:rFonts w:ascii="Palatino Linotype" w:eastAsia="Palatino Linotype" w:hAnsi="Palatino Linotype" w:cs="Palatino Linotype"/>
          <w:b/>
        </w:rPr>
        <w:t>parte</w:t>
      </w:r>
      <w:r w:rsidRPr="008561BE">
        <w:rPr>
          <w:rFonts w:ascii="Palatino Linotype" w:eastAsia="Palatino Linotype" w:hAnsi="Palatino Linotype" w:cs="Palatino Linotype"/>
        </w:rPr>
        <w:t xml:space="preserve"> </w:t>
      </w:r>
      <w:r w:rsidRPr="008561BE">
        <w:rPr>
          <w:rFonts w:ascii="Palatino Linotype" w:eastAsia="Palatino Linotype" w:hAnsi="Palatino Linotype" w:cs="Palatino Linotype"/>
          <w:b/>
        </w:rPr>
        <w:t>Recurrente</w:t>
      </w:r>
      <w:r w:rsidRPr="008561BE">
        <w:rPr>
          <w:rFonts w:ascii="Palatino Linotype" w:eastAsia="Palatino Linotype" w:hAnsi="Palatino Linotype" w:cs="Palatino Linotype"/>
        </w:rPr>
        <w:t xml:space="preserve"> vía SAIMEX</w:t>
      </w:r>
      <w:r w:rsidRPr="008561BE">
        <w:rPr>
          <w:rFonts w:ascii="Palatino Linotype" w:eastAsia="Palatino Linotype" w:hAnsi="Palatino Linotype" w:cs="Palatino Linotype"/>
          <w:b/>
        </w:rPr>
        <w:t>, en versión pública</w:t>
      </w:r>
      <w:r w:rsidRPr="008561BE">
        <w:rPr>
          <w:rFonts w:ascii="Palatino Linotype" w:eastAsia="Palatino Linotype" w:hAnsi="Palatino Linotype" w:cs="Palatino Linotype"/>
        </w:rPr>
        <w:t xml:space="preserve">, en términos de </w:t>
      </w:r>
      <w:r w:rsidRPr="008561BE">
        <w:rPr>
          <w:rFonts w:ascii="Palatino Linotype" w:eastAsia="Palatino Linotype" w:hAnsi="Palatino Linotype" w:cs="Palatino Linotype"/>
          <w:b/>
        </w:rPr>
        <w:t>los Considerandos</w:t>
      </w:r>
      <w:r w:rsidRPr="008561BE">
        <w:rPr>
          <w:rFonts w:ascii="Palatino Linotype" w:eastAsia="Palatino Linotype" w:hAnsi="Palatino Linotype" w:cs="Palatino Linotype"/>
        </w:rPr>
        <w:t xml:space="preserve"> </w:t>
      </w:r>
      <w:r w:rsidRPr="008561BE">
        <w:rPr>
          <w:rFonts w:ascii="Palatino Linotype" w:eastAsia="Palatino Linotype" w:hAnsi="Palatino Linotype" w:cs="Palatino Linotype"/>
          <w:b/>
        </w:rPr>
        <w:t>Cuarto y Quinto, de lo siguiente</w:t>
      </w:r>
      <w:r w:rsidRPr="008561BE">
        <w:rPr>
          <w:rFonts w:ascii="Palatino Linotype" w:eastAsia="Palatino Linotype" w:hAnsi="Palatino Linotype" w:cs="Palatino Linotype"/>
        </w:rPr>
        <w:t>:</w:t>
      </w:r>
    </w:p>
    <w:p w:rsidR="001E689A" w:rsidRPr="008561BE" w:rsidRDefault="00C83C0B">
      <w:pPr>
        <w:spacing w:before="240" w:after="240" w:line="276" w:lineRule="auto"/>
        <w:ind w:left="567" w:right="900"/>
        <w:jc w:val="both"/>
        <w:rPr>
          <w:rFonts w:ascii="Palatino Linotype" w:eastAsia="Palatino Linotype" w:hAnsi="Palatino Linotype" w:cs="Palatino Linotype"/>
          <w:b/>
          <w:sz w:val="22"/>
          <w:szCs w:val="22"/>
        </w:rPr>
      </w:pPr>
      <w:r w:rsidRPr="008561BE">
        <w:rPr>
          <w:rFonts w:ascii="Palatino Linotype" w:eastAsia="Palatino Linotype" w:hAnsi="Palatino Linotype" w:cs="Palatino Linotype"/>
          <w:b/>
          <w:sz w:val="22"/>
          <w:szCs w:val="22"/>
        </w:rPr>
        <w:t>De los servidores públicos adscritos a la Dirección General, Unidad de Apoyo Administrativo y Dirección Jurídica Financiera y de Igualdad de Género:</w:t>
      </w:r>
    </w:p>
    <w:p w:rsidR="001E689A" w:rsidRPr="008561BE" w:rsidRDefault="00C83C0B">
      <w:pPr>
        <w:spacing w:before="240" w:after="240" w:line="276"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Documento donde consten los nombres de los servidores públicos en funciones al catorce de marzo de dos mil veintitrés</w:t>
      </w:r>
    </w:p>
    <w:p w:rsidR="001E689A" w:rsidRPr="008561BE" w:rsidRDefault="00C83C0B">
      <w:pPr>
        <w:spacing w:before="240" w:after="240" w:line="276"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Documentos donde consten las remuneraciones otorgadas en</w:t>
      </w:r>
      <w:r w:rsidRPr="008561BE">
        <w:rPr>
          <w:rFonts w:ascii="Palatino Linotype" w:eastAsia="Palatino Linotype" w:hAnsi="Palatino Linotype" w:cs="Palatino Linotype"/>
          <w:b/>
          <w:i/>
        </w:rPr>
        <w:t xml:space="preserve"> </w:t>
      </w:r>
      <w:r w:rsidRPr="008561BE">
        <w:rPr>
          <w:rFonts w:ascii="Palatino Linotype" w:eastAsia="Palatino Linotype" w:hAnsi="Palatino Linotype" w:cs="Palatino Linotype"/>
          <w:i/>
          <w:sz w:val="22"/>
          <w:szCs w:val="22"/>
        </w:rPr>
        <w:t>la primera y segunda quincena del mes de febrero de dos mil veintitrés.</w:t>
      </w:r>
    </w:p>
    <w:p w:rsidR="001E689A" w:rsidRPr="008561BE" w:rsidRDefault="00C83C0B">
      <w:pPr>
        <w:spacing w:before="240" w:after="240" w:line="276" w:lineRule="auto"/>
        <w:ind w:left="567" w:right="900"/>
        <w:jc w:val="both"/>
        <w:rPr>
          <w:rFonts w:ascii="Palatino Linotype" w:eastAsia="Palatino Linotype" w:hAnsi="Palatino Linotype" w:cs="Palatino Linotype"/>
          <w:i/>
          <w:sz w:val="22"/>
          <w:szCs w:val="22"/>
        </w:rPr>
      </w:pPr>
      <w:proofErr w:type="spellStart"/>
      <w:r w:rsidRPr="008561BE">
        <w:rPr>
          <w:rFonts w:ascii="Palatino Linotype" w:eastAsia="Palatino Linotype" w:hAnsi="Palatino Linotype" w:cs="Palatino Linotype"/>
          <w:i/>
          <w:sz w:val="22"/>
          <w:szCs w:val="22"/>
        </w:rPr>
        <w:lastRenderedPageBreak/>
        <w:t>Curriculums</w:t>
      </w:r>
      <w:proofErr w:type="spellEnd"/>
      <w:r w:rsidRPr="008561BE">
        <w:rPr>
          <w:rFonts w:ascii="Palatino Linotype" w:eastAsia="Palatino Linotype" w:hAnsi="Palatino Linotype" w:cs="Palatino Linotype"/>
          <w:i/>
          <w:sz w:val="22"/>
          <w:szCs w:val="22"/>
        </w:rPr>
        <w:t>, ficha curricular o solicitud de empleo de todos los servidores públicos, en funciones al catorce de marzo de dos mil veintitrés.</w:t>
      </w:r>
    </w:p>
    <w:p w:rsidR="001E689A" w:rsidRPr="008561BE" w:rsidRDefault="00772A77">
      <w:pPr>
        <w:spacing w:before="240" w:after="240" w:line="276"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 xml:space="preserve">Títulos profesionales </w:t>
      </w:r>
      <w:r w:rsidR="00197EFC" w:rsidRPr="008561BE">
        <w:rPr>
          <w:rFonts w:ascii="Palatino Linotype" w:eastAsia="Palatino Linotype" w:hAnsi="Palatino Linotype" w:cs="Palatino Linotype"/>
          <w:i/>
          <w:sz w:val="22"/>
          <w:szCs w:val="22"/>
        </w:rPr>
        <w:t>con los que cuente,</w:t>
      </w:r>
      <w:r w:rsidR="00C83C0B" w:rsidRPr="008561BE">
        <w:rPr>
          <w:rFonts w:ascii="Palatino Linotype" w:eastAsia="Palatino Linotype" w:hAnsi="Palatino Linotype" w:cs="Palatino Linotype"/>
          <w:i/>
          <w:sz w:val="22"/>
          <w:szCs w:val="22"/>
        </w:rPr>
        <w:t xml:space="preserve"> </w:t>
      </w:r>
      <w:r w:rsidRPr="008561BE">
        <w:rPr>
          <w:rFonts w:ascii="Palatino Linotype" w:eastAsia="Palatino Linotype" w:hAnsi="Palatino Linotype" w:cs="Palatino Linotype"/>
          <w:i/>
          <w:sz w:val="22"/>
          <w:szCs w:val="22"/>
        </w:rPr>
        <w:t xml:space="preserve">de los servidores públicos </w:t>
      </w:r>
      <w:r w:rsidR="00C83C0B" w:rsidRPr="008561BE">
        <w:rPr>
          <w:rFonts w:ascii="Palatino Linotype" w:eastAsia="Palatino Linotype" w:hAnsi="Palatino Linotype" w:cs="Palatino Linotype"/>
          <w:i/>
          <w:sz w:val="22"/>
          <w:szCs w:val="22"/>
        </w:rPr>
        <w:t>en funciones al catorce de marzo de dos mil veintitrés.</w:t>
      </w:r>
    </w:p>
    <w:p w:rsidR="001E689A" w:rsidRPr="008561BE" w:rsidRDefault="00C83C0B">
      <w:pPr>
        <w:spacing w:before="240" w:after="240" w:line="276" w:lineRule="auto"/>
        <w:ind w:left="567" w:right="900"/>
        <w:jc w:val="both"/>
        <w:rPr>
          <w:rFonts w:ascii="Palatino Linotype" w:eastAsia="Palatino Linotype" w:hAnsi="Palatino Linotype" w:cs="Palatino Linotype"/>
          <w:i/>
          <w:sz w:val="22"/>
          <w:szCs w:val="22"/>
        </w:rPr>
      </w:pPr>
      <w:bookmarkStart w:id="7" w:name="_heading=h.2et92p0" w:colFirst="0" w:colLast="0"/>
      <w:bookmarkEnd w:id="7"/>
      <w:r w:rsidRPr="008561BE">
        <w:rPr>
          <w:rFonts w:ascii="Palatino Linotype" w:eastAsia="Palatino Linotype" w:hAnsi="Palatino Linotype" w:cs="Palatino Linotype"/>
          <w:i/>
          <w:sz w:val="22"/>
          <w:szCs w:val="22"/>
        </w:rPr>
        <w:t>Cédulas profesionales de los servidores públicos, con las que cuente al veintiocho de febrero de dos mil veintitrés.</w:t>
      </w:r>
    </w:p>
    <w:p w:rsidR="001E689A" w:rsidRPr="008561BE" w:rsidRDefault="00C83C0B">
      <w:pPr>
        <w:spacing w:before="240" w:after="240" w:line="276" w:lineRule="auto"/>
        <w:ind w:left="567" w:right="900"/>
        <w:jc w:val="both"/>
        <w:rPr>
          <w:rFonts w:ascii="Palatino Linotype" w:eastAsia="Palatino Linotype" w:hAnsi="Palatino Linotype" w:cs="Palatino Linotype"/>
          <w:i/>
          <w:sz w:val="22"/>
          <w:szCs w:val="22"/>
        </w:rPr>
      </w:pPr>
      <w:r w:rsidRPr="008561BE">
        <w:rPr>
          <w:rFonts w:ascii="Palatino Linotype" w:eastAsia="Palatino Linotype" w:hAnsi="Palatino Linotype" w:cs="Palatino Linotype"/>
          <w:i/>
          <w:sz w:val="22"/>
          <w:szCs w:val="22"/>
        </w:rPr>
        <w:t xml:space="preserve">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w:t>
      </w:r>
      <w:r w:rsidRPr="008561BE">
        <w:rPr>
          <w:rFonts w:ascii="Palatino Linotype" w:eastAsia="Palatino Linotype" w:hAnsi="Palatino Linotype" w:cs="Palatino Linotype"/>
          <w:b/>
          <w:i/>
          <w:sz w:val="22"/>
          <w:szCs w:val="22"/>
        </w:rPr>
        <w:t>la parte Recurrente</w:t>
      </w:r>
      <w:r w:rsidRPr="008561BE">
        <w:rPr>
          <w:rFonts w:ascii="Palatino Linotype" w:eastAsia="Palatino Linotype" w:hAnsi="Palatino Linotype" w:cs="Palatino Linotype"/>
          <w:i/>
          <w:sz w:val="22"/>
          <w:szCs w:val="22"/>
        </w:rPr>
        <w:t>.</w:t>
      </w:r>
    </w:p>
    <w:p w:rsidR="00C83C0B"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b/>
        </w:rPr>
        <w:t>Tercero</w:t>
      </w:r>
      <w:r w:rsidRPr="008561BE">
        <w:rPr>
          <w:rFonts w:ascii="Palatino Linotype" w:eastAsia="Palatino Linotype" w:hAnsi="Palatino Linotype" w:cs="Palatino Linotype"/>
          <w:b/>
          <w:sz w:val="28"/>
          <w:szCs w:val="28"/>
        </w:rPr>
        <w:t xml:space="preserve">. </w:t>
      </w:r>
      <w:r w:rsidRPr="008561BE">
        <w:rPr>
          <w:rFonts w:ascii="Palatino Linotype" w:eastAsia="Palatino Linotype" w:hAnsi="Palatino Linotype" w:cs="Palatino Linotype"/>
          <w:b/>
        </w:rPr>
        <w:t xml:space="preserve">Notifíquese </w:t>
      </w:r>
      <w:r w:rsidRPr="008561BE">
        <w:rPr>
          <w:rFonts w:ascii="Palatino Linotype" w:eastAsia="Palatino Linotype" w:hAnsi="Palatino Linotype" w:cs="Palatino Linotype"/>
        </w:rPr>
        <w:t>la presente resolución al T</w:t>
      </w:r>
      <w:r w:rsidRPr="008561BE">
        <w:rPr>
          <w:rFonts w:ascii="Palatino Linotype" w:eastAsia="Palatino Linotype" w:hAnsi="Palatino Linotype" w:cs="Palatino Linotype"/>
          <w:b/>
        </w:rPr>
        <w:t xml:space="preserve">itular de la Unidad de Transparencia </w:t>
      </w:r>
      <w:r w:rsidRPr="008561BE">
        <w:rPr>
          <w:rFonts w:ascii="Palatino Linotype" w:eastAsia="Palatino Linotype" w:hAnsi="Palatino Linotype" w:cs="Palatino Linotype"/>
        </w:rPr>
        <w:t xml:space="preserve">del </w:t>
      </w:r>
      <w:r w:rsidRPr="008561BE">
        <w:rPr>
          <w:rFonts w:ascii="Palatino Linotype" w:eastAsia="Palatino Linotype" w:hAnsi="Palatino Linotype" w:cs="Palatino Linotype"/>
          <w:b/>
        </w:rPr>
        <w:t>Sujeto Obligado</w:t>
      </w:r>
      <w:r w:rsidRPr="008561BE">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b/>
        </w:rPr>
        <w:t>Cuarto</w:t>
      </w:r>
      <w:r w:rsidRPr="008561BE">
        <w:rPr>
          <w:rFonts w:ascii="Palatino Linotype" w:eastAsia="Palatino Linotype" w:hAnsi="Palatino Linotype" w:cs="Palatino Linotype"/>
          <w:b/>
          <w:sz w:val="28"/>
          <w:szCs w:val="28"/>
        </w:rPr>
        <w:t xml:space="preserve">. </w:t>
      </w:r>
      <w:r w:rsidRPr="008561B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w:t>
      </w:r>
      <w:r w:rsidRPr="008561BE">
        <w:rPr>
          <w:rFonts w:ascii="Palatino Linotype" w:eastAsia="Palatino Linotype" w:hAnsi="Palatino Linotype" w:cs="Palatino Linotype"/>
        </w:rPr>
        <w:lastRenderedPageBreak/>
        <w:t xml:space="preserve">procedente, el </w:t>
      </w:r>
      <w:r w:rsidRPr="008561BE">
        <w:rPr>
          <w:rFonts w:ascii="Palatino Linotype" w:eastAsia="Palatino Linotype" w:hAnsi="Palatino Linotype" w:cs="Palatino Linotype"/>
          <w:b/>
        </w:rPr>
        <w:t>Sujeto Obligado</w:t>
      </w:r>
      <w:r w:rsidRPr="008561BE">
        <w:rPr>
          <w:rFonts w:ascii="Palatino Linotype" w:eastAsia="Palatino Linotype" w:hAnsi="Palatino Linotype" w:cs="Palatino Linotype"/>
        </w:rPr>
        <w:t xml:space="preserve"> de manera fundada y motivada, podrá solicitar una ampliación de plazo para el cumplimiento de la presente resolución.</w:t>
      </w:r>
    </w:p>
    <w:p w:rsidR="001E689A" w:rsidRPr="008561BE" w:rsidRDefault="00C83C0B">
      <w:pPr>
        <w:spacing w:before="240" w:after="240" w:line="360" w:lineRule="auto"/>
        <w:jc w:val="both"/>
        <w:rPr>
          <w:rFonts w:ascii="Palatino Linotype" w:eastAsia="Palatino Linotype" w:hAnsi="Palatino Linotype" w:cs="Palatino Linotype"/>
        </w:rPr>
      </w:pPr>
      <w:r w:rsidRPr="008561BE">
        <w:rPr>
          <w:rFonts w:ascii="Palatino Linotype" w:eastAsia="Palatino Linotype" w:hAnsi="Palatino Linotype" w:cs="Palatino Linotype"/>
          <w:b/>
        </w:rPr>
        <w:t>Quinto</w:t>
      </w:r>
      <w:r w:rsidRPr="008561BE">
        <w:rPr>
          <w:rFonts w:ascii="Palatino Linotype" w:eastAsia="Palatino Linotype" w:hAnsi="Palatino Linotype" w:cs="Palatino Linotype"/>
          <w:b/>
          <w:sz w:val="28"/>
          <w:szCs w:val="28"/>
        </w:rPr>
        <w:t xml:space="preserve">. </w:t>
      </w:r>
      <w:r w:rsidRPr="008561BE">
        <w:rPr>
          <w:rFonts w:ascii="Palatino Linotype" w:eastAsia="Palatino Linotype" w:hAnsi="Palatino Linotype" w:cs="Palatino Linotype"/>
          <w:b/>
        </w:rPr>
        <w:t xml:space="preserve">Notifíquese vía SAIMEX, </w:t>
      </w:r>
      <w:r w:rsidRPr="008561BE">
        <w:rPr>
          <w:rFonts w:ascii="Palatino Linotype" w:eastAsia="Palatino Linotype" w:hAnsi="Palatino Linotype" w:cs="Palatino Linotype"/>
        </w:rPr>
        <w:t xml:space="preserve">a </w:t>
      </w:r>
      <w:r w:rsidRPr="008561BE">
        <w:rPr>
          <w:rFonts w:ascii="Palatino Linotype" w:eastAsia="Palatino Linotype" w:hAnsi="Palatino Linotype" w:cs="Palatino Linotype"/>
          <w:b/>
        </w:rPr>
        <w:t>la</w:t>
      </w:r>
      <w:r w:rsidRPr="008561BE">
        <w:rPr>
          <w:rFonts w:ascii="Palatino Linotype" w:eastAsia="Palatino Linotype" w:hAnsi="Palatino Linotype" w:cs="Palatino Linotype"/>
        </w:rPr>
        <w:t xml:space="preserve"> parte </w:t>
      </w:r>
      <w:r w:rsidRPr="008561BE">
        <w:rPr>
          <w:rFonts w:ascii="Palatino Linotype" w:eastAsia="Palatino Linotype" w:hAnsi="Palatino Linotype" w:cs="Palatino Linotype"/>
          <w:b/>
        </w:rPr>
        <w:t>Recurrente</w:t>
      </w:r>
      <w:r w:rsidRPr="008561BE">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1E689A" w:rsidRDefault="00C83C0B">
      <w:pPr>
        <w:spacing w:before="240" w:after="240" w:line="360" w:lineRule="auto"/>
        <w:jc w:val="both"/>
        <w:rPr>
          <w:rFonts w:ascii="Palatino Linotype" w:eastAsia="Palatino Linotype" w:hAnsi="Palatino Linotype" w:cs="Palatino Linotype"/>
        </w:rPr>
        <w:sectPr w:rsidR="001E689A">
          <w:headerReference w:type="default" r:id="rId28"/>
          <w:footerReference w:type="default" r:id="rId29"/>
          <w:headerReference w:type="first" r:id="rId30"/>
          <w:footerReference w:type="first" r:id="rId31"/>
          <w:pgSz w:w="12240" w:h="15840"/>
          <w:pgMar w:top="1985" w:right="1701" w:bottom="1701" w:left="1701" w:header="709" w:footer="709" w:gutter="0"/>
          <w:pgNumType w:start="1"/>
          <w:cols w:space="720"/>
          <w:titlePg/>
        </w:sectPr>
      </w:pPr>
      <w:r w:rsidRPr="008561BE">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AF2A26" w:rsidRPr="008561BE">
        <w:rPr>
          <w:rFonts w:ascii="Palatino Linotype" w:eastAsia="Palatino Linotype" w:hAnsi="Palatino Linotype" w:cs="Palatino Linotype"/>
        </w:rPr>
        <w:t xml:space="preserve"> EMITIENDO VOTO PARTICULAR CONCURRENTE;</w:t>
      </w:r>
      <w:r w:rsidRPr="008561BE">
        <w:rPr>
          <w:rFonts w:ascii="Palatino Linotype" w:eastAsia="Palatino Linotype" w:hAnsi="Palatino Linotype" w:cs="Palatino Linotype"/>
        </w:rPr>
        <w:t xml:space="preserve"> LUIS GUSTAVO PARRA NORIEGA Y GUADALUPE RAMÍREZ P</w:t>
      </w:r>
      <w:r w:rsidR="00AF2A26" w:rsidRPr="008561BE">
        <w:rPr>
          <w:rFonts w:ascii="Palatino Linotype" w:eastAsia="Palatino Linotype" w:hAnsi="Palatino Linotype" w:cs="Palatino Linotype"/>
        </w:rPr>
        <w:t>EÑA; EMITIENDO VOTO PARTICULAR CONCURRENTE; EN LA TRIGÉSIMA SEX</w:t>
      </w:r>
      <w:r w:rsidRPr="008561BE">
        <w:rPr>
          <w:rFonts w:ascii="Palatino Linotype" w:eastAsia="Palatino Linotype" w:hAnsi="Palatino Linotype" w:cs="Palatino Linotype"/>
        </w:rPr>
        <w:t>TA SESIÓN OR</w:t>
      </w:r>
      <w:r w:rsidR="00AF2A26" w:rsidRPr="008561BE">
        <w:rPr>
          <w:rFonts w:ascii="Palatino Linotype" w:eastAsia="Palatino Linotype" w:hAnsi="Palatino Linotype" w:cs="Palatino Linotype"/>
        </w:rPr>
        <w:t>DINARIA CELEBRADA EL TRES DE OCTU</w:t>
      </w:r>
      <w:r w:rsidRPr="008561BE">
        <w:rPr>
          <w:rFonts w:ascii="Palatino Linotype" w:eastAsia="Palatino Linotype" w:hAnsi="Palatino Linotype" w:cs="Palatino Linotype"/>
        </w:rPr>
        <w:t>BRE DE DOS MIL VEINTITRÉS, ANTE EL SECRETARIO TÉCNICO DEL PLENO, ALEXIS TAPIA RAMÍREZ.</w:t>
      </w:r>
    </w:p>
    <w:p w:rsidR="001E689A" w:rsidRDefault="001E689A">
      <w:pPr>
        <w:spacing w:before="240" w:after="240" w:line="360" w:lineRule="auto"/>
        <w:jc w:val="both"/>
        <w:rPr>
          <w:rFonts w:ascii="Palatino Linotype" w:eastAsia="Palatino Linotype" w:hAnsi="Palatino Linotype" w:cs="Palatino Linotype"/>
          <w:sz w:val="20"/>
          <w:szCs w:val="20"/>
        </w:rPr>
      </w:pPr>
    </w:p>
    <w:p w:rsidR="001E689A" w:rsidRDefault="001E689A">
      <w:pPr>
        <w:spacing w:before="240" w:after="240" w:line="360" w:lineRule="auto"/>
        <w:jc w:val="both"/>
        <w:rPr>
          <w:rFonts w:ascii="Palatino Linotype" w:eastAsia="Palatino Linotype" w:hAnsi="Palatino Linotype" w:cs="Palatino Linotype"/>
          <w:sz w:val="20"/>
          <w:szCs w:val="20"/>
        </w:rPr>
      </w:pPr>
    </w:p>
    <w:p w:rsidR="001E689A" w:rsidRDefault="001E689A">
      <w:pPr>
        <w:spacing w:before="240" w:after="240" w:line="360" w:lineRule="auto"/>
        <w:jc w:val="both"/>
        <w:rPr>
          <w:rFonts w:ascii="Palatino Linotype" w:eastAsia="Palatino Linotype" w:hAnsi="Palatino Linotype" w:cs="Palatino Linotype"/>
          <w:sz w:val="20"/>
          <w:szCs w:val="20"/>
        </w:rPr>
      </w:pPr>
    </w:p>
    <w:p w:rsidR="001E689A" w:rsidRDefault="001E689A">
      <w:pPr>
        <w:spacing w:before="240" w:after="240" w:line="360" w:lineRule="auto"/>
        <w:jc w:val="both"/>
        <w:rPr>
          <w:rFonts w:ascii="Palatino Linotype" w:eastAsia="Palatino Linotype" w:hAnsi="Palatino Linotype" w:cs="Palatino Linotype"/>
          <w:sz w:val="20"/>
          <w:szCs w:val="20"/>
        </w:rPr>
      </w:pPr>
    </w:p>
    <w:p w:rsidR="001E689A" w:rsidRDefault="001E689A">
      <w:pPr>
        <w:spacing w:before="240" w:after="240" w:line="360" w:lineRule="auto"/>
        <w:jc w:val="both"/>
        <w:rPr>
          <w:rFonts w:ascii="Palatino Linotype" w:eastAsia="Palatino Linotype" w:hAnsi="Palatino Linotype" w:cs="Palatino Linotype"/>
          <w:sz w:val="20"/>
          <w:szCs w:val="20"/>
        </w:rPr>
      </w:pPr>
    </w:p>
    <w:p w:rsidR="001E689A" w:rsidRDefault="001E689A">
      <w:pPr>
        <w:spacing w:before="240" w:after="240" w:line="360" w:lineRule="auto"/>
        <w:jc w:val="both"/>
        <w:rPr>
          <w:rFonts w:ascii="Palatino Linotype" w:eastAsia="Palatino Linotype" w:hAnsi="Palatino Linotype" w:cs="Palatino Linotype"/>
          <w:sz w:val="20"/>
          <w:szCs w:val="20"/>
        </w:rPr>
      </w:pPr>
    </w:p>
    <w:p w:rsidR="001E689A" w:rsidRDefault="001E689A">
      <w:pPr>
        <w:spacing w:before="240" w:after="240" w:line="360" w:lineRule="auto"/>
        <w:jc w:val="both"/>
        <w:rPr>
          <w:rFonts w:ascii="Palatino Linotype" w:eastAsia="Palatino Linotype" w:hAnsi="Palatino Linotype" w:cs="Palatino Linotype"/>
          <w:sz w:val="20"/>
          <w:szCs w:val="20"/>
        </w:rPr>
      </w:pPr>
    </w:p>
    <w:p w:rsidR="001E689A" w:rsidRDefault="001E689A">
      <w:pPr>
        <w:spacing w:before="240" w:after="240" w:line="360" w:lineRule="auto"/>
        <w:jc w:val="both"/>
        <w:rPr>
          <w:rFonts w:ascii="Palatino Linotype" w:eastAsia="Palatino Linotype" w:hAnsi="Palatino Linotype" w:cs="Palatino Linotype"/>
          <w:sz w:val="20"/>
          <w:szCs w:val="20"/>
        </w:rPr>
      </w:pPr>
    </w:p>
    <w:sectPr w:rsidR="001E689A">
      <w:headerReference w:type="first" r:id="rId3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0BF3" w:rsidRDefault="00180BF3">
      <w:r>
        <w:separator/>
      </w:r>
    </w:p>
  </w:endnote>
  <w:endnote w:type="continuationSeparator" w:id="0">
    <w:p w:rsidR="00180BF3" w:rsidRDefault="00180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BF3" w:rsidRDefault="00180BF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50F7D">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50F7D">
      <w:rPr>
        <w:rFonts w:ascii="Palatino Linotype" w:eastAsia="Palatino Linotype" w:hAnsi="Palatino Linotype" w:cs="Palatino Linotype"/>
        <w:b/>
        <w:noProof/>
        <w:color w:val="000000"/>
        <w:sz w:val="20"/>
        <w:szCs w:val="20"/>
      </w:rPr>
      <w:t>102</w:t>
    </w:r>
    <w:r>
      <w:rPr>
        <w:rFonts w:ascii="Palatino Linotype" w:eastAsia="Palatino Linotype" w:hAnsi="Palatino Linotype" w:cs="Palatino Linotype"/>
        <w:b/>
        <w:color w:val="000000"/>
        <w:sz w:val="20"/>
        <w:szCs w:val="20"/>
      </w:rPr>
      <w:fldChar w:fldCharType="end"/>
    </w:r>
  </w:p>
  <w:p w:rsidR="00180BF3" w:rsidRDefault="00180BF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BF3" w:rsidRDefault="00180BF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50F7D">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50F7D">
      <w:rPr>
        <w:rFonts w:ascii="Palatino Linotype" w:eastAsia="Palatino Linotype" w:hAnsi="Palatino Linotype" w:cs="Palatino Linotype"/>
        <w:b/>
        <w:noProof/>
        <w:color w:val="000000"/>
        <w:sz w:val="20"/>
        <w:szCs w:val="20"/>
      </w:rPr>
      <w:t>102</w:t>
    </w:r>
    <w:r>
      <w:rPr>
        <w:rFonts w:ascii="Palatino Linotype" w:eastAsia="Palatino Linotype" w:hAnsi="Palatino Linotype" w:cs="Palatino Linotype"/>
        <w:b/>
        <w:color w:val="000000"/>
        <w:sz w:val="20"/>
        <w:szCs w:val="20"/>
      </w:rPr>
      <w:fldChar w:fldCharType="end"/>
    </w:r>
  </w:p>
  <w:p w:rsidR="00180BF3" w:rsidRDefault="00180BF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0BF3" w:rsidRDefault="00180BF3">
      <w:r>
        <w:separator/>
      </w:r>
    </w:p>
  </w:footnote>
  <w:footnote w:type="continuationSeparator" w:id="0">
    <w:p w:rsidR="00180BF3" w:rsidRDefault="00180BF3">
      <w:r>
        <w:continuationSeparator/>
      </w:r>
    </w:p>
  </w:footnote>
  <w:footnote w:id="1">
    <w:p w:rsidR="00180BF3" w:rsidRDefault="00180BF3">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BF3" w:rsidRDefault="00180BF3">
    <w:pPr>
      <w:rPr>
        <w:rFonts w:ascii="Cambria" w:eastAsia="Cambria" w:hAnsi="Cambria" w:cs="Cambria"/>
        <w:color w:val="000000"/>
      </w:rPr>
    </w:pPr>
    <w:r>
      <w:rPr>
        <w:noProof/>
      </w:rPr>
      <w:drawing>
        <wp:anchor distT="0" distB="0" distL="0" distR="0" simplePos="0" relativeHeight="251658240" behindDoc="1" locked="0" layoutInCell="1" hidden="0" allowOverlap="1">
          <wp:simplePos x="0" y="0"/>
          <wp:positionH relativeFrom="column">
            <wp:posOffset>-965199</wp:posOffset>
          </wp:positionH>
          <wp:positionV relativeFrom="paragraph">
            <wp:posOffset>-453389</wp:posOffset>
          </wp:positionV>
          <wp:extent cx="7809865" cy="10165715"/>
          <wp:effectExtent l="0" t="0" r="0" b="0"/>
          <wp:wrapNone/>
          <wp:docPr id="11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4"/>
      <w:tblW w:w="5811" w:type="dxa"/>
      <w:tblInd w:w="3261" w:type="dxa"/>
      <w:tblLayout w:type="fixed"/>
      <w:tblLook w:val="0400" w:firstRow="0" w:lastRow="0" w:firstColumn="0" w:lastColumn="0" w:noHBand="0" w:noVBand="1"/>
    </w:tblPr>
    <w:tblGrid>
      <w:gridCol w:w="2489"/>
      <w:gridCol w:w="3322"/>
    </w:tblGrid>
    <w:tr w:rsidR="00180BF3">
      <w:tc>
        <w:tcPr>
          <w:tcW w:w="2489" w:type="dxa"/>
          <w:shd w:val="clear" w:color="auto" w:fill="auto"/>
        </w:tcPr>
        <w:p w:rsidR="00180BF3" w:rsidRDefault="00180BF3">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22" w:type="dxa"/>
          <w:shd w:val="clear" w:color="auto" w:fill="auto"/>
          <w:vAlign w:val="center"/>
        </w:tcPr>
        <w:p w:rsidR="00180BF3" w:rsidRDefault="00180BF3">
          <w:pPr>
            <w:ind w:right="175"/>
            <w:jc w:val="both"/>
            <w:rPr>
              <w:rFonts w:ascii="Palatino Linotype" w:eastAsia="Palatino Linotype" w:hAnsi="Palatino Linotype" w:cs="Palatino Linotype"/>
              <w:b/>
            </w:rPr>
          </w:pPr>
          <w:r>
            <w:rPr>
              <w:rFonts w:ascii="Palatino Linotype" w:eastAsia="Palatino Linotype" w:hAnsi="Palatino Linotype" w:cs="Palatino Linotype"/>
              <w:b/>
            </w:rPr>
            <w:t>01889/INFOEM/IP/RR/2023</w:t>
          </w:r>
        </w:p>
      </w:tc>
    </w:tr>
    <w:tr w:rsidR="00180BF3">
      <w:trPr>
        <w:trHeight w:val="228"/>
      </w:trPr>
      <w:tc>
        <w:tcPr>
          <w:tcW w:w="2489" w:type="dxa"/>
          <w:shd w:val="clear" w:color="auto" w:fill="auto"/>
          <w:vAlign w:val="center"/>
        </w:tcPr>
        <w:p w:rsidR="00180BF3" w:rsidRDefault="00180BF3">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22" w:type="dxa"/>
          <w:shd w:val="clear" w:color="auto" w:fill="auto"/>
          <w:vAlign w:val="center"/>
        </w:tcPr>
        <w:p w:rsidR="00180BF3" w:rsidRDefault="00180BF3">
          <w:pPr>
            <w:ind w:left="-45" w:right="310"/>
            <w:jc w:val="both"/>
            <w:rPr>
              <w:rFonts w:ascii="Palatino Linotype" w:eastAsia="Palatino Linotype" w:hAnsi="Palatino Linotype" w:cs="Palatino Linotype"/>
              <w:b/>
            </w:rPr>
          </w:pPr>
          <w:r>
            <w:rPr>
              <w:rFonts w:ascii="Palatino Linotype" w:eastAsia="Palatino Linotype" w:hAnsi="Palatino Linotype" w:cs="Palatino Linotype"/>
              <w:b/>
            </w:rPr>
            <w:t>Sistema de Transporte Masivo y Teleférico del Estado de México</w:t>
          </w:r>
        </w:p>
      </w:tc>
    </w:tr>
    <w:tr w:rsidR="00180BF3">
      <w:tc>
        <w:tcPr>
          <w:tcW w:w="2489" w:type="dxa"/>
          <w:shd w:val="clear" w:color="auto" w:fill="auto"/>
          <w:vAlign w:val="center"/>
        </w:tcPr>
        <w:p w:rsidR="00180BF3" w:rsidRDefault="00180BF3">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22" w:type="dxa"/>
          <w:shd w:val="clear" w:color="auto" w:fill="auto"/>
          <w:vAlign w:val="center"/>
        </w:tcPr>
        <w:p w:rsidR="00180BF3" w:rsidRDefault="00180BF3">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180BF3" w:rsidRDefault="00180BF3">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BF3" w:rsidRDefault="00180BF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-1069974</wp:posOffset>
          </wp:positionH>
          <wp:positionV relativeFrom="paragraph">
            <wp:posOffset>-371474</wp:posOffset>
          </wp:positionV>
          <wp:extent cx="7809865" cy="10165715"/>
          <wp:effectExtent l="0" t="0" r="0" b="0"/>
          <wp:wrapNone/>
          <wp:docPr id="10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953" w:type="dxa"/>
      <w:tblInd w:w="3261" w:type="dxa"/>
      <w:tblLayout w:type="fixed"/>
      <w:tblLook w:val="0400" w:firstRow="0" w:lastRow="0" w:firstColumn="0" w:lastColumn="0" w:noHBand="0" w:noVBand="1"/>
    </w:tblPr>
    <w:tblGrid>
      <w:gridCol w:w="2551"/>
      <w:gridCol w:w="3402"/>
    </w:tblGrid>
    <w:tr w:rsidR="00180BF3">
      <w:tc>
        <w:tcPr>
          <w:tcW w:w="2551" w:type="dxa"/>
          <w:shd w:val="clear" w:color="auto" w:fill="auto"/>
          <w:vAlign w:val="center"/>
        </w:tcPr>
        <w:p w:rsidR="00180BF3" w:rsidRDefault="00180BF3">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02" w:type="dxa"/>
          <w:shd w:val="clear" w:color="auto" w:fill="auto"/>
          <w:vAlign w:val="center"/>
        </w:tcPr>
        <w:p w:rsidR="00180BF3" w:rsidRDefault="00180BF3">
          <w:pPr>
            <w:tabs>
              <w:tab w:val="left" w:pos="3153"/>
            </w:tabs>
            <w:ind w:left="-45"/>
            <w:jc w:val="both"/>
            <w:rPr>
              <w:rFonts w:ascii="Palatino Linotype" w:eastAsia="Palatino Linotype" w:hAnsi="Palatino Linotype" w:cs="Palatino Linotype"/>
              <w:b/>
            </w:rPr>
          </w:pPr>
          <w:r>
            <w:rPr>
              <w:rFonts w:ascii="Palatino Linotype" w:eastAsia="Palatino Linotype" w:hAnsi="Palatino Linotype" w:cs="Palatino Linotype"/>
              <w:b/>
            </w:rPr>
            <w:t>01889/INFOEM/IP/RR/2023</w:t>
          </w:r>
        </w:p>
      </w:tc>
    </w:tr>
    <w:tr w:rsidR="00180BF3">
      <w:trPr>
        <w:trHeight w:val="130"/>
      </w:trPr>
      <w:tc>
        <w:tcPr>
          <w:tcW w:w="2551" w:type="dxa"/>
          <w:shd w:val="clear" w:color="auto" w:fill="auto"/>
          <w:vAlign w:val="center"/>
        </w:tcPr>
        <w:p w:rsidR="00180BF3" w:rsidRDefault="00180BF3">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402" w:type="dxa"/>
          <w:shd w:val="clear" w:color="auto" w:fill="auto"/>
          <w:vAlign w:val="center"/>
        </w:tcPr>
        <w:p w:rsidR="00180BF3" w:rsidRDefault="00180BF3" w:rsidP="00180BF3">
          <w:pPr>
            <w:ind w:left="-45" w:right="310"/>
            <w:jc w:val="both"/>
            <w:rPr>
              <w:rFonts w:ascii="Palatino Linotype" w:eastAsia="Palatino Linotype" w:hAnsi="Palatino Linotype" w:cs="Palatino Linotype"/>
              <w:b/>
            </w:rPr>
          </w:pPr>
          <w:r>
            <w:rPr>
              <w:rFonts w:ascii="Palatino Linotype" w:eastAsia="Palatino Linotype" w:hAnsi="Palatino Linotype" w:cs="Palatino Linotype"/>
              <w:b/>
            </w:rPr>
            <w:t>XXXXXXXXX XXXXXXXX XXXXX</w:t>
          </w:r>
        </w:p>
      </w:tc>
    </w:tr>
    <w:tr w:rsidR="00180BF3">
      <w:trPr>
        <w:trHeight w:val="228"/>
      </w:trPr>
      <w:tc>
        <w:tcPr>
          <w:tcW w:w="2551" w:type="dxa"/>
          <w:shd w:val="clear" w:color="auto" w:fill="auto"/>
          <w:vAlign w:val="center"/>
        </w:tcPr>
        <w:p w:rsidR="00180BF3" w:rsidRDefault="00180BF3">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02" w:type="dxa"/>
          <w:shd w:val="clear" w:color="auto" w:fill="auto"/>
          <w:vAlign w:val="center"/>
        </w:tcPr>
        <w:p w:rsidR="00180BF3" w:rsidRDefault="00180BF3">
          <w:pPr>
            <w:ind w:left="-45" w:right="452"/>
            <w:jc w:val="both"/>
            <w:rPr>
              <w:rFonts w:ascii="Palatino Linotype" w:eastAsia="Palatino Linotype" w:hAnsi="Palatino Linotype" w:cs="Palatino Linotype"/>
              <w:b/>
            </w:rPr>
          </w:pPr>
          <w:r>
            <w:rPr>
              <w:rFonts w:ascii="Palatino Linotype" w:eastAsia="Palatino Linotype" w:hAnsi="Palatino Linotype" w:cs="Palatino Linotype"/>
              <w:b/>
            </w:rPr>
            <w:t>Sistema de Transporte Masivo y Teleférico del Estado de México</w:t>
          </w:r>
        </w:p>
      </w:tc>
    </w:tr>
    <w:tr w:rsidR="00180BF3">
      <w:tc>
        <w:tcPr>
          <w:tcW w:w="2551" w:type="dxa"/>
          <w:shd w:val="clear" w:color="auto" w:fill="auto"/>
          <w:vAlign w:val="center"/>
        </w:tcPr>
        <w:p w:rsidR="00180BF3" w:rsidRDefault="00180BF3">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02" w:type="dxa"/>
          <w:shd w:val="clear" w:color="auto" w:fill="auto"/>
          <w:vAlign w:val="center"/>
        </w:tcPr>
        <w:p w:rsidR="00180BF3" w:rsidRDefault="00180BF3">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180BF3" w:rsidRDefault="00180BF3">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BF3" w:rsidRDefault="00180BF3">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p w:rsidR="00180BF3" w:rsidRDefault="00180BF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F0532"/>
    <w:multiLevelType w:val="multilevel"/>
    <w:tmpl w:val="095EA1F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3E7A20"/>
    <w:multiLevelType w:val="multilevel"/>
    <w:tmpl w:val="DB1C5B04"/>
    <w:lvl w:ilvl="0">
      <w:start w:val="1"/>
      <w:numFmt w:val="lowerLetter"/>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A89673F"/>
    <w:multiLevelType w:val="multilevel"/>
    <w:tmpl w:val="5CDE36D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0EC37032"/>
    <w:multiLevelType w:val="multilevel"/>
    <w:tmpl w:val="E3826DF2"/>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8A459B1"/>
    <w:multiLevelType w:val="multilevel"/>
    <w:tmpl w:val="41908D3E"/>
    <w:lvl w:ilvl="0">
      <w:start w:val="1"/>
      <w:numFmt w:val="upperRoman"/>
      <w:lvlText w:val="%1."/>
      <w:lvlJc w:val="left"/>
      <w:pPr>
        <w:ind w:left="1489" w:hanging="720"/>
      </w:pPr>
    </w:lvl>
    <w:lvl w:ilvl="1">
      <w:start w:val="1"/>
      <w:numFmt w:val="lowerLetter"/>
      <w:lvlText w:val="%2."/>
      <w:lvlJc w:val="left"/>
      <w:pPr>
        <w:ind w:left="1849" w:hanging="360"/>
      </w:pPr>
    </w:lvl>
    <w:lvl w:ilvl="2">
      <w:start w:val="1"/>
      <w:numFmt w:val="lowerRoman"/>
      <w:lvlText w:val="%3."/>
      <w:lvlJc w:val="right"/>
      <w:pPr>
        <w:ind w:left="2569" w:hanging="180"/>
      </w:pPr>
    </w:lvl>
    <w:lvl w:ilvl="3">
      <w:start w:val="1"/>
      <w:numFmt w:val="decimal"/>
      <w:lvlText w:val="%4."/>
      <w:lvlJc w:val="left"/>
      <w:pPr>
        <w:ind w:left="3289" w:hanging="360"/>
      </w:pPr>
    </w:lvl>
    <w:lvl w:ilvl="4">
      <w:start w:val="1"/>
      <w:numFmt w:val="lowerLetter"/>
      <w:lvlText w:val="%5."/>
      <w:lvlJc w:val="left"/>
      <w:pPr>
        <w:ind w:left="4009" w:hanging="360"/>
      </w:pPr>
    </w:lvl>
    <w:lvl w:ilvl="5">
      <w:start w:val="1"/>
      <w:numFmt w:val="lowerRoman"/>
      <w:lvlText w:val="%6."/>
      <w:lvlJc w:val="right"/>
      <w:pPr>
        <w:ind w:left="4729" w:hanging="180"/>
      </w:pPr>
    </w:lvl>
    <w:lvl w:ilvl="6">
      <w:start w:val="1"/>
      <w:numFmt w:val="decimal"/>
      <w:lvlText w:val="%7."/>
      <w:lvlJc w:val="left"/>
      <w:pPr>
        <w:ind w:left="5449" w:hanging="360"/>
      </w:pPr>
    </w:lvl>
    <w:lvl w:ilvl="7">
      <w:start w:val="1"/>
      <w:numFmt w:val="lowerLetter"/>
      <w:lvlText w:val="%8."/>
      <w:lvlJc w:val="left"/>
      <w:pPr>
        <w:ind w:left="6169" w:hanging="360"/>
      </w:pPr>
    </w:lvl>
    <w:lvl w:ilvl="8">
      <w:start w:val="1"/>
      <w:numFmt w:val="lowerRoman"/>
      <w:lvlText w:val="%9."/>
      <w:lvlJc w:val="right"/>
      <w:pPr>
        <w:ind w:left="6889" w:hanging="180"/>
      </w:pPr>
    </w:lvl>
  </w:abstractNum>
  <w:abstractNum w:abstractNumId="5">
    <w:nsid w:val="74D0117F"/>
    <w:multiLevelType w:val="multilevel"/>
    <w:tmpl w:val="D7DA609E"/>
    <w:lvl w:ilvl="0">
      <w:start w:val="1"/>
      <w:numFmt w:val="lowerLetter"/>
      <w:pStyle w:val="Listaconvietas3"/>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4"/>
  </w:num>
  <w:num w:numId="2">
    <w:abstractNumId w:val="5"/>
  </w:num>
  <w:num w:numId="3">
    <w:abstractNumId w:val="2"/>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89A"/>
    <w:rsid w:val="00144A4E"/>
    <w:rsid w:val="00180BF3"/>
    <w:rsid w:val="00197EFC"/>
    <w:rsid w:val="001E689A"/>
    <w:rsid w:val="00350F7D"/>
    <w:rsid w:val="004224A0"/>
    <w:rsid w:val="005822D0"/>
    <w:rsid w:val="006D4207"/>
    <w:rsid w:val="00703B93"/>
    <w:rsid w:val="00772A77"/>
    <w:rsid w:val="008561BE"/>
    <w:rsid w:val="00AF2A26"/>
    <w:rsid w:val="00C83C0B"/>
    <w:rsid w:val="00E229CF"/>
    <w:rsid w:val="00E7604C"/>
    <w:rsid w:val="00ED3C2A"/>
    <w:rsid w:val="00F55E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91FC7D-FAB0-45BF-A43F-AB343D60C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746E"/>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rPr>
      <w:lang w:val="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rPr>
  </w:style>
  <w:style w:type="paragraph" w:styleId="Lista2">
    <w:name w:val="List 2"/>
    <w:basedOn w:val="Normal"/>
    <w:uiPriority w:val="99"/>
    <w:unhideWhenUsed/>
    <w:rsid w:val="00603D72"/>
    <w:pPr>
      <w:ind w:left="566" w:hanging="283"/>
      <w:contextualSpacing/>
    </w:pPr>
    <w:rPr>
      <w:lang w:val="es-ES"/>
    </w:rPr>
  </w:style>
  <w:style w:type="paragraph" w:styleId="Lista3">
    <w:name w:val="List 3"/>
    <w:basedOn w:val="Normal"/>
    <w:uiPriority w:val="99"/>
    <w:unhideWhenUsed/>
    <w:rsid w:val="00603D72"/>
    <w:pPr>
      <w:ind w:left="849" w:hanging="283"/>
      <w:contextualSpacing/>
    </w:pPr>
    <w:rPr>
      <w:lang w:val="es-ES"/>
    </w:rPr>
  </w:style>
  <w:style w:type="paragraph" w:styleId="Listaconvietas3">
    <w:name w:val="List Bullet 3"/>
    <w:basedOn w:val="Normal"/>
    <w:uiPriority w:val="99"/>
    <w:unhideWhenUsed/>
    <w:rsid w:val="00603D72"/>
    <w:pPr>
      <w:numPr>
        <w:numId w:val="2"/>
      </w:numPr>
      <w:contextualSpacing/>
    </w:pPr>
    <w:rPr>
      <w:lang w:val="es-ES"/>
    </w:rPr>
  </w:style>
  <w:style w:type="paragraph" w:styleId="Continuarlista">
    <w:name w:val="List Continue"/>
    <w:basedOn w:val="Normal"/>
    <w:uiPriority w:val="99"/>
    <w:unhideWhenUsed/>
    <w:rsid w:val="00603D72"/>
    <w:pPr>
      <w:spacing w:after="120"/>
      <w:ind w:left="283"/>
      <w:contextualSpacing/>
    </w:pPr>
    <w:rPr>
      <w:lang w:val="es-ES"/>
    </w:rPr>
  </w:style>
  <w:style w:type="paragraph" w:styleId="Continuarlista2">
    <w:name w:val="List Continue 2"/>
    <w:basedOn w:val="Normal"/>
    <w:uiPriority w:val="99"/>
    <w:unhideWhenUsed/>
    <w:rsid w:val="00603D72"/>
    <w:pPr>
      <w:spacing w:after="120"/>
      <w:ind w:left="566"/>
      <w:contextualSpacing/>
    </w:pPr>
    <w:rPr>
      <w:lang w:val="es-ES"/>
    </w:rPr>
  </w:style>
  <w:style w:type="paragraph" w:styleId="Textoindependiente">
    <w:name w:val="Body Text"/>
    <w:basedOn w:val="Normal"/>
    <w:link w:val="TextoindependienteCar"/>
    <w:uiPriority w:val="99"/>
    <w:unhideWhenUsed/>
    <w:rsid w:val="00603D72"/>
    <w:pPr>
      <w:spacing w:after="120"/>
    </w:pPr>
    <w:rPr>
      <w:lang w:val="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3">
    <w:name w:val="3"/>
    <w:basedOn w:val="TableNormal1"/>
    <w:rPr>
      <w:sz w:val="22"/>
      <w:szCs w:val="22"/>
    </w:rPr>
    <w:tblPr>
      <w:tblStyleRowBandSize w:val="1"/>
      <w:tblStyleColBandSize w:val="1"/>
      <w:tblCellMar>
        <w:top w:w="0" w:type="dxa"/>
        <w:left w:w="108" w:type="dxa"/>
        <w:bottom w:w="0" w:type="dxa"/>
        <w:right w:w="108"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2">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Tabladelista1clara-nfasis111">
    <w:name w:val="Tabla de lista 1 clara - Énfasis 111"/>
    <w:basedOn w:val="Tablanormal"/>
    <w:uiPriority w:val="46"/>
    <w:rsid w:val="00B979FC"/>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4">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monografias.com/trabajos14/verific-servicios/verific-servicios.shtml" TargetMode="External"/><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RIpW4hTZG9Ti/lBwAEVvqkatBA==">CgMxLjAyCGguZ2pkZ3hzMgloLjMwajB6bGwyCWguMXQzaDVzZjIJaC40ZDM0b2c4MgloLjN6bnlzaDcyCWguMWZvYjl0ZTIJaC4yZXQ5MnAwOAByITFyYmliaWVwZ3RMS1VEQV9lbllDamVmUGtjZ1F6ZDRpRA==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5127F2E-B489-4C64-9616-33845F879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102</Pages>
  <Words>22498</Words>
  <Characters>123740</Characters>
  <Application>Microsoft Office Word</Application>
  <DocSecurity>0</DocSecurity>
  <Lines>1031</Lines>
  <Paragraphs>291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2023-10-04T20:07:00Z</cp:lastPrinted>
  <dcterms:created xsi:type="dcterms:W3CDTF">2023-10-25T19:15:00Z</dcterms:created>
  <dcterms:modified xsi:type="dcterms:W3CDTF">2023-10-25T19:15:00Z</dcterms:modified>
</cp:coreProperties>
</file>