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BF1878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w:t>
      </w:r>
      <w:r w:rsidR="00DF019D">
        <w:rPr>
          <w:rFonts w:eastAsia="Palatino Linotype" w:cs="Palatino Linotype"/>
          <w:color w:val="000000"/>
          <w:szCs w:val="24"/>
        </w:rPr>
        <w:t xml:space="preserve">a </w:t>
      </w:r>
      <w:r w:rsidR="00D7749D">
        <w:rPr>
          <w:rFonts w:eastAsia="Palatino Linotype" w:cs="Palatino Linotype"/>
          <w:color w:val="000000"/>
          <w:szCs w:val="24"/>
        </w:rPr>
        <w:t>primero</w:t>
      </w:r>
      <w:r w:rsidR="00DF019D">
        <w:rPr>
          <w:rFonts w:eastAsia="Palatino Linotype" w:cs="Palatino Linotype"/>
          <w:color w:val="000000"/>
          <w:szCs w:val="24"/>
        </w:rPr>
        <w:t xml:space="preserve"> de febrero</w:t>
      </w:r>
      <w:r w:rsidR="00217D36">
        <w:rPr>
          <w:rFonts w:eastAsia="Palatino Linotype" w:cs="Palatino Linotype"/>
          <w:color w:val="000000"/>
          <w:szCs w:val="24"/>
        </w:rPr>
        <w:t xml:space="preserve"> de dos mil veintitrés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C30009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DF019D">
        <w:rPr>
          <w:rFonts w:eastAsia="Palatino Linotype" w:cs="Palatino Linotype"/>
          <w:b/>
          <w:color w:val="000000"/>
          <w:szCs w:val="24"/>
        </w:rPr>
        <w:t>17425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DF019D">
        <w:rPr>
          <w:rFonts w:eastAsia="Palatino Linotype" w:cs="Palatino Linotype"/>
          <w:color w:val="000000"/>
          <w:szCs w:val="24"/>
        </w:rPr>
        <w:t xml:space="preserve">r </w:t>
      </w:r>
      <w:proofErr w:type="spellStart"/>
      <w:r w:rsidR="00B14367">
        <w:rPr>
          <w:rFonts w:eastAsia="Palatino Linotype" w:cs="Palatino Linotype"/>
          <w:b/>
          <w:color w:val="000000"/>
          <w:szCs w:val="24"/>
        </w:rPr>
        <w:t>xxxxxxxxxxxxxxxxxxx</w:t>
      </w:r>
      <w:proofErr w:type="spellEnd"/>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w:t>
      </w:r>
      <w:r w:rsidR="00DF019D">
        <w:rPr>
          <w:rFonts w:eastAsia="Palatino Linotype" w:cs="Palatino Linotype"/>
          <w:color w:val="000000"/>
          <w:szCs w:val="24"/>
        </w:rPr>
        <w:t>el</w:t>
      </w:r>
      <w:r w:rsidRPr="006922F5">
        <w:rPr>
          <w:rFonts w:eastAsia="Palatino Linotype" w:cs="Palatino Linotype"/>
          <w:color w:val="000000"/>
          <w:szCs w:val="24"/>
        </w:rPr>
        <w:t xml:space="preserve"> </w:t>
      </w:r>
      <w:r w:rsidR="00DF019D">
        <w:rPr>
          <w:rFonts w:eastAsia="Palatino Linotype" w:cs="Palatino Linotype"/>
          <w:b/>
          <w:color w:val="000000"/>
          <w:szCs w:val="24"/>
        </w:rPr>
        <w:t>Ayuntamiento de Nezahualcóyotl</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3110748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DF019D">
        <w:rPr>
          <w:rFonts w:eastAsia="Palatino Linotype" w:cs="Palatino Linotype"/>
          <w:color w:val="000000"/>
          <w:szCs w:val="24"/>
        </w:rPr>
        <w:t>veintidós de noviembre</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w:t>
      </w:r>
      <w:r w:rsidR="00DF019D">
        <w:rPr>
          <w:rFonts w:eastAsia="Palatino Linotype" w:cs="Palatino Linotype"/>
          <w:color w:val="000000"/>
          <w:szCs w:val="24"/>
        </w:rPr>
        <w:t xml:space="preserve">la Plataforma Nacional de Transparencia la solicitud de información que fue registrada en </w:t>
      </w:r>
      <w:r w:rsidR="00A970D5" w:rsidRPr="006922F5">
        <w:rPr>
          <w:rFonts w:eastAsia="Palatino Linotype" w:cs="Palatino Linotype"/>
          <w:color w:val="000000"/>
          <w:szCs w:val="24"/>
        </w:rPr>
        <w:t xml:space="preserve">el Sistema de Acceso a la </w:t>
      </w:r>
      <w:r w:rsidR="00DF019D">
        <w:rPr>
          <w:rFonts w:eastAsia="Palatino Linotype" w:cs="Palatino Linotype"/>
          <w:color w:val="000000"/>
          <w:szCs w:val="24"/>
        </w:rPr>
        <w:t>Información Mexiquense (SAIMEX)</w:t>
      </w:r>
      <w:r w:rsidR="00A970D5" w:rsidRPr="006922F5">
        <w:rPr>
          <w:rFonts w:eastAsia="Palatino Linotype" w:cs="Palatino Linotype"/>
          <w:color w:val="000000"/>
          <w:szCs w:val="24"/>
        </w:rPr>
        <w:t xml:space="preserve"> con el número de expediente</w:t>
      </w:r>
      <w:r w:rsidR="00A970D5" w:rsidRPr="006922F5">
        <w:rPr>
          <w:rFonts w:eastAsia="Palatino Linotype" w:cs="Palatino Linotype"/>
          <w:b/>
          <w:color w:val="000000"/>
          <w:szCs w:val="24"/>
        </w:rPr>
        <w:t xml:space="preserve"> </w:t>
      </w:r>
      <w:r w:rsidR="00DF019D" w:rsidRPr="00DF019D">
        <w:rPr>
          <w:rFonts w:eastAsia="Palatino Linotype" w:cs="Palatino Linotype"/>
          <w:b/>
          <w:bCs/>
          <w:color w:val="000000"/>
          <w:szCs w:val="24"/>
        </w:rPr>
        <w:t>00625/NEZA/IP/2022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44A61F86" w:rsidR="00A970D5" w:rsidRPr="006922F5" w:rsidRDefault="00A970D5" w:rsidP="006922F5">
      <w:pPr>
        <w:pStyle w:val="Fundamentos"/>
      </w:pPr>
      <w:r w:rsidRPr="006922F5">
        <w:t>“</w:t>
      </w:r>
      <w:r w:rsidR="00DF019D" w:rsidRPr="00DF019D">
        <w:t xml:space="preserve">Ya que al realizar la búsqueda en la página de internet del ayuntamiento, aparece lo siguiente: Extraviado La URL solicitada no se encontró en este </w:t>
      </w:r>
      <w:proofErr w:type="spellStart"/>
      <w:r w:rsidR="00DF019D" w:rsidRPr="00DF019D">
        <w:t>servidor.Además</w:t>
      </w:r>
      <w:proofErr w:type="spellEnd"/>
      <w:r w:rsidR="00DF019D" w:rsidRPr="00DF019D">
        <w:t xml:space="preserve">, se encontró un error 404 No encontrado al intentar usar un </w:t>
      </w:r>
      <w:proofErr w:type="spellStart"/>
      <w:r w:rsidR="00DF019D" w:rsidRPr="00DF019D">
        <w:t>ErrorDocument</w:t>
      </w:r>
      <w:proofErr w:type="spellEnd"/>
      <w:r w:rsidR="00DF019D" w:rsidRPr="00DF019D">
        <w:t xml:space="preserve"> para manejar la solicitud. Solicito que la Dirección de Cultura proporcione información de requisitos, trámites y formatos que deban llenarse para solicitar lo siguiente: 1.- PRESTAMO DE BANDA SINFONICA 2.- PRESTAMO DE ESPACIOS 3.- TALLERES CULTURALES 4.- EVENTOS CULTURALES PARA LA COMUNIDAD DE NEZAHUALCOYOTL 5.- GESTION DE ELENCOS ARTISITICOS DE LA DIRECCION DE CULTURA DE NEZAHUALCOYOTL 6.- VISITAS GUIADAS EN LOS ESPACIOS ADSCRITOS A LA DIRECCION DE CULTURA</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639B3F6D"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011049">
        <w:rPr>
          <w:rFonts w:eastAsia="Palatino Linotype" w:cs="Palatino Linotype"/>
          <w:b/>
          <w:color w:val="000000"/>
          <w:szCs w:val="24"/>
        </w:rPr>
        <w:t>correo electrónico</w:t>
      </w:r>
    </w:p>
    <w:p w14:paraId="474DB373" w14:textId="77777777" w:rsidR="00430C63" w:rsidRPr="00EE306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2452A73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DF019D">
        <w:rPr>
          <w:rFonts w:eastAsia="Palatino Linotype" w:cs="Palatino Linotype"/>
          <w:color w:val="000000"/>
          <w:szCs w:val="24"/>
        </w:rPr>
        <w:t>siete de diciembre</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51F812B" w14:textId="77777777" w:rsidR="00DF019D" w:rsidRDefault="00A970D5" w:rsidP="00DF019D">
      <w:pPr>
        <w:pStyle w:val="Fundamentos"/>
      </w:pPr>
      <w:r w:rsidRPr="0037112D">
        <w:t>“</w:t>
      </w:r>
      <w:r w:rsidR="00DF019D">
        <w:t>En respuesta a la solicitud recibida, nos permitimos hacer de su conocimiento que con fundamento en el artículo 53, Fracciones: II, V y VI de la Ley de Transparencia y Acceso a la Información Pública del Estado de México y Municipios, le contestamos que:</w:t>
      </w:r>
    </w:p>
    <w:p w14:paraId="71202AEA" w14:textId="77777777" w:rsidR="00DF019D" w:rsidRDefault="00DF019D" w:rsidP="00DF019D">
      <w:pPr>
        <w:pStyle w:val="Fundamentos"/>
      </w:pPr>
    </w:p>
    <w:p w14:paraId="14AB2EE8" w14:textId="77777777" w:rsidR="00DF019D" w:rsidRDefault="00DF019D" w:rsidP="00DF019D">
      <w:pPr>
        <w:pStyle w:val="Fundamentos"/>
      </w:pPr>
      <w:r>
        <w:t>En atención a la solicitud de información pública, identificada con número de folio: 00625/NEZA/IP/2022, me permito remitir a usted la respuesta generada por el Servidor Público Habilitado de la Dirección de Cultura, mediante oficio DC/1122/2022, con documento adjunto denominado “Registro Municipal de Trámites y Servicios Cédula de Información”</w:t>
      </w:r>
      <w:proofErr w:type="gramStart"/>
      <w:r>
        <w:t>, ”</w:t>
      </w:r>
      <w:proofErr w:type="gramEnd"/>
      <w:r>
        <w:t>, mismos que se anexan a la presente en archivo digital, bajo su más estricta responsabilidad.</w:t>
      </w:r>
    </w:p>
    <w:p w14:paraId="72062757" w14:textId="77777777" w:rsidR="00DF019D" w:rsidRDefault="00DF019D" w:rsidP="00DF019D">
      <w:pPr>
        <w:pStyle w:val="Fundamentos"/>
      </w:pPr>
    </w:p>
    <w:p w14:paraId="06333D6C" w14:textId="77777777" w:rsidR="00DF019D" w:rsidRDefault="00DF019D" w:rsidP="00DF019D">
      <w:pPr>
        <w:pStyle w:val="Fundamentos"/>
      </w:pPr>
      <w:r>
        <w:t>ATENTAMENTE</w:t>
      </w:r>
    </w:p>
    <w:p w14:paraId="3FE4A9EF" w14:textId="76C8021E" w:rsidR="00A970D5" w:rsidRPr="00404754" w:rsidRDefault="00DF019D" w:rsidP="00DF019D">
      <w:pPr>
        <w:pStyle w:val="Fundamentos"/>
        <w:rPr>
          <w:lang w:val="es-MX"/>
        </w:rPr>
      </w:pPr>
      <w:r>
        <w:t>C. MARIA GUADALUPE PÉREZ HERNÁNDEZ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4401CC9"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165CA1">
        <w:rPr>
          <w:rFonts w:eastAsia="Palatino Linotype" w:cs="Palatino Linotype"/>
          <w:color w:val="000000"/>
          <w:szCs w:val="24"/>
        </w:rPr>
        <w:t>adjuntó a su respuesta el documento denominado</w:t>
      </w:r>
      <w:r>
        <w:rPr>
          <w:rFonts w:eastAsia="Palatino Linotype" w:cs="Palatino Linotype"/>
          <w:color w:val="000000"/>
          <w:szCs w:val="24"/>
        </w:rPr>
        <w:t xml:space="preserve"> </w:t>
      </w:r>
      <w:r>
        <w:rPr>
          <w:rFonts w:eastAsia="Palatino Linotype" w:cs="Palatino Linotype"/>
          <w:b/>
          <w:bCs/>
          <w:color w:val="000000"/>
          <w:szCs w:val="24"/>
        </w:rPr>
        <w:t>“</w:t>
      </w:r>
      <w:r w:rsidR="00DF019D">
        <w:rPr>
          <w:rFonts w:eastAsia="Palatino Linotype" w:cs="Palatino Linotype"/>
          <w:b/>
          <w:bCs/>
          <w:color w:val="000000"/>
          <w:szCs w:val="24"/>
        </w:rPr>
        <w:t>625-22</w:t>
      </w:r>
      <w:r>
        <w:rPr>
          <w:rFonts w:eastAsia="Palatino Linotype" w:cs="Palatino Linotype"/>
          <w:b/>
          <w:bCs/>
          <w:color w:val="000000"/>
          <w:szCs w:val="24"/>
        </w:rPr>
        <w:t>.pdf”</w:t>
      </w:r>
      <w:r>
        <w:rPr>
          <w:rFonts w:eastAsia="Palatino Linotype" w:cs="Palatino Linotype"/>
          <w:color w:val="000000"/>
          <w:szCs w:val="24"/>
        </w:rPr>
        <w:t xml:space="preserve">, </w:t>
      </w:r>
      <w:r w:rsidR="00165CA1">
        <w:rPr>
          <w:rFonts w:eastAsia="Palatino Linotype" w:cs="Palatino Linotype"/>
          <w:color w:val="000000"/>
          <w:szCs w:val="24"/>
        </w:rPr>
        <w:t>el cual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B75D54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DF019D">
        <w:rPr>
          <w:rFonts w:eastAsia="Palatino Linotype" w:cs="Palatino Linotype"/>
          <w:color w:val="000000"/>
          <w:szCs w:val="24"/>
        </w:rPr>
        <w:t xml:space="preserve">dieciséis de diciembre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w:t>
      </w:r>
      <w:r w:rsidRPr="006922F5">
        <w:rPr>
          <w:rFonts w:eastAsia="Palatino Linotype" w:cs="Palatino Linotype"/>
          <w:color w:val="000000"/>
          <w:szCs w:val="24"/>
        </w:rPr>
        <w:lastRenderedPageBreak/>
        <w:t xml:space="preserve">registró con el expediente número </w:t>
      </w:r>
      <w:r w:rsidR="00DF019D">
        <w:rPr>
          <w:rFonts w:eastAsia="Palatino Linotype" w:cs="Palatino Linotype"/>
          <w:b/>
          <w:color w:val="000000"/>
          <w:szCs w:val="24"/>
        </w:rPr>
        <w:t>1742</w:t>
      </w:r>
      <w:r w:rsidR="00EB47A3">
        <w:rPr>
          <w:rFonts w:eastAsia="Palatino Linotype" w:cs="Palatino Linotype"/>
          <w:b/>
          <w:color w:val="000000"/>
          <w:szCs w:val="24"/>
        </w:rPr>
        <w:t>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09A3842" w:rsidR="00A970D5" w:rsidRPr="006922F5" w:rsidRDefault="00A970D5" w:rsidP="006922F5">
      <w:pPr>
        <w:pStyle w:val="Fundamentos"/>
        <w:rPr>
          <w:b/>
        </w:rPr>
      </w:pPr>
      <w:r w:rsidRPr="006922F5">
        <w:t>“</w:t>
      </w:r>
      <w:r w:rsidR="00DF019D" w:rsidRPr="00DF019D">
        <w:t>Solicite que me enviaran la información a mi correo electrónico y no lo hicieron y tampoco justificaron el cambio de modalidad de entrega de la información</w:t>
      </w:r>
      <w:r w:rsidRPr="006922F5">
        <w:t>"(Sic)</w:t>
      </w:r>
    </w:p>
    <w:p w14:paraId="3C40A441" w14:textId="77777777" w:rsidR="00A970D5" w:rsidRDefault="00A970D5" w:rsidP="006922F5">
      <w:pPr>
        <w:contextualSpacing/>
        <w:rPr>
          <w:rFonts w:eastAsia="Palatino Linotype" w:cs="Palatino Linotype"/>
          <w:iCs/>
          <w:szCs w:val="24"/>
        </w:rPr>
      </w:pPr>
    </w:p>
    <w:p w14:paraId="2DAC342E" w14:textId="25AD1C41" w:rsidR="00A970D5" w:rsidRPr="006922F5" w:rsidRDefault="00DF019D" w:rsidP="00DF019D">
      <w:pPr>
        <w:contextualSpacing/>
      </w:pPr>
      <w:r>
        <w:rPr>
          <w:rFonts w:eastAsia="Palatino Linotype" w:cs="Palatino Linotype"/>
          <w:iCs/>
          <w:szCs w:val="24"/>
        </w:rPr>
        <w:t xml:space="preserve">Cabe resaltar que el Recurrente no manifestó nada en el campo de </w:t>
      </w:r>
      <w:r w:rsidR="00A970D5" w:rsidRPr="006922F5">
        <w:rPr>
          <w:rFonts w:eastAsia="Palatino Linotype" w:cs="Palatino Linotype"/>
          <w:b/>
        </w:rPr>
        <w:t>Razones o Motivos de Inconformidad</w:t>
      </w:r>
      <w:r>
        <w:rPr>
          <w:rFonts w:eastAsia="Palatino Linotype" w:cs="Palatino Linotype"/>
        </w:rPr>
        <w:t>.</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506643A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DF019D">
        <w:rPr>
          <w:rFonts w:eastAsia="Palatino Linotype" w:cs="Palatino Linotype"/>
          <w:color w:val="000000"/>
          <w:szCs w:val="24"/>
        </w:rPr>
        <w:t>veintiuno de diciembre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134297B7" w14:textId="4E21E1F5" w:rsidR="00EB47A3" w:rsidRPr="006F65AC" w:rsidRDefault="00A942FA" w:rsidP="00EB47A3">
      <w:pPr>
        <w:pBdr>
          <w:top w:val="nil"/>
          <w:left w:val="nil"/>
          <w:bottom w:val="nil"/>
          <w:right w:val="nil"/>
          <w:between w:val="nil"/>
        </w:pBdr>
        <w:contextualSpacing/>
        <w:rPr>
          <w:rFonts w:eastAsia="Palatino Linotype" w:cs="Palatino Linotype"/>
          <w:color w:val="000000"/>
          <w:szCs w:val="24"/>
        </w:rPr>
      </w:pPr>
      <w:r w:rsidRPr="00A942FA">
        <w:rPr>
          <w:rFonts w:eastAsia="Palatino Linotype" w:cs="Palatino Linotype"/>
          <w:color w:val="000000"/>
          <w:szCs w:val="24"/>
        </w:rPr>
        <w:t>Una vez abierta la etapa de instrucción, se obs</w:t>
      </w:r>
      <w:r w:rsidR="00DF019D">
        <w:rPr>
          <w:rFonts w:eastAsia="Palatino Linotype" w:cs="Palatino Linotype"/>
          <w:color w:val="000000"/>
          <w:szCs w:val="24"/>
        </w:rPr>
        <w:t>erva que en fecha veintisiete de diciembre</w:t>
      </w:r>
      <w:r w:rsidRPr="00A942FA">
        <w:rPr>
          <w:rFonts w:eastAsia="Palatino Linotype" w:cs="Palatino Linotype"/>
          <w:color w:val="000000"/>
          <w:szCs w:val="24"/>
        </w:rPr>
        <w:t xml:space="preserve"> de dos mil veintidós, el Sujeto Obligado rindió su Informe Justificado, consistente en el documento denominado </w:t>
      </w:r>
      <w:r w:rsidR="00DF019D">
        <w:rPr>
          <w:rFonts w:eastAsia="Palatino Linotype" w:cs="Palatino Linotype"/>
          <w:b/>
          <w:color w:val="000000"/>
          <w:szCs w:val="24"/>
        </w:rPr>
        <w:t>“MANIFESTACIONES-625-22</w:t>
      </w:r>
      <w:r w:rsidRPr="00A942FA">
        <w:rPr>
          <w:rFonts w:eastAsia="Palatino Linotype" w:cs="Palatino Linotype"/>
          <w:b/>
          <w:color w:val="000000"/>
          <w:szCs w:val="24"/>
        </w:rPr>
        <w:t>.pdf”</w:t>
      </w:r>
      <w:r w:rsidRPr="00A942FA">
        <w:rPr>
          <w:rFonts w:eastAsia="Palatino Linotype" w:cs="Palatino Linotype"/>
          <w:color w:val="000000"/>
          <w:szCs w:val="24"/>
        </w:rPr>
        <w:t>. Dicho documen</w:t>
      </w:r>
      <w:r>
        <w:rPr>
          <w:rFonts w:eastAsia="Palatino Linotype" w:cs="Palatino Linotype"/>
          <w:color w:val="000000"/>
          <w:szCs w:val="24"/>
        </w:rPr>
        <w:t>to fue puesto 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acuerd</w:t>
      </w:r>
      <w:r w:rsidR="00DF019D">
        <w:rPr>
          <w:rFonts w:eastAsia="Palatino Linotype" w:cs="Palatino Linotype"/>
          <w:color w:val="000000"/>
          <w:szCs w:val="24"/>
        </w:rPr>
        <w:t>o de fecha diecisiete</w:t>
      </w:r>
      <w:r w:rsidRPr="00A942FA">
        <w:rPr>
          <w:rFonts w:eastAsia="Palatino Linotype" w:cs="Palatino Linotype"/>
          <w:color w:val="000000"/>
          <w:szCs w:val="24"/>
        </w:rPr>
        <w:t xml:space="preserve"> </w:t>
      </w:r>
      <w:r w:rsidR="00DF019D">
        <w:rPr>
          <w:rFonts w:eastAsia="Palatino Linotype" w:cs="Palatino Linotype"/>
          <w:color w:val="000000"/>
          <w:szCs w:val="24"/>
        </w:rPr>
        <w:t xml:space="preserve">de enero </w:t>
      </w:r>
      <w:r w:rsidRPr="00A942FA">
        <w:rPr>
          <w:rFonts w:eastAsia="Palatino Linotype" w:cs="Palatino Linotype"/>
          <w:color w:val="000000"/>
          <w:szCs w:val="24"/>
        </w:rPr>
        <w:t xml:space="preserve">del año en curso, en términos de la fracción III del artículo 185 de la Ley de Transparencia y Acceso </w:t>
      </w:r>
      <w:r w:rsidRPr="00A942FA">
        <w:rPr>
          <w:rFonts w:eastAsia="Palatino Linotype" w:cs="Palatino Linotype"/>
          <w:color w:val="000000"/>
          <w:szCs w:val="24"/>
        </w:rPr>
        <w:lastRenderedPageBreak/>
        <w:t>a la Información Pública del Estado de México y Municipios, otorgando a la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6922F5" w:rsidRDefault="00E27953" w:rsidP="006922F5">
      <w:pPr>
        <w:pStyle w:val="Ttulo2"/>
        <w:rPr>
          <w:rFonts w:eastAsia="Palatino Linotype"/>
        </w:rPr>
      </w:pPr>
      <w:r w:rsidRPr="006922F5">
        <w:rPr>
          <w:rFonts w:eastAsia="Palatino Linotype"/>
        </w:rPr>
        <w:t>S</w:t>
      </w:r>
      <w:r w:rsidR="007B3F26">
        <w:rPr>
          <w:rFonts w:eastAsia="Palatino Linotype"/>
        </w:rPr>
        <w:t>EXTO</w:t>
      </w:r>
      <w:r w:rsidR="00A970D5" w:rsidRPr="006922F5">
        <w:rPr>
          <w:rFonts w:eastAsia="Palatino Linotype"/>
        </w:rPr>
        <w:t>. Del cierre de instrucción.</w:t>
      </w:r>
    </w:p>
    <w:p w14:paraId="2456F4BD" w14:textId="0899E17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DF019D">
        <w:rPr>
          <w:rFonts w:eastAsia="Palatino Linotype" w:cs="Palatino Linotype"/>
          <w:color w:val="000000"/>
          <w:szCs w:val="24"/>
        </w:rPr>
        <w:t>veintisiete de enero 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6922F5">
        <w:rPr>
          <w:rFonts w:eastAsia="Palatino Linotype" w:cs="Palatino Linotype"/>
          <w:color w:val="000000"/>
          <w:szCs w:val="24"/>
        </w:rPr>
        <w:lastRenderedPageBreak/>
        <w:t>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640056" w:rsidRDefault="00565C1E" w:rsidP="00565C1E">
      <w:pPr>
        <w:pStyle w:val="Ttulo2"/>
        <w:rPr>
          <w:rFonts w:eastAsia="Palatino Linotype"/>
        </w:rPr>
      </w:pPr>
      <w:r w:rsidRPr="00640056">
        <w:rPr>
          <w:rFonts w:eastAsia="Palatino Linotype"/>
        </w:rPr>
        <w:t>TERCERO. Cuestiones de previo y especial pronunciamiento.</w:t>
      </w:r>
    </w:p>
    <w:p w14:paraId="5C22B554"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640056" w:rsidRDefault="00565C1E" w:rsidP="00565C1E">
      <w:pPr>
        <w:contextualSpacing/>
        <w:rPr>
          <w:rFonts w:eastAsia="Palatino Linotype" w:cs="Palatino Linotype"/>
          <w:szCs w:val="24"/>
        </w:rPr>
      </w:pPr>
    </w:p>
    <w:p w14:paraId="3D09F406" w14:textId="77777777" w:rsidR="00565C1E" w:rsidRPr="00640056" w:rsidRDefault="00565C1E" w:rsidP="00565C1E">
      <w:pPr>
        <w:pStyle w:val="Fundamentos"/>
      </w:pPr>
      <w:r w:rsidRPr="00640056">
        <w:rPr>
          <w:b/>
        </w:rPr>
        <w:t xml:space="preserve">Artículo 180. </w:t>
      </w:r>
      <w:r w:rsidRPr="00640056">
        <w:t>El recurso de revisión contendrá:</w:t>
      </w:r>
    </w:p>
    <w:p w14:paraId="41E354BC" w14:textId="77777777" w:rsidR="00565C1E" w:rsidRPr="00640056" w:rsidRDefault="00565C1E" w:rsidP="00565C1E">
      <w:pPr>
        <w:pStyle w:val="Fundamentos"/>
      </w:pPr>
      <w:r w:rsidRPr="00640056">
        <w:t>I. El sujeto obligado ante la cual se presentó la solicitud;</w:t>
      </w:r>
    </w:p>
    <w:p w14:paraId="49367FDF" w14:textId="77777777" w:rsidR="00565C1E" w:rsidRPr="00640056" w:rsidRDefault="00565C1E" w:rsidP="00565C1E">
      <w:pPr>
        <w:pStyle w:val="Fundamentos"/>
      </w:pPr>
      <w:r w:rsidRPr="00640056">
        <w:rPr>
          <w:b/>
        </w:rPr>
        <w:t>II. El nombre del solicitante que recurre</w:t>
      </w:r>
      <w:r w:rsidRPr="00640056">
        <w:t xml:space="preserve"> o de su representante y, en su caso, del tercero interesado, así como la dirección o medio que señale para recibir notificaciones;</w:t>
      </w:r>
    </w:p>
    <w:p w14:paraId="4AD4641B" w14:textId="77777777" w:rsidR="00565C1E" w:rsidRPr="00640056" w:rsidRDefault="00565C1E" w:rsidP="00565C1E">
      <w:pPr>
        <w:pStyle w:val="Fundamentos"/>
      </w:pPr>
      <w:r w:rsidRPr="00640056">
        <w:t>III. El número de folio de respuesta de la solicitud de acceso;</w:t>
      </w:r>
    </w:p>
    <w:p w14:paraId="51112E55" w14:textId="77777777" w:rsidR="00565C1E" w:rsidRPr="00640056" w:rsidRDefault="00565C1E" w:rsidP="00565C1E">
      <w:pPr>
        <w:pStyle w:val="Fundamentos"/>
      </w:pPr>
      <w:r w:rsidRPr="00640056">
        <w:t>IV. La fecha en que fue notificada la respuesta al solicitante o tuvo conocimiento del acto reclamado, o de presentación de la solicitud, en caso de falta de respuesta;</w:t>
      </w:r>
    </w:p>
    <w:p w14:paraId="1B2B5A82" w14:textId="77777777" w:rsidR="00565C1E" w:rsidRPr="00640056" w:rsidRDefault="00565C1E" w:rsidP="00565C1E">
      <w:pPr>
        <w:pStyle w:val="Fundamentos"/>
      </w:pPr>
      <w:r w:rsidRPr="00640056">
        <w:t>V. El acto que se recurre;</w:t>
      </w:r>
    </w:p>
    <w:p w14:paraId="693BE8B8" w14:textId="77777777" w:rsidR="00565C1E" w:rsidRPr="00640056" w:rsidRDefault="00565C1E" w:rsidP="00565C1E">
      <w:pPr>
        <w:pStyle w:val="Fundamentos"/>
      </w:pPr>
      <w:r w:rsidRPr="00640056">
        <w:t>VI. Las razones o motivos de inconformidad;</w:t>
      </w:r>
    </w:p>
    <w:p w14:paraId="3A5BBD3A" w14:textId="77777777" w:rsidR="00565C1E" w:rsidRPr="00640056" w:rsidRDefault="00565C1E" w:rsidP="00565C1E">
      <w:pPr>
        <w:pStyle w:val="Fundamentos"/>
      </w:pPr>
      <w:r w:rsidRPr="00640056">
        <w:lastRenderedPageBreak/>
        <w:t>VII. La copia de la respuesta que se impugna y, en su caso, de la notificación correspondiente, en el caso de respuesta de la solicitud; y</w:t>
      </w:r>
    </w:p>
    <w:p w14:paraId="6C772080" w14:textId="77777777" w:rsidR="00565C1E" w:rsidRPr="00640056" w:rsidRDefault="00565C1E" w:rsidP="00565C1E">
      <w:pPr>
        <w:pStyle w:val="Fundamentos"/>
      </w:pPr>
      <w:r w:rsidRPr="00640056">
        <w:t>VIII. Firma del recurrente, en su caso, cuando se presente por escrito, requisito sin el cual se dará trámite al recurso.</w:t>
      </w:r>
    </w:p>
    <w:p w14:paraId="3126C4D0" w14:textId="77777777" w:rsidR="00565C1E" w:rsidRPr="00640056" w:rsidRDefault="00565C1E" w:rsidP="00565C1E">
      <w:pPr>
        <w:pStyle w:val="Fundamentos"/>
      </w:pPr>
    </w:p>
    <w:p w14:paraId="37593236" w14:textId="77777777" w:rsidR="00565C1E" w:rsidRPr="00640056" w:rsidRDefault="00565C1E" w:rsidP="00565C1E">
      <w:pPr>
        <w:pStyle w:val="Fundamentos"/>
      </w:pPr>
      <w:r w:rsidRPr="00640056">
        <w:t>Adicionalmente, se podrán anexar las pruebas y demás elementos que considere procedentes someter a juicio del Instituto.</w:t>
      </w:r>
    </w:p>
    <w:p w14:paraId="73E80281" w14:textId="77777777" w:rsidR="00565C1E" w:rsidRPr="00640056" w:rsidRDefault="00565C1E" w:rsidP="00565C1E">
      <w:pPr>
        <w:pStyle w:val="Fundamentos"/>
      </w:pPr>
    </w:p>
    <w:p w14:paraId="26B4F43E" w14:textId="77777777" w:rsidR="00565C1E" w:rsidRPr="00640056" w:rsidRDefault="00565C1E" w:rsidP="00565C1E">
      <w:pPr>
        <w:pStyle w:val="Fundamentos"/>
      </w:pPr>
      <w:r w:rsidRPr="00640056">
        <w:t>En ningún caso será necesario que el particular ratifique el recurso de revisión interpuesto.</w:t>
      </w:r>
    </w:p>
    <w:p w14:paraId="070ABF3A" w14:textId="77777777" w:rsidR="00565C1E" w:rsidRPr="00640056" w:rsidRDefault="00565C1E" w:rsidP="00565C1E">
      <w:pPr>
        <w:pStyle w:val="Fundamentos"/>
      </w:pPr>
    </w:p>
    <w:p w14:paraId="4256B93C" w14:textId="77777777" w:rsidR="00565C1E" w:rsidRPr="00640056" w:rsidRDefault="00565C1E" w:rsidP="00565C1E">
      <w:pPr>
        <w:pStyle w:val="Fundamentos"/>
      </w:pPr>
      <w:r w:rsidRPr="00640056">
        <w:rPr>
          <w:b/>
        </w:rPr>
        <w:t>En caso de que el recurso se interponga de manera electrónica no será indispensable que contengan los requisitos establecidos en las fracciones II</w:t>
      </w:r>
      <w:r w:rsidRPr="00640056">
        <w:t>, IV, VII y VIII.</w:t>
      </w:r>
    </w:p>
    <w:p w14:paraId="140D103C" w14:textId="77777777" w:rsidR="00565C1E" w:rsidRPr="00640056" w:rsidRDefault="00565C1E" w:rsidP="00565C1E">
      <w:pPr>
        <w:contextualSpacing/>
        <w:rPr>
          <w:rFonts w:eastAsia="Palatino Linotype" w:cs="Palatino Linotype"/>
          <w:b/>
          <w:i/>
          <w:szCs w:val="24"/>
        </w:rPr>
      </w:pPr>
    </w:p>
    <w:p w14:paraId="543494AE" w14:textId="41AAFD0B" w:rsidR="00565C1E" w:rsidRPr="00640056" w:rsidRDefault="00565C1E" w:rsidP="00565C1E">
      <w:pPr>
        <w:contextualSpacing/>
        <w:rPr>
          <w:rFonts w:eastAsia="Palatino Linotype" w:cs="Palatino Linotype"/>
          <w:szCs w:val="24"/>
        </w:rPr>
      </w:pPr>
      <w:r w:rsidRPr="00640056">
        <w:rPr>
          <w:rFonts w:eastAsia="Palatino Linotype" w:cs="Palatino Linotype"/>
          <w:szCs w:val="24"/>
        </w:rPr>
        <w:t xml:space="preserve">Cabe señalar que </w:t>
      </w:r>
      <w:r>
        <w:rPr>
          <w:rFonts w:eastAsia="Palatino Linotype" w:cs="Palatino Linotype"/>
          <w:szCs w:val="24"/>
        </w:rPr>
        <w:t>el</w:t>
      </w:r>
      <w:r w:rsidRPr="00640056">
        <w:rPr>
          <w:rFonts w:eastAsia="Palatino Linotype" w:cs="Palatino Linotype"/>
          <w:szCs w:val="24"/>
        </w:rPr>
        <w:t xml:space="preserve"> hoy Recurrente</w:t>
      </w:r>
      <w:r w:rsidR="00DF019D">
        <w:rPr>
          <w:rFonts w:eastAsia="Palatino Linotype" w:cs="Palatino Linotype"/>
          <w:szCs w:val="24"/>
        </w:rPr>
        <w:t xml:space="preserve"> se identificó como </w:t>
      </w:r>
      <w:r w:rsidR="00DF019D" w:rsidRPr="00011049">
        <w:rPr>
          <w:rFonts w:eastAsia="Palatino Linotype" w:cs="Palatino Linotype"/>
          <w:b/>
          <w:szCs w:val="24"/>
        </w:rPr>
        <w:t>“</w:t>
      </w:r>
      <w:proofErr w:type="spellStart"/>
      <w:r w:rsidR="00B14367">
        <w:rPr>
          <w:rFonts w:eastAsia="Palatino Linotype" w:cs="Palatino Linotype"/>
          <w:b/>
          <w:szCs w:val="24"/>
        </w:rPr>
        <w:t>xxxxxx</w:t>
      </w:r>
      <w:proofErr w:type="spellEnd"/>
      <w:r w:rsidR="00DF019D" w:rsidRPr="00011049">
        <w:rPr>
          <w:rFonts w:eastAsia="Palatino Linotype" w:cs="Palatino Linotype"/>
          <w:b/>
          <w:szCs w:val="24"/>
        </w:rPr>
        <w:t xml:space="preserve">” </w:t>
      </w:r>
      <w:r w:rsidR="00DF019D" w:rsidRPr="00011049">
        <w:rPr>
          <w:rFonts w:eastAsia="Palatino Linotype" w:cs="Palatino Linotype"/>
          <w:szCs w:val="24"/>
        </w:rPr>
        <w:t>y/o</w:t>
      </w:r>
      <w:r w:rsidR="00DF019D" w:rsidRPr="00011049">
        <w:rPr>
          <w:rFonts w:eastAsia="Palatino Linotype" w:cs="Palatino Linotype"/>
          <w:b/>
          <w:szCs w:val="24"/>
        </w:rPr>
        <w:t xml:space="preserve"> “</w:t>
      </w:r>
      <w:r w:rsidR="00B14367">
        <w:rPr>
          <w:rFonts w:eastAsia="Palatino Linotype" w:cs="Palatino Linotype"/>
          <w:b/>
          <w:szCs w:val="24"/>
        </w:rPr>
        <w:t>xxxxxxxxx</w:t>
      </w:r>
      <w:bookmarkStart w:id="0" w:name="_GoBack"/>
      <w:bookmarkEnd w:id="0"/>
      <w:r w:rsidR="00DF019D" w:rsidRPr="00011049">
        <w:rPr>
          <w:rFonts w:eastAsia="Palatino Linotype" w:cs="Palatino Linotype"/>
          <w:b/>
          <w:szCs w:val="24"/>
        </w:rPr>
        <w:t>”</w:t>
      </w:r>
      <w:r w:rsidRPr="00640056">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640056" w:rsidRDefault="00565C1E" w:rsidP="00565C1E">
      <w:pPr>
        <w:contextualSpacing/>
        <w:rPr>
          <w:rFonts w:eastAsia="Palatino Linotype" w:cs="Palatino Linotype"/>
          <w:szCs w:val="24"/>
        </w:rPr>
      </w:pPr>
    </w:p>
    <w:p w14:paraId="18F5DC8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155.</w:t>
      </w:r>
      <w:r w:rsidRPr="00640056">
        <w:rPr>
          <w:rFonts w:eastAsia="Palatino Linotype" w:cs="Palatino Linotype"/>
          <w:i/>
          <w:sz w:val="22"/>
        </w:rPr>
        <w:t xml:space="preserve"> (…)</w:t>
      </w:r>
    </w:p>
    <w:p w14:paraId="2B19967D" w14:textId="77777777" w:rsidR="00565C1E" w:rsidRPr="00640056" w:rsidRDefault="00565C1E" w:rsidP="00565C1E">
      <w:pPr>
        <w:spacing w:line="240" w:lineRule="auto"/>
        <w:ind w:left="567" w:right="567"/>
        <w:contextualSpacing/>
        <w:rPr>
          <w:rFonts w:eastAsia="Palatino Linotype" w:cs="Palatino Linotype"/>
          <w:i/>
          <w:sz w:val="22"/>
        </w:rPr>
      </w:pPr>
    </w:p>
    <w:p w14:paraId="0FAEF5C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Las solicitudes anónimas</w:t>
      </w:r>
      <w:r w:rsidRPr="00640056">
        <w:rPr>
          <w:rFonts w:eastAsia="Palatino Linotype" w:cs="Palatino Linotype"/>
          <w:i/>
          <w:sz w:val="22"/>
        </w:rPr>
        <w:t xml:space="preserve">, con nombre incompleto o seudónimo </w:t>
      </w:r>
      <w:r w:rsidRPr="00640056">
        <w:rPr>
          <w:rFonts w:eastAsia="Palatino Linotype" w:cs="Palatino Linotype"/>
          <w:b/>
          <w:i/>
          <w:sz w:val="22"/>
        </w:rPr>
        <w:t>serán procedentes para su trámite</w:t>
      </w:r>
      <w:r w:rsidRPr="00640056">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640056" w:rsidRDefault="00565C1E" w:rsidP="00565C1E">
      <w:pPr>
        <w:contextualSpacing/>
        <w:rPr>
          <w:rFonts w:eastAsia="Palatino Linotype" w:cs="Palatino Linotype"/>
          <w:szCs w:val="24"/>
        </w:rPr>
      </w:pPr>
    </w:p>
    <w:p w14:paraId="1E977897"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640056" w:rsidRDefault="00565C1E" w:rsidP="00565C1E">
      <w:pPr>
        <w:contextualSpacing/>
        <w:rPr>
          <w:rFonts w:eastAsia="Palatino Linotype" w:cs="Palatino Linotype"/>
          <w:szCs w:val="24"/>
        </w:rPr>
      </w:pPr>
    </w:p>
    <w:p w14:paraId="19420425"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 los Estados Unidos Mexicanos</w:t>
      </w:r>
    </w:p>
    <w:p w14:paraId="14A5B62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6</w:t>
      </w:r>
      <w:r w:rsidRPr="0064005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7B2E4FA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efectos de lo dispuesto en el presente artículo se observará lo siguiente: </w:t>
      </w:r>
    </w:p>
    <w:p w14:paraId="3AB3CAE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1A11496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640056" w:rsidRDefault="00565C1E" w:rsidP="00565C1E">
      <w:pPr>
        <w:spacing w:line="240" w:lineRule="auto"/>
        <w:ind w:left="567" w:right="567"/>
        <w:contextualSpacing/>
        <w:rPr>
          <w:rFonts w:eastAsia="Palatino Linotype" w:cs="Palatino Linotype"/>
          <w:i/>
          <w:sz w:val="22"/>
        </w:rPr>
      </w:pPr>
    </w:p>
    <w:p w14:paraId="002502E6"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del Estado Libre y Soberano de México</w:t>
      </w:r>
    </w:p>
    <w:p w14:paraId="26ECD4C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5</w:t>
      </w:r>
      <w:r w:rsidRPr="006400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A33944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335A5E2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640056" w:rsidRDefault="00565C1E" w:rsidP="00565C1E">
      <w:pPr>
        <w:spacing w:line="240" w:lineRule="auto"/>
        <w:ind w:left="567" w:right="567"/>
        <w:contextualSpacing/>
        <w:rPr>
          <w:rFonts w:eastAsia="Palatino Linotype" w:cs="Palatino Linotype"/>
          <w:i/>
          <w:sz w:val="22"/>
        </w:rPr>
      </w:pPr>
    </w:p>
    <w:p w14:paraId="743E8B5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640056" w:rsidRDefault="00565C1E" w:rsidP="00565C1E">
      <w:pPr>
        <w:spacing w:line="240" w:lineRule="auto"/>
        <w:ind w:left="567" w:right="567"/>
        <w:contextualSpacing/>
        <w:rPr>
          <w:rFonts w:eastAsia="Palatino Linotype" w:cs="Palatino Linotype"/>
          <w:i/>
          <w:sz w:val="22"/>
        </w:rPr>
      </w:pPr>
    </w:p>
    <w:p w14:paraId="0ADEE210"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Este derecho se regirá por los principios y bases siguientes:</w:t>
      </w:r>
    </w:p>
    <w:p w14:paraId="23932787"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F6023D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III.</w:t>
      </w:r>
      <w:r w:rsidRPr="006400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IV.</w:t>
      </w:r>
      <w:r w:rsidRPr="006400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2BFDF2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VIII.</w:t>
      </w:r>
      <w:r w:rsidRPr="006400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60975238" w14:textId="77777777" w:rsidR="00565C1E" w:rsidRPr="00640056" w:rsidRDefault="00565C1E" w:rsidP="00565C1E">
      <w:pPr>
        <w:ind w:left="567" w:right="567"/>
        <w:contextualSpacing/>
        <w:rPr>
          <w:rFonts w:eastAsia="Palatino Linotype" w:cs="Palatino Linotype"/>
          <w:szCs w:val="24"/>
        </w:rPr>
      </w:pPr>
    </w:p>
    <w:p w14:paraId="283A2B8D" w14:textId="77777777" w:rsidR="00565C1E" w:rsidRPr="00640056" w:rsidRDefault="00565C1E" w:rsidP="00565C1E">
      <w:pPr>
        <w:ind w:right="49"/>
        <w:contextualSpacing/>
        <w:rPr>
          <w:rFonts w:eastAsia="Palatino Linotype" w:cs="Palatino Linotype"/>
          <w:szCs w:val="24"/>
        </w:rPr>
      </w:pPr>
      <w:r w:rsidRPr="00640056">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640056"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640056" w:rsidRDefault="00565C1E" w:rsidP="00565C1E">
      <w:pPr>
        <w:pStyle w:val="Fundamentos"/>
      </w:pPr>
      <w:r w:rsidRPr="00640056">
        <w:rPr>
          <w:b/>
        </w:rPr>
        <w:t>Artículo 1o</w:t>
      </w:r>
      <w:r w:rsidRPr="00640056">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640056" w:rsidRDefault="00565C1E" w:rsidP="00565C1E">
      <w:pPr>
        <w:pStyle w:val="Fundamentos"/>
        <w:rPr>
          <w:sz w:val="21"/>
          <w:szCs w:val="22"/>
        </w:rPr>
      </w:pPr>
    </w:p>
    <w:p w14:paraId="0EECFC3D" w14:textId="77777777" w:rsidR="00565C1E" w:rsidRPr="00640056" w:rsidRDefault="00565C1E" w:rsidP="00565C1E">
      <w:pPr>
        <w:pStyle w:val="Fundamentos"/>
      </w:pPr>
      <w:r w:rsidRPr="00640056">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640056" w:rsidRDefault="00565C1E" w:rsidP="00565C1E">
      <w:pPr>
        <w:pStyle w:val="Fundamentos"/>
        <w:rPr>
          <w:sz w:val="21"/>
          <w:szCs w:val="22"/>
        </w:rPr>
      </w:pPr>
    </w:p>
    <w:p w14:paraId="62D42D9C" w14:textId="77777777" w:rsidR="00565C1E" w:rsidRPr="00640056" w:rsidRDefault="00565C1E" w:rsidP="00565C1E">
      <w:pPr>
        <w:pStyle w:val="Fundamentos"/>
      </w:pPr>
      <w:r w:rsidRPr="00640056">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640056" w:rsidRDefault="00565C1E" w:rsidP="00565C1E">
      <w:pPr>
        <w:ind w:left="567" w:right="567"/>
        <w:contextualSpacing/>
        <w:rPr>
          <w:rFonts w:eastAsia="Palatino Linotype" w:cs="Palatino Linotype"/>
          <w:sz w:val="21"/>
          <w:szCs w:val="21"/>
        </w:rPr>
      </w:pPr>
    </w:p>
    <w:p w14:paraId="295C92C3"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771363" w14:textId="77777777" w:rsidR="00565C1E" w:rsidRPr="00640056" w:rsidRDefault="00565C1E" w:rsidP="00565C1E">
      <w:pPr>
        <w:contextualSpacing/>
        <w:rPr>
          <w:rFonts w:eastAsia="Palatino Linotype" w:cs="Palatino Linotype"/>
          <w:sz w:val="22"/>
        </w:rPr>
      </w:pPr>
    </w:p>
    <w:p w14:paraId="762FAC6B" w14:textId="77777777" w:rsidR="00565C1E" w:rsidRPr="00640056" w:rsidRDefault="00565C1E" w:rsidP="00565C1E">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6922F5" w:rsidRDefault="006D438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0782C44E" w14:textId="77777777" w:rsidR="00C424F4" w:rsidRPr="00286AA3" w:rsidRDefault="00C424F4" w:rsidP="00C424F4">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EB1A3BA" w14:textId="77777777" w:rsidR="00C424F4" w:rsidRPr="00286AA3" w:rsidRDefault="00C424F4" w:rsidP="00C424F4">
      <w:pPr>
        <w:pBdr>
          <w:top w:val="nil"/>
          <w:left w:val="nil"/>
          <w:bottom w:val="nil"/>
          <w:right w:val="nil"/>
          <w:between w:val="nil"/>
        </w:pBdr>
        <w:contextualSpacing/>
        <w:rPr>
          <w:rFonts w:eastAsia="Palatino Linotype" w:cs="Palatino Linotype"/>
          <w:color w:val="000000"/>
          <w:szCs w:val="24"/>
        </w:rPr>
      </w:pPr>
    </w:p>
    <w:p w14:paraId="3FE2E3AC" w14:textId="77777777" w:rsidR="00C424F4" w:rsidRPr="00286AA3" w:rsidRDefault="00C424F4" w:rsidP="00C424F4">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w:t>
      </w:r>
      <w:r w:rsidRPr="00286AA3">
        <w:rPr>
          <w:rFonts w:eastAsia="Palatino Linotype" w:cs="Palatino Linotype"/>
          <w:color w:val="000000"/>
          <w:szCs w:val="24"/>
        </w:rPr>
        <w:lastRenderedPageBreak/>
        <w:t>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E4513CC" w14:textId="77777777" w:rsidR="00C424F4" w:rsidRPr="00286AA3" w:rsidRDefault="00C424F4" w:rsidP="00C424F4">
      <w:pPr>
        <w:pBdr>
          <w:top w:val="nil"/>
          <w:left w:val="nil"/>
          <w:bottom w:val="nil"/>
          <w:right w:val="nil"/>
          <w:between w:val="nil"/>
        </w:pBdr>
        <w:contextualSpacing/>
        <w:rPr>
          <w:rFonts w:eastAsia="Palatino Linotype" w:cs="Palatino Linotype"/>
          <w:color w:val="000000"/>
          <w:szCs w:val="24"/>
        </w:rPr>
      </w:pPr>
    </w:p>
    <w:p w14:paraId="707D9DF5" w14:textId="3B1582E7" w:rsidR="00A970D5" w:rsidRPr="006922F5" w:rsidRDefault="00C424F4" w:rsidP="00C424F4">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560C431C" w:rsidR="00A970D5" w:rsidRPr="006922F5" w:rsidRDefault="006D438A" w:rsidP="006922F5">
      <w:pPr>
        <w:pStyle w:val="Ttulo2"/>
        <w:rPr>
          <w:rFonts w:eastAsia="Palatino Linotype"/>
        </w:rPr>
      </w:pPr>
      <w:r>
        <w:rPr>
          <w:rFonts w:eastAsia="Palatino Linotype"/>
        </w:rPr>
        <w:t>QUINTO</w:t>
      </w:r>
      <w:r w:rsidR="00A970D5" w:rsidRPr="006922F5">
        <w:rPr>
          <w:rFonts w:eastAsia="Palatino Linotype"/>
        </w:rPr>
        <w:t xml:space="preserve">. </w:t>
      </w:r>
      <w:r w:rsidR="00C424F4">
        <w:rPr>
          <w:rFonts w:eastAsia="Palatino Linotype"/>
        </w:rPr>
        <w:t>Estudio de la causal de sobreseimiento.</w:t>
      </w:r>
    </w:p>
    <w:p w14:paraId="6578DAA3" w14:textId="77777777" w:rsidR="00C424F4" w:rsidRPr="00C424F4" w:rsidRDefault="00C424F4" w:rsidP="00C424F4">
      <w:pPr>
        <w:pBdr>
          <w:top w:val="nil"/>
          <w:left w:val="nil"/>
          <w:bottom w:val="nil"/>
          <w:right w:val="nil"/>
          <w:between w:val="nil"/>
        </w:pBdr>
        <w:contextualSpacing/>
        <w:rPr>
          <w:rFonts w:eastAsia="Palatino Linotype" w:cs="Palatino Linotype"/>
          <w:color w:val="000000"/>
          <w:szCs w:val="24"/>
        </w:rPr>
      </w:pPr>
      <w:r w:rsidRPr="00C424F4">
        <w:rPr>
          <w:rFonts w:eastAsia="Palatino Linotype" w:cs="Palatino Linotype"/>
          <w:color w:val="000000"/>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687F58" w14:textId="77777777" w:rsidR="00C424F4" w:rsidRPr="00C424F4" w:rsidRDefault="00C424F4" w:rsidP="00C424F4">
      <w:pPr>
        <w:pBdr>
          <w:top w:val="nil"/>
          <w:left w:val="nil"/>
          <w:bottom w:val="nil"/>
          <w:right w:val="nil"/>
          <w:between w:val="nil"/>
        </w:pBdr>
        <w:contextualSpacing/>
        <w:rPr>
          <w:rFonts w:eastAsia="Palatino Linotype" w:cs="Palatino Linotype"/>
          <w:color w:val="000000"/>
          <w:szCs w:val="24"/>
        </w:rPr>
      </w:pPr>
    </w:p>
    <w:p w14:paraId="39F91CD3" w14:textId="77777777" w:rsidR="006B6ADA" w:rsidRPr="006B6ADA" w:rsidRDefault="006B6ADA" w:rsidP="006B6ADA">
      <w:pPr>
        <w:pBdr>
          <w:top w:val="nil"/>
          <w:left w:val="nil"/>
          <w:bottom w:val="nil"/>
          <w:right w:val="nil"/>
          <w:between w:val="nil"/>
        </w:pBdr>
        <w:contextualSpacing/>
        <w:rPr>
          <w:rFonts w:eastAsia="Palatino Linotype" w:cs="Palatino Linotype"/>
          <w:color w:val="000000"/>
          <w:szCs w:val="24"/>
        </w:rPr>
      </w:pPr>
      <w:r w:rsidRPr="006B6ADA">
        <w:rPr>
          <w:rFonts w:eastAsia="Palatino Linotype" w:cs="Palatino Linotype"/>
          <w:color w:val="000000"/>
          <w:szCs w:val="24"/>
        </w:rPr>
        <w:lastRenderedPageBreak/>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24D3A924" w14:textId="77777777" w:rsidR="006B6ADA" w:rsidRPr="006B6ADA" w:rsidRDefault="006B6ADA" w:rsidP="006B6ADA">
      <w:pPr>
        <w:pBdr>
          <w:top w:val="nil"/>
          <w:left w:val="nil"/>
          <w:bottom w:val="nil"/>
          <w:right w:val="nil"/>
          <w:between w:val="nil"/>
        </w:pBdr>
        <w:contextualSpacing/>
        <w:rPr>
          <w:rFonts w:eastAsia="Palatino Linotype" w:cs="Palatino Linotype"/>
          <w:color w:val="000000"/>
          <w:szCs w:val="24"/>
        </w:rPr>
      </w:pPr>
    </w:p>
    <w:p w14:paraId="421B2938" w14:textId="670C7F6D" w:rsidR="00A970D5" w:rsidRDefault="006B6ADA" w:rsidP="006B6ADA">
      <w:pPr>
        <w:pBdr>
          <w:top w:val="nil"/>
          <w:left w:val="nil"/>
          <w:bottom w:val="nil"/>
          <w:right w:val="nil"/>
          <w:between w:val="nil"/>
        </w:pBdr>
        <w:contextualSpacing/>
        <w:rPr>
          <w:rFonts w:eastAsia="Palatino Linotype" w:cs="Palatino Linotype"/>
          <w:color w:val="000000"/>
          <w:szCs w:val="24"/>
        </w:rPr>
      </w:pPr>
      <w:r w:rsidRPr="006B6ADA">
        <w:rPr>
          <w:rFonts w:eastAsia="Palatino Linotype" w:cs="Palatino Linotype"/>
          <w:color w:val="000000"/>
          <w:szCs w:val="24"/>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5815F06" w14:textId="77777777" w:rsidR="006B6ADA" w:rsidRPr="006922F5" w:rsidRDefault="006B6ADA" w:rsidP="006B6ADA">
      <w:pPr>
        <w:pBdr>
          <w:top w:val="nil"/>
          <w:left w:val="nil"/>
          <w:bottom w:val="nil"/>
          <w:right w:val="nil"/>
          <w:between w:val="nil"/>
        </w:pBdr>
        <w:contextualSpacing/>
        <w:rPr>
          <w:rFonts w:eastAsia="Palatino Linotype" w:cs="Palatino Linotype"/>
          <w:color w:val="000000"/>
          <w:szCs w:val="24"/>
        </w:rPr>
      </w:pPr>
    </w:p>
    <w:p w14:paraId="15E7A53E" w14:textId="5500A6D5" w:rsidR="00A942FA" w:rsidRDefault="00A970D5" w:rsidP="00A942F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011049">
        <w:rPr>
          <w:rFonts w:eastAsia="Palatino Linotype" w:cs="Palatino Linotype"/>
          <w:color w:val="000000"/>
          <w:szCs w:val="24"/>
        </w:rPr>
        <w:t>la información de los requisitos, trámites y formatos que deben llenarse para los siguientes servicios de la Dirección de Cultura:</w:t>
      </w:r>
      <w:r w:rsidR="00A942FA">
        <w:rPr>
          <w:rFonts w:eastAsia="Palatino Linotype" w:cs="Palatino Linotype"/>
          <w:color w:val="000000"/>
          <w:szCs w:val="24"/>
        </w:rPr>
        <w:t xml:space="preserve"> </w:t>
      </w:r>
    </w:p>
    <w:p w14:paraId="073EF262" w14:textId="77777777" w:rsidR="00A942FA" w:rsidRDefault="00A942FA" w:rsidP="00A942FA">
      <w:pPr>
        <w:pBdr>
          <w:top w:val="nil"/>
          <w:left w:val="nil"/>
          <w:bottom w:val="nil"/>
          <w:right w:val="nil"/>
          <w:between w:val="nil"/>
        </w:pBdr>
        <w:contextualSpacing/>
        <w:rPr>
          <w:rFonts w:eastAsia="Palatino Linotype" w:cs="Palatino Linotype"/>
          <w:color w:val="000000"/>
          <w:szCs w:val="24"/>
        </w:rPr>
      </w:pPr>
    </w:p>
    <w:p w14:paraId="63CF682A" w14:textId="4BDB5D0B" w:rsidR="00A942FA" w:rsidRPr="001C4CBF" w:rsidRDefault="00011049" w:rsidP="001C4CBF">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Préstamo de banda sinfónica.</w:t>
      </w:r>
    </w:p>
    <w:p w14:paraId="22814096" w14:textId="150D0B21" w:rsidR="00A942FA" w:rsidRPr="001C4CBF" w:rsidRDefault="00011049" w:rsidP="001C4CBF">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Préstamo de espacios.</w:t>
      </w:r>
    </w:p>
    <w:p w14:paraId="01262F3E" w14:textId="09E1AB92" w:rsidR="00413FC2" w:rsidRDefault="00011049" w:rsidP="00C424F4">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Talleres culturales.</w:t>
      </w:r>
    </w:p>
    <w:p w14:paraId="096885CC" w14:textId="4FD4C824" w:rsidR="00011049" w:rsidRDefault="00011049" w:rsidP="00C424F4">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Eventos culturales para la comunidad de Nezahualcóyotl.</w:t>
      </w:r>
    </w:p>
    <w:p w14:paraId="4D97B3AD" w14:textId="44DD0E57" w:rsidR="00011049" w:rsidRDefault="00011049" w:rsidP="00C424F4">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Gestión de elencos artísticos de la Dirección de Cultura de Nezahualcóyotl.</w:t>
      </w:r>
    </w:p>
    <w:p w14:paraId="6347643B" w14:textId="1CE1DBF6" w:rsidR="00011049" w:rsidRPr="00011049" w:rsidRDefault="00011049" w:rsidP="00C424F4">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Visitas guiadas en los espacios adscritos a la Dirección de Cultura de Nezahualcóyotl.</w:t>
      </w:r>
    </w:p>
    <w:p w14:paraId="34F43CA3" w14:textId="77777777" w:rsidR="00A942FA" w:rsidRDefault="00A942FA" w:rsidP="006D438A">
      <w:pPr>
        <w:pBdr>
          <w:top w:val="nil"/>
          <w:left w:val="nil"/>
          <w:bottom w:val="nil"/>
          <w:right w:val="nil"/>
          <w:between w:val="nil"/>
        </w:pBdr>
        <w:contextualSpacing/>
        <w:rPr>
          <w:rFonts w:eastAsia="Palatino Linotype" w:cs="Palatino Linotype"/>
          <w:color w:val="000000"/>
          <w:szCs w:val="24"/>
        </w:rPr>
      </w:pPr>
    </w:p>
    <w:p w14:paraId="08CE2A5D" w14:textId="77777777" w:rsidR="00011049"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011049">
        <w:rPr>
          <w:rFonts w:eastAsia="Palatino Linotype" w:cs="Palatino Linotype"/>
          <w:color w:val="000000"/>
          <w:szCs w:val="24"/>
        </w:rPr>
        <w:t xml:space="preserve">mediante la presentación del documento denominado </w:t>
      </w:r>
      <w:r w:rsidR="00011049" w:rsidRPr="00011049">
        <w:rPr>
          <w:rFonts w:eastAsia="Palatino Linotype" w:cs="Palatino Linotype"/>
          <w:b/>
          <w:color w:val="000000"/>
          <w:szCs w:val="24"/>
        </w:rPr>
        <w:t>“625-22.pdf”</w:t>
      </w:r>
      <w:r w:rsidR="00011049">
        <w:rPr>
          <w:rFonts w:eastAsia="Palatino Linotype" w:cs="Palatino Linotype"/>
          <w:color w:val="000000"/>
          <w:szCs w:val="24"/>
        </w:rPr>
        <w:t>, en el que se pueden observar los siguientes documentos:</w:t>
      </w:r>
    </w:p>
    <w:p w14:paraId="5C19558C" w14:textId="77777777" w:rsidR="00011049" w:rsidRDefault="00011049" w:rsidP="00B62DEC">
      <w:pPr>
        <w:pBdr>
          <w:top w:val="nil"/>
          <w:left w:val="nil"/>
          <w:bottom w:val="nil"/>
          <w:right w:val="nil"/>
          <w:between w:val="nil"/>
        </w:pBdr>
        <w:contextualSpacing/>
        <w:rPr>
          <w:rFonts w:eastAsia="Palatino Linotype" w:cs="Palatino Linotype"/>
          <w:color w:val="000000"/>
          <w:szCs w:val="24"/>
        </w:rPr>
      </w:pPr>
    </w:p>
    <w:p w14:paraId="31B9B5C4" w14:textId="72F17DA8" w:rsidR="00166D47" w:rsidRDefault="00011049"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Respuesta proporcionada por la Titular de la Unidad de Transparencia y Acceso a la Información Pública Municipal al solicitante, con el que se informó de la respuesta del servidor público habilitado de la Dirección de Cultura.</w:t>
      </w:r>
    </w:p>
    <w:p w14:paraId="6DD3D724" w14:textId="30845124" w:rsidR="00011049" w:rsidRDefault="00011049"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 número DC/1122/12/2022, suscrito por la Directora de Cultura, mediante el cual se manifestó que se anexan las cédulas requeridas por el solicitante.</w:t>
      </w:r>
    </w:p>
    <w:p w14:paraId="797C4C34" w14:textId="1A818B85" w:rsidR="00011049" w:rsidRDefault="00011049"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Formato para el trámite de talleres culturales impartidos por la Dirección de Cultura de Nezahualcóyotl.</w:t>
      </w:r>
    </w:p>
    <w:p w14:paraId="535261DF" w14:textId="3F420385" w:rsidR="00011049" w:rsidRDefault="00C424F4"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Formato para el trámite de eventos culturales para la comunidad de Nezahualcóyotl.</w:t>
      </w:r>
    </w:p>
    <w:p w14:paraId="6EEE1900" w14:textId="1EBAB49E" w:rsidR="00C424F4" w:rsidRDefault="00C424F4"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Formato para el trámite de gestión de elencos artísticos solicitados en la Dirección de Cultura de Nezahualcóyotl.</w:t>
      </w:r>
    </w:p>
    <w:p w14:paraId="32A5D3CA" w14:textId="188D7C36" w:rsidR="00C424F4" w:rsidRDefault="00C424F4"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Formato para el trámite de préstamo de banda sinfónica de Nezahualcóyotl, adscrita a la Dirección de Cultura.</w:t>
      </w:r>
    </w:p>
    <w:p w14:paraId="06E2D992" w14:textId="7D2F9C26" w:rsidR="00C424F4" w:rsidRDefault="00C424F4"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Formato para el trámite de préstamos de espacios adscritos a la Dirección de Cultura de Nezahualcóyotl.</w:t>
      </w:r>
    </w:p>
    <w:p w14:paraId="27DA4FAE" w14:textId="3E59B749" w:rsidR="00C424F4" w:rsidRPr="00011049" w:rsidRDefault="00C424F4" w:rsidP="00011049">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Formato para el trámite de visitas guiadas en los espacios adscritos a la Dirección de Cultura.</w:t>
      </w:r>
    </w:p>
    <w:p w14:paraId="6B016086" w14:textId="77777777" w:rsidR="00011049" w:rsidRDefault="00011049" w:rsidP="006922F5">
      <w:pPr>
        <w:pBdr>
          <w:top w:val="nil"/>
          <w:left w:val="nil"/>
          <w:bottom w:val="nil"/>
          <w:right w:val="nil"/>
          <w:between w:val="nil"/>
        </w:pBdr>
        <w:contextualSpacing/>
        <w:rPr>
          <w:rFonts w:eastAsia="Palatino Linotype" w:cs="Palatino Linotype"/>
          <w:color w:val="000000"/>
          <w:szCs w:val="24"/>
        </w:rPr>
      </w:pPr>
    </w:p>
    <w:p w14:paraId="6128DFF4" w14:textId="4211E6BD"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 xml:space="preserve">nte consideró que su derecho a la información pública había sido conculcado, por lo que interpuso el recurso de revisión al rubro citado, señalando </w:t>
      </w:r>
      <w:r w:rsidR="00C424F4">
        <w:rPr>
          <w:rFonts w:eastAsia="Palatino Linotype" w:cs="Palatino Linotype"/>
          <w:color w:val="000000"/>
          <w:szCs w:val="24"/>
        </w:rPr>
        <w:t>únicamente el acto impugnado manifestando que se solicitó que la información se enviara al correo electrónico y no se hizo, así como tampoco se justificó el cambio de modalidad de entrega de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7854F145" w14:textId="6E571058" w:rsidR="00216F33" w:rsidRPr="00E702D4" w:rsidRDefault="00166D47" w:rsidP="006922F5">
      <w:pPr>
        <w:pBdr>
          <w:top w:val="nil"/>
          <w:left w:val="nil"/>
          <w:bottom w:val="nil"/>
          <w:right w:val="nil"/>
          <w:between w:val="nil"/>
        </w:pBdr>
        <w:contextualSpacing/>
        <w:rPr>
          <w:szCs w:val="24"/>
        </w:rPr>
      </w:pPr>
      <w:r>
        <w:rPr>
          <w:szCs w:val="24"/>
        </w:rPr>
        <w:t xml:space="preserve">Durante la etapa de instrucción, el Sujeto Obligado rindió su Informe Justificado </w:t>
      </w:r>
      <w:r w:rsidR="008B4FFE">
        <w:rPr>
          <w:szCs w:val="24"/>
        </w:rPr>
        <w:t xml:space="preserve">mediante el documento denominado </w:t>
      </w:r>
      <w:r w:rsidR="00C424F4">
        <w:rPr>
          <w:b/>
          <w:szCs w:val="24"/>
        </w:rPr>
        <w:t>“MANIFESTACIONES-625-22</w:t>
      </w:r>
      <w:r w:rsidR="005B5434">
        <w:rPr>
          <w:b/>
          <w:szCs w:val="24"/>
        </w:rPr>
        <w:t>.pdf”</w:t>
      </w:r>
      <w:r w:rsidR="00C424F4">
        <w:rPr>
          <w:szCs w:val="24"/>
        </w:rPr>
        <w:t>, mediante el cual se señaló que la respuesta se proporcionó mediante el SAIMEX el día siete de diciembre de dos mil veintidós; asimismo, en fe</w:t>
      </w:r>
      <w:r w:rsidR="00E702D4">
        <w:rPr>
          <w:szCs w:val="24"/>
        </w:rPr>
        <w:t xml:space="preserve">cha veintiséis de diciembre del mismo año se hizo llegar al correo electrónico proporcionado la respuesta a la solicitud de información </w:t>
      </w:r>
      <w:r w:rsidR="00E702D4" w:rsidRPr="00E702D4">
        <w:rPr>
          <w:b/>
          <w:szCs w:val="24"/>
        </w:rPr>
        <w:t>00625/NEZA/IP/2022</w:t>
      </w:r>
      <w:r w:rsidR="00E702D4">
        <w:rPr>
          <w:szCs w:val="24"/>
        </w:rPr>
        <w:t>, remitiendo el Sujeto Obligado una imagen del envío de la respuesta al correo electrónico del solicitante.</w:t>
      </w:r>
    </w:p>
    <w:p w14:paraId="23B53A69" w14:textId="77777777" w:rsidR="005B5434" w:rsidRDefault="005B5434" w:rsidP="006922F5">
      <w:pPr>
        <w:pBdr>
          <w:top w:val="nil"/>
          <w:left w:val="nil"/>
          <w:bottom w:val="nil"/>
          <w:right w:val="nil"/>
          <w:between w:val="nil"/>
        </w:pBdr>
        <w:contextualSpacing/>
        <w:rPr>
          <w:szCs w:val="24"/>
        </w:rPr>
      </w:pPr>
    </w:p>
    <w:p w14:paraId="482F3804" w14:textId="6B3E7667" w:rsidR="005B5434" w:rsidRDefault="005B5434" w:rsidP="006922F5">
      <w:pPr>
        <w:pBdr>
          <w:top w:val="nil"/>
          <w:left w:val="nil"/>
          <w:bottom w:val="nil"/>
          <w:right w:val="nil"/>
          <w:between w:val="nil"/>
        </w:pBdr>
        <w:contextualSpacing/>
        <w:rPr>
          <w:szCs w:val="24"/>
        </w:rPr>
      </w:pPr>
      <w:r>
        <w:rPr>
          <w:szCs w:val="24"/>
        </w:rPr>
        <w:t>Por otra parte, el Recurrente no realizó manifestaciones ni pronunciamiento alguno respecto del Informe Justificado del Sujeto Obligado.</w:t>
      </w:r>
    </w:p>
    <w:p w14:paraId="5684BACF" w14:textId="77777777" w:rsidR="005B5434" w:rsidRPr="005B5434" w:rsidRDefault="005B5434"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D1AE13A"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E702D4">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B0A7935" w:rsidR="00C82268" w:rsidRPr="006922F5" w:rsidRDefault="00C82268" w:rsidP="006922F5">
      <w:pPr>
        <w:pStyle w:val="Fundamentos"/>
      </w:pPr>
      <w:r w:rsidRPr="006922F5">
        <w:rPr>
          <w:b/>
          <w:bCs/>
        </w:rPr>
        <w:t>I</w:t>
      </w:r>
      <w:r w:rsidR="00E702D4">
        <w:rPr>
          <w:b/>
          <w:bCs/>
        </w:rPr>
        <w:t>V</w:t>
      </w:r>
      <w:r w:rsidRPr="006922F5">
        <w:rPr>
          <w:b/>
          <w:bCs/>
        </w:rPr>
        <w:t>.</w:t>
      </w:r>
      <w:r w:rsidRPr="006922F5">
        <w:t xml:space="preserve"> </w:t>
      </w:r>
      <w:r w:rsidR="00E702D4">
        <w:t>Los</w:t>
      </w:r>
      <w:r w:rsidR="001530E5" w:rsidRPr="006922F5">
        <w:t xml:space="preserve"> </w:t>
      </w:r>
      <w:r w:rsidR="00E702D4" w:rsidRPr="00E702D4">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8C170E4" w14:textId="5C37016F" w:rsidR="00AF5B98" w:rsidRDefault="00A970D5" w:rsidP="00E702D4">
      <w:pPr>
        <w:contextualSpacing/>
        <w:rPr>
          <w:rFonts w:eastAsia="Palatino Linotype" w:cs="Palatino Linotype"/>
          <w:szCs w:val="24"/>
        </w:rPr>
      </w:pPr>
      <w:r w:rsidRPr="006922F5">
        <w:rPr>
          <w:rFonts w:eastAsia="Palatino Linotype" w:cs="Palatino Linotype"/>
          <w:szCs w:val="24"/>
        </w:rPr>
        <w:t xml:space="preserve">En segundo término, </w:t>
      </w:r>
      <w:r w:rsidR="005B5434">
        <w:rPr>
          <w:rFonts w:eastAsia="Palatino Linotype" w:cs="Palatino Linotype"/>
          <w:szCs w:val="24"/>
        </w:rPr>
        <w:t xml:space="preserve">resulta conveniente hacer énfasis </w:t>
      </w:r>
      <w:r w:rsidR="00E702D4">
        <w:rPr>
          <w:rFonts w:eastAsia="Palatino Linotype" w:cs="Palatino Linotype"/>
          <w:szCs w:val="24"/>
        </w:rPr>
        <w:t>que la inconformidad del Recurrente versa respecto de la modalidad de entrega de la información, puesto que se solicitó que ésta fuera mediante el correo electrónico y no por medio del SAIMEX, además de que no se justificó el cambio de modalidad.</w:t>
      </w:r>
    </w:p>
    <w:p w14:paraId="21C4DB0F" w14:textId="77777777" w:rsidR="00E702D4" w:rsidRDefault="00E702D4" w:rsidP="00E702D4">
      <w:pPr>
        <w:contextualSpacing/>
        <w:rPr>
          <w:rFonts w:eastAsia="Palatino Linotype" w:cs="Palatino Linotype"/>
          <w:szCs w:val="24"/>
        </w:rPr>
      </w:pPr>
    </w:p>
    <w:p w14:paraId="120DA39C" w14:textId="7EFF8AF2" w:rsidR="00E702D4" w:rsidRPr="00650921" w:rsidRDefault="00E702D4" w:rsidP="00E702D4">
      <w:pPr>
        <w:rPr>
          <w:rFonts w:eastAsia="Palatino Linotype" w:cs="Palatino Linotype"/>
        </w:rPr>
      </w:pPr>
      <w:r>
        <w:rPr>
          <w:rFonts w:eastAsia="Palatino Linotype" w:cs="Palatino Linotype"/>
          <w:szCs w:val="24"/>
        </w:rPr>
        <w:t xml:space="preserve">En ese sentido, el Recurrente no expresó motivos de inconformidad respecto de los formatos de trámite proporcionados mediante el SAIMEX, por tanto, </w:t>
      </w:r>
      <w:r>
        <w:rPr>
          <w:rFonts w:eastAsia="Palatino Linotype" w:cs="Palatino Linotype"/>
          <w:color w:val="000000"/>
        </w:rPr>
        <w:t>se debe entender que el Recurrente</w:t>
      </w:r>
      <w:r w:rsidRPr="00650921">
        <w:rPr>
          <w:rFonts w:eastAsia="Palatino Linotype" w:cs="Palatino Linotype"/>
        </w:rPr>
        <w:t xml:space="preserve"> consintió parcialmente la respuesta del Sujeto Obligado </w:t>
      </w:r>
      <w:r>
        <w:rPr>
          <w:rFonts w:eastAsia="Palatino Linotype" w:cs="Palatino Linotype"/>
        </w:rPr>
        <w:t>por lo que toca a dichos formatos.</w:t>
      </w:r>
    </w:p>
    <w:p w14:paraId="304A4F92" w14:textId="77777777" w:rsidR="00E702D4" w:rsidRPr="00650921" w:rsidRDefault="00E702D4" w:rsidP="00E702D4">
      <w:pPr>
        <w:rPr>
          <w:rFonts w:eastAsia="Palatino Linotype" w:cs="Palatino Linotype"/>
          <w:szCs w:val="24"/>
          <w:lang w:eastAsia="es-ES"/>
        </w:rPr>
      </w:pPr>
    </w:p>
    <w:p w14:paraId="2DDB5AD9" w14:textId="77777777" w:rsidR="00E702D4" w:rsidRPr="00650921" w:rsidRDefault="00E702D4" w:rsidP="00E702D4">
      <w:pPr>
        <w:contextualSpacing/>
        <w:rPr>
          <w:rFonts w:eastAsia="Palatino Linotype" w:cs="Palatino Linotype"/>
          <w:szCs w:val="24"/>
        </w:rPr>
      </w:pPr>
      <w:r w:rsidRPr="00650921">
        <w:rPr>
          <w:rFonts w:eastAsia="Times New Roman" w:cs="Times New Roman"/>
          <w:color w:val="000000"/>
          <w:szCs w:val="24"/>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w:t>
      </w:r>
      <w:r w:rsidRPr="00650921">
        <w:rPr>
          <w:rFonts w:eastAsia="Times New Roman" w:cs="Times New Roman"/>
          <w:color w:val="000000"/>
          <w:szCs w:val="24"/>
        </w:rPr>
        <w:lastRenderedPageBreak/>
        <w:t>analogía, la Tesis Jurisprudencial Número 3ª./J.7/91, publicada en el Semanario Judicial de la Federación y su Gaceta bajo el número de registro 174177, que establece lo siguiente:</w:t>
      </w:r>
    </w:p>
    <w:p w14:paraId="53390342" w14:textId="77777777" w:rsidR="00E702D4" w:rsidRPr="00650921" w:rsidRDefault="00E702D4" w:rsidP="00E702D4">
      <w:pPr>
        <w:rPr>
          <w:rFonts w:eastAsia="Times New Roman" w:cs="Times New Roman"/>
          <w:szCs w:val="24"/>
        </w:rPr>
      </w:pPr>
    </w:p>
    <w:p w14:paraId="4D3EDF4E" w14:textId="77777777" w:rsidR="00E702D4" w:rsidRPr="00650921" w:rsidRDefault="00E702D4" w:rsidP="00E702D4">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0009957F" w14:textId="77777777" w:rsidR="00E702D4" w:rsidRPr="00650921" w:rsidRDefault="00E702D4" w:rsidP="00E702D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B8DAAB" w14:textId="77777777" w:rsidR="00E702D4" w:rsidRPr="00650921" w:rsidRDefault="00E702D4" w:rsidP="00E702D4">
      <w:pPr>
        <w:rPr>
          <w:rFonts w:eastAsia="Times New Roman" w:cs="Times New Roman"/>
          <w:szCs w:val="24"/>
        </w:rPr>
      </w:pPr>
    </w:p>
    <w:p w14:paraId="70A98811" w14:textId="77777777" w:rsidR="00E702D4" w:rsidRPr="00650921" w:rsidRDefault="00E702D4" w:rsidP="00E702D4">
      <w:pPr>
        <w:rPr>
          <w:rFonts w:eastAsia="Times New Roman" w:cs="Times New Roman"/>
          <w:szCs w:val="24"/>
        </w:rPr>
      </w:pPr>
      <w:r w:rsidRPr="00650921">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32D5F9A5" w14:textId="77777777" w:rsidR="00E702D4" w:rsidRPr="00650921" w:rsidRDefault="00E702D4" w:rsidP="00E702D4">
      <w:pPr>
        <w:rPr>
          <w:rFonts w:eastAsia="Times New Roman" w:cs="Times New Roman"/>
          <w:szCs w:val="24"/>
        </w:rPr>
      </w:pPr>
    </w:p>
    <w:p w14:paraId="55D6EDF5" w14:textId="77777777" w:rsidR="00E702D4" w:rsidRPr="00650921" w:rsidRDefault="00E702D4" w:rsidP="00E702D4">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3173A0A1" w14:textId="77777777" w:rsidR="00E702D4" w:rsidRPr="00650921" w:rsidRDefault="00E702D4" w:rsidP="00E702D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E6050C" w14:textId="77777777" w:rsidR="00E702D4" w:rsidRPr="00650921" w:rsidRDefault="00E702D4" w:rsidP="00E702D4">
      <w:pPr>
        <w:rPr>
          <w:rFonts w:eastAsia="Times New Roman" w:cs="Times New Roman"/>
          <w:szCs w:val="24"/>
        </w:rPr>
      </w:pPr>
    </w:p>
    <w:p w14:paraId="025C7EEC" w14:textId="77777777" w:rsidR="00E702D4" w:rsidRPr="00650921" w:rsidRDefault="00E702D4" w:rsidP="00E702D4">
      <w:pPr>
        <w:rPr>
          <w:rFonts w:eastAsia="Times New Roman" w:cs="Times New Roman"/>
          <w:szCs w:val="24"/>
        </w:rPr>
      </w:pPr>
      <w:r w:rsidRPr="00650921">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317DC3E1" w14:textId="77777777" w:rsidR="00E702D4" w:rsidRPr="00650921" w:rsidRDefault="00E702D4" w:rsidP="00E702D4">
      <w:pPr>
        <w:rPr>
          <w:rFonts w:eastAsia="Times New Roman" w:cs="Times New Roman"/>
          <w:szCs w:val="24"/>
        </w:rPr>
      </w:pPr>
    </w:p>
    <w:p w14:paraId="40D065A8" w14:textId="77777777" w:rsidR="00E702D4" w:rsidRPr="00650921" w:rsidRDefault="00E702D4" w:rsidP="00E702D4">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5D8C37D" w14:textId="77777777" w:rsidR="00E702D4" w:rsidRPr="00650921" w:rsidRDefault="00E702D4" w:rsidP="00E702D4">
      <w:pPr>
        <w:rPr>
          <w:rFonts w:eastAsia="Times New Roman" w:cs="Times New Roman"/>
          <w:szCs w:val="24"/>
        </w:rPr>
      </w:pPr>
    </w:p>
    <w:p w14:paraId="6AC57959" w14:textId="442E0201" w:rsidR="00E702D4" w:rsidRDefault="00E702D4" w:rsidP="00E702D4">
      <w:pPr>
        <w:contextualSpacing/>
        <w:rPr>
          <w:rFonts w:eastAsia="Times New Roman" w:cs="Times New Roman"/>
          <w:color w:val="000000"/>
          <w:szCs w:val="24"/>
        </w:rPr>
      </w:pPr>
      <w:r w:rsidRPr="00650921">
        <w:rPr>
          <w:rFonts w:eastAsia="Times New Roman" w:cs="Times New Roman"/>
          <w:color w:val="000000"/>
          <w:szCs w:val="24"/>
        </w:rPr>
        <w:t>Por lo señalado anteriormente, se tiene por consentida la r</w:t>
      </w:r>
      <w:r>
        <w:rPr>
          <w:rFonts w:eastAsia="Times New Roman" w:cs="Times New Roman"/>
          <w:color w:val="000000"/>
          <w:szCs w:val="24"/>
        </w:rPr>
        <w:t>espuesta respecto de los formatos de trámites ofrecidos por la Dirección de C</w:t>
      </w:r>
      <w:r w:rsidR="00ED625A">
        <w:rPr>
          <w:rFonts w:eastAsia="Times New Roman" w:cs="Times New Roman"/>
          <w:color w:val="000000"/>
          <w:szCs w:val="24"/>
        </w:rPr>
        <w:t>ul</w:t>
      </w:r>
      <w:r>
        <w:rPr>
          <w:rFonts w:eastAsia="Times New Roman" w:cs="Times New Roman"/>
          <w:color w:val="000000"/>
          <w:szCs w:val="24"/>
        </w:rPr>
        <w:t xml:space="preserve">tura; por lo tanto, el estudio versará respecto de la </w:t>
      </w:r>
      <w:r w:rsidR="00386746">
        <w:rPr>
          <w:rFonts w:eastAsia="Times New Roman" w:cs="Times New Roman"/>
          <w:color w:val="000000"/>
          <w:szCs w:val="24"/>
        </w:rPr>
        <w:t>modalidad de entrega de la información.</w:t>
      </w:r>
    </w:p>
    <w:p w14:paraId="15B10C35" w14:textId="77777777" w:rsidR="00386746" w:rsidRDefault="00386746" w:rsidP="00E702D4">
      <w:pPr>
        <w:contextualSpacing/>
        <w:rPr>
          <w:rFonts w:eastAsia="Times New Roman" w:cs="Times New Roman"/>
          <w:color w:val="000000"/>
          <w:szCs w:val="24"/>
        </w:rPr>
      </w:pPr>
    </w:p>
    <w:p w14:paraId="340FB568" w14:textId="0365742E" w:rsidR="00386746" w:rsidRPr="00386746" w:rsidRDefault="00386746" w:rsidP="00E702D4">
      <w:pPr>
        <w:contextualSpacing/>
        <w:rPr>
          <w:rFonts w:eastAsia="Times New Roman" w:cs="Times New Roman"/>
          <w:color w:val="000000"/>
          <w:szCs w:val="24"/>
        </w:rPr>
      </w:pPr>
      <w:r>
        <w:rPr>
          <w:rFonts w:eastAsia="Times New Roman" w:cs="Times New Roman"/>
          <w:color w:val="000000"/>
          <w:szCs w:val="24"/>
        </w:rPr>
        <w:t>De tal forma que en la solicitud de información el hoy Recurrente eligió que la documentación requerida le fuera entregada mediante el correo electrónico que para tal efecto designó, como se observa a continuación:</w:t>
      </w:r>
    </w:p>
    <w:p w14:paraId="04EC6ECB" w14:textId="77777777" w:rsidR="00E702D4" w:rsidRDefault="00E702D4" w:rsidP="00E702D4">
      <w:pPr>
        <w:contextualSpacing/>
        <w:rPr>
          <w:rFonts w:eastAsia="Palatino Linotype" w:cs="Palatino Linotype"/>
          <w:szCs w:val="24"/>
        </w:rPr>
      </w:pPr>
    </w:p>
    <w:p w14:paraId="2C8274F4" w14:textId="709A0BD1" w:rsidR="00E702D4" w:rsidRDefault="006021C2" w:rsidP="00386746">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3130EB5D" wp14:editId="49832934">
            <wp:extent cx="5505450" cy="23115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5190" cy="2324070"/>
                    </a:xfrm>
                    <a:prstGeom prst="rect">
                      <a:avLst/>
                    </a:prstGeom>
                    <a:noFill/>
                    <a:ln>
                      <a:noFill/>
                    </a:ln>
                  </pic:spPr>
                </pic:pic>
              </a:graphicData>
            </a:graphic>
          </wp:inline>
        </w:drawing>
      </w:r>
    </w:p>
    <w:p w14:paraId="23CD850A" w14:textId="77777777" w:rsidR="00E702D4" w:rsidRDefault="00E702D4" w:rsidP="00E702D4">
      <w:pPr>
        <w:contextualSpacing/>
        <w:rPr>
          <w:rFonts w:eastAsia="Palatino Linotype" w:cs="Palatino Linotype"/>
          <w:szCs w:val="24"/>
        </w:rPr>
      </w:pPr>
    </w:p>
    <w:p w14:paraId="1E75A6A7" w14:textId="2D7E2B72" w:rsidR="00E702D4" w:rsidRDefault="00386746" w:rsidP="00E702D4">
      <w:pPr>
        <w:contextualSpacing/>
        <w:rPr>
          <w:rFonts w:eastAsia="Palatino Linotype" w:cs="Palatino Linotype"/>
          <w:szCs w:val="24"/>
        </w:rPr>
      </w:pPr>
      <w:r>
        <w:rPr>
          <w:rFonts w:eastAsia="Palatino Linotype" w:cs="Palatino Linotype"/>
          <w:szCs w:val="24"/>
        </w:rPr>
        <w:lastRenderedPageBreak/>
        <w:t>Por tanto, el Sujeto Obligado debió haber hecho entrega de la respuesta en el medio elegido por el Recurrente; no obstante, la información se entregó mediante el SAIMEX. Así, se advierte que efectivamente hubo una vulneración al derecho de acceso a la información pública del solicitante, dado que no se respetó el medio elegido para su entrega.</w:t>
      </w:r>
    </w:p>
    <w:p w14:paraId="29BC07A6" w14:textId="77777777" w:rsidR="00386746" w:rsidRDefault="00386746" w:rsidP="00E702D4">
      <w:pPr>
        <w:contextualSpacing/>
        <w:rPr>
          <w:rFonts w:eastAsia="Palatino Linotype" w:cs="Palatino Linotype"/>
          <w:szCs w:val="24"/>
        </w:rPr>
      </w:pPr>
    </w:p>
    <w:p w14:paraId="5C557A78" w14:textId="355AAB78" w:rsidR="00386746" w:rsidRDefault="00386746" w:rsidP="00E702D4">
      <w:pPr>
        <w:contextualSpacing/>
        <w:rPr>
          <w:rFonts w:eastAsia="Palatino Linotype" w:cs="Palatino Linotype"/>
          <w:szCs w:val="24"/>
        </w:rPr>
      </w:pPr>
      <w:r>
        <w:rPr>
          <w:rFonts w:eastAsia="Palatino Linotype" w:cs="Palatino Linotype"/>
          <w:szCs w:val="24"/>
        </w:rPr>
        <w:t xml:space="preserve">Ahora bien, al momento de rendir el Informe Justificado, el Sujeto Obligado manifestó que la información solicitada por el particular se entregó el día siete de diciembre de dos mil veintidós mediante el SAIMEX, y posteriormente a la interposición del recurso de revisión, </w:t>
      </w:r>
      <w:r w:rsidR="006021C2">
        <w:rPr>
          <w:rFonts w:eastAsia="Palatino Linotype" w:cs="Palatino Linotype"/>
          <w:szCs w:val="24"/>
        </w:rPr>
        <w:t>en fecha veintiséis de diciembre de dos mil veintidós se remitió por el medio elegido por el Recurrente, es decir mediante correo electrónico, adjuntando la siguiente imagen con el fin de probar la entrega:</w:t>
      </w:r>
    </w:p>
    <w:p w14:paraId="7270E093" w14:textId="77777777" w:rsidR="006021C2" w:rsidRDefault="006021C2" w:rsidP="00E702D4">
      <w:pPr>
        <w:contextualSpacing/>
        <w:rPr>
          <w:rFonts w:eastAsia="Palatino Linotype" w:cs="Palatino Linotype"/>
          <w:szCs w:val="24"/>
        </w:rPr>
      </w:pPr>
    </w:p>
    <w:p w14:paraId="6F645A44" w14:textId="6CF63C67" w:rsidR="006021C2" w:rsidRDefault="006021C2" w:rsidP="00E702D4">
      <w:pPr>
        <w:contextualSpacing/>
        <w:rPr>
          <w:rFonts w:eastAsia="Palatino Linotype" w:cs="Palatino Linotype"/>
          <w:szCs w:val="24"/>
        </w:rPr>
      </w:pPr>
      <w:r>
        <w:rPr>
          <w:rFonts w:eastAsia="Palatino Linotype" w:cs="Palatino Linotype"/>
          <w:noProof/>
          <w:szCs w:val="24"/>
          <w:lang w:val="es-MX"/>
        </w:rPr>
        <w:drawing>
          <wp:inline distT="0" distB="0" distL="0" distR="0" wp14:anchorId="336AAE3D" wp14:editId="02E381C6">
            <wp:extent cx="5934075" cy="2266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266950"/>
                    </a:xfrm>
                    <a:prstGeom prst="rect">
                      <a:avLst/>
                    </a:prstGeom>
                    <a:noFill/>
                    <a:ln>
                      <a:noFill/>
                    </a:ln>
                  </pic:spPr>
                </pic:pic>
              </a:graphicData>
            </a:graphic>
          </wp:inline>
        </w:drawing>
      </w:r>
    </w:p>
    <w:p w14:paraId="77E7CE13" w14:textId="77777777" w:rsidR="006021C2" w:rsidRDefault="006021C2" w:rsidP="00E702D4">
      <w:pPr>
        <w:contextualSpacing/>
        <w:rPr>
          <w:rFonts w:eastAsia="Palatino Linotype" w:cs="Palatino Linotype"/>
          <w:szCs w:val="24"/>
        </w:rPr>
      </w:pPr>
    </w:p>
    <w:p w14:paraId="12D993FC" w14:textId="760566F3" w:rsidR="006021C2" w:rsidRDefault="006021C2" w:rsidP="00E702D4">
      <w:pPr>
        <w:contextualSpacing/>
        <w:rPr>
          <w:rFonts w:eastAsia="Palatino Linotype" w:cs="Palatino Linotype"/>
          <w:szCs w:val="24"/>
        </w:rPr>
      </w:pPr>
      <w:r>
        <w:rPr>
          <w:rFonts w:eastAsia="Palatino Linotype" w:cs="Palatino Linotype"/>
          <w:szCs w:val="24"/>
        </w:rPr>
        <w:t xml:space="preserve">En esa tesitura, el Sujeto Obligado subsanó la vulneración del derecho de acceso a la información del solicitante, en virtud de que remitió la información solicitada en el medio </w:t>
      </w:r>
      <w:r>
        <w:rPr>
          <w:rFonts w:eastAsia="Palatino Linotype" w:cs="Palatino Linotype"/>
          <w:szCs w:val="24"/>
        </w:rPr>
        <w:lastRenderedPageBreak/>
        <w:t xml:space="preserve">elegido por el particular, es decir, realizó el envío de los formatos de trámite solicitados </w:t>
      </w:r>
      <w:r w:rsidR="00B272C3">
        <w:rPr>
          <w:rFonts w:eastAsia="Palatino Linotype" w:cs="Palatino Linotype"/>
          <w:szCs w:val="24"/>
        </w:rPr>
        <w:t>mediante el correo electrónico institucional al correo electrónico proporcionado por el Recurrente en su solicitud.</w:t>
      </w:r>
    </w:p>
    <w:p w14:paraId="1762825F" w14:textId="77777777" w:rsidR="006B6ADA" w:rsidRPr="006B6ADA" w:rsidRDefault="006B6ADA" w:rsidP="00E702D4">
      <w:pPr>
        <w:contextualSpacing/>
        <w:rPr>
          <w:rFonts w:eastAsia="Palatino Linotype" w:cs="Palatino Linotype"/>
          <w:sz w:val="22"/>
          <w:szCs w:val="24"/>
        </w:rPr>
      </w:pPr>
    </w:p>
    <w:p w14:paraId="33B74700" w14:textId="5F8E0DBD" w:rsidR="00B272C3" w:rsidRPr="00C82353" w:rsidRDefault="00B272C3" w:rsidP="00B272C3">
      <w:pPr>
        <w:rPr>
          <w:rFonts w:eastAsiaTheme="minorHAnsi" w:cstheme="minorBidi"/>
          <w:szCs w:val="24"/>
          <w:lang w:eastAsia="en-US"/>
        </w:rPr>
      </w:pPr>
      <w:r>
        <w:rPr>
          <w:rFonts w:eastAsia="Palatino Linotype" w:cs="Palatino Linotype"/>
          <w:szCs w:val="24"/>
        </w:rPr>
        <w:t>De</w:t>
      </w:r>
      <w:r w:rsidR="006B6ADA">
        <w:rPr>
          <w:rFonts w:eastAsia="Palatino Linotype" w:cs="Palatino Linotype"/>
          <w:szCs w:val="24"/>
        </w:rPr>
        <w:t xml:space="preserve"> tal forma que el recurso de revisión ha quedado sin materia derivado de que el acto de molestia fue modificado por el Sujeto Obligado</w:t>
      </w:r>
      <w:r>
        <w:rPr>
          <w:rFonts w:eastAsia="Palatino Linotype" w:cs="Palatino Linotype"/>
          <w:szCs w:val="24"/>
        </w:rPr>
        <w:t xml:space="preserve">, puesto que la documentación fue entregada en la modalidad elegida, por lo que </w:t>
      </w:r>
      <w:r>
        <w:rPr>
          <w:rFonts w:eastAsia="Palatino Linotype" w:cs="Palatino Linotype"/>
          <w:color w:val="000000"/>
          <w:szCs w:val="24"/>
        </w:rPr>
        <w:t xml:space="preserve">se considera </w:t>
      </w:r>
      <w:r w:rsidRPr="00C82353">
        <w:rPr>
          <w:rFonts w:eastAsiaTheme="minorHAnsi" w:cstheme="minorBidi"/>
          <w:szCs w:val="24"/>
          <w:lang w:eastAsia="en-US"/>
        </w:rPr>
        <w:t>que no existen ya extremos legales para la procedencia del recurso, lo que conlleva a decret</w:t>
      </w:r>
      <w:r>
        <w:rPr>
          <w:rFonts w:eastAsiaTheme="minorHAnsi" w:cstheme="minorBidi"/>
          <w:szCs w:val="24"/>
          <w:lang w:eastAsia="en-US"/>
        </w:rPr>
        <w:t>ar el sobreseimiento. Es así como</w:t>
      </w:r>
      <w:r w:rsidRPr="00C82353">
        <w:rPr>
          <w:rFonts w:eastAsiaTheme="minorHAnsi" w:cstheme="minorBidi"/>
          <w:szCs w:val="24"/>
          <w:lang w:eastAsia="en-US"/>
        </w:rPr>
        <w:t xml:space="preserve"> se advierte que en el caso en concreto se actualiza la causal de sobreseimi</w:t>
      </w:r>
      <w:r w:rsidR="006B6ADA">
        <w:rPr>
          <w:rFonts w:eastAsiaTheme="minorHAnsi" w:cstheme="minorBidi"/>
          <w:szCs w:val="24"/>
          <w:lang w:eastAsia="en-US"/>
        </w:rPr>
        <w:t>ento prevista en la fracción III</w:t>
      </w:r>
      <w:r w:rsidRPr="00C82353">
        <w:rPr>
          <w:rFonts w:eastAsiaTheme="minorHAnsi" w:cstheme="minorBidi"/>
          <w:szCs w:val="24"/>
          <w:lang w:eastAsia="en-US"/>
        </w:rPr>
        <w:t xml:space="preserve"> del artículo 192 de la Ley de Transparencia y Acceso a la Información Pública del Estado de México y Municipio, que a la letra establece:</w:t>
      </w:r>
    </w:p>
    <w:p w14:paraId="192B8C7D" w14:textId="77777777" w:rsidR="00B272C3" w:rsidRPr="006B6ADA" w:rsidRDefault="00B272C3" w:rsidP="00B272C3">
      <w:pPr>
        <w:rPr>
          <w:rFonts w:eastAsiaTheme="minorHAnsi" w:cstheme="minorBidi"/>
          <w:sz w:val="22"/>
          <w:szCs w:val="24"/>
          <w:lang w:eastAsia="en-US"/>
        </w:rPr>
      </w:pPr>
    </w:p>
    <w:p w14:paraId="36B967CF" w14:textId="77777777" w:rsidR="00B272C3" w:rsidRPr="00C82353" w:rsidRDefault="00B272C3" w:rsidP="00B272C3">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01D04639" w14:textId="77777777" w:rsidR="00B272C3" w:rsidRPr="00C82353" w:rsidRDefault="00B272C3" w:rsidP="00B272C3">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2E2299E7" w14:textId="5F5C077A" w:rsidR="00B272C3" w:rsidRPr="006B6ADA" w:rsidRDefault="006B6ADA" w:rsidP="00B272C3">
      <w:pPr>
        <w:spacing w:line="240" w:lineRule="auto"/>
        <w:ind w:left="567" w:right="567"/>
        <w:rPr>
          <w:rFonts w:eastAsiaTheme="minorEastAsia" w:cstheme="minorBidi"/>
          <w:b/>
          <w:bCs/>
          <w:i/>
          <w:iCs/>
          <w:sz w:val="22"/>
          <w:lang w:val="es-ES" w:eastAsia="en-US"/>
        </w:rPr>
      </w:pPr>
      <w:r>
        <w:rPr>
          <w:rFonts w:eastAsiaTheme="minorEastAsia" w:cstheme="minorBidi"/>
          <w:b/>
          <w:bCs/>
          <w:i/>
          <w:iCs/>
          <w:sz w:val="22"/>
          <w:lang w:val="es-ES" w:eastAsia="en-US"/>
        </w:rPr>
        <w:t>III</w:t>
      </w:r>
      <w:r w:rsidR="00B272C3" w:rsidRPr="665C2826">
        <w:rPr>
          <w:rFonts w:eastAsiaTheme="minorEastAsia" w:cstheme="minorBidi"/>
          <w:b/>
          <w:bCs/>
          <w:i/>
          <w:iCs/>
          <w:sz w:val="22"/>
          <w:lang w:val="es-ES" w:eastAsia="en-US"/>
        </w:rPr>
        <w:t xml:space="preserve">. </w:t>
      </w:r>
      <w:r>
        <w:rPr>
          <w:rFonts w:eastAsiaTheme="minorEastAsia" w:cstheme="minorBidi"/>
          <w:b/>
          <w:bCs/>
          <w:i/>
          <w:iCs/>
          <w:sz w:val="22"/>
          <w:u w:val="single"/>
          <w:lang w:val="es-ES" w:eastAsia="en-US"/>
        </w:rPr>
        <w:t>El</w:t>
      </w:r>
      <w:r w:rsidR="00B272C3" w:rsidRPr="00B272C3">
        <w:rPr>
          <w:rFonts w:eastAsiaTheme="minorEastAsia" w:cstheme="minorBidi"/>
          <w:b/>
          <w:bCs/>
          <w:i/>
          <w:iCs/>
          <w:sz w:val="22"/>
          <w:u w:val="single"/>
          <w:lang w:val="es-ES" w:eastAsia="en-US"/>
        </w:rPr>
        <w:t xml:space="preserve"> </w:t>
      </w:r>
      <w:r w:rsidRPr="006B6ADA">
        <w:rPr>
          <w:rFonts w:eastAsiaTheme="minorEastAsia" w:cstheme="minorBidi"/>
          <w:b/>
          <w:bCs/>
          <w:i/>
          <w:iCs/>
          <w:sz w:val="22"/>
          <w:u w:val="single"/>
          <w:lang w:val="es-ES" w:eastAsia="en-US"/>
        </w:rPr>
        <w:t>sujeto obligado responsable del acto lo modifique o revoque de tal manera que el recurso de revisión quede sin materia</w:t>
      </w:r>
      <w:r>
        <w:rPr>
          <w:rFonts w:eastAsiaTheme="minorEastAsia" w:cstheme="minorBidi"/>
          <w:b/>
          <w:bCs/>
          <w:i/>
          <w:iCs/>
          <w:sz w:val="22"/>
          <w:lang w:val="es-ES" w:eastAsia="en-US"/>
        </w:rPr>
        <w:t>;</w:t>
      </w:r>
    </w:p>
    <w:p w14:paraId="6E5D9C99" w14:textId="15D50507" w:rsidR="006B6ADA" w:rsidRPr="006B6ADA" w:rsidRDefault="006B6ADA" w:rsidP="00B272C3">
      <w:pPr>
        <w:spacing w:line="240" w:lineRule="auto"/>
        <w:ind w:left="567" w:right="567"/>
        <w:rPr>
          <w:rFonts w:eastAsiaTheme="minorEastAsia" w:cstheme="minorBidi"/>
          <w:bCs/>
          <w:i/>
          <w:iCs/>
          <w:sz w:val="22"/>
          <w:lang w:val="es-ES" w:eastAsia="en-US"/>
        </w:rPr>
      </w:pPr>
      <w:r>
        <w:rPr>
          <w:rFonts w:eastAsiaTheme="minorEastAsia" w:cstheme="minorBidi"/>
          <w:bCs/>
          <w:i/>
          <w:iCs/>
          <w:sz w:val="22"/>
          <w:lang w:val="es-ES" w:eastAsia="en-US"/>
        </w:rPr>
        <w:t>(…)</w:t>
      </w:r>
    </w:p>
    <w:p w14:paraId="6F209A74" w14:textId="77777777" w:rsidR="00B272C3" w:rsidRPr="006B6ADA" w:rsidRDefault="00B272C3" w:rsidP="00B272C3">
      <w:pPr>
        <w:rPr>
          <w:rFonts w:eastAsiaTheme="minorHAnsi" w:cstheme="minorBidi"/>
          <w:sz w:val="22"/>
          <w:szCs w:val="24"/>
          <w:lang w:eastAsia="en-US"/>
        </w:rPr>
      </w:pPr>
    </w:p>
    <w:p w14:paraId="306D8C15" w14:textId="020562C9" w:rsidR="00B272C3" w:rsidRDefault="006B6ADA" w:rsidP="00B272C3">
      <w:pPr>
        <w:rPr>
          <w:rFonts w:eastAsiaTheme="minorHAnsi" w:cstheme="minorBidi"/>
          <w:szCs w:val="24"/>
          <w:lang w:eastAsia="en-US"/>
        </w:rPr>
      </w:pPr>
      <w:r w:rsidRPr="006B6ADA">
        <w:rPr>
          <w:rFonts w:eastAsiaTheme="minorHAnsi" w:cstheme="minorBidi"/>
          <w:szCs w:val="24"/>
          <w:lang w:eastAsia="en-US"/>
        </w:rPr>
        <w:t xml:space="preserve">Lo anterior es así, ya que el Pleno ha determinado que cuando el Sujeto Obligado mediante entrega, complemento o precisión </w:t>
      </w:r>
      <w:r>
        <w:rPr>
          <w:rFonts w:eastAsiaTheme="minorHAnsi" w:cstheme="minorBidi"/>
          <w:szCs w:val="24"/>
          <w:lang w:eastAsia="en-US"/>
        </w:rPr>
        <w:t xml:space="preserve">modifique el acto que causó molestia al solicitante de información, </w:t>
      </w:r>
      <w:r w:rsidRPr="006B6ADA">
        <w:rPr>
          <w:rFonts w:eastAsiaTheme="minorHAnsi" w:cstheme="minorBidi"/>
          <w:szCs w:val="24"/>
          <w:lang w:eastAsia="en-US"/>
        </w:rPr>
        <w:t>debe entenderse que este rubro queda sin materia al haber colmado el requerimiento inicial planteado.</w:t>
      </w:r>
    </w:p>
    <w:p w14:paraId="4AAEE8F2" w14:textId="77777777" w:rsidR="006B6ADA" w:rsidRPr="006B6ADA" w:rsidRDefault="006B6ADA" w:rsidP="00B272C3">
      <w:pPr>
        <w:rPr>
          <w:rFonts w:eastAsiaTheme="minorHAnsi" w:cstheme="minorBidi"/>
          <w:sz w:val="22"/>
          <w:szCs w:val="24"/>
          <w:lang w:eastAsia="en-US"/>
        </w:rPr>
      </w:pPr>
    </w:p>
    <w:p w14:paraId="75A3D58C" w14:textId="04316183" w:rsidR="00B272C3" w:rsidRPr="00C82353" w:rsidRDefault="00B272C3" w:rsidP="00B272C3">
      <w:pPr>
        <w:rPr>
          <w:rFonts w:eastAsiaTheme="minorHAnsi" w:cstheme="minorBidi"/>
          <w:szCs w:val="24"/>
          <w:lang w:eastAsia="en-US"/>
        </w:rPr>
      </w:pPr>
      <w:r w:rsidRPr="00C82353">
        <w:rPr>
          <w:rFonts w:eastAsiaTheme="minorHAnsi" w:cstheme="minorBidi"/>
          <w:szCs w:val="24"/>
          <w:lang w:eastAsia="en-US"/>
        </w:rPr>
        <w:t>Así, con fundamento en lo prescrito en los artículos 36 fracciones II y III, 1</w:t>
      </w:r>
      <w:r w:rsidR="00D808B0">
        <w:rPr>
          <w:rFonts w:eastAsiaTheme="minorHAnsi" w:cstheme="minorBidi"/>
          <w:szCs w:val="24"/>
          <w:lang w:eastAsia="en-US"/>
        </w:rPr>
        <w:t xml:space="preserve">86 fracción I y 192 fracción </w:t>
      </w:r>
      <w:r w:rsidR="006B6ADA">
        <w:rPr>
          <w:rFonts w:eastAsiaTheme="minorHAnsi" w:cstheme="minorBidi"/>
          <w:szCs w:val="24"/>
          <w:lang w:eastAsia="en-US"/>
        </w:rPr>
        <w:t>III</w:t>
      </w:r>
      <w:r w:rsidRPr="00C82353">
        <w:rPr>
          <w:rFonts w:eastAsiaTheme="minorHAnsi" w:cstheme="minorBidi"/>
          <w:szCs w:val="24"/>
          <w:lang w:eastAsia="en-US"/>
        </w:rPr>
        <w:t xml:space="preserve"> de la Ley de Transparencia y Acceso a la Información Pública del Estado de México y Municipios el Pleno de este Órgano Garante:</w:t>
      </w:r>
    </w:p>
    <w:p w14:paraId="3B50C8CE" w14:textId="77777777" w:rsidR="00B272C3" w:rsidRPr="00C82353" w:rsidRDefault="00B272C3" w:rsidP="00B272C3">
      <w:pPr>
        <w:rPr>
          <w:rFonts w:eastAsiaTheme="minorHAnsi" w:cstheme="minorBidi"/>
          <w:szCs w:val="24"/>
          <w:lang w:eastAsia="en-US"/>
        </w:rPr>
      </w:pPr>
    </w:p>
    <w:p w14:paraId="253464CC" w14:textId="77777777" w:rsidR="00B272C3" w:rsidRPr="00C82353" w:rsidRDefault="00B272C3" w:rsidP="00B272C3">
      <w:pPr>
        <w:jc w:val="center"/>
        <w:rPr>
          <w:rFonts w:eastAsiaTheme="minorHAnsi" w:cstheme="minorBidi"/>
          <w:b/>
          <w:bCs/>
          <w:spacing w:val="60"/>
          <w:sz w:val="28"/>
          <w:szCs w:val="28"/>
          <w:lang w:eastAsia="en-US"/>
        </w:rPr>
      </w:pPr>
      <w:r w:rsidRPr="00C82353">
        <w:rPr>
          <w:rFonts w:eastAsiaTheme="minorHAnsi" w:cstheme="minorBidi"/>
          <w:b/>
          <w:bCs/>
          <w:spacing w:val="60"/>
          <w:sz w:val="28"/>
          <w:szCs w:val="28"/>
          <w:lang w:eastAsia="en-US"/>
        </w:rPr>
        <w:t>RESUELVE</w:t>
      </w:r>
    </w:p>
    <w:p w14:paraId="660BB768" w14:textId="77777777" w:rsidR="00B272C3" w:rsidRPr="00C82353" w:rsidRDefault="00B272C3" w:rsidP="00B272C3">
      <w:pPr>
        <w:rPr>
          <w:rFonts w:eastAsiaTheme="minorHAnsi" w:cstheme="minorBidi"/>
          <w:b/>
          <w:bCs/>
          <w:spacing w:val="60"/>
          <w:szCs w:val="24"/>
          <w:lang w:eastAsia="en-US"/>
        </w:rPr>
      </w:pPr>
    </w:p>
    <w:p w14:paraId="6A87EDB1" w14:textId="79A7217A" w:rsidR="00B272C3" w:rsidRPr="00C82353" w:rsidRDefault="00B272C3" w:rsidP="00B272C3">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Pr>
          <w:rFonts w:eastAsiaTheme="minorHAnsi" w:cs="Arial"/>
          <w:b/>
          <w:szCs w:val="24"/>
          <w:lang w:eastAsia="en-US"/>
        </w:rPr>
        <w:t>1</w:t>
      </w:r>
      <w:r w:rsidR="00D808B0">
        <w:rPr>
          <w:rFonts w:eastAsiaTheme="minorHAnsi" w:cs="Arial"/>
          <w:b/>
          <w:szCs w:val="24"/>
          <w:lang w:eastAsia="en-US"/>
        </w:rPr>
        <w:t>7425</w:t>
      </w:r>
      <w:r w:rsidRPr="00C82353">
        <w:rPr>
          <w:rFonts w:eastAsiaTheme="minorHAnsi" w:cs="Arial"/>
          <w:b/>
          <w:szCs w:val="24"/>
          <w:lang w:eastAsia="en-US"/>
        </w:rPr>
        <w:t>/INFOEM/IP/RR/2022</w:t>
      </w:r>
      <w:r w:rsidRPr="00C82353">
        <w:rPr>
          <w:rFonts w:eastAsiaTheme="minorHAnsi" w:cs="Arial"/>
          <w:szCs w:val="24"/>
          <w:lang w:eastAsia="en-US"/>
        </w:rPr>
        <w:t xml:space="preserve">, </w:t>
      </w:r>
      <w:r w:rsidR="00D633EB" w:rsidRPr="00D633EB">
        <w:rPr>
          <w:rFonts w:eastAsiaTheme="minorHAnsi" w:cs="Arial"/>
          <w:szCs w:val="24"/>
          <w:lang w:eastAsia="en-US"/>
        </w:rPr>
        <w:t>porque al</w:t>
      </w:r>
      <w:r w:rsidR="00D633EB">
        <w:rPr>
          <w:rFonts w:eastAsiaTheme="minorHAnsi" w:cs="Arial"/>
          <w:szCs w:val="24"/>
          <w:lang w:eastAsia="en-US"/>
        </w:rPr>
        <w:t xml:space="preserve"> haberse modificado el acto</w:t>
      </w:r>
      <w:r w:rsidR="00D633EB" w:rsidRPr="00D633EB">
        <w:rPr>
          <w:rFonts w:eastAsiaTheme="minorHAnsi" w:cs="Arial"/>
          <w:szCs w:val="24"/>
          <w:lang w:eastAsia="en-US"/>
        </w:rPr>
        <w:t>, el recurso de revisión quedó sin materia conforme a lo dispuesto en el artículo 192 fracción III de la Ley de Transparencia y Acceso a la Información Pública del Estado de México y Municipios, en términos del Considerando QUINTO de la presente resolución.</w:t>
      </w:r>
    </w:p>
    <w:p w14:paraId="7BB68221" w14:textId="77777777" w:rsidR="00B272C3" w:rsidRPr="00C82353" w:rsidRDefault="00B272C3" w:rsidP="00B272C3">
      <w:pPr>
        <w:rPr>
          <w:rFonts w:eastAsiaTheme="minorHAnsi" w:cs="Arial"/>
          <w:szCs w:val="24"/>
          <w:lang w:eastAsia="en-US"/>
        </w:rPr>
      </w:pPr>
    </w:p>
    <w:p w14:paraId="23AB1C3C" w14:textId="77777777" w:rsidR="00B272C3" w:rsidRPr="00C82353" w:rsidRDefault="00B272C3" w:rsidP="00B272C3">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7666E12A" w14:textId="77777777" w:rsidR="00B272C3" w:rsidRPr="00C82353" w:rsidRDefault="00B272C3" w:rsidP="00B272C3">
      <w:pPr>
        <w:rPr>
          <w:rFonts w:eastAsiaTheme="minorHAnsi" w:cs="Arial"/>
          <w:szCs w:val="24"/>
          <w:lang w:eastAsia="en-US"/>
        </w:rPr>
      </w:pPr>
    </w:p>
    <w:p w14:paraId="63D91160" w14:textId="24EB3000" w:rsidR="00B272C3" w:rsidRDefault="00B272C3" w:rsidP="00B272C3">
      <w:pPr>
        <w:contextualSpacing/>
      </w:pPr>
      <w:r w:rsidRPr="00C82353">
        <w:rPr>
          <w:rFonts w:eastAsiaTheme="minorHAnsi" w:cs="Arial"/>
          <w:b/>
          <w:szCs w:val="24"/>
          <w:lang w:eastAsia="en-US"/>
        </w:rPr>
        <w:t>TERCERO. Notifíquese</w:t>
      </w:r>
      <w:r w:rsidRPr="00C82353">
        <w:rPr>
          <w:rFonts w:eastAsiaTheme="minorHAnsi" w:cs="Arial"/>
          <w:szCs w:val="24"/>
          <w:lang w:eastAsia="en-US"/>
        </w:rPr>
        <w:t xml:space="preserve"> la </w:t>
      </w:r>
      <w:r w:rsidR="00D633EB" w:rsidRPr="00D633EB">
        <w:rPr>
          <w:rFonts w:eastAsiaTheme="minorHAnsi" w:cs="Arial"/>
          <w:szCs w:val="24"/>
          <w:lang w:eastAsia="en-US"/>
        </w:rPr>
        <w:t>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12C95878" w:rsidR="00A970D5" w:rsidRPr="006922F5" w:rsidRDefault="00861D35"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w:t>
      </w:r>
      <w:r w:rsidR="006922F5">
        <w:rPr>
          <w:rFonts w:eastAsia="Palatino Linotype" w:cs="Palatino Linotype"/>
          <w:color w:val="000000"/>
          <w:szCs w:val="24"/>
        </w:rPr>
        <w:lastRenderedPageBreak/>
        <w:t xml:space="preserve">AYALA, SHARON CRISTINA MORALES MARTÍNEZ, LUIS GUSTAVO PARRA NORIEGA Y GUADALUPE RAMÍREZ PEÑA, EN </w:t>
      </w:r>
      <w:r w:rsidR="006922F5" w:rsidRPr="000D2E93">
        <w:rPr>
          <w:rFonts w:eastAsia="Palatino Linotype" w:cs="Palatino Linotype"/>
          <w:color w:val="000000"/>
          <w:szCs w:val="24"/>
        </w:rPr>
        <w:t xml:space="preserve">LA </w:t>
      </w:r>
      <w:r w:rsidR="00D808B0">
        <w:rPr>
          <w:rFonts w:eastAsia="Palatino Linotype" w:cs="Palatino Linotype"/>
          <w:color w:val="000000"/>
          <w:szCs w:val="24"/>
        </w:rPr>
        <w:t xml:space="preserve">CUARTA </w:t>
      </w:r>
      <w:r w:rsidR="006922F5" w:rsidRPr="000D2E93">
        <w:rPr>
          <w:rFonts w:eastAsia="Palatino Linotype" w:cs="Palatino Linotype"/>
          <w:color w:val="000000"/>
          <w:szCs w:val="24"/>
        </w:rPr>
        <w:t>SESIÓN ORDINARIA CELEBRADA EL</w:t>
      </w:r>
      <w:r w:rsidR="00217D36">
        <w:rPr>
          <w:rFonts w:eastAsia="Palatino Linotype" w:cs="Palatino Linotype"/>
          <w:color w:val="000000"/>
          <w:szCs w:val="24"/>
        </w:rPr>
        <w:t xml:space="preserve"> PRIMERO DE FEBRERO</w:t>
      </w:r>
      <w:r w:rsidR="00D808B0">
        <w:rPr>
          <w:rFonts w:eastAsia="Palatino Linotype" w:cs="Palatino Linotype"/>
          <w:color w:val="000000"/>
          <w:szCs w:val="24"/>
        </w:rPr>
        <w:t xml:space="preserve"> DE DOS MIL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sidR="006922F5">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r w:rsidR="00D808B0">
        <w:rPr>
          <w:rFonts w:eastAsia="Palatino Linotype" w:cs="Palatino Linotype"/>
          <w:color w:val="000000"/>
          <w:szCs w:val="24"/>
        </w:rPr>
        <w:t>----------------------------------------------------------------------------------------------------------------------------------------------------------------------------------------------------------------------------------------------------------------------------------------------------------------------------------------------------------------------------------------------------------------------------------------------------------------------------------------------------------------------------------------------------------------------------------------------------------------------------------------------------------------------------------------------------------------------------------------------------------------------------------------------------------------------------------------------------------------------------------------------------------------------------------------------------------------------------------------------------------------------------------------------------------------------------------------------------------------------------------------------------------------------------------------------------------------------------------------------------------------------------------------------------------------------------------------------------------------------</w:t>
      </w:r>
      <w:r w:rsidR="00D633EB">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005D3" w14:textId="77777777" w:rsidR="00E0714D" w:rsidRDefault="00E0714D" w:rsidP="00F2498E">
      <w:pPr>
        <w:spacing w:line="240" w:lineRule="auto"/>
      </w:pPr>
      <w:r>
        <w:separator/>
      </w:r>
    </w:p>
  </w:endnote>
  <w:endnote w:type="continuationSeparator" w:id="0">
    <w:p w14:paraId="50B51952" w14:textId="77777777" w:rsidR="00E0714D" w:rsidRDefault="00E0714D" w:rsidP="00F2498E">
      <w:pPr>
        <w:spacing w:line="240" w:lineRule="auto"/>
      </w:pPr>
      <w:r>
        <w:continuationSeparator/>
      </w:r>
    </w:p>
  </w:endnote>
  <w:endnote w:type="continuationNotice" w:id="1">
    <w:p w14:paraId="6A06C8AA" w14:textId="77777777" w:rsidR="00E0714D" w:rsidRDefault="00E07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14367">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14367">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1436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14367">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DF468" w14:textId="77777777" w:rsidR="00E0714D" w:rsidRDefault="00E0714D" w:rsidP="00F2498E">
      <w:pPr>
        <w:spacing w:line="240" w:lineRule="auto"/>
      </w:pPr>
      <w:r>
        <w:separator/>
      </w:r>
    </w:p>
  </w:footnote>
  <w:footnote w:type="continuationSeparator" w:id="0">
    <w:p w14:paraId="27870BEB" w14:textId="77777777" w:rsidR="00E0714D" w:rsidRDefault="00E0714D" w:rsidP="00F2498E">
      <w:pPr>
        <w:spacing w:line="240" w:lineRule="auto"/>
      </w:pPr>
      <w:r>
        <w:continuationSeparator/>
      </w:r>
    </w:p>
  </w:footnote>
  <w:footnote w:type="continuationNotice" w:id="1">
    <w:p w14:paraId="0CAE1685" w14:textId="77777777" w:rsidR="00E0714D" w:rsidRDefault="00E0714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424F4" w:rsidRDefault="00B14367">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rsidRPr="00B17577" w14:paraId="37B9EBDE" w14:textId="77777777" w:rsidTr="003938ED">
      <w:trPr>
        <w:trHeight w:val="227"/>
      </w:trPr>
      <w:tc>
        <w:tcPr>
          <w:tcW w:w="5103" w:type="dxa"/>
          <w:hideMark/>
        </w:tcPr>
        <w:p w14:paraId="4964FBC5" w14:textId="54CDA645" w:rsidR="00C424F4" w:rsidRPr="00096248" w:rsidRDefault="00C424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52BD0B9" w:rsidR="00C424F4" w:rsidRPr="00096248" w:rsidRDefault="00D808B0" w:rsidP="00011C4D">
          <w:pPr>
            <w:spacing w:after="120" w:line="240" w:lineRule="auto"/>
            <w:ind w:right="71"/>
            <w:jc w:val="right"/>
            <w:rPr>
              <w:rFonts w:cs="Arial"/>
              <w:b/>
              <w:szCs w:val="24"/>
            </w:rPr>
          </w:pPr>
          <w:r>
            <w:rPr>
              <w:rFonts w:cs="Arial"/>
              <w:b/>
              <w:bCs/>
              <w:szCs w:val="24"/>
            </w:rPr>
            <w:t>1742</w:t>
          </w:r>
          <w:r w:rsidR="00C424F4">
            <w:rPr>
              <w:rFonts w:cs="Arial"/>
              <w:b/>
              <w:bCs/>
              <w:szCs w:val="24"/>
            </w:rPr>
            <w:t>5</w:t>
          </w:r>
          <w:r w:rsidR="00C424F4" w:rsidRPr="00096248">
            <w:rPr>
              <w:rFonts w:cs="Arial"/>
              <w:b/>
              <w:bCs/>
              <w:szCs w:val="24"/>
            </w:rPr>
            <w:t>/INFOEM/IP/RR/202</w:t>
          </w:r>
          <w:r w:rsidR="00C424F4">
            <w:rPr>
              <w:rFonts w:cs="Arial"/>
              <w:b/>
              <w:bCs/>
              <w:szCs w:val="24"/>
            </w:rPr>
            <w:t>2</w:t>
          </w:r>
        </w:p>
      </w:tc>
    </w:tr>
    <w:tr w:rsidR="00C424F4" w14:paraId="7591D3C9" w14:textId="77777777" w:rsidTr="003938ED">
      <w:trPr>
        <w:trHeight w:val="242"/>
      </w:trPr>
      <w:tc>
        <w:tcPr>
          <w:tcW w:w="5103" w:type="dxa"/>
          <w:hideMark/>
        </w:tcPr>
        <w:p w14:paraId="729A65A8" w14:textId="77777777" w:rsidR="00C424F4" w:rsidRPr="00096248" w:rsidRDefault="00C424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4CA42F9" w:rsidR="00C424F4" w:rsidRPr="00096248" w:rsidRDefault="00D808B0" w:rsidP="00011C4D">
          <w:pPr>
            <w:spacing w:after="120" w:line="240" w:lineRule="auto"/>
            <w:ind w:left="-81" w:right="71"/>
            <w:jc w:val="right"/>
            <w:rPr>
              <w:rFonts w:cs="Arial"/>
              <w:szCs w:val="24"/>
            </w:rPr>
          </w:pPr>
          <w:r>
            <w:rPr>
              <w:rFonts w:cs="Arial"/>
              <w:szCs w:val="24"/>
            </w:rPr>
            <w:t>Ayuntamiento de Nezahualcóyotl</w:t>
          </w:r>
        </w:p>
      </w:tc>
    </w:tr>
    <w:tr w:rsidR="00C424F4" w:rsidRPr="00F63239" w14:paraId="037E914D" w14:textId="77777777" w:rsidTr="003938ED">
      <w:trPr>
        <w:trHeight w:val="342"/>
      </w:trPr>
      <w:tc>
        <w:tcPr>
          <w:tcW w:w="5103" w:type="dxa"/>
          <w:hideMark/>
        </w:tcPr>
        <w:p w14:paraId="7676B68F" w14:textId="64D69EAF" w:rsidR="00C424F4" w:rsidRPr="00096248" w:rsidRDefault="00C424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424F4" w:rsidRDefault="00C424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424F4" w:rsidRPr="00711916" w:rsidRDefault="00C424F4" w:rsidP="00011C4D">
          <w:pPr>
            <w:spacing w:after="120" w:line="240" w:lineRule="auto"/>
            <w:ind w:left="-486" w:right="71" w:firstLine="567"/>
            <w:jc w:val="right"/>
            <w:rPr>
              <w:rFonts w:cs="Arial"/>
              <w:sz w:val="2"/>
              <w:szCs w:val="2"/>
            </w:rPr>
          </w:pPr>
        </w:p>
      </w:tc>
    </w:tr>
  </w:tbl>
  <w:p w14:paraId="2998DBFD" w14:textId="25A9F426" w:rsidR="00C424F4" w:rsidRPr="00871A91" w:rsidRDefault="00B14367">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14:paraId="0F9FE9B6" w14:textId="77777777" w:rsidTr="003938ED">
      <w:trPr>
        <w:trHeight w:val="227"/>
      </w:trPr>
      <w:tc>
        <w:tcPr>
          <w:tcW w:w="5103" w:type="dxa"/>
          <w:hideMark/>
        </w:tcPr>
        <w:p w14:paraId="6D1D9D71" w14:textId="11150E5A" w:rsidR="00C424F4" w:rsidRPr="00663A37" w:rsidRDefault="00C424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30E1320" w:rsidR="00C424F4" w:rsidRPr="00C81ECD" w:rsidRDefault="00C424F4" w:rsidP="00011C4D">
          <w:pPr>
            <w:spacing w:after="120" w:line="240" w:lineRule="auto"/>
            <w:ind w:left="-486" w:right="68" w:firstLine="558"/>
            <w:jc w:val="right"/>
            <w:rPr>
              <w:rFonts w:cs="Arial"/>
              <w:b/>
              <w:szCs w:val="24"/>
            </w:rPr>
          </w:pPr>
          <w:r>
            <w:rPr>
              <w:rFonts w:cs="Arial"/>
              <w:b/>
              <w:bCs/>
              <w:szCs w:val="24"/>
            </w:rPr>
            <w:t>17425</w:t>
          </w:r>
          <w:r w:rsidRPr="00C81ECD">
            <w:rPr>
              <w:rFonts w:cs="Arial"/>
              <w:b/>
              <w:bCs/>
              <w:szCs w:val="24"/>
            </w:rPr>
            <w:t>/INFOEM/IP/RR/2022</w:t>
          </w:r>
        </w:p>
      </w:tc>
    </w:tr>
    <w:tr w:rsidR="00C424F4" w:rsidRPr="001F57CD" w14:paraId="1377D264" w14:textId="77777777" w:rsidTr="003938ED">
      <w:trPr>
        <w:trHeight w:val="196"/>
      </w:trPr>
      <w:tc>
        <w:tcPr>
          <w:tcW w:w="5103" w:type="dxa"/>
          <w:hideMark/>
        </w:tcPr>
        <w:p w14:paraId="04D597A1" w14:textId="77777777" w:rsidR="00C424F4" w:rsidRPr="00663A37" w:rsidRDefault="00C424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9515A93" w:rsidR="00C424F4" w:rsidRPr="00663A37" w:rsidRDefault="00C3751D" w:rsidP="00011C4D">
          <w:pPr>
            <w:spacing w:after="120" w:line="240" w:lineRule="auto"/>
            <w:ind w:right="68"/>
            <w:jc w:val="right"/>
            <w:rPr>
              <w:rFonts w:cs="Arial"/>
              <w:szCs w:val="24"/>
            </w:rPr>
          </w:pPr>
          <w:r>
            <w:rPr>
              <w:rFonts w:cs="Arial"/>
              <w:szCs w:val="24"/>
            </w:rPr>
            <w:t>XXXX</w:t>
          </w:r>
          <w:r w:rsidR="00B14367">
            <w:rPr>
              <w:rFonts w:cs="Arial"/>
              <w:szCs w:val="24"/>
            </w:rPr>
            <w:t>XXXXXX</w:t>
          </w:r>
        </w:p>
      </w:tc>
    </w:tr>
    <w:tr w:rsidR="00C424F4" w14:paraId="4DC11993" w14:textId="77777777" w:rsidTr="003938ED">
      <w:trPr>
        <w:trHeight w:val="242"/>
      </w:trPr>
      <w:tc>
        <w:tcPr>
          <w:tcW w:w="5103" w:type="dxa"/>
          <w:hideMark/>
        </w:tcPr>
        <w:p w14:paraId="76CEF1B5" w14:textId="77777777" w:rsidR="00C424F4" w:rsidRPr="00663A37" w:rsidRDefault="00C424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B56BEDD" w:rsidR="00C424F4" w:rsidRPr="00663A37" w:rsidRDefault="00C424F4" w:rsidP="00011C4D">
          <w:pPr>
            <w:spacing w:after="120" w:line="240" w:lineRule="auto"/>
            <w:ind w:left="-70" w:right="68"/>
            <w:jc w:val="right"/>
            <w:rPr>
              <w:rFonts w:cs="Arial"/>
              <w:szCs w:val="24"/>
            </w:rPr>
          </w:pPr>
          <w:r>
            <w:rPr>
              <w:rFonts w:cs="Arial"/>
              <w:szCs w:val="24"/>
            </w:rPr>
            <w:t>Ayuntamiento de Nezahualcóyotl</w:t>
          </w:r>
        </w:p>
      </w:tc>
    </w:tr>
    <w:tr w:rsidR="00C424F4" w14:paraId="5C2B511D" w14:textId="77777777" w:rsidTr="003938ED">
      <w:trPr>
        <w:trHeight w:val="342"/>
      </w:trPr>
      <w:tc>
        <w:tcPr>
          <w:tcW w:w="5103" w:type="dxa"/>
          <w:hideMark/>
        </w:tcPr>
        <w:p w14:paraId="03FEF68C" w14:textId="45E91CF4" w:rsidR="00C424F4" w:rsidRPr="00663A37" w:rsidRDefault="00C424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424F4" w:rsidRPr="00663A37" w:rsidRDefault="00C424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424F4" w:rsidRPr="00871A91" w:rsidRDefault="00B14367">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3.35pt;margin-top:-144.6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443734"/>
    <w:multiLevelType w:val="hybridMultilevel"/>
    <w:tmpl w:val="A20E8262"/>
    <w:lvl w:ilvl="0" w:tplc="3B8A983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20"/>
  </w:num>
  <w:num w:numId="5">
    <w:abstractNumId w:val="18"/>
  </w:num>
  <w:num w:numId="6">
    <w:abstractNumId w:val="7"/>
  </w:num>
  <w:num w:numId="7">
    <w:abstractNumId w:val="23"/>
  </w:num>
  <w:num w:numId="8">
    <w:abstractNumId w:val="32"/>
  </w:num>
  <w:num w:numId="9">
    <w:abstractNumId w:val="25"/>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8"/>
  </w:num>
  <w:num w:numId="17">
    <w:abstractNumId w:val="30"/>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1"/>
  </w:num>
  <w:num w:numId="28">
    <w:abstractNumId w:val="29"/>
  </w:num>
  <w:num w:numId="29">
    <w:abstractNumId w:val="5"/>
  </w:num>
  <w:num w:numId="30">
    <w:abstractNumId w:val="17"/>
  </w:num>
  <w:num w:numId="31">
    <w:abstractNumId w:val="22"/>
  </w:num>
  <w:num w:numId="32">
    <w:abstractNumId w:val="14"/>
  </w:num>
  <w:num w:numId="3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049"/>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17D36"/>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746"/>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1C2"/>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0C24"/>
    <w:rsid w:val="006B11C6"/>
    <w:rsid w:val="006B279D"/>
    <w:rsid w:val="006B3A5C"/>
    <w:rsid w:val="006B4CA4"/>
    <w:rsid w:val="006B6498"/>
    <w:rsid w:val="006B64AA"/>
    <w:rsid w:val="006B6868"/>
    <w:rsid w:val="006B6ADA"/>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C32"/>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4367"/>
    <w:rsid w:val="00B15202"/>
    <w:rsid w:val="00B1553A"/>
    <w:rsid w:val="00B17577"/>
    <w:rsid w:val="00B21CD1"/>
    <w:rsid w:val="00B23256"/>
    <w:rsid w:val="00B24CF5"/>
    <w:rsid w:val="00B26507"/>
    <w:rsid w:val="00B269CE"/>
    <w:rsid w:val="00B272C3"/>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51D"/>
    <w:rsid w:val="00C37839"/>
    <w:rsid w:val="00C37EA0"/>
    <w:rsid w:val="00C409F6"/>
    <w:rsid w:val="00C410D2"/>
    <w:rsid w:val="00C41479"/>
    <w:rsid w:val="00C424F4"/>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33EB"/>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7749D"/>
    <w:rsid w:val="00D808B0"/>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19D"/>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14D"/>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02D4"/>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5A"/>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BFA5-2AB1-433E-BE69-B3B468CE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6120</Words>
  <Characters>33663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2019-06-13T15:30:00Z</cp:lastPrinted>
  <dcterms:created xsi:type="dcterms:W3CDTF">2023-01-24T19:08:00Z</dcterms:created>
  <dcterms:modified xsi:type="dcterms:W3CDTF">2023-03-07T20:02:00Z</dcterms:modified>
</cp:coreProperties>
</file>