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E1C31" w14:textId="77777777"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120F4">
        <w:rPr>
          <w:rFonts w:ascii="Palatino Linotype" w:hAnsi="Palatino Linotype"/>
        </w:rPr>
        <w:t xml:space="preserve">veintisiete (27) de septiembre </w:t>
      </w:r>
      <w:r w:rsidR="00E61C13" w:rsidRPr="00134CE6">
        <w:rPr>
          <w:rFonts w:ascii="Palatino Linotype" w:hAnsi="Palatino Linotype"/>
          <w:color w:val="000000" w:themeColor="text1"/>
        </w:rPr>
        <w:t xml:space="preserve">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14:paraId="353E1C32" w14:textId="77777777" w:rsidR="009F09BC" w:rsidRDefault="009F09BC" w:rsidP="00995B4E">
      <w:pPr>
        <w:spacing w:line="360" w:lineRule="auto"/>
        <w:jc w:val="both"/>
        <w:rPr>
          <w:rFonts w:ascii="Palatino Linotype" w:hAnsi="Palatino Linotype"/>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A739EE">
        <w:rPr>
          <w:rFonts w:ascii="Palatino Linotype" w:hAnsi="Palatino Linotype"/>
          <w:color w:val="000000" w:themeColor="text1"/>
        </w:rPr>
        <w:t>e</w:t>
      </w:r>
      <w:r w:rsidRPr="00134CE6">
        <w:rPr>
          <w:rFonts w:ascii="Palatino Linotype" w:hAnsi="Palatino Linotype"/>
          <w:color w:val="000000" w:themeColor="text1"/>
        </w:rPr>
        <w:t>l expediente electrónico formado con motivo de</w:t>
      </w:r>
      <w:r w:rsidR="00A739EE">
        <w:rPr>
          <w:rFonts w:ascii="Palatino Linotype" w:hAnsi="Palatino Linotype"/>
          <w:color w:val="000000" w:themeColor="text1"/>
        </w:rPr>
        <w:t>l</w:t>
      </w:r>
      <w:r w:rsidRPr="00134CE6">
        <w:rPr>
          <w:rFonts w:ascii="Palatino Linotype" w:hAnsi="Palatino Linotype"/>
          <w:color w:val="000000" w:themeColor="text1"/>
        </w:rPr>
        <w:t xml:space="preserve"> recurso de revisión </w:t>
      </w:r>
      <w:r w:rsidR="003B70DC">
        <w:rPr>
          <w:rFonts w:ascii="Palatino Linotype" w:hAnsi="Palatino Linotype"/>
          <w:b/>
          <w:color w:val="000000" w:themeColor="text1"/>
        </w:rPr>
        <w:t>17208/INFOEM/ICR-129/IP/RR/2022</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r w:rsidRPr="009C1B6F">
        <w:rPr>
          <w:rFonts w:ascii="Palatino Linotype" w:hAnsi="Palatino Linotype"/>
          <w:color w:val="000000" w:themeColor="text1"/>
        </w:rPr>
        <w:t xml:space="preserve">promovido por </w:t>
      </w:r>
      <w:r w:rsidR="00CE3153">
        <w:rPr>
          <w:rFonts w:ascii="Palatino Linotype" w:hAnsi="Palatino Linotype"/>
          <w:b/>
        </w:rPr>
        <w:t>una persona que no proporcionó datos de identificación</w:t>
      </w:r>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CE3153">
        <w:rPr>
          <w:rFonts w:ascii="Palatino Linotype" w:hAnsi="Palatino Linotype"/>
          <w:b/>
          <w:color w:val="000000" w:themeColor="text1"/>
        </w:rPr>
        <w:t>EL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 xml:space="preserve">en contra de la falta de respuesta del </w:t>
      </w:r>
      <w:r w:rsidR="00CE3153">
        <w:rPr>
          <w:rFonts w:ascii="Palatino Linotype" w:hAnsi="Palatino Linotype" w:cs="Tahoma"/>
          <w:b/>
          <w:color w:val="0D0D0D" w:themeColor="text1" w:themeTint="F2"/>
        </w:rPr>
        <w:t>Ayuntamiento de Zinacantepec</w:t>
      </w:r>
      <w:r w:rsidR="00B0695D" w:rsidRPr="00B0695D">
        <w:rPr>
          <w:rFonts w:ascii="Palatino Linotype" w:hAnsi="Palatino Linotype" w:cs="Tahoma"/>
          <w:color w:val="0D0D0D" w:themeColor="text1" w:themeTint="F2"/>
        </w:rPr>
        <w:t xml:space="preserve">, </w:t>
      </w:r>
      <w:r w:rsidR="00B0695D" w:rsidRPr="00134CE6">
        <w:rPr>
          <w:rFonts w:ascii="Palatino Linotype" w:hAnsi="Palatino Linotype"/>
          <w:color w:val="000000" w:themeColor="text1"/>
        </w:rPr>
        <w:t>en lo sucesivo 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w:t>
      </w:r>
      <w:r w:rsidR="009C1B6F">
        <w:rPr>
          <w:rFonts w:ascii="Palatino Linotype" w:hAnsi="Palatino Linotype" w:cs="Tahoma"/>
          <w:color w:val="0D0D0D" w:themeColor="text1" w:themeTint="F2"/>
        </w:rPr>
        <w:t>s</w:t>
      </w:r>
      <w:r w:rsidR="00B0695D" w:rsidRPr="00B0695D">
        <w:rPr>
          <w:rFonts w:ascii="Palatino Linotype" w:hAnsi="Palatino Linotype" w:cs="Tahoma"/>
          <w:color w:val="0D0D0D" w:themeColor="text1" w:themeTint="F2"/>
        </w:rPr>
        <w:t xml:space="preserve"> solicitud de acceso a la información pública</w:t>
      </w:r>
      <w:r w:rsidR="00B0695D" w:rsidRPr="00B0695D">
        <w:rPr>
          <w:rFonts w:ascii="Palatino Linotype" w:hAnsi="Palatino Linotype"/>
          <w:b/>
          <w:bCs/>
          <w:color w:val="FF0000"/>
        </w:rPr>
        <w:t> </w:t>
      </w:r>
      <w:r w:rsidR="003B70DC">
        <w:rPr>
          <w:rFonts w:ascii="Palatino Linotype" w:hAnsi="Palatino Linotype"/>
          <w:b/>
        </w:rPr>
        <w:t>01233/ZINACANT/IP/2022</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9C1B6F">
        <w:rPr>
          <w:rFonts w:ascii="Palatino Linotype" w:hAnsi="Palatino Linotype" w:cs="Tahoma"/>
          <w:bCs/>
          <w:color w:val="0D0D0D"/>
        </w:rPr>
        <w:t xml:space="preserve"> </w:t>
      </w:r>
      <w:r w:rsidR="00B0695D" w:rsidRPr="00B0695D">
        <w:rPr>
          <w:rFonts w:ascii="Palatino Linotype" w:hAnsi="Palatino Linotype" w:cs="Tahoma"/>
          <w:bCs/>
          <w:color w:val="0D0D0D"/>
        </w:rPr>
        <w:t>l</w:t>
      </w:r>
      <w:r w:rsidR="009C1B6F">
        <w:rPr>
          <w:rFonts w:ascii="Palatino Linotype" w:hAnsi="Palatino Linotype" w:cs="Tahoma"/>
          <w:bCs/>
          <w:color w:val="0D0D0D"/>
        </w:rPr>
        <w:t>os</w:t>
      </w:r>
      <w:r w:rsidR="00B0695D" w:rsidRPr="00B0695D">
        <w:rPr>
          <w:rFonts w:ascii="Palatino Linotype" w:hAnsi="Palatino Linotype" w:cs="Tahoma"/>
          <w:bCs/>
          <w:color w:val="0D0D0D"/>
        </w:rPr>
        <w:t xml:space="preserve"> diverso</w:t>
      </w:r>
      <w:r w:rsidR="009C1B6F">
        <w:rPr>
          <w:rFonts w:ascii="Palatino Linotype" w:hAnsi="Palatino Linotype" w:cs="Tahoma"/>
          <w:bCs/>
          <w:color w:val="0D0D0D"/>
        </w:rPr>
        <w:t>s</w:t>
      </w:r>
      <w:r w:rsidR="00B0695D" w:rsidRPr="00B0695D">
        <w:rPr>
          <w:rFonts w:ascii="Palatino Linotype" w:hAnsi="Palatino Linotype" w:cs="Tahoma"/>
          <w:bCs/>
          <w:color w:val="0D0D0D"/>
        </w:rPr>
        <w:t xml:space="preserve"> con número </w:t>
      </w:r>
      <w:r w:rsidR="003B70DC">
        <w:rPr>
          <w:rFonts w:ascii="Palatino Linotype" w:hAnsi="Palatino Linotype"/>
          <w:b/>
          <w:bCs/>
        </w:rPr>
        <w:t>17208/INFOEM/IP/RR/2022</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14:paraId="353E1C33" w14:textId="77777777" w:rsidR="00CE3153" w:rsidRPr="00134CE6" w:rsidRDefault="00CE3153" w:rsidP="00995B4E">
      <w:pPr>
        <w:spacing w:line="360" w:lineRule="auto"/>
        <w:jc w:val="both"/>
        <w:rPr>
          <w:rFonts w:ascii="Palatino Linotype" w:hAnsi="Palatino Linotype"/>
          <w:b/>
          <w:color w:val="000000" w:themeColor="text1"/>
        </w:rPr>
      </w:pPr>
    </w:p>
    <w:p w14:paraId="353E1C34" w14:textId="77777777"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34CE6">
        <w:rPr>
          <w:rFonts w:ascii="Palatino Linotype" w:hAnsi="Palatino Linotype"/>
          <w:b/>
          <w:color w:val="000000" w:themeColor="text1"/>
          <w:sz w:val="24"/>
          <w:szCs w:val="24"/>
        </w:rPr>
        <w:t>ANTECEDENTES</w:t>
      </w:r>
      <w:bookmarkEnd w:id="0"/>
      <w:bookmarkEnd w:id="1"/>
      <w:bookmarkEnd w:id="2"/>
    </w:p>
    <w:p w14:paraId="353E1C35" w14:textId="77777777" w:rsidR="00995B4E" w:rsidRPr="00995B4E" w:rsidRDefault="00995B4E" w:rsidP="00995B4E"/>
    <w:p w14:paraId="353E1C36" w14:textId="77777777" w:rsidR="003B70DC" w:rsidRPr="00855290" w:rsidRDefault="003B70DC" w:rsidP="003B70DC">
      <w:pPr>
        <w:pStyle w:val="Prrafodelista"/>
        <w:numPr>
          <w:ilvl w:val="0"/>
          <w:numId w:val="1"/>
        </w:numPr>
        <w:spacing w:line="360" w:lineRule="auto"/>
        <w:ind w:left="0" w:firstLine="0"/>
        <w:jc w:val="both"/>
        <w:rPr>
          <w:rFonts w:ascii="Palatino Linotype" w:eastAsia="Calibri" w:hAnsi="Palatino Linotype" w:cs="Arial"/>
          <w:lang w:val="es-ES"/>
        </w:rPr>
      </w:pPr>
      <w:r w:rsidRPr="00855290">
        <w:rPr>
          <w:rFonts w:ascii="Palatino Linotype" w:eastAsia="Calibri" w:hAnsi="Palatino Linotype" w:cs="Arial"/>
          <w:lang w:val="es-ES"/>
        </w:rPr>
        <w:t xml:space="preserve">El día </w:t>
      </w:r>
      <w:r>
        <w:rPr>
          <w:rFonts w:ascii="Palatino Linotype" w:eastAsia="Calibri" w:hAnsi="Palatino Linotype" w:cs="Arial"/>
          <w:lang w:val="es-ES"/>
        </w:rPr>
        <w:t>quince</w:t>
      </w:r>
      <w:r w:rsidRPr="00855290">
        <w:rPr>
          <w:rFonts w:ascii="Palatino Linotype" w:eastAsia="Calibri" w:hAnsi="Palatino Linotype" w:cs="Arial"/>
          <w:lang w:val="es-ES"/>
        </w:rPr>
        <w:t xml:space="preserve"> de </w:t>
      </w:r>
      <w:r>
        <w:rPr>
          <w:rFonts w:ascii="Palatino Linotype" w:eastAsia="Calibri" w:hAnsi="Palatino Linotype" w:cs="Arial"/>
          <w:lang w:val="es-ES"/>
        </w:rPr>
        <w:t>noviembre</w:t>
      </w:r>
      <w:r w:rsidRPr="00855290">
        <w:rPr>
          <w:rFonts w:ascii="Palatino Linotype" w:eastAsia="Calibri" w:hAnsi="Palatino Linotype" w:cs="Arial"/>
          <w:lang w:val="es-ES"/>
        </w:rPr>
        <w:t xml:space="preserve"> de dos mil veinti</w:t>
      </w:r>
      <w:r>
        <w:rPr>
          <w:rFonts w:ascii="Palatino Linotype" w:eastAsia="Calibri" w:hAnsi="Palatino Linotype" w:cs="Arial"/>
          <w:lang w:val="es-ES"/>
        </w:rPr>
        <w:t>d</w:t>
      </w:r>
      <w:r w:rsidRPr="00855290">
        <w:rPr>
          <w:rFonts w:ascii="Palatino Linotype" w:eastAsia="Calibri" w:hAnsi="Palatino Linotype" w:cs="Arial"/>
          <w:lang w:val="es-ES"/>
        </w:rPr>
        <w:t>ó</w:t>
      </w:r>
      <w:r>
        <w:rPr>
          <w:rFonts w:ascii="Palatino Linotype" w:eastAsia="Calibri" w:hAnsi="Palatino Linotype" w:cs="Arial"/>
          <w:lang w:val="es-ES"/>
        </w:rPr>
        <w:t>s</w:t>
      </w:r>
      <w:r w:rsidRPr="00855290">
        <w:rPr>
          <w:rFonts w:ascii="Palatino Linotype" w:hAnsi="Palatino Linotype"/>
          <w:b/>
        </w:rPr>
        <w:t xml:space="preserve">, </w:t>
      </w:r>
      <w:r w:rsidRPr="00855290">
        <w:rPr>
          <w:rFonts w:ascii="Palatino Linotype" w:eastAsia="Calibri" w:hAnsi="Palatino Linotype" w:cs="Arial"/>
          <w:lang w:val="es-ES"/>
        </w:rPr>
        <w:t xml:space="preserve">se presentó ante el </w:t>
      </w:r>
      <w:r w:rsidRPr="00855290">
        <w:rPr>
          <w:rFonts w:ascii="Palatino Linotype" w:eastAsia="Calibri" w:hAnsi="Palatino Linotype" w:cs="Arial"/>
          <w:b/>
          <w:lang w:val="es-ES"/>
        </w:rPr>
        <w:t>SUJETO OBLIGADO</w:t>
      </w:r>
      <w:r w:rsidRPr="00855290">
        <w:rPr>
          <w:rFonts w:ascii="Palatino Linotype" w:eastAsia="Calibri" w:hAnsi="Palatino Linotype" w:cs="Arial"/>
        </w:rPr>
        <w:t xml:space="preserve"> vía </w:t>
      </w:r>
      <w:r w:rsidRPr="00855290">
        <w:rPr>
          <w:rFonts w:ascii="Palatino Linotype" w:eastAsia="Calibri" w:hAnsi="Palatino Linotype" w:cs="Arial"/>
          <w:lang w:val="es-ES"/>
        </w:rPr>
        <w:t>SAIMEX, la solicitud de información pública registrada con el número</w:t>
      </w:r>
      <w:r w:rsidRPr="00855290">
        <w:rPr>
          <w:rFonts w:ascii="Palatino Linotype" w:hAnsi="Palatino Linotype"/>
          <w:b/>
          <w:bCs/>
          <w:color w:val="000000" w:themeColor="text1"/>
        </w:rPr>
        <w:t xml:space="preserve"> </w:t>
      </w:r>
      <w:r>
        <w:rPr>
          <w:rFonts w:ascii="Palatino Linotype" w:hAnsi="Palatino Linotype"/>
          <w:b/>
          <w:bCs/>
          <w:color w:val="000000" w:themeColor="text1"/>
        </w:rPr>
        <w:t>01233/ZINACANT/IP/2022</w:t>
      </w:r>
      <w:r w:rsidRPr="00855290">
        <w:rPr>
          <w:rFonts w:ascii="Palatino Linotype" w:hAnsi="Palatino Linotype"/>
          <w:b/>
          <w:bCs/>
          <w:color w:val="000000" w:themeColor="text1"/>
        </w:rPr>
        <w:t xml:space="preserve">; </w:t>
      </w:r>
      <w:r w:rsidRPr="00855290">
        <w:rPr>
          <w:rFonts w:ascii="Palatino Linotype" w:eastAsia="Calibri" w:hAnsi="Palatino Linotype" w:cs="Arial"/>
          <w:lang w:val="es-ES"/>
        </w:rPr>
        <w:t>mediante las cuales se solicitó la siguiente información:</w:t>
      </w:r>
    </w:p>
    <w:p w14:paraId="353E1C37" w14:textId="77777777" w:rsidR="003B70DC" w:rsidRPr="00855290" w:rsidRDefault="003B70DC" w:rsidP="003B70DC">
      <w:pPr>
        <w:pStyle w:val="Prrafodelista"/>
        <w:spacing w:line="360" w:lineRule="auto"/>
        <w:ind w:left="0"/>
        <w:jc w:val="both"/>
        <w:rPr>
          <w:rFonts w:ascii="Palatino Linotype" w:eastAsia="Calibri" w:hAnsi="Palatino Linotype" w:cs="Arial"/>
          <w:lang w:val="es-ES"/>
        </w:rPr>
      </w:pPr>
    </w:p>
    <w:p w14:paraId="353E1C38" w14:textId="77777777" w:rsidR="003B70DC" w:rsidRPr="00855290" w:rsidRDefault="003B70DC" w:rsidP="003B70DC">
      <w:pPr>
        <w:pStyle w:val="Prrafodelista"/>
        <w:spacing w:line="360" w:lineRule="auto"/>
        <w:ind w:left="426" w:right="474"/>
        <w:jc w:val="both"/>
        <w:rPr>
          <w:rFonts w:ascii="Palatino Linotype" w:hAnsi="Palatino Linotype"/>
          <w:i/>
        </w:rPr>
      </w:pPr>
      <w:r w:rsidRPr="00855290">
        <w:rPr>
          <w:rFonts w:ascii="Palatino Linotype" w:hAnsi="Palatino Linotype"/>
          <w:i/>
        </w:rPr>
        <w:t>“</w:t>
      </w:r>
      <w:r w:rsidRPr="00AF1616">
        <w:rPr>
          <w:rFonts w:ascii="Palatino Linotype" w:hAnsi="Palatino Linotype"/>
          <w:i/>
        </w:rPr>
        <w:t>SOLICITO EL GAFETE DE IDENTIFICACIÓN DE PERSONAL DEL TITULAR DE LA UNIDAD DE TRANSPARENCIA</w:t>
      </w:r>
      <w:r w:rsidRPr="00855290">
        <w:rPr>
          <w:rFonts w:ascii="Palatino Linotype" w:hAnsi="Palatino Linotype"/>
          <w:i/>
        </w:rPr>
        <w:t>”</w:t>
      </w:r>
    </w:p>
    <w:p w14:paraId="353E1C39" w14:textId="77777777" w:rsidR="003B70DC" w:rsidRPr="00855290" w:rsidRDefault="003B70DC" w:rsidP="003B70DC">
      <w:pPr>
        <w:pStyle w:val="Prrafodelista"/>
        <w:spacing w:line="360" w:lineRule="auto"/>
        <w:ind w:left="851" w:right="34"/>
        <w:jc w:val="both"/>
        <w:rPr>
          <w:rFonts w:ascii="Palatino Linotype" w:hAnsi="Palatino Linotype"/>
        </w:rPr>
      </w:pPr>
    </w:p>
    <w:p w14:paraId="353E1C3A" w14:textId="77777777" w:rsidR="003B70DC" w:rsidRPr="00855290" w:rsidRDefault="003B70DC" w:rsidP="003B70DC">
      <w:pPr>
        <w:pStyle w:val="Prrafodelista"/>
        <w:numPr>
          <w:ilvl w:val="0"/>
          <w:numId w:val="8"/>
        </w:numPr>
        <w:spacing w:line="360" w:lineRule="auto"/>
        <w:ind w:left="851" w:right="34"/>
        <w:jc w:val="both"/>
        <w:rPr>
          <w:rFonts w:ascii="Palatino Linotype" w:hAnsi="Palatino Linotype"/>
        </w:rPr>
      </w:pPr>
      <w:r w:rsidRPr="00855290">
        <w:rPr>
          <w:rFonts w:ascii="Palatino Linotype" w:eastAsia="Times New Roman" w:hAnsi="Palatino Linotype" w:cs="Arial"/>
          <w:lang w:val="es-ES"/>
        </w:rPr>
        <w:lastRenderedPageBreak/>
        <w:t>Se eligió como modalidad de entrega de la información</w:t>
      </w:r>
      <w:r w:rsidRPr="00855290">
        <w:rPr>
          <w:rFonts w:ascii="Palatino Linotype" w:hAnsi="Palatino Linotype"/>
        </w:rPr>
        <w:t xml:space="preserve">: A través del </w:t>
      </w:r>
      <w:r w:rsidRPr="00855290">
        <w:rPr>
          <w:rFonts w:ascii="Palatino Linotype" w:hAnsi="Palatino Linotype"/>
          <w:b/>
        </w:rPr>
        <w:t>SAIMEX</w:t>
      </w:r>
    </w:p>
    <w:p w14:paraId="353E1C3B" w14:textId="77777777" w:rsidR="003B70DC" w:rsidRPr="00855290" w:rsidRDefault="003B70DC" w:rsidP="003B70DC">
      <w:pPr>
        <w:pStyle w:val="Prrafodelista"/>
        <w:spacing w:line="360" w:lineRule="auto"/>
        <w:ind w:left="851" w:right="34"/>
        <w:jc w:val="both"/>
        <w:rPr>
          <w:rFonts w:ascii="Palatino Linotype" w:hAnsi="Palatino Linotype"/>
        </w:rPr>
      </w:pPr>
    </w:p>
    <w:p w14:paraId="353E1C3C" w14:textId="77777777" w:rsidR="003B70DC" w:rsidRPr="001428DC" w:rsidRDefault="003B70DC" w:rsidP="003B70DC">
      <w:pPr>
        <w:pStyle w:val="Prrafodelista"/>
        <w:numPr>
          <w:ilvl w:val="0"/>
          <w:numId w:val="1"/>
        </w:numPr>
        <w:spacing w:line="360" w:lineRule="auto"/>
        <w:ind w:left="0" w:firstLine="0"/>
        <w:jc w:val="both"/>
        <w:rPr>
          <w:rFonts w:ascii="Palatino Linotype" w:hAnsi="Palatino Linotype" w:cs="Arial"/>
          <w:i/>
          <w:color w:val="000000" w:themeColor="text1"/>
        </w:rPr>
      </w:pPr>
      <w:r w:rsidRPr="001428DC">
        <w:rPr>
          <w:rFonts w:ascii="Palatino Linotype" w:hAnsi="Palatino Linotype" w:cs="Arial"/>
          <w:color w:val="000000" w:themeColor="text1"/>
        </w:rPr>
        <w:t xml:space="preserve">El </w:t>
      </w:r>
      <w:r w:rsidRPr="001428DC">
        <w:rPr>
          <w:rFonts w:ascii="Palatino Linotype" w:hAnsi="Palatino Linotype" w:cs="Arial"/>
          <w:b/>
          <w:color w:val="000000" w:themeColor="text1"/>
        </w:rPr>
        <w:t>SUJETO OBLIGADO</w:t>
      </w:r>
      <w:r w:rsidRPr="001428DC">
        <w:rPr>
          <w:rFonts w:ascii="Palatino Linotype" w:hAnsi="Palatino Linotype" w:cs="Arial"/>
          <w:color w:val="000000" w:themeColor="text1"/>
        </w:rPr>
        <w:t xml:space="preserve"> fue omiso en oto</w:t>
      </w:r>
      <w:r>
        <w:rPr>
          <w:rFonts w:ascii="Palatino Linotype" w:hAnsi="Palatino Linotype" w:cs="Arial"/>
          <w:color w:val="000000" w:themeColor="text1"/>
        </w:rPr>
        <w:t>r</w:t>
      </w:r>
      <w:r w:rsidRPr="001428DC">
        <w:rPr>
          <w:rFonts w:ascii="Palatino Linotype" w:hAnsi="Palatino Linotype" w:cs="Arial"/>
          <w:color w:val="000000" w:themeColor="text1"/>
        </w:rPr>
        <w:t xml:space="preserve">gar una respuesta a la solicitud de </w:t>
      </w:r>
      <w:r w:rsidRPr="00154069">
        <w:rPr>
          <w:rFonts w:ascii="Palatino Linotype" w:eastAsia="Calibri" w:hAnsi="Palatino Linotype" w:cs="Arial"/>
          <w:lang w:val="es-ES"/>
        </w:rPr>
        <w:t>información</w:t>
      </w:r>
      <w:r>
        <w:rPr>
          <w:rFonts w:ascii="Palatino Linotype" w:hAnsi="Palatino Linotype" w:cs="Arial"/>
          <w:color w:val="000000" w:themeColor="text1"/>
        </w:rPr>
        <w:t>, por lo que e</w:t>
      </w:r>
      <w:r w:rsidRPr="001428DC">
        <w:rPr>
          <w:rFonts w:ascii="Palatino Linotype" w:hAnsi="Palatino Linotype" w:cs="Arial"/>
          <w:color w:val="000000" w:themeColor="text1"/>
        </w:rPr>
        <w:t xml:space="preserve">l </w:t>
      </w:r>
      <w:r>
        <w:rPr>
          <w:rFonts w:ascii="Palatino Linotype" w:hAnsi="Palatino Linotype" w:cs="Arial"/>
          <w:color w:val="000000" w:themeColor="text1"/>
        </w:rPr>
        <w:t>ocho</w:t>
      </w:r>
      <w:r w:rsidRPr="001428DC">
        <w:rPr>
          <w:rFonts w:ascii="Palatino Linotype" w:hAnsi="Palatino Linotype" w:cs="Arial"/>
          <w:color w:val="000000" w:themeColor="text1"/>
        </w:rPr>
        <w:t xml:space="preserve"> de </w:t>
      </w:r>
      <w:r>
        <w:rPr>
          <w:rFonts w:ascii="Palatino Linotype" w:hAnsi="Palatino Linotype" w:cs="Arial"/>
          <w:color w:val="000000" w:themeColor="text1"/>
        </w:rPr>
        <w:t>diciembre</w:t>
      </w:r>
      <w:r w:rsidRPr="001428DC">
        <w:rPr>
          <w:rFonts w:ascii="Palatino Linotype" w:hAnsi="Palatino Linotype" w:cs="Arial"/>
          <w:color w:val="000000" w:themeColor="text1"/>
        </w:rPr>
        <w:t xml:space="preserve"> de dos mil veintidós, el particular interpuso </w:t>
      </w:r>
      <w:r>
        <w:rPr>
          <w:rFonts w:ascii="Palatino Linotype" w:hAnsi="Palatino Linotype" w:cs="Arial"/>
          <w:color w:val="000000" w:themeColor="text1"/>
        </w:rPr>
        <w:t>e</w:t>
      </w:r>
      <w:r w:rsidRPr="001428DC">
        <w:rPr>
          <w:rFonts w:ascii="Palatino Linotype" w:hAnsi="Palatino Linotype" w:cs="Arial"/>
          <w:color w:val="000000" w:themeColor="text1"/>
        </w:rPr>
        <w:t xml:space="preserve">l recurso de revisión </w:t>
      </w:r>
      <w:r>
        <w:rPr>
          <w:rFonts w:ascii="Palatino Linotype" w:hAnsi="Palatino Linotype" w:cs="Arial"/>
          <w:color w:val="000000" w:themeColor="text1"/>
        </w:rPr>
        <w:t xml:space="preserve">de mérito </w:t>
      </w:r>
      <w:r w:rsidRPr="001428DC">
        <w:rPr>
          <w:rFonts w:ascii="Palatino Linotype" w:hAnsi="Palatino Linotype" w:cs="Arial"/>
          <w:color w:val="000000" w:themeColor="text1"/>
        </w:rPr>
        <w:t>en contra de la</w:t>
      </w:r>
      <w:r>
        <w:rPr>
          <w:rFonts w:ascii="Palatino Linotype" w:hAnsi="Palatino Linotype" w:cs="Arial"/>
          <w:color w:val="000000" w:themeColor="text1"/>
        </w:rPr>
        <w:t xml:space="preserve"> falta</w:t>
      </w:r>
      <w:r w:rsidRPr="001428DC">
        <w:rPr>
          <w:rFonts w:ascii="Palatino Linotype" w:hAnsi="Palatino Linotype" w:cs="Arial"/>
          <w:color w:val="000000" w:themeColor="text1"/>
        </w:rPr>
        <w:t xml:space="preserve"> respuesta, manifestando las </w:t>
      </w:r>
      <w:r>
        <w:rPr>
          <w:rFonts w:ascii="Palatino Linotype" w:hAnsi="Palatino Linotype" w:cs="Arial"/>
          <w:color w:val="000000" w:themeColor="text1"/>
        </w:rPr>
        <w:t>siguientes</w:t>
      </w:r>
      <w:r w:rsidRPr="001428DC">
        <w:rPr>
          <w:rFonts w:ascii="Palatino Linotype" w:hAnsi="Palatino Linotype" w:cs="Arial"/>
          <w:color w:val="000000" w:themeColor="text1"/>
        </w:rPr>
        <w:t xml:space="preserve"> razones o motivos de inconformidad:</w:t>
      </w:r>
    </w:p>
    <w:p w14:paraId="353E1C3D" w14:textId="77777777" w:rsidR="003B70DC" w:rsidRPr="00855290" w:rsidRDefault="003B70DC" w:rsidP="003B70DC">
      <w:pPr>
        <w:pStyle w:val="Prrafodelista"/>
        <w:tabs>
          <w:tab w:val="left" w:pos="0"/>
        </w:tabs>
        <w:spacing w:line="360" w:lineRule="auto"/>
        <w:ind w:left="0" w:right="49"/>
        <w:jc w:val="both"/>
        <w:rPr>
          <w:rFonts w:ascii="Palatino Linotype" w:hAnsi="Palatino Linotype" w:cs="Arial"/>
          <w:i/>
          <w:color w:val="000000" w:themeColor="text1"/>
        </w:rPr>
      </w:pPr>
    </w:p>
    <w:p w14:paraId="353E1C3E" w14:textId="77777777" w:rsidR="003B70DC" w:rsidRPr="00855290" w:rsidRDefault="003B70DC" w:rsidP="003B70DC">
      <w:pPr>
        <w:pStyle w:val="Prrafodelista"/>
        <w:numPr>
          <w:ilvl w:val="0"/>
          <w:numId w:val="8"/>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55290">
        <w:rPr>
          <w:rStyle w:val="Ttulo2Car"/>
          <w:rFonts w:ascii="Palatino Linotype" w:hAnsi="Palatino Linotype"/>
          <w:b/>
          <w:color w:val="auto"/>
          <w:sz w:val="24"/>
          <w:szCs w:val="24"/>
        </w:rPr>
        <w:t>Acto impugnado</w:t>
      </w:r>
      <w:bookmarkEnd w:id="3"/>
      <w:r w:rsidRPr="00855290">
        <w:rPr>
          <w:rStyle w:val="Ttulo2Car"/>
          <w:rFonts w:ascii="Palatino Linotype" w:hAnsi="Palatino Linotype"/>
          <w:b/>
          <w:color w:val="000000" w:themeColor="text1"/>
          <w:sz w:val="24"/>
          <w:szCs w:val="24"/>
        </w:rPr>
        <w:t xml:space="preserve">: </w:t>
      </w:r>
      <w:r w:rsidRPr="00855290">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Pr="00154069">
        <w:rPr>
          <w:rStyle w:val="Ttulo2Car"/>
          <w:rFonts w:ascii="Palatino Linotype" w:hAnsi="Palatino Linotype"/>
          <w:i/>
          <w:color w:val="000000" w:themeColor="text1"/>
          <w:sz w:val="24"/>
          <w:szCs w:val="24"/>
        </w:rPr>
        <w:t>NO ENTREGA INFORMACIÓN</w:t>
      </w:r>
      <w:r w:rsidRPr="00855290">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53E1C3F" w14:textId="77777777" w:rsidR="003B70DC" w:rsidRPr="00855290" w:rsidRDefault="003B70DC" w:rsidP="003B70DC">
      <w:pPr>
        <w:pStyle w:val="Prrafodelista"/>
        <w:spacing w:line="360" w:lineRule="auto"/>
        <w:ind w:left="1004"/>
        <w:jc w:val="both"/>
        <w:rPr>
          <w:rFonts w:ascii="Palatino Linotype" w:hAnsi="Palatino Linotype"/>
          <w:i/>
          <w:color w:val="000000" w:themeColor="text1"/>
        </w:rPr>
      </w:pPr>
    </w:p>
    <w:p w14:paraId="353E1C40" w14:textId="77777777" w:rsidR="003B70DC" w:rsidRPr="00855290" w:rsidRDefault="003B70DC" w:rsidP="003B70DC">
      <w:pPr>
        <w:pStyle w:val="Prrafodelista"/>
        <w:numPr>
          <w:ilvl w:val="0"/>
          <w:numId w:val="8"/>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55290">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55290">
        <w:rPr>
          <w:rFonts w:ascii="Palatino Linotype" w:hAnsi="Palatino Linotype"/>
          <w:b/>
          <w:color w:val="000000" w:themeColor="text1"/>
        </w:rPr>
        <w:t xml:space="preserve"> </w:t>
      </w:r>
      <w:r w:rsidRPr="00855290">
        <w:rPr>
          <w:rFonts w:ascii="Palatino Linotype" w:hAnsi="Palatino Linotype"/>
          <w:i/>
          <w:color w:val="000000" w:themeColor="text1"/>
        </w:rPr>
        <w:t>“</w:t>
      </w:r>
      <w:r w:rsidRPr="00154069">
        <w:rPr>
          <w:rFonts w:ascii="Palatino Linotype" w:hAnsi="Palatino Linotype"/>
          <w:i/>
          <w:color w:val="000000" w:themeColor="text1"/>
        </w:rPr>
        <w:t>NO ENTREGA INFORMACIÓN</w:t>
      </w:r>
      <w:r w:rsidRPr="00855290">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53E1C41" w14:textId="77777777" w:rsidR="003B70DC" w:rsidRPr="00855290" w:rsidRDefault="003B70DC" w:rsidP="003B70DC">
      <w:pPr>
        <w:pStyle w:val="Prrafodelista"/>
        <w:spacing w:line="360" w:lineRule="auto"/>
        <w:ind w:left="1004"/>
        <w:jc w:val="both"/>
        <w:rPr>
          <w:rFonts w:ascii="Palatino Linotype" w:hAnsi="Palatino Linotype"/>
          <w:i/>
          <w:color w:val="000000" w:themeColor="text1"/>
        </w:rPr>
      </w:pPr>
    </w:p>
    <w:p w14:paraId="353E1C42" w14:textId="77777777" w:rsidR="003B70DC" w:rsidRPr="00855290" w:rsidRDefault="003B70DC" w:rsidP="003B70DC">
      <w:pPr>
        <w:pStyle w:val="Prrafodelista"/>
        <w:numPr>
          <w:ilvl w:val="0"/>
          <w:numId w:val="1"/>
        </w:numPr>
        <w:spacing w:line="360" w:lineRule="auto"/>
        <w:ind w:left="0" w:firstLine="0"/>
        <w:jc w:val="both"/>
        <w:rPr>
          <w:rFonts w:ascii="Palatino Linotype" w:hAnsi="Palatino Linotype"/>
          <w:i/>
        </w:rPr>
      </w:pPr>
      <w:r w:rsidRPr="00855290">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Pr>
          <w:rFonts w:ascii="Palatino Linotype" w:eastAsia="Calibri" w:hAnsi="Palatino Linotype" w:cs="Arial"/>
          <w:lang w:val="es-ES"/>
        </w:rPr>
        <w:t xml:space="preserve">catorce </w:t>
      </w:r>
      <w:r w:rsidRPr="00855290">
        <w:rPr>
          <w:rFonts w:ascii="Palatino Linotype" w:eastAsia="Calibri" w:hAnsi="Palatino Linotype" w:cs="Arial"/>
          <w:lang w:val="es-ES"/>
        </w:rPr>
        <w:t xml:space="preserve"> de </w:t>
      </w:r>
      <w:r>
        <w:rPr>
          <w:rFonts w:ascii="Palatino Linotype" w:eastAsia="Calibri" w:hAnsi="Palatino Linotype" w:cs="Arial"/>
          <w:lang w:val="es-ES"/>
        </w:rPr>
        <w:t>diciembre</w:t>
      </w:r>
      <w:r w:rsidRPr="00855290">
        <w:rPr>
          <w:rFonts w:ascii="Palatino Linotype" w:eastAsia="Calibri" w:hAnsi="Palatino Linotype" w:cs="Arial"/>
          <w:lang w:val="es-ES"/>
        </w:rPr>
        <w:t xml:space="preserve"> </w:t>
      </w:r>
      <w:r w:rsidR="001C0DB3">
        <w:rPr>
          <w:rFonts w:ascii="Palatino Linotype" w:eastAsia="Calibri" w:hAnsi="Palatino Linotype" w:cs="Arial"/>
          <w:lang w:val="es-ES"/>
        </w:rPr>
        <w:t>de dos mil veintidós</w:t>
      </w:r>
      <w:r w:rsidRPr="00855290">
        <w:rPr>
          <w:rFonts w:ascii="Palatino Linotype" w:eastAsia="Calibri" w:hAnsi="Palatino Linotype" w:cs="Arial"/>
          <w:lang w:val="es-ES"/>
        </w:rPr>
        <w:t xml:space="preserve">, puso a disposición de las partes el expediente electrónico </w:t>
      </w:r>
      <w:r w:rsidRPr="00855290">
        <w:rPr>
          <w:rFonts w:ascii="Palatino Linotype" w:eastAsia="Calibri" w:hAnsi="Palatino Linotype" w:cs="Arial"/>
        </w:rPr>
        <w:t xml:space="preserve">vía </w:t>
      </w:r>
      <w:r w:rsidRPr="00855290">
        <w:rPr>
          <w:rFonts w:ascii="Palatino Linotype" w:eastAsia="Calibri" w:hAnsi="Palatino Linotype" w:cs="Arial"/>
          <w:b/>
          <w:lang w:val="es-ES"/>
        </w:rPr>
        <w:t xml:space="preserve">SAIMEX </w:t>
      </w:r>
      <w:r w:rsidRPr="0085529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855290">
        <w:rPr>
          <w:rFonts w:ascii="Palatino Linotype" w:eastAsia="Calibri" w:hAnsi="Palatino Linotype" w:cs="Arial"/>
          <w:b/>
          <w:lang w:val="es-ES"/>
        </w:rPr>
        <w:t>SUJETO OBLIGADO</w:t>
      </w:r>
      <w:r w:rsidRPr="00855290">
        <w:rPr>
          <w:rFonts w:ascii="Palatino Linotype" w:eastAsia="Calibri" w:hAnsi="Palatino Linotype" w:cs="Arial"/>
          <w:lang w:val="es-ES"/>
        </w:rPr>
        <w:t xml:space="preserve"> presentará el Informe Justificado procedente.</w:t>
      </w:r>
    </w:p>
    <w:p w14:paraId="353E1C43" w14:textId="77777777" w:rsidR="003B70DC" w:rsidRPr="00855290" w:rsidRDefault="003B70DC" w:rsidP="003B70DC">
      <w:pPr>
        <w:pStyle w:val="Prrafodelista"/>
        <w:spacing w:line="360" w:lineRule="auto"/>
        <w:ind w:left="0"/>
        <w:jc w:val="both"/>
        <w:rPr>
          <w:rFonts w:ascii="Palatino Linotype" w:hAnsi="Palatino Linotype"/>
        </w:rPr>
      </w:pPr>
    </w:p>
    <w:p w14:paraId="353E1C44" w14:textId="77777777" w:rsidR="003B70DC" w:rsidRPr="00F4226B" w:rsidRDefault="003B70DC" w:rsidP="003B70DC">
      <w:pPr>
        <w:pStyle w:val="Prrafodelista"/>
        <w:numPr>
          <w:ilvl w:val="0"/>
          <w:numId w:val="1"/>
        </w:numPr>
        <w:spacing w:line="360" w:lineRule="auto"/>
        <w:ind w:left="0" w:firstLine="0"/>
        <w:jc w:val="both"/>
        <w:rPr>
          <w:rFonts w:ascii="Palatino Linotype" w:hAnsi="Palatino Linotype"/>
        </w:rPr>
      </w:pPr>
      <w:r w:rsidRPr="00855290">
        <w:rPr>
          <w:rFonts w:ascii="Palatino Linotype" w:hAnsi="Palatino Linotype"/>
          <w:color w:val="000000"/>
        </w:rPr>
        <w:t xml:space="preserve">El </w:t>
      </w:r>
      <w:r w:rsidRPr="00855290">
        <w:rPr>
          <w:rFonts w:ascii="Palatino Linotype" w:hAnsi="Palatino Linotype"/>
          <w:b/>
          <w:color w:val="000000"/>
        </w:rPr>
        <w:t>SUJETO OBLIGADO</w:t>
      </w:r>
      <w:r w:rsidRPr="00855290">
        <w:rPr>
          <w:rFonts w:ascii="Palatino Linotype" w:hAnsi="Palatino Linotype"/>
          <w:color w:val="000000"/>
        </w:rPr>
        <w:t xml:space="preserve"> en fecha </w:t>
      </w:r>
      <w:r>
        <w:rPr>
          <w:rFonts w:ascii="Palatino Linotype" w:hAnsi="Palatino Linotype"/>
          <w:color w:val="000000"/>
        </w:rPr>
        <w:t>diez</w:t>
      </w:r>
      <w:r w:rsidRPr="00855290">
        <w:rPr>
          <w:rFonts w:ascii="Palatino Linotype" w:hAnsi="Palatino Linotype"/>
          <w:color w:val="000000"/>
        </w:rPr>
        <w:t xml:space="preserve"> </w:t>
      </w:r>
      <w:r>
        <w:rPr>
          <w:rFonts w:ascii="Palatino Linotype" w:hAnsi="Palatino Linotype"/>
          <w:color w:val="000000"/>
        </w:rPr>
        <w:t>de ener</w:t>
      </w:r>
      <w:r w:rsidRPr="00855290">
        <w:rPr>
          <w:rFonts w:ascii="Palatino Linotype" w:hAnsi="Palatino Linotype"/>
          <w:color w:val="000000"/>
        </w:rPr>
        <w:t xml:space="preserve">o del año </w:t>
      </w:r>
      <w:r>
        <w:rPr>
          <w:rFonts w:ascii="Palatino Linotype" w:hAnsi="Palatino Linotype"/>
          <w:color w:val="000000"/>
        </w:rPr>
        <w:t xml:space="preserve">dos mil veintitrés </w:t>
      </w:r>
      <w:r w:rsidRPr="00855290">
        <w:rPr>
          <w:rFonts w:ascii="Palatino Linotype" w:hAnsi="Palatino Linotype"/>
          <w:color w:val="000000"/>
        </w:rPr>
        <w:t xml:space="preserve"> rindió su informe justificado, el cual, se puso a disposición del ahora </w:t>
      </w:r>
      <w:r w:rsidRPr="00855290">
        <w:rPr>
          <w:rFonts w:ascii="Palatino Linotype" w:hAnsi="Palatino Linotype"/>
          <w:b/>
          <w:color w:val="000000"/>
        </w:rPr>
        <w:t>RECURRENTE</w:t>
      </w:r>
      <w:r w:rsidRPr="00855290">
        <w:rPr>
          <w:rFonts w:ascii="Palatino Linotype" w:hAnsi="Palatino Linotype"/>
          <w:color w:val="000000"/>
        </w:rPr>
        <w:t xml:space="preserve"> </w:t>
      </w:r>
      <w:r>
        <w:rPr>
          <w:rFonts w:ascii="Palatino Linotype" w:hAnsi="Palatino Linotype"/>
          <w:color w:val="000000"/>
        </w:rPr>
        <w:t xml:space="preserve">mediante acuerdo de día diecisiete </w:t>
      </w:r>
      <w:r w:rsidRPr="00F4226B">
        <w:rPr>
          <w:rFonts w:ascii="Palatino Linotype" w:hAnsi="Palatino Linotype"/>
          <w:color w:val="000000"/>
        </w:rPr>
        <w:t xml:space="preserve">del mismo </w:t>
      </w:r>
      <w:r>
        <w:rPr>
          <w:rFonts w:ascii="Palatino Linotype" w:hAnsi="Palatino Linotype"/>
          <w:color w:val="000000"/>
        </w:rPr>
        <w:t xml:space="preserve">mes y </w:t>
      </w:r>
      <w:r w:rsidRPr="00F4226B">
        <w:rPr>
          <w:rFonts w:ascii="Palatino Linotype" w:hAnsi="Palatino Linotype"/>
          <w:color w:val="000000"/>
        </w:rPr>
        <w:t xml:space="preserve">año. Por su parte </w:t>
      </w:r>
      <w:r w:rsidRPr="00F4226B">
        <w:rPr>
          <w:rFonts w:ascii="Palatino Linotype" w:hAnsi="Palatino Linotype"/>
          <w:b/>
          <w:color w:val="000000"/>
        </w:rPr>
        <w:t xml:space="preserve">EL </w:t>
      </w:r>
      <w:r w:rsidRPr="00F4226B">
        <w:rPr>
          <w:rFonts w:ascii="Palatino Linotype" w:hAnsi="Palatino Linotype"/>
          <w:b/>
          <w:color w:val="000000"/>
        </w:rPr>
        <w:lastRenderedPageBreak/>
        <w:t xml:space="preserve">PARTICULAR </w:t>
      </w:r>
      <w:r w:rsidRPr="00F4226B">
        <w:rPr>
          <w:rFonts w:ascii="Palatino Linotype" w:hAnsi="Palatino Linotype"/>
          <w:color w:val="000000"/>
        </w:rPr>
        <w:t>dejó de realizar manifestaciones que a su derecho conviniera y asistiera.</w:t>
      </w:r>
    </w:p>
    <w:p w14:paraId="353E1C45" w14:textId="77777777" w:rsidR="003B70DC" w:rsidRPr="00855290" w:rsidRDefault="003B70DC" w:rsidP="003B70DC">
      <w:pPr>
        <w:pStyle w:val="Prrafodelista"/>
        <w:spacing w:line="360" w:lineRule="auto"/>
        <w:ind w:left="0"/>
        <w:jc w:val="both"/>
        <w:rPr>
          <w:rFonts w:ascii="Palatino Linotype" w:hAnsi="Palatino Linotype"/>
        </w:rPr>
      </w:pPr>
    </w:p>
    <w:p w14:paraId="353E1C46" w14:textId="77777777" w:rsidR="009C1B6F" w:rsidRPr="001C31A4" w:rsidRDefault="003B70DC" w:rsidP="003B70D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3B70DC">
        <w:rPr>
          <w:rFonts w:ascii="Palatino Linotype" w:hAnsi="Palatino Linotype"/>
        </w:rPr>
        <w:t>El veintitrés de enero de dos mil veintitrés,</w:t>
      </w:r>
      <w:r w:rsidRPr="00855290">
        <w:rPr>
          <w:rFonts w:ascii="Palatino Linotype" w:hAnsi="Palatino Linotype"/>
        </w:rPr>
        <w:t xml:space="preserve"> </w:t>
      </w:r>
      <w:r>
        <w:rPr>
          <w:rFonts w:ascii="Palatino Linotype" w:hAnsi="Palatino Linotype"/>
        </w:rPr>
        <w:t xml:space="preserve">se </w:t>
      </w:r>
      <w:r w:rsidRPr="00855290">
        <w:rPr>
          <w:rFonts w:ascii="Palatino Linotype" w:hAnsi="Palatino Linotype"/>
        </w:rPr>
        <w:t>de</w:t>
      </w:r>
      <w:r>
        <w:rPr>
          <w:rFonts w:ascii="Palatino Linotype" w:hAnsi="Palatino Linotype"/>
        </w:rPr>
        <w:t xml:space="preserve">cretó el cierre de instrucción </w:t>
      </w:r>
      <w:r w:rsidR="001C0DB3">
        <w:rPr>
          <w:rFonts w:ascii="Palatino Linotype" w:hAnsi="Palatino Linotype"/>
        </w:rPr>
        <w:t xml:space="preserve">y </w:t>
      </w:r>
      <w:r>
        <w:rPr>
          <w:rFonts w:ascii="Palatino Linotype" w:hAnsi="Palatino Linotype" w:cs="Arial"/>
        </w:rPr>
        <w:t>a</w:t>
      </w:r>
      <w:r w:rsidR="009C1B6F" w:rsidRPr="00FE0BCB">
        <w:rPr>
          <w:rFonts w:ascii="Palatino Linotype" w:hAnsi="Palatino Linotype"/>
        </w:rPr>
        <w:t>l no existir d</w:t>
      </w:r>
      <w:r>
        <w:rPr>
          <w:rFonts w:ascii="Palatino Linotype" w:hAnsi="Palatino Linotype"/>
        </w:rPr>
        <w:t>iligencias por realizar y se</w:t>
      </w:r>
      <w:r w:rsidR="001269AD">
        <w:rPr>
          <w:rFonts w:ascii="Palatino Linotype" w:hAnsi="Palatino Linotype"/>
        </w:rPr>
        <w:t xml:space="preserve"> turnó</w:t>
      </w:r>
      <w:r w:rsidR="009C1B6F" w:rsidRPr="00FE0BCB">
        <w:rPr>
          <w:rFonts w:ascii="Palatino Linotype" w:eastAsia="MS Mincho" w:hAnsi="Palatino Linotype"/>
        </w:rPr>
        <w:t xml:space="preserve"> el </w:t>
      </w:r>
      <w:r w:rsidR="001C31A4">
        <w:rPr>
          <w:rFonts w:ascii="Palatino Linotype" w:eastAsia="MS Mincho" w:hAnsi="Palatino Linotype" w:cs="Arial"/>
        </w:rPr>
        <w:t>expediente a resolución.</w:t>
      </w:r>
    </w:p>
    <w:p w14:paraId="353E1C47" w14:textId="77777777"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14:paraId="353E1C48" w14:textId="77777777" w:rsidR="001C31A4" w:rsidRPr="001C31A4" w:rsidRDefault="001C31A4" w:rsidP="003B70D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t xml:space="preserve">El </w:t>
      </w:r>
      <w:r w:rsidR="003B70DC" w:rsidRPr="00E25145">
        <w:rPr>
          <w:rFonts w:ascii="Palatino Linotype" w:hAnsi="Palatino Linotype"/>
          <w:color w:val="000000" w:themeColor="text1"/>
        </w:rPr>
        <w:t>veinticinco</w:t>
      </w:r>
      <w:r w:rsidR="003B70DC">
        <w:rPr>
          <w:rFonts w:ascii="Palatino Linotype" w:hAnsi="Palatino Linotype"/>
        </w:rPr>
        <w:t xml:space="preserve"> de enero</w:t>
      </w:r>
      <w:r w:rsidR="00A9000C">
        <w:rPr>
          <w:rFonts w:ascii="Palatino Linotype" w:hAnsi="Palatino Linotype"/>
          <w:color w:val="000000" w:themeColor="text1"/>
        </w:rPr>
        <w:t xml:space="preserve"> de dos mil veintitré</w:t>
      </w:r>
      <w:r w:rsidR="00A9000C" w:rsidRPr="001C31A4">
        <w:rPr>
          <w:rFonts w:ascii="Palatino Linotype" w:hAnsi="Palatino Linotype"/>
          <w:color w:val="000000" w:themeColor="text1"/>
        </w:rPr>
        <w:t>s</w:t>
      </w:r>
      <w:r w:rsidRPr="001C31A4">
        <w:rPr>
          <w:rFonts w:ascii="Palatino Linotype" w:hAnsi="Palatino Linotype"/>
          <w:color w:val="000000" w:themeColor="text1"/>
        </w:rPr>
        <w:t xml:space="preserve">, en la </w:t>
      </w:r>
      <w:r w:rsidR="003B70DC">
        <w:rPr>
          <w:rFonts w:ascii="Palatino Linotype" w:hAnsi="Palatino Linotype"/>
          <w:color w:val="000000" w:themeColor="text1"/>
        </w:rPr>
        <w:t>Tercera</w:t>
      </w:r>
      <w:r w:rsidRPr="001C31A4">
        <w:rPr>
          <w:rFonts w:ascii="Palatino Linotype" w:hAnsi="Palatino Linotype"/>
          <w:color w:val="000000" w:themeColor="text1"/>
        </w:rPr>
        <w:t xml:space="preserve"> Sesión Ordinaria, el Pleno de este Instituto</w:t>
      </w:r>
      <w:r w:rsidR="00995B4E">
        <w:rPr>
          <w:rFonts w:ascii="Palatino Linotype" w:hAnsi="Palatino Linotype"/>
          <w:color w:val="000000" w:themeColor="text1"/>
        </w:rPr>
        <w:t>, se</w:t>
      </w:r>
      <w:r w:rsidRPr="001C31A4">
        <w:rPr>
          <w:rFonts w:ascii="Palatino Linotype" w:hAnsi="Palatino Linotype"/>
          <w:color w:val="000000" w:themeColor="text1"/>
        </w:rPr>
        <w:t xml:space="preserve"> aprobó la resolución emitida a los recursos objeto de </w:t>
      </w:r>
      <w:r w:rsidRPr="003B70DC">
        <w:rPr>
          <w:rFonts w:ascii="Palatino Linotype" w:hAnsi="Palatino Linotype"/>
        </w:rPr>
        <w:t>acumulación</w:t>
      </w:r>
      <w:r w:rsidRPr="001C31A4">
        <w:rPr>
          <w:rFonts w:ascii="Palatino Linotype" w:hAnsi="Palatino Linotype"/>
          <w:color w:val="000000" w:themeColor="text1"/>
        </w:rPr>
        <w:t>, la cual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w:t>
      </w:r>
      <w:r w:rsidR="00CE3153" w:rsidRPr="00A9000C">
        <w:rPr>
          <w:rFonts w:ascii="Palatino Linotype" w:hAnsi="Palatino Linotype"/>
          <w:b/>
          <w:color w:val="000000" w:themeColor="text1"/>
        </w:rPr>
        <w:t>EL RECURRENTE</w:t>
      </w:r>
      <w:r w:rsidRPr="001C31A4">
        <w:rPr>
          <w:rFonts w:ascii="Palatino Linotype" w:hAnsi="Palatino Linotype"/>
          <w:color w:val="000000" w:themeColor="text1"/>
        </w:rPr>
        <w:t xml:space="preserve"> el </w:t>
      </w:r>
      <w:r w:rsidR="003B70DC">
        <w:rPr>
          <w:rFonts w:ascii="Palatino Linotype" w:hAnsi="Palatino Linotype"/>
          <w:color w:val="000000" w:themeColor="text1"/>
        </w:rPr>
        <w:t>treinta de enero</w:t>
      </w:r>
      <w:r w:rsidRPr="001C31A4">
        <w:rPr>
          <w:rFonts w:ascii="Palatino Linotype" w:hAnsi="Palatino Linotype"/>
          <w:color w:val="000000" w:themeColor="text1"/>
        </w:rPr>
        <w:t xml:space="preserve"> de dos mil </w:t>
      </w:r>
      <w:r w:rsidR="00A9000C">
        <w:rPr>
          <w:rFonts w:ascii="Palatino Linotype" w:hAnsi="Palatino Linotype"/>
          <w:color w:val="000000" w:themeColor="text1"/>
        </w:rPr>
        <w:t>veintitrés</w:t>
      </w:r>
      <w:r w:rsidRPr="001C31A4">
        <w:rPr>
          <w:rFonts w:ascii="Palatino Linotype" w:hAnsi="Palatino Linotype"/>
          <w:color w:val="000000" w:themeColor="text1"/>
        </w:rPr>
        <w:t xml:space="preserve">, </w:t>
      </w:r>
      <w:r w:rsidRPr="001C31A4">
        <w:rPr>
          <w:rFonts w:ascii="Palatino Linotype" w:hAnsi="Palatino Linotype" w:cs="Tahoma"/>
          <w:bCs/>
        </w:rPr>
        <w:t>en la cual se determinó lo siguiente:</w:t>
      </w:r>
    </w:p>
    <w:p w14:paraId="353E1C49" w14:textId="77777777" w:rsidR="009C1B6F" w:rsidRDefault="009C1B6F" w:rsidP="001C31A4">
      <w:pPr>
        <w:pStyle w:val="Prrafodelista"/>
        <w:spacing w:line="360" w:lineRule="auto"/>
        <w:ind w:left="0"/>
        <w:contextualSpacing w:val="0"/>
        <w:jc w:val="both"/>
        <w:rPr>
          <w:rFonts w:ascii="Palatino Linotype" w:hAnsi="Palatino Linotype"/>
          <w:b/>
          <w:color w:val="000000" w:themeColor="text1"/>
        </w:rPr>
      </w:pPr>
    </w:p>
    <w:p w14:paraId="353E1C4A" w14:textId="77777777" w:rsidR="003B70DC" w:rsidRPr="003B70DC" w:rsidRDefault="001C31A4" w:rsidP="003B70DC">
      <w:pPr>
        <w:spacing w:line="360" w:lineRule="auto"/>
        <w:ind w:left="426" w:right="333"/>
        <w:jc w:val="both"/>
        <w:rPr>
          <w:rFonts w:ascii="Palatino Linotype" w:hAnsi="Palatino Linotype" w:cs="Arial"/>
          <w:bCs/>
          <w:i/>
          <w:lang w:eastAsia="es-MX"/>
        </w:rPr>
      </w:pPr>
      <w:r w:rsidRPr="003B70DC">
        <w:rPr>
          <w:rFonts w:ascii="Palatino Linotype" w:eastAsia="Calibri" w:hAnsi="Palatino Linotype" w:cs="Arial"/>
          <w:b/>
          <w:bCs/>
          <w:i/>
          <w:lang w:val="es-ES"/>
        </w:rPr>
        <w:t>“</w:t>
      </w:r>
      <w:r w:rsidR="003B70DC" w:rsidRPr="003B70DC">
        <w:rPr>
          <w:rFonts w:ascii="Palatino Linotype" w:hAnsi="Palatino Linotype" w:cs="Arial"/>
          <w:b/>
          <w:i/>
        </w:rPr>
        <w:t xml:space="preserve">PRIMERO. </w:t>
      </w:r>
      <w:r w:rsidR="003B70DC" w:rsidRPr="003B70DC">
        <w:rPr>
          <w:rFonts w:ascii="Palatino Linotype" w:hAnsi="Palatino Linotype" w:cs="Arial"/>
          <w:i/>
        </w:rPr>
        <w:t>Resultan fundadas las</w:t>
      </w:r>
      <w:r w:rsidR="003B70DC" w:rsidRPr="003B70DC">
        <w:rPr>
          <w:rFonts w:ascii="Palatino Linotype" w:hAnsi="Palatino Linotype" w:cs="Arial"/>
          <w:b/>
          <w:i/>
        </w:rPr>
        <w:t xml:space="preserve"> </w:t>
      </w:r>
      <w:r w:rsidR="003B70DC" w:rsidRPr="003B70DC">
        <w:rPr>
          <w:rFonts w:ascii="Palatino Linotype" w:hAnsi="Palatino Linotype" w:cs="Arial"/>
          <w:i/>
          <w:lang w:val="es-ES"/>
        </w:rPr>
        <w:t>razones y motivos de inconformidad hechos valer en el recurso de revisión</w:t>
      </w:r>
      <w:r w:rsidR="003B70DC" w:rsidRPr="003B70DC">
        <w:rPr>
          <w:rFonts w:ascii="Palatino Linotype" w:hAnsi="Palatino Linotype" w:cs="Arial"/>
          <w:b/>
          <w:bCs/>
          <w:i/>
        </w:rPr>
        <w:t xml:space="preserve"> </w:t>
      </w:r>
      <w:r w:rsidR="003B70DC" w:rsidRPr="003B70DC">
        <w:rPr>
          <w:rFonts w:ascii="Palatino Linotype" w:eastAsiaTheme="minorHAnsi" w:hAnsi="Palatino Linotype" w:cs="AppleSystemUIFontBold"/>
          <w:b/>
          <w:bCs/>
          <w:i/>
          <w:lang w:eastAsia="en-US"/>
        </w:rPr>
        <w:t xml:space="preserve">17208/INFOEM/IP/RR/2022 </w:t>
      </w:r>
      <w:r w:rsidR="003B70DC" w:rsidRPr="003B70DC">
        <w:rPr>
          <w:rFonts w:ascii="Palatino Linotype" w:eastAsiaTheme="minorHAnsi" w:hAnsi="Palatino Linotype" w:cs="AppleSystemUIFontBold"/>
          <w:bCs/>
          <w:i/>
          <w:lang w:eastAsia="en-US"/>
        </w:rPr>
        <w:t xml:space="preserve">en </w:t>
      </w:r>
      <w:r w:rsidR="003B70DC" w:rsidRPr="003B70DC">
        <w:rPr>
          <w:rFonts w:ascii="Palatino Linotype" w:hAnsi="Palatino Linotype" w:cs="Arial"/>
          <w:bCs/>
          <w:i/>
          <w:lang w:eastAsia="es-MX"/>
        </w:rPr>
        <w:t xml:space="preserve">términos de los </w:t>
      </w:r>
      <w:r w:rsidR="003B70DC" w:rsidRPr="003B70DC">
        <w:rPr>
          <w:rFonts w:ascii="Palatino Linotype" w:hAnsi="Palatino Linotype" w:cs="Arial"/>
          <w:b/>
          <w:bCs/>
          <w:i/>
          <w:lang w:eastAsia="es-MX"/>
        </w:rPr>
        <w:t xml:space="preserve">Considerandos Cuarto </w:t>
      </w:r>
      <w:r w:rsidR="003B70DC" w:rsidRPr="003B70DC">
        <w:rPr>
          <w:rFonts w:ascii="Palatino Linotype" w:hAnsi="Palatino Linotype" w:cs="Arial"/>
          <w:bCs/>
          <w:i/>
          <w:lang w:eastAsia="es-MX"/>
        </w:rPr>
        <w:t xml:space="preserve">y </w:t>
      </w:r>
      <w:r w:rsidR="003B70DC" w:rsidRPr="003B70DC">
        <w:rPr>
          <w:rFonts w:ascii="Palatino Linotype" w:hAnsi="Palatino Linotype" w:cs="Arial"/>
          <w:b/>
          <w:bCs/>
          <w:i/>
          <w:lang w:eastAsia="es-MX"/>
        </w:rPr>
        <w:t xml:space="preserve">Quinto </w:t>
      </w:r>
      <w:r w:rsidR="003B70DC" w:rsidRPr="003B70DC">
        <w:rPr>
          <w:rFonts w:ascii="Palatino Linotype" w:hAnsi="Palatino Linotype" w:cs="Arial"/>
          <w:bCs/>
          <w:i/>
          <w:lang w:eastAsia="es-MX"/>
        </w:rPr>
        <w:t>de la presente resolución.</w:t>
      </w:r>
    </w:p>
    <w:p w14:paraId="353E1C4B" w14:textId="77777777" w:rsidR="003B70DC" w:rsidRPr="003B70DC" w:rsidRDefault="003B70DC" w:rsidP="003B70DC">
      <w:pPr>
        <w:spacing w:line="360" w:lineRule="auto"/>
        <w:ind w:left="426" w:right="333"/>
        <w:jc w:val="both"/>
        <w:rPr>
          <w:rFonts w:ascii="Palatino Linotype" w:hAnsi="Palatino Linotype" w:cs="Arial"/>
          <w:bCs/>
          <w:i/>
          <w:lang w:eastAsia="es-MX"/>
        </w:rPr>
      </w:pPr>
    </w:p>
    <w:p w14:paraId="353E1C4C" w14:textId="77777777" w:rsidR="003B70DC" w:rsidRPr="003B70DC" w:rsidRDefault="003B70DC" w:rsidP="003B70DC">
      <w:pPr>
        <w:spacing w:line="360" w:lineRule="auto"/>
        <w:ind w:left="426" w:right="333"/>
        <w:jc w:val="both"/>
        <w:rPr>
          <w:rFonts w:ascii="Palatino Linotype" w:eastAsiaTheme="minorHAnsi" w:hAnsi="Palatino Linotype" w:cs="AppleSystemUIFontBold"/>
          <w:b/>
          <w:bCs/>
          <w:i/>
          <w:lang w:eastAsia="en-US"/>
        </w:rPr>
      </w:pPr>
      <w:r w:rsidRPr="003B70DC">
        <w:rPr>
          <w:rFonts w:ascii="Palatino Linotype" w:eastAsia="Calibri" w:hAnsi="Palatino Linotype" w:cs="Arial"/>
          <w:b/>
          <w:bCs/>
          <w:i/>
          <w:lang w:val="es-ES"/>
        </w:rPr>
        <w:t xml:space="preserve">SEGUNDO. </w:t>
      </w:r>
      <w:r w:rsidRPr="003B70DC">
        <w:rPr>
          <w:rFonts w:ascii="Palatino Linotype" w:eastAsia="Calibri" w:hAnsi="Palatino Linotype" w:cs="Arial"/>
          <w:i/>
          <w:lang w:val="es-ES"/>
        </w:rPr>
        <w:t xml:space="preserve">Se </w:t>
      </w:r>
      <w:r w:rsidRPr="003B70DC">
        <w:rPr>
          <w:rFonts w:ascii="Palatino Linotype" w:eastAsia="Calibri" w:hAnsi="Palatino Linotype" w:cs="Arial"/>
          <w:b/>
          <w:i/>
          <w:lang w:val="es-ES"/>
        </w:rPr>
        <w:t xml:space="preserve">ORDENA </w:t>
      </w:r>
      <w:r w:rsidRPr="003B70DC">
        <w:rPr>
          <w:rFonts w:ascii="Palatino Linotype" w:eastAsia="Calibri" w:hAnsi="Palatino Linotype" w:cs="Arial"/>
          <w:i/>
          <w:lang w:val="es-ES"/>
        </w:rPr>
        <w:t xml:space="preserve">al </w:t>
      </w:r>
      <w:r w:rsidRPr="003B70DC">
        <w:rPr>
          <w:rFonts w:ascii="Palatino Linotype" w:eastAsia="MS Mincho" w:hAnsi="Palatino Linotype"/>
          <w:b/>
          <w:i/>
        </w:rPr>
        <w:t xml:space="preserve">Ayuntamiento de Zinacantepec </w:t>
      </w:r>
      <w:r w:rsidRPr="003B70DC">
        <w:rPr>
          <w:rFonts w:ascii="Palatino Linotype" w:eastAsia="Calibri" w:hAnsi="Palatino Linotype" w:cs="Arial"/>
          <w:i/>
          <w:lang w:val="es-ES"/>
        </w:rPr>
        <w:t xml:space="preserve"> entregar vía </w:t>
      </w:r>
      <w:r w:rsidRPr="003B70DC">
        <w:rPr>
          <w:rFonts w:ascii="Palatino Linotype" w:eastAsia="Calibri" w:hAnsi="Palatino Linotype" w:cs="Arial"/>
          <w:b/>
          <w:i/>
          <w:lang w:val="es-ES"/>
        </w:rPr>
        <w:t>SAIMEX</w:t>
      </w:r>
      <w:r w:rsidRPr="003B70DC">
        <w:rPr>
          <w:rFonts w:ascii="Palatino Linotype" w:eastAsia="Calibri" w:hAnsi="Palatino Linotype" w:cs="Arial"/>
          <w:i/>
          <w:lang w:val="es-ES"/>
        </w:rPr>
        <w:t xml:space="preserve">, de ser el caso en versión pública, </w:t>
      </w:r>
      <w:r w:rsidRPr="003B70DC">
        <w:rPr>
          <w:rFonts w:ascii="Palatino Linotype" w:eastAsia="Calibri" w:hAnsi="Palatino Linotype" w:cs="Arial"/>
          <w:i/>
        </w:rPr>
        <w:t>el gafete de identificación del Titular de la Unidad de Transparencia, vigente al 15 de noviembre de 2022.</w:t>
      </w:r>
    </w:p>
    <w:p w14:paraId="353E1C4D" w14:textId="77777777" w:rsidR="003B70DC" w:rsidRPr="003B70DC" w:rsidRDefault="003B70DC" w:rsidP="003B70DC">
      <w:pPr>
        <w:spacing w:line="360" w:lineRule="auto"/>
        <w:ind w:left="426" w:right="333"/>
        <w:jc w:val="both"/>
        <w:rPr>
          <w:rFonts w:ascii="Palatino Linotype" w:eastAsiaTheme="minorHAnsi" w:hAnsi="Palatino Linotype" w:cs="AppleSystemUIFontBold"/>
          <w:b/>
          <w:bCs/>
          <w:i/>
          <w:lang w:eastAsia="en-US"/>
        </w:rPr>
      </w:pPr>
    </w:p>
    <w:p w14:paraId="353E1C4E" w14:textId="77777777" w:rsidR="003B70DC" w:rsidRPr="003B70DC" w:rsidRDefault="003B70DC" w:rsidP="003B70DC">
      <w:pPr>
        <w:tabs>
          <w:tab w:val="left" w:pos="8080"/>
        </w:tabs>
        <w:spacing w:line="360" w:lineRule="auto"/>
        <w:ind w:left="426" w:right="333"/>
        <w:jc w:val="both"/>
        <w:rPr>
          <w:rFonts w:ascii="Palatino Linotype" w:hAnsi="Palatino Linotype" w:cs="Arial"/>
          <w:b/>
          <w:i/>
          <w:szCs w:val="20"/>
        </w:rPr>
      </w:pPr>
      <w:r w:rsidRPr="003B70DC">
        <w:rPr>
          <w:rFonts w:ascii="Palatino Linotype" w:hAnsi="Palatino Linotype" w:cs="Arial"/>
          <w:i/>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3B70DC">
        <w:rPr>
          <w:rFonts w:ascii="Palatino Linotype" w:hAnsi="Palatino Linotype" w:cs="Arial"/>
          <w:b/>
          <w:i/>
          <w:szCs w:val="20"/>
        </w:rPr>
        <w:t xml:space="preserve"> RECURRENTE.</w:t>
      </w:r>
    </w:p>
    <w:p w14:paraId="353E1C4F" w14:textId="77777777" w:rsidR="001C31A4" w:rsidRPr="003B70DC" w:rsidRDefault="003B70DC" w:rsidP="003B70DC">
      <w:pPr>
        <w:tabs>
          <w:tab w:val="left" w:pos="8080"/>
        </w:tabs>
        <w:spacing w:line="360" w:lineRule="auto"/>
        <w:ind w:left="426" w:right="333"/>
        <w:contextualSpacing/>
        <w:jc w:val="both"/>
        <w:rPr>
          <w:rFonts w:ascii="Palatino Linotype" w:eastAsia="Palatino Linotype" w:hAnsi="Palatino Linotype" w:cs="Palatino Linotype"/>
          <w:b/>
          <w:i/>
        </w:rPr>
      </w:pPr>
      <w:r w:rsidRPr="003B70DC">
        <w:rPr>
          <w:rFonts w:ascii="Palatino Linotype" w:eastAsia="Palatino Linotype" w:hAnsi="Palatino Linotype" w:cs="Palatino Linotype"/>
          <w:b/>
          <w:i/>
        </w:rPr>
        <w:lastRenderedPageBreak/>
        <w:t xml:space="preserve">TERCERO. Notifíquese </w:t>
      </w:r>
      <w:r w:rsidRPr="003B70DC">
        <w:rPr>
          <w:rFonts w:ascii="Palatino Linotype" w:eastAsia="Palatino Linotype" w:hAnsi="Palatino Linotype" w:cs="Palatino Linotype"/>
          <w:i/>
        </w:rPr>
        <w:t xml:space="preserve">al Titular de la Unidad de Transparencia del </w:t>
      </w:r>
      <w:r w:rsidRPr="003B70DC">
        <w:rPr>
          <w:rFonts w:ascii="Palatino Linotype" w:eastAsia="Palatino Linotype" w:hAnsi="Palatino Linotype" w:cs="Palatino Linotype"/>
          <w:b/>
          <w:i/>
        </w:rPr>
        <w:t xml:space="preserve">SUJETO OBLIGADO </w:t>
      </w:r>
      <w:r w:rsidRPr="003B70DC">
        <w:rPr>
          <w:rFonts w:ascii="Palatino Linotype" w:eastAsia="Palatino Linotype" w:hAnsi="Palatino Linotype" w:cs="Palatino Linotype"/>
          <w:i/>
        </w:rPr>
        <w:t>vía</w:t>
      </w:r>
      <w:r w:rsidRPr="003B70DC">
        <w:rPr>
          <w:rFonts w:ascii="Palatino Linotype" w:eastAsia="Palatino Linotype" w:hAnsi="Palatino Linotype" w:cs="Palatino Linotype"/>
          <w:b/>
          <w:i/>
        </w:rPr>
        <w:t xml:space="preserve"> SAIMEX</w:t>
      </w:r>
      <w:r w:rsidRPr="003B70DC">
        <w:rPr>
          <w:rFonts w:ascii="Palatino Linotype" w:eastAsia="Palatino Linotype" w:hAnsi="Palatino Linotype" w:cs="Palatino Linotype"/>
          <w:i/>
        </w:rPr>
        <w:t xml:space="preserve">, para que conforme a los artículos 186 último párrafo, 189 párrafo segundo y 199 de la Ley de Transparencia y Acceso a la Información Pública del Estado de México y Municipios, </w:t>
      </w:r>
      <w:r w:rsidRPr="003B70DC">
        <w:rPr>
          <w:rFonts w:ascii="Palatino Linotype" w:hAnsi="Palatino Linotype"/>
          <w:i/>
          <w:shd w:val="clear" w:color="auto" w:fill="FFFFFF"/>
        </w:rPr>
        <w:t xml:space="preserve">dé cumplimiento a lo ordenado dentro del plazo de </w:t>
      </w:r>
      <w:r w:rsidRPr="003B70DC">
        <w:rPr>
          <w:rFonts w:ascii="Palatino Linotype" w:hAnsi="Palatino Linotype"/>
          <w:b/>
          <w:i/>
          <w:shd w:val="clear" w:color="auto" w:fill="FFFFFF"/>
        </w:rPr>
        <w:t>diez días hábiles</w:t>
      </w:r>
      <w:r w:rsidRPr="003B70DC">
        <w:rPr>
          <w:rFonts w:ascii="Palatino Linotype" w:hAnsi="Palatino Linotype"/>
          <w:i/>
          <w:shd w:val="clear" w:color="auto" w:fill="FFFFFF"/>
        </w:rPr>
        <w:t>, debiendo rendir a este Instituto el informe de cumplimiento de la resolución en un plazo de tres días hábiles posteriores.</w:t>
      </w:r>
      <w:r w:rsidR="001C31A4" w:rsidRPr="003B70DC">
        <w:rPr>
          <w:rFonts w:ascii="Palatino Linotype" w:hAnsi="Palatino Linotype"/>
          <w:i/>
          <w:shd w:val="clear" w:color="auto" w:fill="FFFFFF"/>
        </w:rPr>
        <w:t>”</w:t>
      </w:r>
    </w:p>
    <w:p w14:paraId="353E1C50" w14:textId="77777777"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14:paraId="353E1C51" w14:textId="77777777" w:rsidR="00925458" w:rsidRDefault="00925458" w:rsidP="00E25145">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t xml:space="preserve">De conformidad con el artículo 186, último párrafo de la Ley de Transparencia y Acceso a </w:t>
      </w:r>
      <w:r w:rsidRPr="0039541A">
        <w:rPr>
          <w:rFonts w:ascii="Palatino Linotype" w:hAnsi="Palatino Linotype"/>
          <w:color w:val="000000" w:themeColor="text1"/>
        </w:rPr>
        <w:t>la</w:t>
      </w:r>
      <w:r w:rsidRPr="00925458">
        <w:rPr>
          <w:rFonts w:ascii="Palatino Linotype" w:eastAsia="Calibri" w:hAnsi="Palatino Linotype" w:cs="Tahoma"/>
          <w:color w:val="000000"/>
        </w:rPr>
        <w:t xml:space="preserve"> Información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sin embargo, de las constancias que obran en l</w:t>
      </w:r>
      <w:r>
        <w:rPr>
          <w:rFonts w:ascii="Palatino Linotype" w:eastAsia="Calibri" w:hAnsi="Palatino Linotype" w:cs="Tahoma"/>
          <w:color w:val="000000"/>
        </w:rPr>
        <w:t>os</w:t>
      </w:r>
      <w:r w:rsidRPr="00925458">
        <w:rPr>
          <w:rFonts w:ascii="Palatino Linotype" w:eastAsia="Calibri" w:hAnsi="Palatino Linotype" w:cs="Tahoma"/>
          <w:color w:val="000000"/>
        </w:rPr>
        <w:t xml:space="preserve"> expediente</w:t>
      </w:r>
      <w:r>
        <w:rPr>
          <w:rFonts w:ascii="Palatino Linotype" w:eastAsia="Calibri" w:hAnsi="Palatino Linotype" w:cs="Tahoma"/>
          <w:color w:val="000000"/>
        </w:rPr>
        <w:t>s</w:t>
      </w:r>
      <w:r w:rsidRPr="00925458">
        <w:rPr>
          <w:rFonts w:ascii="Palatino Linotype" w:eastAsia="Calibri" w:hAnsi="Palatino Linotype" w:cs="Tahoma"/>
          <w:color w:val="000000"/>
        </w:rPr>
        <w:t xml:space="preserve"> electrónico</w:t>
      </w:r>
      <w:r>
        <w:rPr>
          <w:rFonts w:ascii="Palatino Linotype" w:eastAsia="Calibri" w:hAnsi="Palatino Linotype" w:cs="Tahoma"/>
          <w:color w:val="000000"/>
        </w:rPr>
        <w:t>s</w:t>
      </w:r>
      <w:r w:rsidRPr="00925458">
        <w:rPr>
          <w:rFonts w:ascii="Palatino Linotype" w:eastAsia="Calibri" w:hAnsi="Palatino Linotype" w:cs="Tahoma"/>
          <w:color w:val="000000"/>
        </w:rPr>
        <w:t xml:space="preserve">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14:paraId="353E1C52" w14:textId="77777777" w:rsidR="00925458" w:rsidRDefault="00925458" w:rsidP="00E25145">
      <w:pPr>
        <w:pStyle w:val="Prrafodelista"/>
        <w:spacing w:line="360" w:lineRule="auto"/>
        <w:ind w:left="0"/>
        <w:contextualSpacing w:val="0"/>
        <w:rPr>
          <w:rFonts w:ascii="Palatino Linotype" w:eastAsia="Calibri" w:hAnsi="Palatino Linotype" w:cs="Tahoma"/>
          <w:bCs/>
          <w:color w:val="000000"/>
        </w:rPr>
      </w:pPr>
    </w:p>
    <w:p w14:paraId="353E1C53" w14:textId="77777777" w:rsidR="00925458" w:rsidRPr="00925458" w:rsidRDefault="00925458" w:rsidP="00E25145">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E25145">
        <w:rPr>
          <w:rFonts w:ascii="Palatino Linotype" w:eastAsia="Calibri" w:hAnsi="Palatino Linotype" w:cs="Tahoma"/>
          <w:color w:val="000000"/>
        </w:rPr>
        <w:t>Inconforme</w:t>
      </w:r>
      <w:r w:rsidRPr="00925458">
        <w:rPr>
          <w:rFonts w:ascii="Palatino Linotype" w:hAnsi="Palatino Linotype" w:cs="Tahoma"/>
          <w:color w:val="0D0D0D" w:themeColor="text1" w:themeTint="F2"/>
        </w:rPr>
        <w:t xml:space="preserve"> con lo anterior, en fecha </w:t>
      </w:r>
      <w:r w:rsidR="0039541A">
        <w:rPr>
          <w:rFonts w:ascii="Palatino Linotype" w:hAnsi="Palatino Linotype" w:cs="Tahoma"/>
          <w:color w:val="0D0D0D" w:themeColor="text1" w:themeTint="F2"/>
        </w:rPr>
        <w:t>uno</w:t>
      </w:r>
      <w:r w:rsidRPr="00925458">
        <w:rPr>
          <w:rFonts w:ascii="Palatino Linotype" w:hAnsi="Palatino Linotype" w:cs="Tahoma"/>
          <w:color w:val="0D0D0D" w:themeColor="text1" w:themeTint="F2"/>
        </w:rPr>
        <w:t xml:space="preserve"> de junio dos mil veintitrés, la Particular </w:t>
      </w:r>
      <w:r w:rsidRPr="0039541A">
        <w:rPr>
          <w:rFonts w:ascii="Palatino Linotype" w:eastAsia="Calibri" w:hAnsi="Palatino Linotype" w:cs="Tahoma"/>
          <w:color w:val="000000"/>
        </w:rPr>
        <w:t>interpuso</w:t>
      </w:r>
      <w:r w:rsidRPr="00925458">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de lo siguiente:</w:t>
      </w:r>
    </w:p>
    <w:p w14:paraId="353E1C54" w14:textId="77777777" w:rsidR="00925458" w:rsidRPr="00925458" w:rsidRDefault="00925458" w:rsidP="00925458">
      <w:pPr>
        <w:pStyle w:val="Prrafodelista"/>
        <w:widowControl w:val="0"/>
        <w:autoSpaceDE w:val="0"/>
        <w:autoSpaceDN w:val="0"/>
        <w:adjustRightInd w:val="0"/>
        <w:spacing w:line="360" w:lineRule="auto"/>
        <w:ind w:left="360"/>
        <w:rPr>
          <w:rFonts w:cs="Tahoma"/>
          <w:color w:val="0D0D0D" w:themeColor="text1" w:themeTint="F2"/>
        </w:rPr>
      </w:pPr>
    </w:p>
    <w:p w14:paraId="353E1C55" w14:textId="77777777" w:rsidR="00925458" w:rsidRPr="00925458" w:rsidRDefault="00925458" w:rsidP="00925458">
      <w:pPr>
        <w:pStyle w:val="Prrafodelista"/>
        <w:tabs>
          <w:tab w:val="left" w:pos="4667"/>
        </w:tabs>
        <w:spacing w:line="360" w:lineRule="auto"/>
        <w:ind w:left="360" w:right="567"/>
        <w:rPr>
          <w:rFonts w:ascii="Palatino Linotype" w:eastAsia="Calibri" w:hAnsi="Palatino Linotype" w:cs="Tahoma"/>
          <w:b/>
          <w:bCs/>
          <w:i/>
          <w:color w:val="000000"/>
        </w:rPr>
      </w:pPr>
      <w:r w:rsidRPr="00925458">
        <w:rPr>
          <w:rFonts w:ascii="Palatino Linotype" w:eastAsia="Calibri" w:hAnsi="Palatino Linotype" w:cs="Tahoma"/>
          <w:b/>
          <w:bCs/>
          <w:i/>
          <w:color w:val="000000"/>
        </w:rPr>
        <w:t>“ACTO IMPUGNADO</w:t>
      </w:r>
    </w:p>
    <w:p w14:paraId="353E1C56" w14:textId="77777777" w:rsidR="00925458" w:rsidRPr="00925458"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rPr>
      </w:pPr>
      <w:r w:rsidRPr="00925458">
        <w:rPr>
          <w:rFonts w:ascii="Palatino Linotype" w:hAnsi="Palatino Linotype"/>
          <w:i/>
          <w:color w:val="000000"/>
        </w:rPr>
        <w:t>“</w:t>
      </w:r>
      <w:r w:rsidR="0039541A" w:rsidRPr="0039541A">
        <w:rPr>
          <w:rFonts w:ascii="Palatino Linotype" w:hAnsi="Palatino Linotype"/>
          <w:i/>
          <w:color w:val="000000"/>
        </w:rPr>
        <w:t>NO ENTREGA INFORMACIÓN</w:t>
      </w:r>
      <w:r w:rsidRPr="00925458">
        <w:rPr>
          <w:rFonts w:ascii="Palatino Linotype" w:eastAsia="Calibri" w:hAnsi="Palatino Linotype" w:cs="Tahoma"/>
          <w:i/>
          <w:color w:val="000000"/>
        </w:rPr>
        <w:t>” (Sic.)</w:t>
      </w:r>
    </w:p>
    <w:p w14:paraId="353E1C57" w14:textId="77777777" w:rsidR="00925458" w:rsidRPr="00925458"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rPr>
      </w:pPr>
    </w:p>
    <w:p w14:paraId="353E1C58" w14:textId="77777777" w:rsidR="00925458" w:rsidRPr="00925458"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rPr>
      </w:pPr>
      <w:r w:rsidRPr="00925458">
        <w:rPr>
          <w:rFonts w:ascii="Palatino Linotype" w:eastAsia="Calibri" w:hAnsi="Palatino Linotype" w:cs="Tahoma"/>
          <w:b/>
          <w:i/>
          <w:color w:val="000000"/>
        </w:rPr>
        <w:t>“RAZONES O MOTIVOS DE LA INCONFORMIDAD</w:t>
      </w:r>
    </w:p>
    <w:p w14:paraId="353E1C59" w14:textId="77777777" w:rsidR="00925458" w:rsidRDefault="00925458" w:rsidP="00925458">
      <w:pPr>
        <w:pStyle w:val="Prrafodelista"/>
        <w:spacing w:line="360" w:lineRule="auto"/>
        <w:ind w:left="360"/>
        <w:rPr>
          <w:rFonts w:ascii="Palatino Linotype" w:eastAsia="Calibri" w:hAnsi="Palatino Linotype" w:cs="Tahoma"/>
          <w:i/>
          <w:color w:val="000000"/>
        </w:rPr>
      </w:pPr>
      <w:r w:rsidRPr="00925458">
        <w:rPr>
          <w:rFonts w:ascii="Palatino Linotype" w:hAnsi="Palatino Linotype"/>
          <w:i/>
          <w:color w:val="000000"/>
        </w:rPr>
        <w:t>“</w:t>
      </w:r>
      <w:r w:rsidR="0039541A" w:rsidRPr="0039541A">
        <w:rPr>
          <w:rFonts w:ascii="Palatino Linotype" w:hAnsi="Palatino Linotype"/>
          <w:i/>
          <w:color w:val="000000"/>
        </w:rPr>
        <w:t>NO ENTREGA INFORMACIÓN</w:t>
      </w:r>
      <w:r w:rsidRPr="00925458">
        <w:rPr>
          <w:rFonts w:ascii="Palatino Linotype" w:eastAsia="Calibri" w:hAnsi="Palatino Linotype" w:cs="Tahoma"/>
          <w:i/>
          <w:color w:val="000000"/>
        </w:rPr>
        <w:t>” (Sic.)</w:t>
      </w:r>
    </w:p>
    <w:p w14:paraId="353E1C5A" w14:textId="77777777"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lastRenderedPageBreak/>
        <w:t>Mediante acuerdo de</w:t>
      </w:r>
      <w:r w:rsidRPr="00925458">
        <w:rPr>
          <w:rFonts w:ascii="Palatino Linotype" w:hAnsi="Palatino Linotype"/>
          <w:color w:val="000000" w:themeColor="text1"/>
        </w:rPr>
        <w:t xml:space="preserve"> fecha </w:t>
      </w:r>
      <w:r w:rsidR="00E25145">
        <w:rPr>
          <w:rFonts w:ascii="Palatino Linotype" w:hAnsi="Palatino Linotype"/>
          <w:color w:val="000000" w:themeColor="text1"/>
        </w:rPr>
        <w:t>veintiuno</w:t>
      </w:r>
      <w:r w:rsidR="00F849F2">
        <w:rPr>
          <w:rFonts w:ascii="Palatino Linotype" w:hAnsi="Palatino Linotype"/>
          <w:color w:val="000000" w:themeColor="text1"/>
        </w:rPr>
        <w:t xml:space="preserve"> de </w:t>
      </w:r>
      <w:r w:rsidR="00E25145">
        <w:rPr>
          <w:rFonts w:ascii="Palatino Linotype" w:hAnsi="Palatino Linotype"/>
          <w:color w:val="000000" w:themeColor="text1"/>
        </w:rPr>
        <w:t>febrer</w:t>
      </w:r>
      <w:r w:rsidR="00F849F2">
        <w:rPr>
          <w:rFonts w:ascii="Palatino Linotype" w:hAnsi="Palatino Linotype"/>
          <w:color w:val="000000" w:themeColor="text1"/>
        </w:rPr>
        <w:t xml:space="preserve">o </w:t>
      </w:r>
      <w:r w:rsidRPr="00925458">
        <w:rPr>
          <w:rFonts w:ascii="Palatino Linotype" w:hAnsi="Palatino Linotype"/>
          <w:color w:val="000000" w:themeColor="text1"/>
        </w:rPr>
        <w:t xml:space="preserve">de dos mil </w:t>
      </w:r>
      <w:r w:rsidR="00A9000C">
        <w:rPr>
          <w:rFonts w:ascii="Palatino Linotype" w:hAnsi="Palatino Linotype"/>
          <w:color w:val="000000" w:themeColor="text1"/>
        </w:rPr>
        <w:t>veintitrés</w:t>
      </w:r>
      <w:r w:rsidRPr="00925458">
        <w:rPr>
          <w:rFonts w:ascii="Palatino Linotype" w:hAnsi="Palatino Linotype"/>
          <w:color w:val="000000" w:themeColor="text1"/>
        </w:rPr>
        <w:t xml:space="preserve">, se acordó la admisión del </w:t>
      </w:r>
      <w:r w:rsidRPr="0039541A">
        <w:rPr>
          <w:rFonts w:ascii="Palatino Linotype" w:hAnsi="Palatino Linotype" w:cs="Tahoma"/>
          <w:color w:val="0D0D0D" w:themeColor="text1" w:themeTint="F2"/>
        </w:rPr>
        <w:t>Recurso</w:t>
      </w:r>
      <w:r w:rsidRPr="00925458">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14:paraId="353E1C5B" w14:textId="77777777" w:rsidR="00925458" w:rsidRPr="00925458" w:rsidRDefault="00925458" w:rsidP="00925458">
      <w:pPr>
        <w:pStyle w:val="Prrafodelista"/>
        <w:spacing w:line="360" w:lineRule="auto"/>
        <w:ind w:left="0"/>
        <w:contextualSpacing w:val="0"/>
        <w:jc w:val="both"/>
        <w:rPr>
          <w:rFonts w:ascii="Palatino Linotype" w:hAnsi="Palatino Linotype"/>
          <w:color w:val="000000" w:themeColor="text1"/>
        </w:rPr>
      </w:pPr>
    </w:p>
    <w:p w14:paraId="353E1C5C" w14:textId="77777777" w:rsidR="00925458"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fue omiso en rendir el informe justificado correspondiente. Por su parte </w:t>
      </w:r>
      <w:r w:rsidR="00CE3153">
        <w:rPr>
          <w:rFonts w:ascii="Palatino Linotype" w:hAnsi="Palatino Linotype"/>
          <w:b/>
          <w:color w:val="000000" w:themeColor="text1"/>
        </w:rPr>
        <w:t>EL RECURRENTE</w:t>
      </w:r>
      <w:r>
        <w:rPr>
          <w:rFonts w:ascii="Palatino Linotype" w:hAnsi="Palatino Linotype"/>
          <w:color w:val="000000" w:themeColor="text1"/>
        </w:rPr>
        <w:t xml:space="preserve"> no realizó manifestaciones que a su derecho conviniera y asistiera.</w:t>
      </w:r>
    </w:p>
    <w:p w14:paraId="353E1C5D" w14:textId="77777777" w:rsidR="00925458" w:rsidRPr="00925458" w:rsidRDefault="00925458" w:rsidP="00925458">
      <w:pPr>
        <w:pStyle w:val="Prrafodelista"/>
        <w:rPr>
          <w:rFonts w:ascii="Palatino Linotype" w:hAnsi="Palatino Linotype"/>
          <w:color w:val="000000" w:themeColor="text1"/>
        </w:rPr>
      </w:pPr>
    </w:p>
    <w:p w14:paraId="353E1C5E" w14:textId="77777777" w:rsidR="00330AC9" w:rsidRPr="00A622DB" w:rsidRDefault="00F849F2" w:rsidP="00E251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849F2">
        <w:rPr>
          <w:rFonts w:ascii="Palatino Linotype" w:hAnsi="Palatino Linotype"/>
          <w:color w:val="000000" w:themeColor="text1"/>
        </w:rPr>
        <w:t>El día</w:t>
      </w:r>
      <w:r>
        <w:rPr>
          <w:rFonts w:ascii="Palatino Linotype" w:hAnsi="Palatino Linotype"/>
          <w:color w:val="000000" w:themeColor="text1"/>
        </w:rPr>
        <w:t xml:space="preserve"> </w:t>
      </w:r>
      <w:r w:rsidR="00E25145">
        <w:rPr>
          <w:rFonts w:ascii="Palatino Linotype" w:hAnsi="Palatino Linotype"/>
          <w:color w:val="000000" w:themeColor="text1"/>
        </w:rPr>
        <w:t>veintinueve de mayo</w:t>
      </w:r>
      <w:r>
        <w:rPr>
          <w:rFonts w:ascii="Palatino Linotype" w:hAnsi="Palatino Linotype"/>
          <w:color w:val="000000" w:themeColor="text1"/>
        </w:rPr>
        <w:t xml:space="preserve"> de dos mil veintitrés</w:t>
      </w:r>
      <w:r w:rsidR="00E25145">
        <w:rPr>
          <w:rFonts w:ascii="Palatino Linotype" w:hAnsi="Palatino Linotype"/>
          <w:color w:val="000000" w:themeColor="text1"/>
        </w:rPr>
        <w:t>,</w:t>
      </w:r>
      <w:r>
        <w:rPr>
          <w:rFonts w:ascii="Palatino Linotype" w:hAnsi="Palatino Linotype"/>
          <w:color w:val="000000" w:themeColor="text1"/>
        </w:rPr>
        <w:t xml:space="preserve"> se </w:t>
      </w:r>
      <w:r w:rsidR="00925458" w:rsidRPr="00925458">
        <w:rPr>
          <w:rFonts w:ascii="Palatino Linotype" w:hAnsi="Palatino Linotype"/>
          <w:color w:val="000000" w:themeColor="text1"/>
        </w:rPr>
        <w:t>amplió el termino para resolver el recurso de revisión</w:t>
      </w:r>
      <w:r w:rsidR="00330AC9" w:rsidRPr="00A622DB">
        <w:rPr>
          <w:rFonts w:ascii="Palatino Linotype" w:hAnsi="Palatino Linotype"/>
        </w:rPr>
        <w:t>; al respecto cabe hacer las siguientes precisiones:</w:t>
      </w:r>
    </w:p>
    <w:p w14:paraId="353E1C5F" w14:textId="77777777" w:rsidR="00330AC9" w:rsidRPr="00A622DB" w:rsidRDefault="00330AC9" w:rsidP="00330AC9">
      <w:pPr>
        <w:pStyle w:val="Prrafodelista"/>
        <w:spacing w:line="360" w:lineRule="auto"/>
        <w:rPr>
          <w:rFonts w:ascii="Palatino Linotype" w:hAnsi="Palatino Linotype"/>
          <w:b/>
          <w:color w:val="000000" w:themeColor="text1"/>
        </w:rPr>
      </w:pPr>
    </w:p>
    <w:p w14:paraId="353E1C60" w14:textId="77777777" w:rsidR="00330AC9" w:rsidRDefault="00330AC9" w:rsidP="007B5FAE">
      <w:pPr>
        <w:pStyle w:val="Prrafodelista"/>
        <w:numPr>
          <w:ilvl w:val="0"/>
          <w:numId w:val="4"/>
        </w:numPr>
        <w:spacing w:line="360" w:lineRule="auto"/>
        <w:ind w:left="284" w:firstLine="0"/>
        <w:contextualSpacing w:val="0"/>
        <w:jc w:val="center"/>
        <w:rPr>
          <w:rFonts w:ascii="Palatino Linotype" w:hAnsi="Palatino Linotype"/>
          <w:b/>
        </w:rPr>
      </w:pPr>
      <w:r w:rsidRPr="00A622DB">
        <w:rPr>
          <w:rFonts w:ascii="Palatino Linotype" w:hAnsi="Palatino Linotype"/>
          <w:b/>
        </w:rPr>
        <w:t>Argumentos a considerar en las resoluciones a los recursos de revisión para justificar los fallos emitidos fuera del plazo legal de 45 días.</w:t>
      </w:r>
    </w:p>
    <w:p w14:paraId="353E1C61" w14:textId="77777777" w:rsidR="00E25145" w:rsidRPr="00A622DB" w:rsidRDefault="00E25145" w:rsidP="00E25145">
      <w:pPr>
        <w:pStyle w:val="Prrafodelista"/>
        <w:spacing w:line="360" w:lineRule="auto"/>
        <w:ind w:left="284"/>
        <w:contextualSpacing w:val="0"/>
        <w:rPr>
          <w:rFonts w:ascii="Palatino Linotype" w:hAnsi="Palatino Linotype"/>
          <w:b/>
        </w:rPr>
      </w:pPr>
    </w:p>
    <w:p w14:paraId="353E1C62"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Este organismo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w:t>
      </w:r>
      <w:r w:rsidRPr="00F849F2">
        <w:rPr>
          <w:rFonts w:ascii="Palatino Linotype" w:hAnsi="Palatino Linotype"/>
          <w:color w:val="000000" w:themeColor="text1"/>
        </w:rPr>
        <w:t>revisión</w:t>
      </w:r>
      <w:r w:rsidRPr="00A622DB">
        <w:rPr>
          <w:rFonts w:ascii="Palatino Linotype" w:hAnsi="Palatino Linotype"/>
        </w:rPr>
        <w:t xml:space="preserve"> recibidos dentro del primer semestre del año dos mil </w:t>
      </w:r>
      <w:r w:rsidR="00A9000C">
        <w:rPr>
          <w:rFonts w:ascii="Palatino Linotype" w:hAnsi="Palatino Linotype"/>
        </w:rPr>
        <w:t>veintitrés</w:t>
      </w:r>
      <w:r w:rsidRPr="00A622DB">
        <w:rPr>
          <w:rFonts w:ascii="Palatino Linotype" w:hAnsi="Palatino Linotype"/>
        </w:rPr>
        <w:t xml:space="preserve">, que, en comparación con </w:t>
      </w:r>
      <w:r w:rsidRPr="00E25145">
        <w:rPr>
          <w:rFonts w:ascii="Palatino Linotype" w:hAnsi="Palatino Linotype"/>
          <w:color w:val="000000" w:themeColor="text1"/>
        </w:rPr>
        <w:t>los</w:t>
      </w:r>
      <w:r w:rsidRPr="00A622DB">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w:t>
      </w:r>
      <w:r w:rsidRPr="00A622DB">
        <w:rPr>
          <w:rFonts w:ascii="Palatino Linotype" w:hAnsi="Palatino Linotype"/>
        </w:rPr>
        <w:lastRenderedPageBreak/>
        <w:t>capacidades técnicas y humanas del personal encargado de la proyección de las resoluciones a dichos medios de impugnación.</w:t>
      </w:r>
    </w:p>
    <w:p w14:paraId="353E1C63" w14:textId="77777777" w:rsidR="00330AC9" w:rsidRPr="00A622DB" w:rsidRDefault="00330AC9" w:rsidP="00330AC9">
      <w:pPr>
        <w:pStyle w:val="Prrafodelista"/>
        <w:spacing w:line="360" w:lineRule="auto"/>
        <w:ind w:left="0"/>
        <w:jc w:val="both"/>
        <w:rPr>
          <w:rFonts w:ascii="Palatino Linotype" w:hAnsi="Palatino Linotype"/>
        </w:rPr>
      </w:pPr>
    </w:p>
    <w:p w14:paraId="353E1C64"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53E1C65" w14:textId="77777777" w:rsidR="00330AC9" w:rsidRPr="00A622DB" w:rsidRDefault="00330AC9" w:rsidP="00330AC9">
      <w:pPr>
        <w:pStyle w:val="Prrafodelista"/>
        <w:spacing w:line="360" w:lineRule="auto"/>
        <w:rPr>
          <w:rFonts w:ascii="Palatino Linotype" w:hAnsi="Palatino Linotype"/>
        </w:rPr>
      </w:pPr>
    </w:p>
    <w:p w14:paraId="353E1C66"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3E1C67" w14:textId="77777777" w:rsidR="00330AC9" w:rsidRPr="00A622DB" w:rsidRDefault="00330AC9" w:rsidP="00330AC9">
      <w:pPr>
        <w:pStyle w:val="Prrafodelista"/>
        <w:spacing w:line="360" w:lineRule="auto"/>
        <w:rPr>
          <w:rFonts w:ascii="Palatino Linotype" w:hAnsi="Palatino Linotype"/>
        </w:rPr>
      </w:pPr>
    </w:p>
    <w:p w14:paraId="353E1C68"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3E1C69" w14:textId="77777777" w:rsidR="00330AC9" w:rsidRPr="00A622DB" w:rsidRDefault="00330AC9" w:rsidP="00330AC9">
      <w:pPr>
        <w:spacing w:line="360" w:lineRule="auto"/>
        <w:jc w:val="both"/>
        <w:rPr>
          <w:rFonts w:ascii="Palatino Linotype" w:hAnsi="Palatino Linotype"/>
        </w:rPr>
      </w:pPr>
    </w:p>
    <w:p w14:paraId="353E1C6A"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53E1C6B" w14:textId="77777777" w:rsidR="00330AC9" w:rsidRPr="00A622DB" w:rsidRDefault="00330AC9" w:rsidP="00330AC9">
      <w:pPr>
        <w:pStyle w:val="Prrafodelista"/>
        <w:spacing w:line="360" w:lineRule="auto"/>
        <w:rPr>
          <w:rFonts w:ascii="Palatino Linotype" w:hAnsi="Palatino Linotype"/>
        </w:rPr>
      </w:pPr>
    </w:p>
    <w:p w14:paraId="353E1C6C"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353E1C6D"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Actividad Procesal del interesado. Acciones u omisiones del interesado.</w:t>
      </w:r>
    </w:p>
    <w:p w14:paraId="353E1C6E" w14:textId="77777777" w:rsidR="00330AC9" w:rsidRPr="00A622DB" w:rsidRDefault="00330AC9" w:rsidP="00330AC9">
      <w:pPr>
        <w:spacing w:line="360" w:lineRule="auto"/>
        <w:jc w:val="both"/>
        <w:rPr>
          <w:rFonts w:ascii="Palatino Linotype" w:hAnsi="Palatino Linotype"/>
        </w:rPr>
      </w:pPr>
    </w:p>
    <w:p w14:paraId="353E1C6F"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Conducta de la Autoridad: Las Acciones u omisiones realizadas en el procedimiento. Así como si la autoridad actuó con la debida diligencia.</w:t>
      </w:r>
    </w:p>
    <w:p w14:paraId="353E1C70" w14:textId="77777777" w:rsidR="00330AC9" w:rsidRPr="00A622DB" w:rsidRDefault="00330AC9" w:rsidP="00330AC9">
      <w:pPr>
        <w:pStyle w:val="Prrafodelista"/>
        <w:spacing w:line="360" w:lineRule="auto"/>
        <w:rPr>
          <w:rFonts w:ascii="Palatino Linotype" w:hAnsi="Palatino Linotype"/>
        </w:rPr>
      </w:pPr>
    </w:p>
    <w:p w14:paraId="353E1C71" w14:textId="77777777" w:rsidR="00330AC9" w:rsidRPr="00A622DB" w:rsidRDefault="00330AC9" w:rsidP="007B5FAE">
      <w:pPr>
        <w:pStyle w:val="Prrafodelista"/>
        <w:numPr>
          <w:ilvl w:val="0"/>
          <w:numId w:val="5"/>
        </w:numPr>
        <w:spacing w:line="360" w:lineRule="auto"/>
        <w:jc w:val="both"/>
        <w:rPr>
          <w:rFonts w:ascii="Palatino Linotype" w:hAnsi="Palatino Linotype"/>
        </w:rPr>
      </w:pPr>
      <w:r w:rsidRPr="00A622DB">
        <w:rPr>
          <w:rFonts w:ascii="Palatino Linotype" w:hAnsi="Palatino Linotype"/>
        </w:rPr>
        <w:t>La afectación generada en la situación jurídica de la persona involucrada en el proceso: Violación a sus derechos humanos.</w:t>
      </w:r>
    </w:p>
    <w:p w14:paraId="353E1C72" w14:textId="77777777" w:rsidR="00330AC9" w:rsidRPr="00A622DB" w:rsidRDefault="00330AC9" w:rsidP="00330AC9">
      <w:pPr>
        <w:pStyle w:val="Prrafodelista"/>
        <w:spacing w:line="360" w:lineRule="auto"/>
        <w:ind w:left="927"/>
        <w:jc w:val="both"/>
        <w:rPr>
          <w:rFonts w:ascii="Palatino Linotype" w:hAnsi="Palatino Linotype"/>
        </w:rPr>
      </w:pPr>
    </w:p>
    <w:p w14:paraId="353E1C73" w14:textId="77777777" w:rsidR="00330AC9"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3E1C74" w14:textId="77777777" w:rsidR="00E25145" w:rsidRDefault="00E25145" w:rsidP="00E25145">
      <w:pPr>
        <w:pStyle w:val="Prrafodelista"/>
        <w:spacing w:line="360" w:lineRule="auto"/>
        <w:ind w:left="0"/>
        <w:contextualSpacing w:val="0"/>
        <w:jc w:val="both"/>
        <w:rPr>
          <w:rFonts w:ascii="Palatino Linotype" w:hAnsi="Palatino Linotype"/>
        </w:rPr>
      </w:pPr>
    </w:p>
    <w:p w14:paraId="353E1C75"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b/>
        </w:rPr>
      </w:pPr>
      <w:r w:rsidRPr="00A622DB">
        <w:rPr>
          <w:rFonts w:ascii="Palatino Linotype" w:hAnsi="Palatino Linotype"/>
        </w:rPr>
        <w:t xml:space="preserve">Argumento que encuentra sustento en la jurisprudencia P./J. 32/92 emitida por el Pleno de la Suprema Corte de Justicia de la Nación de rubro </w:t>
      </w:r>
      <w:r w:rsidRPr="00A622DB">
        <w:rPr>
          <w:rFonts w:ascii="Palatino Linotype" w:hAnsi="Palatino Linotype"/>
          <w:i/>
        </w:rPr>
        <w:t xml:space="preserve">“TÉRMINOS </w:t>
      </w:r>
      <w:r w:rsidRPr="00E25145">
        <w:rPr>
          <w:rFonts w:ascii="Palatino Linotype" w:hAnsi="Palatino Linotype"/>
        </w:rPr>
        <w:t>PROCESALES</w:t>
      </w:r>
      <w:r w:rsidRPr="00A622DB">
        <w:rPr>
          <w:rFonts w:ascii="Palatino Linotype" w:hAnsi="Palatino Linotype"/>
          <w:i/>
        </w:rPr>
        <w:t xml:space="preserve">. PARA DETERMINAR SI UN FUNCIONARIO JUDICIAL ACTUÓ INDEBIDAMENTE POR NO RESPETARLOS SE DEBE ATENDER AL PRESUPUESTO QUE CONSIDERÓ EL LEGISLADOR AL FIJARLOS Y LAS </w:t>
      </w:r>
      <w:r w:rsidRPr="00A622DB">
        <w:rPr>
          <w:rFonts w:ascii="Palatino Linotype" w:hAnsi="Palatino Linotype"/>
          <w:i/>
        </w:rPr>
        <w:lastRenderedPageBreak/>
        <w:t>CARACTERÍSTICAS DEL CASO.”</w:t>
      </w:r>
      <w:r w:rsidRPr="00A622DB">
        <w:rPr>
          <w:rFonts w:ascii="Palatino Linotype" w:hAnsi="Palatino Linotype"/>
        </w:rPr>
        <w:t>, visible en la Gaceta del Seminario Judicial de la Federación con el registro digital 205635.</w:t>
      </w:r>
    </w:p>
    <w:p w14:paraId="353E1C76" w14:textId="77777777" w:rsidR="00330AC9" w:rsidRPr="00A622DB" w:rsidRDefault="00330AC9" w:rsidP="00330AC9">
      <w:pPr>
        <w:spacing w:line="360" w:lineRule="auto"/>
        <w:jc w:val="both"/>
        <w:rPr>
          <w:rFonts w:ascii="Palatino Linotype" w:hAnsi="Palatino Linotype"/>
        </w:rPr>
      </w:pPr>
    </w:p>
    <w:p w14:paraId="353E1C77" w14:textId="77777777" w:rsidR="00330AC9" w:rsidRPr="00A622DB"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3E1C78" w14:textId="77777777" w:rsidR="00330AC9" w:rsidRPr="00A622DB" w:rsidRDefault="00330AC9" w:rsidP="00330AC9">
      <w:pPr>
        <w:spacing w:line="360" w:lineRule="auto"/>
        <w:jc w:val="both"/>
        <w:rPr>
          <w:rFonts w:ascii="Palatino Linotype" w:hAnsi="Palatino Linotype"/>
        </w:rPr>
      </w:pPr>
    </w:p>
    <w:p w14:paraId="353E1C79" w14:textId="77777777" w:rsidR="00330AC9" w:rsidRPr="00A622DB"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53E1C7A" w14:textId="77777777" w:rsidR="00330AC9" w:rsidRPr="00A622DB" w:rsidRDefault="00330AC9" w:rsidP="00330AC9">
      <w:pPr>
        <w:spacing w:line="360" w:lineRule="auto"/>
        <w:jc w:val="both"/>
        <w:rPr>
          <w:rFonts w:ascii="Palatino Linotype" w:hAnsi="Palatino Linotype"/>
        </w:rPr>
      </w:pPr>
    </w:p>
    <w:p w14:paraId="353E1C7B" w14:textId="77777777" w:rsidR="00330AC9"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A622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53E1C7C" w14:textId="77777777" w:rsidR="00F849F2" w:rsidRPr="00F849F2" w:rsidRDefault="00F849F2" w:rsidP="00F849F2">
      <w:pPr>
        <w:pStyle w:val="Prrafodelista"/>
        <w:rPr>
          <w:rFonts w:ascii="Palatino Linotype" w:hAnsi="Palatino Linotype"/>
        </w:rPr>
      </w:pPr>
    </w:p>
    <w:p w14:paraId="353E1C7D" w14:textId="77777777" w:rsidR="00330AC9" w:rsidRPr="00A622DB" w:rsidRDefault="00330AC9" w:rsidP="00330AC9">
      <w:pPr>
        <w:spacing w:line="360" w:lineRule="auto"/>
        <w:ind w:left="425" w:right="476"/>
        <w:jc w:val="both"/>
        <w:rPr>
          <w:rFonts w:ascii="Palatino Linotype" w:hAnsi="Palatino Linotype"/>
        </w:rPr>
      </w:pPr>
      <w:r w:rsidRPr="00A622DB">
        <w:rPr>
          <w:rFonts w:ascii="Palatino Linotype" w:hAnsi="Palatino Linotype"/>
        </w:rPr>
        <w:t xml:space="preserve"> </w:t>
      </w:r>
      <w:r w:rsidRPr="00A622DB">
        <w:rPr>
          <w:rFonts w:ascii="Palatino Linotype" w:hAnsi="Palatino Linotype"/>
          <w:i/>
        </w:rPr>
        <w:t xml:space="preserve">“PLAZO RAZONABLE PARA RESOLVER. DIMENSIÓN Y EFECTOS DE ESTE CONCEPTO CUANDO SE ADUCE EXCESIVA CARGA DE </w:t>
      </w:r>
      <w:r w:rsidRPr="00A622DB">
        <w:rPr>
          <w:rFonts w:ascii="Palatino Linotype" w:hAnsi="Palatino Linotype"/>
          <w:i/>
        </w:rPr>
        <w:lastRenderedPageBreak/>
        <w:t>TRABAJO.”</w:t>
      </w:r>
      <w:r w:rsidRPr="00A622DB">
        <w:rPr>
          <w:rFonts w:ascii="Palatino Linotype" w:hAnsi="Palatino Linotype"/>
        </w:rPr>
        <w:t xml:space="preserve"> consultable en el Seminario Judicial de la Federación y su gaceta, con el registro digital 2002351.</w:t>
      </w:r>
    </w:p>
    <w:p w14:paraId="353E1C7E" w14:textId="77777777" w:rsidR="00330AC9" w:rsidRPr="00A622DB" w:rsidRDefault="00330AC9" w:rsidP="00330AC9">
      <w:pPr>
        <w:spacing w:line="360" w:lineRule="auto"/>
        <w:ind w:left="425" w:right="476"/>
        <w:jc w:val="both"/>
        <w:rPr>
          <w:rFonts w:ascii="Palatino Linotype" w:hAnsi="Palatino Linotype"/>
          <w:b/>
        </w:rPr>
      </w:pPr>
    </w:p>
    <w:p w14:paraId="353E1C7F" w14:textId="77777777" w:rsidR="00330AC9" w:rsidRPr="00A622DB" w:rsidRDefault="00330AC9" w:rsidP="00330AC9">
      <w:pPr>
        <w:spacing w:line="360" w:lineRule="auto"/>
        <w:ind w:left="425" w:right="476"/>
        <w:jc w:val="both"/>
        <w:rPr>
          <w:rFonts w:ascii="Palatino Linotype" w:hAnsi="Palatino Linotype"/>
        </w:rPr>
      </w:pPr>
      <w:r w:rsidRPr="00A622DB">
        <w:rPr>
          <w:rFonts w:ascii="Palatino Linotype" w:hAnsi="Palatino Linotype"/>
          <w:i/>
        </w:rPr>
        <w:t>“PLAZO RAZONABLE PARA RESOLVER. CONCEPTO Y ELEMENTOS QUE LO INTEGRAN A LA LUZ DEL DERECHO INTERNACIONAL DE LOS DERECHOS HUMANOS.”</w:t>
      </w:r>
      <w:r w:rsidRPr="00A622DB">
        <w:rPr>
          <w:rFonts w:ascii="Palatino Linotype" w:hAnsi="Palatino Linotype"/>
        </w:rPr>
        <w:t>, visible en el Seminario Judicial de la Federación y su gaceta, con el registro digital 2002350.”</w:t>
      </w:r>
    </w:p>
    <w:p w14:paraId="353E1C80" w14:textId="77777777" w:rsidR="00330AC9" w:rsidRPr="00A622DB" w:rsidRDefault="00330AC9" w:rsidP="00330AC9">
      <w:pPr>
        <w:pStyle w:val="Prrafodelista"/>
        <w:spacing w:line="360" w:lineRule="auto"/>
        <w:ind w:left="0"/>
        <w:contextualSpacing w:val="0"/>
        <w:jc w:val="both"/>
        <w:rPr>
          <w:rFonts w:ascii="Palatino Linotype" w:hAnsi="Palatino Linotype"/>
          <w:b/>
          <w:color w:val="000000" w:themeColor="text1"/>
        </w:rPr>
      </w:pPr>
    </w:p>
    <w:p w14:paraId="353E1C81" w14:textId="77777777" w:rsidR="00330AC9" w:rsidRPr="00A622DB" w:rsidRDefault="007D711C" w:rsidP="007D711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t>Al no existir diligencias pendientes por desahogar, el día siete de agosto de dos mil veintitrés, se decretó el cierre de instrucción, p</w:t>
      </w:r>
      <w:r w:rsidR="00F849F2">
        <w:rPr>
          <w:rFonts w:ascii="Palatino Linotype" w:hAnsi="Palatino Linotype"/>
        </w:rPr>
        <w:t>or lo que al</w:t>
      </w:r>
      <w:r w:rsidR="00330AC9" w:rsidRPr="00A622DB">
        <w:rPr>
          <w:rFonts w:ascii="Palatino Linotype" w:hAnsi="Palatino Linotype" w:cs="Arial"/>
        </w:rPr>
        <w:t xml:space="preserve"> no ha</w:t>
      </w:r>
      <w:r w:rsidR="00F849F2">
        <w:rPr>
          <w:rFonts w:ascii="Palatino Linotype" w:hAnsi="Palatino Linotype" w:cs="Arial"/>
        </w:rPr>
        <w:t>ber</w:t>
      </w:r>
      <w:r w:rsidR="00330AC9">
        <w:rPr>
          <w:rFonts w:ascii="Palatino Linotype" w:hAnsi="Palatino Linotype" w:cs="Arial"/>
        </w:rPr>
        <w:t xml:space="preserve"> más que hacer constar, y-</w:t>
      </w:r>
      <w:r w:rsidR="00F849F2">
        <w:rPr>
          <w:rFonts w:ascii="Palatino Linotype" w:hAnsi="Palatino Linotype" w:cs="Arial"/>
        </w:rPr>
        <w:t>-----------------------------------</w:t>
      </w:r>
      <w:r>
        <w:rPr>
          <w:rFonts w:ascii="Palatino Linotype" w:hAnsi="Palatino Linotype" w:cs="Arial"/>
        </w:rPr>
        <w:t>------------------------------------------------------</w:t>
      </w:r>
    </w:p>
    <w:p w14:paraId="353E1C82" w14:textId="77777777" w:rsidR="007601B1" w:rsidRPr="007601B1" w:rsidRDefault="007601B1" w:rsidP="007601B1">
      <w:pPr>
        <w:pStyle w:val="Prrafodelista"/>
        <w:rPr>
          <w:rFonts w:ascii="Palatino Linotype" w:hAnsi="Palatino Linotype"/>
          <w:b/>
          <w:color w:val="000000" w:themeColor="text1"/>
        </w:rPr>
      </w:pPr>
    </w:p>
    <w:p w14:paraId="353E1C83" w14:textId="77777777"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134CE6">
        <w:rPr>
          <w:rFonts w:ascii="Palatino Linotype" w:hAnsi="Palatino Linotype"/>
          <w:b/>
          <w:color w:val="000000" w:themeColor="text1"/>
          <w:sz w:val="24"/>
          <w:szCs w:val="24"/>
        </w:rPr>
        <w:t>CONSIDERANDO</w:t>
      </w:r>
      <w:bookmarkEnd w:id="133"/>
      <w:bookmarkEnd w:id="134"/>
    </w:p>
    <w:p w14:paraId="353E1C84" w14:textId="77777777" w:rsidR="009F09BC" w:rsidRPr="00134CE6" w:rsidRDefault="009F09BC" w:rsidP="009F09BC">
      <w:pPr>
        <w:rPr>
          <w:rFonts w:ascii="Palatino Linotype" w:hAnsi="Palatino Linotype"/>
          <w:color w:val="000000" w:themeColor="text1"/>
          <w:lang w:val="es-MX" w:eastAsia="en-US"/>
        </w:rPr>
      </w:pPr>
    </w:p>
    <w:p w14:paraId="353E1C85" w14:textId="77777777" w:rsidR="009F09BC" w:rsidRPr="00134CE6" w:rsidRDefault="009F09BC" w:rsidP="009F09BC">
      <w:pPr>
        <w:pStyle w:val="Ttulo2"/>
        <w:rPr>
          <w:rFonts w:ascii="Palatino Linotype" w:hAnsi="Palatino Linotype"/>
          <w:b/>
          <w:color w:val="000000" w:themeColor="text1"/>
          <w:sz w:val="24"/>
          <w:szCs w:val="24"/>
        </w:rPr>
      </w:pPr>
      <w:bookmarkStart w:id="135" w:name="_Toc491791303"/>
      <w:bookmarkStart w:id="136" w:name="_Toc83128579"/>
      <w:r w:rsidRPr="00134CE6">
        <w:rPr>
          <w:rFonts w:ascii="Palatino Linotype" w:hAnsi="Palatino Linotype"/>
          <w:b/>
          <w:color w:val="000000" w:themeColor="text1"/>
          <w:sz w:val="24"/>
          <w:szCs w:val="24"/>
        </w:rPr>
        <w:t>PRIMERO. De la competencia</w:t>
      </w:r>
      <w:bookmarkEnd w:id="135"/>
      <w:bookmarkEnd w:id="136"/>
    </w:p>
    <w:p w14:paraId="353E1C86" w14:textId="77777777" w:rsidR="009F09BC" w:rsidRPr="00456AEE" w:rsidRDefault="009F09BC" w:rsidP="00456AEE">
      <w:pPr>
        <w:spacing w:line="360" w:lineRule="auto"/>
        <w:rPr>
          <w:rFonts w:ascii="Palatino Linotype" w:hAnsi="Palatino Linotype"/>
          <w:color w:val="000000" w:themeColor="text1"/>
          <w:lang w:val="es-MX" w:eastAsia="en-US"/>
        </w:rPr>
      </w:pPr>
    </w:p>
    <w:p w14:paraId="353E1C87" w14:textId="77777777" w:rsidR="00353F1D" w:rsidRPr="00330AC9" w:rsidRDefault="00330AC9"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37" w:name="_Hlk63334754"/>
      <w:r w:rsidRPr="00F849F2">
        <w:rPr>
          <w:rFonts w:ascii="Palatino Linotype" w:hAnsi="Palatino Linotype"/>
        </w:rPr>
        <w:t>El</w:t>
      </w:r>
      <w:r w:rsidRPr="00330AC9">
        <w:rPr>
          <w:rFonts w:ascii="Palatino Linotype" w:eastAsia="Times New Roman" w:hAnsi="Palatino Linotype" w:cs="Tahoma"/>
          <w:bCs/>
        </w:rPr>
        <w:t xml:space="preserve"> Instituto de Transparencia, Acceso a la Información Pública y Protección de Datos Personales </w:t>
      </w:r>
      <w:r w:rsidRPr="00330AC9">
        <w:rPr>
          <w:rFonts w:ascii="Palatino Linotype" w:hAnsi="Palatino Linotype"/>
        </w:rPr>
        <w:t>del</w:t>
      </w:r>
      <w:r w:rsidRPr="00330AC9">
        <w:rPr>
          <w:rFonts w:ascii="Palatino Linotype" w:eastAsia="Times New Roman" w:hAnsi="Palatino Linotype" w:cs="Tahoma"/>
          <w:bCs/>
        </w:rPr>
        <w:t xml:space="preserve"> Estado de México y Municipios, es competente para conocer y resolver el presente recurso de revisión interpuesto por la parte recurrente, conforme a lo dispuesto en los artículos 6°, apartado A, de la Constitución Política de los Estados Unidos </w:t>
      </w:r>
      <w:r w:rsidRPr="007D711C">
        <w:rPr>
          <w:rFonts w:ascii="Palatino Linotype" w:hAnsi="Palatino Linotype"/>
        </w:rPr>
        <w:t>Mexicanos</w:t>
      </w:r>
      <w:r w:rsidRPr="00330AC9">
        <w:rPr>
          <w:rFonts w:ascii="Palatino Linotype" w:eastAsia="Times New Roman" w:hAnsi="Palatino Linotype" w:cs="Tahoma"/>
          <w:bCs/>
        </w:rPr>
        <w:t xml:space="preserve">; </w:t>
      </w:r>
      <w:r w:rsidR="006B5656">
        <w:rPr>
          <w:rFonts w:ascii="Palatino Linotype" w:eastAsia="Calibri" w:hAnsi="Palatino Linotype"/>
          <w:lang w:val="es-ES"/>
        </w:rPr>
        <w:t xml:space="preserve">5, párrafos </w:t>
      </w:r>
      <w:r w:rsidR="006B5656">
        <w:rPr>
          <w:rFonts w:ascii="Palatino Linotype" w:hAnsi="Palatino Linotype" w:cs="Arial"/>
          <w:color w:val="222222"/>
          <w:lang w:val="es-ES"/>
        </w:rPr>
        <w:t>trigésimo segundo, trigésimo tercero y trigésimo cuarto, fracciones</w:t>
      </w:r>
      <w:r w:rsidR="006B5656">
        <w:rPr>
          <w:rFonts w:ascii="Palatino Linotype" w:eastAsia="Calibri" w:hAnsi="Palatino Linotype"/>
          <w:lang w:val="es-ES"/>
        </w:rPr>
        <w:t xml:space="preserve"> IV y V,</w:t>
      </w:r>
      <w:r w:rsidRPr="00330AC9">
        <w:rPr>
          <w:rFonts w:ascii="Palatino Linotype" w:eastAsia="Times New Roman" w:hAnsi="Palatino Linotype" w:cs="Tahoma"/>
          <w:bCs/>
        </w:rPr>
        <w:t xml:space="preserve">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w:t>
      </w:r>
      <w:r w:rsidRPr="00330AC9">
        <w:rPr>
          <w:rFonts w:ascii="Palatino Linotype" w:eastAsia="Times New Roman" w:hAnsi="Palatino Linotype" w:cs="Tahoma"/>
          <w:bCs/>
        </w:rPr>
        <w:lastRenderedPageBreak/>
        <w:t>Transparencia y Acceso a la Información Pública del Estado de México y Municipios;</w:t>
      </w:r>
      <w:r w:rsidRPr="00330AC9">
        <w:rPr>
          <w:rFonts w:ascii="Palatino Linotype" w:eastAsia="Times New Roman" w:hAnsi="Palatino Linotype" w:cs="Times New Roman"/>
          <w:bCs/>
        </w:rPr>
        <w:t xml:space="preserve"> 7°, </w:t>
      </w:r>
      <w:r w:rsidRPr="00330AC9">
        <w:rPr>
          <w:rFonts w:ascii="Palatino Linotype" w:eastAsia="Times New Roman" w:hAnsi="Palatino Linotype" w:cs="Tahoma"/>
          <w:bCs/>
        </w:rPr>
        <w:t>9°, fracciones I y XXIII y 11 del Reglamento Interior del Instituto de Transparencia, Acceso a la Información Pública y Protección de Datos Personales del Estado de México y Municipios.</w:t>
      </w:r>
      <w:bookmarkEnd w:id="137"/>
    </w:p>
    <w:p w14:paraId="353E1C88" w14:textId="77777777"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14:paraId="353E1C89" w14:textId="77777777"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456AEE">
        <w:rPr>
          <w:rFonts w:ascii="Palatino Linotype" w:hAnsi="Palatino Linotype"/>
          <w:b/>
          <w:color w:val="000000" w:themeColor="text1"/>
          <w:sz w:val="24"/>
          <w:szCs w:val="24"/>
        </w:rPr>
        <w:t>SEGUNDO. De la oportunidad y procedencia.</w:t>
      </w:r>
      <w:bookmarkEnd w:id="138"/>
      <w:bookmarkEnd w:id="139"/>
    </w:p>
    <w:p w14:paraId="353E1C8A" w14:textId="77777777" w:rsidR="00A56791" w:rsidRPr="00A56791" w:rsidRDefault="00A56791" w:rsidP="00A56791">
      <w:pPr>
        <w:spacing w:line="360" w:lineRule="auto"/>
      </w:pPr>
    </w:p>
    <w:p w14:paraId="353E1C8B" w14:textId="77777777"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3E1C8C" w14:textId="77777777" w:rsidR="008B6C7C" w:rsidRPr="008912D5" w:rsidRDefault="008B6C7C" w:rsidP="008B6C7C">
      <w:pPr>
        <w:spacing w:line="360" w:lineRule="auto"/>
        <w:jc w:val="both"/>
        <w:rPr>
          <w:rFonts w:ascii="Palatino Linotype" w:eastAsia="Times New Roman" w:hAnsi="Palatino Linotype" w:cs="Tahoma"/>
          <w:bCs/>
        </w:rPr>
      </w:pPr>
    </w:p>
    <w:p w14:paraId="353E1C8D" w14:textId="77777777" w:rsidR="008B6C7C" w:rsidRPr="008912D5"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8912D5">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8912D5">
        <w:rPr>
          <w:rFonts w:ascii="Palatino Linotype" w:eastAsia="Times New Roman" w:hAnsi="Palatino Linotype" w:cs="Tahoma"/>
        </w:rPr>
        <w:t xml:space="preserve"> caso, </w:t>
      </w:r>
      <w:r w:rsidRPr="008B6C7C">
        <w:rPr>
          <w:rFonts w:ascii="Palatino Linotype" w:eastAsia="Times New Roman" w:hAnsi="Palatino Linotype" w:cs="Tahoma"/>
          <w:bCs/>
        </w:rPr>
        <w:t>no se actualiza ninguna de las causales de improcedencia</w:t>
      </w:r>
      <w:r w:rsidRPr="008B6C7C">
        <w:rPr>
          <w:rFonts w:ascii="Palatino Linotype" w:eastAsia="Times New Roman" w:hAnsi="Palatino Linotype" w:cs="Tahoma"/>
        </w:rPr>
        <w:t xml:space="preserve"> establecidas en</w:t>
      </w:r>
      <w:r w:rsidRPr="008912D5">
        <w:rPr>
          <w:rFonts w:ascii="Palatino Linotype" w:eastAsia="Times New Roman" w:hAnsi="Palatino Linotype" w:cs="Tahoma"/>
        </w:rPr>
        <w:t xml:space="preserve">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w:t>
      </w:r>
      <w:r w:rsidRPr="008912D5">
        <w:rPr>
          <w:rFonts w:ascii="Palatino Linotype" w:eastAsia="Times New Roman" w:hAnsi="Palatino Linotype" w:cs="Tahoma"/>
        </w:rPr>
        <w:lastRenderedPageBreak/>
        <w:t>realizó una consulta o trámite mediante el pedimento de información, o bien, que el Solicitante haya ampliado la solicitud.</w:t>
      </w:r>
    </w:p>
    <w:p w14:paraId="353E1C8E" w14:textId="77777777" w:rsidR="008B6C7C" w:rsidRPr="008912D5" w:rsidRDefault="008B6C7C" w:rsidP="008B6C7C">
      <w:pPr>
        <w:spacing w:line="360" w:lineRule="auto"/>
        <w:jc w:val="both"/>
        <w:rPr>
          <w:rFonts w:ascii="Palatino Linotype" w:eastAsia="Times New Roman" w:hAnsi="Palatino Linotype" w:cs="Tahoma"/>
        </w:rPr>
      </w:pPr>
    </w:p>
    <w:p w14:paraId="353E1C8F" w14:textId="77777777" w:rsidR="008B6C7C" w:rsidRPr="008B6C7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14:paraId="353E1C90" w14:textId="77777777" w:rsidR="008B6C7C" w:rsidRPr="008B6C7C" w:rsidRDefault="008B6C7C" w:rsidP="008B6C7C">
      <w:pPr>
        <w:pStyle w:val="Prrafodelista"/>
        <w:rPr>
          <w:rFonts w:ascii="Palatino Linotype" w:eastAsia="Times New Roman" w:hAnsi="Palatino Linotype" w:cs="Tahoma"/>
          <w:lang w:val="es-ES"/>
        </w:rPr>
      </w:pPr>
    </w:p>
    <w:p w14:paraId="353E1C91"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53E1C92" w14:textId="77777777" w:rsidR="008B6C7C" w:rsidRPr="00AB76AB" w:rsidRDefault="008B6C7C" w:rsidP="008B6C7C">
      <w:pPr>
        <w:spacing w:line="360" w:lineRule="auto"/>
        <w:jc w:val="both"/>
        <w:rPr>
          <w:rFonts w:ascii="Palatino Linotype" w:eastAsia="Palatino Linotype" w:hAnsi="Palatino Linotype" w:cs="Palatino Linotype"/>
        </w:rPr>
      </w:pPr>
    </w:p>
    <w:p w14:paraId="353E1C93" w14:textId="77777777" w:rsidR="008B6C7C" w:rsidRPr="00AB76AB" w:rsidRDefault="008B6C7C" w:rsidP="008B6C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14:paraId="353E1C94" w14:textId="77777777" w:rsidR="008B6C7C" w:rsidRPr="00AB76AB" w:rsidRDefault="008B6C7C" w:rsidP="008B6C7C">
      <w:pPr>
        <w:spacing w:line="360" w:lineRule="auto"/>
        <w:jc w:val="both"/>
        <w:rPr>
          <w:rFonts w:ascii="Palatino Linotype" w:eastAsia="Palatino Linotype" w:hAnsi="Palatino Linotype" w:cs="Palatino Linotype"/>
        </w:rPr>
      </w:pPr>
    </w:p>
    <w:p w14:paraId="353E1C95" w14:textId="77777777"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14:paraId="353E1C96" w14:textId="77777777" w:rsidR="008B6C7C" w:rsidRPr="00AB76AB" w:rsidRDefault="008B6C7C" w:rsidP="008B6C7C">
      <w:pPr>
        <w:pStyle w:val="Prrafodelista"/>
        <w:spacing w:line="360" w:lineRule="auto"/>
        <w:ind w:left="0"/>
        <w:jc w:val="both"/>
        <w:rPr>
          <w:rFonts w:ascii="Palatino Linotype" w:eastAsia="Palatino Linotype" w:hAnsi="Palatino Linotype" w:cs="Palatino Linotype"/>
        </w:rPr>
      </w:pPr>
    </w:p>
    <w:p w14:paraId="353E1C97"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w:t>
      </w:r>
      <w:r w:rsidRPr="00AB76AB">
        <w:rPr>
          <w:rFonts w:ascii="Palatino Linotype" w:eastAsia="Palatino Linotype" w:hAnsi="Palatino Linotype" w:cs="Palatino Linotype"/>
          <w:i/>
        </w:rPr>
        <w:lastRenderedPageBreak/>
        <w:t>los derechos de terceros, provoque algún delito, o perturbe el orden público; el derecho de réplica será ejercido en los términos dispuestos por la ley. El derecho a la información será garantizado por el Estado.</w:t>
      </w:r>
    </w:p>
    <w:p w14:paraId="353E1C98"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14:paraId="353E1C99" w14:textId="77777777" w:rsidR="008B6C7C" w:rsidRPr="00AB76AB" w:rsidRDefault="008B6C7C" w:rsidP="008B6C7C">
      <w:pPr>
        <w:ind w:left="426" w:right="476"/>
        <w:jc w:val="both"/>
        <w:rPr>
          <w:rFonts w:ascii="Palatino Linotype" w:eastAsia="Palatino Linotype" w:hAnsi="Palatino Linotype" w:cs="Palatino Linotype"/>
          <w:i/>
        </w:rPr>
      </w:pPr>
    </w:p>
    <w:p w14:paraId="353E1C9A"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353E1C9B" w14:textId="77777777" w:rsidR="008B6C7C" w:rsidRPr="00AB76AB" w:rsidRDefault="008B6C7C" w:rsidP="008B6C7C">
      <w:pPr>
        <w:ind w:left="426" w:right="476"/>
        <w:jc w:val="both"/>
        <w:rPr>
          <w:rFonts w:ascii="Palatino Linotype" w:eastAsia="Palatino Linotype" w:hAnsi="Palatino Linotype" w:cs="Palatino Linotype"/>
          <w:i/>
        </w:rPr>
      </w:pPr>
    </w:p>
    <w:p w14:paraId="353E1C9C"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386B6A">
        <w:rPr>
          <w:rFonts w:ascii="Palatino Linotype" w:eastAsia="Palatino Linotype" w:hAnsi="Palatino Linotype" w:cs="Palatino Linotype"/>
        </w:rPr>
        <w:t>(Sic)</w:t>
      </w:r>
    </w:p>
    <w:p w14:paraId="353E1C9D"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p>
    <w:p w14:paraId="353E1C9E" w14:textId="77777777" w:rsidR="008B6C7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14:paraId="353E1C9F" w14:textId="77777777" w:rsidR="008B6C7C" w:rsidRPr="00AB76AB" w:rsidRDefault="008B6C7C" w:rsidP="008B6C7C">
      <w:pPr>
        <w:pStyle w:val="Prrafodelista"/>
        <w:spacing w:line="360" w:lineRule="auto"/>
        <w:ind w:left="0"/>
        <w:jc w:val="both"/>
        <w:rPr>
          <w:rFonts w:ascii="Palatino Linotype" w:eastAsia="Palatino Linotype" w:hAnsi="Palatino Linotype" w:cs="Palatino Linotype"/>
        </w:rPr>
      </w:pPr>
    </w:p>
    <w:p w14:paraId="353E1CA0" w14:textId="77777777" w:rsidR="008B6C7C" w:rsidRPr="00AB76AB" w:rsidRDefault="008B6C7C" w:rsidP="008B6C7C">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53E1CA1"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53E1CA2"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53E1CA3" w14:textId="77777777" w:rsidR="008B6C7C" w:rsidRPr="00AB76AB" w:rsidRDefault="008B6C7C" w:rsidP="008B6C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53E1CA4"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53E1CA5"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53E1CA6"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53E1CA7" w14:textId="77777777" w:rsidR="008B6C7C" w:rsidRPr="00AB76AB" w:rsidRDefault="008B6C7C" w:rsidP="008B6C7C">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53E1CA8" w14:textId="77777777" w:rsidR="008B6C7C" w:rsidRPr="00AB76AB" w:rsidRDefault="008B6C7C" w:rsidP="008B6C7C">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353E1CA9"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p>
    <w:p w14:paraId="353E1CAA"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14:paraId="353E1CAB" w14:textId="77777777" w:rsidR="008B6C7C" w:rsidRPr="00AB76AB" w:rsidRDefault="008B6C7C" w:rsidP="008B6C7C">
      <w:pPr>
        <w:spacing w:line="360" w:lineRule="auto"/>
        <w:ind w:left="567" w:right="474"/>
        <w:jc w:val="both"/>
        <w:rPr>
          <w:rFonts w:ascii="Palatino Linotype" w:eastAsia="Palatino Linotype" w:hAnsi="Palatino Linotype" w:cs="Palatino Linotype"/>
          <w:i/>
        </w:rPr>
      </w:pPr>
    </w:p>
    <w:p w14:paraId="353E1CAC" w14:textId="77777777" w:rsidR="008B6C7C" w:rsidRPr="00AB76AB" w:rsidRDefault="008B6C7C" w:rsidP="008B6C7C">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53E1CAD" w14:textId="77777777" w:rsidR="008B6C7C" w:rsidRPr="00AB76AB" w:rsidRDefault="008B6C7C" w:rsidP="008B6C7C">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53E1CAE" w14:textId="77777777" w:rsidR="008B6C7C" w:rsidRDefault="008B6C7C" w:rsidP="008B6C7C">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53E1CAF" w14:textId="77777777" w:rsidR="008B6C7C" w:rsidRPr="00AB76AB" w:rsidRDefault="008B6C7C" w:rsidP="008B6C7C">
      <w:pPr>
        <w:ind w:left="426" w:right="474"/>
        <w:jc w:val="both"/>
        <w:rPr>
          <w:rFonts w:ascii="Palatino Linotype" w:eastAsia="Palatino Linotype" w:hAnsi="Palatino Linotype" w:cs="Palatino Linotype"/>
          <w:i/>
        </w:rPr>
      </w:pPr>
    </w:p>
    <w:p w14:paraId="353E1CB0"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53E1CB1" w14:textId="77777777" w:rsidR="008B6C7C" w:rsidRPr="00AB76AB" w:rsidRDefault="008B6C7C" w:rsidP="008B6C7C">
      <w:pPr>
        <w:spacing w:line="360" w:lineRule="auto"/>
        <w:jc w:val="both"/>
        <w:rPr>
          <w:rFonts w:ascii="Palatino Linotype" w:eastAsia="Palatino Linotype" w:hAnsi="Palatino Linotype" w:cs="Palatino Linotype"/>
        </w:rPr>
      </w:pPr>
    </w:p>
    <w:p w14:paraId="353E1CB2"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53E1CB3" w14:textId="77777777" w:rsidR="008B6C7C" w:rsidRPr="00AB76AB" w:rsidRDefault="008B6C7C" w:rsidP="008B6C7C">
      <w:pPr>
        <w:spacing w:line="360" w:lineRule="auto"/>
        <w:jc w:val="both"/>
        <w:rPr>
          <w:rFonts w:ascii="Palatino Linotype" w:eastAsia="Palatino Linotype" w:hAnsi="Palatino Linotype" w:cs="Palatino Linotype"/>
        </w:rPr>
      </w:pPr>
    </w:p>
    <w:p w14:paraId="353E1CB4" w14:textId="77777777" w:rsidR="008B6C7C" w:rsidRPr="00AB76AB" w:rsidRDefault="008B6C7C" w:rsidP="008B6C7C">
      <w:pPr>
        <w:ind w:left="567" w:right="616"/>
        <w:jc w:val="both"/>
        <w:rPr>
          <w:rFonts w:ascii="Palatino Linotype" w:eastAsia="Palatino Linotype" w:hAnsi="Palatino Linotype" w:cs="Palatino Linotype"/>
          <w:i/>
        </w:rPr>
      </w:pPr>
      <w:r w:rsidRPr="00AB76A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353E1CB5" w14:textId="77777777" w:rsidR="008B6C7C" w:rsidRPr="00AB76AB" w:rsidRDefault="008B6C7C" w:rsidP="008B6C7C">
      <w:pPr>
        <w:spacing w:line="360" w:lineRule="auto"/>
        <w:jc w:val="both"/>
        <w:rPr>
          <w:rFonts w:ascii="Palatino Linotype" w:eastAsia="Palatino Linotype" w:hAnsi="Palatino Linotype" w:cs="Palatino Linotype"/>
        </w:rPr>
      </w:pPr>
    </w:p>
    <w:p w14:paraId="353E1CB6" w14:textId="77777777" w:rsidR="008B6C7C" w:rsidRPr="00AB76AB"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w:t>
      </w:r>
      <w:r w:rsidRPr="00AB76AB">
        <w:rPr>
          <w:rFonts w:ascii="Palatino Linotype" w:eastAsia="Palatino Linotype" w:hAnsi="Palatino Linotype" w:cs="Palatino Linotype"/>
        </w:rPr>
        <w:lastRenderedPageBreak/>
        <w:t>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53E1CB7" w14:textId="77777777" w:rsidR="009F09BC" w:rsidRPr="00134CE6" w:rsidRDefault="009F09BC" w:rsidP="00EF280A">
      <w:pPr>
        <w:pStyle w:val="Prrafodelista"/>
        <w:spacing w:line="360" w:lineRule="auto"/>
        <w:ind w:left="0"/>
        <w:jc w:val="both"/>
        <w:rPr>
          <w:rFonts w:ascii="Palatino Linotype" w:hAnsi="Palatino Linotype"/>
          <w:color w:val="000000" w:themeColor="text1"/>
        </w:rPr>
      </w:pPr>
    </w:p>
    <w:p w14:paraId="353E1CB8" w14:textId="77777777" w:rsidR="009F09BC"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134CE6">
        <w:rPr>
          <w:rFonts w:ascii="Palatino Linotype" w:hAnsi="Palatino Linotype"/>
          <w:b/>
          <w:color w:val="000000" w:themeColor="text1"/>
          <w:sz w:val="24"/>
          <w:szCs w:val="24"/>
        </w:rPr>
        <w:t xml:space="preserve">TERCERO. </w:t>
      </w:r>
      <w:bookmarkStart w:id="144"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0"/>
      <w:bookmarkEnd w:id="141"/>
      <w:bookmarkEnd w:id="142"/>
      <w:bookmarkEnd w:id="143"/>
      <w:bookmarkEnd w:id="144"/>
    </w:p>
    <w:p w14:paraId="353E1CB9" w14:textId="77777777" w:rsidR="005414D5" w:rsidRDefault="005414D5" w:rsidP="005414D5"/>
    <w:p w14:paraId="353E1CBA"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cuales se puede sobreseer en todo o </w:t>
      </w:r>
      <w:r w:rsidRPr="00F849F2">
        <w:rPr>
          <w:rFonts w:ascii="Palatino Linotype" w:eastAsia="Calibri" w:hAnsi="Palatino Linotype" w:cs="Arial"/>
        </w:rPr>
        <w:t>en</w:t>
      </w:r>
      <w:r w:rsidRPr="005414D5">
        <w:rPr>
          <w:rFonts w:ascii="Palatino Linotype" w:eastAsia="Calibri" w:hAnsi="Palatino Linotype" w:cs="Tahoma"/>
          <w:bCs/>
          <w:color w:val="000000"/>
          <w:lang w:eastAsia="es-ES_tradnl"/>
        </w:rPr>
        <w:t xml:space="preserve">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14:paraId="353E1CBB" w14:textId="77777777" w:rsidR="005414D5" w:rsidRPr="005414D5" w:rsidRDefault="005414D5" w:rsidP="005414D5">
      <w:pPr>
        <w:spacing w:line="360" w:lineRule="auto"/>
        <w:jc w:val="both"/>
        <w:rPr>
          <w:rFonts w:ascii="Palatino Linotype" w:eastAsia="Times New Roman" w:hAnsi="Palatino Linotype" w:cs="Arial"/>
          <w:bCs/>
        </w:rPr>
      </w:pPr>
    </w:p>
    <w:p w14:paraId="353E1CBC"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
          <w:bCs/>
          <w:i/>
        </w:rPr>
        <w:lastRenderedPageBreak/>
        <w:t xml:space="preserve">“Artículo 179. </w:t>
      </w:r>
      <w:r w:rsidRPr="005414D5">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353E1CBD" w14:textId="77777777" w:rsidR="005414D5" w:rsidRPr="005414D5" w:rsidRDefault="005414D5" w:rsidP="005414D5">
      <w:pPr>
        <w:spacing w:line="360" w:lineRule="auto"/>
        <w:ind w:left="567" w:right="567"/>
        <w:jc w:val="both"/>
        <w:rPr>
          <w:rFonts w:ascii="Palatino Linotype" w:hAnsi="Palatino Linotype" w:cs="Arial"/>
          <w:bCs/>
          <w:i/>
        </w:rPr>
      </w:pPr>
    </w:p>
    <w:p w14:paraId="353E1CBE"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 La negativa a la información solicitada; </w:t>
      </w:r>
    </w:p>
    <w:p w14:paraId="353E1CBF"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II. La clasificación de la información; </w:t>
      </w:r>
    </w:p>
    <w:p w14:paraId="353E1CC0"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III. La declaración de inexistencia de la información; </w:t>
      </w:r>
    </w:p>
    <w:p w14:paraId="353E1CC1"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IV. La declaración de incompetencia por el sujeto obligado; </w:t>
      </w:r>
    </w:p>
    <w:p w14:paraId="353E1CC2"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 La entrega de información incompleta; </w:t>
      </w:r>
    </w:p>
    <w:p w14:paraId="353E1CC3"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VI. La entrega de información que no corresponda con lo solicitado; </w:t>
      </w:r>
    </w:p>
    <w:p w14:paraId="353E1CC4"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VII. La falta de respuesta a una solicitud de acceso a la información; </w:t>
      </w:r>
    </w:p>
    <w:p w14:paraId="353E1CC5"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VIII. La notificación, entrega o puesta a disposición de información en una modalidad o formato distinto al solicitado; </w:t>
      </w:r>
    </w:p>
    <w:p w14:paraId="353E1CC6"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IX. La entrega o puesta a disposición de información en un formato incomprensible y/o no accesible para el solicitante; </w:t>
      </w:r>
    </w:p>
    <w:p w14:paraId="353E1CC7"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 Los costos o tiempos de entrega de la información; </w:t>
      </w:r>
    </w:p>
    <w:p w14:paraId="353E1CC8"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XI. La falta de trámite a una solicitud; </w:t>
      </w:r>
    </w:p>
    <w:p w14:paraId="353E1CC9"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XII. La negativa a permitir la consulta directa de la información; </w:t>
      </w:r>
    </w:p>
    <w:p w14:paraId="353E1CCA"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 xml:space="preserve">XIII. La falta, deficiencia o insuficiencia de la fundamentación y/o motivación en la respuesta; y </w:t>
      </w:r>
    </w:p>
    <w:p w14:paraId="353E1CCB"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XIV. La orientación a un trámite específico.</w:t>
      </w:r>
    </w:p>
    <w:p w14:paraId="353E1CCC"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w:t>
      </w:r>
    </w:p>
    <w:p w14:paraId="353E1CCD" w14:textId="77777777" w:rsidR="00BB5758" w:rsidRDefault="00BB5758" w:rsidP="00BB5758">
      <w:pPr>
        <w:spacing w:line="360" w:lineRule="auto"/>
        <w:ind w:right="49"/>
        <w:contextualSpacing/>
        <w:jc w:val="both"/>
        <w:rPr>
          <w:rFonts w:ascii="Palatino Linotype" w:hAnsi="Palatino Linotype" w:cs="Tahoma"/>
          <w:lang w:val="es-ES"/>
        </w:rPr>
      </w:pPr>
    </w:p>
    <w:p w14:paraId="353E1CCE"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lastRenderedPageBreak/>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7D711C">
        <w:rPr>
          <w:rFonts w:ascii="Palatino Linotype" w:eastAsia="Times New Roman" w:hAnsi="Palatino Linotype" w:cs="Tahoma"/>
        </w:rPr>
        <w:t>derecho</w:t>
      </w:r>
      <w:r w:rsidRPr="005414D5">
        <w:rPr>
          <w:rFonts w:ascii="Palatino Linotype" w:hAnsi="Palatino Linotype" w:cs="Tahoma"/>
          <w:lang w:val="es-ES"/>
        </w:rPr>
        <w:t xml:space="preserve"> de acceso a la información pública.</w:t>
      </w:r>
    </w:p>
    <w:p w14:paraId="353E1CCF" w14:textId="77777777" w:rsidR="00BB5758" w:rsidRDefault="00BB5758" w:rsidP="005414D5">
      <w:pPr>
        <w:tabs>
          <w:tab w:val="left" w:pos="4962"/>
        </w:tabs>
        <w:spacing w:line="360" w:lineRule="auto"/>
        <w:jc w:val="both"/>
        <w:rPr>
          <w:rFonts w:ascii="Palatino Linotype" w:hAnsi="Palatino Linotype" w:cs="Tahoma"/>
          <w:lang w:val="es-ES"/>
        </w:rPr>
      </w:pPr>
    </w:p>
    <w:p w14:paraId="353E1CD0"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14:paraId="353E1CD1" w14:textId="77777777" w:rsidR="00CC14BA" w:rsidRDefault="00CC14BA" w:rsidP="00CC14BA">
      <w:pPr>
        <w:spacing w:line="360" w:lineRule="auto"/>
        <w:ind w:right="49"/>
        <w:contextualSpacing/>
        <w:jc w:val="both"/>
        <w:rPr>
          <w:rFonts w:ascii="Palatino Linotype" w:hAnsi="Palatino Linotype" w:cs="Tahoma"/>
          <w:lang w:val="es-ES"/>
        </w:rPr>
      </w:pPr>
    </w:p>
    <w:p w14:paraId="353E1CD2" w14:textId="77777777" w:rsidR="005414D5" w:rsidRPr="00F849F2"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14:paraId="353E1CD3" w14:textId="77777777" w:rsidR="00F849F2" w:rsidRPr="00F849F2" w:rsidRDefault="00F849F2" w:rsidP="00F849F2">
      <w:pPr>
        <w:pStyle w:val="Prrafodelista"/>
        <w:rPr>
          <w:rFonts w:ascii="Palatino Linotype" w:hAnsi="Palatino Linotype" w:cs="Tahoma"/>
          <w:lang w:val="es-ES"/>
        </w:rPr>
      </w:pPr>
    </w:p>
    <w:p w14:paraId="353E1CD4"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color w:val="000000"/>
        </w:rPr>
      </w:pPr>
      <w:r w:rsidRPr="005414D5">
        <w:rPr>
          <w:rFonts w:ascii="Palatino Linotype" w:hAnsi="Palatino Linotype" w:cs="Tahoma"/>
          <w:bCs/>
          <w:iCs/>
          <w:lang w:val="es-ES"/>
        </w:rPr>
        <w:t xml:space="preserve">Con </w:t>
      </w:r>
      <w:r w:rsidRPr="00F849F2">
        <w:rPr>
          <w:rFonts w:ascii="Palatino Linotype" w:hAnsi="Palatino Linotype" w:cs="Tahoma"/>
          <w:lang w:val="es-ES"/>
        </w:rPr>
        <w:t>base</w:t>
      </w:r>
      <w:r w:rsidRPr="005414D5">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cual se determinó como causal de procedencia, la fracción VII, del </w:t>
      </w:r>
      <w:r w:rsidRPr="005414D5">
        <w:rPr>
          <w:rFonts w:ascii="Palatino Linotype" w:hAnsi="Palatino Linotype" w:cs="Tahoma"/>
          <w:bCs/>
          <w:color w:val="000000"/>
        </w:rPr>
        <w:lastRenderedPageBreak/>
        <w:t xml:space="preserve">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w:t>
      </w:r>
      <w:r w:rsidR="00CE3153">
        <w:rPr>
          <w:rFonts w:ascii="Palatino Linotype" w:hAnsi="Palatino Linotype" w:cs="Tahoma"/>
          <w:bCs/>
          <w:color w:val="000000"/>
        </w:rPr>
        <w:t>Ayuntamiento de Zinacantepec</w:t>
      </w:r>
      <w:r w:rsidRPr="005414D5">
        <w:rPr>
          <w:rFonts w:ascii="Palatino Linotype" w:hAnsi="Palatino Linotype" w:cs="Tahoma"/>
          <w:bCs/>
          <w:color w:val="000000"/>
        </w:rPr>
        <w:t>, a través del Sistema de Acceso a la Información Mexiquense (SAIMEX), dar trámite y respuesta a la solicitud de información.</w:t>
      </w:r>
    </w:p>
    <w:p w14:paraId="353E1CD5" w14:textId="77777777" w:rsidR="005414D5" w:rsidRPr="005414D5" w:rsidRDefault="005414D5" w:rsidP="005414D5">
      <w:pPr>
        <w:spacing w:line="360" w:lineRule="auto"/>
        <w:contextualSpacing/>
        <w:jc w:val="both"/>
        <w:rPr>
          <w:rFonts w:ascii="Palatino Linotype" w:hAnsi="Palatino Linotype" w:cs="Tahoma"/>
          <w:bCs/>
          <w:color w:val="000000"/>
        </w:rPr>
      </w:pPr>
    </w:p>
    <w:p w14:paraId="353E1CD6"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w:t>
      </w:r>
      <w:r w:rsidRPr="007D711C">
        <w:rPr>
          <w:rFonts w:ascii="Palatino Linotype" w:hAnsi="Palatino Linotype" w:cs="Tahoma"/>
          <w:bCs/>
          <w:iCs/>
          <w:lang w:val="es-ES"/>
        </w:rPr>
        <w:t>nuevamente</w:t>
      </w:r>
      <w:r w:rsidRPr="005414D5">
        <w:rPr>
          <w:rFonts w:ascii="Palatino Linotype" w:hAnsi="Palatino Linotype" w:cs="Tahoma"/>
          <w:bCs/>
          <w:color w:val="000000"/>
        </w:rPr>
        <w:t xml:space="preserve"> Recurso de Revisión ante este Instituto, por la respuesta que diera el Sujeto </w:t>
      </w:r>
      <w:r w:rsidRPr="00BB5758">
        <w:rPr>
          <w:rFonts w:ascii="Palatino Linotype" w:hAnsi="Palatino Linotype" w:cs="Tahoma"/>
          <w:bCs/>
          <w:iCs/>
          <w:lang w:val="es-ES"/>
        </w:rPr>
        <w:t>Obligado</w:t>
      </w:r>
      <w:r w:rsidRPr="005414D5">
        <w:rPr>
          <w:rFonts w:ascii="Palatino Linotype" w:hAnsi="Palatino Linotype" w:cs="Tahoma"/>
          <w:bCs/>
          <w:color w:val="000000"/>
        </w:rPr>
        <w:t xml:space="preserve">, en cumplimiento a la Resolución. Sobre el tema, el último párrafo del artículo </w:t>
      </w:r>
      <w:r w:rsidRPr="00F849F2">
        <w:rPr>
          <w:rFonts w:ascii="Palatino Linotype" w:hAnsi="Palatino Linotype" w:cs="Tahoma"/>
          <w:bCs/>
          <w:iCs/>
          <w:lang w:val="es-ES"/>
        </w:rPr>
        <w:t>179</w:t>
      </w:r>
      <w:r w:rsidRPr="005414D5">
        <w:rPr>
          <w:rFonts w:ascii="Palatino Linotype" w:hAnsi="Palatino Linotype" w:cs="Tahoma"/>
          <w:bCs/>
          <w:color w:val="000000"/>
        </w:rPr>
        <w:t xml:space="preserve"> de la Ley de Transparencia y Acceso a la Información Pública del Estado de México y Municipios, precisa lo siguiente:</w:t>
      </w:r>
    </w:p>
    <w:p w14:paraId="353E1CD7" w14:textId="77777777" w:rsidR="003E42AE" w:rsidRDefault="003E42AE" w:rsidP="005414D5">
      <w:pPr>
        <w:spacing w:line="360" w:lineRule="auto"/>
        <w:ind w:left="567" w:right="567"/>
        <w:jc w:val="both"/>
        <w:rPr>
          <w:rFonts w:ascii="Palatino Linotype" w:hAnsi="Palatino Linotype" w:cs="Arial"/>
          <w:b/>
          <w:bCs/>
          <w:i/>
        </w:rPr>
      </w:pPr>
    </w:p>
    <w:p w14:paraId="353E1CD8"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
          <w:bCs/>
          <w:i/>
        </w:rPr>
        <w:t xml:space="preserve">“Artículo 179. </w:t>
      </w:r>
      <w:r w:rsidRPr="005414D5">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353E1CD9"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w:t>
      </w:r>
    </w:p>
    <w:p w14:paraId="353E1CDA" w14:textId="77777777" w:rsidR="005414D5" w:rsidRPr="005414D5" w:rsidRDefault="005414D5" w:rsidP="005414D5">
      <w:pPr>
        <w:spacing w:line="360" w:lineRule="auto"/>
        <w:ind w:left="567" w:right="567"/>
        <w:jc w:val="both"/>
        <w:rPr>
          <w:rFonts w:ascii="Palatino Linotype" w:hAnsi="Palatino Linotype" w:cs="Arial"/>
          <w:bCs/>
          <w:i/>
        </w:rPr>
      </w:pPr>
      <w:r w:rsidRPr="005414D5">
        <w:rPr>
          <w:rFonts w:ascii="Palatino Linotype" w:hAnsi="Palatino Linotype" w:cs="Arial"/>
          <w:bCs/>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53E1CDB" w14:textId="77777777" w:rsidR="00BB5758" w:rsidRDefault="00BB5758" w:rsidP="00BB5758">
      <w:pPr>
        <w:spacing w:line="360" w:lineRule="auto"/>
        <w:ind w:right="49"/>
        <w:contextualSpacing/>
        <w:jc w:val="both"/>
        <w:rPr>
          <w:rFonts w:ascii="Palatino Linotype" w:hAnsi="Palatino Linotype" w:cs="Tahoma"/>
          <w:bCs/>
          <w:iCs/>
          <w:lang w:val="es-ES"/>
        </w:rPr>
      </w:pPr>
    </w:p>
    <w:p w14:paraId="353E1CDC" w14:textId="77777777" w:rsid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F849F2">
        <w:rPr>
          <w:rFonts w:ascii="Palatino Linotype" w:hAnsi="Palatino Linotype" w:cs="Tahoma"/>
          <w:bCs/>
          <w:color w:val="000000"/>
        </w:rPr>
        <w:t>cumplimiento</w:t>
      </w:r>
      <w:r w:rsidRPr="005414D5">
        <w:rPr>
          <w:rFonts w:ascii="Palatino Linotype" w:hAnsi="Palatino Linotype" w:cs="Tahoma"/>
          <w:bCs/>
          <w:iCs/>
          <w:lang w:val="es-ES"/>
        </w:rPr>
        <w:t xml:space="preserve"> a las </w:t>
      </w:r>
      <w:r w:rsidRPr="007D711C">
        <w:rPr>
          <w:rFonts w:ascii="Palatino Linotype" w:hAnsi="Palatino Linotype" w:cs="Tahoma"/>
          <w:bCs/>
          <w:color w:val="000000"/>
        </w:rPr>
        <w:t>resoluciones</w:t>
      </w:r>
      <w:r w:rsidRPr="005414D5">
        <w:rPr>
          <w:rFonts w:ascii="Palatino Linotype" w:hAnsi="Palatino Linotype" w:cs="Tahoma"/>
          <w:bCs/>
          <w:iCs/>
          <w:lang w:val="es-ES"/>
        </w:rPr>
        <w:t xml:space="preserve"> de este Instituto, que hayan derivado de un </w:t>
      </w:r>
      <w:r w:rsidRPr="005414D5">
        <w:rPr>
          <w:rFonts w:ascii="Palatino Linotype" w:hAnsi="Palatino Linotype" w:cs="Tahoma"/>
          <w:bCs/>
          <w:iCs/>
          <w:lang w:val="es-ES"/>
        </w:rPr>
        <w:lastRenderedPageBreak/>
        <w:t>Medio de Impugnación en donde la causal de procedencia fuera alguna de las fracciones referidas en el último párrafo, del artículo multicitado.</w:t>
      </w:r>
    </w:p>
    <w:p w14:paraId="353E1CDD" w14:textId="77777777" w:rsidR="00BB5758" w:rsidRPr="005414D5" w:rsidRDefault="00BB5758" w:rsidP="00BB5758">
      <w:pPr>
        <w:spacing w:line="360" w:lineRule="auto"/>
        <w:ind w:right="49"/>
        <w:contextualSpacing/>
        <w:jc w:val="both"/>
        <w:rPr>
          <w:rFonts w:ascii="Palatino Linotype" w:hAnsi="Palatino Linotype" w:cs="Tahoma"/>
          <w:bCs/>
          <w:iCs/>
          <w:lang w:val="es-ES"/>
        </w:rPr>
      </w:pPr>
    </w:p>
    <w:p w14:paraId="353E1CDE"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obran en </w:t>
      </w:r>
      <w:r w:rsidRPr="005414D5">
        <w:rPr>
          <w:rFonts w:ascii="Palatino Linotype" w:hAnsi="Palatino Linotype" w:cs="Tahoma"/>
          <w:bCs/>
          <w:iCs/>
          <w:lang w:val="es-ES"/>
        </w:rPr>
        <w:t>l</w:t>
      </w:r>
      <w:r w:rsidR="003E42AE">
        <w:rPr>
          <w:rFonts w:ascii="Palatino Linotype" w:hAnsi="Palatino Linotype" w:cs="Tahoma"/>
          <w:bCs/>
          <w:iCs/>
          <w:lang w:val="es-ES"/>
        </w:rPr>
        <w:t>os</w:t>
      </w:r>
      <w:r w:rsidRPr="005414D5">
        <w:rPr>
          <w:rFonts w:ascii="Palatino Linotype" w:hAnsi="Palatino Linotype" w:cs="Tahoma"/>
          <w:bCs/>
          <w:iCs/>
          <w:lang w:val="es-ES"/>
        </w:rPr>
        <w:t xml:space="preserve"> expediente</w:t>
      </w:r>
      <w:r w:rsidR="003E42AE">
        <w:rPr>
          <w:rFonts w:ascii="Palatino Linotype" w:hAnsi="Palatino Linotype" w:cs="Tahoma"/>
          <w:bCs/>
          <w:iCs/>
          <w:lang w:val="es-ES"/>
        </w:rPr>
        <w:t>s electrónicos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decir,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14:paraId="353E1CDF" w14:textId="77777777" w:rsidR="00BB5758" w:rsidRDefault="00BB5758" w:rsidP="005414D5">
      <w:pPr>
        <w:spacing w:line="360" w:lineRule="auto"/>
        <w:jc w:val="both"/>
        <w:rPr>
          <w:rFonts w:ascii="Palatino Linotype" w:eastAsia="Calibri" w:hAnsi="Palatino Linotype" w:cs="Tahoma"/>
          <w:color w:val="0D0D0D" w:themeColor="text1" w:themeTint="F2"/>
        </w:rPr>
      </w:pPr>
    </w:p>
    <w:p w14:paraId="353E1CE0" w14:textId="77777777" w:rsidR="005414D5" w:rsidRPr="005414D5" w:rsidRDefault="003E42AE" w:rsidP="007D711C">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t>En tal virtud,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 xml:space="preserve">o se </w:t>
      </w:r>
      <w:r w:rsidR="005414D5" w:rsidRPr="00982FCD">
        <w:rPr>
          <w:rFonts w:ascii="Palatino Linotype" w:hAnsi="Palatino Linotype" w:cs="Tahoma"/>
          <w:bCs/>
          <w:iCs/>
          <w:lang w:val="es-ES"/>
        </w:rPr>
        <w:t>configuraba</w:t>
      </w:r>
      <w:r w:rsidR="005414D5" w:rsidRPr="005414D5">
        <w:rPr>
          <w:rFonts w:ascii="Palatino Linotype" w:eastAsia="Calibri" w:hAnsi="Palatino Linotype" w:cs="Tahoma"/>
          <w:color w:val="0D0D0D" w:themeColor="text1" w:themeTint="F2"/>
        </w:rPr>
        <w:t xml:space="preserve">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14:paraId="353E1CE1" w14:textId="77777777" w:rsidR="005414D5" w:rsidRPr="005414D5" w:rsidRDefault="005414D5" w:rsidP="005414D5">
      <w:pPr>
        <w:spacing w:line="360" w:lineRule="auto"/>
        <w:jc w:val="both"/>
        <w:rPr>
          <w:rFonts w:ascii="Palatino Linotype" w:eastAsia="Calibri" w:hAnsi="Palatino Linotype" w:cs="Tahoma"/>
          <w:color w:val="0D0D0D" w:themeColor="text1" w:themeTint="F2"/>
        </w:rPr>
      </w:pPr>
    </w:p>
    <w:p w14:paraId="353E1CE2" w14:textId="77777777" w:rsidR="005414D5" w:rsidRPr="00BB5758" w:rsidRDefault="00D60F5E" w:rsidP="007D711C">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B5758">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Pr>
          <w:rFonts w:ascii="Palatino Linotype" w:hAnsi="Palatino Linotype" w:cs="Tahoma"/>
          <w:bCs/>
          <w:color w:val="000000"/>
        </w:rPr>
        <w:t>ón primigenio.</w:t>
      </w:r>
    </w:p>
    <w:p w14:paraId="353E1CE3" w14:textId="77777777" w:rsidR="00BB5758" w:rsidRDefault="00BB5758" w:rsidP="00BB5758">
      <w:pPr>
        <w:pStyle w:val="Prrafodelista"/>
        <w:rPr>
          <w:rFonts w:ascii="Palatino Linotype" w:eastAsia="Calibri" w:hAnsi="Palatino Linotype" w:cs="Tahoma"/>
          <w:b/>
          <w:bCs/>
          <w:color w:val="0D0D0D" w:themeColor="text1" w:themeTint="F2"/>
        </w:rPr>
      </w:pPr>
    </w:p>
    <w:p w14:paraId="353E1CE4"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7D711C">
        <w:rPr>
          <w:rFonts w:ascii="Palatino Linotype" w:eastAsia="Calibri" w:hAnsi="Palatino Linotype" w:cs="Tahoma"/>
          <w:color w:val="0D0D0D" w:themeColor="text1" w:themeTint="F2"/>
        </w:rPr>
        <w:t>información</w:t>
      </w:r>
      <w:r w:rsidRPr="005414D5">
        <w:rPr>
          <w:rFonts w:ascii="Palatino Linotype" w:eastAsia="Calibri" w:hAnsi="Palatino Linotype" w:cs="Tahoma"/>
          <w:bCs/>
          <w:color w:val="0D0D0D" w:themeColor="text1" w:themeTint="F2"/>
        </w:rPr>
        <w:t xml:space="preserve">, pues al dar trámite al Segundo Recurso de </w:t>
      </w:r>
      <w:r w:rsidRPr="005414D5">
        <w:rPr>
          <w:rFonts w:ascii="Palatino Linotype" w:eastAsia="Calibri" w:hAnsi="Palatino Linotype" w:cs="Tahoma"/>
          <w:bCs/>
          <w:color w:val="0D0D0D" w:themeColor="text1" w:themeTint="F2"/>
        </w:rPr>
        <w:lastRenderedPageBreak/>
        <w:t>Revisión, se interrumpe el procedimiento llevado a cabo por la Secretaría Técnica del Pleno, para garantizar el cumplimiento de las resoluciones emitidas.</w:t>
      </w:r>
    </w:p>
    <w:p w14:paraId="353E1CE5" w14:textId="77777777" w:rsidR="005414D5" w:rsidRPr="005414D5" w:rsidRDefault="005414D5" w:rsidP="005414D5">
      <w:pPr>
        <w:spacing w:line="360" w:lineRule="auto"/>
        <w:jc w:val="both"/>
        <w:rPr>
          <w:rFonts w:ascii="Palatino Linotype" w:eastAsia="Calibri" w:hAnsi="Palatino Linotype" w:cs="Tahoma"/>
          <w:bCs/>
          <w:color w:val="0D0D0D" w:themeColor="text1" w:themeTint="F2"/>
        </w:rPr>
      </w:pPr>
    </w:p>
    <w:p w14:paraId="353E1CE6" w14:textId="77777777" w:rsidR="005414D5" w:rsidRPr="005414D5" w:rsidRDefault="005414D5" w:rsidP="007D711C">
      <w:pPr>
        <w:pStyle w:val="Prrafodelista"/>
        <w:numPr>
          <w:ilvl w:val="0"/>
          <w:numId w:val="1"/>
        </w:numPr>
        <w:spacing w:line="360" w:lineRule="auto"/>
        <w:ind w:left="0" w:firstLine="0"/>
        <w:contextualSpacing w:val="0"/>
        <w:jc w:val="both"/>
        <w:rPr>
          <w:rFonts w:ascii="Palatino Linotype" w:hAnsi="Palatino Linotype" w:cs="Tahoma"/>
        </w:rPr>
      </w:pPr>
      <w:r w:rsidRPr="005414D5">
        <w:rPr>
          <w:rFonts w:ascii="Palatino Linotype" w:hAnsi="Palatino Linotype" w:cs="Tahoma"/>
          <w:lang w:val="es-ES"/>
        </w:rPr>
        <w:t>Por lo expuesto, se logra vislumbrar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w:t>
      </w:r>
      <w:proofErr w:type="spellStart"/>
      <w:r w:rsidRPr="005414D5">
        <w:rPr>
          <w:rFonts w:ascii="Palatino Linotype" w:hAnsi="Palatino Linotype" w:cs="Tahoma"/>
        </w:rPr>
        <w:t>desechamiento</w:t>
      </w:r>
      <w:proofErr w:type="spellEnd"/>
      <w:r w:rsidRPr="005414D5">
        <w:rPr>
          <w:rFonts w:ascii="Palatino Linotype" w:hAnsi="Palatino Linotype" w:cs="Tahoma"/>
        </w:rPr>
        <w:t xml:space="preserve"> establecida en el artículo 191, fracción III, 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14:paraId="353E1CE7" w14:textId="77777777" w:rsidR="00BB5758" w:rsidRDefault="00BB5758" w:rsidP="005414D5">
      <w:pPr>
        <w:spacing w:line="360" w:lineRule="auto"/>
        <w:jc w:val="both"/>
        <w:rPr>
          <w:rFonts w:ascii="Palatino Linotype" w:eastAsia="Times New Roman" w:hAnsi="Palatino Linotype" w:cs="Tahoma"/>
          <w:lang w:val="es-ES"/>
        </w:rPr>
      </w:pPr>
    </w:p>
    <w:p w14:paraId="353E1CE8" w14:textId="77777777"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Pr>
          <w:rFonts w:ascii="Palatino Linotype" w:eastAsia="Times New Roman" w:hAnsi="Palatino Linotype" w:cs="Tahoma"/>
          <w:lang w:val="es-ES"/>
        </w:rPr>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7D711C">
        <w:rPr>
          <w:rFonts w:ascii="Palatino Linotype" w:hAnsi="Palatino Linotype" w:cs="Tahoma"/>
          <w:lang w:val="es-ES"/>
        </w:rPr>
        <w:t>Municipios</w:t>
      </w:r>
      <w:r w:rsidR="005414D5" w:rsidRPr="005414D5">
        <w:rPr>
          <w:rFonts w:ascii="Palatino Linotype" w:eastAsia="Times New Roman" w:hAnsi="Palatino Linotype" w:cs="Tahoma"/>
          <w:lang w:val="es-ES"/>
        </w:rPr>
        <w:t xml:space="preserve">,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14:paraId="353E1CE9" w14:textId="77777777" w:rsidR="005414D5" w:rsidRPr="005414D5" w:rsidRDefault="005414D5" w:rsidP="005414D5">
      <w:pPr>
        <w:spacing w:line="360" w:lineRule="auto"/>
        <w:contextualSpacing/>
        <w:jc w:val="both"/>
        <w:rPr>
          <w:rFonts w:ascii="Palatino Linotype" w:eastAsia="Times New Roman" w:hAnsi="Palatino Linotype" w:cs="Tahoma"/>
          <w:bCs/>
          <w:iCs/>
        </w:rPr>
      </w:pPr>
    </w:p>
    <w:p w14:paraId="353E1CEA" w14:textId="77777777" w:rsidR="005414D5" w:rsidRPr="005414D5"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982FCD">
        <w:rPr>
          <w:rFonts w:ascii="Palatino Linotype" w:eastAsia="Times New Roman" w:hAnsi="Palatino Linotype" w:cs="Tahoma"/>
          <w:lang w:val="es-ES"/>
        </w:rPr>
        <w:t>Incumplimiento</w:t>
      </w:r>
      <w:r w:rsidR="005414D5" w:rsidRPr="005414D5">
        <w:rPr>
          <w:rFonts w:ascii="Palatino Linotype" w:eastAsia="Times New Roman" w:hAnsi="Palatino Linotype" w:cs="Tahoma"/>
          <w:bCs/>
          <w:color w:val="000000"/>
          <w:lang w:val="es-ES"/>
        </w:rPr>
        <w:t xml:space="preserve">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 xml:space="preserve">objeto de </w:t>
      </w:r>
      <w:r>
        <w:rPr>
          <w:rFonts w:ascii="Palatino Linotype" w:hAnsi="Palatino Linotype"/>
          <w:color w:val="000000"/>
        </w:rPr>
        <w:lastRenderedPageBreak/>
        <w:t>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14:paraId="353E1CEB" w14:textId="77777777" w:rsidR="005414D5" w:rsidRPr="005414D5" w:rsidRDefault="005414D5" w:rsidP="005414D5"/>
    <w:p w14:paraId="353E1CEC" w14:textId="77777777" w:rsidR="00792D6A" w:rsidRPr="00982FCD" w:rsidRDefault="00792D6A"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w:t>
      </w:r>
      <w:r w:rsidRPr="00982FCD">
        <w:rPr>
          <w:rFonts w:ascii="Palatino Linotype" w:eastAsia="Times New Roman" w:hAnsi="Palatino Linotype" w:cs="Tahoma"/>
          <w:bCs/>
        </w:rPr>
        <w:t>anteriormente</w:t>
      </w:r>
      <w:r w:rsidRPr="00134CE6">
        <w:rPr>
          <w:rFonts w:ascii="Palatino Linotype" w:hAnsi="Palatino Linotype" w:cs="Arial"/>
          <w:color w:val="000000" w:themeColor="text1"/>
          <w:lang w:eastAsia="es-MX"/>
        </w:rPr>
        <w:t xml:space="preserv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14:paraId="353E1CED" w14:textId="77777777" w:rsidR="00982FCD" w:rsidRPr="00982FCD" w:rsidRDefault="00982FCD" w:rsidP="00982FCD">
      <w:pPr>
        <w:pStyle w:val="Prrafodelista"/>
        <w:rPr>
          <w:rFonts w:ascii="Palatino Linotype" w:hAnsi="Palatino Linotype"/>
          <w:color w:val="000000" w:themeColor="text1"/>
        </w:rPr>
      </w:pPr>
    </w:p>
    <w:p w14:paraId="353E1CEE" w14:textId="77777777"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134CE6">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14:paraId="353E1CEF" w14:textId="77777777" w:rsidR="00CE7B83" w:rsidRPr="00134CE6" w:rsidRDefault="00CE7B83" w:rsidP="00CE7B83">
      <w:pPr>
        <w:rPr>
          <w:rFonts w:ascii="Palatino Linotype" w:hAnsi="Palatino Linotype"/>
          <w:color w:val="000000" w:themeColor="text1"/>
          <w:lang w:val="es-ES"/>
        </w:rPr>
      </w:pPr>
    </w:p>
    <w:p w14:paraId="353E1CF0" w14:textId="77777777"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00642B8B" w:rsidRPr="00642B8B">
        <w:rPr>
          <w:rFonts w:ascii="Palatino Linotype" w:hAnsi="Palatino Linotype" w:cs="Arial"/>
        </w:rPr>
        <w:t>e</w:t>
      </w:r>
      <w:r w:rsidR="00103414">
        <w:rPr>
          <w:rFonts w:ascii="Palatino Linotype" w:hAnsi="Palatino Linotype" w:cs="Arial"/>
        </w:rPr>
        <w:t>l Recurso de R</w:t>
      </w:r>
      <w:r w:rsidRPr="00452437">
        <w:rPr>
          <w:rFonts w:ascii="Palatino Linotype" w:hAnsi="Palatino Linotype" w:cs="Arial"/>
        </w:rPr>
        <w:t>evisión</w:t>
      </w:r>
      <w:r w:rsidRPr="00452437">
        <w:rPr>
          <w:rFonts w:ascii="Palatino Linotype" w:hAnsi="Palatino Linotype" w:cs="Arial"/>
          <w:b/>
        </w:rPr>
        <w:t xml:space="preserve"> </w:t>
      </w:r>
      <w:r w:rsidRPr="00452437">
        <w:rPr>
          <w:rFonts w:ascii="Palatino Linotype" w:hAnsi="Palatino Linotype" w:cs="Arial"/>
        </w:rPr>
        <w:t xml:space="preserve">número </w:t>
      </w:r>
      <w:r w:rsidR="003B70DC">
        <w:rPr>
          <w:rFonts w:ascii="Palatino Linotype" w:hAnsi="Palatino Linotype"/>
          <w:b/>
          <w:color w:val="000000" w:themeColor="text1"/>
        </w:rPr>
        <w:t>17208/INFOEM/ICR-129/IP/RR/2022</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ordenamiento jurídico, </w:t>
      </w:r>
      <w:r w:rsidR="00BB5758">
        <w:rPr>
          <w:rFonts w:ascii="Palatino Linotype" w:eastAsia="Times New Roman" w:hAnsi="Palatino Linotype" w:cs="Tahoma"/>
          <w:lang w:val="es-ES"/>
        </w:rPr>
        <w:t xml:space="preserve">en términos del </w:t>
      </w:r>
      <w:r w:rsidR="00BB5758" w:rsidRPr="00BB5758">
        <w:rPr>
          <w:rFonts w:ascii="Palatino Linotype" w:eastAsia="Times New Roman" w:hAnsi="Palatino Linotype" w:cs="Tahoma"/>
          <w:b/>
          <w:lang w:val="es-ES"/>
        </w:rPr>
        <w:t xml:space="preserve">Considerando </w:t>
      </w:r>
      <w:r w:rsidR="00BB5758">
        <w:rPr>
          <w:rFonts w:ascii="Palatino Linotype" w:eastAsia="Times New Roman" w:hAnsi="Palatino Linotype" w:cs="Tahoma"/>
          <w:b/>
          <w:lang w:val="es-ES"/>
        </w:rPr>
        <w:t>Tercero</w:t>
      </w:r>
      <w:r w:rsidR="00BB5758" w:rsidRPr="00BB5758">
        <w:rPr>
          <w:rFonts w:ascii="Palatino Linotype" w:eastAsia="Times New Roman" w:hAnsi="Palatino Linotype" w:cs="Tahoma"/>
          <w:lang w:val="es-ES"/>
        </w:rPr>
        <w:t xml:space="preserve"> de la presente Resolución.</w:t>
      </w:r>
    </w:p>
    <w:p w14:paraId="353E1CF1" w14:textId="77777777" w:rsidR="00531473" w:rsidRPr="00452437" w:rsidRDefault="00531473" w:rsidP="00531473">
      <w:pPr>
        <w:shd w:val="clear" w:color="auto" w:fill="FFFFFF"/>
        <w:spacing w:before="240" w:after="360" w:line="360" w:lineRule="auto"/>
        <w:jc w:val="both"/>
        <w:rPr>
          <w:rStyle w:val="Ttulo2Car"/>
          <w:b/>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452437">
        <w:rPr>
          <w:rFonts w:ascii="Palatino Linotype" w:eastAsia="Times New Roman" w:hAnsi="Palatino Linotype" w:cs="Arial"/>
          <w:b/>
        </w:rPr>
        <w:t>SEGUNDO.</w:t>
      </w:r>
      <w:bookmarkEnd w:id="151"/>
      <w:bookmarkEnd w:id="152"/>
      <w:bookmarkEnd w:id="153"/>
      <w:bookmarkEnd w:id="154"/>
      <w:bookmarkEnd w:id="155"/>
      <w:bookmarkEnd w:id="156"/>
      <w:bookmarkEnd w:id="157"/>
      <w:bookmarkEnd w:id="158"/>
      <w:bookmarkEnd w:id="159"/>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14:paraId="353E1CF2" w14:textId="77777777"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CE3153">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14:paraId="353E1CF3" w14:textId="77777777"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14:paraId="353E1CF4" w14:textId="77777777"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CE3153">
        <w:rPr>
          <w:rFonts w:ascii="Palatino Linotype" w:eastAsia="MS Mincho" w:hAnsi="Palatino Linotype"/>
          <w:b/>
        </w:rPr>
        <w:t>EL RECURRENTE</w:t>
      </w:r>
      <w:r w:rsidR="000E31C4" w:rsidRPr="00DE5871">
        <w:rPr>
          <w:rFonts w:ascii="Palatino Linotype" w:hAnsi="Palatino Linotype"/>
        </w:rPr>
        <w:t xml:space="preserve"> </w:t>
      </w:r>
      <w:r w:rsidR="000E31C4" w:rsidRPr="00DE5871">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000E31C4" w:rsidRPr="00DE5871">
        <w:rPr>
          <w:rFonts w:ascii="Palatino Linotype" w:eastAsia="MS Mincho" w:hAnsi="Palatino Linotype"/>
        </w:rPr>
        <w:lastRenderedPageBreak/>
        <w:t>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14:paraId="353E1CF5" w14:textId="77777777" w:rsidR="00D60F5E"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14:paraId="353E1CF6" w14:textId="42ABF79E" w:rsidR="009F09BC" w:rsidRPr="00134CE6" w:rsidRDefault="001341E0" w:rsidP="00D60F5E">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A4738CC" wp14:editId="5B20CCE0">
                <wp:simplePos x="0" y="0"/>
                <wp:positionH relativeFrom="column">
                  <wp:posOffset>-51436</wp:posOffset>
                </wp:positionH>
                <wp:positionV relativeFrom="paragraph">
                  <wp:posOffset>2987675</wp:posOffset>
                </wp:positionV>
                <wp:extent cx="5724525" cy="38100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724525" cy="381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E20D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235.25pt" to="446.7pt,5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" strokecolor="#5b9bd5 [3204]" strokeweight=".5pt">
                <v:stroke joinstyle="miter"/>
              </v:line>
            </w:pict>
          </mc:Fallback>
        </mc:AlternateContent>
      </w:r>
      <w:r w:rsidR="009F09BC" w:rsidRPr="00134CE6">
        <w:rPr>
          <w:rFonts w:ascii="Palatino Linotype" w:hAnsi="Palatino Linotype"/>
          <w:color w:val="000000" w:themeColor="text1"/>
        </w:rPr>
        <w:t xml:space="preserve">ASÍ LO RESUELVE, </w:t>
      </w:r>
      <w:r w:rsidR="009F09BC" w:rsidRPr="00116CFB">
        <w:rPr>
          <w:rFonts w:ascii="Palatino Linotype" w:hAnsi="Palatino Linotype"/>
          <w:color w:val="000000" w:themeColor="text1"/>
        </w:rPr>
        <w:t>POR UNANIMIDAD DE VOTOS EL PLENO DEL INSTITUTO DE TRANSPARENCIA, ACCESO A LA INFORMACIÓN PÚBLICA Y PROTECCIÓN DE DATOS PERSONALES</w:t>
      </w:r>
      <w:r w:rsidR="009F09BC" w:rsidRPr="00134CE6">
        <w:rPr>
          <w:rFonts w:ascii="Palatino Linotype" w:hAnsi="Palatino Linotype"/>
          <w:color w:val="000000" w:themeColor="text1"/>
        </w:rPr>
        <w:t xml:space="preserve"> DEL ESTADO DE MÉXICO Y MUNICIPIOS, CONFORMADO POR LOS COMISIONADOS JOSÉ MARTÍNEZ VILCHIS; MARÍA DEL ROSARIO MEJÍA AYALA; SHARON CRISTINA MORALES MARTÍNEZ; LUIS GUSTAVO PARRA NORIEGA Y GUADALUPE RAMÍREZ PEÑA</w:t>
      </w:r>
      <w:r w:rsidR="00116CFB">
        <w:rPr>
          <w:rFonts w:ascii="Palatino Linotype" w:hAnsi="Palatino Linotype"/>
          <w:color w:val="000000" w:themeColor="text1"/>
        </w:rPr>
        <w:t xml:space="preserve"> (AUSENCIA JUSTIFICADA)</w:t>
      </w:r>
      <w:r w:rsidR="009F09BC" w:rsidRPr="00134CE6">
        <w:rPr>
          <w:rFonts w:ascii="Palatino Linotype" w:hAnsi="Palatino Linotype"/>
          <w:color w:val="000000" w:themeColor="text1"/>
        </w:rPr>
        <w:t>;</w:t>
      </w:r>
      <w:r w:rsidR="00116CFB">
        <w:rPr>
          <w:rFonts w:ascii="Palatino Linotype" w:hAnsi="Palatino Linotype"/>
          <w:color w:val="000000" w:themeColor="text1"/>
        </w:rPr>
        <w:t xml:space="preserve"> EN LA</w:t>
      </w:r>
      <w:r w:rsidR="009F09BC" w:rsidRPr="00134CE6">
        <w:rPr>
          <w:rFonts w:ascii="Palatino Linotype" w:hAnsi="Palatino Linotype"/>
          <w:color w:val="000000" w:themeColor="text1"/>
        </w:rPr>
        <w:t xml:space="preserve"> </w:t>
      </w:r>
      <w:r w:rsidR="009120F4">
        <w:rPr>
          <w:rFonts w:ascii="Palatino Linotype" w:hAnsi="Palatino Linotype"/>
        </w:rPr>
        <w:t xml:space="preserve">TRIGÉSIMA QUINTA SESIÓN ORDINARIA CELEBRADA EL VEINTISIETE  </w:t>
      </w:r>
      <w:r w:rsidR="00116CFB">
        <w:rPr>
          <w:rFonts w:ascii="Palatino Linotype" w:hAnsi="Palatino Linotype"/>
        </w:rPr>
        <w:t xml:space="preserve">(27) </w:t>
      </w:r>
      <w:r w:rsidR="009120F4">
        <w:rPr>
          <w:rFonts w:ascii="Palatino Linotype" w:hAnsi="Palatino Linotype"/>
        </w:rPr>
        <w:t>DE SEPTIEMBRE DE DOS MIL VEINTITRÉS</w:t>
      </w:r>
      <w:r w:rsidR="009F09BC" w:rsidRPr="00134CE6">
        <w:rPr>
          <w:rFonts w:ascii="Palatino Linotype" w:hAnsi="Palatino Linotype"/>
          <w:color w:val="000000" w:themeColor="text1"/>
        </w:rPr>
        <w:t>, ANTE EL SECRETARIO TÉCNICO DEL PLENO, ALEXIS TAPIA RAMÍREZ.</w:t>
      </w:r>
    </w:p>
    <w:p w14:paraId="353E1CF7" w14:textId="77777777" w:rsidR="009F09BC" w:rsidRPr="00134CE6" w:rsidRDefault="009F09BC" w:rsidP="009F09BC">
      <w:pPr>
        <w:spacing w:line="360" w:lineRule="auto"/>
        <w:jc w:val="both"/>
        <w:rPr>
          <w:rFonts w:ascii="Palatino Linotype" w:hAnsi="Palatino Linotype"/>
          <w:color w:val="000000" w:themeColor="text1"/>
        </w:rPr>
      </w:pPr>
    </w:p>
    <w:p w14:paraId="353E1CF8" w14:textId="77777777" w:rsidR="009F09BC" w:rsidRPr="00134CE6" w:rsidRDefault="009F09BC" w:rsidP="009F09BC">
      <w:pPr>
        <w:spacing w:line="360" w:lineRule="auto"/>
        <w:jc w:val="both"/>
        <w:rPr>
          <w:rFonts w:ascii="Palatino Linotype" w:hAnsi="Palatino Linotype"/>
          <w:color w:val="000000" w:themeColor="text1"/>
        </w:rPr>
      </w:pPr>
    </w:p>
    <w:p w14:paraId="353E1CF9" w14:textId="77777777" w:rsidR="009F09BC" w:rsidRPr="00134CE6" w:rsidRDefault="009F09BC" w:rsidP="009F09BC">
      <w:pPr>
        <w:spacing w:line="360" w:lineRule="auto"/>
        <w:jc w:val="both"/>
        <w:rPr>
          <w:rFonts w:ascii="Palatino Linotype" w:hAnsi="Palatino Linotype"/>
          <w:color w:val="000000" w:themeColor="text1"/>
        </w:rPr>
      </w:pPr>
    </w:p>
    <w:p w14:paraId="353E1CFA" w14:textId="77777777" w:rsidR="009F09BC" w:rsidRPr="00134CE6" w:rsidRDefault="009F09BC" w:rsidP="009F09BC">
      <w:pPr>
        <w:spacing w:line="360" w:lineRule="auto"/>
        <w:jc w:val="both"/>
        <w:rPr>
          <w:rFonts w:ascii="Palatino Linotype" w:hAnsi="Palatino Linotype"/>
          <w:color w:val="000000" w:themeColor="text1"/>
        </w:rPr>
      </w:pPr>
    </w:p>
    <w:p w14:paraId="353E1CFB" w14:textId="77777777" w:rsidR="009F09BC" w:rsidRPr="00134CE6" w:rsidRDefault="009F09BC" w:rsidP="009F09BC">
      <w:pPr>
        <w:spacing w:line="360" w:lineRule="auto"/>
        <w:jc w:val="both"/>
        <w:rPr>
          <w:rFonts w:ascii="Palatino Linotype" w:hAnsi="Palatino Linotype"/>
          <w:color w:val="000000" w:themeColor="text1"/>
        </w:rPr>
      </w:pPr>
    </w:p>
    <w:p w14:paraId="353E1CFC" w14:textId="77777777" w:rsidR="009F09BC" w:rsidRPr="00134CE6" w:rsidRDefault="009F09BC" w:rsidP="009F09BC">
      <w:pPr>
        <w:spacing w:line="360" w:lineRule="auto"/>
        <w:jc w:val="both"/>
        <w:rPr>
          <w:rFonts w:ascii="Palatino Linotype" w:hAnsi="Palatino Linotype"/>
          <w:color w:val="000000" w:themeColor="text1"/>
        </w:rPr>
      </w:pPr>
    </w:p>
    <w:p w14:paraId="353E1CFD" w14:textId="77777777" w:rsidR="009F09BC" w:rsidRPr="00134CE6" w:rsidRDefault="009F09BC" w:rsidP="009F09BC">
      <w:pPr>
        <w:spacing w:line="360" w:lineRule="auto"/>
        <w:jc w:val="both"/>
        <w:rPr>
          <w:rFonts w:ascii="Palatino Linotype" w:hAnsi="Palatino Linotype"/>
          <w:color w:val="000000" w:themeColor="text1"/>
        </w:rPr>
      </w:pPr>
    </w:p>
    <w:p w14:paraId="353E1CFE" w14:textId="77777777" w:rsidR="009F09BC" w:rsidRPr="00134CE6" w:rsidRDefault="009F09BC" w:rsidP="009F09BC">
      <w:pPr>
        <w:spacing w:line="360" w:lineRule="auto"/>
        <w:jc w:val="both"/>
        <w:rPr>
          <w:rFonts w:ascii="Palatino Linotype" w:hAnsi="Palatino Linotype"/>
          <w:color w:val="000000" w:themeColor="text1"/>
        </w:rPr>
      </w:pPr>
    </w:p>
    <w:p w14:paraId="353E1CFF" w14:textId="77777777" w:rsidR="009F09BC" w:rsidRPr="00134CE6" w:rsidRDefault="009F09BC" w:rsidP="009F09BC">
      <w:pPr>
        <w:spacing w:line="360" w:lineRule="auto"/>
        <w:jc w:val="both"/>
        <w:rPr>
          <w:rFonts w:ascii="Palatino Linotype" w:hAnsi="Palatino Linotype"/>
          <w:color w:val="000000" w:themeColor="text1"/>
        </w:rPr>
      </w:pPr>
    </w:p>
    <w:p w14:paraId="353E1D00" w14:textId="77777777" w:rsidR="009F09BC" w:rsidRPr="00134CE6" w:rsidRDefault="009F09BC" w:rsidP="009F09BC">
      <w:pPr>
        <w:rPr>
          <w:rFonts w:ascii="Palatino Linotype" w:hAnsi="Palatino Linotype"/>
          <w:color w:val="000000" w:themeColor="text1"/>
        </w:rPr>
      </w:pPr>
      <w:bookmarkStart w:id="160" w:name="_GoBack"/>
      <w:bookmarkEnd w:id="160"/>
    </w:p>
    <w:p w14:paraId="353E1D01" w14:textId="77777777" w:rsidR="009F09BC" w:rsidRPr="00134CE6" w:rsidRDefault="009F09BC" w:rsidP="009F09BC">
      <w:pPr>
        <w:rPr>
          <w:rFonts w:ascii="Palatino Linotype" w:hAnsi="Palatino Linotype"/>
          <w:color w:val="000000" w:themeColor="text1"/>
        </w:rPr>
      </w:pPr>
    </w:p>
    <w:p w14:paraId="353E1D02" w14:textId="77777777" w:rsidR="009F09BC" w:rsidRPr="00134CE6" w:rsidRDefault="009F09BC" w:rsidP="009F09BC">
      <w:pPr>
        <w:rPr>
          <w:rFonts w:ascii="Palatino Linotype" w:hAnsi="Palatino Linotype"/>
          <w:color w:val="000000" w:themeColor="text1"/>
        </w:rPr>
      </w:pPr>
    </w:p>
    <w:p w14:paraId="353E1D03" w14:textId="77777777" w:rsidR="009F09BC" w:rsidRPr="00134CE6" w:rsidRDefault="009F09BC" w:rsidP="009F09BC">
      <w:pPr>
        <w:rPr>
          <w:rFonts w:ascii="Palatino Linotype" w:hAnsi="Palatino Linotype"/>
          <w:color w:val="000000" w:themeColor="text1"/>
        </w:rPr>
      </w:pPr>
    </w:p>
    <w:p w14:paraId="353E1D04" w14:textId="77777777" w:rsidR="009F09BC" w:rsidRPr="00134CE6" w:rsidRDefault="009F09BC" w:rsidP="009F09BC">
      <w:pPr>
        <w:rPr>
          <w:rFonts w:ascii="Palatino Linotype" w:hAnsi="Palatino Linotype"/>
          <w:color w:val="000000" w:themeColor="text1"/>
        </w:rPr>
      </w:pPr>
    </w:p>
    <w:p w14:paraId="353E1D05" w14:textId="77777777" w:rsidR="009F09BC" w:rsidRPr="00134CE6" w:rsidRDefault="009F09BC" w:rsidP="009F09BC">
      <w:pPr>
        <w:rPr>
          <w:rFonts w:ascii="Palatino Linotype" w:hAnsi="Palatino Linotype"/>
          <w:color w:val="000000" w:themeColor="text1"/>
        </w:rPr>
      </w:pPr>
    </w:p>
    <w:p w14:paraId="353E1D06" w14:textId="77777777" w:rsidR="009F09BC" w:rsidRPr="00134CE6" w:rsidRDefault="009F09BC" w:rsidP="009F09BC">
      <w:pPr>
        <w:rPr>
          <w:rFonts w:ascii="Palatino Linotype" w:hAnsi="Palatino Linotype"/>
          <w:color w:val="000000" w:themeColor="text1"/>
        </w:rPr>
      </w:pPr>
    </w:p>
    <w:p w14:paraId="353E1D07" w14:textId="77777777"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14:paraId="353E1D08" w14:textId="77777777" w:rsidR="0074110E" w:rsidRPr="00134CE6" w:rsidRDefault="0074110E" w:rsidP="009F09BC">
      <w:pPr>
        <w:tabs>
          <w:tab w:val="left" w:pos="3374"/>
        </w:tabs>
        <w:rPr>
          <w:rFonts w:ascii="Palatino Linotype" w:hAnsi="Palatino Linotype"/>
          <w:color w:val="000000" w:themeColor="text1"/>
        </w:rPr>
      </w:pPr>
    </w:p>
    <w:p w14:paraId="353E1D09" w14:textId="77777777" w:rsidR="0074110E" w:rsidRPr="00134CE6" w:rsidRDefault="0074110E" w:rsidP="009F09BC">
      <w:pPr>
        <w:tabs>
          <w:tab w:val="left" w:pos="3374"/>
        </w:tabs>
        <w:rPr>
          <w:rFonts w:ascii="Palatino Linotype" w:hAnsi="Palatino Linotype"/>
          <w:color w:val="000000" w:themeColor="text1"/>
        </w:rPr>
      </w:pPr>
    </w:p>
    <w:p w14:paraId="353E1D0A" w14:textId="77777777" w:rsidR="0074110E" w:rsidRPr="00134CE6" w:rsidRDefault="0074110E" w:rsidP="009F09BC">
      <w:pPr>
        <w:tabs>
          <w:tab w:val="left" w:pos="3374"/>
        </w:tabs>
        <w:rPr>
          <w:rFonts w:ascii="Palatino Linotype" w:hAnsi="Palatino Linotype"/>
          <w:color w:val="000000" w:themeColor="text1"/>
        </w:rPr>
      </w:pPr>
    </w:p>
    <w:p w14:paraId="353E1D0B" w14:textId="77777777" w:rsidR="0074110E" w:rsidRPr="00134CE6" w:rsidRDefault="0074110E" w:rsidP="009F09BC">
      <w:pPr>
        <w:tabs>
          <w:tab w:val="left" w:pos="3374"/>
        </w:tabs>
        <w:rPr>
          <w:rFonts w:ascii="Palatino Linotype" w:hAnsi="Palatino Linotype"/>
          <w:color w:val="000000" w:themeColor="text1"/>
        </w:rPr>
      </w:pPr>
    </w:p>
    <w:p w14:paraId="353E1D0C" w14:textId="77777777" w:rsidR="0074110E" w:rsidRPr="00134CE6" w:rsidRDefault="0074110E" w:rsidP="009F09BC">
      <w:pPr>
        <w:tabs>
          <w:tab w:val="left" w:pos="3374"/>
        </w:tabs>
        <w:rPr>
          <w:rFonts w:ascii="Palatino Linotype" w:hAnsi="Palatino Linotype"/>
          <w:color w:val="000000" w:themeColor="text1"/>
        </w:rPr>
      </w:pPr>
    </w:p>
    <w:p w14:paraId="353E1D0D" w14:textId="77777777" w:rsidR="0074110E" w:rsidRPr="00134CE6" w:rsidRDefault="0074110E" w:rsidP="009F09BC">
      <w:pPr>
        <w:tabs>
          <w:tab w:val="left" w:pos="3374"/>
        </w:tabs>
        <w:rPr>
          <w:rFonts w:ascii="Palatino Linotype" w:hAnsi="Palatino Linotype"/>
          <w:color w:val="000000" w:themeColor="text1"/>
        </w:rPr>
      </w:pPr>
    </w:p>
    <w:p w14:paraId="353E1D0E" w14:textId="77777777" w:rsidR="0074110E" w:rsidRPr="00134CE6" w:rsidRDefault="0074110E" w:rsidP="009F09BC">
      <w:pPr>
        <w:tabs>
          <w:tab w:val="left" w:pos="3374"/>
        </w:tabs>
        <w:rPr>
          <w:rFonts w:ascii="Palatino Linotype" w:hAnsi="Palatino Linotype"/>
          <w:color w:val="000000" w:themeColor="text1"/>
        </w:rPr>
      </w:pPr>
    </w:p>
    <w:p w14:paraId="353E1D0F" w14:textId="77777777" w:rsidR="0074110E" w:rsidRPr="00134CE6" w:rsidRDefault="0074110E" w:rsidP="009F09BC">
      <w:pPr>
        <w:tabs>
          <w:tab w:val="left" w:pos="3374"/>
        </w:tabs>
        <w:rPr>
          <w:rFonts w:ascii="Palatino Linotype" w:hAnsi="Palatino Linotype"/>
          <w:color w:val="000000" w:themeColor="text1"/>
        </w:rPr>
      </w:pPr>
    </w:p>
    <w:p w14:paraId="353E1D10" w14:textId="77777777" w:rsidR="00053FB7" w:rsidRPr="00134CE6" w:rsidRDefault="00053FB7" w:rsidP="009F09BC">
      <w:pPr>
        <w:tabs>
          <w:tab w:val="left" w:pos="3374"/>
        </w:tabs>
        <w:rPr>
          <w:rFonts w:ascii="Palatino Linotype" w:hAnsi="Palatino Linotype"/>
          <w:color w:val="000000" w:themeColor="text1"/>
        </w:rPr>
      </w:pPr>
    </w:p>
    <w:p w14:paraId="353E1D11" w14:textId="77777777" w:rsidR="00053FB7" w:rsidRPr="00134CE6" w:rsidRDefault="00053FB7" w:rsidP="009F09BC">
      <w:pPr>
        <w:tabs>
          <w:tab w:val="left" w:pos="3374"/>
        </w:tabs>
        <w:rPr>
          <w:rFonts w:ascii="Palatino Linotype" w:hAnsi="Palatino Linotype"/>
          <w:color w:val="000000" w:themeColor="text1"/>
        </w:rPr>
      </w:pPr>
    </w:p>
    <w:p w14:paraId="353E1D12" w14:textId="77777777" w:rsidR="00053FB7" w:rsidRPr="00134CE6" w:rsidRDefault="00053FB7" w:rsidP="009F09BC">
      <w:pPr>
        <w:tabs>
          <w:tab w:val="left" w:pos="3374"/>
        </w:tabs>
        <w:rPr>
          <w:rFonts w:ascii="Palatino Linotype" w:hAnsi="Palatino Linotype"/>
          <w:color w:val="000000" w:themeColor="text1"/>
        </w:rPr>
      </w:pPr>
    </w:p>
    <w:p w14:paraId="353E1D13" w14:textId="77777777" w:rsidR="00053FB7" w:rsidRPr="00134CE6" w:rsidRDefault="00053FB7" w:rsidP="009F09BC">
      <w:pPr>
        <w:tabs>
          <w:tab w:val="left" w:pos="3374"/>
        </w:tabs>
        <w:rPr>
          <w:rFonts w:ascii="Palatino Linotype" w:hAnsi="Palatino Linotype"/>
          <w:color w:val="000000" w:themeColor="text1"/>
        </w:rPr>
      </w:pPr>
    </w:p>
    <w:p w14:paraId="353E1D14" w14:textId="77777777" w:rsidR="00053FB7" w:rsidRPr="00134CE6" w:rsidRDefault="00053FB7" w:rsidP="009F09BC">
      <w:pPr>
        <w:tabs>
          <w:tab w:val="left" w:pos="3374"/>
        </w:tabs>
        <w:rPr>
          <w:rFonts w:ascii="Palatino Linotype" w:hAnsi="Palatino Linotype"/>
          <w:color w:val="000000" w:themeColor="text1"/>
        </w:rPr>
      </w:pPr>
    </w:p>
    <w:p w14:paraId="353E1D15" w14:textId="77777777" w:rsidR="00053FB7" w:rsidRPr="00134CE6" w:rsidRDefault="00053FB7" w:rsidP="009F09BC">
      <w:pPr>
        <w:tabs>
          <w:tab w:val="left" w:pos="3374"/>
        </w:tabs>
        <w:rPr>
          <w:rFonts w:ascii="Palatino Linotype" w:hAnsi="Palatino Linotype"/>
          <w:color w:val="000000" w:themeColor="text1"/>
        </w:rPr>
      </w:pPr>
    </w:p>
    <w:p w14:paraId="353E1D16" w14:textId="77777777" w:rsidR="00053FB7" w:rsidRPr="00134CE6" w:rsidRDefault="00053FB7" w:rsidP="009F09BC">
      <w:pPr>
        <w:tabs>
          <w:tab w:val="left" w:pos="3374"/>
        </w:tabs>
        <w:rPr>
          <w:rFonts w:ascii="Palatino Linotype" w:hAnsi="Palatino Linotype"/>
          <w:color w:val="000000" w:themeColor="text1"/>
        </w:rPr>
      </w:pPr>
    </w:p>
    <w:p w14:paraId="353E1D17" w14:textId="77777777" w:rsidR="00053FB7" w:rsidRPr="00134CE6" w:rsidRDefault="00053FB7" w:rsidP="009F09BC">
      <w:pPr>
        <w:tabs>
          <w:tab w:val="left" w:pos="3374"/>
        </w:tabs>
        <w:rPr>
          <w:rFonts w:ascii="Palatino Linotype" w:hAnsi="Palatino Linotype"/>
          <w:color w:val="000000" w:themeColor="text1"/>
        </w:rPr>
      </w:pPr>
    </w:p>
    <w:p w14:paraId="353E1D18" w14:textId="77777777" w:rsidR="00053FB7" w:rsidRPr="00134CE6" w:rsidRDefault="00053FB7" w:rsidP="009F09BC">
      <w:pPr>
        <w:tabs>
          <w:tab w:val="left" w:pos="3374"/>
        </w:tabs>
        <w:rPr>
          <w:rFonts w:ascii="Palatino Linotype" w:hAnsi="Palatino Linotype"/>
          <w:color w:val="000000" w:themeColor="text1"/>
        </w:rPr>
      </w:pPr>
    </w:p>
    <w:p w14:paraId="353E1D19" w14:textId="77777777" w:rsidR="00053FB7" w:rsidRPr="00134CE6" w:rsidRDefault="00053FB7" w:rsidP="009F09BC">
      <w:pPr>
        <w:tabs>
          <w:tab w:val="left" w:pos="3374"/>
        </w:tabs>
        <w:rPr>
          <w:rFonts w:ascii="Palatino Linotype" w:hAnsi="Palatino Linotype"/>
          <w:color w:val="000000" w:themeColor="text1"/>
        </w:rPr>
      </w:pPr>
    </w:p>
    <w:p w14:paraId="353E1D1A" w14:textId="77777777"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87DA4" w14:textId="77777777" w:rsidR="000267E4" w:rsidRDefault="000267E4" w:rsidP="003B7751">
      <w:r>
        <w:separator/>
      </w:r>
    </w:p>
  </w:endnote>
  <w:endnote w:type="continuationSeparator" w:id="0">
    <w:p w14:paraId="3E745A69" w14:textId="77777777" w:rsidR="000267E4" w:rsidRDefault="000267E4"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53E1D2A" w14:textId="77777777"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41E0">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341E0">
              <w:rPr>
                <w:rFonts w:ascii="Palatino Linotype" w:hAnsi="Palatino Linotype"/>
                <w:bCs/>
                <w:noProof/>
                <w:sz w:val="20"/>
              </w:rPr>
              <w:t>23</w:t>
            </w:r>
            <w:r>
              <w:rPr>
                <w:rFonts w:ascii="Palatino Linotype" w:hAnsi="Palatino Linotype"/>
                <w:bCs/>
                <w:noProof/>
                <w:sz w:val="20"/>
              </w:rPr>
              <w:fldChar w:fldCharType="end"/>
            </w:r>
          </w:p>
        </w:sdtContent>
      </w:sdt>
    </w:sdtContent>
  </w:sdt>
  <w:p w14:paraId="353E1D2B" w14:textId="77777777"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1D39" w14:textId="77777777"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41E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341E0">
      <w:rPr>
        <w:rFonts w:ascii="Palatino Linotype" w:hAnsi="Palatino Linotype"/>
        <w:bCs/>
        <w:noProof/>
        <w:sz w:val="20"/>
      </w:rPr>
      <w:t>23</w:t>
    </w:r>
    <w:r>
      <w:rPr>
        <w:rFonts w:ascii="Palatino Linotype" w:hAnsi="Palatino Linotype"/>
        <w:bCs/>
        <w:noProof/>
        <w:sz w:val="20"/>
      </w:rPr>
      <w:fldChar w:fldCharType="end"/>
    </w:r>
  </w:p>
  <w:p w14:paraId="353E1D3A" w14:textId="77777777"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DF269" w14:textId="77777777" w:rsidR="000267E4" w:rsidRDefault="000267E4" w:rsidP="003B7751">
      <w:r>
        <w:separator/>
      </w:r>
    </w:p>
  </w:footnote>
  <w:footnote w:type="continuationSeparator" w:id="0">
    <w:p w14:paraId="434BE3D8" w14:textId="77777777" w:rsidR="000267E4" w:rsidRDefault="000267E4"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1D1F" w14:textId="77777777" w:rsidR="00D46375" w:rsidRDefault="000267E4">
    <w:pPr>
      <w:pStyle w:val="Encabezado"/>
    </w:pPr>
    <w:r>
      <w:rPr>
        <w:noProof/>
        <w:lang w:eastAsia="es-MX"/>
      </w:rPr>
      <w:pict w14:anchorId="353E1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14:paraId="353E1D22" w14:textId="77777777" w:rsidTr="006A04B6">
      <w:trPr>
        <w:trHeight w:val="227"/>
      </w:trPr>
      <w:tc>
        <w:tcPr>
          <w:tcW w:w="2976" w:type="dxa"/>
          <w:vAlign w:val="center"/>
          <w:hideMark/>
        </w:tcPr>
        <w:p w14:paraId="353E1D20"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53E1D21" w14:textId="77777777" w:rsidR="00D46375" w:rsidRPr="00485ED8" w:rsidRDefault="009E5B16" w:rsidP="002650A0">
          <w:pPr>
            <w:pStyle w:val="Encabezado"/>
            <w:rPr>
              <w:rFonts w:ascii="Palatino Linotype" w:hAnsi="Palatino Linotype"/>
              <w:b/>
              <w:sz w:val="22"/>
              <w:szCs w:val="22"/>
            </w:rPr>
          </w:pPr>
          <w:r w:rsidRPr="009E5B16">
            <w:rPr>
              <w:rFonts w:ascii="Palatino Linotype" w:hAnsi="Palatino Linotype" w:cs="Arial"/>
              <w:b/>
              <w:bCs/>
              <w:sz w:val="20"/>
              <w:szCs w:val="22"/>
              <w:lang w:eastAsia="es-MX"/>
            </w:rPr>
            <w:t>17208/INFOEM/ICR-129/IP/RR/2022</w:t>
          </w:r>
        </w:p>
      </w:tc>
    </w:tr>
    <w:tr w:rsidR="00D46375" w14:paraId="353E1D25" w14:textId="77777777" w:rsidTr="006A04B6">
      <w:trPr>
        <w:trHeight w:val="242"/>
      </w:trPr>
      <w:tc>
        <w:tcPr>
          <w:tcW w:w="2976" w:type="dxa"/>
          <w:vAlign w:val="center"/>
          <w:hideMark/>
        </w:tcPr>
        <w:p w14:paraId="353E1D23" w14:textId="77777777"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53E1D24" w14:textId="77777777" w:rsidR="00D46375" w:rsidRPr="00485ED8"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14:paraId="353E1D28" w14:textId="77777777" w:rsidTr="006A04B6">
      <w:trPr>
        <w:trHeight w:val="342"/>
      </w:trPr>
      <w:tc>
        <w:tcPr>
          <w:tcW w:w="2976" w:type="dxa"/>
          <w:vAlign w:val="center"/>
          <w:hideMark/>
        </w:tcPr>
        <w:p w14:paraId="353E1D26" w14:textId="77777777"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353E1D27" w14:textId="77777777"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353E1D29" w14:textId="77777777" w:rsidR="00D46375" w:rsidRPr="00AE046A" w:rsidRDefault="000267E4" w:rsidP="003B7751">
    <w:pPr>
      <w:pStyle w:val="Encabezado"/>
      <w:tabs>
        <w:tab w:val="clear" w:pos="4419"/>
        <w:tab w:val="clear" w:pos="8838"/>
        <w:tab w:val="left" w:pos="6005"/>
      </w:tabs>
      <w:rPr>
        <w:sz w:val="14"/>
      </w:rPr>
    </w:pPr>
    <w:r>
      <w:rPr>
        <w:noProof/>
        <w:sz w:val="14"/>
        <w:lang w:eastAsia="es-MX"/>
      </w:rPr>
      <w:pict w14:anchorId="353E1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14:paraId="353E1D2E" w14:textId="77777777" w:rsidTr="006A04B6">
      <w:trPr>
        <w:trHeight w:val="227"/>
      </w:trPr>
      <w:tc>
        <w:tcPr>
          <w:tcW w:w="2977" w:type="dxa"/>
          <w:vAlign w:val="center"/>
          <w:hideMark/>
        </w:tcPr>
        <w:p w14:paraId="353E1D2C" w14:textId="77777777"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353E1D2D" w14:textId="77777777" w:rsidR="00D46375" w:rsidRPr="00485ED8" w:rsidRDefault="009E5B16" w:rsidP="0069487D">
          <w:pPr>
            <w:pStyle w:val="Encabezado"/>
            <w:rPr>
              <w:rFonts w:ascii="Palatino Linotype" w:hAnsi="Palatino Linotype"/>
              <w:b/>
              <w:sz w:val="22"/>
              <w:szCs w:val="22"/>
            </w:rPr>
          </w:pPr>
          <w:r w:rsidRPr="009E5B16">
            <w:rPr>
              <w:rFonts w:ascii="Palatino Linotype" w:hAnsi="Palatino Linotype" w:cs="Arial"/>
              <w:b/>
              <w:bCs/>
              <w:sz w:val="20"/>
              <w:szCs w:val="22"/>
              <w:lang w:eastAsia="es-MX"/>
            </w:rPr>
            <w:t>17208/INFOEM/ICR-129/IP/RR/2022</w:t>
          </w:r>
        </w:p>
      </w:tc>
    </w:tr>
    <w:tr w:rsidR="00D46375" w14:paraId="353E1D31" w14:textId="77777777" w:rsidTr="006A04B6">
      <w:trPr>
        <w:trHeight w:val="242"/>
      </w:trPr>
      <w:tc>
        <w:tcPr>
          <w:tcW w:w="2977" w:type="dxa"/>
          <w:vAlign w:val="center"/>
          <w:hideMark/>
        </w:tcPr>
        <w:p w14:paraId="353E1D2F"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353E1D30" w14:textId="3342FD29" w:rsidR="00D46375" w:rsidRPr="00B75F20" w:rsidRDefault="00D46375" w:rsidP="009F09BC">
          <w:pPr>
            <w:pStyle w:val="Encabezado"/>
            <w:tabs>
              <w:tab w:val="left" w:pos="521"/>
            </w:tabs>
            <w:rPr>
              <w:rFonts w:ascii="Palatino Linotype" w:hAnsi="Palatino Linotype"/>
              <w:b/>
              <w:sz w:val="22"/>
              <w:szCs w:val="22"/>
            </w:rPr>
          </w:pPr>
        </w:p>
      </w:tc>
    </w:tr>
    <w:tr w:rsidR="00D46375" w14:paraId="353E1D34" w14:textId="77777777" w:rsidTr="006A04B6">
      <w:trPr>
        <w:trHeight w:val="342"/>
      </w:trPr>
      <w:tc>
        <w:tcPr>
          <w:tcW w:w="2977" w:type="dxa"/>
          <w:vAlign w:val="center"/>
        </w:tcPr>
        <w:p w14:paraId="353E1D32"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353E1D33" w14:textId="77777777" w:rsidR="00D46375" w:rsidRPr="00674A46"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14:paraId="353E1D37" w14:textId="77777777" w:rsidTr="006A04B6">
      <w:trPr>
        <w:trHeight w:val="342"/>
      </w:trPr>
      <w:tc>
        <w:tcPr>
          <w:tcW w:w="2977" w:type="dxa"/>
          <w:vAlign w:val="center"/>
        </w:tcPr>
        <w:p w14:paraId="353E1D35" w14:textId="77777777"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353E1D36" w14:textId="77777777"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353E1D38" w14:textId="77777777" w:rsidR="00D46375" w:rsidRPr="00C222C0" w:rsidRDefault="000267E4">
    <w:pPr>
      <w:pStyle w:val="Encabezado"/>
      <w:rPr>
        <w:sz w:val="16"/>
      </w:rPr>
    </w:pPr>
    <w:r>
      <w:rPr>
        <w:noProof/>
        <w:sz w:val="16"/>
        <w:lang w:eastAsia="es-MX"/>
      </w:rPr>
      <w:pict w14:anchorId="353E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267E4"/>
    <w:rsid w:val="00030FBC"/>
    <w:rsid w:val="000373F6"/>
    <w:rsid w:val="000504E5"/>
    <w:rsid w:val="00051287"/>
    <w:rsid w:val="00053FB7"/>
    <w:rsid w:val="0008243D"/>
    <w:rsid w:val="000A6153"/>
    <w:rsid w:val="000B42EA"/>
    <w:rsid w:val="000E1A02"/>
    <w:rsid w:val="000E31C4"/>
    <w:rsid w:val="000E4891"/>
    <w:rsid w:val="00103414"/>
    <w:rsid w:val="00114502"/>
    <w:rsid w:val="00116CFB"/>
    <w:rsid w:val="001269AD"/>
    <w:rsid w:val="001310C6"/>
    <w:rsid w:val="001341E0"/>
    <w:rsid w:val="00134CE6"/>
    <w:rsid w:val="001352F5"/>
    <w:rsid w:val="00166F3E"/>
    <w:rsid w:val="001A18E7"/>
    <w:rsid w:val="001B19F1"/>
    <w:rsid w:val="001C0DB3"/>
    <w:rsid w:val="001C31A4"/>
    <w:rsid w:val="001C4290"/>
    <w:rsid w:val="001D23C1"/>
    <w:rsid w:val="001D373F"/>
    <w:rsid w:val="001D5404"/>
    <w:rsid w:val="001D630C"/>
    <w:rsid w:val="001E755B"/>
    <w:rsid w:val="00223C06"/>
    <w:rsid w:val="00237FA4"/>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53F1D"/>
    <w:rsid w:val="0037157C"/>
    <w:rsid w:val="003833B3"/>
    <w:rsid w:val="003933C4"/>
    <w:rsid w:val="0039541A"/>
    <w:rsid w:val="003A06E6"/>
    <w:rsid w:val="003A15C8"/>
    <w:rsid w:val="003B70DC"/>
    <w:rsid w:val="003B7751"/>
    <w:rsid w:val="003C13F1"/>
    <w:rsid w:val="003E42AE"/>
    <w:rsid w:val="003E66D2"/>
    <w:rsid w:val="00403D64"/>
    <w:rsid w:val="00407FDA"/>
    <w:rsid w:val="004118FA"/>
    <w:rsid w:val="00425842"/>
    <w:rsid w:val="00427038"/>
    <w:rsid w:val="00437672"/>
    <w:rsid w:val="00456AEE"/>
    <w:rsid w:val="00456CFF"/>
    <w:rsid w:val="004D465B"/>
    <w:rsid w:val="004E4EE6"/>
    <w:rsid w:val="004E6CE4"/>
    <w:rsid w:val="004F34D1"/>
    <w:rsid w:val="00500BD7"/>
    <w:rsid w:val="00507B30"/>
    <w:rsid w:val="00531473"/>
    <w:rsid w:val="005331D8"/>
    <w:rsid w:val="005414D5"/>
    <w:rsid w:val="00541549"/>
    <w:rsid w:val="005432D0"/>
    <w:rsid w:val="00546076"/>
    <w:rsid w:val="00547ACE"/>
    <w:rsid w:val="005507B0"/>
    <w:rsid w:val="0055435A"/>
    <w:rsid w:val="00554A21"/>
    <w:rsid w:val="00556E0A"/>
    <w:rsid w:val="00563F2E"/>
    <w:rsid w:val="0057514F"/>
    <w:rsid w:val="00575E75"/>
    <w:rsid w:val="00583A39"/>
    <w:rsid w:val="005B0088"/>
    <w:rsid w:val="005B076D"/>
    <w:rsid w:val="005B6702"/>
    <w:rsid w:val="005C5021"/>
    <w:rsid w:val="005D2F1C"/>
    <w:rsid w:val="005D4C57"/>
    <w:rsid w:val="0062406B"/>
    <w:rsid w:val="00642B8B"/>
    <w:rsid w:val="00647F7C"/>
    <w:rsid w:val="00657639"/>
    <w:rsid w:val="006672E1"/>
    <w:rsid w:val="00680C93"/>
    <w:rsid w:val="0069487D"/>
    <w:rsid w:val="006A04B6"/>
    <w:rsid w:val="006A6390"/>
    <w:rsid w:val="006B5656"/>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79DB"/>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792A"/>
    <w:rsid w:val="00873EB6"/>
    <w:rsid w:val="008A06F8"/>
    <w:rsid w:val="008A64D0"/>
    <w:rsid w:val="008A699B"/>
    <w:rsid w:val="008B0637"/>
    <w:rsid w:val="008B6C7C"/>
    <w:rsid w:val="008C1ED7"/>
    <w:rsid w:val="008E12E3"/>
    <w:rsid w:val="008E32EE"/>
    <w:rsid w:val="008E330F"/>
    <w:rsid w:val="008E6574"/>
    <w:rsid w:val="008F6D18"/>
    <w:rsid w:val="00911A75"/>
    <w:rsid w:val="009120F4"/>
    <w:rsid w:val="009126F1"/>
    <w:rsid w:val="00925458"/>
    <w:rsid w:val="00926716"/>
    <w:rsid w:val="009335F9"/>
    <w:rsid w:val="00945135"/>
    <w:rsid w:val="0095341F"/>
    <w:rsid w:val="00982FCD"/>
    <w:rsid w:val="00995B4E"/>
    <w:rsid w:val="009972BB"/>
    <w:rsid w:val="009A2251"/>
    <w:rsid w:val="009C1B6F"/>
    <w:rsid w:val="009C46F2"/>
    <w:rsid w:val="009D0241"/>
    <w:rsid w:val="009D5A32"/>
    <w:rsid w:val="009E5B16"/>
    <w:rsid w:val="009F09BC"/>
    <w:rsid w:val="00A224A7"/>
    <w:rsid w:val="00A23E82"/>
    <w:rsid w:val="00A429D6"/>
    <w:rsid w:val="00A47F71"/>
    <w:rsid w:val="00A533B8"/>
    <w:rsid w:val="00A56791"/>
    <w:rsid w:val="00A626EB"/>
    <w:rsid w:val="00A739EE"/>
    <w:rsid w:val="00A9000C"/>
    <w:rsid w:val="00AD316E"/>
    <w:rsid w:val="00AD63B4"/>
    <w:rsid w:val="00AF4BBC"/>
    <w:rsid w:val="00B0695D"/>
    <w:rsid w:val="00B07BF8"/>
    <w:rsid w:val="00B11CDD"/>
    <w:rsid w:val="00B5225F"/>
    <w:rsid w:val="00B530E8"/>
    <w:rsid w:val="00B86242"/>
    <w:rsid w:val="00B92791"/>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CF1E8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5145"/>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24A04"/>
    <w:rsid w:val="00F35B0C"/>
    <w:rsid w:val="00F42ADB"/>
    <w:rsid w:val="00F469C7"/>
    <w:rsid w:val="00F72588"/>
    <w:rsid w:val="00F7371C"/>
    <w:rsid w:val="00F849F2"/>
    <w:rsid w:val="00F946B5"/>
    <w:rsid w:val="00FB6D42"/>
    <w:rsid w:val="00FD2FA4"/>
    <w:rsid w:val="00FE3FBE"/>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E1C31"/>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2D705-4E35-41CB-A63C-12ABADD9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4824</Words>
  <Characters>26532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cp:lastPrinted>2023-09-29T18:57:00Z</cp:lastPrinted>
  <dcterms:created xsi:type="dcterms:W3CDTF">2023-08-09T19:54:00Z</dcterms:created>
  <dcterms:modified xsi:type="dcterms:W3CDTF">2023-09-29T18:57:00Z</dcterms:modified>
</cp:coreProperties>
</file>