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06FEB03"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3D03B5">
        <w:rPr>
          <w:rFonts w:ascii="Palatino Linotype" w:hAnsi="Palatino Linotype"/>
          <w:color w:val="000000" w:themeColor="text1"/>
        </w:rPr>
        <w:t>siete (07) de junio</w:t>
      </w:r>
      <w:r w:rsidR="00360789">
        <w:rPr>
          <w:rFonts w:ascii="Palatino Linotype" w:hAnsi="Palatino Linotype"/>
          <w:color w:val="000000" w:themeColor="text1"/>
        </w:rPr>
        <w:t xml:space="preserve"> </w:t>
      </w:r>
      <w:r w:rsidR="00507D4A">
        <w:rPr>
          <w:rFonts w:ascii="Palatino Linotype" w:hAnsi="Palatino Linotype"/>
          <w:color w:val="000000" w:themeColor="text1"/>
        </w:rPr>
        <w:t>de dos mil veintitrés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28E044A5"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3D03B5">
        <w:rPr>
          <w:rFonts w:ascii="Palatino Linotype" w:hAnsi="Palatino Linotype"/>
          <w:b/>
          <w:bCs/>
          <w:color w:val="000000" w:themeColor="text1"/>
        </w:rPr>
        <w:t>12773/INFOEM/IP/RR/2022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 xml:space="preserve">interpuesto </w:t>
      </w:r>
      <w:r w:rsidR="003D03B5">
        <w:rPr>
          <w:rFonts w:ascii="Palatino Linotype" w:eastAsia="Times New Roman" w:hAnsi="Palatino Linotype" w:cs="Times New Roman"/>
          <w:color w:val="000000" w:themeColor="text1"/>
        </w:rPr>
        <w:t xml:space="preserve">por </w:t>
      </w:r>
      <w:r w:rsidR="00900600">
        <w:rPr>
          <w:rFonts w:ascii="Palatino Linotype" w:eastAsia="Times New Roman" w:hAnsi="Palatino Linotype" w:cs="Times New Roman"/>
          <w:b/>
          <w:bCs/>
          <w:color w:val="000000" w:themeColor="text1"/>
        </w:rPr>
        <w:t>XXXXXXX</w:t>
      </w:r>
      <w:r w:rsidR="003D03B5">
        <w:rPr>
          <w:rFonts w:ascii="Palatino Linotype" w:eastAsia="Times New Roman" w:hAnsi="Palatino Linotype" w:cs="Times New Roman"/>
          <w:color w:val="000000" w:themeColor="text1"/>
        </w:rPr>
        <w:t>, en lo sucesivo, el</w:t>
      </w:r>
      <w:r w:rsidR="00360789"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3D03B5">
        <w:rPr>
          <w:rFonts w:ascii="Palatino Linotype" w:eastAsia="Times New Roman" w:hAnsi="Palatino Linotype" w:cs="Arial"/>
          <w:b/>
          <w:color w:val="000000" w:themeColor="text1"/>
        </w:rPr>
        <w:t>Ayuntamiento de Malinalco</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22BD4846" w:rsidR="00587366" w:rsidRPr="00922B81" w:rsidRDefault="00662C69" w:rsidP="00B31E90">
      <w:pPr>
        <w:pStyle w:val="Ttulo1"/>
        <w:spacing w:before="0" w:line="360" w:lineRule="auto"/>
        <w:jc w:val="center"/>
        <w:rPr>
          <w:b/>
          <w:color w:val="000000" w:themeColor="text1"/>
          <w:lang w:val="pt-PT"/>
        </w:rPr>
      </w:pPr>
      <w:bookmarkStart w:id="0" w:name="_Toc461555884"/>
      <w:bookmarkStart w:id="1" w:name="_Toc466371847"/>
      <w:bookmarkStart w:id="2" w:name="_Toc88071776"/>
      <w:r w:rsidRPr="00922B81">
        <w:rPr>
          <w:b/>
          <w:color w:val="000000" w:themeColor="text1"/>
          <w:lang w:val="pt-PT"/>
        </w:rPr>
        <w:t>A</w:t>
      </w:r>
      <w:r w:rsidR="003D03B5" w:rsidRPr="00922B81">
        <w:rPr>
          <w:b/>
          <w:color w:val="000000" w:themeColor="text1"/>
          <w:lang w:val="pt-PT"/>
        </w:rPr>
        <w:t xml:space="preserve"> </w:t>
      </w:r>
      <w:r w:rsidRPr="00922B81">
        <w:rPr>
          <w:b/>
          <w:color w:val="000000" w:themeColor="text1"/>
          <w:lang w:val="pt-PT"/>
        </w:rPr>
        <w:t>N</w:t>
      </w:r>
      <w:r w:rsidR="003D03B5" w:rsidRPr="00922B81">
        <w:rPr>
          <w:b/>
          <w:color w:val="000000" w:themeColor="text1"/>
          <w:lang w:val="pt-PT"/>
        </w:rPr>
        <w:t xml:space="preserve"> </w:t>
      </w:r>
      <w:r w:rsidRPr="00922B81">
        <w:rPr>
          <w:b/>
          <w:color w:val="000000" w:themeColor="text1"/>
          <w:lang w:val="pt-PT"/>
        </w:rPr>
        <w:t>T</w:t>
      </w:r>
      <w:r w:rsidR="003D03B5" w:rsidRPr="00922B81">
        <w:rPr>
          <w:b/>
          <w:color w:val="000000" w:themeColor="text1"/>
          <w:lang w:val="pt-PT"/>
        </w:rPr>
        <w:t xml:space="preserve"> </w:t>
      </w:r>
      <w:r w:rsidRPr="00922B81">
        <w:rPr>
          <w:b/>
          <w:color w:val="000000" w:themeColor="text1"/>
          <w:lang w:val="pt-PT"/>
        </w:rPr>
        <w:t>E</w:t>
      </w:r>
      <w:r w:rsidR="003D03B5" w:rsidRPr="00922B81">
        <w:rPr>
          <w:b/>
          <w:color w:val="000000" w:themeColor="text1"/>
          <w:lang w:val="pt-PT"/>
        </w:rPr>
        <w:t xml:space="preserve"> </w:t>
      </w:r>
      <w:r w:rsidRPr="00922B81">
        <w:rPr>
          <w:b/>
          <w:color w:val="000000" w:themeColor="text1"/>
          <w:lang w:val="pt-PT"/>
        </w:rPr>
        <w:t>C</w:t>
      </w:r>
      <w:r w:rsidR="003D03B5" w:rsidRPr="00922B81">
        <w:rPr>
          <w:b/>
          <w:color w:val="000000" w:themeColor="text1"/>
          <w:lang w:val="pt-PT"/>
        </w:rPr>
        <w:t xml:space="preserve"> </w:t>
      </w:r>
      <w:r w:rsidRPr="00922B81">
        <w:rPr>
          <w:b/>
          <w:color w:val="000000" w:themeColor="text1"/>
          <w:lang w:val="pt-PT"/>
        </w:rPr>
        <w:t>E</w:t>
      </w:r>
      <w:r w:rsidR="003D03B5" w:rsidRPr="00922B81">
        <w:rPr>
          <w:b/>
          <w:color w:val="000000" w:themeColor="text1"/>
          <w:lang w:val="pt-PT"/>
        </w:rPr>
        <w:t xml:space="preserve"> </w:t>
      </w:r>
      <w:r w:rsidRPr="00922B81">
        <w:rPr>
          <w:b/>
          <w:color w:val="000000" w:themeColor="text1"/>
          <w:lang w:val="pt-PT"/>
        </w:rPr>
        <w:t>D</w:t>
      </w:r>
      <w:r w:rsidR="003D03B5" w:rsidRPr="00922B81">
        <w:rPr>
          <w:b/>
          <w:color w:val="000000" w:themeColor="text1"/>
          <w:lang w:val="pt-PT"/>
        </w:rPr>
        <w:t xml:space="preserve"> </w:t>
      </w:r>
      <w:r w:rsidRPr="00922B81">
        <w:rPr>
          <w:b/>
          <w:color w:val="000000" w:themeColor="text1"/>
          <w:lang w:val="pt-PT"/>
        </w:rPr>
        <w:t>E</w:t>
      </w:r>
      <w:r w:rsidR="003D03B5" w:rsidRPr="00922B81">
        <w:rPr>
          <w:b/>
          <w:color w:val="000000" w:themeColor="text1"/>
          <w:lang w:val="pt-PT"/>
        </w:rPr>
        <w:t xml:space="preserve"> </w:t>
      </w:r>
      <w:r w:rsidRPr="00922B81">
        <w:rPr>
          <w:b/>
          <w:color w:val="000000" w:themeColor="text1"/>
          <w:lang w:val="pt-PT"/>
        </w:rPr>
        <w:t>N</w:t>
      </w:r>
      <w:r w:rsidR="003D03B5" w:rsidRPr="00922B81">
        <w:rPr>
          <w:b/>
          <w:color w:val="000000" w:themeColor="text1"/>
          <w:lang w:val="pt-PT"/>
        </w:rPr>
        <w:t xml:space="preserve"> </w:t>
      </w:r>
      <w:r w:rsidRPr="00922B81">
        <w:rPr>
          <w:b/>
          <w:color w:val="000000" w:themeColor="text1"/>
          <w:lang w:val="pt-PT"/>
        </w:rPr>
        <w:t>T</w:t>
      </w:r>
      <w:r w:rsidR="003D03B5" w:rsidRPr="00922B81">
        <w:rPr>
          <w:b/>
          <w:color w:val="000000" w:themeColor="text1"/>
          <w:lang w:val="pt-PT"/>
        </w:rPr>
        <w:t xml:space="preserve"> </w:t>
      </w:r>
      <w:r w:rsidRPr="00922B81">
        <w:rPr>
          <w:b/>
          <w:color w:val="000000" w:themeColor="text1"/>
          <w:lang w:val="pt-PT"/>
        </w:rPr>
        <w:t>E</w:t>
      </w:r>
      <w:r w:rsidR="003D03B5" w:rsidRPr="00922B81">
        <w:rPr>
          <w:b/>
          <w:color w:val="000000" w:themeColor="text1"/>
          <w:lang w:val="pt-PT"/>
        </w:rPr>
        <w:t xml:space="preserve"> </w:t>
      </w:r>
      <w:r w:rsidRPr="00922B81">
        <w:rPr>
          <w:b/>
          <w:color w:val="000000" w:themeColor="text1"/>
          <w:lang w:val="pt-PT"/>
        </w:rPr>
        <w:t>S</w:t>
      </w:r>
      <w:bookmarkEnd w:id="0"/>
      <w:bookmarkEnd w:id="1"/>
      <w:bookmarkEnd w:id="2"/>
    </w:p>
    <w:p w14:paraId="5672105D" w14:textId="77777777" w:rsidR="00B31E90" w:rsidRPr="00922B81"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pt-PT"/>
        </w:rPr>
      </w:pPr>
    </w:p>
    <w:p w14:paraId="402A4C0A" w14:textId="6E248E74"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3D03B5">
        <w:rPr>
          <w:rFonts w:ascii="Palatino Linotype" w:eastAsia="Calibri" w:hAnsi="Palatino Linotype" w:cs="Arial"/>
          <w:color w:val="000000" w:themeColor="text1"/>
          <w:lang w:val="es-ES"/>
        </w:rPr>
        <w:t>quince (15</w:t>
      </w:r>
      <w:r w:rsidR="008C28BF">
        <w:rPr>
          <w:rFonts w:ascii="Palatino Linotype" w:eastAsia="Calibri" w:hAnsi="Palatino Linotype" w:cs="Arial"/>
          <w:color w:val="000000" w:themeColor="text1"/>
          <w:lang w:val="es-ES"/>
        </w:rPr>
        <w:t xml:space="preserve">) de junio </w:t>
      </w:r>
      <w:r w:rsidR="00FE159E">
        <w:rPr>
          <w:rFonts w:ascii="Palatino Linotype" w:eastAsia="Calibri" w:hAnsi="Palatino Linotype" w:cs="Arial"/>
          <w:color w:val="000000" w:themeColor="text1"/>
          <w:lang w:val="es-ES"/>
        </w:rPr>
        <w:t>de dos mil veintidós</w:t>
      </w:r>
      <w:r w:rsidR="005F1362" w:rsidRPr="00A85CB7">
        <w:rPr>
          <w:rFonts w:ascii="Palatino Linotype" w:eastAsia="Calibri" w:hAnsi="Palatino Linotype" w:cs="Arial"/>
          <w:color w:val="000000" w:themeColor="text1"/>
          <w:lang w:val="es-ES"/>
        </w:rPr>
        <w:t xml:space="preserve">, </w:t>
      </w:r>
      <w:r w:rsidR="008C28BF">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a través</w:t>
      </w:r>
      <w:r w:rsidR="00360789">
        <w:rPr>
          <w:rFonts w:ascii="Palatino Linotype" w:hAnsi="Palatino Linotype"/>
          <w:bCs/>
          <w:color w:val="000000" w:themeColor="text1"/>
        </w:rPr>
        <w:t xml:space="preserve"> del</w:t>
      </w:r>
      <w:r w:rsidR="003D03B5">
        <w:rPr>
          <w:rFonts w:ascii="Palatino Linotype" w:hAnsi="Palatino Linotype"/>
          <w:bCs/>
          <w:color w:val="000000" w:themeColor="text1"/>
        </w:rPr>
        <w:t xml:space="preserve"> Sistema de Acceso a la Información Mexiquense</w:t>
      </w:r>
      <w:r w:rsidR="00360789">
        <w:rPr>
          <w:rFonts w:ascii="Palatino Linotype" w:hAnsi="Palatino Linotype"/>
          <w:bCs/>
          <w:color w:val="000000" w:themeColor="text1"/>
        </w:rPr>
        <w:t xml:space="preserve"> </w:t>
      </w:r>
      <w:r w:rsidR="003D03B5">
        <w:rPr>
          <w:rFonts w:ascii="Palatino Linotype" w:hAnsi="Palatino Linotype"/>
          <w:bCs/>
          <w:color w:val="000000" w:themeColor="text1"/>
        </w:rPr>
        <w:t>(</w:t>
      </w:r>
      <w:r w:rsidR="00360789">
        <w:rPr>
          <w:rFonts w:ascii="Palatino Linotype" w:hAnsi="Palatino Linotype"/>
          <w:bCs/>
          <w:color w:val="000000" w:themeColor="text1"/>
        </w:rPr>
        <w:t>SAIMEX</w:t>
      </w:r>
      <w:r w:rsidR="003D03B5">
        <w:rPr>
          <w:rFonts w:ascii="Palatino Linotype" w:hAnsi="Palatino Linotype"/>
          <w:bCs/>
          <w:color w:val="000000" w:themeColor="text1"/>
        </w:rPr>
        <w:t>)</w:t>
      </w:r>
      <w:r w:rsidR="005F1362" w:rsidRPr="00A85CB7">
        <w:rPr>
          <w:rFonts w:ascii="Palatino Linotype" w:eastAsia="Calibri" w:hAnsi="Palatino Linotype" w:cs="Arial"/>
          <w:color w:val="000000" w:themeColor="text1"/>
          <w:lang w:val="es-ES"/>
        </w:rPr>
        <w:t>, la solicitud de información pública registrada</w:t>
      </w:r>
      <w:r w:rsidR="00772245">
        <w:rPr>
          <w:rFonts w:ascii="Palatino Linotype" w:eastAsia="Calibri" w:hAnsi="Palatino Linotype" w:cs="Arial"/>
          <w:color w:val="000000" w:themeColor="text1"/>
          <w:lang w:val="es-ES"/>
        </w:rPr>
        <w:t xml:space="preserve"> con </w:t>
      </w:r>
      <w:r w:rsidR="00F25B61">
        <w:rPr>
          <w:rFonts w:ascii="Palatino Linotype" w:eastAsia="Calibri" w:hAnsi="Palatino Linotype" w:cs="Arial"/>
          <w:color w:val="000000" w:themeColor="text1"/>
          <w:lang w:val="es-ES"/>
        </w:rPr>
        <w:t>el</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 </w:t>
      </w:r>
      <w:r w:rsidR="003D03B5">
        <w:rPr>
          <w:rFonts w:ascii="Palatino Linotype" w:eastAsia="Calibri" w:hAnsi="Palatino Linotype" w:cs="Arial"/>
          <w:b/>
          <w:color w:val="000000" w:themeColor="text1"/>
          <w:lang w:val="es-ES"/>
        </w:rPr>
        <w:t>00208/MALINAL/IP/2022</w:t>
      </w:r>
      <w:r w:rsidR="005F1362" w:rsidRPr="00A85CB7">
        <w:rPr>
          <w:rFonts w:ascii="Palatino Linotype" w:hAnsi="Palatino Linotype"/>
          <w:b/>
          <w:bCs/>
          <w:color w:val="000000" w:themeColor="text1"/>
        </w:rPr>
        <w:t>,</w:t>
      </w:r>
      <w:r w:rsidR="00F25B61">
        <w:rPr>
          <w:rFonts w:ascii="Palatino Linotype" w:eastAsia="Calibri" w:hAnsi="Palatino Linotype" w:cs="Arial"/>
          <w:color w:val="000000" w:themeColor="text1"/>
          <w:lang w:val="es-ES"/>
        </w:rPr>
        <w:t xml:space="preserve"> mediante la</w:t>
      </w:r>
      <w:r w:rsidR="00772245">
        <w:rPr>
          <w:rFonts w:ascii="Palatino Linotype" w:eastAsia="Calibri" w:hAnsi="Palatino Linotype" w:cs="Arial"/>
          <w:color w:val="000000" w:themeColor="text1"/>
          <w:lang w:val="es-ES"/>
        </w:rPr>
        <w:t xml:space="preserve">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B9B2C9D" w:rsidR="0097210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r w:rsidR="005F1362" w:rsidRPr="00A85CB7">
        <w:rPr>
          <w:rFonts w:ascii="Palatino Linotype" w:hAnsi="Palatino Linotype"/>
          <w:i/>
          <w:color w:val="000000" w:themeColor="text1"/>
          <w:sz w:val="22"/>
          <w:szCs w:val="22"/>
        </w:rPr>
        <w:t>“</w:t>
      </w:r>
      <w:r w:rsidR="003D03B5" w:rsidRPr="003D03B5">
        <w:rPr>
          <w:rFonts w:ascii="Palatino Linotype" w:hAnsi="Palatino Linotype"/>
          <w:i/>
          <w:color w:val="000000" w:themeColor="text1"/>
          <w:sz w:val="22"/>
          <w:szCs w:val="22"/>
        </w:rPr>
        <w:t>Solicito los documentos que muestren los procedimientos de responsabilidades administrativas abiertos por el OIC por mes de 2018 a mayo de 2021, así como una relación de las sanciones impuestas, el tipo de sanción, si es inhabilitación el tiempo de la misma, si es sanción económica incorporar el monto, así como el nombre los responsables.</w:t>
      </w:r>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35BA18A9" w14:textId="7F759EAA" w:rsidR="0039142B" w:rsidRPr="0027463A"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Se hace constar</w:t>
      </w:r>
      <w:r w:rsidR="00E9022C">
        <w:rPr>
          <w:rFonts w:ascii="Palatino Linotype" w:eastAsia="Times New Roman" w:hAnsi="Palatino Linotype" w:cs="Arial"/>
          <w:color w:val="000000" w:themeColor="text1"/>
          <w:lang w:val="es-ES"/>
        </w:rPr>
        <w:t xml:space="preserve"> que </w:t>
      </w:r>
      <w:r w:rsidR="008C28BF">
        <w:rPr>
          <w:rFonts w:ascii="Palatino Linotype" w:eastAsia="Times New Roman" w:hAnsi="Palatino Linotype" w:cs="Arial"/>
          <w:color w:val="000000" w:themeColor="text1"/>
          <w:lang w:val="es-ES"/>
        </w:rPr>
        <w:t>el particular</w:t>
      </w:r>
      <w:r w:rsidR="00E9022C">
        <w:rPr>
          <w:rFonts w:ascii="Palatino Linotype" w:eastAsia="Times New Roman" w:hAnsi="Palatino Linotype" w:cs="Arial"/>
          <w:color w:val="000000" w:themeColor="text1"/>
          <w:lang w:val="es-ES"/>
        </w:rPr>
        <w:t xml:space="preserve"> </w:t>
      </w:r>
      <w:r w:rsidR="005F1362" w:rsidRPr="00A85CB7">
        <w:rPr>
          <w:rFonts w:ascii="Palatino Linotype" w:eastAsia="Times New Roman" w:hAnsi="Palatino Linotype" w:cs="Arial"/>
          <w:color w:val="000000" w:themeColor="text1"/>
          <w:lang w:val="es-ES"/>
        </w:rPr>
        <w:t>señaló como modalidad de entrega de la información</w:t>
      </w:r>
      <w:r w:rsidR="005F1362"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4F0BF4">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7C0BE992" w14:textId="77777777" w:rsidR="0027463A" w:rsidRPr="0027463A"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4B0932E9" w:rsidR="0022448D" w:rsidRPr="00022D89" w:rsidRDefault="0036078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E</w:t>
      </w:r>
      <w:r w:rsidR="00B31E90" w:rsidRPr="00022D89">
        <w:rPr>
          <w:rFonts w:ascii="Palatino Linotype" w:eastAsia="MS Mincho" w:hAnsi="Palatino Linotype" w:cs="Times New Roman"/>
          <w:color w:val="000000" w:themeColor="text1"/>
        </w:rPr>
        <w:t xml:space="preserve">l </w:t>
      </w:r>
      <w:r w:rsidR="003D03B5">
        <w:rPr>
          <w:rFonts w:ascii="Palatino Linotype" w:eastAsia="MS Mincho" w:hAnsi="Palatino Linotype" w:cs="Times New Roman"/>
          <w:color w:val="000000" w:themeColor="text1"/>
        </w:rPr>
        <w:t>treinta (30) de junio</w:t>
      </w:r>
      <w:r w:rsidR="008C28BF">
        <w:rPr>
          <w:rFonts w:ascii="Palatino Linotype" w:eastAsia="MS Mincho" w:hAnsi="Palatino Linotype" w:cs="Times New Roman"/>
          <w:color w:val="000000" w:themeColor="text1"/>
        </w:rPr>
        <w:t xml:space="preserve"> de dos mil 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6A0E324B" w14:textId="77777777" w:rsidR="003D03B5" w:rsidRPr="003D03B5" w:rsidRDefault="00F25B61" w:rsidP="003D03B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3D03B5" w:rsidRPr="003D03B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6251C7" w14:textId="77777777" w:rsidR="003D03B5" w:rsidRDefault="003D03B5" w:rsidP="003D03B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DAC48CE" w14:textId="61750589" w:rsidR="003D03B5" w:rsidRPr="003D03B5" w:rsidRDefault="003D03B5" w:rsidP="003D03B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D03B5">
        <w:rPr>
          <w:rFonts w:ascii="Palatino Linotype" w:hAnsi="Palatino Linotype"/>
          <w:i/>
          <w:noProof/>
          <w:color w:val="000000" w:themeColor="text1"/>
          <w:sz w:val="22"/>
          <w:szCs w:val="22"/>
          <w:lang w:val="es-MX" w:eastAsia="es-MX"/>
        </w:rPr>
        <w:t>SE ENVIA INFORMACION PROPORCIONADA POR SERVIDOR PUBLICO HABILITADO</w:t>
      </w:r>
    </w:p>
    <w:p w14:paraId="4C1B87E0" w14:textId="77777777" w:rsidR="003D03B5" w:rsidRDefault="003D03B5" w:rsidP="003D03B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571CD59" w14:textId="13E8268C" w:rsidR="003D03B5" w:rsidRPr="003D03B5" w:rsidRDefault="003D03B5" w:rsidP="003D03B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D03B5">
        <w:rPr>
          <w:rFonts w:ascii="Palatino Linotype" w:hAnsi="Palatino Linotype"/>
          <w:i/>
          <w:noProof/>
          <w:color w:val="000000" w:themeColor="text1"/>
          <w:sz w:val="22"/>
          <w:szCs w:val="22"/>
          <w:lang w:val="es-MX" w:eastAsia="es-MX"/>
        </w:rPr>
        <w:t>ATENTAMENTE</w:t>
      </w:r>
    </w:p>
    <w:p w14:paraId="35A36DE0" w14:textId="49DF7FE3" w:rsidR="0039142B" w:rsidRDefault="003D03B5" w:rsidP="003D03B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D03B5">
        <w:rPr>
          <w:rFonts w:ascii="Palatino Linotype" w:hAnsi="Palatino Linotype"/>
          <w:i/>
          <w:noProof/>
          <w:color w:val="000000" w:themeColor="text1"/>
          <w:sz w:val="22"/>
          <w:szCs w:val="22"/>
          <w:lang w:val="es-MX" w:eastAsia="es-MX"/>
        </w:rPr>
        <w:t>LIC. ARACELI BERNAL BALDOMAR</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096EF7B1"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al acuse de 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w:t>
      </w:r>
      <w:r w:rsidR="004F0BF4">
        <w:rPr>
          <w:rFonts w:ascii="Palatino Linotype" w:hAnsi="Palatino Linotype"/>
          <w:color w:val="000000" w:themeColor="text1"/>
          <w:szCs w:val="22"/>
        </w:rPr>
        <w:t xml:space="preserve"> </w:t>
      </w:r>
      <w:r w:rsidR="008C28BF">
        <w:rPr>
          <w:rFonts w:ascii="Palatino Linotype" w:hAnsi="Palatino Linotype"/>
          <w:color w:val="000000" w:themeColor="text1"/>
          <w:szCs w:val="22"/>
        </w:rPr>
        <w:t>el particular</w:t>
      </w:r>
      <w:r>
        <w:rPr>
          <w:rFonts w:ascii="Palatino Linotype" w:hAnsi="Palatino Linotype"/>
          <w:color w:val="000000" w:themeColor="text1"/>
          <w:szCs w:val="22"/>
        </w:rPr>
        <w:t xml:space="preserve"> </w:t>
      </w:r>
      <w:r w:rsidR="004F0BF4">
        <w:rPr>
          <w:rFonts w:ascii="Palatino Linotype" w:hAnsi="Palatino Linotype"/>
          <w:color w:val="000000" w:themeColor="text1"/>
          <w:szCs w:val="22"/>
        </w:rPr>
        <w:t>un archivo electrónico, cuyo nombre y contenido se resumen a continuación:</w:t>
      </w:r>
    </w:p>
    <w:p w14:paraId="49FFFD70" w14:textId="3414AC75" w:rsidR="004F0BF4" w:rsidRDefault="004F0BF4" w:rsidP="004F0BF4">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4F0BF4">
        <w:rPr>
          <w:rFonts w:ascii="Palatino Linotype" w:hAnsi="Palatino Linotype"/>
          <w:b/>
          <w:bCs/>
          <w:i/>
          <w:iCs/>
          <w:color w:val="000000" w:themeColor="text1"/>
          <w:szCs w:val="22"/>
        </w:rPr>
        <w:t>“</w:t>
      </w:r>
      <w:r w:rsidR="003D03B5">
        <w:rPr>
          <w:rFonts w:ascii="Palatino Linotype" w:hAnsi="Palatino Linotype"/>
          <w:b/>
          <w:bCs/>
          <w:i/>
          <w:iCs/>
          <w:color w:val="000000" w:themeColor="text1"/>
          <w:szCs w:val="22"/>
        </w:rPr>
        <w:t>00208MALINALIP2022.pdf</w:t>
      </w:r>
      <w:r w:rsidRPr="004F0BF4">
        <w:rPr>
          <w:rFonts w:ascii="Palatino Linotype" w:hAnsi="Palatino Linotype"/>
          <w:b/>
          <w:bCs/>
          <w:i/>
          <w:iCs/>
          <w:color w:val="000000" w:themeColor="text1"/>
          <w:szCs w:val="22"/>
        </w:rPr>
        <w:t>”</w:t>
      </w:r>
      <w:r>
        <w:rPr>
          <w:rFonts w:ascii="Palatino Linotype" w:hAnsi="Palatino Linotype"/>
          <w:color w:val="000000" w:themeColor="text1"/>
          <w:szCs w:val="22"/>
        </w:rPr>
        <w:t>: Documento de</w:t>
      </w:r>
      <w:r w:rsidR="008C28BF">
        <w:rPr>
          <w:rFonts w:ascii="Palatino Linotype" w:hAnsi="Palatino Linotype"/>
          <w:color w:val="000000" w:themeColor="text1"/>
          <w:szCs w:val="22"/>
        </w:rPr>
        <w:t xml:space="preserve"> una foja consistente en la copia</w:t>
      </w:r>
      <w:r w:rsidR="003D03B5">
        <w:rPr>
          <w:rFonts w:ascii="Palatino Linotype" w:hAnsi="Palatino Linotype"/>
          <w:color w:val="000000" w:themeColor="text1"/>
          <w:szCs w:val="22"/>
        </w:rPr>
        <w:t xml:space="preserve"> digitalizada del oficio número O.C.I./084/2022, de veinte (20) de junio de dos mil veintidós, emitido por el Titular de la Contraloría Interna Municipal, y dirigido a la Directora de la Unidad de Transparencia, por que refiere adjuntar la información requerida por el particular.</w:t>
      </w:r>
    </w:p>
    <w:p w14:paraId="18538835" w14:textId="77777777" w:rsidR="00FE159E" w:rsidRPr="00B67B60" w:rsidRDefault="00FE159E" w:rsidP="00B67B60">
      <w:pPr>
        <w:spacing w:line="360" w:lineRule="auto"/>
        <w:jc w:val="both"/>
        <w:rPr>
          <w:rFonts w:ascii="Palatino Linotype" w:hAnsi="Palatino Linotype" w:cs="Arial"/>
        </w:rPr>
      </w:pPr>
    </w:p>
    <w:p w14:paraId="272B63B3" w14:textId="6B2D1B9B" w:rsidR="000D5A1D" w:rsidRPr="00A85CB7" w:rsidRDefault="008C28B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E</w:t>
      </w:r>
      <w:r w:rsidR="00DB4BEF" w:rsidRPr="00A85CB7">
        <w:rPr>
          <w:rFonts w:ascii="Palatino Linotype" w:eastAsia="Times New Roman" w:hAnsi="Palatino Linotype" w:cs="Arial"/>
          <w:color w:val="000000" w:themeColor="text1"/>
          <w:lang w:val="es-ES"/>
        </w:rPr>
        <w:t xml:space="preserve">l </w:t>
      </w:r>
      <w:r>
        <w:rPr>
          <w:rFonts w:ascii="Palatino Linotype" w:eastAsia="Times New Roman" w:hAnsi="Palatino Linotype" w:cs="Arial"/>
          <w:color w:val="000000" w:themeColor="text1"/>
          <w:lang w:val="es-ES"/>
        </w:rPr>
        <w:t>uno (01) de agosto de dos mil veintidós</w:t>
      </w:r>
      <w:r w:rsidR="00FE49E3" w:rsidRPr="00A85CB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el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3D03B5">
        <w:rPr>
          <w:rFonts w:ascii="Palatino Linotype" w:eastAsia="Calibri" w:hAnsi="Palatino Linotype" w:cs="Arial"/>
          <w:b/>
          <w:color w:val="000000" w:themeColor="text1"/>
          <w:lang w:val="es-ES"/>
        </w:rPr>
        <w:t>12773/INFOEM/IP/RR/2022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E97473D" w:rsidR="00E34622"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3D03B5" w:rsidRPr="003D03B5">
        <w:rPr>
          <w:rFonts w:ascii="Palatino Linotype" w:eastAsia="Times New Roman" w:hAnsi="Palatino Linotype" w:cs="Arial"/>
          <w:i/>
          <w:iCs/>
          <w:color w:val="000000" w:themeColor="text1"/>
          <w:sz w:val="22"/>
          <w:lang w:val="es-ES"/>
        </w:rPr>
        <w:t>Se solicitó lo siguiente: "Solicito los documentos que muestren los procedimientos de responsabilidades administrativas abiertos por el OIC por mes de 2018 a mayo de 2021, así como una relación de las sanciones impuestas, el tipo de sanción, si es inhabilitación el tiempo de la misma, si es sanción económica incorporar el monto, así como el nombre los responsables."</w:t>
      </w:r>
      <w:r w:rsidRPr="002E3C57">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16D14531" w:rsidR="000E096F" w:rsidRPr="004F0BF4"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lastRenderedPageBreak/>
        <w:t>Razones o motivos de inconformidad:</w:t>
      </w:r>
      <w:r w:rsidRPr="000E096F">
        <w:rPr>
          <w:rFonts w:ascii="Palatino Linotype" w:eastAsia="Times New Roman" w:hAnsi="Palatino Linotype" w:cs="Arial"/>
          <w:color w:val="000000" w:themeColor="text1"/>
          <w:sz w:val="22"/>
          <w:lang w:val="es-ES"/>
        </w:rPr>
        <w:t xml:space="preserve"> </w:t>
      </w:r>
      <w:r w:rsidR="00360789">
        <w:rPr>
          <w:rFonts w:ascii="Palatino Linotype" w:eastAsia="Times New Roman" w:hAnsi="Palatino Linotype" w:cs="Arial"/>
          <w:i/>
          <w:color w:val="000000" w:themeColor="text1"/>
          <w:sz w:val="22"/>
          <w:lang w:val="es-ES"/>
        </w:rPr>
        <w:t>“</w:t>
      </w:r>
      <w:r w:rsidR="003D03B5" w:rsidRPr="003D03B5">
        <w:rPr>
          <w:rFonts w:ascii="Palatino Linotype" w:eastAsia="Times New Roman" w:hAnsi="Palatino Linotype" w:cs="Arial"/>
          <w:i/>
          <w:color w:val="000000" w:themeColor="text1"/>
          <w:sz w:val="22"/>
          <w:lang w:val="es-ES"/>
        </w:rPr>
        <w:t>El ente obligado señala no entregó la información solicitada, a pesar se señalar que se anexa pero en la respuesta no se adjunta ningún tipo de información.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 También le reitero al pleno del INFOEM tomar medidas legales contra estas conductas que al parecer son generalizadas no sólo en este municipio y se de vista a las autoridades de control, vigilancia y de responsabilidades. Le pido que tome en cuenta que el área que niega esta información, y la de otras solicitudes, es el propio titular del OIC, lo cual es una conducta reiterada, y por ello mismo, se considere como una actitud negligente.</w:t>
      </w:r>
      <w:r w:rsidR="00360789">
        <w:rPr>
          <w:rFonts w:ascii="Palatino Linotype" w:eastAsia="Times New Roman" w:hAnsi="Palatino Linotype" w:cs="Arial"/>
          <w:i/>
          <w:color w:val="000000" w:themeColor="text1"/>
          <w:sz w:val="22"/>
          <w:lang w:val="es-ES"/>
        </w:rPr>
        <w:t>”</w:t>
      </w:r>
    </w:p>
    <w:p w14:paraId="3C8DEE6E" w14:textId="77777777" w:rsidR="00394F10"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6CC9602B" w:rsidR="005C7898"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w:t>
      </w:r>
      <w:r w:rsidR="005C7898">
        <w:rPr>
          <w:rFonts w:ascii="Palatino Linotype" w:eastAsia="Calibri" w:hAnsi="Palatino Linotype" w:cs="Arial"/>
          <w:color w:val="000000" w:themeColor="text1"/>
          <w:lang w:val="es-ES"/>
        </w:rPr>
        <w:t xml:space="preserve">e </w:t>
      </w:r>
      <w:r w:rsidR="00F25B61">
        <w:rPr>
          <w:rFonts w:ascii="Palatino Linotype" w:eastAsia="Times New Roman" w:hAnsi="Palatino Linotype" w:cs="Arial"/>
          <w:color w:val="000000" w:themeColor="text1"/>
          <w:lang w:val="es-ES"/>
        </w:rPr>
        <w:t>registró</w:t>
      </w:r>
      <w:r w:rsidR="005C7898">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número de expediente</w:t>
      </w:r>
      <w:r w:rsidR="005C7898">
        <w:rPr>
          <w:rFonts w:ascii="Palatino Linotype" w:eastAsia="Times New Roman" w:hAnsi="Palatino Linotype" w:cs="Arial"/>
          <w:color w:val="000000" w:themeColor="text1"/>
          <w:lang w:val="es-ES"/>
        </w:rPr>
        <w:t xml:space="preserve"> </w:t>
      </w:r>
      <w:r w:rsidR="003D03B5">
        <w:rPr>
          <w:rFonts w:ascii="Palatino Linotype" w:eastAsia="Times New Roman" w:hAnsi="Palatino Linotype" w:cs="Arial"/>
          <w:b/>
          <w:color w:val="000000" w:themeColor="text1"/>
          <w:lang w:val="es-ES"/>
        </w:rPr>
        <w:t>12773/INFOEM/IP/RR/2022</w:t>
      </w:r>
      <w:r w:rsidR="005C7898">
        <w:rPr>
          <w:rFonts w:ascii="Palatino Linotype" w:hAnsi="Palatino Linotype" w:cs="Arial"/>
          <w:bCs/>
          <w:color w:val="000000" w:themeColor="text1"/>
        </w:rPr>
        <w:t>;</w:t>
      </w:r>
      <w:r w:rsidR="005C7898" w:rsidRPr="00A85CB7">
        <w:rPr>
          <w:rFonts w:ascii="Palatino Linotype" w:hAnsi="Palatino Linotype" w:cs="Arial"/>
          <w:bCs/>
          <w:color w:val="000000" w:themeColor="text1"/>
        </w:rPr>
        <w:t xml:space="preserve"> asimismo, con </w:t>
      </w:r>
      <w:r w:rsidR="005C7898" w:rsidRPr="000A45FD">
        <w:rPr>
          <w:rFonts w:ascii="Palatino Linotype" w:hAnsi="Palatino Linotype" w:cs="Arial"/>
          <w:bCs/>
          <w:color w:val="000000" w:themeColor="text1"/>
        </w:rPr>
        <w:t xml:space="preserve">fundamento en lo dispuesto por el </w:t>
      </w:r>
      <w:r w:rsidR="005C7898"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005C7898" w:rsidRPr="000A45FD">
        <w:rPr>
          <w:rFonts w:ascii="Palatino Linotype" w:eastAsia="Times New Roman" w:hAnsi="Palatino Linotype" w:cs="Arial"/>
          <w:bCs/>
          <w:color w:val="000000" w:themeColor="text1"/>
          <w:lang w:val="es-ES"/>
        </w:rPr>
        <w:t xml:space="preserve"> </w:t>
      </w:r>
      <w:r w:rsidR="005C7898">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sidR="005C7898">
        <w:rPr>
          <w:rFonts w:ascii="Palatino Linotype" w:eastAsia="Times New Roman" w:hAnsi="Palatino Linotype" w:cs="Arial"/>
          <w:bCs/>
          <w:color w:val="000000" w:themeColor="text1"/>
          <w:lang w:val="es-ES"/>
        </w:rPr>
        <w:t xml:space="preserve"> </w:t>
      </w:r>
      <w:r w:rsidR="005C7898"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005C7898"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005C7898" w:rsidRPr="000A45FD">
        <w:rPr>
          <w:rFonts w:ascii="Palatino Linotype" w:eastAsia="Times New Roman" w:hAnsi="Palatino Linotype" w:cs="Arial"/>
          <w:bCs/>
          <w:color w:val="000000" w:themeColor="text1"/>
          <w:lang w:val="es-ES"/>
        </w:rPr>
        <w:t xml:space="preserve"> con el objeto de </w:t>
      </w:r>
      <w:r w:rsidR="005C7898"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D8EEF72"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3D03B5">
        <w:rPr>
          <w:rFonts w:ascii="Palatino Linotype" w:eastAsia="Calibri" w:hAnsi="Palatino Linotype" w:cs="Arial"/>
          <w:color w:val="000000" w:themeColor="text1"/>
          <w:lang w:val="es-ES"/>
        </w:rPr>
        <w:t>dos (02)</w:t>
      </w:r>
      <w:r w:rsidR="008C28BF">
        <w:rPr>
          <w:rFonts w:ascii="Palatino Linotype" w:eastAsia="Calibri" w:hAnsi="Palatino Linotype" w:cs="Arial"/>
          <w:color w:val="000000" w:themeColor="text1"/>
          <w:lang w:val="es-ES"/>
        </w:rPr>
        <w:t xml:space="preserve"> de agosto de dos mil veintidós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los Informes Justificados procedentes</w:t>
      </w:r>
      <w:bookmarkEnd w:id="3"/>
      <w:r w:rsidR="00AE1CCB">
        <w:rPr>
          <w:rFonts w:ascii="Palatino Linotype" w:eastAsia="Calibri" w:hAnsi="Palatino Linotype" w:cs="Arial"/>
          <w:color w:val="000000" w:themeColor="text1"/>
          <w:lang w:val="es-ES"/>
        </w:rPr>
        <w:t>.</w:t>
      </w:r>
    </w:p>
    <w:p w14:paraId="4333A778" w14:textId="77777777" w:rsidR="008C28BF" w:rsidRDefault="008C28BF" w:rsidP="008C28B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2E1C61" w14:textId="13274654" w:rsidR="008C28BF" w:rsidRDefault="003D03B5"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El quince (15) de agosto de dos mil veintidós, el </w:t>
      </w:r>
      <w:r>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presentó, en vía de informe justificado, el archivo electrónico cuyo título y contenido se resumen a continuación:</w:t>
      </w:r>
    </w:p>
    <w:p w14:paraId="76F5DA5B" w14:textId="6A7522FC" w:rsidR="003D03B5" w:rsidRDefault="003D03B5" w:rsidP="003D03B5">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D03B5">
        <w:rPr>
          <w:rFonts w:ascii="Palatino Linotype" w:eastAsia="Calibri" w:hAnsi="Palatino Linotype" w:cs="Arial"/>
          <w:b/>
          <w:bCs/>
          <w:i/>
          <w:iCs/>
          <w:color w:val="000000" w:themeColor="text1"/>
          <w:lang w:val="es-ES"/>
        </w:rPr>
        <w:t>“12773INFOEMIPRR2022.pdf”</w:t>
      </w:r>
      <w:r>
        <w:rPr>
          <w:rFonts w:ascii="Palatino Linotype" w:eastAsia="Calibri" w:hAnsi="Palatino Linotype" w:cs="Arial"/>
          <w:color w:val="000000" w:themeColor="text1"/>
          <w:lang w:val="es-ES"/>
        </w:rPr>
        <w:t xml:space="preserve">: Documento de una foja consistente en la copia digitalizada del oficio número C.I./127/2022, de once (11) de agosto de dos mil veintidós, suscrito por el Contralor Interno Municipal, y dirigido a la Directora de la Unidad de Transparencia, por el que exhorta al ahora </w:t>
      </w:r>
      <w:r>
        <w:rPr>
          <w:rFonts w:ascii="Palatino Linotype" w:eastAsia="Calibri" w:hAnsi="Palatino Linotype" w:cs="Arial"/>
          <w:b/>
          <w:bCs/>
          <w:color w:val="000000" w:themeColor="text1"/>
          <w:lang w:val="es-ES"/>
        </w:rPr>
        <w:t>RECURRENTE</w:t>
      </w:r>
      <w:r>
        <w:rPr>
          <w:rFonts w:ascii="Palatino Linotype" w:eastAsia="Calibri" w:hAnsi="Palatino Linotype" w:cs="Arial"/>
          <w:color w:val="000000" w:themeColor="text1"/>
          <w:lang w:val="es-ES"/>
        </w:rPr>
        <w:t xml:space="preserve"> a requerir la información ante el servidor público de su interés.</w:t>
      </w:r>
    </w:p>
    <w:p w14:paraId="12EBC051" w14:textId="77777777" w:rsidR="00CF15AD"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38CE132" w14:textId="3060583E" w:rsidR="003D03B5" w:rsidRPr="003D03B5" w:rsidRDefault="003D03B5" w:rsidP="00360789">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El veinticinco (25) de agosto de dos mil veintidós, este Instituto puso a la vista del </w:t>
      </w:r>
      <w:r>
        <w:rPr>
          <w:rFonts w:ascii="Palatino Linotype" w:eastAsia="Times New Roman" w:hAnsi="Palatino Linotype" w:cs="Arial"/>
          <w:b/>
          <w:bCs/>
          <w:color w:val="000000" w:themeColor="text1"/>
        </w:rPr>
        <w:t>RECURRENTE</w:t>
      </w:r>
      <w:r>
        <w:rPr>
          <w:rFonts w:ascii="Palatino Linotype" w:eastAsia="Times New Roman" w:hAnsi="Palatino Linotype" w:cs="Arial"/>
          <w:color w:val="000000" w:themeColor="text1"/>
        </w:rPr>
        <w:t xml:space="preserve"> el archivo electrónico </w:t>
      </w:r>
      <w:r w:rsidR="00A468FE">
        <w:rPr>
          <w:rFonts w:ascii="Palatino Linotype" w:eastAsia="Times New Roman" w:hAnsi="Palatino Linotype" w:cs="Arial"/>
          <w:color w:val="000000" w:themeColor="text1"/>
        </w:rPr>
        <w:t xml:space="preserve">referido </w:t>
      </w:r>
      <w:r w:rsidR="00A468FE">
        <w:rPr>
          <w:rFonts w:ascii="Palatino Linotype" w:eastAsia="Times New Roman" w:hAnsi="Palatino Linotype" w:cs="Arial"/>
          <w:i/>
          <w:iCs/>
          <w:color w:val="000000" w:themeColor="text1"/>
        </w:rPr>
        <w:t>supra</w:t>
      </w:r>
      <w:r w:rsidR="00A468FE">
        <w:rPr>
          <w:rFonts w:ascii="Palatino Linotype" w:eastAsia="Times New Roman" w:hAnsi="Palatino Linotype" w:cs="Arial"/>
          <w:color w:val="000000" w:themeColor="text1"/>
        </w:rPr>
        <w:t>, concediéndole un plazo de tres días hábiles a fin de que manifestara lo que a su derecho conviniera.</w:t>
      </w:r>
    </w:p>
    <w:p w14:paraId="090713A3" w14:textId="77777777" w:rsidR="003D03B5" w:rsidRPr="003D03B5" w:rsidRDefault="003D03B5" w:rsidP="003D03B5">
      <w:pPr>
        <w:pStyle w:val="Prrafodelista"/>
        <w:tabs>
          <w:tab w:val="left" w:pos="426"/>
        </w:tabs>
        <w:spacing w:line="360" w:lineRule="auto"/>
        <w:ind w:left="0"/>
        <w:jc w:val="both"/>
        <w:rPr>
          <w:rFonts w:ascii="Palatino Linotype" w:hAnsi="Palatino Linotype"/>
          <w:color w:val="000000" w:themeColor="text1"/>
        </w:rPr>
      </w:pPr>
    </w:p>
    <w:p w14:paraId="35C4292A" w14:textId="25941203" w:rsidR="003D03B5" w:rsidRPr="003D03B5" w:rsidRDefault="00A468FE" w:rsidP="00360789">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El veintisiete (27) de agosto de dos mil veintidós, el </w:t>
      </w:r>
      <w:r>
        <w:rPr>
          <w:rFonts w:ascii="Palatino Linotype" w:eastAsia="Times New Roman" w:hAnsi="Palatino Linotype" w:cs="Arial"/>
          <w:b/>
          <w:bCs/>
          <w:color w:val="000000" w:themeColor="text1"/>
        </w:rPr>
        <w:t>RECURRENTE</w:t>
      </w:r>
      <w:r>
        <w:rPr>
          <w:rFonts w:ascii="Palatino Linotype" w:eastAsia="Times New Roman" w:hAnsi="Palatino Linotype" w:cs="Arial"/>
          <w:color w:val="000000" w:themeColor="text1"/>
        </w:rPr>
        <w:t xml:space="preserve"> formuló alegatos en contra del informe justificado mediante el archivo titulado </w:t>
      </w:r>
      <w:r>
        <w:rPr>
          <w:rFonts w:ascii="Palatino Linotype" w:eastAsia="Times New Roman" w:hAnsi="Palatino Linotype" w:cs="Arial"/>
          <w:b/>
          <w:bCs/>
          <w:i/>
          <w:iCs/>
          <w:color w:val="000000" w:themeColor="text1"/>
        </w:rPr>
        <w:t>“RR 12773 2022 SMAL 208.docx”</w:t>
      </w:r>
      <w:r>
        <w:rPr>
          <w:rFonts w:ascii="Palatino Linotype" w:eastAsia="Times New Roman" w:hAnsi="Palatino Linotype" w:cs="Arial"/>
          <w:color w:val="000000" w:themeColor="text1"/>
        </w:rPr>
        <w:t>, consistente en un escrito libre de dos fojas, mismo que se transcribe a continuación:</w:t>
      </w:r>
    </w:p>
    <w:p w14:paraId="212EAC2F" w14:textId="77777777" w:rsidR="003D03B5" w:rsidRDefault="003D03B5" w:rsidP="003D03B5">
      <w:pPr>
        <w:pStyle w:val="Prrafodelista"/>
        <w:tabs>
          <w:tab w:val="left" w:pos="426"/>
        </w:tabs>
        <w:spacing w:line="360" w:lineRule="auto"/>
        <w:ind w:left="0"/>
        <w:jc w:val="both"/>
        <w:rPr>
          <w:rFonts w:ascii="Palatino Linotype" w:hAnsi="Palatino Linotype"/>
          <w:color w:val="000000" w:themeColor="text1"/>
        </w:rPr>
      </w:pPr>
    </w:p>
    <w:p w14:paraId="4D9ADD9E" w14:textId="01A471B7"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468FE">
        <w:rPr>
          <w:rFonts w:ascii="Palatino Linotype" w:hAnsi="Palatino Linotype"/>
          <w:i/>
          <w:iCs/>
          <w:color w:val="000000" w:themeColor="text1"/>
          <w:sz w:val="22"/>
          <w:szCs w:val="22"/>
        </w:rPr>
        <w:t>“La solicitud de acceso a la información pidió lo siguiente:</w:t>
      </w:r>
    </w:p>
    <w:p w14:paraId="18FAD2DE" w14:textId="1CAB20DE" w:rsidR="00A468FE" w:rsidRDefault="00A468FE" w:rsidP="00A468FE">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Pr>
          <w:noProof/>
          <w:lang w:eastAsia="es-MX"/>
        </w:rPr>
        <w:drawing>
          <wp:inline distT="0" distB="0" distL="0" distR="0" wp14:anchorId="6C18A54F" wp14:editId="33072980">
            <wp:extent cx="4788663" cy="65606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6822" t="38612" r="16279" b="50695"/>
                    <a:stretch/>
                  </pic:blipFill>
                  <pic:spPr bwMode="auto">
                    <a:xfrm>
                      <a:off x="0" y="0"/>
                      <a:ext cx="4978076" cy="682010"/>
                    </a:xfrm>
                    <a:prstGeom prst="rect">
                      <a:avLst/>
                    </a:prstGeom>
                    <a:noFill/>
                    <a:ln>
                      <a:noFill/>
                    </a:ln>
                    <a:extLst>
                      <a:ext uri="{53640926-AAD7-44D8-BBD7-CCE9431645EC}">
                        <a14:shadowObscured xmlns:a14="http://schemas.microsoft.com/office/drawing/2010/main"/>
                      </a:ext>
                    </a:extLst>
                  </pic:spPr>
                </pic:pic>
              </a:graphicData>
            </a:graphic>
          </wp:inline>
        </w:drawing>
      </w:r>
    </w:p>
    <w:p w14:paraId="491CCE4D" w14:textId="77777777"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FDF6F5A" w14:textId="18104626"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468FE">
        <w:rPr>
          <w:rFonts w:ascii="Palatino Linotype" w:hAnsi="Palatino Linotype"/>
          <w:i/>
          <w:iCs/>
          <w:color w:val="000000" w:themeColor="text1"/>
          <w:sz w:val="22"/>
          <w:szCs w:val="22"/>
        </w:rPr>
        <w:t>En su respuesta el ente obligado, Ayuntamiento de Malinalco, SIMULÓ brindar una respuesta ya que en el oficio de respuesta señala que se brinda la información en archivo adjunta, documento que no adjuntó en el oficio de respuesta ni en algún otro archivo, como se desprende de la captura de pantalla siguiente:</w:t>
      </w:r>
    </w:p>
    <w:p w14:paraId="7D2C88E6" w14:textId="27178866" w:rsidR="00A468FE" w:rsidRDefault="00A468FE" w:rsidP="00A468FE">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Pr>
          <w:noProof/>
          <w:lang w:eastAsia="es-MX"/>
        </w:rPr>
        <w:lastRenderedPageBreak/>
        <w:drawing>
          <wp:inline distT="0" distB="0" distL="0" distR="0" wp14:anchorId="4CD86D85" wp14:editId="4FF0B25F">
            <wp:extent cx="3845606" cy="2513185"/>
            <wp:effectExtent l="0" t="0" r="254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8" t="14188" r="20400" b="15778"/>
                    <a:stretch/>
                  </pic:blipFill>
                  <pic:spPr bwMode="auto">
                    <a:xfrm>
                      <a:off x="0" y="0"/>
                      <a:ext cx="3910752" cy="2555759"/>
                    </a:xfrm>
                    <a:prstGeom prst="rect">
                      <a:avLst/>
                    </a:prstGeom>
                    <a:ln>
                      <a:noFill/>
                    </a:ln>
                    <a:extLst>
                      <a:ext uri="{53640926-AAD7-44D8-BBD7-CCE9431645EC}">
                        <a14:shadowObscured xmlns:a14="http://schemas.microsoft.com/office/drawing/2010/main"/>
                      </a:ext>
                    </a:extLst>
                  </pic:spPr>
                </pic:pic>
              </a:graphicData>
            </a:graphic>
          </wp:inline>
        </w:drawing>
      </w:r>
    </w:p>
    <w:p w14:paraId="270F2B9F" w14:textId="77777777"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F750691" w14:textId="77777777"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468FE">
        <w:rPr>
          <w:rFonts w:ascii="Palatino Linotype" w:hAnsi="Palatino Linotype"/>
          <w:i/>
          <w:iCs/>
          <w:color w:val="000000" w:themeColor="text1"/>
          <w:sz w:val="22"/>
          <w:szCs w:val="22"/>
        </w:rPr>
        <w:t>Asimismo, en la respuesta a este recurso de revisión el ente obligado nuevamente vuelve a SIMULAR que brinda una respuesta, ya que ahora señala que “se invita al solicitante a requerir la información ante el servidor público del cual tenga interés”.</w:t>
      </w:r>
    </w:p>
    <w:p w14:paraId="41DA87D6" w14:textId="77777777" w:rsidR="00A468FE" w:rsidRP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789C031" w14:textId="77777777" w:rsid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468FE">
        <w:rPr>
          <w:rFonts w:ascii="Palatino Linotype" w:hAnsi="Palatino Linotype"/>
          <w:i/>
          <w:iCs/>
          <w:color w:val="000000" w:themeColor="text1"/>
          <w:sz w:val="22"/>
          <w:szCs w:val="22"/>
        </w:rPr>
        <w:t>Como resulta evidente por las respuesta y actitud del ente obligado de responder forma lógica, legal y coherente esta solicitud.</w:t>
      </w:r>
    </w:p>
    <w:p w14:paraId="23D559F0" w14:textId="77777777" w:rsidR="00A468FE" w:rsidRP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A9EF7A2" w14:textId="77777777" w:rsidR="00A468FE" w:rsidRP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468FE">
        <w:rPr>
          <w:rFonts w:ascii="Palatino Linotype" w:hAnsi="Palatino Linotype"/>
          <w:i/>
          <w:iCs/>
          <w:color w:val="000000" w:themeColor="text1"/>
          <w:sz w:val="22"/>
          <w:szCs w:val="22"/>
        </w:rPr>
        <w:t>Como lo hemos comentado en otras impugnaciones a este ayuntamiento, la falta de transparencia y las respuestas reiteradas de "no contar con información" o “no ser clara en sus alcances” y otras por el estilo, no significa que no estén obligados a entregarla o dejar de buscar o exigir su entrega por parte de las distintas áreas del ayuntamiento, incluyendo su cabildo, que son los primeros obligados a cumplir la ley. También le reitero al Comisionado (a) ponente y al pleno del INFOEM solicito tomar medidas legales contra estas conductas que al parecer son generalizadas no sólo en este municipio y se de vista a las autoridades de control, vigilancia y de responsabilidades.</w:t>
      </w:r>
    </w:p>
    <w:p w14:paraId="1F8EE7E8" w14:textId="77777777" w:rsidR="00A468FE" w:rsidRP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AC6ED62" w14:textId="6E05513B" w:rsidR="00A468FE" w:rsidRPr="00A468FE" w:rsidRDefault="00A468FE" w:rsidP="00A468FE">
      <w:pPr>
        <w:pStyle w:val="Prrafodelista"/>
        <w:tabs>
          <w:tab w:val="left" w:pos="426"/>
        </w:tabs>
        <w:spacing w:line="276" w:lineRule="auto"/>
        <w:ind w:left="567" w:right="567"/>
        <w:jc w:val="both"/>
        <w:rPr>
          <w:rFonts w:ascii="Palatino Linotype" w:hAnsi="Palatino Linotype"/>
          <w:color w:val="000000" w:themeColor="text1"/>
          <w:sz w:val="22"/>
          <w:szCs w:val="22"/>
        </w:rPr>
      </w:pPr>
      <w:r w:rsidRPr="00A468FE">
        <w:rPr>
          <w:rFonts w:ascii="Palatino Linotype" w:hAnsi="Palatino Linotype"/>
          <w:i/>
          <w:iCs/>
          <w:color w:val="000000" w:themeColor="text1"/>
          <w:sz w:val="22"/>
          <w:szCs w:val="22"/>
        </w:rPr>
        <w:t>Con base en lo anterior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6F0ED680" w14:textId="77777777" w:rsidR="00A468FE" w:rsidRPr="00A468FE" w:rsidRDefault="00A468FE" w:rsidP="00A468F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5890850" w14:textId="77777777" w:rsidR="00A468FE" w:rsidRPr="003D03B5" w:rsidRDefault="00A468FE" w:rsidP="003D03B5">
      <w:pPr>
        <w:pStyle w:val="Prrafodelista"/>
        <w:tabs>
          <w:tab w:val="left" w:pos="426"/>
        </w:tabs>
        <w:spacing w:line="360" w:lineRule="auto"/>
        <w:ind w:left="0"/>
        <w:jc w:val="both"/>
        <w:rPr>
          <w:rFonts w:ascii="Palatino Linotype" w:hAnsi="Palatino Linotype"/>
          <w:color w:val="000000" w:themeColor="text1"/>
        </w:rPr>
      </w:pPr>
    </w:p>
    <w:p w14:paraId="329BA56A" w14:textId="7EA82D47" w:rsidR="00360789" w:rsidRPr="008C28BF" w:rsidRDefault="003D03B5" w:rsidP="00360789">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E</w:t>
      </w:r>
      <w:r w:rsidR="00360789" w:rsidRPr="009A7F61">
        <w:rPr>
          <w:rFonts w:ascii="Palatino Linotype" w:eastAsia="Times New Roman" w:hAnsi="Palatino Linotype" w:cs="Arial"/>
          <w:color w:val="000000" w:themeColor="text1"/>
        </w:rPr>
        <w:t xml:space="preserve">l </w:t>
      </w:r>
      <w:r w:rsidR="008C28BF">
        <w:rPr>
          <w:rFonts w:ascii="Palatino Linotype" w:eastAsia="Times New Roman" w:hAnsi="Palatino Linotype" w:cs="Arial"/>
          <w:color w:val="000000" w:themeColor="text1"/>
        </w:rPr>
        <w:t>doce (12) de diciembre</w:t>
      </w:r>
      <w:r w:rsidR="00360789">
        <w:rPr>
          <w:rFonts w:ascii="Palatino Linotype" w:eastAsia="Times New Roman" w:hAnsi="Palatino Linotype" w:cs="Arial"/>
          <w:color w:val="000000" w:themeColor="text1"/>
        </w:rPr>
        <w:t xml:space="preserve"> de dos mil veintidós</w:t>
      </w:r>
      <w:r w:rsidR="00360789" w:rsidRPr="009A7F61">
        <w:rPr>
          <w:rFonts w:ascii="Palatino Linotype" w:eastAsia="Times New Roman" w:hAnsi="Palatino Linotype" w:cs="Arial"/>
          <w:color w:val="000000" w:themeColor="text1"/>
        </w:rPr>
        <w:t xml:space="preserve">, </w:t>
      </w:r>
      <w:r w:rsidR="00360789" w:rsidRPr="009A7F61">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60789" w:rsidRPr="009A7F61">
        <w:rPr>
          <w:rFonts w:ascii="Palatino Linotype" w:hAnsi="Palatino Linotype" w:cs="Arial"/>
          <w:bCs/>
          <w:color w:val="000000" w:themeColor="text1"/>
          <w:lang w:val="es-ES"/>
        </w:rPr>
        <w:t xml:space="preserve"> </w:t>
      </w:r>
      <w:r w:rsidR="00360789" w:rsidRPr="009A7F61">
        <w:rPr>
          <w:rFonts w:ascii="Palatino Linotype" w:hAnsi="Palatino Linotype" w:cs="Arial"/>
          <w:color w:val="000000" w:themeColor="text1"/>
          <w:lang w:val="es-ES"/>
        </w:rPr>
        <w:t>se notificó que el plazo de treinta (30) días para resolver el recurso de revisión sería ampliado por un periodo de 15</w:t>
      </w:r>
      <w:r w:rsidR="00360789">
        <w:rPr>
          <w:rFonts w:ascii="Palatino Linotype" w:hAnsi="Palatino Linotype" w:cs="Arial"/>
          <w:color w:val="000000" w:themeColor="text1"/>
          <w:lang w:val="es-ES"/>
        </w:rPr>
        <w:t xml:space="preserve"> días hábiles adicionales.</w:t>
      </w:r>
    </w:p>
    <w:p w14:paraId="2E6A6037" w14:textId="77777777" w:rsidR="008C28BF" w:rsidRPr="008C28BF" w:rsidRDefault="008C28BF" w:rsidP="008C28BF">
      <w:pPr>
        <w:pStyle w:val="Prrafodelista"/>
        <w:tabs>
          <w:tab w:val="left" w:pos="426"/>
        </w:tabs>
        <w:spacing w:line="360" w:lineRule="auto"/>
        <w:ind w:left="0"/>
        <w:jc w:val="both"/>
        <w:rPr>
          <w:rFonts w:ascii="Palatino Linotype" w:hAnsi="Palatino Linotype"/>
          <w:color w:val="000000" w:themeColor="text1"/>
        </w:rPr>
      </w:pPr>
    </w:p>
    <w:p w14:paraId="58198DD1" w14:textId="570BBD22" w:rsidR="008F4D8E" w:rsidRPr="003B7BFE" w:rsidRDefault="008C28BF" w:rsidP="008F4D8E">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s="Arial"/>
          <w:color w:val="000000" w:themeColor="text1"/>
        </w:rPr>
        <w:t xml:space="preserve">Este Organismo </w:t>
      </w:r>
      <w:r w:rsidR="008F4D8E" w:rsidRPr="003B7BFE">
        <w:rPr>
          <w:rFonts w:ascii="Palatino Linotype" w:eastAsia="Calibri" w:hAnsi="Palatino Linotype" w:cs="Arial"/>
        </w:rPr>
        <w:t xml:space="preserve">Garante no pasa por alto explicar, que la dilación en la resolución del presente asunto encuentra justificación en el alto número de recursos de revisión </w:t>
      </w:r>
      <w:r w:rsidR="00F6715F">
        <w:rPr>
          <w:rFonts w:ascii="Palatino Linotype" w:eastAsia="Calibri" w:hAnsi="Palatino Linotype" w:cs="Arial"/>
        </w:rPr>
        <w:t>|</w:t>
      </w:r>
      <w:r w:rsidR="008F4D8E" w:rsidRPr="003B7BFE">
        <w:rPr>
          <w:rFonts w:ascii="Palatino Linotype" w:eastAsia="Calibri" w:hAnsi="Palatino Linotype" w:cs="Arial"/>
        </w:rPr>
        <w:t>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7627EEA"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8ABB7BD" w14:textId="77777777" w:rsidR="008F4D8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EB4BA9A" w14:textId="77777777" w:rsidR="008F4D8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7667AA31"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 xml:space="preserve">en términos de lo que establecen los artículos 8.1 y 25 de la Convención Americana sobre Derechos Humanos, los recursos deben ser sencillos y resolverse </w:t>
      </w:r>
      <w:r w:rsidRPr="003B7BFE">
        <w:rPr>
          <w:rFonts w:ascii="Palatino Linotype" w:hAnsi="Palatino Linotype"/>
        </w:rPr>
        <w:lastRenderedPageBreak/>
        <w:t>en el menor tiempo posible, tomando en consideración la dilación total del procedimiento; esto es, en un plazo razonable.</w:t>
      </w:r>
    </w:p>
    <w:p w14:paraId="01F90A92"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A1744C0"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B55F0D"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3E0C7CBE" w14:textId="77777777" w:rsidR="008F4D8E" w:rsidRPr="003B7BF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01A6B28"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108D80C0"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1F910777"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19D82D8A"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1557D3DD"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656778C2"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B7BFE">
        <w:rPr>
          <w:rFonts w:ascii="Palatino Linotype" w:hAnsi="Palatino Linotype"/>
        </w:rPr>
        <w:lastRenderedPageBreak/>
        <w:t>relación con la actuación del funcionario, como ha acontecido en el caso que nos ocupa.</w:t>
      </w:r>
    </w:p>
    <w:p w14:paraId="4D90A283"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0B754FB"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 xml:space="preserve">que encuentra sustento en la jurisprudencia P./J.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2"/>
      </w:r>
      <w:r w:rsidRPr="003B7BFE">
        <w:rPr>
          <w:rFonts w:ascii="Palatino Linotype" w:hAnsi="Palatino Linotype"/>
        </w:rPr>
        <w:t>, visible en la Gaceta del Seminario Judicial de la Federación con el registro digital 205635.</w:t>
      </w:r>
    </w:p>
    <w:p w14:paraId="5443EF68"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D445AE6"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Razones </w:t>
      </w:r>
      <w:r w:rsidRPr="003B7BFE">
        <w:rPr>
          <w:rFonts w:ascii="Palatino Linotype" w:hAnsi="Palatino Linotype"/>
        </w:rPr>
        <w:t xml:space="preserve">por las cuales cabe concluir que, la resolución al recurso de revisión se solventa hasta esta fecha, debido a que existe una excesiva carga de trabajo en </w:t>
      </w:r>
      <w:r w:rsidRPr="003B7BFE">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5FF588"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65B434A" w14:textId="77777777" w:rsidR="008F4D8E" w:rsidRPr="003B7BF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36314267"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1ACD3F10" w14:textId="77777777" w:rsidR="008F4D8E" w:rsidRPr="003B7BFE" w:rsidRDefault="008F4D8E" w:rsidP="008F4D8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w:t>
      </w:r>
      <w:r w:rsidRPr="003B7BFE">
        <w:rPr>
          <w:rFonts w:ascii="Palatino Linotype" w:hAnsi="Palatino Linotype"/>
          <w:i/>
          <w:sz w:val="22"/>
        </w:rPr>
        <w:lastRenderedPageBreak/>
        <w:t>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3"/>
      </w:r>
    </w:p>
    <w:p w14:paraId="4EF913E4" w14:textId="77777777" w:rsidR="008F4D8E" w:rsidRPr="003B7BFE" w:rsidRDefault="008F4D8E" w:rsidP="008F4D8E">
      <w:pPr>
        <w:pStyle w:val="Prrafodelista"/>
        <w:spacing w:line="276" w:lineRule="auto"/>
        <w:ind w:left="567" w:right="567"/>
        <w:jc w:val="both"/>
        <w:rPr>
          <w:rFonts w:ascii="Palatino Linotype" w:hAnsi="Palatino Linotype"/>
          <w:i/>
          <w:sz w:val="22"/>
        </w:rPr>
      </w:pPr>
    </w:p>
    <w:p w14:paraId="447CEBD1" w14:textId="77777777" w:rsidR="008F4D8E" w:rsidRPr="003B7BFE" w:rsidRDefault="008F4D8E" w:rsidP="008F4D8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w:t>
      </w:r>
      <w:r w:rsidRPr="003B7BFE">
        <w:rPr>
          <w:rFonts w:ascii="Palatino Linotype" w:hAnsi="Palatino Linotype"/>
          <w:i/>
          <w:sz w:val="22"/>
        </w:rPr>
        <w:lastRenderedPageBreak/>
        <w:t>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4"/>
      </w:r>
    </w:p>
    <w:p w14:paraId="076F908A"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077B9922" w14:textId="5E08A8EA" w:rsidR="008C28BF" w:rsidRPr="009A7F61"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r w:rsidR="008C28BF">
        <w:rPr>
          <w:rFonts w:ascii="Palatino Linotype" w:hAnsi="Palatino Linotype" w:cs="Arial"/>
          <w:color w:val="000000" w:themeColor="text1"/>
        </w:rPr>
        <w:t xml:space="preserve"> </w:t>
      </w:r>
    </w:p>
    <w:p w14:paraId="13E02A85" w14:textId="77777777" w:rsidR="00360789" w:rsidRPr="00360789" w:rsidRDefault="00360789" w:rsidP="00360789">
      <w:pPr>
        <w:pStyle w:val="Prrafodelista"/>
        <w:tabs>
          <w:tab w:val="left" w:pos="426"/>
        </w:tabs>
        <w:spacing w:line="360" w:lineRule="auto"/>
        <w:ind w:left="0"/>
        <w:jc w:val="both"/>
        <w:rPr>
          <w:rFonts w:ascii="Palatino Linotype" w:hAnsi="Palatino Linotype"/>
          <w:color w:val="000000" w:themeColor="text1"/>
        </w:rPr>
      </w:pPr>
    </w:p>
    <w:p w14:paraId="713C69FA" w14:textId="174BD56F" w:rsidR="00AE1CCB" w:rsidRPr="004D5BA4" w:rsidRDefault="00213D85"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Pr>
          <w:rFonts w:ascii="Palatino Linotype" w:eastAsia="Times New Roman" w:hAnsi="Palatino Linotype" w:cs="Arial"/>
          <w:color w:val="000000" w:themeColor="text1"/>
        </w:rPr>
        <w:t>F</w:t>
      </w:r>
      <w:r w:rsidR="00795FC5">
        <w:rPr>
          <w:rFonts w:ascii="Palatino Linotype" w:eastAsia="Times New Roman" w:hAnsi="Palatino Linotype" w:cs="Arial"/>
          <w:color w:val="000000" w:themeColor="text1"/>
        </w:rPr>
        <w:t xml:space="preserve">inalmente, el </w:t>
      </w:r>
      <w:r w:rsidR="00E01A81">
        <w:rPr>
          <w:rFonts w:ascii="Palatino Linotype" w:eastAsia="Times New Roman" w:hAnsi="Palatino Linotype" w:cs="Arial"/>
          <w:color w:val="000000" w:themeColor="text1"/>
        </w:rPr>
        <w:t>dieciocho (18) de mayo</w:t>
      </w:r>
      <w:r w:rsidR="00360789">
        <w:rPr>
          <w:rFonts w:ascii="Palatino Linotype" w:eastAsia="Times New Roman" w:hAnsi="Palatino Linotype" w:cs="Arial"/>
          <w:color w:val="000000" w:themeColor="text1"/>
        </w:rPr>
        <w:t xml:space="preserve"> </w:t>
      </w:r>
      <w:r w:rsidR="007E72D5">
        <w:rPr>
          <w:rFonts w:ascii="Palatino Linotype" w:eastAsia="Times New Roman" w:hAnsi="Palatino Linotype" w:cs="Arial"/>
          <w:color w:val="000000" w:themeColor="text1"/>
        </w:rPr>
        <w:t>de dos mil veintitrés</w:t>
      </w:r>
      <w:r w:rsidR="001E0672" w:rsidRPr="004D5BA4">
        <w:rPr>
          <w:rFonts w:ascii="Palatino Linotype" w:eastAsia="Times New Roman" w:hAnsi="Palatino Linotype" w:cs="Arial"/>
          <w:color w:val="000000" w:themeColor="text1"/>
        </w:rPr>
        <w:t xml:space="preserve">, </w:t>
      </w:r>
      <w:r w:rsidR="00AE1CCB" w:rsidRPr="004D5BA4">
        <w:rPr>
          <w:rFonts w:ascii="Palatino Linotype" w:hAnsi="Palatino Linotype" w:cs="Arial"/>
          <w:color w:val="000000" w:themeColor="text1"/>
        </w:rPr>
        <w:t xml:space="preserve">la Comisionada Ponente decretó el cierre del periodo de instrucción, por lo que ordenó turnar </w:t>
      </w:r>
      <w:r w:rsidR="008A7F1F">
        <w:rPr>
          <w:rFonts w:ascii="Palatino Linotype" w:hAnsi="Palatino Linotype" w:cs="Arial"/>
          <w:color w:val="000000" w:themeColor="text1"/>
        </w:rPr>
        <w:t>el expediente</w:t>
      </w:r>
      <w:r w:rsidR="004D5BA4">
        <w:rPr>
          <w:rFonts w:ascii="Palatino Linotype" w:hAnsi="Palatino Linotype" w:cs="Arial"/>
          <w:color w:val="000000" w:themeColor="text1"/>
        </w:rPr>
        <w:t xml:space="preserve"> </w:t>
      </w:r>
      <w:r w:rsidR="00AE1CCB" w:rsidRPr="004D5BA4">
        <w:rPr>
          <w:rFonts w:ascii="Palatino Linotype" w:hAnsi="Palatino Linotype" w:cs="Arial"/>
          <w:color w:val="000000" w:themeColor="text1"/>
        </w:rPr>
        <w:t>para su resolució</w:t>
      </w:r>
      <w:r w:rsidR="009A7F61">
        <w:rPr>
          <w:rFonts w:ascii="Palatino Linotype" w:hAnsi="Palatino Linotype" w:cs="Arial"/>
          <w:color w:val="000000" w:themeColor="text1"/>
        </w:rPr>
        <w:t>n, misma que ahora se pronuncia; y ------------------------</w:t>
      </w:r>
    </w:p>
    <w:p w14:paraId="35BA85D8" w14:textId="77777777" w:rsidR="00AE1CCB" w:rsidRPr="008965EF"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922B81" w:rsidRDefault="007C0013" w:rsidP="00B31E90">
      <w:pPr>
        <w:pStyle w:val="Ttulo1"/>
        <w:spacing w:before="0"/>
        <w:jc w:val="center"/>
        <w:rPr>
          <w:b/>
          <w:color w:val="000000" w:themeColor="text1"/>
          <w:lang w:val="pt-PT"/>
        </w:rPr>
      </w:pPr>
      <w:bookmarkStart w:id="6" w:name="_Toc88071777"/>
      <w:r w:rsidRPr="00922B81">
        <w:rPr>
          <w:b/>
          <w:color w:val="000000" w:themeColor="text1"/>
          <w:lang w:val="pt-PT"/>
        </w:rPr>
        <w:t>C</w:t>
      </w:r>
      <w:r w:rsidR="00EE696E" w:rsidRPr="00922B81">
        <w:rPr>
          <w:b/>
          <w:color w:val="000000" w:themeColor="text1"/>
          <w:lang w:val="pt-PT"/>
        </w:rPr>
        <w:t xml:space="preserve"> </w:t>
      </w:r>
      <w:r w:rsidRPr="00922B81">
        <w:rPr>
          <w:b/>
          <w:color w:val="000000" w:themeColor="text1"/>
          <w:lang w:val="pt-PT"/>
        </w:rPr>
        <w:t>O</w:t>
      </w:r>
      <w:r w:rsidR="00EE696E" w:rsidRPr="00922B81">
        <w:rPr>
          <w:b/>
          <w:color w:val="000000" w:themeColor="text1"/>
          <w:lang w:val="pt-PT"/>
        </w:rPr>
        <w:t xml:space="preserve"> </w:t>
      </w:r>
      <w:r w:rsidRPr="00922B81">
        <w:rPr>
          <w:b/>
          <w:color w:val="000000" w:themeColor="text1"/>
          <w:lang w:val="pt-PT"/>
        </w:rPr>
        <w:t>N</w:t>
      </w:r>
      <w:r w:rsidR="00EE696E" w:rsidRPr="00922B81">
        <w:rPr>
          <w:b/>
          <w:color w:val="000000" w:themeColor="text1"/>
          <w:lang w:val="pt-PT"/>
        </w:rPr>
        <w:t xml:space="preserve"> </w:t>
      </w:r>
      <w:r w:rsidRPr="00922B81">
        <w:rPr>
          <w:b/>
          <w:color w:val="000000" w:themeColor="text1"/>
          <w:lang w:val="pt-PT"/>
        </w:rPr>
        <w:t>S</w:t>
      </w:r>
      <w:r w:rsidR="00EE696E" w:rsidRPr="00922B81">
        <w:rPr>
          <w:b/>
          <w:color w:val="000000" w:themeColor="text1"/>
          <w:lang w:val="pt-PT"/>
        </w:rPr>
        <w:t xml:space="preserve"> </w:t>
      </w:r>
      <w:r w:rsidRPr="00922B81">
        <w:rPr>
          <w:b/>
          <w:color w:val="000000" w:themeColor="text1"/>
          <w:lang w:val="pt-PT"/>
        </w:rPr>
        <w:t>I</w:t>
      </w:r>
      <w:r w:rsidR="00EE696E" w:rsidRPr="00922B81">
        <w:rPr>
          <w:b/>
          <w:color w:val="000000" w:themeColor="text1"/>
          <w:lang w:val="pt-PT"/>
        </w:rPr>
        <w:t xml:space="preserve"> </w:t>
      </w:r>
      <w:r w:rsidRPr="00922B81">
        <w:rPr>
          <w:b/>
          <w:color w:val="000000" w:themeColor="text1"/>
          <w:lang w:val="pt-PT"/>
        </w:rPr>
        <w:t>D</w:t>
      </w:r>
      <w:r w:rsidR="00EE696E" w:rsidRPr="00922B81">
        <w:rPr>
          <w:b/>
          <w:color w:val="000000" w:themeColor="text1"/>
          <w:lang w:val="pt-PT"/>
        </w:rPr>
        <w:t xml:space="preserve"> </w:t>
      </w:r>
      <w:r w:rsidRPr="00922B81">
        <w:rPr>
          <w:b/>
          <w:color w:val="000000" w:themeColor="text1"/>
          <w:lang w:val="pt-PT"/>
        </w:rPr>
        <w:t>E</w:t>
      </w:r>
      <w:r w:rsidR="00EE696E" w:rsidRPr="00922B81">
        <w:rPr>
          <w:b/>
          <w:color w:val="000000" w:themeColor="text1"/>
          <w:lang w:val="pt-PT"/>
        </w:rPr>
        <w:t xml:space="preserve"> </w:t>
      </w:r>
      <w:r w:rsidRPr="00922B81">
        <w:rPr>
          <w:b/>
          <w:color w:val="000000" w:themeColor="text1"/>
          <w:lang w:val="pt-PT"/>
        </w:rPr>
        <w:t>R</w:t>
      </w:r>
      <w:r w:rsidR="00EE696E" w:rsidRPr="00922B81">
        <w:rPr>
          <w:b/>
          <w:color w:val="000000" w:themeColor="text1"/>
          <w:lang w:val="pt-PT"/>
        </w:rPr>
        <w:t xml:space="preserve"> </w:t>
      </w:r>
      <w:r w:rsidRPr="00922B81">
        <w:rPr>
          <w:b/>
          <w:color w:val="000000" w:themeColor="text1"/>
          <w:lang w:val="pt-PT"/>
        </w:rPr>
        <w:t>A</w:t>
      </w:r>
      <w:r w:rsidR="00EE696E" w:rsidRPr="00922B81">
        <w:rPr>
          <w:b/>
          <w:color w:val="000000" w:themeColor="text1"/>
          <w:lang w:val="pt-PT"/>
        </w:rPr>
        <w:t xml:space="preserve"> </w:t>
      </w:r>
      <w:r w:rsidRPr="00922B81">
        <w:rPr>
          <w:b/>
          <w:color w:val="000000" w:themeColor="text1"/>
          <w:lang w:val="pt-PT"/>
        </w:rPr>
        <w:t>N</w:t>
      </w:r>
      <w:r w:rsidR="00EE696E" w:rsidRPr="00922B81">
        <w:rPr>
          <w:b/>
          <w:color w:val="000000" w:themeColor="text1"/>
          <w:lang w:val="pt-PT"/>
        </w:rPr>
        <w:t xml:space="preserve"> </w:t>
      </w:r>
      <w:r w:rsidRPr="00922B81">
        <w:rPr>
          <w:b/>
          <w:color w:val="000000" w:themeColor="text1"/>
          <w:lang w:val="pt-PT"/>
        </w:rPr>
        <w:t>D</w:t>
      </w:r>
      <w:r w:rsidR="00EE696E" w:rsidRPr="00922B81">
        <w:rPr>
          <w:b/>
          <w:color w:val="000000" w:themeColor="text1"/>
          <w:lang w:val="pt-PT"/>
        </w:rPr>
        <w:t xml:space="preserve"> </w:t>
      </w:r>
      <w:r w:rsidRPr="00922B81">
        <w:rPr>
          <w:b/>
          <w:color w:val="000000" w:themeColor="text1"/>
          <w:lang w:val="pt-PT"/>
        </w:rPr>
        <w:t>O</w:t>
      </w:r>
      <w:bookmarkEnd w:id="4"/>
      <w:bookmarkEnd w:id="5"/>
      <w:bookmarkEnd w:id="6"/>
    </w:p>
    <w:p w14:paraId="435CF9A4" w14:textId="77777777" w:rsidR="00FC1DA7" w:rsidRPr="00922B81" w:rsidRDefault="00FC1DA7" w:rsidP="00B31E90">
      <w:pPr>
        <w:rPr>
          <w:color w:val="000000" w:themeColor="text1"/>
          <w:lang w:val="pt-PT"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39A7655D"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064A70" w:rsidRPr="000E0AF9">
        <w:rPr>
          <w:rFonts w:ascii="Palatino Linotype" w:eastAsia="Calibri" w:hAnsi="Palatino Linotype" w:cs="Times New Roman"/>
          <w:color w:val="000000" w:themeColor="text1"/>
        </w:rPr>
        <w:t xml:space="preserve">Instituto de Transparencia, Acceso a la Información Pública y Protección de Datos Personales del Estado de México, es competente para conocer y resolver el presente recurso de revisión interpuesto por el Recurrente conforme a lo dispuesto </w:t>
      </w:r>
      <w:r w:rsidR="00064A70" w:rsidRPr="000E0AF9">
        <w:rPr>
          <w:rFonts w:ascii="Palatino Linotype" w:eastAsia="Calibri" w:hAnsi="Palatino Linotype" w:cs="Times New Roman"/>
          <w:color w:val="000000" w:themeColor="text1"/>
        </w:rPr>
        <w:lastRenderedPageBreak/>
        <w:t>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064A70">
        <w:rPr>
          <w:rFonts w:ascii="Palatino Linotype" w:eastAsia="Calibri" w:hAnsi="Palatino Linotype" w:cs="Times New Roman"/>
          <w:color w:val="000000" w:themeColor="text1"/>
        </w:rPr>
        <w:t>.</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1DAE4B2B" w14:textId="7D51FB4D" w:rsidR="008A7F1F" w:rsidRPr="00EA49F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w:t>
      </w:r>
      <w:r w:rsidR="00246318">
        <w:rPr>
          <w:rFonts w:ascii="Palatino Linotype" w:eastAsia="Calibri" w:hAnsi="Palatino Linotype" w:cs="Arial"/>
          <w:lang w:val="es-ES_tradnl"/>
        </w:rPr>
        <w:t>,</w:t>
      </w:r>
      <w:r w:rsidRPr="00EA49FC">
        <w:rPr>
          <w:rFonts w:ascii="Palatino Linotype" w:eastAsia="Calibri" w:hAnsi="Palatino Linotype" w:cs="Arial"/>
          <w:lang w:val="es-ES_tradnl"/>
        </w:rPr>
        <w:t xml:space="preserve">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sidR="00A468FE">
        <w:rPr>
          <w:rFonts w:ascii="Palatino Linotype" w:eastAsia="Calibri" w:hAnsi="Palatino Linotype" w:cs="Arial"/>
          <w:lang w:val="es-ES_tradnl"/>
        </w:rPr>
        <w:t>treinta (30) de junio</w:t>
      </w:r>
      <w:r w:rsidR="0088416D">
        <w:rPr>
          <w:rFonts w:ascii="Palatino Linotype" w:eastAsia="Calibri" w:hAnsi="Palatino Linotype" w:cs="Arial"/>
          <w:lang w:val="es-ES_tradnl"/>
        </w:rPr>
        <w:t xml:space="preserve"> de dos mil veintidós</w:t>
      </w:r>
      <w:r w:rsidRPr="00EA49FC">
        <w:rPr>
          <w:rFonts w:ascii="Palatino Linotype" w:eastAsia="Calibri" w:hAnsi="Palatino Linotype" w:cs="Arial"/>
        </w:rPr>
        <w:t xml:space="preserve">, el plazo para interponer el recurso de revisión trascurrió del </w:t>
      </w:r>
      <w:r w:rsidR="00A468FE">
        <w:rPr>
          <w:rFonts w:ascii="Palatino Linotype" w:eastAsia="Calibri" w:hAnsi="Palatino Linotype" w:cs="Arial"/>
        </w:rPr>
        <w:t>uno (01) de julio al cuatro (04) de agosto</w:t>
      </w:r>
      <w:r w:rsidR="00740D91">
        <w:rPr>
          <w:rFonts w:ascii="Palatino Linotype" w:eastAsia="Calibri" w:hAnsi="Palatino Linotype" w:cs="Arial"/>
        </w:rPr>
        <w:t xml:space="preserve"> de dos mil veintidós</w:t>
      </w:r>
      <w:r w:rsidRPr="00EA49FC">
        <w:rPr>
          <w:rFonts w:ascii="Palatino Linotype" w:eastAsia="Calibri" w:hAnsi="Palatino Linotype" w:cs="Arial"/>
        </w:rPr>
        <w:t xml:space="preserve">; sin contemplar en el cómputo los </w:t>
      </w:r>
      <w:r w:rsidR="007E72D5">
        <w:rPr>
          <w:rFonts w:ascii="Palatino Linotype" w:eastAsia="Calibri" w:hAnsi="Palatino Linotype" w:cs="Arial"/>
        </w:rPr>
        <w:t>sábado</w:t>
      </w:r>
      <w:r w:rsidR="00093A7F">
        <w:rPr>
          <w:rFonts w:ascii="Palatino Linotype" w:eastAsia="Calibri" w:hAnsi="Palatino Linotype" w:cs="Arial"/>
        </w:rPr>
        <w:t>s</w:t>
      </w:r>
      <w:r w:rsidR="00246318">
        <w:rPr>
          <w:rFonts w:ascii="Palatino Linotype" w:eastAsia="Calibri" w:hAnsi="Palatino Linotype" w:cs="Arial"/>
        </w:rPr>
        <w:t>,</w:t>
      </w:r>
      <w:r w:rsidR="00BF22B8">
        <w:rPr>
          <w:rFonts w:ascii="Palatino Linotype" w:eastAsia="Calibri" w:hAnsi="Palatino Linotype" w:cs="Arial"/>
        </w:rPr>
        <w:t xml:space="preserve"> </w:t>
      </w:r>
      <w:r w:rsidR="007E72D5">
        <w:rPr>
          <w:rFonts w:ascii="Palatino Linotype" w:eastAsia="Calibri" w:hAnsi="Palatino Linotype" w:cs="Arial"/>
        </w:rPr>
        <w:t>domingos</w:t>
      </w:r>
      <w:r w:rsidR="00246318">
        <w:rPr>
          <w:rFonts w:ascii="Palatino Linotype" w:eastAsia="Calibri" w:hAnsi="Palatino Linotype" w:cs="Arial"/>
        </w:rPr>
        <w:t xml:space="preserve"> y días inhábiles</w:t>
      </w:r>
      <w:r w:rsidR="003A2CF7">
        <w:rPr>
          <w:rFonts w:ascii="Palatino Linotype" w:eastAsia="Calibri" w:hAnsi="Palatino Linotype" w:cs="Arial"/>
        </w:rPr>
        <w:t>,</w:t>
      </w:r>
      <w:r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1F1AF990" w14:textId="18A59874" w:rsidR="00246318" w:rsidRPr="00740D91" w:rsidRDefault="00740D91" w:rsidP="00740D91">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Luego entonces, si el presente recurso de revisión se presentó el uno (01) de agosto de dos mil veintidós, éste se encuentra dentro del término legal establecido por </w:t>
      </w:r>
      <w:r w:rsidR="004E54DE">
        <w:rPr>
          <w:rFonts w:ascii="Palatino Linotype" w:eastAsia="Calibri" w:hAnsi="Palatino Linotype" w:cs="Arial"/>
        </w:rPr>
        <w:t>el artículo 178 de la Ley de la materia.</w:t>
      </w:r>
    </w:p>
    <w:p w14:paraId="56C551C5" w14:textId="77777777" w:rsidR="00740D91" w:rsidRPr="009F0467" w:rsidRDefault="00740D91" w:rsidP="00740D9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8E4DEE1" w14:textId="42A03490"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 xml:space="preserve">otro lado, de la revisión al expediente electrónico contenido en el </w:t>
      </w:r>
      <w:r>
        <w:rPr>
          <w:rFonts w:ascii="Palatino Linotype" w:hAnsi="Palatino Linotype" w:cs="Arial"/>
          <w:color w:val="000000" w:themeColor="text1"/>
          <w:lang w:val="es-ES"/>
        </w:rPr>
        <w:t>SAIMEX</w:t>
      </w:r>
      <w:r w:rsidRPr="009F0467">
        <w:rPr>
          <w:rFonts w:ascii="Palatino Linotype" w:hAnsi="Palatino Linotype" w:cs="Arial"/>
          <w:b/>
          <w:color w:val="000000" w:themeColor="text1"/>
          <w:lang w:val="es-ES"/>
        </w:rPr>
        <w:t>,</w:t>
      </w:r>
      <w:r w:rsidRPr="009F0467">
        <w:rPr>
          <w:rFonts w:ascii="Palatino Linotype" w:hAnsi="Palatino Linotype" w:cs="Arial"/>
          <w:color w:val="000000" w:themeColor="text1"/>
          <w:lang w:val="es-ES"/>
        </w:rPr>
        <w:t xml:space="preserve"> se desprende que la parte solicitante, en ejercicio de su derecho de acceso a la </w:t>
      </w:r>
      <w:r w:rsidRPr="009F0467">
        <w:rPr>
          <w:rFonts w:ascii="Palatino Linotype" w:hAnsi="Palatino Linotype" w:cs="Arial"/>
          <w:color w:val="000000" w:themeColor="text1"/>
          <w:lang w:val="es-ES"/>
        </w:rPr>
        <w:lastRenderedPageBreak/>
        <w:t xml:space="preserve">información pública en </w:t>
      </w:r>
      <w:r>
        <w:rPr>
          <w:rFonts w:ascii="Palatino Linotype" w:hAnsi="Palatino Linotype" w:cs="Arial"/>
          <w:color w:val="000000" w:themeColor="text1"/>
          <w:lang w:val="es-ES"/>
        </w:rPr>
        <w:t>los</w:t>
      </w:r>
      <w:r w:rsidRPr="009F0467">
        <w:rPr>
          <w:rFonts w:ascii="Palatino Linotype" w:hAnsi="Palatino Linotype" w:cs="Arial"/>
          <w:color w:val="000000" w:themeColor="text1"/>
          <w:lang w:val="es-ES"/>
        </w:rPr>
        <w:t xml:space="preserve"> expediente</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que se revisa</w:t>
      </w:r>
      <w:r>
        <w:rPr>
          <w:rFonts w:ascii="Palatino Linotype" w:hAnsi="Palatino Linotype" w:cs="Arial"/>
          <w:color w:val="000000" w:themeColor="text1"/>
          <w:lang w:val="es-ES"/>
        </w:rPr>
        <w:t>n</w:t>
      </w:r>
      <w:r w:rsidRPr="009F0467">
        <w:rPr>
          <w:rFonts w:ascii="Palatino Linotype" w:hAnsi="Palatino Linotype" w:cs="Arial"/>
          <w:color w:val="000000" w:themeColor="text1"/>
          <w:lang w:val="es-ES"/>
        </w:rPr>
        <w:t>, tanto en la</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solicitud</w:t>
      </w:r>
      <w:r>
        <w:rPr>
          <w:rFonts w:ascii="Palatino Linotype" w:hAnsi="Palatino Linotype" w:cs="Arial"/>
          <w:color w:val="000000" w:themeColor="text1"/>
          <w:lang w:val="es-ES"/>
        </w:rPr>
        <w:t>es</w:t>
      </w:r>
      <w:r w:rsidRPr="009F0467">
        <w:rPr>
          <w:rFonts w:ascii="Palatino Linotype" w:hAnsi="Palatino Linotype" w:cs="Arial"/>
          <w:color w:val="000000" w:themeColor="text1"/>
          <w:lang w:val="es-ES"/>
        </w:rPr>
        <w:t xml:space="preserve"> de información como en l</w:t>
      </w:r>
      <w:r>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recurso</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de revisión, </w:t>
      </w:r>
      <w:r w:rsidRPr="009F0467">
        <w:rPr>
          <w:rFonts w:ascii="Palatino Linotype" w:hAnsi="Palatino Linotype" w:cs="Arial"/>
          <w:b/>
          <w:color w:val="000000" w:themeColor="text1"/>
          <w:lang w:val="es-ES"/>
        </w:rPr>
        <w:t xml:space="preserve">no </w:t>
      </w:r>
      <w:r w:rsidR="00A468FE">
        <w:rPr>
          <w:rFonts w:ascii="Palatino Linotype" w:hAnsi="Palatino Linotype" w:cs="Arial"/>
          <w:b/>
          <w:color w:val="000000" w:themeColor="text1"/>
          <w:lang w:val="es-ES"/>
        </w:rPr>
        <w:t>señaló su nombre</w:t>
      </w:r>
      <w:r w:rsidRPr="009F0467">
        <w:rPr>
          <w:rFonts w:ascii="Palatino Linotype" w:hAnsi="Palatino Linotype" w:cs="Arial"/>
          <w:b/>
          <w:color w:val="000000" w:themeColor="text1"/>
          <w:lang w:val="es-ES"/>
        </w:rPr>
        <w:t>,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F474836"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AA1DBA"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54347CF"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1267E82"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F43C60">
        <w:rPr>
          <w:rFonts w:ascii="Palatino Linotype" w:eastAsia="Times New Roman" w:hAnsi="Palatino Linotype" w:cs="Arial"/>
          <w:color w:val="000000" w:themeColor="text1"/>
          <w:lang w:val="es-ES" w:eastAsia="es-MX"/>
        </w:rPr>
        <w:lastRenderedPageBreak/>
        <w:t>pueda ser anónima o no contener un nombre que identifique al Solicitante o que permita tener certeza sobre su identidad.</w:t>
      </w:r>
    </w:p>
    <w:p w14:paraId="3CCFFE72"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2611E41"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2D26374"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bookmarkStart w:id="13" w:name="_GoBack"/>
      <w:bookmarkEnd w:id="13"/>
    </w:p>
    <w:p w14:paraId="4C3E29B0"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7D228E5"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2255EE2" w:rsidR="00740BA4" w:rsidRPr="00413DF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w:t>
      </w:r>
      <w:r>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que nos ocupa, ya que el acceso a la información no está condicionado a acreditar algún interés</w:t>
      </w:r>
      <w:r>
        <w:rPr>
          <w:rFonts w:ascii="Palatino Linotype" w:eastAsia="Times New Roman" w:hAnsi="Palatino Linotype" w:cs="Arial"/>
          <w:color w:val="000000" w:themeColor="text1"/>
          <w:lang w:val="es-ES" w:eastAsia="es-MX"/>
        </w:rPr>
        <w:t>,</w:t>
      </w:r>
      <w:r w:rsidRPr="00F43C60">
        <w:rPr>
          <w:rFonts w:ascii="Palatino Linotype" w:eastAsia="Times New Roman" w:hAnsi="Palatino Linotype" w:cs="Arial"/>
          <w:color w:val="000000" w:themeColor="text1"/>
          <w:lang w:val="es-ES" w:eastAsia="es-MX"/>
        </w:rPr>
        <w:t xml:space="preserve"> ya sea jurídico o legítimo, máxime que es un elemento subsanable por este Órgano Resolutor.</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4" w:name="_Toc88071780"/>
      <w:r>
        <w:rPr>
          <w:rFonts w:ascii="Palatino Linotype" w:hAnsi="Palatino Linotype"/>
          <w:b/>
          <w:color w:val="000000" w:themeColor="text1"/>
        </w:rPr>
        <w:lastRenderedPageBreak/>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4"/>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3B3B5A1" w14:textId="6492CB45" w:rsidR="00635424" w:rsidRDefault="002F0EB7"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5" w:name="_Toc459174366"/>
      <w:bookmarkStart w:id="16" w:name="_Toc459659884"/>
      <w:bookmarkStart w:id="17" w:name="_Toc461687280"/>
      <w:bookmarkStart w:id="18" w:name="_Toc462771051"/>
      <w:bookmarkStart w:id="19" w:name="_Toc464139201"/>
      <w:r>
        <w:rPr>
          <w:rFonts w:ascii="Palatino Linotype" w:hAnsi="Palatino Linotype" w:cs="Arial"/>
          <w:color w:val="000000" w:themeColor="text1"/>
        </w:rPr>
        <w:t>Se</w:t>
      </w:r>
      <w:r w:rsidR="00552B8E">
        <w:rPr>
          <w:rFonts w:ascii="Palatino Linotype" w:hAnsi="Palatino Linotype" w:cs="Arial"/>
          <w:color w:val="000000" w:themeColor="text1"/>
        </w:rPr>
        <w:t xml:space="preserve"> </w:t>
      </w:r>
      <w:r w:rsidR="00A468FE">
        <w:rPr>
          <w:rFonts w:ascii="Palatino Linotype" w:hAnsi="Palatino Linotype" w:cs="Arial"/>
          <w:color w:val="000000" w:themeColor="text1"/>
        </w:rPr>
        <w:t>requieron los documentos que muestren los procedimientos de responsabilidades administrativas abiertos por el Órgano Interno de Control, del uno (01) de enero de dos mil dieciocho al treinta y uno (31) de mayo de dos mil veintiuno, así como una relación de las sanciones impuestas, el tipo de sanción indicando el tiempo de inhabilitación o monto de la sanción económica de ser el caso, y el nombre de los responsables.</w:t>
      </w:r>
    </w:p>
    <w:p w14:paraId="6BE1E98B" w14:textId="77777777" w:rsidR="00A468FE" w:rsidRDefault="00A468FE" w:rsidP="00A468FE">
      <w:pPr>
        <w:pStyle w:val="Prrafodelista"/>
        <w:tabs>
          <w:tab w:val="left" w:pos="426"/>
        </w:tabs>
        <w:spacing w:line="360" w:lineRule="auto"/>
        <w:ind w:left="0" w:right="49"/>
        <w:jc w:val="both"/>
        <w:rPr>
          <w:rFonts w:ascii="Palatino Linotype" w:hAnsi="Palatino Linotype" w:cs="Arial"/>
          <w:color w:val="000000" w:themeColor="text1"/>
        </w:rPr>
      </w:pPr>
    </w:p>
    <w:p w14:paraId="324F0CC3" w14:textId="2F1370CA" w:rsidR="00A468FE" w:rsidRDefault="00A468F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entregó un oficio suscrito por el Titular de la Contraloría Interna Municipal, por medio del cual, manifestó adjuntar la información solicitada</w:t>
      </w:r>
      <w:r w:rsidR="00987589">
        <w:rPr>
          <w:rFonts w:ascii="Palatino Linotype" w:hAnsi="Palatino Linotype" w:cs="Arial"/>
          <w:color w:val="000000" w:themeColor="text1"/>
        </w:rPr>
        <w:t xml:space="preserve">; sin embargo, el documento no fue acompañado por ningún anexo o archivo adicional. </w:t>
      </w:r>
    </w:p>
    <w:p w14:paraId="54C012CA" w14:textId="77777777" w:rsidR="00635424"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59156E16" w:rsidR="00117D31" w:rsidRDefault="00A11EAC"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El</w:t>
      </w:r>
      <w:r w:rsidR="008C28BF">
        <w:rPr>
          <w:rFonts w:ascii="Palatino Linotype" w:hAnsi="Palatino Linotype" w:cs="Arial"/>
          <w:color w:val="000000" w:themeColor="text1"/>
        </w:rPr>
        <w:t xml:space="preserve"> particular</w:t>
      </w:r>
      <w:r w:rsidR="00117D31">
        <w:rPr>
          <w:rFonts w:ascii="Palatino Linotype" w:hAnsi="Palatino Linotype" w:cs="Arial"/>
          <w:color w:val="000000" w:themeColor="text1"/>
        </w:rPr>
        <w:t xml:space="preserve"> impugnó la respuesta del </w:t>
      </w:r>
      <w:r w:rsidR="00117D31">
        <w:rPr>
          <w:rFonts w:ascii="Palatino Linotype" w:hAnsi="Palatino Linotype" w:cs="Arial"/>
          <w:b/>
          <w:bCs/>
          <w:color w:val="000000" w:themeColor="text1"/>
        </w:rPr>
        <w:t>SUJETO OBLIGADO</w:t>
      </w:r>
      <w:r w:rsidR="00117D31">
        <w:rPr>
          <w:rFonts w:ascii="Palatino Linotype" w:hAnsi="Palatino Linotype" w:cs="Arial"/>
          <w:color w:val="000000" w:themeColor="text1"/>
        </w:rPr>
        <w:t>, mediante el recurso de revisión con número indicado al rubro, y en el que señaló</w:t>
      </w:r>
      <w:r w:rsidR="008472A9">
        <w:rPr>
          <w:rFonts w:ascii="Palatino Linotype" w:hAnsi="Palatino Linotype" w:cs="Arial"/>
          <w:color w:val="000000" w:themeColor="text1"/>
        </w:rPr>
        <w:t xml:space="preserve"> por agravios, </w:t>
      </w:r>
      <w:r w:rsidR="00987589">
        <w:rPr>
          <w:rFonts w:ascii="Palatino Linotype" w:hAnsi="Palatino Linotype" w:cs="Arial"/>
          <w:color w:val="000000" w:themeColor="text1"/>
        </w:rPr>
        <w:t>la omisión en la entrega de cualquier tipo de información</w:t>
      </w:r>
      <w:r w:rsidR="00DA0B95">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760C2DF"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w:t>
      </w:r>
      <w:r w:rsidR="00650C79">
        <w:rPr>
          <w:rFonts w:ascii="Palatino Linotype" w:hAnsi="Palatino Linotype" w:cs="Arial"/>
          <w:color w:val="000000" w:themeColor="text1"/>
        </w:rPr>
        <w:t>el</w:t>
      </w:r>
      <w:r w:rsidR="002E160F" w:rsidRPr="0056788F">
        <w:rPr>
          <w:rFonts w:ascii="Palatino Linotype" w:hAnsi="Palatino Linotype" w:cs="Arial"/>
          <w:color w:val="000000" w:themeColor="text1"/>
        </w:rPr>
        <w:t xml:space="preserve">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w:t>
      </w:r>
      <w:r w:rsidR="006D57BE">
        <w:rPr>
          <w:rFonts w:ascii="Palatino Linotype" w:hAnsi="Palatino Linotype" w:cs="Arial"/>
          <w:color w:val="000000" w:themeColor="text1"/>
        </w:rPr>
        <w:t>cumplió</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987589">
        <w:rPr>
          <w:rFonts w:ascii="Palatino Linotype" w:hAnsi="Palatino Linotype" w:cs="Arial"/>
          <w:b/>
          <w:color w:val="000000" w:themeColor="text1"/>
        </w:rPr>
        <w:t xml:space="preserve">accesible </w:t>
      </w:r>
      <w:r w:rsidR="00987589">
        <w:rPr>
          <w:rFonts w:ascii="Palatino Linotype" w:hAnsi="Palatino Linotype" w:cs="Arial"/>
          <w:bCs/>
          <w:color w:val="000000" w:themeColor="text1"/>
        </w:rPr>
        <w:t>y</w:t>
      </w:r>
      <w:r w:rsidR="00987589">
        <w:rPr>
          <w:rFonts w:ascii="Palatino Linotype" w:hAnsi="Palatino Linotype" w:cs="Arial"/>
          <w:b/>
          <w:color w:val="000000" w:themeColor="text1"/>
        </w:rPr>
        <w:t xml:space="preserve"> congruente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F9E87AC"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640B8E">
        <w:rPr>
          <w:rFonts w:ascii="Palatino Linotype" w:hAnsi="Palatino Linotype" w:cs="Arial"/>
          <w:color w:val="000000" w:themeColor="text1"/>
          <w:szCs w:val="23"/>
        </w:rPr>
        <w:t>,</w:t>
      </w:r>
      <w:r w:rsidR="0021056F">
        <w:rPr>
          <w:rFonts w:ascii="Palatino Linotype" w:hAnsi="Palatino Linotype" w:cs="Arial"/>
          <w:color w:val="000000" w:themeColor="text1"/>
          <w:szCs w:val="23"/>
        </w:rPr>
        <w:t xml:space="preserve"> </w:t>
      </w:r>
      <w:r w:rsidR="00D8537E">
        <w:rPr>
          <w:rFonts w:ascii="Palatino Linotype" w:hAnsi="Palatino Linotype" w:cs="Arial"/>
          <w:color w:val="000000" w:themeColor="text1"/>
          <w:szCs w:val="23"/>
        </w:rPr>
        <w:t>V</w:t>
      </w:r>
      <w:r w:rsidR="007D7B65">
        <w:rPr>
          <w:rFonts w:ascii="Palatino Linotype" w:hAnsi="Palatino Linotype" w:cs="Arial"/>
          <w:color w:val="000000" w:themeColor="text1"/>
          <w:szCs w:val="23"/>
        </w:rPr>
        <w:t>, y/o X</w:t>
      </w:r>
      <w:r w:rsidR="00987589">
        <w:rPr>
          <w:rFonts w:ascii="Palatino Linotype" w:hAnsi="Palatino Linotype" w:cs="Arial"/>
          <w:color w:val="000000" w:themeColor="text1"/>
          <w:szCs w:val="23"/>
        </w:rPr>
        <w:t>III</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0FA844DD" w14:textId="569F63AD" w:rsidR="004107D7"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r w:rsidR="004107D7">
        <w:rPr>
          <w:rFonts w:ascii="Palatino Linotype" w:hAnsi="Palatino Linotype"/>
          <w:i/>
          <w:color w:val="000000" w:themeColor="text1"/>
          <w:sz w:val="22"/>
        </w:rPr>
        <w:t>(…)</w:t>
      </w:r>
    </w:p>
    <w:p w14:paraId="1342794E" w14:textId="671E77F4" w:rsidR="00FD62D7" w:rsidRPr="00FD62D7" w:rsidRDefault="00FD62D7" w:rsidP="004170BE">
      <w:pPr>
        <w:pStyle w:val="Sinespaciado"/>
        <w:tabs>
          <w:tab w:val="left" w:pos="426"/>
        </w:tabs>
        <w:ind w:left="851" w:right="567"/>
        <w:jc w:val="both"/>
        <w:rPr>
          <w:rFonts w:ascii="Palatino Linotype" w:hAnsi="Palatino Linotype"/>
          <w:i/>
          <w:color w:val="000000" w:themeColor="text1"/>
          <w:sz w:val="22"/>
          <w:lang w:val="es-MX"/>
        </w:rPr>
      </w:pPr>
      <w:r w:rsidRPr="00FD62D7">
        <w:rPr>
          <w:rFonts w:ascii="Palatino Linotype" w:hAnsi="Palatino Linotype"/>
          <w:b/>
          <w:i/>
          <w:color w:val="000000" w:themeColor="text1"/>
          <w:sz w:val="22"/>
          <w:lang w:val="es-MX"/>
        </w:rPr>
        <w:t>V.</w:t>
      </w:r>
      <w:r w:rsidRPr="00FD62D7">
        <w:rPr>
          <w:rFonts w:ascii="Palatino Linotype" w:hAnsi="Palatino Linotype"/>
          <w:i/>
          <w:color w:val="000000" w:themeColor="text1"/>
          <w:sz w:val="22"/>
          <w:lang w:val="es-MX"/>
        </w:rPr>
        <w:t xml:space="preserve"> La entrega de información </w:t>
      </w:r>
      <w:r w:rsidR="00987589">
        <w:rPr>
          <w:rFonts w:ascii="Palatino Linotype" w:hAnsi="Palatino Linotype"/>
          <w:i/>
          <w:color w:val="000000" w:themeColor="text1"/>
          <w:sz w:val="22"/>
          <w:lang w:val="es-MX"/>
        </w:rPr>
        <w:t>incompleta</w:t>
      </w:r>
      <w:r w:rsidRPr="00FD62D7">
        <w:rPr>
          <w:rFonts w:ascii="Palatino Linotype" w:hAnsi="Palatino Linotype"/>
          <w:i/>
          <w:color w:val="000000" w:themeColor="text1"/>
          <w:sz w:val="22"/>
          <w:lang w:val="es-MX"/>
        </w:rPr>
        <w:t xml:space="preserve">; </w:t>
      </w:r>
    </w:p>
    <w:p w14:paraId="05C54D61" w14:textId="78346E03" w:rsidR="002D7AE2" w:rsidRDefault="004170BE" w:rsidP="004170BE">
      <w:pPr>
        <w:pStyle w:val="Sinespaciado"/>
        <w:tabs>
          <w:tab w:val="left" w:pos="426"/>
        </w:tabs>
        <w:ind w:left="851" w:right="567"/>
        <w:jc w:val="both"/>
        <w:rPr>
          <w:rFonts w:ascii="Palatino Linotype" w:hAnsi="Palatino Linotype"/>
          <w:bCs/>
          <w:i/>
          <w:color w:val="000000" w:themeColor="text1"/>
          <w:sz w:val="22"/>
        </w:rPr>
      </w:pPr>
      <w:r w:rsidRPr="002D7AE2">
        <w:rPr>
          <w:rFonts w:ascii="Palatino Linotype" w:hAnsi="Palatino Linotype"/>
          <w:bCs/>
          <w:i/>
          <w:color w:val="000000" w:themeColor="text1"/>
          <w:sz w:val="22"/>
        </w:rPr>
        <w:t>(...)</w:t>
      </w:r>
    </w:p>
    <w:p w14:paraId="563B7D67" w14:textId="2F83B70A" w:rsidR="002D7AE2" w:rsidRDefault="00987589" w:rsidP="00FD62D7">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i/>
          <w:color w:val="000000" w:themeColor="text1"/>
          <w:sz w:val="22"/>
        </w:rPr>
        <w:t>XIII</w:t>
      </w:r>
      <w:r w:rsidR="00EA37A0" w:rsidRPr="00EA37A0">
        <w:rPr>
          <w:rFonts w:ascii="Palatino Linotype" w:hAnsi="Palatino Linotype"/>
          <w:b/>
          <w:i/>
          <w:color w:val="000000" w:themeColor="text1"/>
          <w:sz w:val="22"/>
        </w:rPr>
        <w:t xml:space="preserve">. </w:t>
      </w:r>
      <w:r w:rsidR="00FD62D7" w:rsidRPr="00FD62D7">
        <w:rPr>
          <w:rFonts w:ascii="Palatino Linotype" w:hAnsi="Palatino Linotype"/>
          <w:bCs/>
          <w:i/>
          <w:color w:val="000000" w:themeColor="text1"/>
          <w:sz w:val="22"/>
        </w:rPr>
        <w:t>La</w:t>
      </w:r>
      <w:r>
        <w:rPr>
          <w:rFonts w:ascii="Palatino Linotype" w:hAnsi="Palatino Linotype"/>
          <w:bCs/>
          <w:i/>
          <w:color w:val="000000" w:themeColor="text1"/>
          <w:sz w:val="22"/>
        </w:rPr>
        <w:t xml:space="preserve"> f</w:t>
      </w:r>
      <w:r w:rsidRPr="00987589">
        <w:rPr>
          <w:rFonts w:ascii="Palatino Linotype" w:hAnsi="Palatino Linotype"/>
          <w:bCs/>
          <w:i/>
          <w:color w:val="000000" w:themeColor="text1"/>
          <w:sz w:val="22"/>
          <w:lang w:val="es-MX"/>
        </w:rPr>
        <w:t>alta, deficiencia o insuficiencia de la fundamentación y/o motivación en la respuesta; y</w:t>
      </w:r>
      <w:r w:rsidR="00FD62D7" w:rsidRPr="00FD62D7">
        <w:rPr>
          <w:rFonts w:ascii="Palatino Linotype" w:hAnsi="Palatino Linotype"/>
          <w:bCs/>
          <w:i/>
          <w:color w:val="000000" w:themeColor="text1"/>
          <w:sz w:val="22"/>
        </w:rPr>
        <w:t>;</w:t>
      </w:r>
    </w:p>
    <w:p w14:paraId="4FCA9B3F" w14:textId="2CEF1B9E" w:rsidR="00515DEC" w:rsidRPr="002D7AE2" w:rsidRDefault="002D7AE2"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r w:rsidR="007D7B65" w:rsidRPr="002D7AE2">
        <w:rPr>
          <w:rFonts w:ascii="Palatino Linotype" w:hAnsi="Palatino Linotype"/>
          <w:bCs/>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20"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0"/>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1" w:name="_Toc466371865"/>
      <w:bookmarkStart w:id="22" w:name="_Toc466377653"/>
      <w:bookmarkEnd w:id="15"/>
      <w:bookmarkEnd w:id="16"/>
      <w:bookmarkEnd w:id="17"/>
      <w:bookmarkEnd w:id="18"/>
      <w:bookmarkEnd w:id="19"/>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3"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3"/>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10CC1641"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w:t>
      </w:r>
      <w:r w:rsidR="00E64F65" w:rsidRPr="008C33F9">
        <w:rPr>
          <w:rFonts w:ascii="Palatino Linotype" w:hAnsi="Palatino Linotype"/>
          <w:bCs/>
          <w:lang w:val="es-ES_tradnl"/>
        </w:rPr>
        <w:t>del</w:t>
      </w:r>
      <w:r w:rsidR="008C28BF">
        <w:rPr>
          <w:rFonts w:ascii="Palatino Linotype" w:hAnsi="Palatino Linotype"/>
          <w:bCs/>
          <w:lang w:val="es-ES_tradnl"/>
        </w:rPr>
        <w:t xml:space="preserve"> particular</w:t>
      </w:r>
      <w:r w:rsidRPr="008C33F9">
        <w:rPr>
          <w:rFonts w:ascii="Palatino Linotype" w:hAnsi="Palatino Linotype"/>
          <w:bCs/>
          <w:lang w:val="es-ES_tradnl"/>
        </w:rPr>
        <w:t xml:space="preserve">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w:t>
      </w:r>
      <w:r w:rsidRPr="008C33F9">
        <w:rPr>
          <w:rFonts w:ascii="Palatino Linotype" w:hAnsi="Palatino Linotype"/>
          <w:bCs/>
          <w:lang w:val="es-ES_tradnl"/>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5"/>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6"/>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7"/>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w:t>
      </w:r>
      <w:r w:rsidRPr="00DA2D95">
        <w:rPr>
          <w:rFonts w:ascii="Palatino Linotype" w:hAnsi="Palatino Linotype"/>
          <w:i/>
          <w:color w:val="000000" w:themeColor="text1"/>
        </w:rPr>
        <w:lastRenderedPageBreak/>
        <w:t>pública,</w:t>
      </w:r>
      <w:r w:rsidRPr="00DA2D95">
        <w:rPr>
          <w:rFonts w:ascii="Palatino Linotype" w:hAnsi="Palatino Linotype"/>
          <w:i/>
          <w:color w:val="000000" w:themeColor="text1"/>
          <w:vertAlign w:val="superscript"/>
        </w:rPr>
        <w:footnoteReference w:id="8"/>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0FD5EF6"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783DB5">
        <w:rPr>
          <w:rFonts w:ascii="Palatino Linotype" w:hAnsi="Palatino Linotype"/>
          <w:color w:val="000000" w:themeColor="text1"/>
        </w:rPr>
        <w:t>Sujetos Obligados</w:t>
      </w:r>
      <w:r w:rsidRPr="0055159A">
        <w:rPr>
          <w:rFonts w:ascii="Palatino Linotype" w:hAnsi="Palatino Linotype"/>
          <w:color w:val="000000" w:themeColor="text1"/>
        </w:rPr>
        <w:t>;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0A44DE"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 xml:space="preserve">II. De </w:t>
      </w:r>
      <w:r w:rsidR="001019F7">
        <w:rPr>
          <w:rFonts w:ascii="Palatino Linotype" w:hAnsi="Palatino Linotype"/>
          <w:b/>
          <w:color w:val="000000" w:themeColor="text1"/>
        </w:rPr>
        <w:t>la atención a la solicitud de información</w:t>
      </w:r>
      <w:r>
        <w:rPr>
          <w:rFonts w:ascii="Palatino Linotype" w:hAnsi="Palatino Linotype"/>
          <w:b/>
          <w:color w:val="000000" w:themeColor="text1"/>
        </w:rPr>
        <w:t>.</w:t>
      </w:r>
    </w:p>
    <w:p w14:paraId="419307A3"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0435A5"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La</w:t>
      </w:r>
      <w:r w:rsidR="004B20FF">
        <w:rPr>
          <w:rFonts w:ascii="Palatino Linotype" w:hAnsi="Palatino Linotype"/>
        </w:rPr>
        <w:t xml:space="preserve"> </w:t>
      </w:r>
      <w:r w:rsidR="004B20FF" w:rsidRPr="000435A5">
        <w:rPr>
          <w:rFonts w:ascii="Palatino Linotype" w:hAnsi="Palatino Linotype"/>
        </w:rPr>
        <w:t xml:space="preserve">Ley de Transparencia y Acceso a la Información Pública del Estado de México y Municipios, en su artículo 150, establece que </w:t>
      </w:r>
      <w:r w:rsidR="004B20FF" w:rsidRPr="00DF6794">
        <w:rPr>
          <w:rFonts w:ascii="Palatino Linotype" w:hAnsi="Palatino Linotype"/>
          <w:b/>
        </w:rPr>
        <w:t>el procedimiento de acceso a la información es la garantía primaria del derecho en cuestión y se rige por los principios de</w:t>
      </w:r>
      <w:r w:rsidR="004B20FF" w:rsidRPr="000435A5">
        <w:rPr>
          <w:rFonts w:ascii="Palatino Linotype" w:hAnsi="Palatino Linotype"/>
        </w:rPr>
        <w:t xml:space="preserve"> simplicidad, rapidez gratuidad del procedimiento, </w:t>
      </w:r>
      <w:r w:rsidR="004B20FF" w:rsidRPr="00DF6794">
        <w:rPr>
          <w:rFonts w:ascii="Palatino Linotype" w:hAnsi="Palatino Linotype"/>
          <w:b/>
        </w:rPr>
        <w:t>auxilio y orientación a los particulares</w:t>
      </w:r>
      <w:r w:rsidR="004B20FF" w:rsidRPr="000435A5">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9"/>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10"/>
      </w:r>
      <w:r w:rsidRPr="000435A5">
        <w:rPr>
          <w:rFonts w:ascii="Palatino Linotype" w:hAnsi="Palatino Linotype"/>
          <w:color w:val="000000" w:themeColor="text1"/>
        </w:rPr>
        <w:t>.</w:t>
      </w:r>
    </w:p>
    <w:p w14:paraId="50C37EAB"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2715552E"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871852C"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360EE36B"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74375237"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 xml:space="preserve">sujetos del proceso de atención a las solicitudes de información son los </w:t>
      </w:r>
      <w:r w:rsidRPr="0010205D">
        <w:rPr>
          <w:rFonts w:ascii="Palatino Linotype" w:hAnsi="Palatino Linotype"/>
          <w:b/>
          <w:bCs/>
        </w:rPr>
        <w:t>servidores públicos habilitados</w:t>
      </w:r>
      <w:r w:rsidRPr="000435A5">
        <w:rPr>
          <w:rFonts w:ascii="Palatino Linotype" w:hAnsi="Palatino Linotype"/>
        </w:rPr>
        <w:t xml:space="preserve">, quienes serán designados por el titular del </w:t>
      </w:r>
      <w:r w:rsidR="0010205D">
        <w:rPr>
          <w:rFonts w:ascii="Palatino Linotype" w:hAnsi="Palatino Linotype"/>
          <w:b/>
          <w:bCs/>
        </w:rPr>
        <w:lastRenderedPageBreak/>
        <w:t>SUJETO OBLIGADO</w:t>
      </w:r>
      <w:r w:rsidR="0010205D">
        <w:rPr>
          <w:rFonts w:ascii="Palatino Linotype" w:hAnsi="Palatino Linotype"/>
        </w:rPr>
        <w:t>,</w:t>
      </w:r>
      <w:r w:rsidRPr="000435A5">
        <w:rPr>
          <w:rFonts w:ascii="Palatino Linotype" w:hAnsi="Palatino Linotype"/>
        </w:rPr>
        <w:t xml:space="preserve"> a propuesta del responsable de la Unidad de Transparencia</w:t>
      </w:r>
      <w:r w:rsidRPr="000435A5">
        <w:rPr>
          <w:rFonts w:ascii="Palatino Linotype" w:hAnsi="Palatino Linotype"/>
          <w:vertAlign w:val="superscript"/>
        </w:rPr>
        <w:footnoteReference w:id="11"/>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12"/>
      </w:r>
      <w:r w:rsidRPr="000435A5">
        <w:rPr>
          <w:rFonts w:ascii="Palatino Linotype" w:hAnsi="Palatino Linotype"/>
        </w:rPr>
        <w:t>:</w:t>
      </w:r>
    </w:p>
    <w:p w14:paraId="5BCDFDDB" w14:textId="77777777" w:rsidR="004B20FF" w:rsidRPr="000435A5"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089097A0" w14:textId="77777777" w:rsidR="004B20FF" w:rsidRPr="000435A5"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2E15792B"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6F2724"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A084C">
        <w:rPr>
          <w:rFonts w:ascii="Palatino Linotype" w:hAnsi="Palatino Linotype"/>
        </w:rPr>
        <w:t xml:space="preserve">De tal </w:t>
      </w:r>
      <w:r w:rsidRPr="00DA084C">
        <w:rPr>
          <w:rFonts w:ascii="Palatino Linotype" w:eastAsia="MS Mincho" w:hAnsi="Palatino Linotype" w:cs="Times New Roman"/>
          <w:color w:val="000000"/>
        </w:rPr>
        <w:t xml:space="preserve">manera que cada una de las áreas administrativas del </w:t>
      </w:r>
      <w:r w:rsidRPr="00DA084C">
        <w:rPr>
          <w:rFonts w:ascii="Palatino Linotype" w:eastAsia="MS Mincho" w:hAnsi="Palatino Linotype" w:cs="Times New Roman"/>
          <w:b/>
          <w:bCs/>
          <w:color w:val="000000"/>
        </w:rPr>
        <w:t>SUJETO OBLIGADO</w:t>
      </w:r>
      <w:r w:rsidRPr="00DA084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6F2724"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581616DA" w:rsidR="00F92741" w:rsidRPr="00910076"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U</w:t>
      </w:r>
      <w:r w:rsidR="00F92741">
        <w:rPr>
          <w:rFonts w:ascii="Palatino Linotype" w:hAnsi="Palatino Linotype"/>
        </w:rPr>
        <w:t xml:space="preserve">na expuesto lo anterior, de </w:t>
      </w:r>
      <w:r w:rsidR="00F92741" w:rsidRPr="00132F52">
        <w:rPr>
          <w:rFonts w:ascii="Palatino Linotype" w:hAnsi="Palatino Linotype"/>
        </w:rPr>
        <w:t xml:space="preserve">la lectura a la solicitud de información </w:t>
      </w:r>
      <w:r w:rsidR="003D03B5">
        <w:rPr>
          <w:rFonts w:ascii="Palatino Linotype" w:hAnsi="Palatino Linotype"/>
          <w:b/>
        </w:rPr>
        <w:t>00208/MALINAL/IP/2022</w:t>
      </w:r>
      <w:r w:rsidR="00F92741">
        <w:rPr>
          <w:rFonts w:ascii="Palatino Linotype" w:hAnsi="Palatino Linotype"/>
        </w:rPr>
        <w:t xml:space="preserve">,  y como fuera señalado en el </w:t>
      </w:r>
      <w:r w:rsidR="00F92741">
        <w:rPr>
          <w:rFonts w:ascii="Palatino Linotype" w:hAnsi="Palatino Linotype"/>
          <w:i/>
          <w:iCs/>
        </w:rPr>
        <w:t>Planteamiento de la Litis</w:t>
      </w:r>
      <w:r w:rsidR="00F92741">
        <w:rPr>
          <w:rFonts w:ascii="Palatino Linotype" w:hAnsi="Palatino Linotype"/>
        </w:rPr>
        <w:t xml:space="preserve"> de esta resolución, se advierte que el entonces </w:t>
      </w:r>
      <w:r w:rsidR="00F92741">
        <w:rPr>
          <w:rFonts w:ascii="Palatino Linotype" w:hAnsi="Palatino Linotype"/>
          <w:b/>
        </w:rPr>
        <w:t>SOLICITANTE</w:t>
      </w:r>
      <w:r w:rsidR="00F92741">
        <w:rPr>
          <w:rFonts w:ascii="Palatino Linotype" w:hAnsi="Palatino Linotype"/>
        </w:rPr>
        <w:t xml:space="preserve"> requirió acceder a </w:t>
      </w:r>
      <w:r w:rsidR="00987589">
        <w:rPr>
          <w:rFonts w:ascii="Palatino Linotype" w:hAnsi="Palatino Linotype"/>
        </w:rPr>
        <w:t xml:space="preserve">los documentos donde conste </w:t>
      </w:r>
      <w:r w:rsidR="00F92741">
        <w:rPr>
          <w:rFonts w:ascii="Palatino Linotype" w:hAnsi="Palatino Linotype"/>
        </w:rPr>
        <w:t>la siguiente información:</w:t>
      </w:r>
    </w:p>
    <w:p w14:paraId="4CAA3DCE" w14:textId="02C8320B" w:rsidR="00987589" w:rsidRPr="00987589" w:rsidRDefault="00987589"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Procedimientos de responsabilidades administrativas abiertos por el Órgano Interno de Control, del uno (01) de enero de dos mil dieciocho al treinta y uno (31) de mayo de dos mil veintiuno</w:t>
      </w:r>
      <w:r w:rsidR="00754898">
        <w:rPr>
          <w:rFonts w:ascii="Palatino Linotype" w:hAnsi="Palatino Linotype" w:cs="Arial"/>
          <w:color w:val="000000" w:themeColor="text1"/>
        </w:rPr>
        <w:t>.</w:t>
      </w:r>
    </w:p>
    <w:p w14:paraId="7A65E358" w14:textId="667A1C6A" w:rsidR="00987589" w:rsidRPr="00987589" w:rsidRDefault="00754898"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Relación de las sanciones impuestas en los procedimientos que hayan culminado en una sentencia condenatoria donde se indique</w:t>
      </w:r>
      <w:r w:rsidR="00987589">
        <w:rPr>
          <w:rFonts w:ascii="Palatino Linotype" w:hAnsi="Palatino Linotype" w:cs="Arial"/>
          <w:color w:val="000000" w:themeColor="text1"/>
        </w:rPr>
        <w:t>:</w:t>
      </w:r>
    </w:p>
    <w:p w14:paraId="4F26E648" w14:textId="77777777" w:rsidR="00987589" w:rsidRPr="00987589" w:rsidRDefault="00987589" w:rsidP="00754898">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s="Arial"/>
          <w:color w:val="000000" w:themeColor="text1"/>
        </w:rPr>
        <w:t>Tipo de sanción;</w:t>
      </w:r>
    </w:p>
    <w:p w14:paraId="097662AD" w14:textId="77777777" w:rsidR="00987589" w:rsidRPr="00987589" w:rsidRDefault="00987589" w:rsidP="00754898">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s="Arial"/>
          <w:color w:val="000000" w:themeColor="text1"/>
        </w:rPr>
        <w:t>Tiempo de inhabilitación, de ser el caso;</w:t>
      </w:r>
    </w:p>
    <w:p w14:paraId="4065365D" w14:textId="77777777" w:rsidR="00987589" w:rsidRPr="00987589" w:rsidRDefault="00987589" w:rsidP="00754898">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s="Arial"/>
          <w:color w:val="000000" w:themeColor="text1"/>
        </w:rPr>
        <w:lastRenderedPageBreak/>
        <w:t>Monto de la sanción económica, de ser el caso; y</w:t>
      </w:r>
    </w:p>
    <w:p w14:paraId="1575257B" w14:textId="61CC7EC9" w:rsidR="0010205D" w:rsidRPr="00BF6C2B" w:rsidRDefault="00987589" w:rsidP="00754898">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s="Arial"/>
          <w:color w:val="000000" w:themeColor="text1"/>
        </w:rPr>
        <w:t>Nombre de los servidores públicos responsables.</w:t>
      </w:r>
    </w:p>
    <w:p w14:paraId="0B510E2B" w14:textId="77777777" w:rsidR="00FD62D7" w:rsidRPr="00FD62D7" w:rsidRDefault="00FD62D7" w:rsidP="00FD62D7">
      <w:pPr>
        <w:pStyle w:val="Prrafodelista"/>
        <w:tabs>
          <w:tab w:val="left" w:pos="426"/>
        </w:tabs>
        <w:spacing w:before="240" w:after="240" w:line="360" w:lineRule="auto"/>
        <w:ind w:left="0" w:right="51"/>
        <w:jc w:val="both"/>
        <w:rPr>
          <w:rFonts w:ascii="Palatino Linotype" w:hAnsi="Palatino Linotype"/>
          <w:color w:val="000000" w:themeColor="text1"/>
        </w:rPr>
      </w:pPr>
    </w:p>
    <w:p w14:paraId="1E79F886" w14:textId="0FFC5FCC" w:rsidR="00754898" w:rsidRPr="00754898" w:rsidRDefault="0010205D"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D</w:t>
      </w:r>
      <w:r w:rsidR="00754898">
        <w:rPr>
          <w:rFonts w:ascii="Palatino Linotype" w:hAnsi="Palatino Linotype"/>
        </w:rPr>
        <w:t xml:space="preserve">e las constancias que obran en el expediente digital formado en el SAIMEX, se advierte que la Unidad de Transparencia turnó la solicitud de información </w:t>
      </w:r>
      <w:r w:rsidR="00754898">
        <w:rPr>
          <w:rFonts w:ascii="Palatino Linotype" w:hAnsi="Palatino Linotype"/>
          <w:b/>
          <w:bCs/>
        </w:rPr>
        <w:t>00208/MALINAL/IP/2022</w:t>
      </w:r>
      <w:r w:rsidR="00754898">
        <w:rPr>
          <w:rFonts w:ascii="Palatino Linotype" w:hAnsi="Palatino Linotype"/>
        </w:rPr>
        <w:t xml:space="preserve"> al servidor público habilitado </w:t>
      </w:r>
      <w:r w:rsidR="00754898">
        <w:rPr>
          <w:rFonts w:ascii="Palatino Linotype" w:hAnsi="Palatino Linotype"/>
          <w:i/>
          <w:iCs/>
        </w:rPr>
        <w:t>Juan Leonardez Flores</w:t>
      </w:r>
      <w:r w:rsidR="00754898">
        <w:rPr>
          <w:rFonts w:ascii="Palatino Linotype" w:hAnsi="Palatino Linotype"/>
        </w:rPr>
        <w:t>, quien de acuerdo con el Directorio de los Servidores Públicos del Ayuntamiento de Malinalco</w:t>
      </w:r>
      <w:r w:rsidR="00754898">
        <w:rPr>
          <w:rStyle w:val="Refdenotaalpie"/>
          <w:rFonts w:ascii="Palatino Linotype" w:hAnsi="Palatino Linotype"/>
        </w:rPr>
        <w:footnoteReference w:id="13"/>
      </w:r>
      <w:r w:rsidR="00754898">
        <w:rPr>
          <w:rFonts w:ascii="Palatino Linotype" w:hAnsi="Palatino Linotype"/>
        </w:rPr>
        <w:t xml:space="preserve"> -disponible en el portal de Información Pública de Oficio Mexiquense del </w:t>
      </w:r>
      <w:r w:rsidR="00754898">
        <w:rPr>
          <w:rFonts w:ascii="Palatino Linotype" w:hAnsi="Palatino Linotype"/>
          <w:b/>
          <w:bCs/>
        </w:rPr>
        <w:t>SUJETO OBLIGADO</w:t>
      </w:r>
      <w:r w:rsidR="00754898">
        <w:rPr>
          <w:rStyle w:val="Refdenotaalpie"/>
          <w:rFonts w:ascii="Palatino Linotype" w:hAnsi="Palatino Linotype"/>
          <w:b/>
          <w:bCs/>
        </w:rPr>
        <w:footnoteReference w:id="14"/>
      </w:r>
      <w:r w:rsidR="00754898">
        <w:rPr>
          <w:rFonts w:ascii="Palatino Linotype" w:hAnsi="Palatino Linotype"/>
        </w:rPr>
        <w:t xml:space="preserve">- ostenta el cargo de </w:t>
      </w:r>
      <w:r w:rsidR="00754898">
        <w:rPr>
          <w:rFonts w:ascii="Palatino Linotype" w:hAnsi="Palatino Linotype"/>
          <w:b/>
          <w:bCs/>
        </w:rPr>
        <w:t>Presidente Municipal</w:t>
      </w:r>
      <w:r w:rsidR="00754898">
        <w:rPr>
          <w:rFonts w:ascii="Palatino Linotype" w:hAnsi="Palatino Linotype"/>
        </w:rPr>
        <w:t>.</w:t>
      </w:r>
    </w:p>
    <w:p w14:paraId="352A2719" w14:textId="77777777" w:rsidR="00754898" w:rsidRPr="00754898" w:rsidRDefault="00754898" w:rsidP="00754898">
      <w:pPr>
        <w:pStyle w:val="Prrafodelista"/>
        <w:tabs>
          <w:tab w:val="left" w:pos="426"/>
        </w:tabs>
        <w:spacing w:before="240" w:after="240" w:line="360" w:lineRule="auto"/>
        <w:ind w:left="0" w:right="51"/>
        <w:jc w:val="both"/>
        <w:rPr>
          <w:rFonts w:ascii="Palatino Linotype" w:hAnsi="Palatino Linotype"/>
          <w:color w:val="000000" w:themeColor="text1"/>
        </w:rPr>
      </w:pPr>
    </w:p>
    <w:p w14:paraId="294E528A" w14:textId="7515E59D" w:rsidR="00754898" w:rsidRPr="00754898" w:rsidRDefault="00754898"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No se omite mencionar que, si bien la Unidad de Transparencia turnó la solicitud de información primigenia a la Presidencia Municipal, el turno de mérito aún se muestra en el SAIMEX como </w:t>
      </w:r>
      <w:r>
        <w:rPr>
          <w:rFonts w:ascii="Palatino Linotype" w:hAnsi="Palatino Linotype"/>
          <w:i/>
          <w:iCs/>
        </w:rPr>
        <w:t>Pendiente de Respuesta</w:t>
      </w:r>
      <w:r>
        <w:rPr>
          <w:rFonts w:ascii="Palatino Linotype" w:hAnsi="Palatino Linotype"/>
        </w:rPr>
        <w:t>. Se adjunta la siguiente captura de imagen como mera referencia:</w:t>
      </w:r>
    </w:p>
    <w:p w14:paraId="07938F8E" w14:textId="77777777" w:rsidR="00754898" w:rsidRDefault="00754898" w:rsidP="00754898">
      <w:pPr>
        <w:pStyle w:val="Prrafodelista"/>
        <w:tabs>
          <w:tab w:val="left" w:pos="426"/>
        </w:tabs>
        <w:spacing w:before="240" w:after="240" w:line="360" w:lineRule="auto"/>
        <w:ind w:left="0" w:right="51"/>
        <w:jc w:val="both"/>
        <w:rPr>
          <w:rFonts w:ascii="Palatino Linotype" w:hAnsi="Palatino Linotype"/>
          <w:color w:val="000000" w:themeColor="text1"/>
        </w:rPr>
      </w:pPr>
    </w:p>
    <w:p w14:paraId="537C3260" w14:textId="36BDF984" w:rsidR="00754898" w:rsidRDefault="00EB41EF" w:rsidP="00754898">
      <w:pPr>
        <w:pStyle w:val="Prrafodelista"/>
        <w:tabs>
          <w:tab w:val="left" w:pos="426"/>
        </w:tabs>
        <w:spacing w:before="240" w:after="240" w:line="360" w:lineRule="auto"/>
        <w:ind w:left="0" w:right="51"/>
        <w:jc w:val="center"/>
        <w:rPr>
          <w:rFonts w:ascii="Palatino Linotype" w:hAnsi="Palatino Linotype"/>
          <w:color w:val="000000" w:themeColor="text1"/>
        </w:rPr>
      </w:pPr>
      <w:r w:rsidRPr="00EB41EF">
        <w:rPr>
          <w:rFonts w:ascii="Palatino Linotype" w:hAnsi="Palatino Linotype"/>
          <w:noProof/>
          <w:color w:val="000000" w:themeColor="text1"/>
          <w:lang w:eastAsia="es-MX"/>
        </w:rPr>
        <w:drawing>
          <wp:inline distT="0" distB="0" distL="0" distR="0" wp14:anchorId="311A0509" wp14:editId="4CEDAE50">
            <wp:extent cx="4906168" cy="613410"/>
            <wp:effectExtent l="38100" t="38100" r="97790" b="97790"/>
            <wp:docPr id="1948135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5086" name=""/>
                    <pic:cNvPicPr/>
                  </pic:nvPicPr>
                  <pic:blipFill>
                    <a:blip r:embed="rId10"/>
                    <a:stretch>
                      <a:fillRect/>
                    </a:stretch>
                  </pic:blipFill>
                  <pic:spPr>
                    <a:xfrm>
                      <a:off x="0" y="0"/>
                      <a:ext cx="5199260" cy="6500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B8D81" w14:textId="77777777" w:rsidR="00754898" w:rsidRPr="00754898" w:rsidRDefault="00754898" w:rsidP="00754898">
      <w:pPr>
        <w:pStyle w:val="Prrafodelista"/>
        <w:tabs>
          <w:tab w:val="left" w:pos="426"/>
        </w:tabs>
        <w:spacing w:before="240" w:after="240" w:line="360" w:lineRule="auto"/>
        <w:ind w:left="0" w:right="51"/>
        <w:jc w:val="both"/>
        <w:rPr>
          <w:rFonts w:ascii="Palatino Linotype" w:hAnsi="Palatino Linotype"/>
          <w:color w:val="000000" w:themeColor="text1"/>
        </w:rPr>
      </w:pPr>
    </w:p>
    <w:p w14:paraId="01FB9EBD" w14:textId="23ED5035" w:rsidR="00EA2E5E" w:rsidRDefault="00EB41EF"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No obstante</w:t>
      </w:r>
      <w:r w:rsidR="00F92741">
        <w:rPr>
          <w:rFonts w:ascii="Palatino Linotype" w:hAnsi="Palatino Linotype"/>
        </w:rPr>
        <w:t xml:space="preserve"> lo anterior, y</w:t>
      </w:r>
      <w:r>
        <w:rPr>
          <w:rFonts w:ascii="Palatino Linotype" w:hAnsi="Palatino Linotype"/>
        </w:rPr>
        <w:t xml:space="preserve"> como fuera señalado en el apartado de </w:t>
      </w:r>
      <w:r>
        <w:rPr>
          <w:rFonts w:ascii="Palatino Linotype" w:hAnsi="Palatino Linotype"/>
          <w:i/>
          <w:iCs/>
        </w:rPr>
        <w:t>Antecedentes</w:t>
      </w:r>
      <w:r>
        <w:rPr>
          <w:rFonts w:ascii="Palatino Linotype" w:hAnsi="Palatino Linotype"/>
        </w:rPr>
        <w:t xml:space="preserve"> de la presente resolución, </w:t>
      </w:r>
      <w:r w:rsidR="00F92741">
        <w:rPr>
          <w:rFonts w:ascii="Palatino Linotype" w:hAnsi="Palatino Linotype"/>
        </w:rPr>
        <w:t xml:space="preserve">en respuesta a la solicitud de información </w:t>
      </w:r>
      <w:r w:rsidR="003D03B5">
        <w:rPr>
          <w:rFonts w:ascii="Palatino Linotype" w:hAnsi="Palatino Linotype"/>
          <w:b/>
          <w:bCs/>
        </w:rPr>
        <w:t>00208/MALINAL/IP/2022</w:t>
      </w:r>
      <w:r w:rsidR="00F92741">
        <w:rPr>
          <w:rFonts w:ascii="Palatino Linotype" w:hAnsi="Palatino Linotype"/>
        </w:rPr>
        <w:t xml:space="preserve">, el </w:t>
      </w:r>
      <w:r w:rsidR="00F92741">
        <w:rPr>
          <w:rFonts w:ascii="Palatino Linotype" w:hAnsi="Palatino Linotype"/>
          <w:b/>
        </w:rPr>
        <w:t>SUJETO OBLIGADO</w:t>
      </w:r>
      <w:r w:rsidR="00F92741">
        <w:rPr>
          <w:rFonts w:ascii="Palatino Linotype" w:hAnsi="Palatino Linotype"/>
        </w:rPr>
        <w:t xml:space="preserve"> entregó </w:t>
      </w:r>
      <w:r w:rsidR="00D425C6">
        <w:rPr>
          <w:rFonts w:ascii="Palatino Linotype" w:hAnsi="Palatino Linotype"/>
        </w:rPr>
        <w:t xml:space="preserve">la </w:t>
      </w:r>
      <w:r>
        <w:rPr>
          <w:rFonts w:ascii="Palatino Linotype" w:hAnsi="Palatino Linotype"/>
        </w:rPr>
        <w:t xml:space="preserve">copia digitalizada del oficio número O.C.I./084/2022, de veinte (20) de junio de dos mil veintidós, </w:t>
      </w:r>
      <w:r>
        <w:rPr>
          <w:rFonts w:ascii="Palatino Linotype" w:hAnsi="Palatino Linotype"/>
        </w:rPr>
        <w:lastRenderedPageBreak/>
        <w:t>suscrito por el Titular de la Contraloría Interna Municipal, mismo que se agrega a continuación:</w:t>
      </w:r>
    </w:p>
    <w:p w14:paraId="1D1EE7B1" w14:textId="3FB5659B" w:rsidR="00EB41EF" w:rsidRDefault="00EB41EF" w:rsidP="00790765">
      <w:pPr>
        <w:pStyle w:val="Prrafodelista"/>
        <w:tabs>
          <w:tab w:val="left" w:pos="426"/>
        </w:tabs>
        <w:spacing w:before="240" w:after="240" w:line="360" w:lineRule="auto"/>
        <w:ind w:left="0" w:right="51"/>
        <w:jc w:val="center"/>
        <w:rPr>
          <w:rFonts w:ascii="Palatino Linotype" w:hAnsi="Palatino Linotype"/>
          <w:color w:val="000000" w:themeColor="text1"/>
        </w:rPr>
      </w:pPr>
      <w:r w:rsidRPr="00EB41EF">
        <w:rPr>
          <w:rFonts w:ascii="Palatino Linotype" w:hAnsi="Palatino Linotype"/>
          <w:noProof/>
          <w:color w:val="000000" w:themeColor="text1"/>
          <w:lang w:eastAsia="es-MX"/>
        </w:rPr>
        <w:drawing>
          <wp:inline distT="0" distB="0" distL="0" distR="0" wp14:anchorId="2D07CDC4" wp14:editId="43BA6A81">
            <wp:extent cx="4795988" cy="6745832"/>
            <wp:effectExtent l="38100" t="38100" r="106680" b="99695"/>
            <wp:docPr id="1240662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2388" name=""/>
                    <pic:cNvPicPr/>
                  </pic:nvPicPr>
                  <pic:blipFill>
                    <a:blip r:embed="rId11"/>
                    <a:stretch>
                      <a:fillRect/>
                    </a:stretch>
                  </pic:blipFill>
                  <pic:spPr>
                    <a:xfrm>
                      <a:off x="0" y="0"/>
                      <a:ext cx="4845936" cy="68160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5F64A5" w14:textId="77777777" w:rsidR="00FB720D" w:rsidRPr="0017260D" w:rsidRDefault="00FB720D" w:rsidP="00D425C6">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63FED04C" w14:textId="3E8DB34B" w:rsidR="008D45C3" w:rsidRDefault="008D45C3"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lo anterior se colige </w:t>
      </w:r>
      <w:r w:rsidR="00EB41EF">
        <w:rPr>
          <w:rFonts w:ascii="Palatino Linotype" w:hAnsi="Palatino Linotype"/>
          <w:color w:val="000000" w:themeColor="text1"/>
        </w:rPr>
        <w:t xml:space="preserve">que </w:t>
      </w:r>
      <w:r w:rsidR="00EB41EF">
        <w:rPr>
          <w:rFonts w:ascii="Palatino Linotype" w:hAnsi="Palatino Linotype"/>
          <w:b/>
          <w:bCs/>
          <w:color w:val="000000" w:themeColor="text1"/>
        </w:rPr>
        <w:t xml:space="preserve">el Contralor Interno Municipal asumió contar con la información solicitada; asimismo, refirió anexarla al cuerpo del oficio de mérito. Empero, </w:t>
      </w:r>
      <w:r w:rsidR="00EB41EF">
        <w:rPr>
          <w:rFonts w:ascii="Palatino Linotype" w:hAnsi="Palatino Linotype"/>
          <w:b/>
          <w:bCs/>
          <w:color w:val="000000" w:themeColor="text1"/>
          <w:u w:val="single"/>
        </w:rPr>
        <w:t>no se adjuntó ningún archivo o anexo con la información solicitada.</w:t>
      </w:r>
    </w:p>
    <w:p w14:paraId="2B1112F3" w14:textId="77777777" w:rsidR="007774E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42C3DC2E" w:rsidR="007774E7" w:rsidRPr="00975447" w:rsidRDefault="00DC4DAD"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w:t>
      </w:r>
      <w:r w:rsidR="007774E7">
        <w:rPr>
          <w:rFonts w:ascii="Palatino Linotype" w:eastAsia="Times New Roman" w:hAnsi="Palatino Linotype" w:cs="Arial"/>
        </w:rPr>
        <w:t xml:space="preserve">, </w:t>
      </w:r>
      <w:r w:rsidR="00EB41EF">
        <w:rPr>
          <w:rFonts w:ascii="Palatino Linotype" w:eastAsia="Times New Roman" w:hAnsi="Palatino Linotype" w:cs="Arial"/>
        </w:rPr>
        <w:t>el</w:t>
      </w:r>
      <w:r w:rsidR="008D45C3">
        <w:rPr>
          <w:rFonts w:ascii="Palatino Linotype" w:eastAsia="Times New Roman" w:hAnsi="Palatino Linotype" w:cs="Arial"/>
        </w:rPr>
        <w:t xml:space="preserve"> ahora</w:t>
      </w:r>
      <w:r w:rsidR="007774E7">
        <w:rPr>
          <w:rFonts w:ascii="Palatino Linotype" w:eastAsia="Times New Roman" w:hAnsi="Palatino Linotype" w:cs="Arial"/>
        </w:rPr>
        <w:t xml:space="preserve"> </w:t>
      </w:r>
      <w:r w:rsidR="007774E7">
        <w:rPr>
          <w:rFonts w:ascii="Palatino Linotype" w:eastAsia="Times New Roman" w:hAnsi="Palatino Linotype" w:cs="Arial"/>
          <w:b/>
          <w:bCs/>
        </w:rPr>
        <w:t>RECURRENTE</w:t>
      </w:r>
      <w:r w:rsidR="007774E7">
        <w:rPr>
          <w:rFonts w:ascii="Palatino Linotype" w:eastAsia="Times New Roman" w:hAnsi="Palatino Linotype" w:cs="Arial"/>
        </w:rPr>
        <w:t xml:space="preserve"> presentó el recurso de revisión con número al rubro citado, en contra de la respuesta del </w:t>
      </w:r>
      <w:r w:rsidR="007774E7">
        <w:rPr>
          <w:rFonts w:ascii="Palatino Linotype" w:eastAsia="Times New Roman" w:hAnsi="Palatino Linotype" w:cs="Arial"/>
          <w:b/>
          <w:bCs/>
        </w:rPr>
        <w:t>SUJETO OBLIGADO</w:t>
      </w:r>
      <w:r w:rsidR="007774E7">
        <w:rPr>
          <w:rFonts w:ascii="Palatino Linotype" w:eastAsia="Times New Roman" w:hAnsi="Palatino Linotype" w:cs="Arial"/>
        </w:rPr>
        <w:t>, y en el que señaló por agravios lo siguiente</w:t>
      </w:r>
      <w:r w:rsidR="007774E7" w:rsidRPr="003C2030">
        <w:rPr>
          <w:rFonts w:ascii="Palatino Linotype" w:eastAsia="Times New Roman" w:hAnsi="Palatino Linotype" w:cs="Arial"/>
        </w:rPr>
        <w:t>:</w:t>
      </w:r>
    </w:p>
    <w:p w14:paraId="247569EF" w14:textId="147B8075" w:rsidR="007774E7" w:rsidRPr="004E00A3" w:rsidRDefault="00546038"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eastAsia="Times New Roman" w:hAnsi="Palatino Linotype" w:cs="Arial"/>
        </w:rPr>
        <w:t xml:space="preserve">Que el </w:t>
      </w:r>
      <w:r>
        <w:rPr>
          <w:rFonts w:ascii="Palatino Linotype" w:eastAsia="Times New Roman" w:hAnsi="Palatino Linotype" w:cs="Arial"/>
          <w:b/>
          <w:bCs/>
        </w:rPr>
        <w:t>SUJETO OBLIGADO</w:t>
      </w:r>
      <w:r>
        <w:rPr>
          <w:rFonts w:ascii="Palatino Linotype" w:eastAsia="Times New Roman" w:hAnsi="Palatino Linotype" w:cs="Arial"/>
        </w:rPr>
        <w:t xml:space="preserve"> </w:t>
      </w:r>
      <w:r w:rsidR="00EB41EF">
        <w:rPr>
          <w:rFonts w:ascii="Palatino Linotype" w:eastAsia="Times New Roman" w:hAnsi="Palatino Linotype" w:cs="Arial"/>
        </w:rPr>
        <w:t>no le entregó la información solicitada.</w:t>
      </w:r>
    </w:p>
    <w:p w14:paraId="6B38C1A6" w14:textId="77777777" w:rsidR="007774E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7B69E4DA" w14:textId="60130A30" w:rsidR="007774E7" w:rsidRDefault="00EB41EF"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Razón de lo anterior, se procederá a analizar la naturaleza de lo solicitado, así como el marco legal de competencia del </w:t>
      </w:r>
      <w:r>
        <w:rPr>
          <w:rFonts w:ascii="Palatino Linotype" w:hAnsi="Palatino Linotype"/>
          <w:b/>
          <w:bCs/>
          <w:color w:val="000000" w:themeColor="text1"/>
        </w:rPr>
        <w:t>SUJETO OBLIGADO</w:t>
      </w:r>
      <w:r>
        <w:rPr>
          <w:rFonts w:ascii="Palatino Linotype" w:hAnsi="Palatino Linotype"/>
          <w:color w:val="000000" w:themeColor="text1"/>
        </w:rPr>
        <w:t xml:space="preserve"> para poseer, generar y/o administrar la información.</w:t>
      </w:r>
    </w:p>
    <w:p w14:paraId="5C2A5E2D" w14:textId="77777777" w:rsidR="00C5125B" w:rsidRDefault="00C5125B" w:rsidP="00C5125B">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0D86B033" w:rsidR="00C5125B" w:rsidRPr="00C5125B"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 xml:space="preserve">III. </w:t>
      </w:r>
      <w:r w:rsidR="00EB41EF">
        <w:rPr>
          <w:rFonts w:ascii="Palatino Linotype" w:hAnsi="Palatino Linotype"/>
          <w:b/>
          <w:bCs/>
          <w:color w:val="000000" w:themeColor="text1"/>
        </w:rPr>
        <w:t xml:space="preserve">De la </w:t>
      </w:r>
      <w:r w:rsidR="00F70DDB">
        <w:rPr>
          <w:rFonts w:ascii="Palatino Linotype" w:hAnsi="Palatino Linotype"/>
          <w:b/>
          <w:bCs/>
          <w:color w:val="000000" w:themeColor="text1"/>
        </w:rPr>
        <w:t>Contraloría Interna Municipal</w:t>
      </w:r>
      <w:r>
        <w:rPr>
          <w:rFonts w:ascii="Palatino Linotype" w:hAnsi="Palatino Linotype"/>
          <w:b/>
          <w:bCs/>
          <w:color w:val="000000" w:themeColor="text1"/>
        </w:rPr>
        <w:t>.</w:t>
      </w:r>
    </w:p>
    <w:p w14:paraId="63098631" w14:textId="77777777" w:rsidR="006766B3"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56C87F8E" w14:textId="77777777" w:rsidR="00F70DDB" w:rsidRPr="00DC4DAD" w:rsidRDefault="00DC4DAD"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E</w:t>
      </w:r>
      <w:r w:rsidR="00F70DDB">
        <w:rPr>
          <w:rFonts w:ascii="Palatino Linotype" w:hAnsi="Palatino Linotype"/>
          <w:color w:val="000000" w:themeColor="text1"/>
        </w:rPr>
        <w:t xml:space="preserve">l artículo 115 de la Constitución Política de los Estados Unidos Mexicanos establece que los </w:t>
      </w:r>
      <w:r w:rsidR="00F70DDB" w:rsidRPr="00B7561B">
        <w:rPr>
          <w:rFonts w:ascii="Palatino Linotype" w:hAnsi="Palatino Linotype"/>
          <w:color w:val="000000" w:themeColor="text1"/>
        </w:rPr>
        <w:t xml:space="preserve">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00F70DDB" w:rsidRPr="00B7561B">
        <w:rPr>
          <w:rFonts w:ascii="Palatino Linotype" w:hAnsi="Palatino Linotype"/>
          <w:b/>
          <w:color w:val="000000" w:themeColor="text1"/>
        </w:rPr>
        <w:t>que organicen la administración pública municipal</w:t>
      </w:r>
      <w:r w:rsidR="00F70DDB" w:rsidRPr="00B7561B">
        <w:rPr>
          <w:rFonts w:ascii="Palatino Linotype" w:hAnsi="Palatino Linotype"/>
          <w:color w:val="000000" w:themeColor="text1"/>
        </w:rPr>
        <w:t xml:space="preserve">, </w:t>
      </w:r>
      <w:r w:rsidR="00F70DDB" w:rsidRPr="00B7561B">
        <w:rPr>
          <w:rFonts w:ascii="Palatino Linotype" w:hAnsi="Palatino Linotype"/>
          <w:b/>
          <w:color w:val="000000" w:themeColor="text1"/>
        </w:rPr>
        <w:t>regulen las materias, procedimientos, funciones y servicios públicos de su competencia</w:t>
      </w:r>
      <w:r w:rsidR="00F70DDB" w:rsidRPr="00B7561B">
        <w:rPr>
          <w:rFonts w:ascii="Palatino Linotype" w:hAnsi="Palatino Linotype"/>
          <w:color w:val="000000" w:themeColor="text1"/>
        </w:rPr>
        <w:t xml:space="preserve"> y aseguren la participación ciudadana y vecinal.</w:t>
      </w:r>
    </w:p>
    <w:p w14:paraId="64D2488B" w14:textId="77777777" w:rsidR="00F70DDB" w:rsidRPr="00DC4DAD"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7235F427" w14:textId="77777777" w:rsidR="00F70DDB" w:rsidRPr="00DC4DAD"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lastRenderedPageBreak/>
        <w:t xml:space="preserve">En seguimiento al mandato constitucional referido </w:t>
      </w:r>
      <w:r>
        <w:rPr>
          <w:rFonts w:ascii="Palatino Linotype" w:hAnsi="Palatino Linotype"/>
          <w:i/>
          <w:color w:val="000000" w:themeColor="text1"/>
        </w:rPr>
        <w:t>supra</w:t>
      </w:r>
      <w:r>
        <w:rPr>
          <w:rFonts w:ascii="Palatino Linotype" w:hAnsi="Palatino Linotype"/>
          <w:color w:val="000000" w:themeColor="text1"/>
        </w:rPr>
        <w:t xml:space="preserve">, la Ley Orgánica Municipal del Estado de México establece que, para </w:t>
      </w:r>
      <w:r w:rsidRPr="00B7561B">
        <w:rPr>
          <w:rFonts w:ascii="Palatino Linotype" w:hAnsi="Palatino Linotype"/>
          <w:color w:val="000000" w:themeColor="text1"/>
        </w:rPr>
        <w:t>el ejercicio de sus atribuciones y responsabilidades ejecutivas, el ayuntamiento se auxiliará con las dependencias y entidades de la administración pública municipal, que en cada caso acuerde el cabildo a propuesta de la persona titular de la presidencia municipal, las que</w:t>
      </w:r>
      <w:r>
        <w:rPr>
          <w:rFonts w:ascii="Palatino Linotype" w:hAnsi="Palatino Linotype"/>
          <w:color w:val="000000" w:themeColor="text1"/>
        </w:rPr>
        <w:t xml:space="preserve"> estarán subordinadas a é</w:t>
      </w:r>
      <w:r w:rsidRPr="00B7561B">
        <w:rPr>
          <w:rFonts w:ascii="Palatino Linotype" w:hAnsi="Palatino Linotype"/>
          <w:color w:val="000000" w:themeColor="text1"/>
        </w:rPr>
        <w:t>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w:t>
      </w:r>
      <w:r>
        <w:rPr>
          <w:rFonts w:ascii="Palatino Linotype" w:hAnsi="Palatino Linotype"/>
          <w:color w:val="000000" w:themeColor="text1"/>
        </w:rPr>
        <w:t xml:space="preserve"> regular el funcionamiento del m</w:t>
      </w:r>
      <w:r w:rsidRPr="00B7561B">
        <w:rPr>
          <w:rFonts w:ascii="Palatino Linotype" w:hAnsi="Palatino Linotype"/>
          <w:color w:val="000000" w:themeColor="text1"/>
        </w:rPr>
        <w:t>unicipio</w:t>
      </w:r>
      <w:r>
        <w:rPr>
          <w:rStyle w:val="Refdenotaalpie"/>
          <w:rFonts w:ascii="Palatino Linotype" w:hAnsi="Palatino Linotype"/>
          <w:color w:val="000000" w:themeColor="text1"/>
        </w:rPr>
        <w:footnoteReference w:id="15"/>
      </w:r>
      <w:r w:rsidRPr="00B7561B">
        <w:rPr>
          <w:rFonts w:ascii="Palatino Linotype" w:hAnsi="Palatino Linotype"/>
          <w:color w:val="000000" w:themeColor="text1"/>
        </w:rPr>
        <w:t>.</w:t>
      </w:r>
    </w:p>
    <w:p w14:paraId="1AE47F72" w14:textId="77777777" w:rsidR="00F70DDB" w:rsidRPr="00DC4DAD"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4AF9F4E1" w14:textId="77777777" w:rsidR="00F70DDB" w:rsidRPr="00B7561B"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Para el despacho, </w:t>
      </w:r>
      <w:r w:rsidRPr="00B7561B">
        <w:rPr>
          <w:rFonts w:ascii="Palatino Linotype" w:hAnsi="Palatino Linotype"/>
          <w:color w:val="000000" w:themeColor="text1"/>
        </w:rPr>
        <w:t xml:space="preserve">estudio y planeación de los diversos asuntos de la administración municipal, el ayuntamiento contará por lo menos </w:t>
      </w:r>
      <w:r>
        <w:rPr>
          <w:rFonts w:ascii="Palatino Linotype" w:hAnsi="Palatino Linotype"/>
          <w:color w:val="000000" w:themeColor="text1"/>
        </w:rPr>
        <w:t>con las siguientes Dependencias</w:t>
      </w:r>
      <w:r>
        <w:rPr>
          <w:rStyle w:val="Refdenotaalpie"/>
          <w:rFonts w:ascii="Palatino Linotype" w:hAnsi="Palatino Linotype"/>
          <w:color w:val="000000" w:themeColor="text1"/>
        </w:rPr>
        <w:footnoteReference w:id="16"/>
      </w:r>
      <w:r>
        <w:rPr>
          <w:rFonts w:ascii="Palatino Linotype" w:hAnsi="Palatino Linotype"/>
          <w:color w:val="000000" w:themeColor="text1"/>
        </w:rPr>
        <w:t>:</w:t>
      </w:r>
    </w:p>
    <w:p w14:paraId="72344BFA" w14:textId="77777777" w:rsidR="00F70DDB" w:rsidRPr="00460C4E"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460C4E">
        <w:rPr>
          <w:rFonts w:ascii="Palatino Linotype" w:hAnsi="Palatino Linotype"/>
          <w:color w:val="000000" w:themeColor="text1"/>
        </w:rPr>
        <w:t xml:space="preserve">La secretaría del ayuntamiento; </w:t>
      </w:r>
    </w:p>
    <w:p w14:paraId="5B53B9C5" w14:textId="77777777" w:rsidR="00F70DDB" w:rsidRPr="006D6412"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6D6412">
        <w:rPr>
          <w:rFonts w:ascii="Palatino Linotype" w:hAnsi="Palatino Linotype"/>
          <w:color w:val="000000" w:themeColor="text1"/>
        </w:rPr>
        <w:t xml:space="preserve">La tesorería municipal. </w:t>
      </w:r>
    </w:p>
    <w:p w14:paraId="360A8F76"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Obras Públicas o equivalente. </w:t>
      </w:r>
    </w:p>
    <w:p w14:paraId="4E2E73FD"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Económico o equivalente. </w:t>
      </w:r>
    </w:p>
    <w:p w14:paraId="67248DBF"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Urbano o equivalente; </w:t>
      </w:r>
    </w:p>
    <w:p w14:paraId="005EB441"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Ecología o equivalente. </w:t>
      </w:r>
    </w:p>
    <w:p w14:paraId="4C35C940"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Social o equivalente. </w:t>
      </w:r>
    </w:p>
    <w:p w14:paraId="46767976" w14:textId="77777777" w:rsidR="00F70DDB" w:rsidRPr="00B7561B"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Coordinación Municipal de Protección Civil o equivalente. </w:t>
      </w:r>
    </w:p>
    <w:p w14:paraId="4A1E8A98" w14:textId="77777777" w:rsidR="00F70DDB" w:rsidRPr="00DC4DAD" w:rsidRDefault="00F70DDB" w:rsidP="00F70DD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lastRenderedPageBreak/>
        <w:t>La Dirección de las Mujeres o equivalente.</w:t>
      </w:r>
    </w:p>
    <w:p w14:paraId="10B7C42F" w14:textId="77777777" w:rsidR="00F70DDB" w:rsidRPr="00DC4DAD"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74EE062E" w14:textId="77777777" w:rsidR="00F70DDB" w:rsidRPr="00AF6225"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Otra de las áreas administrativas que integrarán la estructura orgánica de los ayuntamientos es la </w:t>
      </w:r>
      <w:r w:rsidRPr="008217C1">
        <w:rPr>
          <w:rFonts w:ascii="Palatino Linotype" w:hAnsi="Palatino Linotype"/>
          <w:b/>
          <w:color w:val="000000" w:themeColor="text1"/>
        </w:rPr>
        <w:t>Contraloría Municipal</w:t>
      </w:r>
      <w:r>
        <w:rPr>
          <w:rFonts w:ascii="Palatino Linotype" w:hAnsi="Palatino Linotype"/>
          <w:color w:val="000000" w:themeColor="text1"/>
        </w:rPr>
        <w:t xml:space="preserve">, la cual </w:t>
      </w:r>
      <w:r>
        <w:rPr>
          <w:rFonts w:ascii="Palatino Linotype" w:hAnsi="Palatino Linotype" w:cs="Tahoma"/>
          <w:bCs/>
          <w:iCs/>
        </w:rPr>
        <w:t xml:space="preserve">será el </w:t>
      </w:r>
      <w:r w:rsidRPr="00C50C65">
        <w:rPr>
          <w:rFonts w:ascii="Palatino Linotype" w:hAnsi="Palatino Linotype" w:cs="Tahoma"/>
          <w:bCs/>
          <w:iCs/>
        </w:rPr>
        <w:t xml:space="preserve">órgano de control interno establecido por el Ayuntamiento, </w:t>
      </w:r>
      <w:r w:rsidRPr="00C50C65">
        <w:rPr>
          <w:rFonts w:ascii="Palatino Linotype" w:hAnsi="Palatino Linotype" w:cs="Tahoma"/>
          <w:b/>
          <w:iCs/>
        </w:rPr>
        <w:t>responsable de la supervisión, evaluación, operación y funcionamiento de las dependencias, respecto de la responsabilidad administrativa disciplinaria y/o resarcitoria de los servidores públicos municipales, en sus etapas de investigación, substanciación y resolución</w:t>
      </w:r>
      <w:r>
        <w:rPr>
          <w:rFonts w:ascii="Palatino Linotype" w:hAnsi="Palatino Linotype" w:cs="Tahoma"/>
          <w:b/>
          <w:iCs/>
        </w:rPr>
        <w:t>.</w:t>
      </w:r>
    </w:p>
    <w:p w14:paraId="6A6FFB02" w14:textId="77777777" w:rsidR="00F70DDB" w:rsidRPr="00AF6225"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1D438708" w14:textId="6461FACB" w:rsidR="00F70DDB" w:rsidRPr="008217C1"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Lo anterior es armonizado a través del Bando Municipal 2022 de Malinaco, cuyo numeral 27 establece que para </w:t>
      </w:r>
      <w:r w:rsidRPr="00F70DDB">
        <w:rPr>
          <w:rFonts w:ascii="Palatino Linotype" w:hAnsi="Palatino Linotype"/>
          <w:color w:val="000000" w:themeColor="text1"/>
        </w:rPr>
        <w:t xml:space="preserve">el cumplimiento de sus atribuciones, fines y el despacho de los asuntos municipales, el </w:t>
      </w:r>
      <w:r>
        <w:rPr>
          <w:rFonts w:ascii="Palatino Linotype" w:hAnsi="Palatino Linotype"/>
          <w:color w:val="000000" w:themeColor="text1"/>
        </w:rPr>
        <w:t>ayuntamiento</w:t>
      </w:r>
      <w:r w:rsidRPr="00F70DDB">
        <w:rPr>
          <w:rFonts w:ascii="Palatino Linotype" w:hAnsi="Palatino Linotype"/>
          <w:color w:val="000000" w:themeColor="text1"/>
        </w:rPr>
        <w:t xml:space="preserve"> </w:t>
      </w:r>
      <w:r>
        <w:rPr>
          <w:rFonts w:ascii="Palatino Linotype" w:hAnsi="Palatino Linotype"/>
          <w:color w:val="000000" w:themeColor="text1"/>
        </w:rPr>
        <w:t>s</w:t>
      </w:r>
      <w:r w:rsidRPr="00F70DDB">
        <w:rPr>
          <w:rFonts w:ascii="Palatino Linotype" w:hAnsi="Palatino Linotype"/>
          <w:color w:val="000000" w:themeColor="text1"/>
        </w:rPr>
        <w:t>e auxiliará de las dependencias administrativas centralizadas, organismos públicos descentralizados y entidades de la administración pública municipal que considere necesarios, las que estarán subordinadas al Presidente Municipal.</w:t>
      </w:r>
    </w:p>
    <w:p w14:paraId="429FF07C" w14:textId="77777777" w:rsidR="00F70DDB" w:rsidRPr="008217C1"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0CD98FD4" w14:textId="77777777" w:rsidR="00F70DDB" w:rsidRPr="008217C1"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Por su parte, el diverso 38 del Bando Municipal de mérito refiere lo siguiente:</w:t>
      </w:r>
    </w:p>
    <w:p w14:paraId="116F7622" w14:textId="77777777" w:rsidR="00F70DDB"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46067143"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r w:rsidRPr="00F70DDB">
        <w:rPr>
          <w:rFonts w:ascii="Palatino Linotype" w:hAnsi="Palatino Linotype" w:cs="Tahoma"/>
          <w:b/>
          <w:i/>
          <w:iCs/>
          <w:sz w:val="22"/>
        </w:rPr>
        <w:t>ARTÍCULO 30.-</w:t>
      </w:r>
      <w:r w:rsidRPr="00F70DDB">
        <w:rPr>
          <w:rFonts w:ascii="Palatino Linotype" w:hAnsi="Palatino Linotype" w:cs="Tahoma"/>
          <w:bCs/>
          <w:i/>
          <w:iCs/>
          <w:sz w:val="22"/>
        </w:rPr>
        <w:t xml:space="preserve"> La administración pública centralizada estará integrada por: </w:t>
      </w:r>
    </w:p>
    <w:p w14:paraId="645EFBE1"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sidRPr="00F70DDB">
        <w:rPr>
          <w:rFonts w:ascii="Palatino Linotype" w:hAnsi="Palatino Linotype" w:cs="Tahoma"/>
          <w:b/>
          <w:i/>
          <w:iCs/>
          <w:sz w:val="22"/>
        </w:rPr>
        <w:t>I.</w:t>
      </w:r>
      <w:r w:rsidRPr="00F70DDB">
        <w:rPr>
          <w:rFonts w:ascii="Palatino Linotype" w:hAnsi="Palatino Linotype" w:cs="Tahoma"/>
          <w:bCs/>
          <w:i/>
          <w:iCs/>
          <w:sz w:val="22"/>
        </w:rPr>
        <w:t xml:space="preserve"> Secretaría del Ayuntamiento: </w:t>
      </w:r>
    </w:p>
    <w:p w14:paraId="53577837"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sidRPr="00F70DDB">
        <w:rPr>
          <w:rFonts w:ascii="Palatino Linotype" w:hAnsi="Palatino Linotype" w:cs="Tahoma"/>
          <w:b/>
          <w:i/>
          <w:iCs/>
          <w:sz w:val="22"/>
        </w:rPr>
        <w:t>II.</w:t>
      </w:r>
      <w:r w:rsidRPr="00F70DDB">
        <w:rPr>
          <w:rFonts w:ascii="Palatino Linotype" w:hAnsi="Palatino Linotype" w:cs="Tahoma"/>
          <w:bCs/>
          <w:i/>
          <w:iCs/>
          <w:sz w:val="22"/>
        </w:rPr>
        <w:t xml:space="preserve"> Tesorería Municipal; </w:t>
      </w:r>
    </w:p>
    <w:p w14:paraId="1D7F48BB" w14:textId="77777777" w:rsidR="00F70DDB" w:rsidRPr="00F70DDB" w:rsidRDefault="00F70DDB" w:rsidP="00F70DDB">
      <w:pPr>
        <w:pStyle w:val="Prrafodelista"/>
        <w:tabs>
          <w:tab w:val="left" w:pos="426"/>
        </w:tabs>
        <w:spacing w:before="240" w:after="240" w:line="276" w:lineRule="auto"/>
        <w:ind w:left="567" w:right="567"/>
        <w:jc w:val="both"/>
        <w:rPr>
          <w:rFonts w:ascii="Palatino Linotype" w:hAnsi="Palatino Linotype" w:cs="Tahoma"/>
          <w:b/>
          <w:i/>
          <w:iCs/>
          <w:sz w:val="22"/>
        </w:rPr>
      </w:pPr>
      <w:r w:rsidRPr="00F70DDB">
        <w:rPr>
          <w:rFonts w:ascii="Palatino Linotype" w:hAnsi="Palatino Linotype" w:cs="Tahoma"/>
          <w:b/>
          <w:i/>
          <w:iCs/>
          <w:sz w:val="22"/>
        </w:rPr>
        <w:t xml:space="preserve">III. Contraloría Municipal; </w:t>
      </w:r>
    </w:p>
    <w:p w14:paraId="61D93840"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sidRPr="00F70DDB">
        <w:rPr>
          <w:rFonts w:ascii="Palatino Linotype" w:hAnsi="Palatino Linotype" w:cs="Tahoma"/>
          <w:b/>
          <w:i/>
          <w:iCs/>
          <w:sz w:val="22"/>
        </w:rPr>
        <w:t>IV.</w:t>
      </w:r>
      <w:r w:rsidRPr="00F70DDB">
        <w:rPr>
          <w:rFonts w:ascii="Palatino Linotype" w:hAnsi="Palatino Linotype" w:cs="Tahoma"/>
          <w:bCs/>
          <w:i/>
          <w:iCs/>
          <w:sz w:val="22"/>
        </w:rPr>
        <w:t xml:space="preserve"> Oficialía Mediadora-Conciliadora </w:t>
      </w:r>
    </w:p>
    <w:p w14:paraId="40CE29EF"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sidRPr="00F70DDB">
        <w:rPr>
          <w:rFonts w:ascii="Palatino Linotype" w:hAnsi="Palatino Linotype" w:cs="Tahoma"/>
          <w:b/>
          <w:i/>
          <w:iCs/>
          <w:sz w:val="22"/>
        </w:rPr>
        <w:t>V.</w:t>
      </w:r>
      <w:r w:rsidRPr="00F70DDB">
        <w:rPr>
          <w:rFonts w:ascii="Palatino Linotype" w:hAnsi="Palatino Linotype" w:cs="Tahoma"/>
          <w:bCs/>
          <w:i/>
          <w:iCs/>
          <w:sz w:val="22"/>
        </w:rPr>
        <w:t xml:space="preserve"> Oficialía Calificadora; </w:t>
      </w:r>
    </w:p>
    <w:p w14:paraId="60B4EFA1" w14:textId="77777777" w:rsidR="00F70DDB" w:rsidRDefault="00F70DDB" w:rsidP="00F70DDB">
      <w:pPr>
        <w:pStyle w:val="Prrafodelista"/>
        <w:tabs>
          <w:tab w:val="left" w:pos="426"/>
        </w:tabs>
        <w:spacing w:before="240" w:after="240" w:line="276" w:lineRule="auto"/>
        <w:ind w:left="567" w:right="567"/>
        <w:jc w:val="both"/>
        <w:rPr>
          <w:rFonts w:ascii="Palatino Linotype" w:hAnsi="Palatino Linotype" w:cs="Tahoma"/>
          <w:bCs/>
          <w:i/>
          <w:iCs/>
          <w:sz w:val="22"/>
        </w:rPr>
      </w:pPr>
      <w:r w:rsidRPr="00F70DDB">
        <w:rPr>
          <w:rFonts w:ascii="Palatino Linotype" w:hAnsi="Palatino Linotype" w:cs="Tahoma"/>
          <w:b/>
          <w:i/>
          <w:iCs/>
          <w:sz w:val="22"/>
        </w:rPr>
        <w:t>VI.</w:t>
      </w:r>
      <w:r w:rsidRPr="00F70DDB">
        <w:rPr>
          <w:rFonts w:ascii="Palatino Linotype" w:hAnsi="Palatino Linotype" w:cs="Tahoma"/>
          <w:bCs/>
          <w:i/>
          <w:iCs/>
          <w:sz w:val="22"/>
        </w:rPr>
        <w:t xml:space="preserve"> Direcciones de: </w:t>
      </w:r>
    </w:p>
    <w:p w14:paraId="49BC2EF4"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a)</w:t>
      </w:r>
      <w:r w:rsidRPr="00F70DDB">
        <w:rPr>
          <w:rFonts w:ascii="Palatino Linotype" w:hAnsi="Palatino Linotype" w:cs="Tahoma"/>
          <w:bCs/>
          <w:i/>
          <w:iCs/>
          <w:sz w:val="22"/>
        </w:rPr>
        <w:t xml:space="preserve"> Obras públicas y Desarrollo urbano; </w:t>
      </w:r>
    </w:p>
    <w:p w14:paraId="759C0AD4"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b)</w:t>
      </w:r>
      <w:r w:rsidRPr="00F70DDB">
        <w:rPr>
          <w:rFonts w:ascii="Palatino Linotype" w:hAnsi="Palatino Linotype" w:cs="Tahoma"/>
          <w:bCs/>
          <w:i/>
          <w:iCs/>
          <w:sz w:val="22"/>
        </w:rPr>
        <w:t xml:space="preserve"> Desarrollo Económico; </w:t>
      </w:r>
    </w:p>
    <w:p w14:paraId="1EB39595"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c)</w:t>
      </w:r>
      <w:r w:rsidRPr="00F70DDB">
        <w:rPr>
          <w:rFonts w:ascii="Palatino Linotype" w:hAnsi="Palatino Linotype" w:cs="Tahoma"/>
          <w:bCs/>
          <w:i/>
          <w:iCs/>
          <w:sz w:val="22"/>
        </w:rPr>
        <w:t xml:space="preserve"> Seguridad Pública; </w:t>
      </w:r>
    </w:p>
    <w:p w14:paraId="05500F54"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lastRenderedPageBreak/>
        <w:t>d)</w:t>
      </w:r>
      <w:r w:rsidRPr="00F70DDB">
        <w:rPr>
          <w:rFonts w:ascii="Palatino Linotype" w:hAnsi="Palatino Linotype" w:cs="Tahoma"/>
          <w:bCs/>
          <w:i/>
          <w:iCs/>
          <w:sz w:val="22"/>
        </w:rPr>
        <w:t xml:space="preserve"> Servicios Públicos; </w:t>
      </w:r>
    </w:p>
    <w:p w14:paraId="2CD965EE"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e)</w:t>
      </w:r>
      <w:r w:rsidRPr="00F70DDB">
        <w:rPr>
          <w:rFonts w:ascii="Palatino Linotype" w:hAnsi="Palatino Linotype" w:cs="Tahoma"/>
          <w:bCs/>
          <w:i/>
          <w:iCs/>
          <w:sz w:val="22"/>
        </w:rPr>
        <w:t xml:space="preserve"> Desarrollo Agropecuario; </w:t>
      </w:r>
    </w:p>
    <w:p w14:paraId="3CB4C922"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f)</w:t>
      </w:r>
      <w:r w:rsidRPr="00F70DDB">
        <w:rPr>
          <w:rFonts w:ascii="Palatino Linotype" w:hAnsi="Palatino Linotype" w:cs="Tahoma"/>
          <w:bCs/>
          <w:i/>
          <w:iCs/>
          <w:sz w:val="22"/>
        </w:rPr>
        <w:t xml:space="preserve"> Ecología, Sustentabilidad y Medio Ambiente; </w:t>
      </w:r>
    </w:p>
    <w:p w14:paraId="3385A85A"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g)</w:t>
      </w:r>
      <w:r w:rsidRPr="00F70DDB">
        <w:rPr>
          <w:rFonts w:ascii="Palatino Linotype" w:hAnsi="Palatino Linotype" w:cs="Tahoma"/>
          <w:bCs/>
          <w:i/>
          <w:iCs/>
          <w:sz w:val="22"/>
        </w:rPr>
        <w:t xml:space="preserve"> Instituto Municipal de las Mujeres y Equidad de Género; </w:t>
      </w:r>
    </w:p>
    <w:p w14:paraId="56A5F179" w14:textId="77777777" w:rsidR="00F70DDB" w:rsidRPr="00922B81"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lang w:val="pt-PT"/>
        </w:rPr>
      </w:pPr>
      <w:r w:rsidRPr="00922B81">
        <w:rPr>
          <w:rFonts w:ascii="Palatino Linotype" w:hAnsi="Palatino Linotype" w:cs="Tahoma"/>
          <w:b/>
          <w:i/>
          <w:iCs/>
          <w:sz w:val="22"/>
          <w:lang w:val="pt-PT"/>
        </w:rPr>
        <w:t>h)</w:t>
      </w:r>
      <w:r w:rsidRPr="00922B81">
        <w:rPr>
          <w:rFonts w:ascii="Palatino Linotype" w:hAnsi="Palatino Linotype" w:cs="Tahoma"/>
          <w:bCs/>
          <w:i/>
          <w:iCs/>
          <w:sz w:val="22"/>
          <w:lang w:val="pt-PT"/>
        </w:rPr>
        <w:t xml:space="preserve"> Bienestar Social; </w:t>
      </w:r>
    </w:p>
    <w:p w14:paraId="6B1EF22C" w14:textId="77777777" w:rsidR="00F70DDB" w:rsidRPr="00922B81"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lang w:val="pt-PT"/>
        </w:rPr>
      </w:pPr>
      <w:r w:rsidRPr="00922B81">
        <w:rPr>
          <w:rFonts w:ascii="Palatino Linotype" w:hAnsi="Palatino Linotype" w:cs="Tahoma"/>
          <w:b/>
          <w:i/>
          <w:iCs/>
          <w:sz w:val="22"/>
          <w:lang w:val="pt-PT"/>
        </w:rPr>
        <w:t>i)</w:t>
      </w:r>
      <w:r w:rsidRPr="00922B81">
        <w:rPr>
          <w:rFonts w:ascii="Palatino Linotype" w:hAnsi="Palatino Linotype" w:cs="Tahoma"/>
          <w:bCs/>
          <w:i/>
          <w:iCs/>
          <w:sz w:val="22"/>
          <w:lang w:val="pt-PT"/>
        </w:rPr>
        <w:t xml:space="preserve"> Turismo; </w:t>
      </w:r>
    </w:p>
    <w:p w14:paraId="5A1A4FCE"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j)</w:t>
      </w:r>
      <w:r w:rsidRPr="00F70DDB">
        <w:rPr>
          <w:rFonts w:ascii="Palatino Linotype" w:hAnsi="Palatino Linotype" w:cs="Tahoma"/>
          <w:bCs/>
          <w:i/>
          <w:iCs/>
          <w:sz w:val="22"/>
        </w:rPr>
        <w:t xml:space="preserve"> Educación; </w:t>
      </w:r>
    </w:p>
    <w:p w14:paraId="16FF933C"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k)</w:t>
      </w:r>
      <w:r w:rsidRPr="00F70DDB">
        <w:rPr>
          <w:rFonts w:ascii="Palatino Linotype" w:hAnsi="Palatino Linotype" w:cs="Tahoma"/>
          <w:bCs/>
          <w:i/>
          <w:iCs/>
          <w:sz w:val="22"/>
        </w:rPr>
        <w:t xml:space="preserve"> Salud; </w:t>
      </w:r>
    </w:p>
    <w:p w14:paraId="14A3F049"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l)</w:t>
      </w:r>
      <w:r w:rsidRPr="00F70DDB">
        <w:rPr>
          <w:rFonts w:ascii="Palatino Linotype" w:hAnsi="Palatino Linotype" w:cs="Tahoma"/>
          <w:bCs/>
          <w:i/>
          <w:iCs/>
          <w:sz w:val="22"/>
        </w:rPr>
        <w:t xml:space="preserve"> Protección Civil y Bomberos; </w:t>
      </w:r>
    </w:p>
    <w:p w14:paraId="456C2692"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m)</w:t>
      </w:r>
      <w:r w:rsidRPr="00F70DDB">
        <w:rPr>
          <w:rFonts w:ascii="Palatino Linotype" w:hAnsi="Palatino Linotype" w:cs="Tahoma"/>
          <w:bCs/>
          <w:i/>
          <w:iCs/>
          <w:sz w:val="22"/>
        </w:rPr>
        <w:t xml:space="preserve"> UIPPE; </w:t>
      </w:r>
    </w:p>
    <w:p w14:paraId="53402752" w14:textId="77777777"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n)</w:t>
      </w:r>
      <w:r w:rsidRPr="00F70DDB">
        <w:rPr>
          <w:rFonts w:ascii="Palatino Linotype" w:hAnsi="Palatino Linotype" w:cs="Tahoma"/>
          <w:bCs/>
          <w:i/>
          <w:iCs/>
          <w:sz w:val="22"/>
        </w:rPr>
        <w:t xml:space="preserve"> Transparencia y Acceso a la Información Pública; </w:t>
      </w:r>
    </w:p>
    <w:p w14:paraId="01B20BF0" w14:textId="61108EB9" w:rsidR="00F70DDB" w:rsidRDefault="00F70DDB" w:rsidP="00F70DDB">
      <w:pPr>
        <w:pStyle w:val="Prrafodelista"/>
        <w:tabs>
          <w:tab w:val="left" w:pos="426"/>
        </w:tabs>
        <w:spacing w:before="240" w:after="240" w:line="276" w:lineRule="auto"/>
        <w:ind w:left="851" w:right="567"/>
        <w:jc w:val="both"/>
        <w:rPr>
          <w:rFonts w:ascii="Palatino Linotype" w:hAnsi="Palatino Linotype" w:cs="Tahoma"/>
          <w:bCs/>
          <w:i/>
          <w:iCs/>
          <w:sz w:val="22"/>
        </w:rPr>
      </w:pPr>
      <w:r w:rsidRPr="00F70DDB">
        <w:rPr>
          <w:rFonts w:ascii="Palatino Linotype" w:hAnsi="Palatino Linotype" w:cs="Tahoma"/>
          <w:b/>
          <w:i/>
          <w:iCs/>
          <w:sz w:val="22"/>
        </w:rPr>
        <w:t>o)</w:t>
      </w:r>
      <w:r w:rsidRPr="00F70DDB">
        <w:rPr>
          <w:rFonts w:ascii="Palatino Linotype" w:hAnsi="Palatino Linotype" w:cs="Tahoma"/>
          <w:bCs/>
          <w:i/>
          <w:iCs/>
          <w:sz w:val="22"/>
        </w:rPr>
        <w:t xml:space="preserve"> Dirección de Gobernación.</w:t>
      </w:r>
      <w:r>
        <w:rPr>
          <w:rFonts w:ascii="Palatino Linotype" w:hAnsi="Palatino Linotype" w:cs="Tahoma"/>
          <w:bCs/>
          <w:i/>
          <w:iCs/>
          <w:sz w:val="22"/>
        </w:rPr>
        <w:t>”</w:t>
      </w:r>
    </w:p>
    <w:p w14:paraId="2680979B" w14:textId="77777777" w:rsidR="00F70DDB" w:rsidRPr="002D2905" w:rsidRDefault="00F70DDB" w:rsidP="00F70DDB">
      <w:pPr>
        <w:pStyle w:val="Prrafodelista"/>
        <w:tabs>
          <w:tab w:val="left" w:pos="426"/>
        </w:tabs>
        <w:spacing w:before="240" w:after="240" w:line="276" w:lineRule="auto"/>
        <w:ind w:left="567" w:right="567"/>
        <w:jc w:val="both"/>
        <w:rPr>
          <w:rFonts w:ascii="Palatino Linotype" w:hAnsi="Palatino Linotype" w:cs="Tahoma"/>
          <w:bCs/>
          <w:iCs/>
          <w:sz w:val="22"/>
        </w:rPr>
      </w:pPr>
      <w:r>
        <w:rPr>
          <w:rFonts w:ascii="Palatino Linotype" w:hAnsi="Palatino Linotype" w:cs="Tahoma"/>
          <w:bCs/>
          <w:iCs/>
          <w:sz w:val="22"/>
        </w:rPr>
        <w:t>(Énfasis añadido)</w:t>
      </w:r>
    </w:p>
    <w:p w14:paraId="2E44EF9A" w14:textId="77777777" w:rsidR="00F70DDB" w:rsidRPr="008217C1"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689FE00B" w14:textId="7FADB954" w:rsidR="00F70DDB" w:rsidRPr="00197827" w:rsidRDefault="00197827" w:rsidP="0019782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Más adelante, el Bando Municipal 2022 de Malinalco establece que serán </w:t>
      </w:r>
      <w:r w:rsidRPr="00197827">
        <w:rPr>
          <w:rFonts w:ascii="Palatino Linotype" w:hAnsi="Palatino Linotype"/>
          <w:color w:val="000000" w:themeColor="text1"/>
        </w:rPr>
        <w:t xml:space="preserve">sujetos de </w:t>
      </w:r>
      <w:r w:rsidRPr="00197827">
        <w:rPr>
          <w:rFonts w:ascii="Palatino Linotype" w:hAnsi="Palatino Linotype"/>
          <w:b/>
          <w:bCs/>
          <w:color w:val="000000" w:themeColor="text1"/>
        </w:rPr>
        <w:t>responsabilidad administrativa</w:t>
      </w:r>
      <w:r w:rsidRPr="00197827">
        <w:rPr>
          <w:rFonts w:ascii="Palatino Linotype" w:hAnsi="Palatino Linotype"/>
          <w:color w:val="000000" w:themeColor="text1"/>
        </w:rPr>
        <w:t xml:space="preserve"> los servidores públicos que desempeñen un empleo, cargo o comisión de cualquier naturaleza en la administración municipal, así como aquellos que manejen o administren recursos económicos municipales, estatales o federales</w:t>
      </w:r>
      <w:r>
        <w:rPr>
          <w:rStyle w:val="Refdenotaalpie"/>
          <w:rFonts w:ascii="Palatino Linotype" w:hAnsi="Palatino Linotype"/>
          <w:color w:val="000000" w:themeColor="text1"/>
        </w:rPr>
        <w:footnoteReference w:id="17"/>
      </w:r>
      <w:r w:rsidRPr="00197827">
        <w:rPr>
          <w:rFonts w:ascii="Palatino Linotype" w:hAnsi="Palatino Linotype"/>
          <w:color w:val="000000" w:themeColor="text1"/>
        </w:rPr>
        <w:t>.</w:t>
      </w:r>
    </w:p>
    <w:p w14:paraId="27409829" w14:textId="77777777" w:rsidR="00197827" w:rsidRPr="00197827" w:rsidRDefault="00197827" w:rsidP="00197827">
      <w:pPr>
        <w:pStyle w:val="Prrafodelista"/>
        <w:tabs>
          <w:tab w:val="left" w:pos="426"/>
        </w:tabs>
        <w:spacing w:before="240" w:after="240" w:line="360" w:lineRule="auto"/>
        <w:ind w:left="0" w:right="51"/>
        <w:jc w:val="both"/>
        <w:rPr>
          <w:rFonts w:ascii="Palatino Linotype" w:hAnsi="Palatino Linotype" w:cs="Tahoma"/>
          <w:bCs/>
          <w:iCs/>
        </w:rPr>
      </w:pPr>
    </w:p>
    <w:p w14:paraId="6733AC9E" w14:textId="171214C6" w:rsidR="00197827" w:rsidRPr="00197827" w:rsidRDefault="00197827" w:rsidP="0019782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Para la </w:t>
      </w:r>
      <w:r w:rsidRPr="00197827">
        <w:rPr>
          <w:rFonts w:ascii="Palatino Linotype" w:hAnsi="Palatino Linotype"/>
          <w:color w:val="000000" w:themeColor="text1"/>
        </w:rPr>
        <w:t xml:space="preserve">aplicación de la Ley de Responsabilidades Administrativas del Estado de México y Municipios, </w:t>
      </w:r>
      <w:r>
        <w:rPr>
          <w:rFonts w:ascii="Palatino Linotype" w:hAnsi="Palatino Linotype"/>
          <w:color w:val="000000" w:themeColor="text1"/>
        </w:rPr>
        <w:t>existirá</w:t>
      </w:r>
      <w:r w:rsidRPr="00197827">
        <w:rPr>
          <w:rFonts w:ascii="Palatino Linotype" w:hAnsi="Palatino Linotype"/>
          <w:color w:val="000000" w:themeColor="text1"/>
        </w:rPr>
        <w:t xml:space="preserve"> </w:t>
      </w:r>
      <w:r w:rsidRPr="00197827">
        <w:rPr>
          <w:rFonts w:ascii="Palatino Linotype" w:hAnsi="Palatino Linotype"/>
          <w:b/>
          <w:bCs/>
          <w:color w:val="000000" w:themeColor="text1"/>
        </w:rPr>
        <w:t>la unidad administrativa denominada Contraloría Municipal</w:t>
      </w:r>
      <w:r w:rsidRPr="00197827">
        <w:rPr>
          <w:rFonts w:ascii="Palatino Linotype" w:hAnsi="Palatino Linotype"/>
          <w:color w:val="000000" w:themeColor="text1"/>
        </w:rPr>
        <w:t xml:space="preserve">, quien </w:t>
      </w:r>
      <w:r w:rsidRPr="00197827">
        <w:rPr>
          <w:rFonts w:ascii="Palatino Linotype" w:hAnsi="Palatino Linotype"/>
          <w:b/>
          <w:bCs/>
          <w:color w:val="000000" w:themeColor="text1"/>
        </w:rPr>
        <w:t>instrumentará los procedimientos administrativos en contra de servidores públicos municipales y, en su caso, aplicará las sanciones</w:t>
      </w:r>
      <w:r>
        <w:rPr>
          <w:rFonts w:ascii="Palatino Linotype" w:hAnsi="Palatino Linotype"/>
          <w:b/>
          <w:bCs/>
          <w:color w:val="000000" w:themeColor="text1"/>
        </w:rPr>
        <w:t xml:space="preserve"> correspondientes</w:t>
      </w:r>
      <w:r w:rsidRPr="00197827">
        <w:rPr>
          <w:rFonts w:ascii="Palatino Linotype" w:hAnsi="Palatino Linotype"/>
          <w:color w:val="000000" w:themeColor="text1"/>
        </w:rPr>
        <w:t xml:space="preserve"> en función de las disposiciones que la misma Ley establece</w:t>
      </w:r>
      <w:r>
        <w:rPr>
          <w:rStyle w:val="Refdenotaalpie"/>
          <w:rFonts w:ascii="Palatino Linotype" w:hAnsi="Palatino Linotype"/>
          <w:color w:val="000000" w:themeColor="text1"/>
        </w:rPr>
        <w:footnoteReference w:id="18"/>
      </w:r>
      <w:r w:rsidRPr="00197827">
        <w:rPr>
          <w:rFonts w:ascii="Palatino Linotype" w:hAnsi="Palatino Linotype"/>
          <w:color w:val="000000" w:themeColor="text1"/>
        </w:rPr>
        <w:t>.</w:t>
      </w:r>
    </w:p>
    <w:p w14:paraId="53C8AB0F" w14:textId="77777777" w:rsidR="00197827" w:rsidRDefault="00197827" w:rsidP="00197827">
      <w:pPr>
        <w:pStyle w:val="Prrafodelista"/>
        <w:tabs>
          <w:tab w:val="left" w:pos="426"/>
        </w:tabs>
        <w:spacing w:before="240" w:after="240" w:line="360" w:lineRule="auto"/>
        <w:ind w:left="0" w:right="51"/>
        <w:jc w:val="both"/>
        <w:rPr>
          <w:rFonts w:ascii="Palatino Linotype" w:hAnsi="Palatino Linotype" w:cs="Tahoma"/>
          <w:bCs/>
          <w:iCs/>
        </w:rPr>
      </w:pPr>
    </w:p>
    <w:p w14:paraId="298470EF" w14:textId="77777777" w:rsidR="00197827" w:rsidRDefault="00197827" w:rsidP="00197827">
      <w:pPr>
        <w:pStyle w:val="Prrafodelista"/>
        <w:tabs>
          <w:tab w:val="left" w:pos="426"/>
        </w:tabs>
        <w:spacing w:before="240" w:after="240" w:line="360" w:lineRule="auto"/>
        <w:ind w:left="0" w:right="51"/>
        <w:jc w:val="both"/>
        <w:rPr>
          <w:rFonts w:ascii="Palatino Linotype" w:hAnsi="Palatino Linotype" w:cs="Tahoma"/>
          <w:bCs/>
          <w:iCs/>
        </w:rPr>
      </w:pPr>
    </w:p>
    <w:p w14:paraId="5862E7A0" w14:textId="69E5FBD5" w:rsidR="00F70DDB" w:rsidRPr="00AF6225" w:rsidRDefault="00F70DDB" w:rsidP="00F70DDB">
      <w:pPr>
        <w:pStyle w:val="Prrafodelista"/>
        <w:tabs>
          <w:tab w:val="left" w:pos="426"/>
        </w:tabs>
        <w:spacing w:before="240" w:after="240" w:line="360" w:lineRule="auto"/>
        <w:ind w:left="0" w:right="51"/>
        <w:jc w:val="both"/>
        <w:outlineLvl w:val="2"/>
        <w:rPr>
          <w:rFonts w:ascii="Palatino Linotype" w:hAnsi="Palatino Linotype" w:cs="Tahoma"/>
          <w:b/>
          <w:bCs/>
          <w:iCs/>
        </w:rPr>
      </w:pPr>
      <w:r>
        <w:rPr>
          <w:rFonts w:ascii="Palatino Linotype" w:hAnsi="Palatino Linotype" w:cs="Tahoma"/>
          <w:b/>
          <w:bCs/>
          <w:iCs/>
        </w:rPr>
        <w:lastRenderedPageBreak/>
        <w:t>IV. De la naturaleza de la información solicitada.</w:t>
      </w:r>
    </w:p>
    <w:p w14:paraId="655CD8F6" w14:textId="77777777" w:rsidR="00F70DDB" w:rsidRPr="008217C1" w:rsidRDefault="00F70DDB" w:rsidP="00F70DDB">
      <w:pPr>
        <w:pStyle w:val="Prrafodelista"/>
        <w:tabs>
          <w:tab w:val="left" w:pos="426"/>
        </w:tabs>
        <w:spacing w:before="240" w:after="240" w:line="360" w:lineRule="auto"/>
        <w:ind w:left="0" w:right="51"/>
        <w:jc w:val="both"/>
        <w:rPr>
          <w:rFonts w:ascii="Palatino Linotype" w:hAnsi="Palatino Linotype" w:cs="Tahoma"/>
          <w:bCs/>
          <w:iCs/>
        </w:rPr>
      </w:pPr>
    </w:p>
    <w:p w14:paraId="5879460F" w14:textId="3EFE6431" w:rsidR="00F70DDB" w:rsidRDefault="00197827"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cs="Tahoma"/>
          <w:bCs/>
          <w:iCs/>
        </w:rPr>
        <w:t xml:space="preserve">Una vez identificada la competencia de la </w:t>
      </w:r>
      <w:r w:rsidRPr="00197827">
        <w:rPr>
          <w:rFonts w:ascii="Palatino Linotype" w:hAnsi="Palatino Linotype" w:cs="Tahoma"/>
          <w:b/>
          <w:iCs/>
        </w:rPr>
        <w:t>Contraloría Municipal</w:t>
      </w:r>
      <w:r w:rsidR="00F70DDB">
        <w:rPr>
          <w:rFonts w:ascii="Palatino Linotype" w:hAnsi="Palatino Linotype" w:cs="Tahoma"/>
          <w:bCs/>
          <w:iCs/>
        </w:rPr>
        <w:t xml:space="preserve">, </w:t>
      </w:r>
      <w:r w:rsidR="00F70DDB" w:rsidRPr="005050D1">
        <w:rPr>
          <w:rFonts w:ascii="Palatino Linotype" w:hAnsi="Palatino Linotype"/>
          <w:lang w:val="es-ES_tradnl"/>
        </w:rPr>
        <w:t xml:space="preserve">con el objetivo de comprender en sentido amplio la información solicitada por el particular, conviene establecer la línea procesal que afronta un expediente que se encuentre sustanciado en </w:t>
      </w:r>
      <w:r w:rsidR="00F70DDB">
        <w:rPr>
          <w:rFonts w:ascii="Palatino Linotype" w:hAnsi="Palatino Linotype"/>
          <w:lang w:val="es-ES_tradnl"/>
        </w:rPr>
        <w:t xml:space="preserve">el </w:t>
      </w:r>
      <w:r w:rsidR="00F70DDB" w:rsidRPr="0055710D">
        <w:rPr>
          <w:rFonts w:ascii="Palatino Linotype" w:hAnsi="Palatino Linotype"/>
          <w:b/>
          <w:bCs/>
          <w:lang w:val="es-ES_tradnl"/>
        </w:rPr>
        <w:t>Órgano de Control Interno</w:t>
      </w:r>
      <w:r w:rsidR="00F70DDB">
        <w:rPr>
          <w:rFonts w:ascii="Palatino Linotype" w:hAnsi="Palatino Linotype"/>
          <w:lang w:val="es-ES_tradnl"/>
        </w:rPr>
        <w:t xml:space="preserve"> del </w:t>
      </w:r>
      <w:r w:rsidR="00F70DDB">
        <w:rPr>
          <w:rFonts w:ascii="Palatino Linotype" w:hAnsi="Palatino Linotype"/>
          <w:b/>
          <w:lang w:val="es-ES_tradnl"/>
        </w:rPr>
        <w:t>SUJETO OBLIGADO</w:t>
      </w:r>
      <w:r w:rsidR="00F70DDB" w:rsidRPr="005050D1">
        <w:rPr>
          <w:rFonts w:ascii="Palatino Linotype" w:hAnsi="Palatino Linotype"/>
          <w:lang w:val="es-ES_tradnl"/>
        </w:rPr>
        <w:t xml:space="preserve">, el cual se inicia mediante una investigación por la presunta responsabilidad de faltas administrativas promovida: </w:t>
      </w:r>
      <w:r w:rsidR="00F70DDB" w:rsidRPr="005050D1">
        <w:rPr>
          <w:rFonts w:ascii="Palatino Linotype" w:hAnsi="Palatino Linotype"/>
          <w:b/>
          <w:lang w:val="es-ES_tradnl"/>
        </w:rPr>
        <w:t>a)</w:t>
      </w:r>
      <w:r w:rsidR="00F70DDB" w:rsidRPr="005050D1">
        <w:rPr>
          <w:rFonts w:ascii="Palatino Linotype" w:hAnsi="Palatino Linotype"/>
          <w:lang w:val="es-ES_tradnl"/>
        </w:rPr>
        <w:t xml:space="preserve"> de oficio, </w:t>
      </w:r>
      <w:r w:rsidR="00F70DDB" w:rsidRPr="005050D1">
        <w:rPr>
          <w:rFonts w:ascii="Palatino Linotype" w:hAnsi="Palatino Linotype"/>
          <w:b/>
          <w:lang w:val="es-ES_tradnl"/>
        </w:rPr>
        <w:t>b)</w:t>
      </w:r>
      <w:r w:rsidR="00F70DDB" w:rsidRPr="005050D1">
        <w:rPr>
          <w:rFonts w:ascii="Palatino Linotype" w:hAnsi="Palatino Linotype"/>
          <w:lang w:val="es-ES_tradnl"/>
        </w:rPr>
        <w:t xml:space="preserve"> </w:t>
      </w:r>
      <w:r w:rsidR="00F70DDB" w:rsidRPr="00197827">
        <w:rPr>
          <w:rFonts w:ascii="Palatino Linotype" w:hAnsi="Palatino Linotype"/>
          <w:bCs/>
          <w:lang w:val="es-ES_tradnl"/>
        </w:rPr>
        <w:t>por denuncia;</w:t>
      </w:r>
      <w:r w:rsidR="00F70DDB" w:rsidRPr="005050D1">
        <w:rPr>
          <w:rFonts w:ascii="Palatino Linotype" w:hAnsi="Palatino Linotype"/>
          <w:lang w:val="es-ES_tradnl"/>
        </w:rPr>
        <w:t xml:space="preserve"> o, </w:t>
      </w:r>
      <w:r w:rsidR="00F70DDB" w:rsidRPr="005050D1">
        <w:rPr>
          <w:rFonts w:ascii="Palatino Linotype" w:hAnsi="Palatino Linotype"/>
          <w:b/>
          <w:lang w:val="es-ES_tradnl"/>
        </w:rPr>
        <w:t>c)</w:t>
      </w:r>
      <w:r w:rsidR="00F70DDB" w:rsidRPr="005050D1">
        <w:rPr>
          <w:rFonts w:ascii="Palatino Linotype" w:hAnsi="Palatino Linotype"/>
          <w:lang w:val="es-ES_tradnl"/>
        </w:rPr>
        <w:t xml:space="preserve"> derivado de las auditorías practicadas por parte de las autoridades correspondientes o, en su caso, auditores externos</w:t>
      </w:r>
      <w:r w:rsidR="00F70DDB" w:rsidRPr="005050D1">
        <w:rPr>
          <w:rFonts w:ascii="Palatino Linotype" w:hAnsi="Palatino Linotype"/>
          <w:vertAlign w:val="superscript"/>
          <w:lang w:val="es-ES_tradnl"/>
        </w:rPr>
        <w:footnoteReference w:id="19"/>
      </w:r>
      <w:r w:rsidR="00F70DDB" w:rsidRPr="005050D1">
        <w:rPr>
          <w:rFonts w:ascii="Palatino Linotype" w:hAnsi="Palatino Linotype"/>
          <w:lang w:val="es-ES_tradnl"/>
        </w:rPr>
        <w:t>.</w:t>
      </w:r>
    </w:p>
    <w:p w14:paraId="3F819D2B" w14:textId="77777777" w:rsidR="00F70DDB" w:rsidRDefault="00F70DDB" w:rsidP="00F70DDB">
      <w:pPr>
        <w:pStyle w:val="Prrafodelista"/>
        <w:tabs>
          <w:tab w:val="left" w:pos="426"/>
        </w:tabs>
        <w:spacing w:line="360" w:lineRule="auto"/>
        <w:ind w:left="0"/>
        <w:jc w:val="both"/>
        <w:rPr>
          <w:rFonts w:ascii="Palatino Linotype" w:hAnsi="Palatino Linotype"/>
        </w:rPr>
      </w:pPr>
    </w:p>
    <w:p w14:paraId="6A774DCA" w14:textId="77777777" w:rsidR="00F70DDB"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rPr>
        <w:t xml:space="preserve">Al respecto, </w:t>
      </w:r>
      <w:r w:rsidRPr="005050D1">
        <w:rPr>
          <w:rFonts w:ascii="Palatino Linotype" w:hAnsi="Palatino Linotype"/>
          <w:lang w:val="es-ES_tradnl"/>
        </w:rPr>
        <w:t>la Ley de Responsabilidades Administrativas del Estado de México y Municipios establece y diferencia, en sus artículos 50, 51 y 52, las faltas administrativas no graves y graves, respectivamente, en que pueden incurrir los servidores públicos, a saber:</w:t>
      </w:r>
    </w:p>
    <w:p w14:paraId="7DF0300C" w14:textId="77777777" w:rsidR="00F70DDB" w:rsidRDefault="00F70DDB" w:rsidP="00F70DDB">
      <w:pPr>
        <w:pStyle w:val="Prrafodelista"/>
        <w:tabs>
          <w:tab w:val="left" w:pos="426"/>
        </w:tabs>
        <w:spacing w:line="360" w:lineRule="auto"/>
        <w:ind w:left="0"/>
        <w:jc w:val="both"/>
        <w:rPr>
          <w:rFonts w:ascii="Palatino Linotype" w:hAnsi="Palatino Linotype"/>
        </w:rPr>
      </w:pPr>
    </w:p>
    <w:p w14:paraId="02702B42"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t>“</w:t>
      </w:r>
      <w:r w:rsidRPr="00460C4E">
        <w:rPr>
          <w:rFonts w:ascii="Palatino Linotype" w:hAnsi="Palatino Linotype"/>
          <w:b/>
          <w:i/>
          <w:sz w:val="22"/>
        </w:rPr>
        <w:t>Artículo 50</w:t>
      </w:r>
      <w:r w:rsidRPr="00460C4E">
        <w:rPr>
          <w:rFonts w:ascii="Palatino Linotype" w:hAnsi="Palatino Linotype"/>
          <w:bCs/>
          <w:i/>
          <w:sz w:val="22"/>
        </w:rPr>
        <w:t xml:space="preserve">. Incurre en falta administrativa no grave, el servidor público que con sus actos u omisiones, incumpla o transgreda las obligaciones siguientes: </w:t>
      </w:r>
    </w:p>
    <w:p w14:paraId="24382FD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I.</w:t>
      </w:r>
      <w:r w:rsidRPr="00460C4E">
        <w:rPr>
          <w:rFonts w:ascii="Palatino Linotype" w:hAnsi="Palatino Linotype"/>
          <w:bCs/>
          <w:i/>
          <w:sz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1A90DD33"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II.</w:t>
      </w:r>
      <w:r w:rsidRPr="00460C4E">
        <w:rPr>
          <w:rFonts w:ascii="Palatino Linotype" w:hAnsi="Palatino Linotype"/>
          <w:bCs/>
          <w:i/>
          <w:sz w:val="22"/>
        </w:rPr>
        <w:t xml:space="preserve"> Denunciar los actos u omisiones que en ejercicio de sus funciones llegare a advertir, que puedan constituir faltas administrativas en términos del artículo 95 de la presente Ley. </w:t>
      </w:r>
    </w:p>
    <w:p w14:paraId="4282A294"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III.</w:t>
      </w:r>
      <w:r w:rsidRPr="00460C4E">
        <w:rPr>
          <w:rFonts w:ascii="Palatino Linotype" w:hAnsi="Palatino Linotype"/>
          <w:bCs/>
          <w:i/>
          <w:sz w:val="22"/>
        </w:rPr>
        <w:t xml:space="preserve"> Atender las instrucciones de sus superiores, siempre que éstas sean acordes con las disposiciones relacionadas con el servicio público. </w:t>
      </w:r>
    </w:p>
    <w:p w14:paraId="28A3D252"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lastRenderedPageBreak/>
        <w:t>En caso de recibir instrucción o encomienda contraria a dichas disposiciones, deberá denunciar esta circunstancia en términos del artículo 95 de la presente Ley.</w:t>
      </w:r>
    </w:p>
    <w:p w14:paraId="2FC8635D"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IV.</w:t>
      </w:r>
      <w:r w:rsidRPr="00460C4E">
        <w:rPr>
          <w:rFonts w:ascii="Palatino Linotype" w:hAnsi="Palatino Linotype"/>
          <w:bCs/>
          <w:i/>
          <w:sz w:val="22"/>
        </w:rPr>
        <w:t xml:space="preserve"> Presentar en tiempo y forma la declaración de situación patrimonial y la de intereses que, en su caso, considere se actualice, en los términos establecidos por esta Ley. </w:t>
      </w:r>
    </w:p>
    <w:p w14:paraId="3598BCE1"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V.</w:t>
      </w:r>
      <w:r w:rsidRPr="00460C4E">
        <w:rPr>
          <w:rFonts w:ascii="Palatino Linotype" w:hAnsi="Palatino Linotype"/>
          <w:bCs/>
          <w:i/>
          <w:sz w:val="22"/>
        </w:rPr>
        <w:t xml:space="preserve"> Rendir cuentas sobre el ejercicio de las funciones, en términos de las normas aplicables. </w:t>
      </w:r>
    </w:p>
    <w:p w14:paraId="3F92D243"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VI.</w:t>
      </w:r>
      <w:r w:rsidRPr="00460C4E">
        <w:rPr>
          <w:rFonts w:ascii="Palatino Linotype" w:hAnsi="Palatino Linotype"/>
          <w:bCs/>
          <w:i/>
          <w:sz w:val="22"/>
        </w:rPr>
        <w:t xml:space="preserve"> Colaborar en los procedimientos judiciales y administrativos en los que sea parte. </w:t>
      </w:r>
    </w:p>
    <w:p w14:paraId="7E993BF6"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VII.</w:t>
      </w:r>
      <w:r w:rsidRPr="00460C4E">
        <w:rPr>
          <w:rFonts w:ascii="Palatino Linotype" w:hAnsi="Palatino Linotype"/>
          <w:bCs/>
          <w:i/>
          <w:sz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579E5496"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701FE105"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1208778D"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VIII.</w:t>
      </w:r>
      <w:r w:rsidRPr="00460C4E">
        <w:rPr>
          <w:rFonts w:ascii="Palatino Linotype" w:hAnsi="Palatino Linotype"/>
          <w:bCs/>
          <w:i/>
          <w:sz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69DF2414"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IX.</w:t>
      </w:r>
      <w:r w:rsidRPr="00460C4E">
        <w:rPr>
          <w:rFonts w:ascii="Palatino Linotype" w:hAnsi="Palatino Linotype"/>
          <w:bCs/>
          <w:i/>
          <w:sz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3077F486"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w:t>
      </w:r>
      <w:r w:rsidRPr="00460C4E">
        <w:rPr>
          <w:rFonts w:ascii="Palatino Linotype" w:hAnsi="Palatino Linotype"/>
          <w:bCs/>
          <w:i/>
          <w:sz w:val="22"/>
        </w:rPr>
        <w:t xml:space="preserve"> Observar buena conducta en su empleo, cargo o comisión tratando con respeto, diligencia, imparcialidad y rectitud a las personas y servidores públicos con los que tenga relación con motivo de éste. </w:t>
      </w:r>
    </w:p>
    <w:p w14:paraId="04EC89AE"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XI.</w:t>
      </w:r>
      <w:r w:rsidRPr="00460C4E">
        <w:rPr>
          <w:rFonts w:ascii="Palatino Linotype" w:hAnsi="Palatino Linotype"/>
          <w:bCs/>
          <w:i/>
          <w:sz w:val="22"/>
        </w:rPr>
        <w:t xml:space="preserve"> Observar un trato respetuoso con sus subalternos. </w:t>
      </w:r>
    </w:p>
    <w:p w14:paraId="016A9941"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lastRenderedPageBreak/>
        <w:t>XII.</w:t>
      </w:r>
      <w:r w:rsidRPr="00460C4E">
        <w:rPr>
          <w:rFonts w:ascii="Palatino Linotype" w:hAnsi="Palatino Linotype"/>
          <w:bCs/>
          <w:i/>
          <w:sz w:val="22"/>
        </w:rPr>
        <w:t xml:space="preserve"> Supervisar que los servidores públicos sujetos a su dirección, cumplan con las disposiciones de esta Ley. </w:t>
      </w:r>
    </w:p>
    <w:p w14:paraId="7185F933"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XIII.</w:t>
      </w:r>
      <w:r w:rsidRPr="00460C4E">
        <w:rPr>
          <w:rFonts w:ascii="Palatino Linotype" w:hAnsi="Palatino Linotype"/>
          <w:bCs/>
          <w:i/>
          <w:sz w:val="22"/>
        </w:rPr>
        <w:t xml:space="preserve"> Cumplir con la entrega de índole administrativo del despacho y de toda aquella documentación inherente a su cargo, en los términos que establezcan las disposiciones legales o administrativas que al efecto se señalen. </w:t>
      </w:r>
    </w:p>
    <w:p w14:paraId="3BB60846"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XIV.</w:t>
      </w:r>
      <w:r w:rsidRPr="00460C4E">
        <w:rPr>
          <w:rFonts w:ascii="Palatino Linotype" w:hAnsi="Palatino Linotype"/>
          <w:bCs/>
          <w:i/>
          <w:sz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51683647"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XV.</w:t>
      </w:r>
      <w:r w:rsidRPr="00460C4E">
        <w:rPr>
          <w:rFonts w:ascii="Palatino Linotype" w:hAnsi="Palatino Linotype"/>
          <w:bCs/>
          <w:i/>
          <w:sz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25F71B42"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XVI.</w:t>
      </w:r>
      <w:r w:rsidRPr="00460C4E">
        <w:rPr>
          <w:rFonts w:ascii="Palatino Linotype" w:hAnsi="Palatino Linotype"/>
          <w:bCs/>
          <w:i/>
          <w:sz w:val="22"/>
        </w:rPr>
        <w:t xml:space="preserve"> Cumplir con las disposiciones en materia de Gobierno Digital que impongan la Ley de la materia, su reglamento y demás disposiciones aplicables. </w:t>
      </w:r>
    </w:p>
    <w:p w14:paraId="13DD882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XVII.</w:t>
      </w:r>
      <w:r w:rsidRPr="00460C4E">
        <w:rPr>
          <w:rFonts w:ascii="Palatino Linotype" w:hAnsi="Palatino Linotype"/>
          <w:bCs/>
          <w:i/>
          <w:sz w:val="22"/>
        </w:rPr>
        <w:t xml:space="preserve"> Utilizar las medidas de seguridad informática y protección de datos e información personal recomendada por las instancias competentes. </w:t>
      </w:r>
    </w:p>
    <w:p w14:paraId="34BDC79E"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XVIII.</w:t>
      </w:r>
      <w:r w:rsidRPr="00460C4E">
        <w:rPr>
          <w:rFonts w:ascii="Palatino Linotype" w:hAnsi="Palatino Linotype"/>
          <w:bCs/>
          <w:i/>
          <w:sz w:val="22"/>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6F9FC4BF"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XIX.</w:t>
      </w:r>
      <w:r w:rsidRPr="00460C4E">
        <w:rPr>
          <w:rFonts w:ascii="Palatino Linotype" w:hAnsi="Palatino Linotype"/>
          <w:bCs/>
          <w:i/>
          <w:sz w:val="22"/>
        </w:rPr>
        <w:t xml:space="preserve"> Las demás que le impongan las leyes, reglamentos o disposiciones administrativas aplicables. </w:t>
      </w:r>
    </w:p>
    <w:p w14:paraId="5F4BD71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p>
    <w:p w14:paraId="7B883398"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
          <w:i/>
          <w:sz w:val="22"/>
        </w:rPr>
        <w:t>Artículo 51.</w:t>
      </w:r>
      <w:r w:rsidRPr="00460C4E">
        <w:rPr>
          <w:rFonts w:ascii="Palatino Linotype" w:hAnsi="Palatino Linotype"/>
          <w:bCs/>
          <w:i/>
          <w:sz w:val="22"/>
        </w:rPr>
        <w:t xml:space="preserve">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33305A09"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60FAE302"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13E3B878"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Cs/>
          <w:i/>
          <w:sz w:val="22"/>
        </w:rPr>
      </w:pPr>
      <w:r w:rsidRPr="00460C4E">
        <w:rPr>
          <w:rFonts w:ascii="Palatino Linotype" w:hAnsi="Palatino Linotype"/>
          <w:bCs/>
          <w:i/>
          <w:sz w:val="22"/>
        </w:rPr>
        <w:lastRenderedPageBreak/>
        <w:t>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222886E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b/>
          <w:i/>
          <w:sz w:val="22"/>
        </w:rPr>
      </w:pPr>
    </w:p>
    <w:p w14:paraId="07CCCF79"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Artículo 52.</w:t>
      </w:r>
      <w:r w:rsidRPr="00460C4E">
        <w:rPr>
          <w:rFonts w:ascii="Palatino Linotype" w:hAnsi="Palatino Linotype"/>
          <w:i/>
          <w:sz w:val="22"/>
        </w:rPr>
        <w:t xml:space="preserve"> Para efectos de la presente Ley, se consideran faltas administrativas graves de los servidores públicos, mediante cualquier acto u omisión, las siguientes: </w:t>
      </w:r>
    </w:p>
    <w:p w14:paraId="57401039"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I.</w:t>
      </w:r>
      <w:r w:rsidRPr="00460C4E">
        <w:rPr>
          <w:rFonts w:ascii="Palatino Linotype" w:hAnsi="Palatino Linotype"/>
          <w:i/>
          <w:sz w:val="22"/>
        </w:rPr>
        <w:t xml:space="preserve"> El cohecho. </w:t>
      </w:r>
    </w:p>
    <w:p w14:paraId="4FBB4E8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II.</w:t>
      </w:r>
      <w:r w:rsidRPr="00460C4E">
        <w:rPr>
          <w:rFonts w:ascii="Palatino Linotype" w:hAnsi="Palatino Linotype"/>
          <w:i/>
          <w:sz w:val="22"/>
        </w:rPr>
        <w:t xml:space="preserve"> El peculado. </w:t>
      </w:r>
    </w:p>
    <w:p w14:paraId="5FC123A7"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III.</w:t>
      </w:r>
      <w:r w:rsidRPr="00460C4E">
        <w:rPr>
          <w:rFonts w:ascii="Palatino Linotype" w:hAnsi="Palatino Linotype"/>
          <w:i/>
          <w:sz w:val="22"/>
        </w:rPr>
        <w:t xml:space="preserve"> El desvío de recursos públicos. </w:t>
      </w:r>
    </w:p>
    <w:p w14:paraId="0F81B2DC"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IV.</w:t>
      </w:r>
      <w:r w:rsidRPr="00460C4E">
        <w:rPr>
          <w:rFonts w:ascii="Palatino Linotype" w:hAnsi="Palatino Linotype"/>
          <w:i/>
          <w:sz w:val="22"/>
        </w:rPr>
        <w:t xml:space="preserve"> La utilización indebida de información. </w:t>
      </w:r>
    </w:p>
    <w:p w14:paraId="7DB758B1"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V.</w:t>
      </w:r>
      <w:r w:rsidRPr="00460C4E">
        <w:rPr>
          <w:rFonts w:ascii="Palatino Linotype" w:hAnsi="Palatino Linotype"/>
          <w:i/>
          <w:sz w:val="22"/>
        </w:rPr>
        <w:t xml:space="preserve"> El abuso de funciones. </w:t>
      </w:r>
    </w:p>
    <w:p w14:paraId="7DD27608"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VI.</w:t>
      </w:r>
      <w:r w:rsidRPr="00460C4E">
        <w:rPr>
          <w:rFonts w:ascii="Palatino Linotype" w:hAnsi="Palatino Linotype"/>
          <w:i/>
          <w:sz w:val="22"/>
        </w:rPr>
        <w:t xml:space="preserve"> Cometer o tolerar conductas de hostigamiento y acoso sexual. </w:t>
      </w:r>
    </w:p>
    <w:p w14:paraId="0E071B4D"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VII.</w:t>
      </w:r>
      <w:r w:rsidRPr="00460C4E">
        <w:rPr>
          <w:rFonts w:ascii="Palatino Linotype" w:hAnsi="Palatino Linotype"/>
          <w:i/>
          <w:sz w:val="22"/>
        </w:rPr>
        <w:t xml:space="preserve"> El actuar bajo conflicto de interés. </w:t>
      </w:r>
    </w:p>
    <w:p w14:paraId="41AF1F55"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VIII.</w:t>
      </w:r>
      <w:r w:rsidRPr="00460C4E">
        <w:rPr>
          <w:rFonts w:ascii="Palatino Linotype" w:hAnsi="Palatino Linotype"/>
          <w:i/>
          <w:sz w:val="22"/>
        </w:rPr>
        <w:t xml:space="preserve"> La contratación indebida. </w:t>
      </w:r>
    </w:p>
    <w:p w14:paraId="7651C8DB"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IX.</w:t>
      </w:r>
      <w:r w:rsidRPr="00460C4E">
        <w:rPr>
          <w:rFonts w:ascii="Palatino Linotype" w:hAnsi="Palatino Linotype"/>
          <w:i/>
          <w:sz w:val="22"/>
        </w:rPr>
        <w:t xml:space="preserve"> El enriquecimiento oculto u ocultamiento de conflicto de interés. </w:t>
      </w:r>
    </w:p>
    <w:p w14:paraId="3A93769D"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X.</w:t>
      </w:r>
      <w:r w:rsidRPr="00460C4E">
        <w:rPr>
          <w:rFonts w:ascii="Palatino Linotype" w:hAnsi="Palatino Linotype"/>
          <w:i/>
          <w:sz w:val="22"/>
        </w:rPr>
        <w:t xml:space="preserve"> El tráfico de influencias. </w:t>
      </w:r>
    </w:p>
    <w:p w14:paraId="463A4505"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XI.</w:t>
      </w:r>
      <w:r w:rsidRPr="00460C4E">
        <w:rPr>
          <w:rFonts w:ascii="Palatino Linotype" w:hAnsi="Palatino Linotype"/>
          <w:i/>
          <w:sz w:val="22"/>
        </w:rPr>
        <w:t xml:space="preserve"> El encubrimiento. </w:t>
      </w:r>
    </w:p>
    <w:p w14:paraId="44769E71"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460C4E">
        <w:rPr>
          <w:rFonts w:ascii="Palatino Linotype" w:hAnsi="Palatino Linotype"/>
          <w:b/>
          <w:i/>
          <w:sz w:val="22"/>
        </w:rPr>
        <w:t>XII.</w:t>
      </w:r>
      <w:r w:rsidRPr="00460C4E">
        <w:rPr>
          <w:rFonts w:ascii="Palatino Linotype" w:hAnsi="Palatino Linotype"/>
          <w:i/>
          <w:sz w:val="22"/>
        </w:rPr>
        <w:t xml:space="preserve"> El desacato. </w:t>
      </w:r>
    </w:p>
    <w:p w14:paraId="15A935C9" w14:textId="77777777" w:rsidR="00F70DDB" w:rsidRPr="00460C4E" w:rsidRDefault="00F70DDB" w:rsidP="00F70DDB">
      <w:pPr>
        <w:pStyle w:val="Prrafodelista"/>
        <w:spacing w:before="100" w:beforeAutospacing="1" w:after="100" w:afterAutospacing="1" w:line="276" w:lineRule="auto"/>
        <w:ind w:left="567" w:right="567"/>
        <w:jc w:val="both"/>
        <w:rPr>
          <w:rFonts w:ascii="Palatino Linotype" w:eastAsia="Calibri" w:hAnsi="Palatino Linotype" w:cs="Arial"/>
          <w:i/>
          <w:sz w:val="22"/>
        </w:rPr>
      </w:pPr>
      <w:r w:rsidRPr="00460C4E">
        <w:rPr>
          <w:rFonts w:ascii="Palatino Linotype" w:hAnsi="Palatino Linotype"/>
          <w:b/>
          <w:i/>
          <w:sz w:val="22"/>
        </w:rPr>
        <w:t>XIII.</w:t>
      </w:r>
      <w:r w:rsidRPr="00460C4E">
        <w:rPr>
          <w:rFonts w:ascii="Palatino Linotype" w:hAnsi="Palatino Linotype"/>
          <w:i/>
          <w:sz w:val="22"/>
        </w:rPr>
        <w:t xml:space="preserve"> La obstrucción de la Justicia.”</w:t>
      </w:r>
    </w:p>
    <w:p w14:paraId="1781269B" w14:textId="77777777" w:rsidR="00F70DDB" w:rsidRDefault="00F70DDB" w:rsidP="00F70DDB">
      <w:pPr>
        <w:pStyle w:val="Prrafodelista"/>
        <w:tabs>
          <w:tab w:val="left" w:pos="426"/>
        </w:tabs>
        <w:spacing w:line="360" w:lineRule="auto"/>
        <w:ind w:left="0"/>
        <w:jc w:val="both"/>
        <w:rPr>
          <w:rFonts w:ascii="Palatino Linotype" w:hAnsi="Palatino Linotype"/>
        </w:rPr>
      </w:pPr>
    </w:p>
    <w:p w14:paraId="50B2BFD4" w14:textId="77777777" w:rsidR="00F70DDB" w:rsidRPr="005050D1"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rPr>
        <w:t xml:space="preserve">Dentro </w:t>
      </w:r>
      <w:r w:rsidRPr="005050D1">
        <w:rPr>
          <w:rFonts w:ascii="Palatino Linotype" w:hAnsi="Palatino Linotype"/>
          <w:lang w:val="es-ES_tradnl"/>
        </w:rPr>
        <w:t>de la etapa de investigación, las autoridades investigadoras deberán observar los principios de legalidad, imparcialidad, objetividad, congruencia, verdad material y respeto a los derechos humanos. Serán responsables de realizar con oportunidad, exhaustividad y eficiencia la investigación, la integralidad de los datos y documentos, así como el resguardo del expediente en su conjunto</w:t>
      </w:r>
      <w:r w:rsidRPr="005050D1">
        <w:rPr>
          <w:rFonts w:ascii="Palatino Linotype" w:hAnsi="Palatino Linotype"/>
          <w:vertAlign w:val="superscript"/>
          <w:lang w:val="es-ES_tradnl"/>
        </w:rPr>
        <w:footnoteReference w:id="20"/>
      </w:r>
      <w:r w:rsidRPr="005050D1">
        <w:rPr>
          <w:rFonts w:ascii="Palatino Linotype" w:hAnsi="Palatino Linotype"/>
          <w:lang w:val="es-ES_tradnl"/>
        </w:rPr>
        <w:t xml:space="preserve">.  En concordancia con lo anterior, llevarán de oficio las auditorías o investigaciones debidamente fundadas y motivadas respecto de las conductas de los servidores públicos y particulares que puedan constituir responsabilidades administrativas en </w:t>
      </w:r>
      <w:r w:rsidRPr="005050D1">
        <w:rPr>
          <w:rFonts w:ascii="Palatino Linotype" w:hAnsi="Palatino Linotype"/>
          <w:lang w:val="es-ES_tradnl"/>
        </w:rPr>
        <w:lastRenderedPageBreak/>
        <w:t>el ámbito de su competencia</w:t>
      </w:r>
      <w:r w:rsidRPr="005050D1">
        <w:rPr>
          <w:rFonts w:ascii="Palatino Linotype" w:hAnsi="Palatino Linotype"/>
          <w:vertAlign w:val="superscript"/>
          <w:lang w:val="es-ES_tradnl"/>
        </w:rPr>
        <w:footnoteReference w:id="21"/>
      </w:r>
      <w:r w:rsidRPr="005050D1">
        <w:rPr>
          <w:rFonts w:ascii="Palatino Linotype" w:hAnsi="Palatino Linotype"/>
          <w:lang w:val="es-ES_tradnl"/>
        </w:rPr>
        <w:t>. Para ello, tendrán acceso a toda la información necesaria para el esclarecimiento de los hechos, incluyendo aquélla que las disposiciones legales en la materia consideren con carácter de reservada o confidencial, siempre que esté relacionada con la comisión de infracciones a que se refiere la Ley de Responsabilidades Administrativas del Estado de México y Municipios, con la obligación de mantener la misma reserva o secrecía, conforme a lo que determinen las leyes; inclusive, podrán ordenar la práctica de visitas de verificación.</w:t>
      </w:r>
      <w:r w:rsidRPr="005050D1">
        <w:rPr>
          <w:rFonts w:ascii="Palatino Linotype" w:hAnsi="Palatino Linotype"/>
          <w:vertAlign w:val="superscript"/>
          <w:lang w:val="es-ES_tradnl"/>
        </w:rPr>
        <w:footnoteReference w:id="22"/>
      </w:r>
      <w:r w:rsidRPr="005050D1">
        <w:rPr>
          <w:rFonts w:ascii="Palatino Linotype" w:hAnsi="Palatino Linotype"/>
          <w:lang w:val="es-ES_tradnl"/>
        </w:rPr>
        <w:t xml:space="preserve"> La autoridad investigadora podrá hacer uso de las siguientes medidas para hacer cumplir sus determinaciones</w:t>
      </w:r>
      <w:r w:rsidRPr="005050D1">
        <w:rPr>
          <w:rFonts w:ascii="Palatino Linotype" w:hAnsi="Palatino Linotype"/>
          <w:vertAlign w:val="superscript"/>
          <w:lang w:val="es-ES_tradnl"/>
        </w:rPr>
        <w:footnoteReference w:id="23"/>
      </w:r>
      <w:r w:rsidRPr="005050D1">
        <w:rPr>
          <w:rFonts w:ascii="Palatino Linotype" w:hAnsi="Palatino Linotype"/>
          <w:lang w:val="es-ES_tradnl"/>
        </w:rPr>
        <w:t>:</w:t>
      </w:r>
    </w:p>
    <w:p w14:paraId="747618B4" w14:textId="77777777" w:rsidR="00F70DDB" w:rsidRPr="005050D1" w:rsidRDefault="00F70DDB" w:rsidP="00F70DDB">
      <w:pPr>
        <w:pStyle w:val="Prrafodelista"/>
        <w:numPr>
          <w:ilvl w:val="1"/>
          <w:numId w:val="1"/>
        </w:numPr>
        <w:tabs>
          <w:tab w:val="left" w:pos="426"/>
        </w:tabs>
        <w:spacing w:line="360" w:lineRule="auto"/>
        <w:ind w:left="1134" w:hanging="480"/>
        <w:jc w:val="both"/>
        <w:rPr>
          <w:rFonts w:ascii="Palatino Linotype" w:hAnsi="Palatino Linotype"/>
          <w:lang w:val="es-ES_tradnl"/>
        </w:rPr>
      </w:pPr>
      <w:r>
        <w:rPr>
          <w:rFonts w:ascii="Palatino Linotype" w:hAnsi="Palatino Linotype"/>
          <w:lang w:val="es-ES_tradnl"/>
        </w:rPr>
        <w:t xml:space="preserve">Multa </w:t>
      </w:r>
      <w:r w:rsidRPr="005050D1">
        <w:rPr>
          <w:rFonts w:ascii="Palatino Linotype" w:hAnsi="Palatino Linotype"/>
          <w:lang w:val="es-ES_tradnl"/>
        </w:rPr>
        <w:t xml:space="preserve">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 </w:t>
      </w:r>
    </w:p>
    <w:p w14:paraId="719EB8C9" w14:textId="77777777" w:rsidR="00F70DDB" w:rsidRPr="005050D1" w:rsidRDefault="00F70DDB" w:rsidP="00F70DDB">
      <w:pPr>
        <w:pStyle w:val="Prrafodelista"/>
        <w:numPr>
          <w:ilvl w:val="1"/>
          <w:numId w:val="1"/>
        </w:numPr>
        <w:tabs>
          <w:tab w:val="left" w:pos="426"/>
        </w:tabs>
        <w:spacing w:line="360" w:lineRule="auto"/>
        <w:ind w:left="1134" w:hanging="480"/>
        <w:jc w:val="both"/>
        <w:rPr>
          <w:rFonts w:ascii="Palatino Linotype" w:hAnsi="Palatino Linotype"/>
          <w:lang w:val="es-ES_tradnl"/>
        </w:rPr>
      </w:pPr>
      <w:r w:rsidRPr="005050D1">
        <w:rPr>
          <w:rFonts w:ascii="Palatino Linotype" w:hAnsi="Palatino Linotype"/>
          <w:lang w:val="es-ES_tradnl"/>
        </w:rPr>
        <w:t xml:space="preserve">Solicitar el auxilio de la fuerza pública de cualquier orden de gobierno estatal o municipal, los que deberán de atender de inmediato el requerimiento de la autoridad, o </w:t>
      </w:r>
    </w:p>
    <w:p w14:paraId="7123D98C" w14:textId="77777777" w:rsidR="00F70DDB" w:rsidRPr="005050D1" w:rsidRDefault="00F70DDB" w:rsidP="00F70DDB">
      <w:pPr>
        <w:pStyle w:val="Prrafodelista"/>
        <w:numPr>
          <w:ilvl w:val="1"/>
          <w:numId w:val="1"/>
        </w:numPr>
        <w:tabs>
          <w:tab w:val="left" w:pos="426"/>
        </w:tabs>
        <w:spacing w:line="360" w:lineRule="auto"/>
        <w:ind w:left="1134" w:hanging="480"/>
        <w:jc w:val="both"/>
        <w:rPr>
          <w:rFonts w:ascii="Palatino Linotype" w:hAnsi="Palatino Linotype"/>
          <w:lang w:val="es-ES_tradnl"/>
        </w:rPr>
      </w:pPr>
      <w:r w:rsidRPr="005050D1">
        <w:rPr>
          <w:rFonts w:ascii="Palatino Linotype" w:hAnsi="Palatino Linotype"/>
          <w:lang w:val="es-ES_tradnl"/>
        </w:rPr>
        <w:t>Arresto hasta por treinta y seis horas.</w:t>
      </w:r>
    </w:p>
    <w:p w14:paraId="075DCAAC" w14:textId="77777777" w:rsidR="00F70DDB" w:rsidRDefault="00F70DDB" w:rsidP="00F70DDB">
      <w:pPr>
        <w:pStyle w:val="Prrafodelista"/>
        <w:tabs>
          <w:tab w:val="left" w:pos="426"/>
        </w:tabs>
        <w:spacing w:line="360" w:lineRule="auto"/>
        <w:ind w:left="0"/>
        <w:jc w:val="both"/>
        <w:rPr>
          <w:rFonts w:ascii="Palatino Linotype" w:hAnsi="Palatino Linotype"/>
        </w:rPr>
      </w:pPr>
    </w:p>
    <w:p w14:paraId="3434D0DF" w14:textId="77777777" w:rsidR="00F70DDB"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rPr>
        <w:t xml:space="preserve">Una </w:t>
      </w:r>
      <w:r w:rsidRPr="005050D1">
        <w:rPr>
          <w:rFonts w:ascii="Palatino Linotype" w:hAnsi="Palatino Linotype"/>
          <w:lang w:val="es-ES_tradnl"/>
        </w:rPr>
        <w:t>vez concluidas las diligencias de investigación, las autoridades investigadoras procederán al análisis de los hechos, así como de la información recabada, a efecto de determinar la existencia o inexistencia de actos u omisiones que la Ley señale como falta administrativa</w:t>
      </w:r>
      <w:r w:rsidRPr="005050D1">
        <w:rPr>
          <w:rFonts w:ascii="Palatino Linotype" w:hAnsi="Palatino Linotype"/>
          <w:vertAlign w:val="superscript"/>
          <w:lang w:val="es-ES_tradnl"/>
        </w:rPr>
        <w:footnoteReference w:id="24"/>
      </w:r>
      <w:r w:rsidRPr="005050D1">
        <w:rPr>
          <w:rFonts w:ascii="Palatino Linotype" w:hAnsi="Palatino Linotype"/>
          <w:lang w:val="es-ES_tradnl"/>
        </w:rPr>
        <w:t xml:space="preserve">. De no encontrarse elementos </w:t>
      </w:r>
      <w:r w:rsidRPr="005050D1">
        <w:rPr>
          <w:rFonts w:ascii="Palatino Linotype" w:hAnsi="Palatino Linotype"/>
          <w:lang w:val="es-ES_tradnl"/>
        </w:rPr>
        <w:lastRenderedPageBreak/>
        <w:t>suficientes para demostrar la existencia de la infracción y acreditar la presunta responsabilidad del infractor, se emitirá un acuerdo de conclusión y archivo del expediente debidamente fundado y motivado, ello sin perjuicio de poder reabrir la investigación en el supuesto de presentarse nuevos indicios o pruebas y no hubiere prescrito la facultad para sancionar</w:t>
      </w:r>
      <w:r w:rsidRPr="005050D1">
        <w:rPr>
          <w:rFonts w:ascii="Palatino Linotype" w:hAnsi="Palatino Linotype"/>
          <w:vertAlign w:val="superscript"/>
          <w:lang w:val="es-ES_tradnl"/>
        </w:rPr>
        <w:footnoteReference w:id="25"/>
      </w:r>
      <w:r w:rsidRPr="005050D1">
        <w:rPr>
          <w:rFonts w:ascii="Palatino Linotype" w:hAnsi="Palatino Linotype"/>
          <w:lang w:val="es-ES_tradnl"/>
        </w:rPr>
        <w:t>.</w:t>
      </w:r>
    </w:p>
    <w:p w14:paraId="693DD12D" w14:textId="77777777" w:rsidR="00F70DDB" w:rsidRDefault="00F70DDB" w:rsidP="00F70DDB">
      <w:pPr>
        <w:pStyle w:val="Prrafodelista"/>
        <w:tabs>
          <w:tab w:val="left" w:pos="426"/>
        </w:tabs>
        <w:spacing w:line="360" w:lineRule="auto"/>
        <w:ind w:left="0"/>
        <w:jc w:val="both"/>
        <w:rPr>
          <w:rFonts w:ascii="Palatino Linotype" w:hAnsi="Palatino Linotype"/>
        </w:rPr>
      </w:pPr>
    </w:p>
    <w:p w14:paraId="038EA735" w14:textId="77777777" w:rsidR="00F70DDB"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rPr>
        <w:t>Empero</w:t>
      </w:r>
      <w:r w:rsidRPr="005050D1">
        <w:rPr>
          <w:rFonts w:ascii="Palatino Linotype" w:hAnsi="Palatino Linotype"/>
          <w:lang w:val="es-ES_tradnl"/>
        </w:rPr>
        <w:t xml:space="preserve">, si como resultado de la investigación y el análisis de los hechos y la información recabada, las autoridades investigadoras determinen calificar la conducta como una falta grave o no grave, ésta se incluirá en un documento denominado </w:t>
      </w:r>
      <w:r w:rsidRPr="005050D1">
        <w:rPr>
          <w:rFonts w:ascii="Palatino Linotype" w:hAnsi="Palatino Linotype"/>
          <w:b/>
          <w:lang w:val="es-ES_tradnl"/>
        </w:rPr>
        <w:t>Informe de Presunta Responsabilidad Administrativa</w:t>
      </w:r>
      <w:r w:rsidRPr="005050D1">
        <w:rPr>
          <w:rFonts w:ascii="Palatino Linotype" w:hAnsi="Palatino Linotype"/>
          <w:lang w:val="es-ES_tradnl"/>
        </w:rPr>
        <w:t>, que se presentará ante la autoridad sustanciadora a efecto de iniciar el procedimiento de responsabilidad administrativa correspondiente</w:t>
      </w:r>
      <w:r w:rsidRPr="005050D1">
        <w:rPr>
          <w:rFonts w:ascii="Palatino Linotype" w:hAnsi="Palatino Linotype"/>
          <w:vertAlign w:val="superscript"/>
          <w:lang w:val="es-ES_tradnl"/>
        </w:rPr>
        <w:footnoteReference w:id="26"/>
      </w:r>
      <w:r w:rsidRPr="005050D1">
        <w:rPr>
          <w:rFonts w:ascii="Palatino Linotype" w:hAnsi="Palatino Linotype"/>
          <w:lang w:val="es-ES_tradnl"/>
        </w:rPr>
        <w:t>.</w:t>
      </w:r>
    </w:p>
    <w:p w14:paraId="12B15966" w14:textId="77777777" w:rsidR="00F70DDB" w:rsidRDefault="00F70DDB" w:rsidP="00F70DDB">
      <w:pPr>
        <w:pStyle w:val="Prrafodelista"/>
        <w:tabs>
          <w:tab w:val="left" w:pos="426"/>
        </w:tabs>
        <w:spacing w:line="360" w:lineRule="auto"/>
        <w:ind w:left="0"/>
        <w:jc w:val="both"/>
        <w:rPr>
          <w:rFonts w:ascii="Palatino Linotype" w:hAnsi="Palatino Linotype"/>
        </w:rPr>
      </w:pPr>
    </w:p>
    <w:p w14:paraId="38BF59EC" w14:textId="25C5C6F7" w:rsidR="00F70DDB" w:rsidRDefault="00F70DDB" w:rsidP="00F70DDB">
      <w:pPr>
        <w:pStyle w:val="Prrafodelista"/>
        <w:numPr>
          <w:ilvl w:val="0"/>
          <w:numId w:val="1"/>
        </w:numPr>
        <w:tabs>
          <w:tab w:val="left" w:pos="426"/>
        </w:tabs>
        <w:spacing w:line="360" w:lineRule="auto"/>
        <w:jc w:val="both"/>
        <w:rPr>
          <w:rFonts w:ascii="Palatino Linotype" w:hAnsi="Palatino Linotype"/>
        </w:rPr>
      </w:pPr>
      <w:r w:rsidRPr="00197827">
        <w:rPr>
          <w:rFonts w:ascii="Palatino Linotype" w:hAnsi="Palatino Linotype"/>
          <w:b/>
          <w:bCs/>
        </w:rPr>
        <w:t xml:space="preserve">El </w:t>
      </w:r>
      <w:r w:rsidRPr="00197827">
        <w:rPr>
          <w:rFonts w:ascii="Palatino Linotype" w:hAnsi="Palatino Linotype"/>
          <w:b/>
          <w:bCs/>
          <w:lang w:val="es-ES_tradnl"/>
        </w:rPr>
        <w:t>procedimiento de responsabilidad administrativa dará inicio cuando las autoridades substanciadoras</w:t>
      </w:r>
      <w:r w:rsidRPr="005050D1">
        <w:rPr>
          <w:rFonts w:ascii="Palatino Linotype" w:hAnsi="Palatino Linotype"/>
          <w:lang w:val="es-ES_tradnl"/>
        </w:rPr>
        <w:t xml:space="preserve">, en el ámbito de su competencia, </w:t>
      </w:r>
      <w:r w:rsidRPr="00197827">
        <w:rPr>
          <w:rFonts w:ascii="Palatino Linotype" w:hAnsi="Palatino Linotype"/>
          <w:b/>
          <w:bCs/>
          <w:lang w:val="es-ES_tradnl"/>
        </w:rPr>
        <w:t xml:space="preserve">admitan el </w:t>
      </w:r>
      <w:r w:rsidR="00197827">
        <w:rPr>
          <w:rFonts w:ascii="Palatino Linotype" w:hAnsi="Palatino Linotype"/>
          <w:b/>
          <w:bCs/>
          <w:lang w:val="es-ES_tradnl"/>
        </w:rPr>
        <w:t>I</w:t>
      </w:r>
      <w:r w:rsidRPr="00197827">
        <w:rPr>
          <w:rFonts w:ascii="Palatino Linotype" w:hAnsi="Palatino Linotype"/>
          <w:b/>
          <w:bCs/>
          <w:lang w:val="es-ES_tradnl"/>
        </w:rPr>
        <w:t xml:space="preserve">nforme de </w:t>
      </w:r>
      <w:r w:rsidR="00197827">
        <w:rPr>
          <w:rFonts w:ascii="Palatino Linotype" w:hAnsi="Palatino Linotype"/>
          <w:b/>
          <w:bCs/>
          <w:lang w:val="es-ES_tradnl"/>
        </w:rPr>
        <w:t>Presunta Responsabilidad Administrativa</w:t>
      </w:r>
      <w:r w:rsidRPr="005050D1">
        <w:rPr>
          <w:rFonts w:ascii="Palatino Linotype" w:hAnsi="Palatino Linotype"/>
          <w:vertAlign w:val="superscript"/>
          <w:lang w:val="es-ES_tradnl"/>
        </w:rPr>
        <w:footnoteReference w:id="27"/>
      </w:r>
      <w:r>
        <w:rPr>
          <w:rFonts w:ascii="Palatino Linotype" w:hAnsi="Palatino Linotype"/>
          <w:lang w:val="es-ES_tradnl"/>
        </w:rPr>
        <w:t>,</w:t>
      </w:r>
      <w:r w:rsidRPr="005050D1">
        <w:rPr>
          <w:rFonts w:ascii="Palatino Linotype" w:hAnsi="Palatino Linotype"/>
          <w:lang w:val="es-ES_tradnl"/>
        </w:rPr>
        <w:t xml:space="preserve"> el cual, implica que la autoridad investigadora concluyó la existencia de elementos de prueba consolidados y suficientes para determinar la existencia de una conducta orientada en contra del buen gobierno, misma que ha sido calificada como grave o no grave de acuerdo con los elementos y naturaleza de la conducta. Se insiste, la autoridad a quien se encomiende la sustanciación y, en su caso, la resolución del procedimiento de responsabilidad administrativa</w:t>
      </w:r>
      <w:r w:rsidR="00197827">
        <w:rPr>
          <w:rFonts w:ascii="Palatino Linotype" w:hAnsi="Palatino Linotype"/>
          <w:lang w:val="es-ES_tradnl"/>
        </w:rPr>
        <w:t>,</w:t>
      </w:r>
      <w:r w:rsidRPr="005050D1">
        <w:rPr>
          <w:rFonts w:ascii="Palatino Linotype" w:hAnsi="Palatino Linotype"/>
          <w:lang w:val="es-ES_tradnl"/>
        </w:rPr>
        <w:t xml:space="preserve"> deberá ser distinto de aquél o aquellos encargados de la investigación. Para tal efecto, </w:t>
      </w:r>
      <w:r w:rsidRPr="005050D1">
        <w:rPr>
          <w:rFonts w:ascii="Palatino Linotype" w:hAnsi="Palatino Linotype"/>
          <w:b/>
          <w:lang w:val="es-ES_tradnl"/>
        </w:rPr>
        <w:t xml:space="preserve">el Órgano Interno de Control contará con la </w:t>
      </w:r>
      <w:r w:rsidRPr="005050D1">
        <w:rPr>
          <w:rFonts w:ascii="Palatino Linotype" w:hAnsi="Palatino Linotype"/>
          <w:b/>
          <w:lang w:val="es-ES_tradnl"/>
        </w:rPr>
        <w:lastRenderedPageBreak/>
        <w:t>estructura orgánica necesaria para realizar las funciones correspondientes a las autoridades investigadoras y substanciadoras y garantizará la independencia entre ambas en el ejercicio de sus funciones</w:t>
      </w:r>
      <w:r w:rsidRPr="005050D1">
        <w:rPr>
          <w:rFonts w:ascii="Palatino Linotype" w:hAnsi="Palatino Linotype"/>
          <w:vertAlign w:val="superscript"/>
          <w:lang w:val="es-ES_tradnl"/>
        </w:rPr>
        <w:footnoteReference w:id="28"/>
      </w:r>
      <w:r w:rsidRPr="005050D1">
        <w:rPr>
          <w:rFonts w:ascii="Palatino Linotype" w:hAnsi="Palatino Linotype"/>
          <w:lang w:val="es-ES_tradnl"/>
        </w:rPr>
        <w:t>.</w:t>
      </w:r>
    </w:p>
    <w:p w14:paraId="1FE99199" w14:textId="77777777" w:rsidR="00F70DDB" w:rsidRDefault="00F70DDB" w:rsidP="00F70DDB">
      <w:pPr>
        <w:pStyle w:val="Prrafodelista"/>
        <w:tabs>
          <w:tab w:val="left" w:pos="426"/>
        </w:tabs>
        <w:spacing w:line="360" w:lineRule="auto"/>
        <w:ind w:left="0"/>
        <w:jc w:val="both"/>
        <w:rPr>
          <w:rFonts w:ascii="Palatino Linotype" w:hAnsi="Palatino Linotype"/>
        </w:rPr>
      </w:pPr>
    </w:p>
    <w:p w14:paraId="5E834C68" w14:textId="77777777" w:rsidR="00F70DDB"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rPr>
        <w:t xml:space="preserve">Ahora </w:t>
      </w:r>
      <w:r w:rsidRPr="005050D1">
        <w:rPr>
          <w:rFonts w:ascii="Palatino Linotype" w:hAnsi="Palatino Linotype"/>
          <w:lang w:val="es-ES_tradnl"/>
        </w:rPr>
        <w:t xml:space="preserve">bien, por cuanto hace al procedimiento administrativo relacionado con las </w:t>
      </w:r>
      <w:r w:rsidRPr="00197827">
        <w:rPr>
          <w:rFonts w:ascii="Palatino Linotype" w:hAnsi="Palatino Linotype"/>
          <w:b/>
          <w:bCs/>
          <w:lang w:val="es-ES_tradnl"/>
        </w:rPr>
        <w:t>faltas administrativas no graves</w:t>
      </w:r>
      <w:r w:rsidRPr="005050D1">
        <w:rPr>
          <w:rFonts w:ascii="Palatino Linotype" w:hAnsi="Palatino Linotype"/>
          <w:lang w:val="es-ES_tradnl"/>
        </w:rPr>
        <w:t>, el artículo 194 de la Ley de Responsabilidades Administrativas del Estado de México y Municipios expone que se desarrollará de la siguiente manera:</w:t>
      </w:r>
    </w:p>
    <w:p w14:paraId="6E1729F7" w14:textId="77777777" w:rsidR="00F70DDB" w:rsidRDefault="00F70DDB" w:rsidP="00F70DDB">
      <w:pPr>
        <w:pStyle w:val="Prrafodelista"/>
        <w:tabs>
          <w:tab w:val="left" w:pos="426"/>
        </w:tabs>
        <w:spacing w:line="360" w:lineRule="auto"/>
        <w:ind w:left="0"/>
        <w:jc w:val="both"/>
        <w:rPr>
          <w:rFonts w:ascii="Palatino Linotype" w:hAnsi="Palatino Linotype"/>
        </w:rPr>
      </w:pPr>
    </w:p>
    <w:p w14:paraId="09B1D00F"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w:t>
      </w:r>
      <w:r w:rsidRPr="00AF6225">
        <w:rPr>
          <w:rFonts w:ascii="Palatino Linotype" w:hAnsi="Palatino Linotype"/>
          <w:i/>
          <w:sz w:val="22"/>
        </w:rPr>
        <w:t xml:space="preserve">. La autoridad investigadora deberá presentar ante la autoridad substanciadora el informe de presunta responsabilidad administrativa, la cual, dentro de los tres días hábiles siguientes, se pronunciará sobre su admisión, pudiendo prevenir a la autoridad investigadora para que subsane las omisiones que advierta, o que aclare los hechos narrados en dicho informe. </w:t>
      </w:r>
    </w:p>
    <w:p w14:paraId="05879583"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II.</w:t>
      </w:r>
      <w:r w:rsidRPr="00AF6225">
        <w:rPr>
          <w:rFonts w:ascii="Palatino Linotype" w:hAnsi="Palatino Linotype"/>
          <w:i/>
          <w:sz w:val="22"/>
        </w:rPr>
        <w:t xml:space="preserve"> 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verificativo, así como la autoridad ante la que deberá comparecer. </w:t>
      </w:r>
    </w:p>
    <w:p w14:paraId="3D7F6FB2"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Del mismo modo, le hará saber el derecho que tiene de no declarar en contra de sí mismo, ni a declararse culpable, de defenderse personalmente o ser asistido por un defensor perito en la materia y de no contar con uno, le será designado un defensor de oficio.</w:t>
      </w:r>
    </w:p>
    <w:p w14:paraId="5CECE6D7"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III.</w:t>
      </w:r>
      <w:r w:rsidRPr="00AF6225">
        <w:rPr>
          <w:rFonts w:ascii="Palatino Linotype" w:hAnsi="Palatino Linotype"/>
          <w:i/>
          <w:sz w:val="22"/>
        </w:rPr>
        <w:t xml:space="preserve"> Entre la fecha del emplazamiento y la del desahogo de la audiencia inicial, deberá mediar un plazo no menor de diez ni mayor de quince días hábiles. </w:t>
      </w:r>
    </w:p>
    <w:p w14:paraId="0760A485"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El diferimiento de la audiencia sólo podrá otorgarse por causas de caso fortuito o de fuerza mayor debidamente justificadas o en aquellos casos en que se señale. </w:t>
      </w:r>
    </w:p>
    <w:p w14:paraId="219430B3"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IV.</w:t>
      </w:r>
      <w:r w:rsidRPr="00AF6225">
        <w:rPr>
          <w:rFonts w:ascii="Palatino Linotype" w:hAnsi="Palatino Linotype"/>
          <w:i/>
          <w:sz w:val="22"/>
        </w:rPr>
        <w:t xml:space="preserve"> Previo a la celebración de la audiencia inicial, la autoridad substanciadora deberá citar a las demás partes que deban concurrir al procedimiento, cuando menos con setenta y dos horas de anticipación. </w:t>
      </w:r>
    </w:p>
    <w:p w14:paraId="4D1D0736"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lastRenderedPageBreak/>
        <w:t>V.</w:t>
      </w:r>
      <w:r w:rsidRPr="00AF6225">
        <w:rPr>
          <w:rFonts w:ascii="Palatino Linotype" w:hAnsi="Palatino Linotype"/>
          <w:i/>
          <w:sz w:val="22"/>
        </w:rPr>
        <w:t xml:space="preserve"> El día y hora señalado para la audiencia inicial el presunto responsable rendirá su declaración por escrito o verbalmente y deberá ofrecer las pruebas que considere pertinentes. </w:t>
      </w:r>
    </w:p>
    <w:p w14:paraId="6DAA87B1"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En caso de tratarse de pruebas documentales, deberá exhibir todas las que tenga en su poder, o las que no estándolo, conste que las solicitó a través del acuse de recibo correspondiente debidamente sellado por la autoridad competente.</w:t>
      </w:r>
    </w:p>
    <w:p w14:paraId="422492C7"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Tratándose de documentos que obren en poder de terceros y que no pudo conseguirlos por obrar en archivos privados, deberá señalar el archivo donde se encuentren o la persona que los tenga a su cuidado para que, en su caso, le sean requeridos en los términos previstos en la presente Ley. </w:t>
      </w:r>
    </w:p>
    <w:p w14:paraId="101FB157"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VI.</w:t>
      </w:r>
      <w:r w:rsidRPr="00AF6225">
        <w:rPr>
          <w:rFonts w:ascii="Palatino Linotype" w:hAnsi="Palatino Linotype"/>
          <w:i/>
          <w:sz w:val="22"/>
        </w:rPr>
        <w:t xml:space="preserve"> 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por el acuse de recibo correspondiente.</w:t>
      </w:r>
    </w:p>
    <w:p w14:paraId="2AE3104D"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Tratándose de documentos que obren en poder de terceros y que no pudieron conseguirlos por obrar en archivos privados, deberán señalar el archivo donde se encuentren o la persona que los tenga a su cuidado para que, en su caso, le sean requeridos. </w:t>
      </w:r>
    </w:p>
    <w:p w14:paraId="63F52E91"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VII.</w:t>
      </w:r>
      <w:r w:rsidRPr="00AF6225">
        <w:rPr>
          <w:rFonts w:ascii="Palatino Linotype" w:hAnsi="Palatino Linotype"/>
          <w:i/>
          <w:sz w:val="22"/>
        </w:rPr>
        <w:t xml:space="preserve"> Una vez que las partes hayan manifestado durante la audiencia inicial lo que a su derecho convenga y ofrecido sus respectivas pruebas, la autoridad substanciadora declarará cerrada dicha audiencia inicial, posteriormente las partes no podrán ofrecer más pruebas, salvo las que sean supervenientes. </w:t>
      </w:r>
    </w:p>
    <w:p w14:paraId="50084D49"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VIII.</w:t>
      </w:r>
      <w:r w:rsidRPr="00AF6225">
        <w:rPr>
          <w:rFonts w:ascii="Palatino Linotype" w:hAnsi="Palatino Linotype"/>
          <w:i/>
          <w:sz w:val="22"/>
        </w:rPr>
        <w:t xml:space="preserve"> Dentro de los quince días hábiles siguientes al cierre de la audiencia inicial, la autoridad substanciadora deberá emitir el acuerdo de admisión de pruebas que corresponda, donde deberá ordenar las diligencias necesarias para su preparación y desahogo. </w:t>
      </w:r>
    </w:p>
    <w:p w14:paraId="6989D6D6"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IX.</w:t>
      </w:r>
      <w:r w:rsidRPr="00AF6225">
        <w:rPr>
          <w:rFonts w:ascii="Palatino Linotype" w:hAnsi="Palatino Linotype"/>
          <w:i/>
          <w:sz w:val="22"/>
        </w:rPr>
        <w:t xml:space="preserve"> 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 </w:t>
      </w:r>
    </w:p>
    <w:p w14:paraId="6803D078"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X</w:t>
      </w:r>
      <w:r w:rsidRPr="00AF6225">
        <w:rPr>
          <w:rFonts w:ascii="Palatino Linotype" w:hAnsi="Palatino Linotype"/>
          <w:i/>
          <w:sz w:val="22"/>
        </w:rPr>
        <w:t xml:space="preserve">. Una vez trascurrido el periodo de alegatos, la autoridad resolutora, de oficio, declarará cerrada la instrucción y citará a las partes para oír la resolución que corresponda, la cual deberá dictarse en un plazo no mayor a treinta días hábiles, el cual podrá ampliarse por una sola vez por un término igual cuando la complejidad del asunto así lo requiera, debiendo fundar y motivar las causas para ello. </w:t>
      </w:r>
    </w:p>
    <w:p w14:paraId="756167AD"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eastAsia="Calibri" w:hAnsi="Palatino Linotype" w:cs="Arial"/>
          <w:i/>
          <w:sz w:val="22"/>
        </w:rPr>
      </w:pPr>
      <w:r w:rsidRPr="00AF6225">
        <w:rPr>
          <w:rFonts w:ascii="Palatino Linotype" w:hAnsi="Palatino Linotype"/>
          <w:b/>
          <w:i/>
          <w:sz w:val="22"/>
        </w:rPr>
        <w:lastRenderedPageBreak/>
        <w:t>XI.</w:t>
      </w:r>
      <w:r w:rsidRPr="00AF6225">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34D3611E" w14:textId="77777777" w:rsidR="00F70DDB" w:rsidRDefault="00F70DDB" w:rsidP="00F70DDB">
      <w:pPr>
        <w:pStyle w:val="Prrafodelista"/>
        <w:tabs>
          <w:tab w:val="left" w:pos="426"/>
        </w:tabs>
        <w:spacing w:line="360" w:lineRule="auto"/>
        <w:ind w:left="0"/>
        <w:jc w:val="both"/>
        <w:rPr>
          <w:rFonts w:ascii="Palatino Linotype" w:hAnsi="Palatino Linotype"/>
        </w:rPr>
      </w:pPr>
    </w:p>
    <w:p w14:paraId="2C418CBF" w14:textId="77777777" w:rsidR="00F70DDB" w:rsidRDefault="00F70DDB" w:rsidP="00F70DDB">
      <w:pPr>
        <w:pStyle w:val="Prrafodelista"/>
        <w:numPr>
          <w:ilvl w:val="0"/>
          <w:numId w:val="1"/>
        </w:numPr>
        <w:tabs>
          <w:tab w:val="left" w:pos="426"/>
        </w:tabs>
        <w:spacing w:line="360" w:lineRule="auto"/>
        <w:jc w:val="both"/>
        <w:rPr>
          <w:rFonts w:ascii="Palatino Linotype" w:hAnsi="Palatino Linotype"/>
        </w:rPr>
      </w:pPr>
      <w:r w:rsidRPr="00197827">
        <w:rPr>
          <w:rFonts w:ascii="Palatino Linotype" w:hAnsi="Palatino Linotype"/>
          <w:b/>
          <w:bCs/>
        </w:rPr>
        <w:t xml:space="preserve">Para </w:t>
      </w:r>
      <w:r w:rsidRPr="00197827">
        <w:rPr>
          <w:rFonts w:ascii="Palatino Linotype" w:hAnsi="Palatino Linotype"/>
          <w:b/>
          <w:bCs/>
          <w:lang w:val="es-ES_tradnl"/>
        </w:rPr>
        <w:t>el caso de las faltas administrativas graves</w:t>
      </w:r>
      <w:r w:rsidRPr="005050D1">
        <w:rPr>
          <w:rFonts w:ascii="Palatino Linotype" w:hAnsi="Palatino Linotype"/>
          <w:lang w:val="es-ES_tradnl"/>
        </w:rPr>
        <w:t xml:space="preserve"> o faltas de particulares, </w:t>
      </w:r>
      <w:r w:rsidRPr="00197827">
        <w:rPr>
          <w:rFonts w:ascii="Palatino Linotype" w:hAnsi="Palatino Linotype"/>
          <w:b/>
          <w:bCs/>
          <w:lang w:val="es-ES_tradnl"/>
        </w:rPr>
        <w:t>el procedimiento de responsabilidad administrativa se llevará ante el Tribunal de Justicia Administrativa del Estado de México y Municipios</w:t>
      </w:r>
      <w:r w:rsidRPr="005050D1">
        <w:rPr>
          <w:rFonts w:ascii="Palatino Linotype" w:hAnsi="Palatino Linotype"/>
          <w:lang w:val="es-ES_tradnl"/>
        </w:rPr>
        <w:t>; y, de acuerdo con el numeral 195 de la Ley de Responsabilidades Administrativas del Estado de México y Municipios, el proceso se llevará a cabo de la siguiente forma:</w:t>
      </w:r>
    </w:p>
    <w:p w14:paraId="69C154D9" w14:textId="77777777" w:rsidR="00F70DDB" w:rsidRDefault="00F70DDB" w:rsidP="00F70DDB">
      <w:pPr>
        <w:pStyle w:val="Prrafodelista"/>
        <w:tabs>
          <w:tab w:val="left" w:pos="426"/>
        </w:tabs>
        <w:spacing w:line="360" w:lineRule="auto"/>
        <w:ind w:left="0"/>
        <w:jc w:val="both"/>
        <w:rPr>
          <w:rFonts w:ascii="Palatino Linotype" w:hAnsi="Palatino Linotype"/>
        </w:rPr>
      </w:pPr>
    </w:p>
    <w:p w14:paraId="38E10464"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“Las autoridades substanciadoras deberán observar lo dispuesto en las fracciones I a la VII del artículo anterior, posteriormente procederán en los siguientes términos: </w:t>
      </w:r>
    </w:p>
    <w:p w14:paraId="2B7237F6"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w:t>
      </w:r>
      <w:r w:rsidRPr="00AF6225">
        <w:rPr>
          <w:rFonts w:ascii="Palatino Linotype" w:hAnsi="Palatino Linotype"/>
          <w:i/>
          <w:sz w:val="22"/>
        </w:rPr>
        <w:t xml:space="preserve"> Dentro de los tres días hábiles siguientes de haber concluido la audiencia inicial, la autoridad substanciadora deberá, bajo su responsabilidad, enviar al Tribunal, los autos originales del expediente, así como notificar a las partes la fecha de su envío, indicando el domicilio del Tribunal encargado de la resolución del asunto.</w:t>
      </w:r>
    </w:p>
    <w:p w14:paraId="57D9A4B8"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II.</w:t>
      </w:r>
      <w:r w:rsidRPr="00AF6225">
        <w:rPr>
          <w:rFonts w:ascii="Palatino Linotype" w:hAnsi="Palatino Linotype"/>
          <w:i/>
          <w:sz w:val="22"/>
        </w:rPr>
        <w:t xml:space="preserve"> Cuando el Tribunal reciba el expediente, bajo su más estricta responsabilidad, deberá verificar que la falta descrita en el informe de presunta responsabilidad administrativa sea de las consideradas como graves. </w:t>
      </w:r>
    </w:p>
    <w:p w14:paraId="53910434"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7D5B252A"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2CADBA24"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lastRenderedPageBreak/>
        <w:t xml:space="preserve">Una vez que el Tribunal haya determinado su competencia y en su caso, se haya solventado la reclasificación, deberá notificar personalmente a las partes sobre la recepción del expediente. </w:t>
      </w:r>
    </w:p>
    <w:p w14:paraId="1FCAB08D"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i/>
          <w:sz w:val="22"/>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3DE3D0EA"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III.</w:t>
      </w:r>
      <w:r w:rsidRPr="00AF6225">
        <w:rPr>
          <w:rFonts w:ascii="Palatino Linotype" w:hAnsi="Palatino Linotype"/>
          <w:i/>
          <w:sz w:val="22"/>
        </w:rPr>
        <w:t xml:space="preserve"> Concluido el desahogo de las pruebas ofrecidas por las partes y si no existieran diligencias pendientes para mejor proveer o más pruebas que desahogar, el Tribunal declarará abierto el periodo de alegatos por un término de cinco días hábiles comunes para las partes. </w:t>
      </w:r>
    </w:p>
    <w:p w14:paraId="67D2639E"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IV.</w:t>
      </w:r>
      <w:r w:rsidRPr="00AF6225">
        <w:rPr>
          <w:rFonts w:ascii="Palatino Linotype" w:hAnsi="Palatino Linotype"/>
          <w:i/>
          <w:sz w:val="22"/>
        </w:rPr>
        <w:t xml:space="preserve"> Una vez trascurrido el periodo de alegatos, el Tribunal, de oficio, declarará cerrada la instrucción y citará a las partes para oír la resolución que corresponda, la cual deberá dictarse en un plazo no mayor a treinta días hábiles, el cual podrá ampliarse por un término igual, cuando la complejidad del asunto así lo requiera debiendo fundar y motivar las causas para ello. </w:t>
      </w:r>
    </w:p>
    <w:p w14:paraId="0D449099" w14:textId="77777777" w:rsidR="00F70DDB" w:rsidRPr="00AF6225" w:rsidRDefault="00F70DDB" w:rsidP="00F70DDB">
      <w:pPr>
        <w:pStyle w:val="Prrafodelista"/>
        <w:spacing w:before="100" w:beforeAutospacing="1" w:after="100" w:afterAutospacing="1" w:line="276" w:lineRule="auto"/>
        <w:ind w:left="567" w:right="567"/>
        <w:jc w:val="both"/>
        <w:rPr>
          <w:rFonts w:ascii="Palatino Linotype" w:hAnsi="Palatino Linotype"/>
          <w:i/>
          <w:sz w:val="22"/>
        </w:rPr>
      </w:pPr>
      <w:r w:rsidRPr="00AF6225">
        <w:rPr>
          <w:rFonts w:ascii="Palatino Linotype" w:hAnsi="Palatino Linotype"/>
          <w:b/>
          <w:i/>
          <w:sz w:val="22"/>
        </w:rPr>
        <w:t>V.</w:t>
      </w:r>
      <w:r w:rsidRPr="00AF6225">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1A6BFC26" w14:textId="77777777" w:rsidR="00F70DDB" w:rsidRDefault="00F70DDB" w:rsidP="00F70DDB">
      <w:pPr>
        <w:pStyle w:val="Prrafodelista"/>
        <w:tabs>
          <w:tab w:val="left" w:pos="426"/>
        </w:tabs>
        <w:spacing w:line="360" w:lineRule="auto"/>
        <w:ind w:left="0"/>
        <w:jc w:val="both"/>
        <w:rPr>
          <w:rFonts w:ascii="Palatino Linotype" w:hAnsi="Palatino Linotype"/>
        </w:rPr>
      </w:pPr>
    </w:p>
    <w:p w14:paraId="3BB50AFB" w14:textId="77777777" w:rsidR="00F70DDB"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5050D1">
        <w:rPr>
          <w:rFonts w:ascii="Palatino Linotype" w:hAnsi="Palatino Linotype"/>
          <w:lang w:val="es-ES_tradnl"/>
        </w:rPr>
        <w:t>lo anterior expuesto podemos co</w:t>
      </w:r>
      <w:r>
        <w:rPr>
          <w:rFonts w:ascii="Palatino Linotype" w:hAnsi="Palatino Linotype"/>
          <w:lang w:val="es-ES_tradnl"/>
        </w:rPr>
        <w:t xml:space="preserve">ncluir que, </w:t>
      </w:r>
      <w:r w:rsidRPr="00AF6225">
        <w:rPr>
          <w:rFonts w:ascii="Palatino Linotype" w:hAnsi="Palatino Linotype"/>
          <w:b/>
          <w:lang w:val="es-ES_tradnl"/>
        </w:rPr>
        <w:t>por cuanto hace a los expedientes generados por responsabilidades administrativas no graves, la actuación del Órgano Interno de Control trasciende hasta la resolución del conflicto</w:t>
      </w:r>
      <w:r>
        <w:rPr>
          <w:rFonts w:ascii="Palatino Linotype" w:hAnsi="Palatino Linotype"/>
          <w:lang w:val="es-ES_tradnl"/>
        </w:rPr>
        <w:t>;</w:t>
      </w:r>
      <w:r w:rsidRPr="005050D1">
        <w:rPr>
          <w:rFonts w:ascii="Palatino Linotype" w:hAnsi="Palatino Linotype"/>
          <w:lang w:val="es-ES_tradnl"/>
        </w:rPr>
        <w:t xml:space="preserve"> </w:t>
      </w:r>
      <w:r>
        <w:rPr>
          <w:rFonts w:ascii="Palatino Linotype" w:hAnsi="Palatino Linotype"/>
          <w:lang w:val="es-ES_tradnl"/>
        </w:rPr>
        <w:t>mientras que</w:t>
      </w:r>
      <w:r w:rsidRPr="005050D1">
        <w:rPr>
          <w:rFonts w:ascii="Palatino Linotype" w:hAnsi="Palatino Linotype"/>
          <w:lang w:val="es-ES_tradnl"/>
        </w:rPr>
        <w:t xml:space="preserve"> </w:t>
      </w:r>
      <w:r w:rsidRPr="00AF6225">
        <w:rPr>
          <w:rFonts w:ascii="Palatino Linotype" w:hAnsi="Palatino Linotype"/>
          <w:b/>
          <w:lang w:val="es-ES_tradnl"/>
        </w:rPr>
        <w:t xml:space="preserve">en las responsabilidades administrativas graves, una vez desahogada la audiencia inicial, </w:t>
      </w:r>
      <w:r>
        <w:rPr>
          <w:rFonts w:ascii="Palatino Linotype" w:hAnsi="Palatino Linotype"/>
          <w:b/>
          <w:lang w:val="es-ES_tradnl"/>
        </w:rPr>
        <w:t xml:space="preserve">se </w:t>
      </w:r>
      <w:r w:rsidRPr="00AF6225">
        <w:rPr>
          <w:rFonts w:ascii="Palatino Linotype" w:hAnsi="Palatino Linotype"/>
          <w:b/>
          <w:lang w:val="es-ES_tradnl"/>
        </w:rPr>
        <w:t>deberá remitir el expediente al Juzgador Administrativo Estatal,</w:t>
      </w:r>
      <w:r w:rsidRPr="005050D1">
        <w:rPr>
          <w:rFonts w:ascii="Palatino Linotype" w:hAnsi="Palatino Linotype"/>
          <w:lang w:val="es-ES_tradnl"/>
        </w:rPr>
        <w:t xml:space="preserve"> quien será el encargado de emitir la resolución.</w:t>
      </w:r>
    </w:p>
    <w:p w14:paraId="2B731C79" w14:textId="77777777" w:rsidR="00F70DDB" w:rsidRDefault="00F70DDB" w:rsidP="00F70DDB">
      <w:pPr>
        <w:pStyle w:val="Prrafodelista"/>
        <w:tabs>
          <w:tab w:val="left" w:pos="426"/>
        </w:tabs>
        <w:spacing w:before="240" w:after="240" w:line="360" w:lineRule="auto"/>
        <w:ind w:left="0" w:right="51"/>
        <w:jc w:val="both"/>
        <w:rPr>
          <w:rFonts w:ascii="Palatino Linotype" w:hAnsi="Palatino Linotype"/>
          <w:color w:val="000000" w:themeColor="text1"/>
        </w:rPr>
      </w:pPr>
    </w:p>
    <w:p w14:paraId="20D9C2A6" w14:textId="77777777" w:rsidR="00366A7A" w:rsidRPr="00366A7A"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color w:val="000000" w:themeColor="text1"/>
        </w:rPr>
        <w:t xml:space="preserve">Por </w:t>
      </w:r>
      <w:r w:rsidRPr="00BB5B0F">
        <w:rPr>
          <w:rFonts w:ascii="Palatino Linotype" w:hAnsi="Palatino Linotype"/>
        </w:rPr>
        <w:t xml:space="preserve">lo que una vez </w:t>
      </w:r>
      <w:r w:rsidRPr="00BB5B0F">
        <w:rPr>
          <w:rFonts w:ascii="Palatino Linotype" w:hAnsi="Palatino Linotype"/>
          <w:lang w:val="es-ES_tradnl"/>
        </w:rPr>
        <w:t xml:space="preserve">analizado la línea procesal que presupone un procedimiento por responsabilidades administrativas, podemos apreciar la complejidad de su propia naturaleza, ello en el tenor de que no todos los expedientes existen, </w:t>
      </w:r>
      <w:r w:rsidRPr="00BB5B0F">
        <w:rPr>
          <w:rFonts w:ascii="Palatino Linotype" w:hAnsi="Palatino Linotype"/>
          <w:lang w:val="es-ES_tradnl"/>
        </w:rPr>
        <w:lastRenderedPageBreak/>
        <w:t xml:space="preserve">necesariamente, bajo las mismas circunstancias procesales y gravosas. Ello es así, ya que, por un lado, </w:t>
      </w:r>
      <w:r w:rsidRPr="00DB637E">
        <w:rPr>
          <w:rFonts w:ascii="Palatino Linotype" w:hAnsi="Palatino Linotype"/>
          <w:b/>
          <w:lang w:val="es-ES_tradnl"/>
        </w:rPr>
        <w:t>la calificación de la conducta que realice la autoridad investigadora derivado de la presentación de una queja o denuncia será determinada como una</w:t>
      </w:r>
      <w:r w:rsidRPr="00BB5B0F">
        <w:rPr>
          <w:rFonts w:ascii="Palatino Linotype" w:hAnsi="Palatino Linotype"/>
          <w:lang w:val="es-ES_tradnl"/>
        </w:rPr>
        <w:t xml:space="preserve"> </w:t>
      </w:r>
      <w:r w:rsidRPr="00C85A48">
        <w:rPr>
          <w:rFonts w:ascii="Palatino Linotype" w:hAnsi="Palatino Linotype"/>
          <w:b/>
          <w:lang w:val="es-ES_tradnl"/>
        </w:rPr>
        <w:t>falta administrativa grave o no grave</w:t>
      </w:r>
      <w:r w:rsidRPr="00BB5B0F">
        <w:rPr>
          <w:rFonts w:ascii="Palatino Linotype" w:hAnsi="Palatino Linotype"/>
          <w:lang w:val="es-ES_tradnl"/>
        </w:rPr>
        <w:t xml:space="preserve">; y, por otro lado, los expedientes podrán encontrarse en las siguientes condiciones: </w:t>
      </w:r>
    </w:p>
    <w:p w14:paraId="49A548C2" w14:textId="54A0505A" w:rsidR="00366A7A" w:rsidRPr="00366A7A" w:rsidRDefault="00366A7A" w:rsidP="00366A7A">
      <w:pPr>
        <w:pStyle w:val="Prrafodelista"/>
        <w:numPr>
          <w:ilvl w:val="1"/>
          <w:numId w:val="18"/>
        </w:numPr>
        <w:tabs>
          <w:tab w:val="left" w:pos="426"/>
        </w:tabs>
        <w:spacing w:line="360" w:lineRule="auto"/>
        <w:ind w:left="1134"/>
        <w:jc w:val="both"/>
        <w:rPr>
          <w:rFonts w:ascii="Palatino Linotype" w:hAnsi="Palatino Linotype"/>
        </w:rPr>
      </w:pPr>
      <w:r>
        <w:rPr>
          <w:rFonts w:ascii="Palatino Linotype" w:hAnsi="Palatino Linotype"/>
          <w:lang w:val="es-ES_tradnl"/>
        </w:rPr>
        <w:t>Los que se encuentren en</w:t>
      </w:r>
      <w:r w:rsidR="00F70DDB" w:rsidRPr="00BB5B0F">
        <w:rPr>
          <w:rFonts w:ascii="Palatino Linotype" w:hAnsi="Palatino Linotype"/>
          <w:lang w:val="es-ES_tradnl"/>
        </w:rPr>
        <w:t xml:space="preserve"> etapa de investigación; </w:t>
      </w:r>
    </w:p>
    <w:p w14:paraId="3D8F1B66" w14:textId="462C6B8C" w:rsidR="00366A7A" w:rsidRPr="00366A7A" w:rsidRDefault="00366A7A" w:rsidP="00366A7A">
      <w:pPr>
        <w:pStyle w:val="Prrafodelista"/>
        <w:numPr>
          <w:ilvl w:val="1"/>
          <w:numId w:val="18"/>
        </w:numPr>
        <w:tabs>
          <w:tab w:val="left" w:pos="426"/>
        </w:tabs>
        <w:spacing w:line="360" w:lineRule="auto"/>
        <w:ind w:left="1134"/>
        <w:jc w:val="both"/>
        <w:rPr>
          <w:rFonts w:ascii="Palatino Linotype" w:hAnsi="Palatino Linotype"/>
        </w:rPr>
      </w:pPr>
      <w:r>
        <w:rPr>
          <w:rFonts w:ascii="Palatino Linotype" w:hAnsi="Palatino Linotype"/>
        </w:rPr>
        <w:t>Los que</w:t>
      </w:r>
      <w:r w:rsidR="00F70DDB" w:rsidRPr="00BB5B0F">
        <w:rPr>
          <w:rFonts w:ascii="Palatino Linotype" w:hAnsi="Palatino Linotype"/>
          <w:lang w:val="es-ES_tradnl"/>
        </w:rPr>
        <w:t xml:space="preserve"> estuvieron en etapa de investigación</w:t>
      </w:r>
      <w:r>
        <w:rPr>
          <w:rFonts w:ascii="Palatino Linotype" w:hAnsi="Palatino Linotype"/>
          <w:lang w:val="es-ES_tradnl"/>
        </w:rPr>
        <w:t>,</w:t>
      </w:r>
      <w:r w:rsidR="00F70DDB" w:rsidRPr="00BB5B0F">
        <w:rPr>
          <w:rFonts w:ascii="Palatino Linotype" w:hAnsi="Palatino Linotype"/>
          <w:lang w:val="es-ES_tradnl"/>
        </w:rPr>
        <w:t xml:space="preserve"> y se concluyera que no hay razones o motivos suficientes para iniciar un procedimiento de responsabilidades administrativas; y, </w:t>
      </w:r>
    </w:p>
    <w:p w14:paraId="7A1806E6" w14:textId="474520A3" w:rsidR="00F70DDB" w:rsidRPr="00C85A48" w:rsidRDefault="00366A7A" w:rsidP="00366A7A">
      <w:pPr>
        <w:pStyle w:val="Prrafodelista"/>
        <w:numPr>
          <w:ilvl w:val="1"/>
          <w:numId w:val="18"/>
        </w:numPr>
        <w:tabs>
          <w:tab w:val="left" w:pos="426"/>
        </w:tabs>
        <w:spacing w:line="360" w:lineRule="auto"/>
        <w:ind w:left="1134"/>
        <w:jc w:val="both"/>
        <w:rPr>
          <w:rFonts w:ascii="Palatino Linotype" w:hAnsi="Palatino Linotype"/>
        </w:rPr>
      </w:pPr>
      <w:r>
        <w:rPr>
          <w:rFonts w:ascii="Palatino Linotype" w:hAnsi="Palatino Linotype"/>
          <w:lang w:val="es-ES_tradnl"/>
        </w:rPr>
        <w:t>Los que</w:t>
      </w:r>
      <w:r w:rsidR="00F70DDB" w:rsidRPr="00BB5B0F">
        <w:rPr>
          <w:rFonts w:ascii="Palatino Linotype" w:hAnsi="Palatino Linotype"/>
          <w:lang w:val="es-ES_tradnl"/>
        </w:rPr>
        <w:t xml:space="preserve"> ya superaron la etapa de notificación, por lo que se ha generado el respectivo Informe de Presunta Responsabilidad Administrativa</w:t>
      </w:r>
      <w:r>
        <w:rPr>
          <w:rFonts w:ascii="Palatino Linotype" w:hAnsi="Palatino Linotype"/>
          <w:lang w:val="es-ES_tradnl"/>
        </w:rPr>
        <w:t>,</w:t>
      </w:r>
      <w:r w:rsidR="00F70DDB" w:rsidRPr="00BB5B0F">
        <w:rPr>
          <w:rFonts w:ascii="Palatino Linotype" w:hAnsi="Palatino Linotype"/>
          <w:lang w:val="es-ES_tradnl"/>
        </w:rPr>
        <w:t xml:space="preserve"> y se ha</w:t>
      </w:r>
      <w:r>
        <w:rPr>
          <w:rFonts w:ascii="Palatino Linotype" w:hAnsi="Palatino Linotype"/>
          <w:lang w:val="es-ES_tradnl"/>
        </w:rPr>
        <w:t>ya</w:t>
      </w:r>
      <w:r w:rsidR="00F70DDB" w:rsidRPr="00BB5B0F">
        <w:rPr>
          <w:rFonts w:ascii="Palatino Linotype" w:hAnsi="Palatino Linotype"/>
          <w:lang w:val="es-ES_tradnl"/>
        </w:rPr>
        <w:t xml:space="preserve"> emplazado formalmente al presunto responsable dentro de un procedimiento de responsabilidades administrativas.</w:t>
      </w:r>
    </w:p>
    <w:p w14:paraId="06CDA78F" w14:textId="77777777" w:rsidR="00F70DDB" w:rsidRPr="00C85A48" w:rsidRDefault="00F70DDB" w:rsidP="00F70DDB">
      <w:pPr>
        <w:pStyle w:val="Prrafodelista"/>
        <w:tabs>
          <w:tab w:val="left" w:pos="426"/>
        </w:tabs>
        <w:spacing w:line="360" w:lineRule="auto"/>
        <w:ind w:left="0"/>
        <w:jc w:val="both"/>
        <w:rPr>
          <w:rFonts w:ascii="Palatino Linotype" w:hAnsi="Palatino Linotype"/>
        </w:rPr>
      </w:pPr>
    </w:p>
    <w:p w14:paraId="1AA1D21F" w14:textId="77777777" w:rsidR="00F70DDB" w:rsidRPr="00C85A48" w:rsidRDefault="00F70DDB" w:rsidP="00F70DDB">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lang w:val="es-ES_tradnl"/>
        </w:rPr>
        <w:t xml:space="preserve">Por cuanto hace a las </w:t>
      </w:r>
      <w:r w:rsidRPr="00C85A48">
        <w:rPr>
          <w:rFonts w:ascii="Palatino Linotype" w:hAnsi="Palatino Linotype"/>
          <w:lang w:val="es-ES_tradnl"/>
        </w:rPr>
        <w:t>faltas administrativas no graves, el artículo 53</w:t>
      </w:r>
      <w:r>
        <w:rPr>
          <w:rFonts w:ascii="Palatino Linotype" w:hAnsi="Palatino Linotype"/>
          <w:lang w:val="es-ES_tradnl"/>
        </w:rPr>
        <w:t xml:space="preserve"> de la Ley del Sistema Anticorrupción del Estado de México y Municipios</w:t>
      </w:r>
      <w:r w:rsidRPr="00C85A48">
        <w:rPr>
          <w:rFonts w:ascii="Palatino Linotype" w:hAnsi="Palatino Linotype"/>
          <w:lang w:val="es-ES_tradnl"/>
        </w:rPr>
        <w:t xml:space="preserve"> determina que los registros de este tipo de sanciones quedarán registrados para efectos de eventual reincidencia, </w:t>
      </w:r>
      <w:r w:rsidRPr="009D4FC8">
        <w:rPr>
          <w:rFonts w:ascii="Palatino Linotype" w:hAnsi="Palatino Linotype"/>
          <w:b/>
          <w:bCs/>
          <w:u w:val="single"/>
          <w:lang w:val="es-ES_tradnl"/>
        </w:rPr>
        <w:t>pero no serán públicas</w:t>
      </w:r>
      <w:r w:rsidRPr="00C85A48">
        <w:rPr>
          <w:rFonts w:ascii="Palatino Linotype" w:hAnsi="Palatino Linotype"/>
          <w:lang w:val="es-ES_tradnl"/>
        </w:rPr>
        <w:t>.</w:t>
      </w:r>
    </w:p>
    <w:p w14:paraId="4D06B971" w14:textId="77777777" w:rsidR="00F70DDB" w:rsidRPr="00C85A48" w:rsidRDefault="00F70DDB" w:rsidP="00F70DDB">
      <w:pPr>
        <w:pStyle w:val="Prrafodelista"/>
        <w:tabs>
          <w:tab w:val="left" w:pos="426"/>
        </w:tabs>
        <w:spacing w:line="360" w:lineRule="auto"/>
        <w:ind w:left="0"/>
        <w:jc w:val="both"/>
        <w:rPr>
          <w:rFonts w:ascii="Palatino Linotype" w:hAnsi="Palatino Linotype"/>
        </w:rPr>
      </w:pPr>
    </w:p>
    <w:p w14:paraId="27375FA3" w14:textId="1604F726" w:rsidR="00EB41EF" w:rsidRPr="00EB41EF" w:rsidRDefault="00F70DDB" w:rsidP="00F70DD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rPr>
        <w:t xml:space="preserve">En ese tenor, </w:t>
      </w:r>
      <w:r w:rsidRPr="00C85A48">
        <w:rPr>
          <w:rFonts w:ascii="Palatino Linotype" w:hAnsi="Palatino Linotype"/>
          <w:lang w:val="es-ES_tradnl"/>
        </w:rPr>
        <w:t xml:space="preserve">podemos concluir que </w:t>
      </w:r>
      <w:r w:rsidRPr="00DB637E">
        <w:rPr>
          <w:rFonts w:ascii="Palatino Linotype" w:hAnsi="Palatino Linotype"/>
          <w:b/>
          <w:lang w:val="es-ES_tradnl"/>
        </w:rPr>
        <w:t>la Ley determina que no se podrán dar a conocer las sanciones no graves, es decir, no es posible dar a conocer el nombre del servidor público sancionado ni el registro de incidencias de éste</w:t>
      </w:r>
      <w:r w:rsidRPr="00C85A48">
        <w:rPr>
          <w:rFonts w:ascii="Palatino Linotype" w:hAnsi="Palatino Linotype"/>
          <w:lang w:val="es-ES_tradnl"/>
        </w:rPr>
        <w:t>.</w:t>
      </w:r>
    </w:p>
    <w:p w14:paraId="248828BB"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6DC6B541" w14:textId="767B2EE9" w:rsidR="00EB41EF" w:rsidRPr="00621F3F" w:rsidRDefault="00366A7A"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highlight w:val="yellow"/>
        </w:rPr>
      </w:pPr>
      <w:r w:rsidRPr="00621F3F">
        <w:rPr>
          <w:rFonts w:ascii="Palatino Linotype" w:hAnsi="Palatino Linotype"/>
          <w:color w:val="000000" w:themeColor="text1"/>
          <w:highlight w:val="yellow"/>
        </w:rPr>
        <w:t xml:space="preserve">Así las cosas, por cuanto hace al primer requerimiento vertido en la solicitud de información </w:t>
      </w:r>
      <w:r w:rsidRPr="00621F3F">
        <w:rPr>
          <w:rFonts w:ascii="Palatino Linotype" w:hAnsi="Palatino Linotype"/>
          <w:b/>
          <w:bCs/>
          <w:color w:val="000000" w:themeColor="text1"/>
          <w:highlight w:val="yellow"/>
        </w:rPr>
        <w:t>00208/MALINAL/IP/2022</w:t>
      </w:r>
      <w:r w:rsidRPr="00621F3F">
        <w:rPr>
          <w:rFonts w:ascii="Palatino Linotype" w:hAnsi="Palatino Linotype"/>
          <w:color w:val="000000" w:themeColor="text1"/>
          <w:highlight w:val="yellow"/>
        </w:rPr>
        <w:t xml:space="preserve">, </w:t>
      </w:r>
      <w:r w:rsidR="006F6A3F">
        <w:rPr>
          <w:rFonts w:ascii="Palatino Linotype" w:hAnsi="Palatino Linotype"/>
          <w:color w:val="000000" w:themeColor="text1"/>
          <w:highlight w:val="yellow"/>
        </w:rPr>
        <w:t>en el que</w:t>
      </w:r>
      <w:r w:rsidRPr="00621F3F">
        <w:rPr>
          <w:rFonts w:ascii="Palatino Linotype" w:hAnsi="Palatino Linotype"/>
          <w:color w:val="000000" w:themeColor="text1"/>
          <w:highlight w:val="yellow"/>
        </w:rPr>
        <w:t xml:space="preserve"> el </w:t>
      </w:r>
      <w:r w:rsidRPr="00621F3F">
        <w:rPr>
          <w:rFonts w:ascii="Palatino Linotype" w:hAnsi="Palatino Linotype"/>
          <w:b/>
          <w:bCs/>
          <w:color w:val="000000" w:themeColor="text1"/>
          <w:highlight w:val="yellow"/>
        </w:rPr>
        <w:t>RECURRENTE</w:t>
      </w:r>
      <w:r w:rsidRPr="00621F3F">
        <w:rPr>
          <w:rFonts w:ascii="Palatino Linotype" w:hAnsi="Palatino Linotype"/>
          <w:color w:val="000000" w:themeColor="text1"/>
          <w:highlight w:val="yellow"/>
        </w:rPr>
        <w:t xml:space="preserve"> solicitó los </w:t>
      </w:r>
      <w:r w:rsidRPr="00621F3F">
        <w:rPr>
          <w:rFonts w:ascii="Palatino Linotype" w:hAnsi="Palatino Linotype"/>
          <w:color w:val="000000" w:themeColor="text1"/>
          <w:highlight w:val="yellow"/>
        </w:rPr>
        <w:lastRenderedPageBreak/>
        <w:t xml:space="preserve">documentos que muestren los </w:t>
      </w:r>
      <w:r w:rsidRPr="00621F3F">
        <w:rPr>
          <w:rFonts w:ascii="Palatino Linotype" w:hAnsi="Palatino Linotype"/>
          <w:b/>
          <w:bCs/>
          <w:color w:val="000000" w:themeColor="text1"/>
          <w:highlight w:val="yellow"/>
        </w:rPr>
        <w:t>procedimientos de responsabilidades administrativas abiertos por el Órgano Interno de Control, desde el uno (01) de enero de dos mil dieciocho al treinta y uno (31) de mayo de dos mil veintiuno</w:t>
      </w:r>
      <w:r w:rsidRPr="00621F3F">
        <w:rPr>
          <w:rFonts w:ascii="Palatino Linotype" w:hAnsi="Palatino Linotype"/>
          <w:color w:val="000000" w:themeColor="text1"/>
          <w:highlight w:val="yellow"/>
        </w:rPr>
        <w:t xml:space="preserve">, </w:t>
      </w:r>
      <w:r w:rsidR="00621F3F" w:rsidRPr="00621F3F">
        <w:rPr>
          <w:rFonts w:ascii="Palatino Linotype" w:hAnsi="Palatino Linotype"/>
          <w:color w:val="000000" w:themeColor="text1"/>
          <w:highlight w:val="yellow"/>
        </w:rPr>
        <w:t xml:space="preserve">este Organismo Garante advierte que el particular en realidad se encuentra requiriendo </w:t>
      </w:r>
      <w:r w:rsidR="00621F3F" w:rsidRPr="00621F3F">
        <w:rPr>
          <w:rFonts w:ascii="Palatino Linotype" w:hAnsi="Palatino Linotype"/>
          <w:b/>
          <w:color w:val="000000" w:themeColor="text1"/>
          <w:highlight w:val="yellow"/>
        </w:rPr>
        <w:t>todos los expedientes formados con motivos de cada uno de los procedimientos iniciados durante el plazo de tiempo antes señalado</w:t>
      </w:r>
      <w:r w:rsidR="00621F3F" w:rsidRPr="00621F3F">
        <w:rPr>
          <w:rFonts w:ascii="Palatino Linotype" w:hAnsi="Palatino Linotype"/>
          <w:color w:val="000000" w:themeColor="text1"/>
          <w:highlight w:val="yellow"/>
        </w:rPr>
        <w:t>.</w:t>
      </w:r>
    </w:p>
    <w:p w14:paraId="1647EBB5"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5B2864F2" w14:textId="56FBF1A6" w:rsidR="00EB41EF" w:rsidRPr="00A7028F" w:rsidRDefault="00C00996" w:rsidP="00C00996">
      <w:pPr>
        <w:pStyle w:val="Prrafodelista"/>
        <w:numPr>
          <w:ilvl w:val="0"/>
          <w:numId w:val="1"/>
        </w:numPr>
        <w:tabs>
          <w:tab w:val="left" w:pos="426"/>
        </w:tabs>
        <w:spacing w:before="240" w:after="240" w:line="360" w:lineRule="auto"/>
        <w:ind w:right="51"/>
        <w:jc w:val="both"/>
        <w:rPr>
          <w:rFonts w:ascii="Palatino Linotype" w:hAnsi="Palatino Linotype" w:cs="Tahoma"/>
          <w:bCs/>
          <w:iCs/>
          <w:highlight w:val="yellow"/>
        </w:rPr>
      </w:pPr>
      <w:r w:rsidRPr="00A7028F">
        <w:rPr>
          <w:rFonts w:ascii="Palatino Linotype" w:hAnsi="Palatino Linotype"/>
          <w:color w:val="000000" w:themeColor="text1"/>
          <w:highlight w:val="yellow"/>
        </w:rPr>
        <w:t xml:space="preserve">Por su parte, por cuanto hace a la </w:t>
      </w:r>
      <w:r w:rsidRPr="00A7028F">
        <w:rPr>
          <w:rFonts w:ascii="Palatino Linotype" w:hAnsi="Palatino Linotype"/>
          <w:b/>
          <w:bCs/>
          <w:color w:val="000000" w:themeColor="text1"/>
          <w:highlight w:val="yellow"/>
        </w:rPr>
        <w:t>relación de la sanciones impuestas</w:t>
      </w:r>
      <w:r w:rsidRPr="00A7028F">
        <w:rPr>
          <w:rFonts w:ascii="Palatino Linotype" w:hAnsi="Palatino Linotype"/>
          <w:color w:val="000000" w:themeColor="text1"/>
          <w:highlight w:val="yellow"/>
        </w:rPr>
        <w:t xml:space="preserve"> dentro de los procedimientos de responsabilidades administrativas abiertos por el Órgano Interno de Control, desde el uno (01) de enero de dos mil dieciocho al treinta y uno (31) de mayo de dos mil veintiuno, primeramente, debemos delimitar que </w:t>
      </w:r>
      <w:r w:rsidRPr="00A7028F">
        <w:rPr>
          <w:rFonts w:ascii="Palatino Linotype" w:hAnsi="Palatino Linotype"/>
          <w:b/>
          <w:bCs/>
          <w:color w:val="000000" w:themeColor="text1"/>
          <w:highlight w:val="yellow"/>
        </w:rPr>
        <w:t xml:space="preserve">el RECURRENTE no busca hacerse de información relacionada con procedimientos en trámite, sino que únicamente tiene interés en los procedimientos </w:t>
      </w:r>
      <w:r w:rsidRPr="00A7028F">
        <w:rPr>
          <w:rFonts w:ascii="Palatino Linotype" w:hAnsi="Palatino Linotype"/>
          <w:b/>
          <w:bCs/>
          <w:color w:val="000000" w:themeColor="text1"/>
          <w:highlight w:val="yellow"/>
          <w:u w:val="single"/>
        </w:rPr>
        <w:t>concluídos</w:t>
      </w:r>
      <w:r w:rsidRPr="00A7028F">
        <w:rPr>
          <w:rFonts w:ascii="Palatino Linotype" w:hAnsi="Palatino Linotype"/>
          <w:b/>
          <w:bCs/>
          <w:color w:val="000000" w:themeColor="text1"/>
          <w:highlight w:val="yellow"/>
        </w:rPr>
        <w:t>, los cuales, fallaron en contra del o los servidores públicos presuntamente responsables y se les aplicó una sanción.</w:t>
      </w:r>
    </w:p>
    <w:p w14:paraId="71476D5D" w14:textId="77777777" w:rsidR="0028422E" w:rsidRPr="00C00996" w:rsidRDefault="0028422E" w:rsidP="0028422E">
      <w:pPr>
        <w:pStyle w:val="Prrafodelista"/>
        <w:tabs>
          <w:tab w:val="left" w:pos="426"/>
        </w:tabs>
        <w:spacing w:before="240" w:after="240" w:line="360" w:lineRule="auto"/>
        <w:ind w:left="0" w:right="51"/>
        <w:jc w:val="both"/>
        <w:rPr>
          <w:rFonts w:ascii="Palatino Linotype" w:hAnsi="Palatino Linotype" w:cs="Tahoma"/>
          <w:bCs/>
          <w:iCs/>
          <w:highlight w:val="cyan"/>
        </w:rPr>
      </w:pPr>
    </w:p>
    <w:p w14:paraId="22C70B1C" w14:textId="41AD3DB1" w:rsidR="00A73BAD" w:rsidRPr="00C00996" w:rsidRDefault="00A73BAD" w:rsidP="00F6715F">
      <w:pPr>
        <w:pStyle w:val="Prrafodelista"/>
        <w:numPr>
          <w:ilvl w:val="0"/>
          <w:numId w:val="1"/>
        </w:numPr>
        <w:tabs>
          <w:tab w:val="left" w:pos="426"/>
        </w:tabs>
        <w:spacing w:before="240" w:after="240" w:line="360" w:lineRule="auto"/>
        <w:ind w:right="51"/>
        <w:jc w:val="both"/>
        <w:rPr>
          <w:rFonts w:ascii="Palatino Linotype" w:hAnsi="Palatino Linotype" w:cs="Tahoma"/>
          <w:bCs/>
          <w:iCs/>
          <w:highlight w:val="yellow"/>
        </w:rPr>
      </w:pPr>
      <w:r w:rsidRPr="00C00996">
        <w:rPr>
          <w:rFonts w:ascii="Palatino Linotype" w:hAnsi="Palatino Linotype"/>
          <w:color w:val="000000" w:themeColor="text1"/>
          <w:highlight w:val="yellow"/>
        </w:rPr>
        <w:t>En ese sentido, se procede a analizar la viabilidad de la entrega de los expedientes solicitados, dependiente su naturaleza y estado procesal.</w:t>
      </w:r>
    </w:p>
    <w:p w14:paraId="058D6507" w14:textId="77777777" w:rsidR="00621F3F" w:rsidRDefault="00621F3F" w:rsidP="00621F3F">
      <w:pPr>
        <w:pStyle w:val="Prrafodelista"/>
        <w:tabs>
          <w:tab w:val="left" w:pos="426"/>
        </w:tabs>
        <w:spacing w:before="240" w:after="240" w:line="360" w:lineRule="auto"/>
        <w:ind w:left="0" w:right="51"/>
        <w:jc w:val="both"/>
        <w:rPr>
          <w:rFonts w:ascii="Palatino Linotype" w:hAnsi="Palatino Linotype" w:cs="Tahoma"/>
          <w:bCs/>
          <w:iCs/>
        </w:rPr>
      </w:pPr>
    </w:p>
    <w:p w14:paraId="3CE87237" w14:textId="7687BD78" w:rsidR="00621F3F" w:rsidRPr="00BD36AE" w:rsidRDefault="00621F3F" w:rsidP="00621F3F">
      <w:pPr>
        <w:pStyle w:val="Prrafodelista"/>
        <w:tabs>
          <w:tab w:val="left" w:pos="426"/>
        </w:tabs>
        <w:spacing w:before="240" w:after="240" w:line="360" w:lineRule="auto"/>
        <w:ind w:left="0" w:right="51"/>
        <w:jc w:val="both"/>
        <w:outlineLvl w:val="2"/>
        <w:rPr>
          <w:rFonts w:ascii="Palatino Linotype" w:hAnsi="Palatino Linotype" w:cs="Tahoma"/>
          <w:b/>
          <w:bCs/>
          <w:iCs/>
          <w:highlight w:val="yellow"/>
        </w:rPr>
      </w:pPr>
      <w:r w:rsidRPr="00BD36AE">
        <w:rPr>
          <w:rFonts w:ascii="Palatino Linotype" w:hAnsi="Palatino Linotype" w:cs="Tahoma"/>
          <w:b/>
          <w:bCs/>
          <w:iCs/>
          <w:highlight w:val="yellow"/>
        </w:rPr>
        <w:t>IV.I. De la presunción de inocencia.</w:t>
      </w:r>
    </w:p>
    <w:p w14:paraId="3C7277DB" w14:textId="77777777" w:rsidR="00621F3F" w:rsidRPr="00BD36AE" w:rsidRDefault="00621F3F" w:rsidP="00621F3F">
      <w:pPr>
        <w:pStyle w:val="Prrafodelista"/>
        <w:tabs>
          <w:tab w:val="left" w:pos="426"/>
        </w:tabs>
        <w:spacing w:before="240" w:after="240" w:line="360" w:lineRule="auto"/>
        <w:ind w:left="0" w:right="51"/>
        <w:jc w:val="both"/>
        <w:rPr>
          <w:rFonts w:ascii="Palatino Linotype" w:hAnsi="Palatino Linotype" w:cs="Tahoma"/>
          <w:bCs/>
          <w:iCs/>
          <w:highlight w:val="yellow"/>
        </w:rPr>
      </w:pPr>
    </w:p>
    <w:p w14:paraId="3B903B55"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cs="Tahoma"/>
          <w:bCs/>
          <w:iCs/>
          <w:highlight w:val="yellow"/>
        </w:rPr>
        <w:t xml:space="preserve">En </w:t>
      </w:r>
      <w:r w:rsidRPr="00BD36AE">
        <w:rPr>
          <w:rFonts w:ascii="Palatino Linotype" w:hAnsi="Palatino Linotype"/>
          <w:highlight w:val="yellow"/>
        </w:rPr>
        <w:t>primer lugar, resulta</w:t>
      </w:r>
      <w:r w:rsidRPr="00BD36AE">
        <w:rPr>
          <w:rFonts w:ascii="Palatino Linotype" w:hAnsi="Palatino Linotype"/>
          <w:highlight w:val="yellow"/>
          <w:lang w:val="es-ES_tradnl"/>
        </w:rPr>
        <w:t xml:space="preserve"> aplicable la reserva de la información si no existe una resolución firme, porque de revelarse la información se atenta contra el principio de presunción de inocencia que debe seguirse en la administración de la justicia, conforme a lo que enseguida se razona.</w:t>
      </w:r>
    </w:p>
    <w:p w14:paraId="2741120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65CA04F"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p>
    <w:p w14:paraId="2A7EB86A" w14:textId="77777777" w:rsidR="00621F3F" w:rsidRPr="00BD36AE" w:rsidRDefault="00621F3F" w:rsidP="00621F3F">
      <w:pPr>
        <w:pStyle w:val="Prrafodelista"/>
        <w:numPr>
          <w:ilvl w:val="1"/>
          <w:numId w:val="1"/>
        </w:numPr>
        <w:tabs>
          <w:tab w:val="left" w:pos="426"/>
        </w:tabs>
        <w:spacing w:line="360" w:lineRule="auto"/>
        <w:ind w:left="1134" w:hanging="436"/>
        <w:jc w:val="both"/>
        <w:rPr>
          <w:rFonts w:ascii="Palatino Linotype" w:hAnsi="Palatino Linotype"/>
          <w:highlight w:val="yellow"/>
        </w:rPr>
      </w:pPr>
      <w:r w:rsidRPr="00BD36AE">
        <w:rPr>
          <w:rFonts w:ascii="Palatino Linotype" w:hAnsi="Palatino Linotype"/>
          <w:highlight w:val="yellow"/>
          <w:lang w:val="es-ES_tradnl"/>
        </w:rPr>
        <w:t>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5A757972" w14:textId="77777777" w:rsidR="00621F3F" w:rsidRPr="00BD36AE" w:rsidRDefault="00621F3F" w:rsidP="00621F3F">
      <w:pPr>
        <w:pStyle w:val="Prrafodelista"/>
        <w:numPr>
          <w:ilvl w:val="1"/>
          <w:numId w:val="1"/>
        </w:numPr>
        <w:tabs>
          <w:tab w:val="left" w:pos="426"/>
        </w:tabs>
        <w:spacing w:line="360" w:lineRule="auto"/>
        <w:ind w:left="1134" w:hanging="436"/>
        <w:jc w:val="both"/>
        <w:rPr>
          <w:rFonts w:ascii="Palatino Linotype" w:hAnsi="Palatino Linotype"/>
          <w:highlight w:val="yellow"/>
        </w:rPr>
      </w:pPr>
      <w:r w:rsidRPr="00BD36AE">
        <w:rPr>
          <w:rFonts w:ascii="Palatino Linotype" w:hAnsi="Palatino Linotype"/>
          <w:highlight w:val="yellow"/>
        </w:rPr>
        <w:t>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67C0FA6E" w14:textId="77777777" w:rsidR="00621F3F" w:rsidRPr="00BD36AE" w:rsidRDefault="00621F3F" w:rsidP="00621F3F">
      <w:pPr>
        <w:pStyle w:val="Prrafodelista"/>
        <w:numPr>
          <w:ilvl w:val="1"/>
          <w:numId w:val="1"/>
        </w:numPr>
        <w:tabs>
          <w:tab w:val="left" w:pos="426"/>
        </w:tabs>
        <w:spacing w:line="360" w:lineRule="auto"/>
        <w:ind w:left="1134" w:hanging="436"/>
        <w:jc w:val="both"/>
        <w:rPr>
          <w:rFonts w:ascii="Palatino Linotype" w:hAnsi="Palatino Linotype"/>
          <w:highlight w:val="yellow"/>
        </w:rPr>
      </w:pPr>
      <w:r w:rsidRPr="00BD36AE">
        <w:rPr>
          <w:rFonts w:ascii="Palatino Linotype" w:hAnsi="Palatino Linotype"/>
          <w:highlight w:val="yellow"/>
        </w:rPr>
        <w:t>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71543D01"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47B5308C"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Se sigue que, el principio de presunción de inocencia tiene tres significados garantistas; que en forma breve pueden enunciarse de la siguiente forma:</w:t>
      </w:r>
    </w:p>
    <w:p w14:paraId="0D1434F8"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5B40B3DB"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highlight w:val="yellow"/>
        </w:rPr>
        <w:t>Primero</w:t>
      </w:r>
      <w:r w:rsidRPr="00BD36AE">
        <w:rPr>
          <w:rFonts w:ascii="Palatino Linotype" w:hAnsi="Palatino Linotype"/>
          <w:highlight w:val="yellow"/>
        </w:rPr>
        <w:t>. Como una regla probatoria, que impone la carga de la prueba para quien acusa y, por ende, la absolución en caso de duda.</w:t>
      </w:r>
    </w:p>
    <w:p w14:paraId="5C40C760"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highlight w:val="yellow"/>
        </w:rPr>
        <w:t>Segundo</w:t>
      </w:r>
      <w:r w:rsidRPr="00BD36AE">
        <w:rPr>
          <w:rFonts w:ascii="Palatino Linotype" w:hAnsi="Palatino Linotype"/>
          <w:highlight w:val="yellow"/>
        </w:rPr>
        <w:t>. Como una regla de tratamiento del acusado, que excluye o restringe al máximo la limitación de sus derechos fundamentales, sobre todo los que inciden en su libertad personal, con motivo del proceso que se instaura en su contra.</w:t>
      </w:r>
    </w:p>
    <w:p w14:paraId="3C2DA084"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highlight w:val="yellow"/>
        </w:rPr>
        <w:t>Tercero</w:t>
      </w:r>
      <w:r w:rsidRPr="00BD36AE">
        <w:rPr>
          <w:rFonts w:ascii="Palatino Linotype" w:hAnsi="Palatino Linotype"/>
          <w:highlight w:val="yellow"/>
        </w:rPr>
        <w:t>. Como una regla de juicio, que ordena a los jueces la absolución de los inculpados cuando durante el proceso no se aportaron pruebas de cargo suficientes.</w:t>
      </w:r>
    </w:p>
    <w:p w14:paraId="3D73BE59"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1C5A205F"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En vista de lo anterior, este Organismo Garante estima que, en el derecho disciplinario, mismo que se sigue dentro el Órgano de Control Interno, contra los servidores públicos en los casos que se presenta una denuncia, es aplicable </w:t>
      </w:r>
      <w:r w:rsidRPr="00BD36AE">
        <w:rPr>
          <w:rFonts w:ascii="Palatino Linotype" w:hAnsi="Palatino Linotype"/>
          <w:i/>
          <w:iCs/>
          <w:highlight w:val="yellow"/>
          <w:lang w:val="es-ES_tradnl"/>
        </w:rPr>
        <w:t>la regla garantista de presunción de inocencia</w:t>
      </w:r>
      <w:r w:rsidRPr="00BD36AE">
        <w:rPr>
          <w:rFonts w:ascii="Palatino Linotype" w:hAnsi="Palatino Linotype"/>
          <w:highlight w:val="yellow"/>
          <w:lang w:val="es-ES_tradnl"/>
        </w:rPr>
        <w:t>.</w:t>
      </w:r>
    </w:p>
    <w:p w14:paraId="48988D4A"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1F71333D"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Así, </w:t>
      </w:r>
      <w:r w:rsidRPr="00BD36AE">
        <w:rPr>
          <w:rFonts w:ascii="Palatino Linotype" w:hAnsi="Palatino Linotype"/>
          <w:highlight w:val="yellow"/>
        </w:rPr>
        <w:t xml:space="preserve">todo servidor público en su carácter de -presunto infractor- tiene el derecho, </w:t>
      </w:r>
      <w:r w:rsidRPr="00BD36AE">
        <w:rPr>
          <w:rFonts w:ascii="Palatino Linotype" w:hAnsi="Palatino Linotype"/>
          <w:i/>
          <w:iCs/>
          <w:highlight w:val="yellow"/>
        </w:rPr>
        <w:t>como regla de tratamiento en el proceso</w:t>
      </w:r>
      <w:r w:rsidRPr="00BD36AE">
        <w:rPr>
          <w:rFonts w:ascii="Palatino Linotype" w:hAnsi="Palatino Linotype"/>
          <w:highlight w:val="yellow"/>
        </w:rPr>
        <w:t xml:space="preserve">, a que se le trate en carácter de inocente hasta que no se emita una resolución firme. </w:t>
      </w:r>
    </w:p>
    <w:p w14:paraId="54C77F7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4716C3F"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La relación que guarda el principio de presunción de inocencia con el derecho de acceso a la información se da en dos variantes: </w:t>
      </w:r>
      <w:r w:rsidRPr="00BD36AE">
        <w:rPr>
          <w:rFonts w:ascii="Palatino Linotype" w:hAnsi="Palatino Linotype"/>
          <w:b/>
          <w:highlight w:val="yellow"/>
          <w:lang w:val="es-ES_tradnl"/>
        </w:rPr>
        <w:t>(i)</w:t>
      </w:r>
      <w:r w:rsidRPr="00BD36AE">
        <w:rPr>
          <w:rFonts w:ascii="Palatino Linotype" w:hAnsi="Palatino Linotype"/>
          <w:highlight w:val="yellow"/>
          <w:lang w:val="es-ES_tradnl"/>
        </w:rPr>
        <w:t xml:space="preserve"> la conservación de información que no vicie las reglas y principios de administración de justicia y </w:t>
      </w:r>
      <w:r w:rsidRPr="00BD36AE">
        <w:rPr>
          <w:rFonts w:ascii="Palatino Linotype" w:hAnsi="Palatino Linotype"/>
          <w:b/>
          <w:highlight w:val="yellow"/>
          <w:lang w:val="es-ES_tradnl"/>
        </w:rPr>
        <w:t>(ii)</w:t>
      </w:r>
      <w:r w:rsidRPr="00BD36AE">
        <w:rPr>
          <w:rFonts w:ascii="Palatino Linotype" w:hAnsi="Palatino Linotype"/>
          <w:highlight w:val="yellow"/>
          <w:lang w:val="es-ES_tradnl"/>
        </w:rPr>
        <w:t xml:space="preserve"> conservar la reputación de las personas que aún no se les ha comprobado con plenitud haber realizado alguna infracción.</w:t>
      </w:r>
    </w:p>
    <w:p w14:paraId="0E525DF8"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8EBA599"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pudieran afectar la forma en cómo debe tratarse al servidor público acusado, pues no se ha comprobado en su totalidad que éste incurrió en una infracción, razón por la cual es aplicable la reserva de información prevista en el artículo 140, fracciones IV y VII de la Ley de Transparencia y Acceso a la Información Pública del Estado de México y Municipios</w:t>
      </w:r>
      <w:r w:rsidRPr="00BD36AE">
        <w:rPr>
          <w:rStyle w:val="Refdenotaalpie"/>
          <w:highlight w:val="yellow"/>
          <w:lang w:val="es-ES_tradnl"/>
        </w:rPr>
        <w:footnoteReference w:id="29"/>
      </w:r>
      <w:r w:rsidRPr="00BD36AE">
        <w:rPr>
          <w:rFonts w:ascii="Palatino Linotype" w:hAnsi="Palatino Linotype"/>
          <w:highlight w:val="yellow"/>
          <w:lang w:val="es-ES_tradnl"/>
        </w:rPr>
        <w:t>, con la finalidad de preservar el debido proceso en la aplicación de la administración de justicia a través del resguardo de información que pudiera alterar el principio de presunción de inocencia, de modo tal que el nombre y cargo del servidor público denunciado debe ser protegido, siempre y cuando como se ha mencionado, haya derivado la denuncia en una sanción grave.</w:t>
      </w:r>
    </w:p>
    <w:p w14:paraId="533CA26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582EBEED"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Luego entonces en el caso, se considera que la publicación de quienes se les ha iniciado un procedimiento administrativo y el nombre de aquellos que tienen un procedimiento instaurado y se encuentra pendiente de resolución puede significar </w:t>
      </w:r>
      <w:r w:rsidRPr="00BD36AE">
        <w:rPr>
          <w:rFonts w:ascii="Palatino Linotype" w:hAnsi="Palatino Linotype"/>
          <w:highlight w:val="yellow"/>
          <w:lang w:val="es-ES_tradnl"/>
        </w:rPr>
        <w:lastRenderedPageBreak/>
        <w:t>una discriminación a su persona hasta en tanto no se determine con firmeza en una resolución si se configuró la infracción administrativa o no.</w:t>
      </w:r>
    </w:p>
    <w:p w14:paraId="145F79D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2DD11A19"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El razonamiento que formula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49E2FC6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23F92A7F"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Resulta necesario tomar en cuenta el derecho al buen nombre y a la intimidad porque se considera que, hasta en que no exista una resolución firme, la publicación de la información solicitada afectaría la reputación de una persona.</w:t>
      </w:r>
    </w:p>
    <w:p w14:paraId="28E01D6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38D40AE0"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A mayor abundamiento, el derecho al buen nombre es la prerrogativa que tiene toda persona a no ser difamada, esto es, a que por parte de la sociedad se tenga una buena calificación o juicio favorable de su comportamiento mientras no se le pruebe lo contrario; este concepto tiene su basamento en el derecho al honor personal y ambos suponen una valoración de la persona desde la perspectiva de su esfera externa, razón por la cual guardan una íntima relación.</w:t>
      </w:r>
    </w:p>
    <w:p w14:paraId="39B1F7C9"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7B7BADA3"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Si bien el derecho al buen nombre no es un bien jurídicamente tutelado de manera expresa en el ordenamiento jurídico mexicano si está ligado con la intimidad de una persona, aspecto que sin duda se puede configurase como dato personal sensible ya que a partir de su uso desproporcionado puede destruir la reputación y honorabilidad de una persona.</w:t>
      </w:r>
    </w:p>
    <w:p w14:paraId="52C13B5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5A0DDBC2"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60B47DF0"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7503F93"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En esta condición debe ser resguardada la información con la finalidad de evitar situaciones discriminatorias sobre los servidores públicos a quienes se les inició un procedimiento, o bien, ya iniciado éste no se ha emitido una resolución, por lo que se tiene la intención de salvaguardar los datos sensibles de las personas a quienes no se les ha corroborado como infractores.</w:t>
      </w:r>
    </w:p>
    <w:p w14:paraId="2CA3A6A5"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1D3CE348" w14:textId="793872D8" w:rsidR="00621F3F" w:rsidRPr="00BD36AE" w:rsidRDefault="00621F3F" w:rsidP="00621F3F">
      <w:pPr>
        <w:pStyle w:val="Prrafodelista"/>
        <w:tabs>
          <w:tab w:val="left" w:pos="426"/>
        </w:tabs>
        <w:spacing w:line="360" w:lineRule="auto"/>
        <w:ind w:left="0"/>
        <w:jc w:val="both"/>
        <w:outlineLvl w:val="2"/>
        <w:rPr>
          <w:rFonts w:ascii="Palatino Linotype" w:hAnsi="Palatino Linotype"/>
          <w:b/>
          <w:bCs/>
          <w:highlight w:val="yellow"/>
        </w:rPr>
      </w:pPr>
      <w:bookmarkStart w:id="24" w:name="_Toc92875120"/>
      <w:r w:rsidRPr="00BD36AE">
        <w:rPr>
          <w:rFonts w:ascii="Palatino Linotype" w:hAnsi="Palatino Linotype"/>
          <w:b/>
          <w:bCs/>
          <w:highlight w:val="yellow"/>
        </w:rPr>
        <w:t>IV.II. De la información reservada, expedientes en trámite y concluidos.</w:t>
      </w:r>
      <w:bookmarkEnd w:id="24"/>
    </w:p>
    <w:p w14:paraId="43E804BE"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370AC0B8" w14:textId="55BECC18"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Así las cosas, es de importante relevancia hacer del conocimiento del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que la información con la que cuente respecto de expedientes de procedimientos administrativos, si no han causado estado; es decir, que el principio de definitividad no se haya actualizado, por aún existir instancias para su revisión o impugnación o en su caso que no haya causado estado, dicha información reviste el carácter de información reservada, y la cual no podrá dar acceso a la solicitante, pero para ello deberá llevar a cabo el respectivo acuerdo de clasificación de la información como reservada y notificarlo a la </w:t>
      </w:r>
      <w:r w:rsidRPr="00BD36AE">
        <w:rPr>
          <w:rFonts w:ascii="Palatino Linotype" w:hAnsi="Palatino Linotype"/>
          <w:b/>
          <w:bCs/>
          <w:highlight w:val="yellow"/>
          <w:lang w:val="es-ES_tradnl"/>
        </w:rPr>
        <w:t>RECURRENTE</w:t>
      </w:r>
      <w:r w:rsidRPr="00BD36AE">
        <w:rPr>
          <w:rFonts w:ascii="Palatino Linotype" w:hAnsi="Palatino Linotype"/>
          <w:highlight w:val="yellow"/>
          <w:lang w:val="es-ES_tradnl"/>
        </w:rPr>
        <w:t xml:space="preserve">; pero si </w:t>
      </w:r>
      <w:r w:rsidR="00BD36AE" w:rsidRPr="00BD36AE">
        <w:rPr>
          <w:rFonts w:ascii="Palatino Linotype" w:hAnsi="Palatino Linotype"/>
          <w:highlight w:val="yellow"/>
          <w:lang w:val="es-ES_tradnl"/>
        </w:rPr>
        <w:t>los</w:t>
      </w:r>
      <w:r w:rsidRPr="00BD36AE">
        <w:rPr>
          <w:rFonts w:ascii="Palatino Linotype" w:hAnsi="Palatino Linotype"/>
          <w:highlight w:val="yellow"/>
          <w:lang w:val="es-ES_tradnl"/>
        </w:rPr>
        <w:t xml:space="preserve"> expediente</w:t>
      </w:r>
      <w:r w:rsidR="00BD36AE" w:rsidRPr="00BD36AE">
        <w:rPr>
          <w:rFonts w:ascii="Palatino Linotype" w:hAnsi="Palatino Linotype"/>
          <w:highlight w:val="yellow"/>
          <w:lang w:val="es-ES_tradnl"/>
        </w:rPr>
        <w:t>s</w:t>
      </w:r>
      <w:r w:rsidRPr="00BD36AE">
        <w:rPr>
          <w:rFonts w:ascii="Palatino Linotype" w:hAnsi="Palatino Linotype"/>
          <w:highlight w:val="yellow"/>
          <w:lang w:val="es-ES_tradnl"/>
        </w:rPr>
        <w:t xml:space="preserve"> aludidos ya han causado estado, es decir, que ya no acepta recurso o </w:t>
      </w:r>
      <w:r w:rsidRPr="00BD36AE">
        <w:rPr>
          <w:rFonts w:ascii="Palatino Linotype" w:hAnsi="Palatino Linotype"/>
          <w:highlight w:val="yellow"/>
          <w:lang w:val="es-ES_tradnl"/>
        </w:rPr>
        <w:lastRenderedPageBreak/>
        <w:t xml:space="preserve">medio de defensa alguno, es procedente entregar la información al recurrente pero en versión pública protegiendo todos los datos personales que en éste se encuentren, para lo cual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deberá realizar y notificar el Acuerdo de Clasificación de la información relativa a los datos personales a efecto de que pueda emitir la versión pública de lo que se le solicitó.</w:t>
      </w:r>
    </w:p>
    <w:p w14:paraId="32902890"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5F70EE5B" w14:textId="43B6FE0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Relativo a ello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deberá realizar la clasificación de información, en la que dé seguridad jurídica al </w:t>
      </w:r>
      <w:r w:rsidRPr="00BD36AE">
        <w:rPr>
          <w:rFonts w:ascii="Palatino Linotype" w:hAnsi="Palatino Linotype"/>
          <w:b/>
          <w:bCs/>
          <w:highlight w:val="yellow"/>
          <w:lang w:val="es-ES_tradnl"/>
        </w:rPr>
        <w:t>RECURRENTE</w:t>
      </w:r>
      <w:r w:rsidRPr="00BD36AE">
        <w:rPr>
          <w:rFonts w:ascii="Palatino Linotype" w:hAnsi="Palatino Linotype"/>
          <w:highlight w:val="yellow"/>
          <w:lang w:val="es-ES_tradnl"/>
        </w:rPr>
        <w:t xml:space="preserve"> que, por alguna excepción establecida en Ley no es posible acceder temporalmente a la información referida anteriormente, para así no dejar en estado de indefensión y exista certeza jurídica de lo expuesto por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w:t>
      </w:r>
    </w:p>
    <w:p w14:paraId="0A75154B"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48BE97DE"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w:t>
      </w:r>
      <w:r w:rsidRPr="00BD36AE">
        <w:rPr>
          <w:rFonts w:ascii="Palatino Linotype" w:hAnsi="Palatino Linotype"/>
          <w:b/>
          <w:bCs/>
          <w:i/>
          <w:iCs/>
          <w:sz w:val="22"/>
          <w:szCs w:val="22"/>
          <w:highlight w:val="yellow"/>
        </w:rPr>
        <w:t>Artículo 3.</w:t>
      </w:r>
      <w:r w:rsidRPr="00BD36AE">
        <w:rPr>
          <w:rFonts w:ascii="Palatino Linotype" w:hAnsi="Palatino Linotype"/>
          <w:i/>
          <w:iCs/>
          <w:sz w:val="22"/>
          <w:szCs w:val="22"/>
          <w:highlight w:val="yellow"/>
        </w:rPr>
        <w:t xml:space="preserve"> Para los efectos de la presente Ley se entenderá por:</w:t>
      </w:r>
    </w:p>
    <w:p w14:paraId="52D4ED4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w:t>
      </w:r>
    </w:p>
    <w:p w14:paraId="4D9F7729"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XXIV.</w:t>
      </w:r>
      <w:r w:rsidRPr="00BD36AE">
        <w:rPr>
          <w:rFonts w:ascii="Palatino Linotype" w:hAnsi="Palatino Linotype"/>
          <w:i/>
          <w:iCs/>
          <w:sz w:val="22"/>
          <w:szCs w:val="22"/>
          <w:highlight w:val="yellow"/>
        </w:rPr>
        <w:t xml:space="preserve"> </w:t>
      </w:r>
      <w:r w:rsidRPr="00BD36AE">
        <w:rPr>
          <w:rFonts w:ascii="Palatino Linotype" w:hAnsi="Palatino Linotype"/>
          <w:b/>
          <w:bCs/>
          <w:i/>
          <w:iCs/>
          <w:sz w:val="22"/>
          <w:szCs w:val="22"/>
          <w:highlight w:val="yellow"/>
        </w:rPr>
        <w:t>Información reservada:</w:t>
      </w:r>
      <w:r w:rsidRPr="00BD36AE">
        <w:rPr>
          <w:rFonts w:ascii="Palatino Linotype" w:hAnsi="Palatino Linotype"/>
          <w:i/>
          <w:iCs/>
          <w:sz w:val="22"/>
          <w:szCs w:val="22"/>
          <w:highlight w:val="yellow"/>
        </w:rPr>
        <w:t xml:space="preserve"> La clasificada con este carácter de manera temporal por las disposiciones de esta Ley, cuya divulgación puede causar daño en términos de lo establecido por esta Ley;</w:t>
      </w:r>
    </w:p>
    <w:p w14:paraId="79AB4CD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w:t>
      </w:r>
    </w:p>
    <w:p w14:paraId="3BAFB1FE"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5E4C27AD"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Artículo 122.</w:t>
      </w:r>
      <w:r w:rsidRPr="00BD36AE">
        <w:rPr>
          <w:rFonts w:ascii="Palatino Linotype" w:hAnsi="Palatino Linotype"/>
          <w:i/>
          <w:iCs/>
          <w:sz w:val="22"/>
          <w:szCs w:val="22"/>
          <w:highlight w:val="yellow"/>
        </w:rPr>
        <w:t xml:space="preserve"> La clasificación es el proceso mediante el cual el Sujeto Obligado determina que la información en su poder actualiza alguno de los supuestos de reserva o confidencialidad, de conformidad con lo dispuesto en el presente título.</w:t>
      </w:r>
    </w:p>
    <w:p w14:paraId="2A9AFFDA"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Los supuestos de reserva o confidencialidad previstos en las leyes deberán ser acordes con las bases, principios y disposiciones establecidos en la Ley General y, en ningún caso, podrán contravenirla.</w:t>
      </w:r>
    </w:p>
    <w:p w14:paraId="1756062B"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Los titulares de las áreas de los sujetos obligados serán los responsables de clasificar la información, de conformidad con lo dispuesto en la presente Ley y demás disposiciones jurídicas aplicables.</w:t>
      </w:r>
    </w:p>
    <w:p w14:paraId="5A376D65"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1B6CAA5D"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Artículo 125.</w:t>
      </w:r>
      <w:r w:rsidRPr="00BD36AE">
        <w:rPr>
          <w:rFonts w:ascii="Palatino Linotype" w:hAnsi="Palatino Linotype"/>
          <w:i/>
          <w:iCs/>
          <w:sz w:val="22"/>
          <w:szCs w:val="22"/>
          <w:highlight w:val="yellow"/>
        </w:rPr>
        <w:t xml:space="preserve"> </w:t>
      </w:r>
      <w:r w:rsidRPr="00BD36AE">
        <w:rPr>
          <w:rFonts w:ascii="Palatino Linotype" w:hAnsi="Palatino Linotype"/>
          <w:b/>
          <w:bCs/>
          <w:i/>
          <w:iCs/>
          <w:sz w:val="22"/>
          <w:szCs w:val="22"/>
          <w:highlight w:val="yellow"/>
        </w:rPr>
        <w:t xml:space="preserve">La información clasificada como reservada, de acuerdo a lo establecido en esta Ley podrá permanecer con tal carácter hasta por un periodo </w:t>
      </w:r>
      <w:r w:rsidRPr="00BD36AE">
        <w:rPr>
          <w:rFonts w:ascii="Palatino Linotype" w:hAnsi="Palatino Linotype"/>
          <w:b/>
          <w:bCs/>
          <w:i/>
          <w:iCs/>
          <w:sz w:val="22"/>
          <w:szCs w:val="22"/>
          <w:highlight w:val="yellow"/>
        </w:rPr>
        <w:lastRenderedPageBreak/>
        <w:t>de cinco años</w:t>
      </w:r>
      <w:r w:rsidRPr="00BD36AE">
        <w:rPr>
          <w:rFonts w:ascii="Palatino Linotype" w:hAnsi="Palatino Linotype"/>
          <w:i/>
          <w:iCs/>
          <w:sz w:val="22"/>
          <w:szCs w:val="22"/>
          <w:highlight w:val="yellow"/>
        </w:rPr>
        <w:t>, contados a partir de su clasificación, salvo que antes del cumplimiento del periodo de restricción, dejaran de existir los motivos de su reserva.</w:t>
      </w:r>
    </w:p>
    <w:p w14:paraId="32D0702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16A5A43"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68157FA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14:paraId="1BCDFB5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482EF75E"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Artículo 128.</w:t>
      </w:r>
      <w:r w:rsidRPr="00BD36AE">
        <w:rPr>
          <w:rFonts w:ascii="Palatino Linotype" w:hAnsi="Palatino Linotype"/>
          <w:i/>
          <w:iCs/>
          <w:sz w:val="22"/>
          <w:szCs w:val="22"/>
          <w:highlight w:val="yellow"/>
        </w:rPr>
        <w:t xml:space="preserve"> </w:t>
      </w:r>
      <w:r w:rsidRPr="00BD36AE">
        <w:rPr>
          <w:rFonts w:ascii="Palatino Linotype" w:hAnsi="Palatino Linotype"/>
          <w:b/>
          <w:bCs/>
          <w:i/>
          <w:iCs/>
          <w:sz w:val="22"/>
          <w:szCs w:val="22"/>
          <w:highlight w:val="yellow"/>
        </w:rPr>
        <w:t>En los casos en que se niegue el acceso a la información, por actualizarse alguno de los supuestos de clasificación, el Comité de Transparencia deberá confirmar, modificar o revocar la decisión</w:t>
      </w:r>
      <w:r w:rsidRPr="00BD36AE">
        <w:rPr>
          <w:rFonts w:ascii="Palatino Linotype" w:hAnsi="Palatino Linotype"/>
          <w:i/>
          <w:iCs/>
          <w:sz w:val="22"/>
          <w:szCs w:val="22"/>
          <w:highlight w:val="yellow"/>
        </w:rPr>
        <w:t>.</w:t>
      </w:r>
    </w:p>
    <w:p w14:paraId="4CD499AE"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 xml:space="preserve">Para motivar la clasificación de la información y la ampliación del plazo de reserva, </w:t>
      </w:r>
      <w:r w:rsidRPr="00BD36AE">
        <w:rPr>
          <w:rFonts w:ascii="Palatino Linotype" w:hAnsi="Palatino Linotype"/>
          <w:b/>
          <w:bCs/>
          <w:i/>
          <w:iCs/>
          <w:sz w:val="22"/>
          <w:szCs w:val="22"/>
          <w:highlight w:val="yellow"/>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BD36AE">
        <w:rPr>
          <w:rFonts w:ascii="Palatino Linotype" w:hAnsi="Palatino Linotype"/>
          <w:i/>
          <w:iCs/>
          <w:sz w:val="22"/>
          <w:szCs w:val="22"/>
          <w:highlight w:val="yellow"/>
        </w:rPr>
        <w:t>.</w:t>
      </w:r>
    </w:p>
    <w:p w14:paraId="13187B7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Tratándose de aquella información que actualice los supuestos de clasificación, deberá señalarse el plazo al que estará sujeto la reserva.</w:t>
      </w:r>
    </w:p>
    <w:p w14:paraId="2D4509C7"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4C94DBB4"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b/>
          <w:bCs/>
          <w:i/>
          <w:iCs/>
          <w:sz w:val="22"/>
          <w:szCs w:val="22"/>
          <w:highlight w:val="yellow"/>
        </w:rPr>
      </w:pPr>
      <w:r w:rsidRPr="00BD36AE">
        <w:rPr>
          <w:rFonts w:ascii="Palatino Linotype" w:hAnsi="Palatino Linotype"/>
          <w:b/>
          <w:bCs/>
          <w:i/>
          <w:iCs/>
          <w:sz w:val="22"/>
          <w:szCs w:val="22"/>
          <w:highlight w:val="yellow"/>
        </w:rPr>
        <w:t>Artículo 129. En la aplicación de la prueba de daño, el Sujeto Obligado deberá precisar las razones objetivas por las que la apertura de la información generaría una afectación, justificando que:</w:t>
      </w:r>
    </w:p>
    <w:p w14:paraId="05BD5C04"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b/>
          <w:bCs/>
          <w:i/>
          <w:iCs/>
          <w:sz w:val="22"/>
          <w:szCs w:val="22"/>
          <w:highlight w:val="yellow"/>
        </w:rPr>
      </w:pPr>
      <w:r w:rsidRPr="00BD36AE">
        <w:rPr>
          <w:rFonts w:ascii="Palatino Linotype" w:hAnsi="Palatino Linotype"/>
          <w:b/>
          <w:bCs/>
          <w:i/>
          <w:iCs/>
          <w:sz w:val="22"/>
          <w:szCs w:val="22"/>
          <w:highlight w:val="yellow"/>
        </w:rPr>
        <w:t>I. La divulgación de la información representa un riesgo real, demostrable e identificable del perjuicio significativo al interés público o a la seguridad pública;</w:t>
      </w:r>
    </w:p>
    <w:p w14:paraId="4C7FADD7"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b/>
          <w:bCs/>
          <w:i/>
          <w:iCs/>
          <w:sz w:val="22"/>
          <w:szCs w:val="22"/>
          <w:highlight w:val="yellow"/>
        </w:rPr>
      </w:pPr>
      <w:r w:rsidRPr="00BD36AE">
        <w:rPr>
          <w:rFonts w:ascii="Palatino Linotype" w:hAnsi="Palatino Linotype"/>
          <w:b/>
          <w:bCs/>
          <w:i/>
          <w:iCs/>
          <w:sz w:val="22"/>
          <w:szCs w:val="22"/>
          <w:highlight w:val="yellow"/>
        </w:rPr>
        <w:t>II. El riesgo de perjuicio que supondría la divulgación supera el interés público general de que se difunda; y</w:t>
      </w:r>
    </w:p>
    <w:p w14:paraId="593CE74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b/>
          <w:bCs/>
          <w:i/>
          <w:iCs/>
          <w:sz w:val="22"/>
          <w:szCs w:val="22"/>
          <w:highlight w:val="yellow"/>
        </w:rPr>
      </w:pPr>
      <w:r w:rsidRPr="00BD36AE">
        <w:rPr>
          <w:rFonts w:ascii="Palatino Linotype" w:hAnsi="Palatino Linotype"/>
          <w:b/>
          <w:bCs/>
          <w:i/>
          <w:iCs/>
          <w:sz w:val="22"/>
          <w:szCs w:val="22"/>
          <w:highlight w:val="yellow"/>
        </w:rPr>
        <w:lastRenderedPageBreak/>
        <w:t>III. La limitación se adecua al principio de proporcionalidad y representa el medio menos restrictivo disponible representa el medio menos restrictivo disponible para evitar el perjuicio.</w:t>
      </w:r>
    </w:p>
    <w:p w14:paraId="10813DED"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49316A3D"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Artículo 130.</w:t>
      </w:r>
      <w:r w:rsidRPr="00BD36AE">
        <w:rPr>
          <w:rFonts w:ascii="Palatino Linotype" w:hAnsi="Palatino Linotype"/>
          <w:i/>
          <w:iCs/>
          <w:sz w:val="22"/>
          <w:szCs w:val="22"/>
          <w:highlight w:val="yellow"/>
        </w:rPr>
        <w:t xml:space="preserve"> </w:t>
      </w:r>
      <w:r w:rsidRPr="00BD36AE">
        <w:rPr>
          <w:rFonts w:ascii="Palatino Linotype" w:hAnsi="Palatino Linotype"/>
          <w:b/>
          <w:bCs/>
          <w:i/>
          <w:iCs/>
          <w:sz w:val="22"/>
          <w:szCs w:val="22"/>
          <w:highlight w:val="yellow"/>
          <w:u w:val="single"/>
        </w:rPr>
        <w:t>Los sujetos obligados deberán aplicar, de manera restrictiva y limitada, las excepciones al derecho de acceso a la información y sólo podrán invocarlas cuando acrediten su procedencia</w:t>
      </w:r>
      <w:r w:rsidRPr="00BD36AE">
        <w:rPr>
          <w:rFonts w:ascii="Palatino Linotype" w:hAnsi="Palatino Linotype"/>
          <w:i/>
          <w:iCs/>
          <w:sz w:val="22"/>
          <w:szCs w:val="22"/>
          <w:highlight w:val="yellow"/>
        </w:rPr>
        <w:t>, sin ampliar las excepciones o supuestos de reserva o confidencialidad previstos en la Ley General y la presente Ley, aduciendo analogía o mayoría de razón.</w:t>
      </w:r>
    </w:p>
    <w:p w14:paraId="07C58865"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p>
    <w:p w14:paraId="400E433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Artículo 140.</w:t>
      </w:r>
      <w:r w:rsidRPr="00BD36AE">
        <w:rPr>
          <w:rFonts w:ascii="Palatino Linotype" w:hAnsi="Palatino Linotype"/>
          <w:i/>
          <w:iCs/>
          <w:sz w:val="22"/>
          <w:szCs w:val="22"/>
          <w:highlight w:val="yellow"/>
        </w:rPr>
        <w:t xml:space="preserve"> </w:t>
      </w:r>
      <w:r w:rsidRPr="00BD36AE">
        <w:rPr>
          <w:rFonts w:ascii="Palatino Linotype" w:hAnsi="Palatino Linotype"/>
          <w:b/>
          <w:bCs/>
          <w:i/>
          <w:iCs/>
          <w:sz w:val="22"/>
          <w:szCs w:val="22"/>
          <w:highlight w:val="yellow"/>
        </w:rPr>
        <w:t>El acceso a la información pública será restringido excepcionalmente, cuando por razones de interés público, ésta sea clasificada como reservada, conforme a los criterios siguientes:</w:t>
      </w:r>
    </w:p>
    <w:p w14:paraId="7E3460A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i/>
          <w:iCs/>
          <w:sz w:val="22"/>
          <w:szCs w:val="22"/>
          <w:highlight w:val="yellow"/>
        </w:rPr>
        <w:t>(…)</w:t>
      </w:r>
    </w:p>
    <w:p w14:paraId="3A6BD25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2"/>
          <w:highlight w:val="yellow"/>
        </w:rPr>
      </w:pPr>
      <w:r w:rsidRPr="00BD36AE">
        <w:rPr>
          <w:rFonts w:ascii="Palatino Linotype" w:hAnsi="Palatino Linotype"/>
          <w:b/>
          <w:bCs/>
          <w:i/>
          <w:iCs/>
          <w:sz w:val="22"/>
          <w:szCs w:val="22"/>
          <w:highlight w:val="yellow"/>
        </w:rPr>
        <w:t>VI.</w:t>
      </w:r>
      <w:r w:rsidRPr="00BD36AE">
        <w:rPr>
          <w:rFonts w:ascii="Palatino Linotype" w:hAnsi="Palatino Linotype"/>
          <w:i/>
          <w:iCs/>
          <w:sz w:val="22"/>
          <w:szCs w:val="22"/>
          <w:highlight w:val="yellow"/>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570080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sz w:val="22"/>
          <w:szCs w:val="22"/>
          <w:highlight w:val="yellow"/>
        </w:rPr>
      </w:pPr>
      <w:r w:rsidRPr="00BD36AE">
        <w:rPr>
          <w:rFonts w:ascii="Palatino Linotype" w:hAnsi="Palatino Linotype"/>
          <w:i/>
          <w:iCs/>
          <w:sz w:val="22"/>
          <w:szCs w:val="22"/>
          <w:highlight w:val="yellow"/>
        </w:rPr>
        <w:t>(…)”</w:t>
      </w:r>
    </w:p>
    <w:p w14:paraId="45F0BA87"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sz w:val="22"/>
          <w:szCs w:val="22"/>
          <w:highlight w:val="yellow"/>
        </w:rPr>
      </w:pPr>
      <w:r w:rsidRPr="00BD36AE">
        <w:rPr>
          <w:rFonts w:ascii="Palatino Linotype" w:hAnsi="Palatino Linotype"/>
          <w:sz w:val="22"/>
          <w:szCs w:val="22"/>
          <w:highlight w:val="yellow"/>
        </w:rPr>
        <w:t>(Énfasis añadido)</w:t>
      </w:r>
    </w:p>
    <w:p w14:paraId="3F30998C"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467F54CB"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De la interpretación sistemática de los artículos citados, se advierte que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debe realizar la debida reserva de la información por seguir en trámite el procedimiento aludido, siguiendo los requisitos expuestos:</w:t>
      </w:r>
    </w:p>
    <w:p w14:paraId="1DE4CDC9"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6DB749EB"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bCs/>
          <w:highlight w:val="yellow"/>
        </w:rPr>
        <w:t>I.</w:t>
      </w:r>
      <w:r w:rsidRPr="00BD36AE">
        <w:rPr>
          <w:rFonts w:ascii="Palatino Linotype" w:hAnsi="Palatino Linotype"/>
          <w:highlight w:val="yellow"/>
        </w:rPr>
        <w:t xml:space="preserve"> La divulgación de la información representa un riesgo real, demostrable e identificable del perjuicio significativo al interés público o a la seguridad pública;</w:t>
      </w:r>
    </w:p>
    <w:p w14:paraId="2B9BBB87"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bCs/>
          <w:highlight w:val="yellow"/>
        </w:rPr>
        <w:lastRenderedPageBreak/>
        <w:t>II.</w:t>
      </w:r>
      <w:r w:rsidRPr="00BD36AE">
        <w:rPr>
          <w:rFonts w:ascii="Palatino Linotype" w:hAnsi="Palatino Linotype"/>
          <w:highlight w:val="yellow"/>
        </w:rPr>
        <w:t xml:space="preserve"> El riesgo de perjuicio que supondría la divulgación supera el interés público general de que se difunda; y</w:t>
      </w:r>
    </w:p>
    <w:p w14:paraId="1075E6F7" w14:textId="77777777" w:rsidR="00621F3F" w:rsidRPr="00BD36AE" w:rsidRDefault="00621F3F" w:rsidP="00621F3F">
      <w:pPr>
        <w:pStyle w:val="Prrafodelista"/>
        <w:tabs>
          <w:tab w:val="left" w:pos="426"/>
        </w:tabs>
        <w:spacing w:line="360" w:lineRule="auto"/>
        <w:ind w:left="567" w:right="567"/>
        <w:jc w:val="both"/>
        <w:rPr>
          <w:rFonts w:ascii="Palatino Linotype" w:hAnsi="Palatino Linotype"/>
          <w:highlight w:val="yellow"/>
        </w:rPr>
      </w:pPr>
      <w:r w:rsidRPr="00BD36AE">
        <w:rPr>
          <w:rFonts w:ascii="Palatino Linotype" w:hAnsi="Palatino Linotype"/>
          <w:b/>
          <w:bCs/>
          <w:highlight w:val="yellow"/>
        </w:rPr>
        <w:t>III.</w:t>
      </w:r>
      <w:r w:rsidRPr="00BD36AE">
        <w:rPr>
          <w:rFonts w:ascii="Palatino Linotype" w:hAnsi="Palatino Linotype"/>
          <w:highlight w:val="yellow"/>
        </w:rPr>
        <w:t xml:space="preserve"> La limitación se adecua al principio de proporcionalidad y representa el medio menos restrictivo disponible representa el medio menos restrictivo disponible para evitar el perjuicio.</w:t>
      </w:r>
    </w:p>
    <w:p w14:paraId="162A38B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6CCDC985"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2DB8F0BF"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2AF8ABED"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b/>
          <w:bCs/>
          <w:i/>
          <w:iCs/>
          <w:sz w:val="22"/>
          <w:szCs w:val="21"/>
          <w:highlight w:val="yellow"/>
        </w:rPr>
        <w:t>FUNDAMENTACIÓN Y MOTIVACIÓN. EL ASPECTO FORMAL DE LA GARANTÍA Y SU FINALIDAD SE TRADUCEN EN EXPLICAR, JUSTIFICAR, POSIBILITAR LA DEFENSA Y COMUNICAR LA DECISIÓN</w:t>
      </w:r>
      <w:r w:rsidRPr="00BD36AE">
        <w:rPr>
          <w:rFonts w:ascii="Palatino Linotype" w:hAnsi="Palatino Linotype"/>
          <w:i/>
          <w:iCs/>
          <w:sz w:val="22"/>
          <w:szCs w:val="21"/>
          <w:highlight w:val="yellow"/>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0E86317"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E2E217B"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lastRenderedPageBreak/>
        <w:t xml:space="preserve">Debiendo argumentar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que la liberación de la información pueda amenazar el interés protegido por la ley; es decir, esgrimir ideas jurídicas en el cual se evidencie la amenaza del daño o alteración al procedimiento que aduce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amparado de razones, y circunstancias especiales que lo llevaron a concluir que el caso particular se ajusta al supuesto previsto en la norma legal invocada como fundamento, específicamente como lo hizo valer en su respuesta, deberá clasificarla por la hipótesis análoga siendo aplicables los numerales de la Ley de la materia, que a la letra esgrimen:</w:t>
      </w:r>
    </w:p>
    <w:p w14:paraId="1AC72109"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644B1655"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i/>
          <w:iCs/>
          <w:sz w:val="22"/>
          <w:highlight w:val="yellow"/>
        </w:rPr>
        <w:t>“</w:t>
      </w:r>
      <w:r w:rsidRPr="00BD36AE">
        <w:rPr>
          <w:rFonts w:ascii="Palatino Linotype" w:hAnsi="Palatino Linotype"/>
          <w:b/>
          <w:bCs/>
          <w:i/>
          <w:iCs/>
          <w:sz w:val="22"/>
          <w:highlight w:val="yellow"/>
        </w:rPr>
        <w:t>Artículo 3.</w:t>
      </w:r>
      <w:r w:rsidRPr="00BD36AE">
        <w:rPr>
          <w:rFonts w:ascii="Palatino Linotype" w:hAnsi="Palatino Linotype"/>
          <w:i/>
          <w:iCs/>
          <w:sz w:val="22"/>
          <w:highlight w:val="yellow"/>
        </w:rPr>
        <w:t xml:space="preserve"> Para los efectos de la presente Ley se entenderá por:</w:t>
      </w:r>
    </w:p>
    <w:p w14:paraId="2FA4A055"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i/>
          <w:iCs/>
          <w:sz w:val="22"/>
          <w:highlight w:val="yellow"/>
        </w:rPr>
        <w:t>(…)</w:t>
      </w:r>
    </w:p>
    <w:p w14:paraId="59A7B478"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IX.</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Datos personales:</w:t>
      </w:r>
      <w:r w:rsidRPr="00BD36AE">
        <w:rPr>
          <w:rFonts w:ascii="Palatino Linotype" w:hAnsi="Palatino Linotype"/>
          <w:i/>
          <w:iCs/>
          <w:sz w:val="22"/>
          <w:highlight w:val="yellow"/>
        </w:rPr>
        <w:t xml:space="preserve"> La información concerniente a una persona, identificada o identificable según lo dispuesto por la Ley de Protección de Datos Personales del Estado de México;</w:t>
      </w:r>
    </w:p>
    <w:p w14:paraId="11C3466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i/>
          <w:iCs/>
          <w:sz w:val="22"/>
          <w:highlight w:val="yellow"/>
        </w:rPr>
        <w:t>(…)</w:t>
      </w:r>
    </w:p>
    <w:p w14:paraId="0B7072A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XLV.</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Versión pública:</w:t>
      </w:r>
      <w:r w:rsidRPr="00BD36AE">
        <w:rPr>
          <w:rFonts w:ascii="Palatino Linotype" w:hAnsi="Palatino Linotype"/>
          <w:i/>
          <w:iCs/>
          <w:sz w:val="22"/>
          <w:highlight w:val="yellow"/>
        </w:rPr>
        <w:t xml:space="preserve"> Documento en el que se elimine, suprime o borra la información clasificada como reservada o confidencial para permitir su acceso.</w:t>
      </w:r>
    </w:p>
    <w:p w14:paraId="73EA271C"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p>
    <w:p w14:paraId="78EB45D8"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Artículo 122.</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La clasificación es el proceso mediante el cual el Sujeto Obligado determina que la información en su poder actualiza alguno de los supuestos de reserva o confidencialidad,</w:t>
      </w:r>
      <w:r w:rsidRPr="00BD36AE">
        <w:rPr>
          <w:rFonts w:ascii="Palatino Linotype" w:hAnsi="Palatino Linotype"/>
          <w:i/>
          <w:iCs/>
          <w:sz w:val="22"/>
          <w:highlight w:val="yellow"/>
        </w:rPr>
        <w:t xml:space="preserve"> de conformidad con lo dispuesto en el presente título.</w:t>
      </w:r>
    </w:p>
    <w:p w14:paraId="74E3663A"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i/>
          <w:iCs/>
          <w:sz w:val="22"/>
          <w:highlight w:val="yellow"/>
        </w:rPr>
        <w:t>(…)</w:t>
      </w:r>
    </w:p>
    <w:p w14:paraId="52D5BB86"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p>
    <w:p w14:paraId="6C87F8A4"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Artículo 132.</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La clasificación de la información se llevará a cabo en el momento en que:</w:t>
      </w:r>
    </w:p>
    <w:p w14:paraId="375A9A2C"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i/>
          <w:iCs/>
          <w:sz w:val="22"/>
          <w:highlight w:val="yellow"/>
        </w:rPr>
        <w:t>(…)</w:t>
      </w:r>
    </w:p>
    <w:p w14:paraId="29D967B9"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III.</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Se generen versiones públicas</w:t>
      </w:r>
      <w:r w:rsidRPr="00BD36AE">
        <w:rPr>
          <w:rFonts w:ascii="Palatino Linotype" w:hAnsi="Palatino Linotype"/>
          <w:i/>
          <w:iCs/>
          <w:sz w:val="22"/>
          <w:highlight w:val="yellow"/>
        </w:rPr>
        <w:t xml:space="preserve"> para dar cumplimiento a las obligaciones de transparencia previstas en esta Ley.</w:t>
      </w:r>
    </w:p>
    <w:p w14:paraId="146CE09A"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p>
    <w:p w14:paraId="2FF136DC"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highlight w:val="yellow"/>
        </w:rPr>
      </w:pPr>
      <w:r w:rsidRPr="00BD36AE">
        <w:rPr>
          <w:rFonts w:ascii="Palatino Linotype" w:hAnsi="Palatino Linotype"/>
          <w:b/>
          <w:bCs/>
          <w:i/>
          <w:iCs/>
          <w:sz w:val="22"/>
          <w:highlight w:val="yellow"/>
        </w:rPr>
        <w:t>Artículo 137.</w:t>
      </w:r>
      <w:r w:rsidRPr="00BD36AE">
        <w:rPr>
          <w:rFonts w:ascii="Palatino Linotype" w:hAnsi="Palatino Linotype"/>
          <w:i/>
          <w:iCs/>
          <w:sz w:val="22"/>
          <w:highlight w:val="yellow"/>
        </w:rPr>
        <w:t xml:space="preserve"> </w:t>
      </w:r>
      <w:r w:rsidRPr="00BD36AE">
        <w:rPr>
          <w:rFonts w:ascii="Palatino Linotype" w:hAnsi="Palatino Linotype"/>
          <w:b/>
          <w:bCs/>
          <w:i/>
          <w:iCs/>
          <w:sz w:val="22"/>
          <w:highlight w:val="yellow"/>
        </w:rPr>
        <w:t>Cuando un mismo medio, impreso o electrónico, contenga información pública y reservada o confidencial, la Unidad de Transparencia</w:t>
      </w:r>
      <w:r w:rsidRPr="00BD36AE">
        <w:rPr>
          <w:rFonts w:ascii="Palatino Linotype" w:hAnsi="Palatino Linotype"/>
          <w:i/>
          <w:iCs/>
          <w:sz w:val="22"/>
          <w:highlight w:val="yellow"/>
        </w:rPr>
        <w:t xml:space="preserve"> para efectos de atender una solicitud de información, </w:t>
      </w:r>
      <w:r w:rsidRPr="00BD36AE">
        <w:rPr>
          <w:rFonts w:ascii="Palatino Linotype" w:hAnsi="Palatino Linotype"/>
          <w:b/>
          <w:bCs/>
          <w:i/>
          <w:iCs/>
          <w:sz w:val="22"/>
          <w:highlight w:val="yellow"/>
        </w:rPr>
        <w:t xml:space="preserve">deberán elaborar una versión </w:t>
      </w:r>
      <w:r w:rsidRPr="00BD36AE">
        <w:rPr>
          <w:rFonts w:ascii="Palatino Linotype" w:hAnsi="Palatino Linotype"/>
          <w:b/>
          <w:bCs/>
          <w:i/>
          <w:iCs/>
          <w:sz w:val="22"/>
          <w:highlight w:val="yellow"/>
        </w:rPr>
        <w:lastRenderedPageBreak/>
        <w:t xml:space="preserve">pública </w:t>
      </w:r>
      <w:r w:rsidRPr="00BD36AE">
        <w:rPr>
          <w:rFonts w:ascii="Palatino Linotype" w:hAnsi="Palatino Linotype"/>
          <w:i/>
          <w:iCs/>
          <w:sz w:val="22"/>
          <w:highlight w:val="yellow"/>
        </w:rPr>
        <w:t xml:space="preserve">en la que se testen las partes o secciones clasificadas, </w:t>
      </w:r>
      <w:r w:rsidRPr="00BD36AE">
        <w:rPr>
          <w:rFonts w:ascii="Palatino Linotype" w:hAnsi="Palatino Linotype"/>
          <w:b/>
          <w:bCs/>
          <w:i/>
          <w:iCs/>
          <w:sz w:val="22"/>
          <w:highlight w:val="yellow"/>
        </w:rPr>
        <w:t>indicando su contenido de manera genérica y fundando y motivando su clasificación</w:t>
      </w:r>
      <w:r w:rsidRPr="00BD36AE">
        <w:rPr>
          <w:rFonts w:ascii="Palatino Linotype" w:hAnsi="Palatino Linotype"/>
          <w:i/>
          <w:iCs/>
          <w:sz w:val="22"/>
          <w:highlight w:val="yellow"/>
        </w:rPr>
        <w:t>.”</w:t>
      </w:r>
    </w:p>
    <w:p w14:paraId="53D2514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46847226"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14:paraId="621BEA7A"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63FF3FE2"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2429AB7"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6036419C"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14:paraId="1C7FE36D"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714499B2"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lastRenderedPageBreak/>
        <w:t xml:space="preserve">Efectivamente, cuando se clasifica información como confidencial o reservada </w:t>
      </w:r>
      <w:r w:rsidRPr="00BD36AE">
        <w:rPr>
          <w:rFonts w:ascii="Palatino Linotype" w:hAnsi="Palatino Linotype"/>
          <w:b/>
          <w:bCs/>
          <w:highlight w:val="yellow"/>
          <w:lang w:val="es-ES_tradnl"/>
        </w:rPr>
        <w:t>es deber someterlo al Comité de Transparencia</w:t>
      </w:r>
      <w:r w:rsidRPr="00BD36AE">
        <w:rPr>
          <w:rFonts w:ascii="Palatino Linotype" w:hAnsi="Palatino Linotype"/>
          <w:highlight w:val="yellow"/>
          <w:lang w:val="es-ES_tradnl"/>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w:t>
      </w:r>
      <w:r w:rsidRPr="00BD36AE">
        <w:rPr>
          <w:rFonts w:ascii="Palatino Linotype" w:hAnsi="Palatino Linotype"/>
          <w:b/>
          <w:highlight w:val="yellow"/>
          <w:lang w:val="es-ES_tradnl"/>
        </w:rPr>
        <w:t>SUJETO OBLIGADO</w:t>
      </w:r>
      <w:r w:rsidRPr="00BD36AE">
        <w:rPr>
          <w:rFonts w:ascii="Palatino Linotype" w:hAnsi="Palatino Linotype"/>
          <w:highlight w:val="yellow"/>
          <w:lang w:val="es-ES_tradn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FC93E58"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16699967" w14:textId="50D58B75" w:rsidR="00621F3F" w:rsidRPr="00BD36AE" w:rsidRDefault="00BD36AE" w:rsidP="00621F3F">
      <w:pPr>
        <w:pStyle w:val="Prrafodelista"/>
        <w:tabs>
          <w:tab w:val="left" w:pos="426"/>
        </w:tabs>
        <w:spacing w:line="360" w:lineRule="auto"/>
        <w:ind w:left="0"/>
        <w:jc w:val="both"/>
        <w:outlineLvl w:val="2"/>
        <w:rPr>
          <w:rFonts w:ascii="Palatino Linotype" w:hAnsi="Palatino Linotype"/>
          <w:b/>
          <w:bCs/>
          <w:highlight w:val="yellow"/>
        </w:rPr>
      </w:pPr>
      <w:bookmarkStart w:id="25" w:name="_Toc92875121"/>
      <w:r w:rsidRPr="00BD36AE">
        <w:rPr>
          <w:rFonts w:ascii="Palatino Linotype" w:hAnsi="Palatino Linotype"/>
          <w:b/>
          <w:bCs/>
          <w:highlight w:val="yellow"/>
        </w:rPr>
        <w:t>IV</w:t>
      </w:r>
      <w:r w:rsidR="00621F3F" w:rsidRPr="00BD36AE">
        <w:rPr>
          <w:rFonts w:ascii="Palatino Linotype" w:hAnsi="Palatino Linotype"/>
          <w:b/>
          <w:bCs/>
          <w:highlight w:val="yellow"/>
        </w:rPr>
        <w:t>.III. Procedimientos en trámite a la fecha de la presente resolución.</w:t>
      </w:r>
      <w:bookmarkEnd w:id="25"/>
    </w:p>
    <w:p w14:paraId="6C2EB96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578B1B47"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Al respecto, el artículo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14:paraId="0EA246A4"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27CBEE0"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Por lo cual, la causal de reserva prevé que la información podrá clasificarse como reservada en el caso de que obstruya los procedimientos para fincar responsabilidad </w:t>
      </w:r>
      <w:r w:rsidRPr="00BD36AE">
        <w:rPr>
          <w:rFonts w:ascii="Palatino Linotype" w:hAnsi="Palatino Linotype"/>
          <w:highlight w:val="yellow"/>
          <w:lang w:val="es-ES_tradnl"/>
        </w:rPr>
        <w:lastRenderedPageBreak/>
        <w:t>a los servidores públicos, pretende proteger la información vinculada a dichos procedimientos.</w:t>
      </w:r>
    </w:p>
    <w:p w14:paraId="06B33AD2"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24E43A8C"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Por su parte, en los Lineamientos Generales en Materia de Clasificación y Desclasificación de la Información, así como para la elaboración de versiones públicas, se establece lo siguiente:</w:t>
      </w:r>
    </w:p>
    <w:p w14:paraId="62A6D66E"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357D12CA"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i/>
          <w:iCs/>
          <w:sz w:val="22"/>
          <w:szCs w:val="21"/>
          <w:highlight w:val="yellow"/>
        </w:rPr>
        <w:t>“(…)</w:t>
      </w:r>
    </w:p>
    <w:p w14:paraId="1A46A2DB"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b/>
          <w:bCs/>
          <w:i/>
          <w:iCs/>
          <w:sz w:val="22"/>
          <w:szCs w:val="21"/>
          <w:highlight w:val="yellow"/>
        </w:rPr>
        <w:t>Vigésimo octavo.</w:t>
      </w:r>
      <w:r w:rsidRPr="00BD36AE">
        <w:rPr>
          <w:rFonts w:ascii="Palatino Linotype" w:hAnsi="Palatino Linotype"/>
          <w:i/>
          <w:iCs/>
          <w:sz w:val="22"/>
          <w:szCs w:val="21"/>
          <w:highlight w:val="yellow"/>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22E26C60"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b/>
          <w:bCs/>
          <w:i/>
          <w:iCs/>
          <w:sz w:val="22"/>
          <w:szCs w:val="21"/>
          <w:highlight w:val="yellow"/>
        </w:rPr>
        <w:t>I.</w:t>
      </w:r>
      <w:r w:rsidRPr="00BD36AE">
        <w:rPr>
          <w:rFonts w:ascii="Palatino Linotype" w:hAnsi="Palatino Linotype"/>
          <w:i/>
          <w:iCs/>
          <w:sz w:val="22"/>
          <w:szCs w:val="21"/>
          <w:highlight w:val="yellow"/>
        </w:rPr>
        <w:t xml:space="preserve"> La existencia de un procedimiento de responsabilidad administrativa en trámite, y </w:t>
      </w:r>
    </w:p>
    <w:p w14:paraId="636456EB"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b/>
          <w:bCs/>
          <w:i/>
          <w:iCs/>
          <w:sz w:val="22"/>
          <w:szCs w:val="21"/>
          <w:highlight w:val="yellow"/>
        </w:rPr>
        <w:t>II.</w:t>
      </w:r>
      <w:r w:rsidRPr="00BD36AE">
        <w:rPr>
          <w:rFonts w:ascii="Palatino Linotype" w:hAnsi="Palatino Linotype"/>
          <w:i/>
          <w:iCs/>
          <w:sz w:val="22"/>
          <w:szCs w:val="21"/>
          <w:highlight w:val="yellow"/>
        </w:rPr>
        <w:t xml:space="preserve"> Que la información se refiera a actuaciones, diligencias y constancias propias del procedimiento de responsabilidad.</w:t>
      </w:r>
    </w:p>
    <w:p w14:paraId="1B67707B" w14:textId="77777777" w:rsidR="00621F3F" w:rsidRPr="00BD36AE" w:rsidRDefault="00621F3F" w:rsidP="00621F3F">
      <w:pPr>
        <w:pStyle w:val="Prrafodelista"/>
        <w:tabs>
          <w:tab w:val="left" w:pos="426"/>
        </w:tabs>
        <w:spacing w:line="276" w:lineRule="auto"/>
        <w:ind w:left="567" w:right="567"/>
        <w:jc w:val="both"/>
        <w:rPr>
          <w:rFonts w:ascii="Palatino Linotype" w:hAnsi="Palatino Linotype"/>
          <w:i/>
          <w:iCs/>
          <w:sz w:val="22"/>
          <w:szCs w:val="21"/>
          <w:highlight w:val="yellow"/>
        </w:rPr>
      </w:pPr>
      <w:r w:rsidRPr="00BD36AE">
        <w:rPr>
          <w:rFonts w:ascii="Palatino Linotype" w:hAnsi="Palatino Linotype"/>
          <w:i/>
          <w:iCs/>
          <w:sz w:val="22"/>
          <w:szCs w:val="21"/>
          <w:highlight w:val="yellow"/>
        </w:rPr>
        <w:t>(…)”</w:t>
      </w:r>
    </w:p>
    <w:p w14:paraId="6A52E2DE"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08D643BB"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De lo anterior, se advierte que para que se actualice la causal de reserva que se analiza se debe acreditar </w:t>
      </w:r>
      <w:r w:rsidRPr="00BD36AE">
        <w:rPr>
          <w:rFonts w:ascii="Palatino Linotype" w:hAnsi="Palatino Linotype"/>
          <w:b/>
          <w:highlight w:val="yellow"/>
          <w:lang w:val="es-ES_tradnl"/>
        </w:rPr>
        <w:t>I)</w:t>
      </w:r>
      <w:r w:rsidRPr="00BD36AE">
        <w:rPr>
          <w:rFonts w:ascii="Palatino Linotype" w:hAnsi="Palatino Linotype"/>
          <w:highlight w:val="yellow"/>
          <w:lang w:val="es-ES_tradnl"/>
        </w:rPr>
        <w:t xml:space="preserve"> la existencia de un procedimiento de responsabilidad administrativa en trámite, y </w:t>
      </w:r>
      <w:r w:rsidRPr="00BD36AE">
        <w:rPr>
          <w:rFonts w:ascii="Palatino Linotype" w:hAnsi="Palatino Linotype"/>
          <w:b/>
          <w:highlight w:val="yellow"/>
          <w:lang w:val="es-ES_tradnl"/>
        </w:rPr>
        <w:t>II)</w:t>
      </w:r>
      <w:r w:rsidRPr="00BD36AE">
        <w:rPr>
          <w:rFonts w:ascii="Palatino Linotype" w:hAnsi="Palatino Linotype"/>
          <w:highlight w:val="yellow"/>
          <w:lang w:val="es-ES_tradnl"/>
        </w:rPr>
        <w:t xml:space="preserve"> que la información se refiera a actuaciones, diligencias y constancias propias del procedimiento de responsabilidad.</w:t>
      </w:r>
    </w:p>
    <w:p w14:paraId="1EF111AF"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21403B9F" w14:textId="77777777" w:rsidR="00621F3F" w:rsidRPr="00BD36AE" w:rsidRDefault="00621F3F" w:rsidP="00621F3F">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Por tales consideraciones, resulta procedente la reserva, en términos del artículo 140, fracción VI, de la Ley de Transparencia y Acceso a la Información Pública del Estado de México y Municipios, de las quejas por responsabilidades administrativas en trámite, en caso de que existieran.</w:t>
      </w:r>
    </w:p>
    <w:p w14:paraId="383BFC75" w14:textId="77777777" w:rsidR="00621F3F" w:rsidRPr="00BD36AE" w:rsidRDefault="00621F3F" w:rsidP="00621F3F">
      <w:pPr>
        <w:pStyle w:val="Prrafodelista"/>
        <w:tabs>
          <w:tab w:val="left" w:pos="426"/>
        </w:tabs>
        <w:spacing w:line="360" w:lineRule="auto"/>
        <w:ind w:left="0"/>
        <w:jc w:val="both"/>
        <w:rPr>
          <w:rFonts w:ascii="Palatino Linotype" w:hAnsi="Palatino Linotype"/>
          <w:highlight w:val="yellow"/>
        </w:rPr>
      </w:pPr>
    </w:p>
    <w:p w14:paraId="1C69657B" w14:textId="7050E918" w:rsidR="00621F3F" w:rsidRPr="00BD36AE" w:rsidRDefault="00621F3F" w:rsidP="00621F3F">
      <w:pPr>
        <w:pStyle w:val="Prrafodelista"/>
        <w:numPr>
          <w:ilvl w:val="0"/>
          <w:numId w:val="1"/>
        </w:numPr>
        <w:tabs>
          <w:tab w:val="left" w:pos="426"/>
        </w:tabs>
        <w:spacing w:before="240" w:after="240" w:line="360" w:lineRule="auto"/>
        <w:ind w:right="51"/>
        <w:jc w:val="both"/>
        <w:rPr>
          <w:rFonts w:ascii="Palatino Linotype" w:hAnsi="Palatino Linotype" w:cs="Tahoma"/>
          <w:bCs/>
          <w:iCs/>
          <w:highlight w:val="yellow"/>
        </w:rPr>
      </w:pPr>
      <w:r w:rsidRPr="00BD36AE">
        <w:rPr>
          <w:rFonts w:ascii="Palatino Linotype" w:hAnsi="Palatino Linotype"/>
          <w:highlight w:val="yellow"/>
          <w:lang w:val="es-ES_tradnl"/>
        </w:rPr>
        <w:lastRenderedPageBreak/>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6CC6DAB5" w14:textId="77777777" w:rsidR="00BD36AE" w:rsidRDefault="00BD36AE" w:rsidP="00BD36AE">
      <w:pPr>
        <w:pStyle w:val="Prrafodelista"/>
        <w:tabs>
          <w:tab w:val="left" w:pos="426"/>
        </w:tabs>
        <w:spacing w:before="240" w:after="240" w:line="360" w:lineRule="auto"/>
        <w:ind w:left="0" w:right="51"/>
        <w:jc w:val="both"/>
        <w:rPr>
          <w:rFonts w:ascii="Palatino Linotype" w:hAnsi="Palatino Linotype"/>
          <w:highlight w:val="yellow"/>
          <w:lang w:val="es-ES_tradnl"/>
        </w:rPr>
      </w:pPr>
    </w:p>
    <w:p w14:paraId="23C14BAA" w14:textId="3DFCDD7D" w:rsidR="00BD36AE" w:rsidRPr="00BD36AE" w:rsidRDefault="00BD36AE" w:rsidP="00BD36AE">
      <w:pPr>
        <w:pStyle w:val="Prrafodelista"/>
        <w:tabs>
          <w:tab w:val="left" w:pos="426"/>
        </w:tabs>
        <w:spacing w:before="240" w:after="240" w:line="360" w:lineRule="auto"/>
        <w:ind w:left="0" w:right="51"/>
        <w:jc w:val="both"/>
        <w:outlineLvl w:val="2"/>
        <w:rPr>
          <w:rFonts w:ascii="Palatino Linotype" w:hAnsi="Palatino Linotype"/>
          <w:b/>
          <w:highlight w:val="yellow"/>
          <w:lang w:val="es-ES_tradnl"/>
        </w:rPr>
      </w:pPr>
      <w:r>
        <w:rPr>
          <w:rFonts w:ascii="Palatino Linotype" w:hAnsi="Palatino Linotype"/>
          <w:b/>
          <w:highlight w:val="yellow"/>
          <w:lang w:val="es-ES_tradnl"/>
        </w:rPr>
        <w:t>IV.III.I Excepciones</w:t>
      </w:r>
    </w:p>
    <w:p w14:paraId="4980809D" w14:textId="77777777" w:rsidR="00BD36AE" w:rsidRPr="00BD36AE" w:rsidRDefault="00BD36AE" w:rsidP="00BD36AE">
      <w:pPr>
        <w:pStyle w:val="Prrafodelista"/>
        <w:tabs>
          <w:tab w:val="left" w:pos="426"/>
        </w:tabs>
        <w:spacing w:before="240" w:after="240" w:line="360" w:lineRule="auto"/>
        <w:ind w:left="0" w:right="51"/>
        <w:jc w:val="both"/>
        <w:rPr>
          <w:rFonts w:ascii="Palatino Linotype" w:hAnsi="Palatino Linotype" w:cs="Tahoma"/>
          <w:bCs/>
          <w:iCs/>
          <w:highlight w:val="yellow"/>
        </w:rPr>
      </w:pPr>
    </w:p>
    <w:p w14:paraId="1CC671C8"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El numeral 53 de la Ley del Sistema Anticorrupción del Estado de México y Municipios dispone que </w:t>
      </w:r>
      <w:r w:rsidRPr="00BD36AE">
        <w:rPr>
          <w:rFonts w:ascii="Palatino Linotype" w:hAnsi="Palatino Linotype"/>
          <w:b/>
          <w:highlight w:val="yellow"/>
          <w:u w:val="single"/>
          <w:lang w:val="es-ES_tradnl"/>
        </w:rPr>
        <w:t>las sanciones por faltas administrativas graves serán públicas</w:t>
      </w:r>
      <w:r w:rsidRPr="00BD36AE">
        <w:rPr>
          <w:rFonts w:ascii="Palatino Linotype" w:hAnsi="Palatino Linotype"/>
          <w:highlight w:val="yellow"/>
          <w:lang w:val="es-ES_tradnl"/>
        </w:rPr>
        <w:t xml:space="preserve"> cuando de éstas devengan impedimentos o inhabilitaciones para continuar ejerciendo el servicio público.</w:t>
      </w:r>
    </w:p>
    <w:p w14:paraId="0407D4EF"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3B808F0B"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Al respecto, la Ley de Responsabilidades Administrativas del Estado de México y Municipios, define de forma clara y concreta cada uno de los actos considerados como faltas administrativas graves de los servidores públicos en sus artículos 53, 54, 55, 56, 57, 58, 59, 60, 61, 62, 63, 64, 65, 66 y 67; y, cuya ejecución se relacionan, en su mayoría, con el abuso del poder público encomendado en un empleo, cargo o comisión, buscando la obtención de un beneficio meramente personal en agravio del Estado, los ciudadanos u otros servidores públicos.</w:t>
      </w:r>
    </w:p>
    <w:p w14:paraId="4DFC7801"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6994A47D" w14:textId="0F69E0A8"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Lo anterior separa, en consecuencia, a los actos contenidos en el artículo 52 de la Ley de Responsabilidades Administrativas Estatal de todos los demás que pudieran ser investigados por el Órgano de Control Interno del </w:t>
      </w:r>
      <w:r w:rsidRPr="00BD36AE">
        <w:rPr>
          <w:rFonts w:ascii="Palatino Linotype" w:hAnsi="Palatino Linotype"/>
          <w:b/>
          <w:highlight w:val="yellow"/>
          <w:lang w:val="es-ES_tradnl"/>
        </w:rPr>
        <w:t>SUJETO OBLIGADO</w:t>
      </w:r>
      <w:r w:rsidRPr="00BD36AE">
        <w:rPr>
          <w:rFonts w:ascii="Palatino Linotype" w:hAnsi="Palatino Linotype"/>
          <w:highlight w:val="yellow"/>
          <w:lang w:val="es-ES_tradnl"/>
        </w:rPr>
        <w:t xml:space="preserve">, ya que éstos se pueden determinar </w:t>
      </w:r>
      <w:r w:rsidR="00E64F65">
        <w:rPr>
          <w:rFonts w:ascii="Palatino Linotype" w:hAnsi="Palatino Linotype"/>
          <w:highlight w:val="yellow"/>
          <w:lang w:val="es-ES_tradnl"/>
        </w:rPr>
        <w:t>cómo</w:t>
      </w:r>
      <w:r w:rsidRPr="00BD36AE">
        <w:rPr>
          <w:rFonts w:ascii="Palatino Linotype" w:hAnsi="Palatino Linotype"/>
          <w:highlight w:val="yellow"/>
          <w:lang w:val="es-ES_tradnl"/>
        </w:rPr>
        <w:t xml:space="preserve"> actos de corrupción, aunado que su deber de </w:t>
      </w:r>
      <w:r w:rsidRPr="00BD36AE">
        <w:rPr>
          <w:rFonts w:ascii="Palatino Linotype" w:hAnsi="Palatino Linotype"/>
          <w:highlight w:val="yellow"/>
          <w:lang w:val="es-ES_tradnl"/>
        </w:rPr>
        <w:lastRenderedPageBreak/>
        <w:t>investigación concluye con la emisión del Informe de Presunta Responsabilidad Administrativa, misma que debe turnar al Juzgador Administrativo Estatal para que sea éste quien conduzca el proceso de sustanciación y resolución.</w:t>
      </w:r>
    </w:p>
    <w:p w14:paraId="06773F5B"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27C647C6"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En ese sentido, debemos traer a estudio lo dispuesto por el numeral 142 de la Ley de Transparencia y Acceso a la Información Pública del Estado de México y Municipios, mismo que se inserta a continuación:</w:t>
      </w:r>
    </w:p>
    <w:p w14:paraId="7CBC35DE"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5B6B75AA" w14:textId="77777777" w:rsidR="00BD36AE" w:rsidRPr="00BD36AE" w:rsidRDefault="00BD36AE" w:rsidP="00BD36AE">
      <w:pPr>
        <w:pStyle w:val="Prrafodelista"/>
        <w:spacing w:line="276" w:lineRule="auto"/>
        <w:ind w:left="567" w:right="567"/>
        <w:jc w:val="both"/>
        <w:rPr>
          <w:rFonts w:ascii="Palatino Linotype" w:hAnsi="Palatino Linotype"/>
          <w:i/>
          <w:highlight w:val="yellow"/>
        </w:rPr>
      </w:pPr>
      <w:r w:rsidRPr="00BD36AE">
        <w:rPr>
          <w:rFonts w:ascii="Palatino Linotype" w:hAnsi="Palatino Linotype"/>
          <w:i/>
          <w:highlight w:val="yellow"/>
        </w:rPr>
        <w:t>“</w:t>
      </w:r>
      <w:r w:rsidRPr="00BD36AE">
        <w:rPr>
          <w:rFonts w:ascii="Palatino Linotype" w:hAnsi="Palatino Linotype"/>
          <w:b/>
          <w:i/>
          <w:highlight w:val="yellow"/>
        </w:rPr>
        <w:t>Artículo 142.</w:t>
      </w:r>
      <w:r w:rsidRPr="00BD36AE">
        <w:rPr>
          <w:rFonts w:ascii="Palatino Linotype" w:hAnsi="Palatino Linotype"/>
          <w:i/>
          <w:highlight w:val="yellow"/>
        </w:rPr>
        <w:t xml:space="preserve"> </w:t>
      </w:r>
      <w:r w:rsidRPr="00BD36AE">
        <w:rPr>
          <w:rFonts w:ascii="Palatino Linotype" w:hAnsi="Palatino Linotype"/>
          <w:b/>
          <w:i/>
          <w:highlight w:val="yellow"/>
        </w:rPr>
        <w:t>Bajo ninguna circunstancia podrá invocarse el carácter de reservado cuando:</w:t>
      </w:r>
    </w:p>
    <w:p w14:paraId="448DE9E0" w14:textId="77777777" w:rsidR="00BD36AE" w:rsidRPr="00BD36AE" w:rsidRDefault="00BD36AE" w:rsidP="00BD36AE">
      <w:pPr>
        <w:pStyle w:val="Prrafodelista"/>
        <w:spacing w:line="276" w:lineRule="auto"/>
        <w:ind w:left="567" w:right="567"/>
        <w:jc w:val="both"/>
        <w:rPr>
          <w:rFonts w:ascii="Palatino Linotype" w:hAnsi="Palatino Linotype"/>
          <w:i/>
          <w:highlight w:val="yellow"/>
        </w:rPr>
      </w:pPr>
      <w:r w:rsidRPr="00BD36AE">
        <w:rPr>
          <w:rFonts w:ascii="Palatino Linotype" w:hAnsi="Palatino Linotype"/>
          <w:b/>
          <w:bCs/>
          <w:i/>
          <w:highlight w:val="yellow"/>
        </w:rPr>
        <w:t>I. Se trate de violaciones graves de derechos humanos</w:t>
      </w:r>
      <w:r w:rsidRPr="00BD36AE">
        <w:rPr>
          <w:rFonts w:ascii="Palatino Linotype" w:hAnsi="Palatino Linotype"/>
          <w:i/>
          <w:highlight w:val="yellow"/>
        </w:rPr>
        <w:t>, calificada así por autoridad competente;</w:t>
      </w:r>
    </w:p>
    <w:p w14:paraId="13521E87" w14:textId="77777777" w:rsidR="00BD36AE" w:rsidRPr="00BD36AE" w:rsidRDefault="00BD36AE" w:rsidP="00BD36AE">
      <w:pPr>
        <w:pStyle w:val="Prrafodelista"/>
        <w:spacing w:line="276" w:lineRule="auto"/>
        <w:ind w:left="567" w:right="567"/>
        <w:jc w:val="both"/>
        <w:rPr>
          <w:rFonts w:ascii="Palatino Linotype" w:hAnsi="Palatino Linotype"/>
          <w:i/>
          <w:highlight w:val="yellow"/>
        </w:rPr>
      </w:pPr>
      <w:r w:rsidRPr="00BD36AE">
        <w:rPr>
          <w:rFonts w:ascii="Palatino Linotype" w:hAnsi="Palatino Linotype"/>
          <w:b/>
          <w:bCs/>
          <w:i/>
          <w:highlight w:val="yellow"/>
        </w:rPr>
        <w:t>II.</w:t>
      </w:r>
      <w:r w:rsidRPr="00BD36AE">
        <w:rPr>
          <w:rFonts w:ascii="Palatino Linotype" w:hAnsi="Palatino Linotype"/>
          <w:i/>
          <w:highlight w:val="yellow"/>
        </w:rPr>
        <w:t xml:space="preserve"> </w:t>
      </w:r>
      <w:r w:rsidRPr="00BD36AE">
        <w:rPr>
          <w:rFonts w:ascii="Palatino Linotype" w:hAnsi="Palatino Linotype"/>
          <w:b/>
          <w:bCs/>
          <w:i/>
          <w:highlight w:val="yellow"/>
          <w:u w:val="single"/>
        </w:rPr>
        <w:t>Se trate de la investigación de posibles violaciones graves de derechos humanos aun cuando no exista pronunciamiento previo de autoridad competente</w:t>
      </w:r>
      <w:r w:rsidRPr="00BD36AE">
        <w:rPr>
          <w:rFonts w:ascii="Palatino Linotype" w:hAnsi="Palatino Linotype"/>
          <w:i/>
          <w:highlight w:val="yellow"/>
        </w:rPr>
        <w:t xml:space="preserve">, cuando se determine, a partir de criterios cuantitativos y cualitativos la trascendencia social de las violaciones; </w:t>
      </w:r>
    </w:p>
    <w:p w14:paraId="5069E6F3" w14:textId="77777777" w:rsidR="00BD36AE" w:rsidRPr="00BD36AE" w:rsidRDefault="00BD36AE" w:rsidP="00BD36AE">
      <w:pPr>
        <w:pStyle w:val="Prrafodelista"/>
        <w:spacing w:line="276" w:lineRule="auto"/>
        <w:ind w:left="567" w:right="567"/>
        <w:jc w:val="both"/>
        <w:rPr>
          <w:rFonts w:ascii="Palatino Linotype" w:hAnsi="Palatino Linotype"/>
          <w:i/>
          <w:highlight w:val="yellow"/>
        </w:rPr>
      </w:pPr>
      <w:r w:rsidRPr="00BD36AE">
        <w:rPr>
          <w:rFonts w:ascii="Palatino Linotype" w:hAnsi="Palatino Linotype"/>
          <w:b/>
          <w:bCs/>
          <w:i/>
          <w:highlight w:val="yellow"/>
        </w:rPr>
        <w:t>III.</w:t>
      </w:r>
      <w:r w:rsidRPr="00BD36AE">
        <w:rPr>
          <w:rFonts w:ascii="Palatino Linotype" w:hAnsi="Palatino Linotype"/>
          <w:i/>
          <w:highlight w:val="yellow"/>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9CDE42D" w14:textId="77777777" w:rsidR="00BD36AE" w:rsidRPr="00BD36AE" w:rsidRDefault="00BD36AE" w:rsidP="00BD36AE">
      <w:pPr>
        <w:pStyle w:val="Prrafodelista"/>
        <w:spacing w:line="276" w:lineRule="auto"/>
        <w:ind w:left="567" w:right="567"/>
        <w:jc w:val="both"/>
        <w:rPr>
          <w:rFonts w:ascii="Palatino Linotype" w:hAnsi="Palatino Linotype"/>
          <w:highlight w:val="yellow"/>
        </w:rPr>
      </w:pPr>
      <w:r w:rsidRPr="00BD36AE">
        <w:rPr>
          <w:rFonts w:ascii="Palatino Linotype" w:hAnsi="Palatino Linotype"/>
          <w:b/>
          <w:i/>
          <w:highlight w:val="yellow"/>
        </w:rPr>
        <w:t>IV. Se trate de información relacionada con actos de corrupción</w:t>
      </w:r>
      <w:r w:rsidRPr="00BD36AE">
        <w:rPr>
          <w:rFonts w:ascii="Palatino Linotype" w:hAnsi="Palatino Linotype"/>
          <w:i/>
          <w:highlight w:val="yellow"/>
        </w:rPr>
        <w:t xml:space="preserve"> de conformidad con las disposiciones jurídicas aplicables.”</w:t>
      </w:r>
    </w:p>
    <w:p w14:paraId="3AB75B67" w14:textId="77777777" w:rsidR="00BD36AE" w:rsidRPr="00BD36AE" w:rsidRDefault="00BD36AE" w:rsidP="00BD36AE">
      <w:pPr>
        <w:pStyle w:val="Prrafodelista"/>
        <w:spacing w:line="276" w:lineRule="auto"/>
        <w:ind w:left="567" w:right="567"/>
        <w:jc w:val="both"/>
        <w:rPr>
          <w:rFonts w:ascii="Palatino Linotype" w:eastAsia="Calibri" w:hAnsi="Palatino Linotype" w:cs="Arial"/>
          <w:highlight w:val="yellow"/>
        </w:rPr>
      </w:pPr>
      <w:r w:rsidRPr="00BD36AE">
        <w:rPr>
          <w:rFonts w:ascii="Palatino Linotype" w:hAnsi="Palatino Linotype"/>
          <w:highlight w:val="yellow"/>
        </w:rPr>
        <w:t>(Énfasis añadido)</w:t>
      </w:r>
    </w:p>
    <w:p w14:paraId="273A5C15"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04EB470F"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Así las cosas, la Ley de la materia reconoce a toda la información relacionada con violaciones a derechos humanos y actos de corrupción como información inmune a recibir un tratamiento de clasificación como reservada, en el margen de que, justamente, el hacer del conocimiento a la ciudadanía este tipo de conductas manifestadas por servidores públicos, atiende el objetivo fundamental de la </w:t>
      </w:r>
      <w:r w:rsidRPr="00BD36AE">
        <w:rPr>
          <w:rFonts w:ascii="Palatino Linotype" w:hAnsi="Palatino Linotype"/>
          <w:highlight w:val="yellow"/>
          <w:lang w:val="es-ES_tradnl"/>
        </w:rPr>
        <w:lastRenderedPageBreak/>
        <w:t>normatividad: el control ciudadano del funcionamiento del Estado y la gestión pública para el combate a la corrupción y la rendición de cuentas.</w:t>
      </w:r>
    </w:p>
    <w:p w14:paraId="5111AB1E"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2DDE7F3B"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Correlativo a lo anterior, el Código Penal Federal, tipifica de manera específica cuáles son los delitos por hechos de corrupción en su Título Décimo, varios de los cuales se relacionan con las faltas administrativas graves contenidas en el artículo 52 de la Ley de Responsabilidades Administrativas del Estado de México y Municipios.</w:t>
      </w:r>
    </w:p>
    <w:p w14:paraId="4BC3D266"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326B7656" w14:textId="749D3608"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Luego entonces, </w:t>
      </w:r>
      <w:r w:rsidRPr="00BD36AE">
        <w:rPr>
          <w:rFonts w:ascii="Palatino Linotype" w:hAnsi="Palatino Linotype"/>
          <w:b/>
          <w:bCs/>
          <w:highlight w:val="yellow"/>
          <w:lang w:val="es-ES_tradnl"/>
        </w:rPr>
        <w:t>la autoridad quien, en primera instancia, clasifica la conducta sobre la cual se integra un expediente de investigación como una posible falta administrativa grave es el Órgano de Control Interno</w:t>
      </w:r>
      <w:r w:rsidRPr="00BD36AE">
        <w:rPr>
          <w:rFonts w:ascii="Palatino Linotype" w:hAnsi="Palatino Linotype"/>
          <w:bCs/>
          <w:highlight w:val="yellow"/>
          <w:lang w:val="es-ES_tradnl"/>
        </w:rPr>
        <w:t xml:space="preserve">, pues </w:t>
      </w:r>
      <w:r w:rsidRPr="00BD36AE">
        <w:rPr>
          <w:rFonts w:ascii="Palatino Linotype" w:hAnsi="Palatino Linotype"/>
          <w:highlight w:val="yellow"/>
          <w:lang w:val="es-ES_tradnl"/>
        </w:rPr>
        <w:t>luego de revisar los supuestos de las faltas administrativas graves, el mismo Órgano de Control determinará las faltas administrativas graves que corresponden con lo que determina la Ley de Transparencia y Acceso a la Información Pública del Estado de México y Municipios como actos de corrupción</w:t>
      </w:r>
      <w:r w:rsidRPr="00BD36AE">
        <w:rPr>
          <w:rFonts w:ascii="Palatino Linotype" w:hAnsi="Palatino Linotype"/>
          <w:b/>
          <w:bCs/>
          <w:highlight w:val="yellow"/>
          <w:lang w:val="es-ES_tradnl"/>
        </w:rPr>
        <w:t>.</w:t>
      </w:r>
    </w:p>
    <w:p w14:paraId="5FA78E91"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3A153BE6" w14:textId="77777777"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En consecuencia, se insiste, este ejercicio de identificación de faltas administrativas graves que se relacionen con actos de corrupción será determinado mediante el Informe de Presunta Responsabilidad Administrativa, pues este instrumento contiene todos los elementos necesarios para comprobar si las responsabilidades administrativas graves son, o no, actos de corrupción.</w:t>
      </w:r>
    </w:p>
    <w:p w14:paraId="5BA7BD9F"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4D225926" w14:textId="4E2ED035" w:rsidR="00BD36AE" w:rsidRPr="00BD36AE" w:rsidRDefault="00BD36AE" w:rsidP="00BD36AE">
      <w:pPr>
        <w:pStyle w:val="Prrafodelista"/>
        <w:numPr>
          <w:ilvl w:val="0"/>
          <w:numId w:val="1"/>
        </w:numPr>
        <w:tabs>
          <w:tab w:val="left" w:pos="426"/>
        </w:tabs>
        <w:spacing w:line="360" w:lineRule="auto"/>
        <w:jc w:val="both"/>
        <w:rPr>
          <w:rFonts w:ascii="Palatino Linotype" w:hAnsi="Palatino Linotype"/>
          <w:highlight w:val="yellow"/>
        </w:rPr>
      </w:pPr>
      <w:r w:rsidRPr="00BD36AE">
        <w:rPr>
          <w:rFonts w:ascii="Palatino Linotype" w:hAnsi="Palatino Linotype"/>
          <w:highlight w:val="yellow"/>
          <w:lang w:val="es-ES_tradnl"/>
        </w:rPr>
        <w:t xml:space="preserve">En tales circunstancias, </w:t>
      </w:r>
      <w:r w:rsidRPr="00BD36AE">
        <w:rPr>
          <w:rFonts w:ascii="Palatino Linotype" w:hAnsi="Palatino Linotype"/>
          <w:b/>
          <w:highlight w:val="yellow"/>
          <w:lang w:val="es-ES_tradnl"/>
        </w:rPr>
        <w:t xml:space="preserve">de identificarse expedientes formados que se encuentren en la etapa de investigación, o bien, en el procedimiento de responsabilidades administrativas </w:t>
      </w:r>
      <w:r w:rsidRPr="00BD36AE">
        <w:rPr>
          <w:rFonts w:ascii="Palatino Linotype" w:hAnsi="Palatino Linotype"/>
          <w:b/>
          <w:bCs/>
          <w:highlight w:val="yellow"/>
          <w:lang w:val="es-ES_tradnl"/>
        </w:rPr>
        <w:t>por faltas graves</w:t>
      </w:r>
      <w:r w:rsidRPr="00BD36AE">
        <w:rPr>
          <w:rFonts w:ascii="Palatino Linotype" w:hAnsi="Palatino Linotype"/>
          <w:b/>
          <w:highlight w:val="yellow"/>
          <w:lang w:val="es-ES_tradnl"/>
        </w:rPr>
        <w:t xml:space="preserve"> relacionados con violaciones </w:t>
      </w:r>
      <w:r w:rsidRPr="00BD36AE">
        <w:rPr>
          <w:rFonts w:ascii="Palatino Linotype" w:hAnsi="Palatino Linotype"/>
          <w:b/>
          <w:highlight w:val="yellow"/>
          <w:lang w:val="es-ES_tradnl"/>
        </w:rPr>
        <w:lastRenderedPageBreak/>
        <w:t>graves de derechos humanos o actos de corrupción</w:t>
      </w:r>
      <w:r w:rsidRPr="00BD36AE">
        <w:rPr>
          <w:rFonts w:ascii="Palatino Linotype" w:hAnsi="Palatino Linotype"/>
          <w:highlight w:val="yellow"/>
          <w:lang w:val="es-ES_tradnl"/>
        </w:rPr>
        <w:t xml:space="preserve">, de conformidad con el artículo 142 de la Ley de Transparencia y Acceso a la Información Pública del Estado de México y Municipios, y el artículo 53 de la Ley del Sistema Anticorrupción del Estado de México y Municipios, </w:t>
      </w:r>
      <w:r w:rsidRPr="00BD36AE">
        <w:rPr>
          <w:rFonts w:ascii="Palatino Linotype" w:hAnsi="Palatino Linotype"/>
          <w:b/>
          <w:highlight w:val="yellow"/>
          <w:lang w:val="es-ES_tradnl"/>
        </w:rPr>
        <w:t xml:space="preserve">el </w:t>
      </w:r>
      <w:r w:rsidRPr="00BD36AE">
        <w:rPr>
          <w:rFonts w:ascii="Palatino Linotype" w:hAnsi="Palatino Linotype"/>
          <w:b/>
          <w:bCs/>
          <w:highlight w:val="yellow"/>
          <w:lang w:val="es-ES_tradnl"/>
        </w:rPr>
        <w:t>SUJETO OBLIGADO</w:t>
      </w:r>
      <w:r w:rsidRPr="00BD36AE">
        <w:rPr>
          <w:rFonts w:ascii="Palatino Linotype" w:hAnsi="Palatino Linotype"/>
          <w:b/>
          <w:highlight w:val="yellow"/>
          <w:lang w:val="es-ES_tradnl"/>
        </w:rPr>
        <w:t xml:space="preserve"> deberá hacer entrega de éstas al no ser sujetos de clasificación</w:t>
      </w:r>
      <w:r w:rsidRPr="00BD36AE">
        <w:rPr>
          <w:rFonts w:ascii="Palatino Linotype" w:hAnsi="Palatino Linotype"/>
          <w:highlight w:val="yellow"/>
          <w:lang w:val="es-ES_tradnl"/>
        </w:rPr>
        <w:t>.</w:t>
      </w:r>
    </w:p>
    <w:p w14:paraId="39C2DF39" w14:textId="77777777" w:rsidR="00BD36AE" w:rsidRPr="00BD36AE" w:rsidRDefault="00BD36AE" w:rsidP="00BD36AE">
      <w:pPr>
        <w:pStyle w:val="Prrafodelista"/>
        <w:tabs>
          <w:tab w:val="left" w:pos="426"/>
        </w:tabs>
        <w:spacing w:line="360" w:lineRule="auto"/>
        <w:ind w:left="0"/>
        <w:jc w:val="both"/>
        <w:rPr>
          <w:rFonts w:ascii="Palatino Linotype" w:hAnsi="Palatino Linotype"/>
          <w:highlight w:val="yellow"/>
        </w:rPr>
      </w:pPr>
    </w:p>
    <w:p w14:paraId="3DA04DF1" w14:textId="03FA4E13" w:rsidR="00BD36AE" w:rsidRPr="00BD36AE" w:rsidRDefault="00BD36AE" w:rsidP="00BD36AE">
      <w:pPr>
        <w:pStyle w:val="Prrafodelista"/>
        <w:numPr>
          <w:ilvl w:val="0"/>
          <w:numId w:val="1"/>
        </w:numPr>
        <w:tabs>
          <w:tab w:val="left" w:pos="426"/>
        </w:tabs>
        <w:spacing w:before="240" w:after="240" w:line="360" w:lineRule="auto"/>
        <w:ind w:right="51"/>
        <w:jc w:val="both"/>
        <w:rPr>
          <w:rFonts w:ascii="Palatino Linotype" w:hAnsi="Palatino Linotype" w:cs="Tahoma"/>
          <w:bCs/>
          <w:iCs/>
          <w:highlight w:val="yellow"/>
        </w:rPr>
      </w:pPr>
      <w:r w:rsidRPr="00BD36AE">
        <w:rPr>
          <w:rFonts w:ascii="Palatino Linotype" w:hAnsi="Palatino Linotype"/>
          <w:highlight w:val="yellow"/>
          <w:lang w:val="es-ES_tradnl"/>
        </w:rPr>
        <w:t xml:space="preserve">Razón de lo anterior, el </w:t>
      </w:r>
      <w:r w:rsidRPr="00BD36AE">
        <w:rPr>
          <w:rFonts w:ascii="Palatino Linotype" w:hAnsi="Palatino Linotype"/>
          <w:b/>
          <w:bCs/>
          <w:highlight w:val="yellow"/>
          <w:lang w:val="es-ES_tradnl"/>
        </w:rPr>
        <w:t>SUJETO OBLIGADO</w:t>
      </w:r>
      <w:r w:rsidRPr="00BD36AE">
        <w:rPr>
          <w:rFonts w:ascii="Palatino Linotype" w:hAnsi="Palatino Linotype"/>
          <w:highlight w:val="yellow"/>
          <w:lang w:val="es-ES_tradnl"/>
        </w:rPr>
        <w:t xml:space="preserve"> deberá entregar todas aquellas quejas relacionadas con responsabilidades administrativas graves, a pesar de que éstas aún no hayan recibido una sentencia, </w:t>
      </w:r>
      <w:r w:rsidRPr="00BD36AE">
        <w:rPr>
          <w:rFonts w:ascii="Palatino Linotype" w:hAnsi="Palatino Linotype"/>
          <w:b/>
          <w:bCs/>
          <w:highlight w:val="yellow"/>
          <w:lang w:val="es-ES_tradnl"/>
        </w:rPr>
        <w:t>sin testar el nombre del o los servidores públicos presuntamente responsables</w:t>
      </w:r>
      <w:r w:rsidRPr="00BD36AE">
        <w:rPr>
          <w:rFonts w:ascii="Palatino Linotype" w:hAnsi="Palatino Linotype"/>
          <w:highlight w:val="yellow"/>
          <w:lang w:val="es-ES_tradnl"/>
        </w:rPr>
        <w:t xml:space="preserve">, atendiendo lo dispuesto por el artículo 142 de la Ley de Transparencia y Acceso a la Información Pública del Estado de México y Municipios. Claro está que, de ser el caso que los documentos donde consten las quejas respectivas contengan datos personales de terceros, tales como el nombre del o los particulares que presentaron la denuncia respectiva, se deberá realizar la versión pública </w:t>
      </w:r>
      <w:r w:rsidRPr="00BD36AE">
        <w:rPr>
          <w:rFonts w:ascii="Palatino Linotype" w:hAnsi="Palatino Linotype"/>
          <w:b/>
          <w:bCs/>
          <w:highlight w:val="yellow"/>
          <w:lang w:val="es-ES_tradnl"/>
        </w:rPr>
        <w:t>únicamente</w:t>
      </w:r>
      <w:r w:rsidRPr="00BD36AE">
        <w:rPr>
          <w:rFonts w:ascii="Palatino Linotype" w:hAnsi="Palatino Linotype"/>
          <w:highlight w:val="yellow"/>
          <w:lang w:val="es-ES_tradnl"/>
        </w:rPr>
        <w:t xml:space="preserve"> de estos datos, mas no de ninguno que individualice al presunto servidor público responsable.</w:t>
      </w:r>
    </w:p>
    <w:p w14:paraId="0D5C27FF" w14:textId="77777777" w:rsidR="00DC6875" w:rsidRDefault="00DC6875" w:rsidP="00DC6875">
      <w:pPr>
        <w:pStyle w:val="Prrafodelista"/>
        <w:tabs>
          <w:tab w:val="left" w:pos="426"/>
        </w:tabs>
        <w:spacing w:before="240" w:after="240" w:line="360" w:lineRule="auto"/>
        <w:ind w:left="0" w:right="51"/>
        <w:jc w:val="both"/>
        <w:rPr>
          <w:rFonts w:ascii="Palatino Linotype" w:hAnsi="Palatino Linotype" w:cs="Tahoma"/>
          <w:bCs/>
          <w:iCs/>
        </w:rPr>
      </w:pPr>
    </w:p>
    <w:p w14:paraId="6DBAB792" w14:textId="1A471823" w:rsidR="00936971" w:rsidRPr="00936971" w:rsidRDefault="00BD36AE" w:rsidP="00936971">
      <w:pPr>
        <w:pStyle w:val="Prrafodelista"/>
        <w:tabs>
          <w:tab w:val="left" w:pos="426"/>
        </w:tabs>
        <w:spacing w:before="240" w:after="240" w:line="360" w:lineRule="auto"/>
        <w:ind w:left="0" w:right="51"/>
        <w:jc w:val="both"/>
        <w:outlineLvl w:val="2"/>
        <w:rPr>
          <w:rFonts w:ascii="Palatino Linotype" w:hAnsi="Palatino Linotype" w:cs="Tahoma"/>
          <w:b/>
          <w:iCs/>
        </w:rPr>
      </w:pPr>
      <w:r>
        <w:rPr>
          <w:rFonts w:ascii="Palatino Linotype" w:hAnsi="Palatino Linotype" w:cs="Tahoma"/>
          <w:b/>
          <w:iCs/>
        </w:rPr>
        <w:t>IV.IV</w:t>
      </w:r>
      <w:r w:rsidR="00936971">
        <w:rPr>
          <w:rFonts w:ascii="Palatino Linotype" w:hAnsi="Palatino Linotype" w:cs="Tahoma"/>
          <w:b/>
          <w:iCs/>
        </w:rPr>
        <w:t>. De los procedimientos de responsabilidades administrativas concluídos, relacionados con faltas no graves.</w:t>
      </w:r>
    </w:p>
    <w:p w14:paraId="2DFC26ED" w14:textId="77777777" w:rsidR="00936971" w:rsidRPr="00DC6875" w:rsidRDefault="00936971" w:rsidP="00DC6875">
      <w:pPr>
        <w:pStyle w:val="Prrafodelista"/>
        <w:tabs>
          <w:tab w:val="left" w:pos="426"/>
        </w:tabs>
        <w:spacing w:before="240" w:after="240" w:line="360" w:lineRule="auto"/>
        <w:ind w:left="0" w:right="51"/>
        <w:jc w:val="both"/>
        <w:rPr>
          <w:rFonts w:ascii="Palatino Linotype" w:hAnsi="Palatino Linotype" w:cs="Tahoma"/>
          <w:bCs/>
          <w:iCs/>
        </w:rPr>
      </w:pPr>
    </w:p>
    <w:p w14:paraId="7B247B94" w14:textId="02BE367B" w:rsidR="00EB41EF" w:rsidRPr="00EB41EF" w:rsidRDefault="00936971"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En </w:t>
      </w:r>
      <w:r w:rsidRPr="009660F9">
        <w:rPr>
          <w:rFonts w:ascii="Palatino Linotype" w:eastAsia="Palatino Linotype" w:hAnsi="Palatino Linotype" w:cs="Palatino Linotype"/>
        </w:rPr>
        <w:t>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14:paraId="4752855A" w14:textId="77777777" w:rsid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6E1420C8" w14:textId="77777777" w:rsidR="00936971" w:rsidRPr="00896524" w:rsidRDefault="00936971" w:rsidP="00936971">
      <w:pPr>
        <w:spacing w:line="276" w:lineRule="auto"/>
        <w:ind w:left="567" w:right="567"/>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lastRenderedPageBreak/>
        <w:t>"</w:t>
      </w:r>
      <w:r w:rsidRPr="00936971">
        <w:rPr>
          <w:rFonts w:ascii="Palatino Linotype" w:eastAsia="Palatino Linotype" w:hAnsi="Palatino Linotype" w:cs="Palatino Linotype"/>
          <w:b/>
          <w:bCs/>
          <w:i/>
          <w:sz w:val="22"/>
          <w:szCs w:val="22"/>
        </w:rPr>
        <w:t xml:space="preserve">Artículo 92. </w:t>
      </w:r>
      <w:r w:rsidRPr="00896524">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3A7BCA" w14:textId="68C26B34" w:rsidR="00936971" w:rsidRPr="00896524" w:rsidRDefault="00936971" w:rsidP="0093697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0090EB" w14:textId="77777777" w:rsidR="00936971" w:rsidRDefault="00936971" w:rsidP="00936971">
      <w:pPr>
        <w:spacing w:line="276" w:lineRule="auto"/>
        <w:ind w:left="567" w:right="567"/>
        <w:jc w:val="both"/>
        <w:rPr>
          <w:rFonts w:ascii="Palatino Linotype" w:eastAsia="Palatino Linotype" w:hAnsi="Palatino Linotype" w:cs="Palatino Linotype"/>
          <w:b/>
          <w:i/>
          <w:sz w:val="22"/>
          <w:szCs w:val="22"/>
        </w:rPr>
      </w:pPr>
      <w:r w:rsidRPr="00936971">
        <w:rPr>
          <w:rFonts w:ascii="Palatino Linotype" w:eastAsia="Palatino Linotype" w:hAnsi="Palatino Linotype" w:cs="Palatino Linotype"/>
          <w:b/>
          <w:bCs/>
          <w:i/>
          <w:sz w:val="22"/>
          <w:szCs w:val="22"/>
        </w:rPr>
        <w:t>XXII. El</w:t>
      </w:r>
      <w:r w:rsidRPr="00896524">
        <w:rPr>
          <w:rFonts w:ascii="Palatino Linotype" w:eastAsia="Palatino Linotype" w:hAnsi="Palatino Linotype" w:cs="Palatino Linotype"/>
          <w:b/>
          <w:i/>
          <w:sz w:val="22"/>
          <w:szCs w:val="22"/>
        </w:rPr>
        <w:t xml:space="preserve"> listado de Servidores Públicos con sanciones administrativas definitivas, especificando la causa de sanción y la disposición;</w:t>
      </w:r>
    </w:p>
    <w:p w14:paraId="263669F7" w14:textId="77777777" w:rsidR="00936971" w:rsidRDefault="00936971" w:rsidP="00936971">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Cs/>
          <w:i/>
          <w:sz w:val="22"/>
          <w:szCs w:val="22"/>
        </w:rPr>
        <w:t>(...)</w:t>
      </w:r>
      <w:r w:rsidRPr="00896524">
        <w:rPr>
          <w:rFonts w:ascii="Palatino Linotype" w:eastAsia="Palatino Linotype" w:hAnsi="Palatino Linotype" w:cs="Palatino Linotype"/>
          <w:b/>
          <w:i/>
          <w:sz w:val="22"/>
          <w:szCs w:val="22"/>
        </w:rPr>
        <w:t xml:space="preserve">" </w:t>
      </w:r>
    </w:p>
    <w:p w14:paraId="7FABB3D8" w14:textId="3AA12E9C" w:rsidR="00936971" w:rsidRPr="00936971" w:rsidRDefault="00936971" w:rsidP="00936971">
      <w:pPr>
        <w:spacing w:line="276" w:lineRule="auto"/>
        <w:ind w:left="567" w:right="567"/>
        <w:jc w:val="both"/>
        <w:rPr>
          <w:rFonts w:ascii="Palatino Linotype" w:eastAsia="Palatino Linotype" w:hAnsi="Palatino Linotype" w:cs="Palatino Linotype"/>
          <w:bCs/>
          <w:iCs/>
          <w:sz w:val="22"/>
          <w:szCs w:val="22"/>
        </w:rPr>
      </w:pPr>
      <w:r w:rsidRPr="00936971">
        <w:rPr>
          <w:rFonts w:ascii="Palatino Linotype" w:eastAsia="Palatino Linotype" w:hAnsi="Palatino Linotype" w:cs="Palatino Linotype"/>
          <w:bCs/>
          <w:iCs/>
          <w:sz w:val="22"/>
          <w:szCs w:val="22"/>
        </w:rPr>
        <w:t>(Énfasis añadido)</w:t>
      </w:r>
    </w:p>
    <w:p w14:paraId="3B00AE2D" w14:textId="77777777" w:rsidR="00936971" w:rsidRPr="00EB41EF" w:rsidRDefault="00936971" w:rsidP="00EB41EF">
      <w:pPr>
        <w:pStyle w:val="Prrafodelista"/>
        <w:tabs>
          <w:tab w:val="left" w:pos="426"/>
        </w:tabs>
        <w:spacing w:before="240" w:after="240" w:line="360" w:lineRule="auto"/>
        <w:ind w:left="0" w:right="51"/>
        <w:jc w:val="both"/>
        <w:rPr>
          <w:rFonts w:ascii="Palatino Linotype" w:hAnsi="Palatino Linotype" w:cs="Tahoma"/>
          <w:bCs/>
          <w:iCs/>
        </w:rPr>
      </w:pPr>
    </w:p>
    <w:p w14:paraId="4E064494" w14:textId="55E6F7BA" w:rsidR="00EB41EF" w:rsidRPr="00EB41EF" w:rsidRDefault="00936971"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No obstante, </w:t>
      </w:r>
      <w:r w:rsidRPr="009660F9">
        <w:rPr>
          <w:rFonts w:ascii="Palatino Linotype" w:eastAsia="Palatino Linotype" w:hAnsi="Palatino Linotype" w:cs="Palatino Linotype"/>
          <w:b/>
          <w:u w:val="single"/>
        </w:rPr>
        <w:t>sólo pueden ser dadas a conocer las responsabilidades administrativas</w:t>
      </w:r>
      <w:r w:rsidRPr="009660F9">
        <w:rPr>
          <w:rFonts w:ascii="Palatino Linotype" w:eastAsia="Palatino Linotype" w:hAnsi="Palatino Linotype" w:cs="Palatino Linotype"/>
        </w:rPr>
        <w:t xml:space="preserve"> </w:t>
      </w:r>
      <w:r w:rsidRPr="009660F9">
        <w:rPr>
          <w:rFonts w:ascii="Palatino Linotype" w:eastAsia="Palatino Linotype" w:hAnsi="Palatino Linotype" w:cs="Palatino Linotype"/>
          <w:b/>
          <w:u w:val="single"/>
        </w:rPr>
        <w:t>por faltas graves</w:t>
      </w:r>
      <w:r w:rsidRPr="009660F9">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9660F9">
        <w:rPr>
          <w:rFonts w:ascii="Palatino Linotype" w:eastAsia="Palatino Linotype" w:hAnsi="Palatino Linotype" w:cs="Palatino Linotype"/>
          <w:b/>
          <w:u w:val="single"/>
        </w:rPr>
        <w:t>las sanciones no graves no serán públicas</w:t>
      </w:r>
      <w:r w:rsidRPr="009660F9">
        <w:rPr>
          <w:rFonts w:ascii="Palatino Linotype" w:eastAsia="Palatino Linotype" w:hAnsi="Palatino Linotype" w:cs="Palatino Linotype"/>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062F64E4" w14:textId="77777777" w:rsidR="00EB41EF" w:rsidRDefault="00EB41EF" w:rsidP="00936971">
      <w:pPr>
        <w:pStyle w:val="Prrafodelista"/>
        <w:tabs>
          <w:tab w:val="left" w:pos="426"/>
        </w:tabs>
        <w:spacing w:before="240" w:line="360" w:lineRule="auto"/>
        <w:ind w:left="0" w:right="51"/>
        <w:jc w:val="both"/>
        <w:rPr>
          <w:rFonts w:ascii="Palatino Linotype" w:hAnsi="Palatino Linotype" w:cs="Tahoma"/>
          <w:bCs/>
          <w:iCs/>
        </w:rPr>
      </w:pPr>
    </w:p>
    <w:p w14:paraId="262A99D3" w14:textId="77777777" w:rsidR="00936971" w:rsidRPr="00896524" w:rsidRDefault="00936971" w:rsidP="00936971">
      <w:pPr>
        <w:spacing w:line="276" w:lineRule="auto"/>
        <w:ind w:left="567" w:right="567"/>
        <w:jc w:val="both"/>
        <w:rPr>
          <w:rFonts w:ascii="Palatino Linotype" w:eastAsia="Palatino Linotype" w:hAnsi="Palatino Linotype" w:cs="Palatino Linotype"/>
          <w:b/>
          <w:i/>
          <w:sz w:val="22"/>
          <w:szCs w:val="22"/>
        </w:rPr>
      </w:pPr>
      <w:r w:rsidRPr="00896524">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896524">
        <w:rPr>
          <w:rFonts w:ascii="Palatino Linotype" w:eastAsia="Palatino Linotype" w:hAnsi="Palatino Linotype" w:cs="Palatino Linotype"/>
          <w:b/>
          <w:i/>
          <w:sz w:val="22"/>
          <w:szCs w:val="22"/>
          <w:u w:val="single"/>
        </w:rPr>
        <w:t>cuando éstas contengan impedimentos o inhabilitaciones</w:t>
      </w:r>
      <w:r w:rsidRPr="00896524">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4B5C02C7" w14:textId="77777777" w:rsidR="00936971" w:rsidRPr="00896524" w:rsidRDefault="00936971" w:rsidP="00936971">
      <w:pPr>
        <w:spacing w:line="276" w:lineRule="auto"/>
        <w:ind w:left="567" w:right="567"/>
        <w:jc w:val="both"/>
        <w:rPr>
          <w:rFonts w:ascii="Palatino Linotype" w:eastAsia="Palatino Linotype" w:hAnsi="Palatino Linotype" w:cs="Palatino Linotype"/>
          <w:i/>
          <w:sz w:val="22"/>
          <w:szCs w:val="22"/>
        </w:rPr>
      </w:pPr>
    </w:p>
    <w:p w14:paraId="0AAA16F1" w14:textId="304E1FDF" w:rsidR="00936971" w:rsidRDefault="00936971" w:rsidP="00936971">
      <w:pPr>
        <w:pStyle w:val="Prrafodelista"/>
        <w:tabs>
          <w:tab w:val="left" w:pos="426"/>
        </w:tabs>
        <w:spacing w:before="240" w:after="240" w:line="276" w:lineRule="auto"/>
        <w:ind w:left="567" w:right="567"/>
        <w:jc w:val="both"/>
        <w:rPr>
          <w:rFonts w:ascii="Palatino Linotype" w:eastAsia="Palatino Linotype" w:hAnsi="Palatino Linotype" w:cs="Palatino Linotype"/>
          <w:i/>
          <w:sz w:val="22"/>
          <w:szCs w:val="22"/>
        </w:rPr>
      </w:pPr>
      <w:r w:rsidRPr="00896524">
        <w:rPr>
          <w:rFonts w:ascii="Palatino Linotype" w:eastAsia="Palatino Linotype" w:hAnsi="Palatino Linotype" w:cs="Palatino Linotype"/>
          <w:i/>
          <w:sz w:val="22"/>
          <w:szCs w:val="22"/>
        </w:rPr>
        <w:lastRenderedPageBreak/>
        <w:t xml:space="preserve">Los registros de </w:t>
      </w:r>
      <w:r w:rsidRPr="00896524">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896524">
        <w:rPr>
          <w:rFonts w:ascii="Palatino Linotype" w:eastAsia="Palatino Linotype" w:hAnsi="Palatino Linotype" w:cs="Palatino Linotype"/>
          <w:i/>
          <w:sz w:val="22"/>
          <w:szCs w:val="22"/>
        </w:rPr>
        <w:t>”</w:t>
      </w:r>
    </w:p>
    <w:p w14:paraId="103194CF" w14:textId="44445404" w:rsidR="00936971" w:rsidRPr="00936971" w:rsidRDefault="00936971" w:rsidP="00936971">
      <w:pPr>
        <w:pStyle w:val="Prrafodelista"/>
        <w:tabs>
          <w:tab w:val="left" w:pos="426"/>
        </w:tabs>
        <w:spacing w:before="240" w:after="240" w:line="276" w:lineRule="auto"/>
        <w:ind w:left="567" w:right="567"/>
        <w:jc w:val="both"/>
        <w:rPr>
          <w:rFonts w:ascii="Palatino Linotype" w:hAnsi="Palatino Linotype" w:cs="Tahoma"/>
          <w:bCs/>
          <w:iCs/>
        </w:rPr>
      </w:pPr>
      <w:r>
        <w:rPr>
          <w:rFonts w:ascii="Palatino Linotype" w:eastAsia="Palatino Linotype" w:hAnsi="Palatino Linotype" w:cs="Palatino Linotype"/>
          <w:iCs/>
          <w:sz w:val="22"/>
          <w:szCs w:val="22"/>
        </w:rPr>
        <w:t>(Énfasis añadido)</w:t>
      </w:r>
    </w:p>
    <w:p w14:paraId="137BB150" w14:textId="77777777" w:rsidR="00936971" w:rsidRPr="00936971" w:rsidRDefault="00936971" w:rsidP="00936971">
      <w:pPr>
        <w:pStyle w:val="Prrafodelista"/>
        <w:tabs>
          <w:tab w:val="left" w:pos="426"/>
        </w:tabs>
        <w:spacing w:before="240" w:after="240" w:line="360" w:lineRule="auto"/>
        <w:ind w:left="0" w:right="51"/>
        <w:jc w:val="both"/>
        <w:rPr>
          <w:rFonts w:ascii="Palatino Linotype" w:hAnsi="Palatino Linotype" w:cs="Tahoma"/>
          <w:bCs/>
          <w:iCs/>
        </w:rPr>
      </w:pPr>
    </w:p>
    <w:p w14:paraId="7112FA60" w14:textId="1B944653" w:rsidR="00EB41EF" w:rsidRPr="00EB41EF" w:rsidRDefault="00936971"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En </w:t>
      </w:r>
      <w:r w:rsidRPr="009660F9">
        <w:rPr>
          <w:rFonts w:ascii="Palatino Linotype" w:eastAsia="Palatino Linotype" w:hAnsi="Palatino Linotype" w:cs="Palatino Linotype"/>
        </w:rPr>
        <w:t xml:space="preserve">ese sentido es importante, referir que la Ley de Responsabilidades Administrativas del Estado de México y Municipios, señala </w:t>
      </w:r>
      <w:r w:rsidRPr="009660F9">
        <w:rPr>
          <w:rFonts w:ascii="Palatino Linotype" w:eastAsia="Batang" w:hAnsi="Palatino Linotype" w:cs="Arial"/>
        </w:rPr>
        <w:t>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62D4FAC0"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4D278365" w14:textId="0FBA8639" w:rsidR="00EB41EF" w:rsidRPr="00EB41EF" w:rsidRDefault="00936971"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Como </w:t>
      </w:r>
      <w:r w:rsidRPr="009660F9">
        <w:rPr>
          <w:rFonts w:ascii="Palatino Linotype" w:eastAsia="Batang" w:hAnsi="Palatino Linotype" w:cs="Arial"/>
        </w:rPr>
        <w:t>se logra observar, las faltas no graves, son aquellas que cometen los servidores públicos por incumplimiento a sus funciones, o bien, a sus obligaciones y, por lo tanto, las consecuencias recaen directamente en contra, de este, al no haber una afectación a terceros (</w:t>
      </w:r>
      <w:r w:rsidRPr="009660F9">
        <w:rPr>
          <w:rFonts w:ascii="Palatino Linotype" w:eastAsia="Batang" w:hAnsi="Palatino Linotype" w:cs="Arial"/>
          <w:i/>
        </w:rPr>
        <w:t>personas físicas, morales, instituciones públicas u otros trabajadores</w:t>
      </w:r>
      <w:r w:rsidRPr="009660F9">
        <w:rPr>
          <w:rFonts w:ascii="Palatino Linotype" w:eastAsia="Batang" w:hAnsi="Palatino Linotype" w:cs="Arial"/>
        </w:rPr>
        <w:t>), ni haber un detrimento en el erario.</w:t>
      </w:r>
    </w:p>
    <w:p w14:paraId="03FF7003"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522784DA" w14:textId="660E8078" w:rsidR="00EB41EF" w:rsidRPr="00EB41EF" w:rsidRDefault="00936971"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Así, </w:t>
      </w:r>
      <w:r w:rsidRPr="009660F9">
        <w:rPr>
          <w:rFonts w:ascii="Palatino Linotype" w:eastAsia="Batang" w:hAnsi="Palatino Linotype" w:cs="Arial"/>
          <w:b/>
        </w:rPr>
        <w:t xml:space="preserve">se puede advertir que dichas faltas, no tienen una trascendencia social, </w:t>
      </w:r>
      <w:r w:rsidRPr="009660F9">
        <w:rPr>
          <w:rFonts w:ascii="Palatino Linotype" w:eastAsia="Batang" w:hAnsi="Palatino Linotype" w:cs="Arial"/>
        </w:rPr>
        <w:t>pues no existe un daño externo, sino que únicamente le atañe al servidor público en cuestión.</w:t>
      </w:r>
    </w:p>
    <w:p w14:paraId="2C5C03E2"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0E29B734" w14:textId="77777777" w:rsidR="00936971" w:rsidRPr="009660F9" w:rsidRDefault="00936971" w:rsidP="00936971">
      <w:pPr>
        <w:pStyle w:val="Prrafodelista"/>
        <w:numPr>
          <w:ilvl w:val="0"/>
          <w:numId w:val="1"/>
        </w:numPr>
        <w:tabs>
          <w:tab w:val="left" w:pos="426"/>
        </w:tabs>
        <w:spacing w:line="360" w:lineRule="auto"/>
        <w:ind w:right="49"/>
        <w:jc w:val="both"/>
        <w:rPr>
          <w:rFonts w:ascii="Palatino Linotype" w:eastAsia="Palatino Linotype" w:hAnsi="Palatino Linotype" w:cs="Palatino Linotype"/>
          <w:i/>
          <w:sz w:val="22"/>
          <w:szCs w:val="22"/>
        </w:rPr>
      </w:pPr>
      <w:r>
        <w:rPr>
          <w:rFonts w:ascii="Palatino Linotype" w:hAnsi="Palatino Linotype"/>
          <w:color w:val="000000" w:themeColor="text1"/>
        </w:rPr>
        <w:t xml:space="preserve">Por </w:t>
      </w:r>
      <w:r w:rsidRPr="009660F9">
        <w:rPr>
          <w:rFonts w:ascii="Palatino Linotype" w:hAnsi="Palatino Linotype" w:cs="Arial"/>
        </w:rPr>
        <w:t xml:space="preserve">lo expuesto, se desprende que dar a conocer el nombre del servidor público de un procedimiento de responsabilidad administrativa </w:t>
      </w:r>
      <w:r w:rsidRPr="00936971">
        <w:rPr>
          <w:rFonts w:ascii="Palatino Linotype" w:hAnsi="Palatino Linotype" w:cs="Arial"/>
          <w:b/>
          <w:bCs/>
        </w:rPr>
        <w:t>no grave</w:t>
      </w:r>
      <w:r w:rsidRPr="009660F9">
        <w:rPr>
          <w:rFonts w:ascii="Palatino Linotype" w:hAnsi="Palatino Linotype" w:cs="Arial"/>
        </w:rPr>
        <w:t xml:space="preserve">, constituye información confidencial que afecta su esfera privada, puesto que podría generar una percepción negativa de este, ocasionando un perjuicio en su </w:t>
      </w:r>
      <w:r w:rsidRPr="009660F9">
        <w:rPr>
          <w:rFonts w:ascii="Palatino Linotype" w:hAnsi="Palatino Linotype" w:cs="Arial"/>
          <w:b/>
        </w:rPr>
        <w:t xml:space="preserve">honor, intimidad </w:t>
      </w:r>
      <w:r w:rsidRPr="009660F9">
        <w:rPr>
          <w:rFonts w:ascii="Palatino Linotype" w:hAnsi="Palatino Linotype" w:cs="Arial"/>
          <w:b/>
        </w:rPr>
        <w:lastRenderedPageBreak/>
        <w:t>y buena imagen</w:t>
      </w:r>
      <w:r w:rsidRPr="009660F9">
        <w:rPr>
          <w:rFonts w:ascii="Palatino Linotype" w:hAnsi="Palatino Linotype" w:cs="Arial"/>
        </w:rPr>
        <w:t>, pues como se precisó la afectación es para el propio servidor público, situación que no afecta a terceros.</w:t>
      </w:r>
    </w:p>
    <w:p w14:paraId="7165FDB6" w14:textId="77777777" w:rsidR="00936971" w:rsidRPr="009660F9" w:rsidRDefault="00936971" w:rsidP="00936971">
      <w:pPr>
        <w:pStyle w:val="Prrafodelista"/>
        <w:rPr>
          <w:rFonts w:ascii="Palatino Linotype" w:eastAsia="Palatino Linotype" w:hAnsi="Palatino Linotype" w:cs="Palatino Linotype"/>
          <w:i/>
          <w:sz w:val="22"/>
          <w:szCs w:val="22"/>
        </w:rPr>
      </w:pPr>
    </w:p>
    <w:p w14:paraId="790AA55E" w14:textId="70C31551" w:rsidR="00EB41EF" w:rsidRPr="00EB41EF" w:rsidRDefault="00936971" w:rsidP="00936971">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9660F9">
        <w:rPr>
          <w:rFonts w:ascii="Palatino Linotype" w:hAnsi="Palatino Linotype" w:cs="Arial"/>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9660F9">
        <w:rPr>
          <w:rFonts w:ascii="Palatino Linotype" w:hAnsi="Palatino Linotype" w:cs="Arial"/>
          <w:i/>
        </w:rPr>
        <w:t>a priori</w:t>
      </w:r>
      <w:r w:rsidRPr="009660F9">
        <w:rPr>
          <w:rFonts w:ascii="Palatino Linotype" w:hAnsi="Palatino Linotype" w:cs="Arial"/>
        </w:rPr>
        <w:t xml:space="preserve"> por parte de la sociedad, afectando su prestigio y su buen nombre, pues esto podría causar una mala percepción del servidor público frente a la sociedad, </w:t>
      </w:r>
      <w:r w:rsidRPr="009660F9">
        <w:rPr>
          <w:rFonts w:ascii="Palatino Linotype" w:hAnsi="Palatino Linotype" w:cs="Arial"/>
          <w:b/>
        </w:rPr>
        <w:t>lo cual daña su vida privada y profesional,</w:t>
      </w:r>
      <w:r w:rsidRPr="009660F9">
        <w:rPr>
          <w:rFonts w:ascii="Palatino Linotype" w:hAnsi="Palatino Linotype" w:cs="Arial"/>
        </w:rPr>
        <w:t xml:space="preserve"> mismas que forman parte de su intimidad; por lo que se concluye que dicha información, en caso de que existiera, tiene el carácter de confidencial.</w:t>
      </w:r>
    </w:p>
    <w:p w14:paraId="67955E92"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1BF9406A" w14:textId="77777777" w:rsidR="00936971" w:rsidRPr="00936971" w:rsidRDefault="00936971" w:rsidP="00936971">
      <w:pPr>
        <w:pStyle w:val="Prrafodelista"/>
        <w:numPr>
          <w:ilvl w:val="0"/>
          <w:numId w:val="1"/>
        </w:numPr>
        <w:tabs>
          <w:tab w:val="left" w:pos="426"/>
        </w:tabs>
        <w:spacing w:line="360" w:lineRule="auto"/>
        <w:ind w:right="49"/>
        <w:jc w:val="both"/>
        <w:rPr>
          <w:rFonts w:ascii="Palatino Linotype" w:eastAsia="Palatino Linotype" w:hAnsi="Palatino Linotype" w:cs="Palatino Linotype"/>
          <w:i/>
          <w:sz w:val="22"/>
          <w:szCs w:val="22"/>
        </w:rPr>
      </w:pPr>
      <w:r>
        <w:rPr>
          <w:rFonts w:ascii="Palatino Linotype" w:hAnsi="Palatino Linotype"/>
          <w:color w:val="000000" w:themeColor="text1"/>
        </w:rPr>
        <w:t xml:space="preserve">Por </w:t>
      </w:r>
      <w:r w:rsidRPr="009660F9">
        <w:rPr>
          <w:rFonts w:ascii="Palatino Linotype" w:hAnsi="Palatino Linotype" w:cs="Arial"/>
        </w:rPr>
        <w:t xml:space="preserve">lo cual, se considera procedente la clasificación, en términos del artículo 143, fracción I, de la Ley de Transparencia y Acceso a la Información Pública del Estado de México y Municipios, </w:t>
      </w:r>
      <w:r w:rsidRPr="009660F9">
        <w:rPr>
          <w:rFonts w:ascii="Palatino Linotype" w:hAnsi="Palatino Linotype" w:cs="Arial"/>
          <w:b/>
        </w:rPr>
        <w:t>del nombre de los servidores públicos que hayan recibido alguna sanción por falta administrativa no grave</w:t>
      </w:r>
      <w:r w:rsidRPr="009660F9">
        <w:rPr>
          <w:rFonts w:ascii="Palatino Linotype" w:hAnsi="Palatino Linotype" w:cs="Arial"/>
        </w:rPr>
        <w:t>.</w:t>
      </w:r>
    </w:p>
    <w:p w14:paraId="12E8EBA4" w14:textId="77777777" w:rsidR="00936971" w:rsidRDefault="00936971" w:rsidP="00936971">
      <w:pPr>
        <w:pStyle w:val="Prrafodelista"/>
        <w:tabs>
          <w:tab w:val="left" w:pos="426"/>
        </w:tabs>
        <w:spacing w:line="360" w:lineRule="auto"/>
        <w:ind w:left="0" w:right="49"/>
        <w:jc w:val="both"/>
        <w:rPr>
          <w:rFonts w:ascii="Palatino Linotype" w:hAnsi="Palatino Linotype"/>
          <w:color w:val="000000" w:themeColor="text1"/>
        </w:rPr>
      </w:pPr>
    </w:p>
    <w:p w14:paraId="0A9E9BB2" w14:textId="55AF3565" w:rsidR="00936971" w:rsidRPr="00936971" w:rsidRDefault="00BD36AE" w:rsidP="00936971">
      <w:pPr>
        <w:pStyle w:val="Prrafodelista"/>
        <w:tabs>
          <w:tab w:val="left" w:pos="426"/>
        </w:tabs>
        <w:spacing w:line="360" w:lineRule="auto"/>
        <w:ind w:left="0" w:right="49"/>
        <w:jc w:val="both"/>
        <w:outlineLvl w:val="2"/>
        <w:rPr>
          <w:rFonts w:ascii="Palatino Linotype" w:hAnsi="Palatino Linotype"/>
          <w:b/>
          <w:bCs/>
          <w:color w:val="000000" w:themeColor="text1"/>
        </w:rPr>
      </w:pPr>
      <w:r>
        <w:rPr>
          <w:rFonts w:ascii="Palatino Linotype" w:hAnsi="Palatino Linotype"/>
          <w:b/>
          <w:bCs/>
          <w:color w:val="000000" w:themeColor="text1"/>
        </w:rPr>
        <w:t>IV.V</w:t>
      </w:r>
      <w:r w:rsidR="00936971">
        <w:rPr>
          <w:rFonts w:ascii="Palatino Linotype" w:hAnsi="Palatino Linotype"/>
          <w:b/>
          <w:bCs/>
          <w:color w:val="000000" w:themeColor="text1"/>
        </w:rPr>
        <w:t xml:space="preserve">. De </w:t>
      </w:r>
      <w:r w:rsidR="00936971">
        <w:rPr>
          <w:rFonts w:ascii="Palatino Linotype" w:hAnsi="Palatino Linotype" w:cs="Tahoma"/>
          <w:b/>
          <w:iCs/>
        </w:rPr>
        <w:t>los procedimientos de responsabilidades administrativas concluídos, relacionados con faltas graves.</w:t>
      </w:r>
    </w:p>
    <w:p w14:paraId="656000B2" w14:textId="77777777" w:rsidR="00936971" w:rsidRPr="009660F9" w:rsidRDefault="00936971" w:rsidP="00936971">
      <w:pPr>
        <w:pStyle w:val="Prrafodelista"/>
        <w:tabs>
          <w:tab w:val="left" w:pos="426"/>
        </w:tabs>
        <w:spacing w:line="360" w:lineRule="auto"/>
        <w:ind w:left="0" w:right="49"/>
        <w:jc w:val="both"/>
        <w:rPr>
          <w:rFonts w:ascii="Palatino Linotype" w:eastAsia="Palatino Linotype" w:hAnsi="Palatino Linotype" w:cs="Palatino Linotype"/>
          <w:i/>
          <w:sz w:val="22"/>
          <w:szCs w:val="22"/>
        </w:rPr>
      </w:pPr>
    </w:p>
    <w:p w14:paraId="5F587EFF" w14:textId="4DEFAB40" w:rsidR="00936971" w:rsidRPr="00DF13AD" w:rsidRDefault="00936971" w:rsidP="00936971">
      <w:pPr>
        <w:pStyle w:val="Prrafodelista"/>
        <w:numPr>
          <w:ilvl w:val="0"/>
          <w:numId w:val="1"/>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rPr>
      </w:pPr>
      <w:r>
        <w:rPr>
          <w:rFonts w:ascii="Palatino Linotype" w:hAnsi="Palatino Linotype"/>
          <w:color w:val="000000" w:themeColor="text1"/>
        </w:rPr>
        <w:t xml:space="preserve">Por otro lado, </w:t>
      </w:r>
      <w:r w:rsidR="00B72964">
        <w:rPr>
          <w:rFonts w:ascii="Palatino Linotype" w:hAnsi="Palatino Linotype"/>
          <w:color w:val="000000" w:themeColor="text1"/>
        </w:rPr>
        <w:t xml:space="preserve">si la información relativa a la imposición de sanciones se relaciona con procedimientos de responsabilidad administrativa por </w:t>
      </w:r>
      <w:r w:rsidR="00B72964" w:rsidRPr="00B72964">
        <w:rPr>
          <w:rFonts w:ascii="Palatino Linotype" w:hAnsi="Palatino Linotype"/>
          <w:b/>
          <w:bCs/>
          <w:color w:val="000000" w:themeColor="text1"/>
        </w:rPr>
        <w:t>faltas graves</w:t>
      </w:r>
      <w:r w:rsidR="00B72964">
        <w:rPr>
          <w:rFonts w:ascii="Palatino Linotype" w:hAnsi="Palatino Linotype"/>
          <w:color w:val="000000" w:themeColor="text1"/>
        </w:rPr>
        <w:t>, se deberá</w:t>
      </w:r>
      <w:r w:rsidRPr="00DF13AD">
        <w:rPr>
          <w:rFonts w:ascii="Palatino Linotype" w:hAnsi="Palatino Linotype"/>
        </w:rPr>
        <w:t xml:space="preserve"> </w:t>
      </w:r>
      <w:r w:rsidR="00B72964">
        <w:rPr>
          <w:rFonts w:ascii="Palatino Linotype" w:hAnsi="Palatino Linotype"/>
        </w:rPr>
        <w:t xml:space="preserve">dejar </w:t>
      </w:r>
      <w:r w:rsidRPr="00DF13AD">
        <w:rPr>
          <w:rFonts w:ascii="Palatino Linotype" w:hAnsi="Palatino Linotype"/>
        </w:rPr>
        <w:t xml:space="preserve">visible el nombre, cargo y sanción impuesta al </w:t>
      </w:r>
      <w:r w:rsidR="00B72964">
        <w:rPr>
          <w:rFonts w:ascii="Palatino Linotype" w:hAnsi="Palatino Linotype"/>
        </w:rPr>
        <w:t>servidor público</w:t>
      </w:r>
      <w:r w:rsidRPr="00DF13AD">
        <w:rPr>
          <w:rFonts w:ascii="Palatino Linotype" w:hAnsi="Palatino Linotype"/>
        </w:rPr>
        <w:t xml:space="preserve"> </w:t>
      </w:r>
      <w:r w:rsidR="00B72964">
        <w:rPr>
          <w:rFonts w:ascii="Palatino Linotype" w:hAnsi="Palatino Linotype"/>
        </w:rPr>
        <w:t>sancionado</w:t>
      </w:r>
      <w:r w:rsidRPr="00DF13AD">
        <w:rPr>
          <w:rFonts w:ascii="Palatino Linotype" w:hAnsi="Palatino Linotype"/>
        </w:rPr>
        <w:t xml:space="preserve">, no así todos los datos personales que en éste se encuentren los que se deberán proteger, para lo cual el </w:t>
      </w:r>
      <w:r w:rsidR="00B72964" w:rsidRPr="00B72964">
        <w:rPr>
          <w:rFonts w:ascii="Palatino Linotype" w:hAnsi="Palatino Linotype"/>
          <w:b/>
          <w:bCs/>
        </w:rPr>
        <w:t>SUJETO OBLIGADO</w:t>
      </w:r>
      <w:r w:rsidRPr="00DF13AD">
        <w:rPr>
          <w:rFonts w:ascii="Palatino Linotype" w:hAnsi="Palatino Linotype"/>
        </w:rPr>
        <w:t xml:space="preserve"> deberá realizar y notificar el </w:t>
      </w:r>
      <w:r w:rsidR="00B72964">
        <w:rPr>
          <w:rFonts w:ascii="Palatino Linotype" w:hAnsi="Palatino Linotype"/>
        </w:rPr>
        <w:lastRenderedPageBreak/>
        <w:t>Acuerdo</w:t>
      </w:r>
      <w:r w:rsidRPr="00DF13AD">
        <w:rPr>
          <w:rFonts w:ascii="Palatino Linotype" w:hAnsi="Palatino Linotype"/>
        </w:rPr>
        <w:t xml:space="preserve"> de </w:t>
      </w:r>
      <w:r w:rsidR="00B72964">
        <w:rPr>
          <w:rFonts w:ascii="Palatino Linotype" w:hAnsi="Palatino Linotype"/>
        </w:rPr>
        <w:t>Clasificación</w:t>
      </w:r>
      <w:r w:rsidRPr="00DF13AD">
        <w:rPr>
          <w:rFonts w:ascii="Palatino Linotype" w:hAnsi="Palatino Linotype"/>
        </w:rPr>
        <w:t xml:space="preserve"> de la información relativa a los datos personales a efecto de que pueda emitir la versión pública de lo que se le solicitó, deberá clasificarla por la hipótesis análoga siendo aplicables los numerales de la Ley de la materia, que a la letra esgrimen:</w:t>
      </w:r>
    </w:p>
    <w:p w14:paraId="610CF80B" w14:textId="77777777" w:rsidR="00936971" w:rsidRPr="00896524" w:rsidRDefault="00936971" w:rsidP="00936971">
      <w:pPr>
        <w:spacing w:line="360" w:lineRule="auto"/>
        <w:ind w:right="49"/>
        <w:contextualSpacing/>
        <w:jc w:val="both"/>
        <w:rPr>
          <w:rFonts w:ascii="Palatino Linotype" w:hAnsi="Palatino Linotype"/>
          <w:sz w:val="22"/>
        </w:rPr>
      </w:pPr>
    </w:p>
    <w:p w14:paraId="49949E0E" w14:textId="77777777" w:rsidR="00936971" w:rsidRPr="00896524" w:rsidRDefault="00936971" w:rsidP="00936971">
      <w:pPr>
        <w:spacing w:line="276" w:lineRule="auto"/>
        <w:ind w:left="567" w:right="567"/>
        <w:contextualSpacing/>
        <w:jc w:val="both"/>
        <w:rPr>
          <w:rFonts w:ascii="Palatino Linotype" w:hAnsi="Palatino Linotype"/>
          <w:b/>
          <w:i/>
          <w:sz w:val="22"/>
        </w:rPr>
      </w:pPr>
      <w:r w:rsidRPr="00896524">
        <w:rPr>
          <w:rFonts w:ascii="Palatino Linotype" w:hAnsi="Palatino Linotype"/>
          <w:b/>
          <w:i/>
          <w:sz w:val="22"/>
        </w:rPr>
        <w:t>“Artículo 3. Para los efectos de la presente Ley se entenderá por:</w:t>
      </w:r>
    </w:p>
    <w:p w14:paraId="658053AE" w14:textId="1A3466BF" w:rsidR="00936971" w:rsidRPr="00936971" w:rsidRDefault="00936971" w:rsidP="00936971">
      <w:pPr>
        <w:spacing w:line="276" w:lineRule="auto"/>
        <w:ind w:left="567" w:right="567"/>
        <w:contextualSpacing/>
        <w:jc w:val="both"/>
        <w:rPr>
          <w:rFonts w:ascii="Palatino Linotype" w:hAnsi="Palatino Linotype"/>
          <w:bCs/>
          <w:i/>
          <w:sz w:val="22"/>
        </w:rPr>
      </w:pPr>
      <w:r>
        <w:rPr>
          <w:rFonts w:ascii="Palatino Linotype" w:hAnsi="Palatino Linotype"/>
          <w:bCs/>
          <w:i/>
          <w:sz w:val="22"/>
        </w:rPr>
        <w:t>(...)</w:t>
      </w:r>
    </w:p>
    <w:p w14:paraId="071716D3" w14:textId="77777777" w:rsidR="00936971" w:rsidRPr="00896524" w:rsidRDefault="00936971" w:rsidP="00936971">
      <w:pPr>
        <w:spacing w:line="276" w:lineRule="auto"/>
        <w:ind w:left="567" w:right="567"/>
        <w:contextualSpacing/>
        <w:jc w:val="both"/>
        <w:rPr>
          <w:rFonts w:ascii="Palatino Linotype" w:hAnsi="Palatino Linotype"/>
          <w:b/>
          <w:i/>
          <w:sz w:val="22"/>
        </w:rPr>
      </w:pPr>
      <w:r w:rsidRPr="00896524">
        <w:rPr>
          <w:rFonts w:ascii="Palatino Linotype" w:hAnsi="Palatino Linotype"/>
          <w:b/>
          <w:i/>
          <w:sz w:val="22"/>
        </w:rPr>
        <w:t>IX. Datos personales: La información concerniente a una persona, identificada o identificable según lo dispuesto por la Ley de Protección de Datos Personales del Estado de México;</w:t>
      </w:r>
    </w:p>
    <w:p w14:paraId="2E2CA478" w14:textId="77777777" w:rsidR="00936971" w:rsidRPr="00936971" w:rsidRDefault="00936971" w:rsidP="00936971">
      <w:pPr>
        <w:spacing w:line="276" w:lineRule="auto"/>
        <w:ind w:left="567" w:right="567"/>
        <w:contextualSpacing/>
        <w:jc w:val="both"/>
        <w:rPr>
          <w:rFonts w:ascii="Palatino Linotype" w:hAnsi="Palatino Linotype"/>
          <w:bCs/>
          <w:i/>
          <w:sz w:val="22"/>
        </w:rPr>
      </w:pPr>
      <w:r>
        <w:rPr>
          <w:rFonts w:ascii="Palatino Linotype" w:hAnsi="Palatino Linotype"/>
          <w:bCs/>
          <w:i/>
          <w:sz w:val="22"/>
        </w:rPr>
        <w:t>(...)</w:t>
      </w:r>
    </w:p>
    <w:p w14:paraId="17A1320A" w14:textId="77777777" w:rsidR="00936971" w:rsidRPr="00896524" w:rsidRDefault="00936971" w:rsidP="00936971">
      <w:pPr>
        <w:spacing w:line="276" w:lineRule="auto"/>
        <w:ind w:left="567" w:right="567"/>
        <w:contextualSpacing/>
        <w:jc w:val="both"/>
        <w:rPr>
          <w:rFonts w:ascii="Palatino Linotype" w:hAnsi="Palatino Linotype"/>
          <w:b/>
          <w:i/>
          <w:sz w:val="22"/>
        </w:rPr>
      </w:pPr>
      <w:r w:rsidRPr="00896524">
        <w:rPr>
          <w:rFonts w:ascii="Palatino Linotype" w:hAnsi="Palatino Linotype"/>
          <w:b/>
          <w:i/>
          <w:sz w:val="22"/>
        </w:rPr>
        <w:t>XLV. Versión pública: Documento en el que se elimine, suprime o borra la información clasificada como reservada o confidencial para permitir su acceso.</w:t>
      </w:r>
    </w:p>
    <w:p w14:paraId="17DC5DDB" w14:textId="77777777" w:rsidR="00936971" w:rsidRDefault="00936971" w:rsidP="00936971">
      <w:pPr>
        <w:spacing w:line="276" w:lineRule="auto"/>
        <w:ind w:left="567" w:right="567"/>
        <w:contextualSpacing/>
        <w:jc w:val="both"/>
        <w:rPr>
          <w:rFonts w:ascii="Palatino Linotype" w:hAnsi="Palatino Linotype"/>
          <w:i/>
          <w:sz w:val="22"/>
        </w:rPr>
      </w:pPr>
    </w:p>
    <w:p w14:paraId="1E095F5C" w14:textId="01AE5415" w:rsidR="00936971" w:rsidRPr="00896524" w:rsidRDefault="00936971" w:rsidP="00936971">
      <w:pPr>
        <w:spacing w:line="276" w:lineRule="auto"/>
        <w:ind w:left="567" w:right="567"/>
        <w:contextualSpacing/>
        <w:jc w:val="both"/>
        <w:rPr>
          <w:rFonts w:ascii="Palatino Linotype" w:hAnsi="Palatino Linotype"/>
          <w:i/>
          <w:sz w:val="22"/>
        </w:rPr>
      </w:pPr>
      <w:r w:rsidRPr="00B72964">
        <w:rPr>
          <w:rFonts w:ascii="Palatino Linotype" w:hAnsi="Palatino Linotype"/>
          <w:b/>
          <w:bCs/>
          <w:i/>
          <w:sz w:val="22"/>
        </w:rPr>
        <w:t>Artículo 122.</w:t>
      </w:r>
      <w:r w:rsidRPr="00896524">
        <w:rPr>
          <w:rFonts w:ascii="Palatino Linotype" w:hAnsi="Palatino Linotype"/>
          <w:i/>
          <w:sz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5CD95494" w14:textId="77777777" w:rsidR="00B72964" w:rsidRDefault="00B72964" w:rsidP="00B72964">
      <w:pPr>
        <w:spacing w:line="276" w:lineRule="auto"/>
        <w:ind w:left="567" w:right="567"/>
        <w:contextualSpacing/>
        <w:jc w:val="both"/>
        <w:rPr>
          <w:rFonts w:ascii="Palatino Linotype" w:hAnsi="Palatino Linotype"/>
          <w:bCs/>
          <w:i/>
          <w:sz w:val="22"/>
        </w:rPr>
      </w:pPr>
      <w:r>
        <w:rPr>
          <w:rFonts w:ascii="Palatino Linotype" w:hAnsi="Palatino Linotype"/>
          <w:bCs/>
          <w:i/>
          <w:sz w:val="22"/>
        </w:rPr>
        <w:t>(...)</w:t>
      </w:r>
    </w:p>
    <w:p w14:paraId="31CD711E" w14:textId="77777777" w:rsidR="00B72964" w:rsidRPr="00936971" w:rsidRDefault="00B72964" w:rsidP="00B72964">
      <w:pPr>
        <w:spacing w:line="276" w:lineRule="auto"/>
        <w:ind w:left="567" w:right="567"/>
        <w:contextualSpacing/>
        <w:jc w:val="both"/>
        <w:rPr>
          <w:rFonts w:ascii="Palatino Linotype" w:hAnsi="Palatino Linotype"/>
          <w:bCs/>
          <w:i/>
          <w:sz w:val="22"/>
        </w:rPr>
      </w:pPr>
    </w:p>
    <w:p w14:paraId="4510BC94" w14:textId="77777777" w:rsidR="00936971" w:rsidRPr="00896524" w:rsidRDefault="00936971" w:rsidP="00936971">
      <w:pPr>
        <w:spacing w:line="276" w:lineRule="auto"/>
        <w:ind w:left="567" w:right="567"/>
        <w:contextualSpacing/>
        <w:jc w:val="both"/>
        <w:rPr>
          <w:rFonts w:ascii="Palatino Linotype" w:hAnsi="Palatino Linotype"/>
          <w:i/>
          <w:sz w:val="22"/>
        </w:rPr>
      </w:pPr>
      <w:r w:rsidRPr="00B72964">
        <w:rPr>
          <w:rFonts w:ascii="Palatino Linotype" w:hAnsi="Palatino Linotype"/>
          <w:b/>
          <w:bCs/>
          <w:i/>
          <w:sz w:val="22"/>
        </w:rPr>
        <w:t>Artículo 132.</w:t>
      </w:r>
      <w:r w:rsidRPr="00896524">
        <w:rPr>
          <w:rFonts w:ascii="Palatino Linotype" w:hAnsi="Palatino Linotype"/>
          <w:i/>
          <w:sz w:val="22"/>
        </w:rPr>
        <w:t xml:space="preserve"> La clasificación de la información se llevará a cabo en el momento en que:</w:t>
      </w:r>
    </w:p>
    <w:p w14:paraId="7D67E709" w14:textId="77777777" w:rsidR="00B72964" w:rsidRPr="00936971" w:rsidRDefault="00B72964" w:rsidP="00B72964">
      <w:pPr>
        <w:spacing w:line="276" w:lineRule="auto"/>
        <w:ind w:left="567" w:right="567"/>
        <w:contextualSpacing/>
        <w:jc w:val="both"/>
        <w:rPr>
          <w:rFonts w:ascii="Palatino Linotype" w:hAnsi="Palatino Linotype"/>
          <w:bCs/>
          <w:i/>
          <w:sz w:val="22"/>
        </w:rPr>
      </w:pPr>
      <w:r>
        <w:rPr>
          <w:rFonts w:ascii="Palatino Linotype" w:hAnsi="Palatino Linotype"/>
          <w:bCs/>
          <w:i/>
          <w:sz w:val="22"/>
        </w:rPr>
        <w:t>(...)</w:t>
      </w:r>
    </w:p>
    <w:p w14:paraId="02C8D3A2" w14:textId="77777777" w:rsidR="00936971" w:rsidRDefault="00936971" w:rsidP="00936971">
      <w:pPr>
        <w:spacing w:line="276" w:lineRule="auto"/>
        <w:ind w:left="567" w:right="567"/>
        <w:contextualSpacing/>
        <w:jc w:val="both"/>
        <w:rPr>
          <w:rFonts w:ascii="Palatino Linotype" w:hAnsi="Palatino Linotype"/>
          <w:b/>
          <w:i/>
          <w:sz w:val="22"/>
        </w:rPr>
      </w:pPr>
      <w:r w:rsidRPr="00896524">
        <w:rPr>
          <w:rFonts w:ascii="Palatino Linotype" w:hAnsi="Palatino Linotype"/>
          <w:b/>
          <w:i/>
          <w:sz w:val="22"/>
        </w:rPr>
        <w:t>III. Se generen versiones públicas para dar cumplimiento a las obligaciones de transparencia previstas en esta Ley.</w:t>
      </w:r>
    </w:p>
    <w:p w14:paraId="16E9B96D" w14:textId="77777777" w:rsidR="00B72964" w:rsidRPr="00896524" w:rsidRDefault="00B72964" w:rsidP="00936971">
      <w:pPr>
        <w:spacing w:line="276" w:lineRule="auto"/>
        <w:ind w:left="567" w:right="567"/>
        <w:contextualSpacing/>
        <w:jc w:val="both"/>
        <w:rPr>
          <w:rFonts w:ascii="Palatino Linotype" w:hAnsi="Palatino Linotype"/>
          <w:b/>
          <w:i/>
          <w:sz w:val="22"/>
        </w:rPr>
      </w:pPr>
    </w:p>
    <w:p w14:paraId="6D6B8F1E" w14:textId="776F9D1A" w:rsidR="00936971" w:rsidRDefault="00936971" w:rsidP="00936971">
      <w:pPr>
        <w:spacing w:line="276" w:lineRule="auto"/>
        <w:ind w:left="567" w:right="567"/>
        <w:contextualSpacing/>
        <w:jc w:val="both"/>
        <w:rPr>
          <w:rFonts w:ascii="Palatino Linotype" w:hAnsi="Palatino Linotype"/>
          <w:bCs/>
          <w:i/>
          <w:sz w:val="22"/>
        </w:rPr>
      </w:pPr>
      <w:r w:rsidRPr="00896524">
        <w:rPr>
          <w:rFonts w:ascii="Palatino Linotype" w:hAnsi="Palatino Linotype"/>
          <w:b/>
          <w:i/>
          <w:sz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96524">
        <w:rPr>
          <w:rFonts w:ascii="Palatino Linotype" w:hAnsi="Palatino Linotype"/>
          <w:b/>
          <w:i/>
          <w:sz w:val="22"/>
          <w:u w:val="single"/>
        </w:rPr>
        <w:t>de manera genérica y fundando y motivando su clasificación.”</w:t>
      </w:r>
    </w:p>
    <w:p w14:paraId="421D1020" w14:textId="5ED1BDFA" w:rsidR="00B72964" w:rsidRPr="00B72964" w:rsidRDefault="00B72964" w:rsidP="00936971">
      <w:pPr>
        <w:spacing w:line="276" w:lineRule="auto"/>
        <w:ind w:left="567" w:right="567"/>
        <w:contextualSpacing/>
        <w:jc w:val="both"/>
        <w:rPr>
          <w:rFonts w:ascii="Palatino Linotype" w:hAnsi="Palatino Linotype"/>
          <w:bCs/>
          <w:iCs/>
          <w:sz w:val="22"/>
        </w:rPr>
      </w:pPr>
      <w:r>
        <w:rPr>
          <w:rFonts w:ascii="Palatino Linotype" w:hAnsi="Palatino Linotype"/>
          <w:bCs/>
          <w:iCs/>
          <w:sz w:val="22"/>
        </w:rPr>
        <w:t>(Énfasis añadido)</w:t>
      </w:r>
    </w:p>
    <w:p w14:paraId="525E649D" w14:textId="77777777" w:rsidR="00936971" w:rsidRPr="00896524" w:rsidRDefault="00936971" w:rsidP="00936971">
      <w:pPr>
        <w:spacing w:line="360" w:lineRule="auto"/>
        <w:ind w:right="49"/>
        <w:contextualSpacing/>
        <w:jc w:val="both"/>
        <w:rPr>
          <w:rFonts w:ascii="Palatino Linotype" w:hAnsi="Palatino Linotype"/>
          <w:b/>
          <w:i/>
          <w:u w:val="single"/>
        </w:rPr>
      </w:pPr>
    </w:p>
    <w:p w14:paraId="0A46CF67" w14:textId="77777777" w:rsidR="00936971"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hAnsi="Palatino Linotype"/>
        </w:rPr>
        <w:lastRenderedPageBreak/>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598F5944" w14:textId="77777777" w:rsidR="00936971" w:rsidRDefault="00936971" w:rsidP="00B72964">
      <w:pPr>
        <w:pStyle w:val="Prrafodelista"/>
        <w:tabs>
          <w:tab w:val="left" w:pos="426"/>
        </w:tabs>
        <w:spacing w:before="240" w:after="240" w:line="360" w:lineRule="auto"/>
        <w:ind w:left="0"/>
        <w:jc w:val="both"/>
        <w:rPr>
          <w:rFonts w:ascii="Palatino Linotype" w:hAnsi="Palatino Linotype"/>
        </w:rPr>
      </w:pPr>
    </w:p>
    <w:p w14:paraId="6B605E0B" w14:textId="77777777" w:rsidR="00936971"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B04ABC1" w14:textId="77777777" w:rsidR="00936971" w:rsidRPr="00DF13AD" w:rsidRDefault="00936971" w:rsidP="00B72964">
      <w:pPr>
        <w:pStyle w:val="Prrafodelista"/>
        <w:tabs>
          <w:tab w:val="left" w:pos="426"/>
        </w:tabs>
        <w:rPr>
          <w:rFonts w:ascii="Palatino Linotype" w:hAnsi="Palatino Linotype"/>
        </w:rPr>
      </w:pPr>
    </w:p>
    <w:p w14:paraId="2D3DEA59" w14:textId="77777777" w:rsidR="00936971"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hAnsi="Palatino Linotype"/>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14:paraId="3B542D14" w14:textId="77777777" w:rsidR="00936971" w:rsidRPr="00DF13AD" w:rsidRDefault="00936971" w:rsidP="00936971">
      <w:pPr>
        <w:pStyle w:val="Prrafodelista"/>
        <w:rPr>
          <w:rFonts w:ascii="Palatino Linotype" w:hAnsi="Palatino Linotype"/>
        </w:rPr>
      </w:pPr>
    </w:p>
    <w:p w14:paraId="27521C74" w14:textId="3215DB64" w:rsidR="00936971" w:rsidRDefault="00936971" w:rsidP="00936971">
      <w:pPr>
        <w:pStyle w:val="Prrafodelista"/>
        <w:numPr>
          <w:ilvl w:val="0"/>
          <w:numId w:val="1"/>
        </w:numPr>
        <w:spacing w:before="240" w:after="240" w:line="360" w:lineRule="auto"/>
        <w:jc w:val="both"/>
        <w:rPr>
          <w:rFonts w:ascii="Palatino Linotype" w:hAnsi="Palatino Linotype"/>
        </w:rPr>
      </w:pPr>
      <w:r w:rsidRPr="00DF13AD">
        <w:rPr>
          <w:rFonts w:ascii="Palatino Linotype" w:hAnsi="Palatino Linotype"/>
        </w:rPr>
        <w:t xml:space="preserve">Efectivamente, cuando se clasifica información como confidencial o reservada </w:t>
      </w:r>
      <w:r w:rsidRPr="00DF13AD">
        <w:rPr>
          <w:rFonts w:ascii="Palatino Linotype" w:hAnsi="Palatino Linotype"/>
          <w:b/>
        </w:rPr>
        <w:t>es deber someterlo al Comité de Transparencia</w:t>
      </w:r>
      <w:r w:rsidRPr="00DF13AD">
        <w:rPr>
          <w:rFonts w:ascii="Palatino Linotype" w:hAnsi="Palatino Linotype"/>
        </w:rPr>
        <w:t xml:space="preserve">, quien debe confirmar, modificar o revocar las determinaciones en materia de clasificación de la información que </w:t>
      </w:r>
      <w:r w:rsidRPr="00DF13AD">
        <w:rPr>
          <w:rFonts w:ascii="Palatino Linotype" w:hAnsi="Palatino Linotype"/>
        </w:rPr>
        <w:lastRenderedPageBreak/>
        <w:t xml:space="preserve">realicen los titulares de las áreas de los sujetos obligados; por lo tanto, la entrega de documentos en su versión pública debe estar debidamente fundado y motivado, en el que se expongan los fundamentos y razonamientos que llevaron al </w:t>
      </w:r>
      <w:r w:rsidR="00B72964">
        <w:rPr>
          <w:rFonts w:ascii="Palatino Linotype" w:hAnsi="Palatino Linotype"/>
          <w:b/>
          <w:bCs/>
        </w:rPr>
        <w:t>SUJETO OBLIGADO</w:t>
      </w:r>
      <w:r w:rsidRPr="00DF13AD">
        <w:rPr>
          <w:rFonts w:ascii="Palatino Linotype" w:hAnsi="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41A4CDC" w14:textId="77777777" w:rsidR="00936971" w:rsidRPr="00DF13AD" w:rsidRDefault="00936971" w:rsidP="00936971">
      <w:pPr>
        <w:pStyle w:val="Prrafodelista"/>
        <w:rPr>
          <w:rFonts w:ascii="Palatino Linotype" w:hAnsi="Palatino Linotype"/>
        </w:rPr>
      </w:pPr>
    </w:p>
    <w:p w14:paraId="500348AC" w14:textId="062E3387"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iCs/>
          <w:lang w:eastAsia="es-ES_tradnl"/>
        </w:rPr>
        <w:t xml:space="preserve">Por otro lado, si bien es cierto, que entregar el nombre de los servidores públicos que obtuvieron alguna sanción, podría generar una percepción negativa de </w:t>
      </w:r>
      <w:r w:rsidR="00B72964">
        <w:rPr>
          <w:rFonts w:ascii="Palatino Linotype" w:eastAsia="Calibri" w:hAnsi="Palatino Linotype" w:cs="Tahoma"/>
          <w:iCs/>
          <w:lang w:eastAsia="es-ES_tradnl"/>
        </w:rPr>
        <w:t>é</w:t>
      </w:r>
      <w:r w:rsidRPr="00DF13AD">
        <w:rPr>
          <w:rFonts w:ascii="Palatino Linotype" w:eastAsia="Calibri" w:hAnsi="Palatino Linotype" w:cs="Tahoma"/>
          <w:iCs/>
          <w:lang w:eastAsia="es-ES_tradnl"/>
        </w:rPr>
        <w:t xml:space="preserve">stos, ocasionando un perjuicio en su honor, intimidad, buena imagen y nombre, así como a su vida privada, también lo es, que </w:t>
      </w:r>
      <w:r w:rsidRPr="00B72964">
        <w:rPr>
          <w:rFonts w:ascii="Palatino Linotype" w:eastAsia="Calibri" w:hAnsi="Palatino Linotype" w:cs="Tahoma"/>
          <w:b/>
          <w:bCs/>
          <w:iCs/>
          <w:lang w:eastAsia="es-ES_tradnl"/>
        </w:rPr>
        <w:t>en el presente caso se trata de responsabilidades graves</w:t>
      </w:r>
      <w:r w:rsidRPr="00DF13AD">
        <w:rPr>
          <w:rFonts w:ascii="Palatino Linotype" w:eastAsia="Calibri" w:hAnsi="Palatino Linotype" w:cs="Tahoma"/>
          <w:iCs/>
          <w:lang w:eastAsia="es-ES_tradnl"/>
        </w:rPr>
        <w:t>.</w:t>
      </w:r>
    </w:p>
    <w:p w14:paraId="2907C388" w14:textId="77777777" w:rsidR="00936971" w:rsidRPr="00DF13AD" w:rsidRDefault="00936971" w:rsidP="00B72964">
      <w:pPr>
        <w:pStyle w:val="Prrafodelista"/>
        <w:tabs>
          <w:tab w:val="left" w:pos="426"/>
        </w:tabs>
        <w:rPr>
          <w:rFonts w:ascii="Palatino Linotype" w:hAnsi="Palatino Linotype"/>
        </w:rPr>
      </w:pPr>
    </w:p>
    <w:p w14:paraId="29E4F21A" w14:textId="77777777"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4F28A40A" w14:textId="77777777" w:rsidR="00936971" w:rsidRPr="00DF13AD" w:rsidRDefault="00936971" w:rsidP="00B72964">
      <w:pPr>
        <w:pStyle w:val="Prrafodelista"/>
        <w:tabs>
          <w:tab w:val="left" w:pos="426"/>
        </w:tabs>
        <w:rPr>
          <w:rFonts w:ascii="Palatino Linotype" w:eastAsia="Calibri" w:hAnsi="Palatino Linotype" w:cs="Tahoma"/>
          <w:iCs/>
          <w:lang w:eastAsia="es-ES_tradnl"/>
        </w:rPr>
      </w:pPr>
    </w:p>
    <w:p w14:paraId="6529F03E" w14:textId="77777777"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iCs/>
          <w:lang w:eastAsia="es-ES_tradnl"/>
        </w:rPr>
        <w:t xml:space="preserve">Además, cabe señalar que la mayoría de dichas conductas, se encuentran reguladas en el Título Sexto Delitos por Hechos de Corrupción, del Código Penal </w:t>
      </w:r>
      <w:r w:rsidRPr="00DF13AD">
        <w:rPr>
          <w:rFonts w:ascii="Palatino Linotype" w:eastAsia="Calibri" w:hAnsi="Palatino Linotype" w:cs="Tahoma"/>
          <w:iCs/>
          <w:lang w:eastAsia="es-ES_tradnl"/>
        </w:rPr>
        <w:lastRenderedPageBreak/>
        <w:t>del Estado de México, en donde se prevé como delitos el abuso de autoridad, uso ilícito de atribuciones, ejercicio abusivo de funciones y enriquecimiento ilícito.</w:t>
      </w:r>
    </w:p>
    <w:p w14:paraId="14F267D9" w14:textId="77777777" w:rsidR="00936971" w:rsidRPr="00DF13AD" w:rsidRDefault="00936971" w:rsidP="00936971">
      <w:pPr>
        <w:pStyle w:val="Prrafodelista"/>
        <w:rPr>
          <w:rFonts w:ascii="Palatino Linotype" w:eastAsia="Calibri" w:hAnsi="Palatino Linotype" w:cs="Tahoma"/>
          <w:iCs/>
          <w:lang w:eastAsia="es-ES_tradnl"/>
        </w:rPr>
      </w:pPr>
    </w:p>
    <w:p w14:paraId="3286A3D5" w14:textId="357B7824"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iCs/>
          <w:lang w:eastAsia="es-ES_tradnl"/>
        </w:rPr>
        <w:t xml:space="preserve">Conforme a lo anterior, se logra vislumbrar que las responsabilidades graves, causan un perjuicio de manera externa, esto es, a terceras personas o bien, a la hacienda o erario público; por lo que se podría considerar que </w:t>
      </w:r>
      <w:r w:rsidRPr="00B72964">
        <w:rPr>
          <w:rFonts w:ascii="Palatino Linotype" w:eastAsia="Calibri" w:hAnsi="Palatino Linotype" w:cs="Tahoma"/>
          <w:b/>
          <w:bCs/>
          <w:iCs/>
          <w:lang w:eastAsia="es-ES_tradnl"/>
        </w:rPr>
        <w:t>existe una trascendencia social</w:t>
      </w:r>
      <w:r w:rsidRPr="00DF13AD">
        <w:rPr>
          <w:rFonts w:ascii="Palatino Linotype" w:eastAsia="Calibri" w:hAnsi="Palatino Linotype" w:cs="Tahoma"/>
          <w:iCs/>
          <w:lang w:eastAsia="es-ES_tradnl"/>
        </w:rPr>
        <w:t>, para dar a conocer dicha información, además que se relacionan dichas conductas con actos de corrupción, conforme a la normatividad citada en el párrafo previo.</w:t>
      </w:r>
    </w:p>
    <w:p w14:paraId="7247FE77" w14:textId="77777777" w:rsidR="00936971" w:rsidRPr="00DF13AD" w:rsidRDefault="00936971" w:rsidP="00B72964">
      <w:pPr>
        <w:pStyle w:val="Prrafodelista"/>
        <w:tabs>
          <w:tab w:val="left" w:pos="426"/>
        </w:tabs>
        <w:rPr>
          <w:rFonts w:ascii="Palatino Linotype" w:eastAsia="Calibri" w:hAnsi="Palatino Linotype" w:cs="Tahoma"/>
          <w:iCs/>
          <w:lang w:eastAsia="es-ES_tradnl"/>
        </w:rPr>
      </w:pPr>
    </w:p>
    <w:p w14:paraId="4EF9FE23" w14:textId="7FE98916"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iCs/>
          <w:lang w:eastAsia="es-ES_tradnl"/>
        </w:rPr>
        <w:t xml:space="preserve">En ese orden de ideas, si bien los procedimientos solicitados, podrían generar una percepción negativa de los servidores públicos </w:t>
      </w:r>
      <w:r w:rsidR="00B72964">
        <w:rPr>
          <w:rFonts w:ascii="Palatino Linotype" w:eastAsia="Calibri" w:hAnsi="Palatino Linotype" w:cs="Tahoma"/>
          <w:iCs/>
          <w:lang w:eastAsia="es-ES_tradnl"/>
        </w:rPr>
        <w:t>a quienes se</w:t>
      </w:r>
      <w:r w:rsidRPr="00DF13AD">
        <w:rPr>
          <w:rFonts w:ascii="Palatino Linotype" w:eastAsia="Calibri" w:hAnsi="Palatino Linotype" w:cs="Tahoma"/>
          <w:iCs/>
          <w:lang w:eastAsia="es-ES_tradnl"/>
        </w:rPr>
        <w:t xml:space="preserve"> les acreditó una responsabilidad grave, ocasionaría un perjuicio en su honor, intimidad y buena imagen, también lo es que existe un interés público en darlas a conocer, pues establecen que </w:t>
      </w:r>
      <w:r w:rsidR="00B72964">
        <w:rPr>
          <w:rFonts w:ascii="Palatino Linotype" w:eastAsia="Calibri" w:hAnsi="Palatino Linotype" w:cs="Tahoma"/>
          <w:iCs/>
          <w:lang w:eastAsia="es-ES_tradnl"/>
        </w:rPr>
        <w:t>su actuar</w:t>
      </w:r>
      <w:r w:rsidRPr="00DF13AD">
        <w:rPr>
          <w:rFonts w:ascii="Palatino Linotype" w:eastAsia="Calibri" w:hAnsi="Palatino Linotype" w:cs="Tahoma"/>
          <w:iCs/>
          <w:lang w:eastAsia="es-ES_tradnl"/>
        </w:rPr>
        <w:t>, en ejercicio de sus atribuciones, fueron en contra de las disposiciones normativas aplicables y que causaron un perjuicio a otras personas o al erario público.</w:t>
      </w:r>
    </w:p>
    <w:p w14:paraId="6797558F" w14:textId="77777777" w:rsidR="00936971" w:rsidRPr="00DF13AD" w:rsidRDefault="00936971" w:rsidP="00B72964">
      <w:pPr>
        <w:pStyle w:val="Prrafodelista"/>
        <w:tabs>
          <w:tab w:val="left" w:pos="426"/>
        </w:tabs>
        <w:rPr>
          <w:rFonts w:ascii="Palatino Linotype" w:hAnsi="Palatino Linotype"/>
        </w:rPr>
      </w:pPr>
    </w:p>
    <w:p w14:paraId="33BA4EC7" w14:textId="4712D894"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bCs/>
          <w:lang w:eastAsia="en-US"/>
        </w:rPr>
        <w:t>Ante tales circunstancias, se desprende que, en el caso concreto, sobreviene una colisión de derechos fundamentales, esto es, por una parte, se tiene el derecho de acceso a la información de</w:t>
      </w:r>
      <w:r w:rsidR="00B72964">
        <w:rPr>
          <w:rFonts w:ascii="Palatino Linotype" w:eastAsia="Calibri" w:hAnsi="Palatino Linotype" w:cs="Tahoma"/>
          <w:bCs/>
          <w:lang w:eastAsia="en-US"/>
        </w:rPr>
        <w:t xml:space="preserve">l </w:t>
      </w:r>
      <w:r w:rsidR="00B72964">
        <w:rPr>
          <w:rFonts w:ascii="Palatino Linotype" w:eastAsia="Calibri" w:hAnsi="Palatino Linotype" w:cs="Tahoma"/>
          <w:b/>
          <w:lang w:eastAsia="en-US"/>
        </w:rPr>
        <w:t>RECURRENTE</w:t>
      </w:r>
      <w:r w:rsidRPr="00DF13AD">
        <w:rPr>
          <w:rFonts w:ascii="Palatino Linotype" w:eastAsia="Calibri" w:hAnsi="Palatino Linotype" w:cs="Tahoma"/>
          <w:bCs/>
          <w:lang w:eastAsia="en-US"/>
        </w:rPr>
        <w:t xml:space="preserve">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14:paraId="0D6CFD7D" w14:textId="77777777" w:rsidR="00936971" w:rsidRPr="00DF13AD" w:rsidRDefault="00936971" w:rsidP="00936971">
      <w:pPr>
        <w:pStyle w:val="Prrafodelista"/>
        <w:rPr>
          <w:rFonts w:ascii="Palatino Linotype" w:eastAsia="Calibri" w:hAnsi="Palatino Linotype" w:cs="Tahoma"/>
          <w:bCs/>
          <w:lang w:eastAsia="en-US"/>
        </w:rPr>
      </w:pPr>
    </w:p>
    <w:p w14:paraId="29456C0B" w14:textId="77777777"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bCs/>
          <w:lang w:eastAsia="en-US"/>
        </w:rPr>
        <w:lastRenderedPageBreak/>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w:t>
      </w:r>
      <w:r>
        <w:rPr>
          <w:rFonts w:ascii="Palatino Linotype" w:eastAsia="Calibri" w:hAnsi="Palatino Linotype" w:cs="Tahoma"/>
          <w:bCs/>
          <w:lang w:eastAsia="en-US"/>
        </w:rPr>
        <w:t>eglas de prioridad entre normas.</w:t>
      </w:r>
    </w:p>
    <w:p w14:paraId="674EAE59" w14:textId="77777777" w:rsidR="00936971" w:rsidRPr="00DF13AD" w:rsidRDefault="00936971" w:rsidP="00B72964">
      <w:pPr>
        <w:pStyle w:val="Prrafodelista"/>
        <w:tabs>
          <w:tab w:val="left" w:pos="426"/>
        </w:tabs>
        <w:rPr>
          <w:rFonts w:ascii="Palatino Linotype" w:eastAsia="Calibri" w:hAnsi="Palatino Linotype" w:cs="Tahoma"/>
          <w:bCs/>
          <w:lang w:eastAsia="en-US"/>
        </w:rPr>
      </w:pPr>
    </w:p>
    <w:p w14:paraId="508369B1" w14:textId="77777777" w:rsidR="00936971" w:rsidRPr="00DF13AD" w:rsidRDefault="00936971" w:rsidP="00B72964">
      <w:pPr>
        <w:pStyle w:val="Prrafodelista"/>
        <w:numPr>
          <w:ilvl w:val="0"/>
          <w:numId w:val="1"/>
        </w:numPr>
        <w:tabs>
          <w:tab w:val="left" w:pos="426"/>
        </w:tabs>
        <w:spacing w:before="240" w:after="240" w:line="360" w:lineRule="auto"/>
        <w:jc w:val="both"/>
        <w:rPr>
          <w:rFonts w:ascii="Palatino Linotype" w:hAnsi="Palatino Linotype"/>
        </w:rPr>
      </w:pPr>
      <w:r w:rsidRPr="00DF13AD">
        <w:rPr>
          <w:rFonts w:ascii="Palatino Linotype" w:eastAsia="Calibri" w:hAnsi="Palatino Linotype" w:cs="Tahoma"/>
          <w:bCs/>
          <w:lang w:eastAsia="en-US"/>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5C7A9194" w14:textId="77777777" w:rsidR="00936971" w:rsidRPr="00DF13AD" w:rsidRDefault="00936971" w:rsidP="00B72964">
      <w:pPr>
        <w:pStyle w:val="Prrafodelista"/>
        <w:tabs>
          <w:tab w:val="left" w:pos="426"/>
        </w:tabs>
        <w:rPr>
          <w:rFonts w:ascii="Palatino Linotype" w:eastAsia="Calibri" w:hAnsi="Palatino Linotype" w:cs="Tahoma"/>
          <w:bCs/>
          <w:lang w:eastAsia="en-US"/>
        </w:rPr>
      </w:pPr>
    </w:p>
    <w:p w14:paraId="14C19318" w14:textId="652FB248" w:rsidR="00EB41EF" w:rsidRDefault="00936971" w:rsidP="00B72964">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DF13AD">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DF13AD">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DF13AD">
        <w:rPr>
          <w:rFonts w:ascii="Palatino Linotype" w:eastAsia="Calibri" w:hAnsi="Palatino Linotype" w:cs="Tahoma"/>
          <w:bCs/>
          <w:lang w:eastAsia="en-US"/>
        </w:rPr>
        <w:t>184 de la Ley de Transparencia y Acceso a la Información Pública del Estado de México y Municipios</w:t>
      </w:r>
      <w:r w:rsidRPr="00DF13AD">
        <w:rPr>
          <w:rFonts w:ascii="Palatino Linotype" w:hAnsi="Palatino Linotype" w:cs="Tahoma"/>
          <w:bCs/>
          <w:iCs/>
        </w:rPr>
        <w:t xml:space="preserve"> prevé que cuando exista una colisión de derechos, este Instituto, al resolver el recurso de revisión, debe aplicar una prueba de interés público con base en </w:t>
      </w:r>
      <w:r w:rsidRPr="00DF13AD">
        <w:rPr>
          <w:rFonts w:ascii="Palatino Linotype" w:hAnsi="Palatino Linotype" w:cs="Tahoma"/>
          <w:bCs/>
          <w:iCs/>
        </w:rPr>
        <w:lastRenderedPageBreak/>
        <w:t>elementos de idoneidad, necesidad y proporcionalidad. Para estos efectos, se entenderá por:</w:t>
      </w:r>
    </w:p>
    <w:p w14:paraId="47697A2D" w14:textId="77777777" w:rsidR="00B72964" w:rsidRPr="00B72964" w:rsidRDefault="00B72964" w:rsidP="00B72964">
      <w:pPr>
        <w:pStyle w:val="Prrafodelista"/>
        <w:numPr>
          <w:ilvl w:val="1"/>
          <w:numId w:val="19"/>
        </w:numPr>
        <w:tabs>
          <w:tab w:val="left" w:pos="426"/>
        </w:tabs>
        <w:spacing w:before="240" w:after="240" w:line="360" w:lineRule="auto"/>
        <w:ind w:left="1134" w:right="51"/>
        <w:jc w:val="both"/>
        <w:rPr>
          <w:rFonts w:ascii="Palatino Linotype" w:hAnsi="Palatino Linotype" w:cs="Tahoma"/>
          <w:bCs/>
          <w:iCs/>
        </w:rPr>
      </w:pPr>
      <w:r w:rsidRPr="00B72964">
        <w:rPr>
          <w:rFonts w:ascii="Palatino Linotype" w:hAnsi="Palatino Linotype" w:cs="Tahoma"/>
          <w:b/>
          <w:iCs/>
        </w:rPr>
        <w:t>Idoneidad:</w:t>
      </w:r>
      <w:r>
        <w:rPr>
          <w:rFonts w:ascii="Palatino Linotype" w:hAnsi="Palatino Linotype" w:cs="Tahoma"/>
          <w:bCs/>
          <w:iCs/>
        </w:rPr>
        <w:t xml:space="preserve"> </w:t>
      </w:r>
      <w:r w:rsidRPr="00B72964">
        <w:rPr>
          <w:rFonts w:ascii="Palatino Linotype" w:hAnsi="Palatino Linotype" w:cs="Tahoma"/>
          <w:bCs/>
          <w:iCs/>
        </w:rPr>
        <w:t>La legitimidad del derecho adoptado como preferente, que sea el adecuado para el logro de un fin constitucionalmente válido o apto para conseguir el fin pretendido;</w:t>
      </w:r>
    </w:p>
    <w:p w14:paraId="3480F4E7" w14:textId="77777777" w:rsidR="00B72964" w:rsidRPr="00B72964" w:rsidRDefault="00B72964" w:rsidP="00B72964">
      <w:pPr>
        <w:pStyle w:val="Prrafodelista"/>
        <w:numPr>
          <w:ilvl w:val="1"/>
          <w:numId w:val="19"/>
        </w:numPr>
        <w:tabs>
          <w:tab w:val="left" w:pos="426"/>
        </w:tabs>
        <w:spacing w:before="240" w:after="240" w:line="360" w:lineRule="auto"/>
        <w:ind w:left="1134" w:right="51"/>
        <w:jc w:val="both"/>
        <w:rPr>
          <w:rFonts w:ascii="Palatino Linotype" w:hAnsi="Palatino Linotype" w:cs="Tahoma"/>
          <w:bCs/>
          <w:iCs/>
        </w:rPr>
      </w:pPr>
      <w:r w:rsidRPr="00B72964">
        <w:rPr>
          <w:rFonts w:ascii="Palatino Linotype" w:hAnsi="Palatino Linotype" w:cs="Tahoma"/>
          <w:b/>
          <w:iCs/>
        </w:rPr>
        <w:t>Necesidad:</w:t>
      </w:r>
      <w:r w:rsidRPr="00B72964">
        <w:rPr>
          <w:rFonts w:ascii="Palatino Linotype" w:hAnsi="Palatino Linotype" w:cs="Tahoma"/>
          <w:bCs/>
          <w:iCs/>
        </w:rPr>
        <w:t xml:space="preserve"> La falta de un medio alternativo menos lesivo a la apertura de la información, para satisfacer el interés público, y</w:t>
      </w:r>
    </w:p>
    <w:p w14:paraId="0781C220" w14:textId="5240129D" w:rsidR="00B72964" w:rsidRPr="00EB41EF" w:rsidRDefault="00B72964" w:rsidP="00B72964">
      <w:pPr>
        <w:pStyle w:val="Prrafodelista"/>
        <w:numPr>
          <w:ilvl w:val="1"/>
          <w:numId w:val="19"/>
        </w:numPr>
        <w:tabs>
          <w:tab w:val="left" w:pos="426"/>
        </w:tabs>
        <w:spacing w:before="240" w:after="240" w:line="360" w:lineRule="auto"/>
        <w:ind w:left="1134" w:right="51"/>
        <w:jc w:val="both"/>
        <w:rPr>
          <w:rFonts w:ascii="Palatino Linotype" w:hAnsi="Palatino Linotype" w:cs="Tahoma"/>
          <w:bCs/>
          <w:iCs/>
        </w:rPr>
      </w:pPr>
      <w:r w:rsidRPr="00B72964">
        <w:rPr>
          <w:rFonts w:ascii="Palatino Linotype" w:hAnsi="Palatino Linotype" w:cs="Tahoma"/>
          <w:b/>
          <w:iCs/>
        </w:rPr>
        <w:t>Proporcionalidad:</w:t>
      </w:r>
      <w:r w:rsidRPr="00B72964">
        <w:rPr>
          <w:rFonts w:ascii="Palatino Linotype" w:hAnsi="Palatino Linotype" w:cs="Tahoma"/>
          <w:bCs/>
          <w:iCs/>
        </w:rPr>
        <w:t xml:space="preserve"> El equilibrio entre perjuicio y beneficio a favor del interés público, a fin de que la decisión tomada represente un beneficio mayor al perjuicio que podría causar a la población.</w:t>
      </w:r>
    </w:p>
    <w:p w14:paraId="2C6E2140" w14:textId="77777777" w:rsidR="00EB41EF" w:rsidRP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072BEE6E" w14:textId="3B8EB2B8" w:rsidR="00EB41EF" w:rsidRPr="00EB41EF" w:rsidRDefault="00B72964" w:rsidP="00EB41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En </w:t>
      </w:r>
      <w:r w:rsidRPr="00DF13AD">
        <w:rPr>
          <w:rFonts w:ascii="Palatino Linotype" w:eastAsia="Calibri" w:hAnsi="Palatino Linotype" w:cs="Tahoma"/>
        </w:rPr>
        <w:t xml:space="preserve">ese orden de ideas, resulta procedente analizar cada uno de los elementos referidos, partiendo de que, en el caso concreto, se estima como preferente el derecho de acceso a la información, bajo las consideraciones que se verterán </w:t>
      </w:r>
      <w:r>
        <w:rPr>
          <w:rFonts w:ascii="Palatino Linotype" w:eastAsia="Calibri" w:hAnsi="Palatino Linotype" w:cs="Tahoma"/>
        </w:rPr>
        <w:t>en las siguientes líneas</w:t>
      </w:r>
      <w:r w:rsidRPr="00DF13AD">
        <w:rPr>
          <w:rFonts w:ascii="Palatino Linotype" w:eastAsia="Calibri" w:hAnsi="Palatino Linotype" w:cs="Tahoma"/>
        </w:rPr>
        <w:t>.</w:t>
      </w:r>
    </w:p>
    <w:p w14:paraId="3B21CD0D" w14:textId="77777777" w:rsidR="00B72964" w:rsidRPr="00896524" w:rsidRDefault="00B72964" w:rsidP="00B72964">
      <w:pPr>
        <w:spacing w:line="360" w:lineRule="auto"/>
        <w:ind w:left="284"/>
        <w:jc w:val="both"/>
        <w:rPr>
          <w:rFonts w:ascii="Palatino Linotype" w:eastAsia="Calibri" w:hAnsi="Palatino Linotype" w:cs="Tahoma"/>
          <w:b/>
          <w:iCs/>
          <w:lang w:eastAsia="es-ES_tradnl"/>
        </w:rPr>
      </w:pPr>
      <w:r w:rsidRPr="00896524">
        <w:rPr>
          <w:rFonts w:ascii="Palatino Linotype" w:eastAsia="Calibri" w:hAnsi="Palatino Linotype" w:cs="Tahoma"/>
          <w:b/>
          <w:bCs/>
          <w:iCs/>
        </w:rPr>
        <w:t>a) Idoneidad</w:t>
      </w:r>
      <w:r w:rsidRPr="00896524">
        <w:rPr>
          <w:rFonts w:ascii="Palatino Linotype" w:eastAsia="Calibri" w:hAnsi="Palatino Linotype" w:cs="Tahoma"/>
          <w:bCs/>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43B8B26D" w14:textId="77777777" w:rsidR="00B72964" w:rsidRPr="00EB41EF" w:rsidRDefault="00B72964" w:rsidP="00EB41EF">
      <w:pPr>
        <w:pStyle w:val="Prrafodelista"/>
        <w:tabs>
          <w:tab w:val="left" w:pos="426"/>
        </w:tabs>
        <w:spacing w:before="240" w:after="240" w:line="360" w:lineRule="auto"/>
        <w:ind w:left="0" w:right="51"/>
        <w:jc w:val="both"/>
        <w:rPr>
          <w:rFonts w:ascii="Palatino Linotype" w:hAnsi="Palatino Linotype" w:cs="Tahoma"/>
          <w:bCs/>
          <w:iCs/>
        </w:rPr>
      </w:pPr>
    </w:p>
    <w:p w14:paraId="4387260F" w14:textId="27B4150F" w:rsidR="00B72964" w:rsidRPr="00E37D0C"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Pr>
          <w:rFonts w:ascii="Palatino Linotype" w:hAnsi="Palatino Linotype" w:cs="Tahoma"/>
          <w:bCs/>
          <w:iCs/>
        </w:rPr>
        <w:t xml:space="preserve">Sin </w:t>
      </w:r>
      <w:r w:rsidRPr="00DF13AD">
        <w:rPr>
          <w:rFonts w:ascii="Palatino Linotype" w:eastAsia="Calibri" w:hAnsi="Palatino Linotype" w:cs="Tahoma"/>
          <w:iCs/>
          <w:lang w:eastAsia="es-ES_tradnl"/>
        </w:rPr>
        <w:t xml:space="preserve">embargo, </w:t>
      </w:r>
      <w:r w:rsidRPr="00DF13AD">
        <w:rPr>
          <w:rFonts w:ascii="Palatino Linotype" w:eastAsia="Calibri" w:hAnsi="Palatino Linotype" w:cs="Tahoma"/>
          <w:bCs/>
          <w:iCs/>
          <w:lang w:eastAsia="es-ES_tradnl"/>
        </w:rPr>
        <w:t xml:space="preserve">existen dos fines válidos para </w:t>
      </w:r>
      <w:r>
        <w:rPr>
          <w:rFonts w:ascii="Palatino Linotype" w:eastAsia="Calibri" w:hAnsi="Palatino Linotype" w:cs="Tahoma"/>
          <w:bCs/>
          <w:iCs/>
          <w:lang w:eastAsia="es-ES_tradnl"/>
        </w:rPr>
        <w:t xml:space="preserve">conceder el acceso </w:t>
      </w:r>
      <w:r w:rsidR="00E37D0C">
        <w:rPr>
          <w:rFonts w:ascii="Palatino Linotype" w:eastAsia="Calibri" w:hAnsi="Palatino Linotype" w:cs="Tahoma"/>
          <w:bCs/>
          <w:iCs/>
          <w:lang w:eastAsia="es-ES_tradnl"/>
        </w:rPr>
        <w:t>a la información relacionada con las sanciones</w:t>
      </w:r>
      <w:r w:rsidRPr="00DF13AD">
        <w:rPr>
          <w:rFonts w:ascii="Palatino Linotype" w:eastAsia="Calibri" w:hAnsi="Palatino Linotype" w:cs="Tahoma"/>
          <w:iCs/>
          <w:lang w:eastAsia="es-ES_tradnl"/>
        </w:rPr>
        <w:t xml:space="preserve"> emitid</w:t>
      </w:r>
      <w:r w:rsidR="00E37D0C">
        <w:rPr>
          <w:rFonts w:ascii="Palatino Linotype" w:eastAsia="Calibri" w:hAnsi="Palatino Linotype" w:cs="Tahoma"/>
          <w:iCs/>
          <w:lang w:eastAsia="es-ES_tradnl"/>
        </w:rPr>
        <w:t>as</w:t>
      </w:r>
      <w:r w:rsidRPr="00DF13AD">
        <w:rPr>
          <w:rFonts w:ascii="Palatino Linotype" w:eastAsia="Calibri" w:hAnsi="Palatino Linotype" w:cs="Tahoma"/>
          <w:iCs/>
          <w:lang w:eastAsia="es-ES_tradnl"/>
        </w:rPr>
        <w:t xml:space="preserve"> en los procedimientos de responsabilidades graves</w:t>
      </w:r>
      <w:r w:rsidRPr="00DF13AD">
        <w:rPr>
          <w:rFonts w:ascii="Palatino Linotype" w:eastAsia="Calibri" w:hAnsi="Palatino Linotype" w:cs="Tahoma"/>
          <w:bCs/>
          <w:iCs/>
          <w:lang w:eastAsia="es-ES_tradnl"/>
        </w:rPr>
        <w:t xml:space="preserve">; los cuales, </w:t>
      </w:r>
      <w:r w:rsidRPr="00DF13AD">
        <w:rPr>
          <w:rFonts w:ascii="Palatino Linotype" w:eastAsia="Calibri" w:hAnsi="Palatino Linotype" w:cs="Tahoma"/>
          <w:iCs/>
          <w:lang w:eastAsia="es-ES_tradnl"/>
        </w:rPr>
        <w:t xml:space="preserve">consisten en transparentar, por un lado, el desempeño de dichos trabajadores en cuestión en el ejercicio de sus funciones, sobre todo, dado que se </w:t>
      </w:r>
      <w:r w:rsidRPr="00DF13AD">
        <w:rPr>
          <w:rFonts w:ascii="Palatino Linotype" w:eastAsia="Calibri" w:hAnsi="Palatino Linotype" w:cs="Tahoma"/>
          <w:iCs/>
          <w:lang w:eastAsia="es-ES_tradnl"/>
        </w:rPr>
        <w:lastRenderedPageBreak/>
        <w:t xml:space="preserve">tratan de servidores públicos, con la finalidad de calificar su actuar, ello con independencia de que tal funcionario también revista el carácter de persona física identificada e identificable, y, por otro lado, la actividad desplegada por el </w:t>
      </w:r>
      <w:r w:rsidR="00E37D0C">
        <w:rPr>
          <w:rFonts w:ascii="Palatino Linotype" w:eastAsia="Calibri" w:hAnsi="Palatino Linotype" w:cs="Tahoma"/>
          <w:b/>
          <w:bCs/>
          <w:iCs/>
          <w:lang w:eastAsia="es-ES_tradnl"/>
        </w:rPr>
        <w:t>SUJETO OBLIGADO</w:t>
      </w:r>
      <w:r w:rsidRPr="00DF13AD">
        <w:rPr>
          <w:rFonts w:ascii="Palatino Linotype" w:eastAsia="Calibri" w:hAnsi="Palatino Linotype" w:cs="Tahoma"/>
          <w:iCs/>
          <w:lang w:eastAsia="es-ES_tradnl"/>
        </w:rPr>
        <w:t>, en la investigación y determinación de los asuntos. Aunado a que</w:t>
      </w:r>
      <w:r w:rsidR="00E37D0C">
        <w:rPr>
          <w:rFonts w:ascii="Palatino Linotype" w:eastAsia="Calibri" w:hAnsi="Palatino Linotype" w:cs="Tahoma"/>
          <w:iCs/>
          <w:lang w:eastAsia="es-ES_tradnl"/>
        </w:rPr>
        <w:t>, se insiste,</w:t>
      </w:r>
      <w:r w:rsidRPr="00DF13AD">
        <w:rPr>
          <w:rFonts w:ascii="Palatino Linotype" w:eastAsia="Calibri" w:hAnsi="Palatino Linotype" w:cs="Tahoma"/>
          <w:iCs/>
          <w:lang w:eastAsia="es-ES_tradnl"/>
        </w:rPr>
        <w:t xml:space="preserve"> se relacionan con responsabilidades calificadas como </w:t>
      </w:r>
      <w:r w:rsidRPr="00E37D0C">
        <w:rPr>
          <w:rFonts w:ascii="Palatino Linotype" w:eastAsia="Calibri" w:hAnsi="Palatino Linotype" w:cs="Tahoma"/>
          <w:b/>
          <w:bCs/>
          <w:iCs/>
          <w:lang w:eastAsia="es-ES_tradnl"/>
        </w:rPr>
        <w:t>graves</w:t>
      </w:r>
      <w:r w:rsidRPr="00DF13AD">
        <w:rPr>
          <w:rFonts w:ascii="Palatino Linotype" w:eastAsia="Calibri" w:hAnsi="Palatino Linotype" w:cs="Tahoma"/>
          <w:iCs/>
          <w:lang w:eastAsia="es-ES_tradnl"/>
        </w:rPr>
        <w:t>.</w:t>
      </w:r>
    </w:p>
    <w:p w14:paraId="207BCEFD" w14:textId="77777777" w:rsidR="00E37D0C" w:rsidRPr="00DF13AD" w:rsidRDefault="00E37D0C" w:rsidP="00E37D0C">
      <w:pPr>
        <w:pStyle w:val="Prrafodelista"/>
        <w:tabs>
          <w:tab w:val="left" w:pos="426"/>
        </w:tabs>
        <w:spacing w:line="360" w:lineRule="auto"/>
        <w:ind w:left="0"/>
        <w:jc w:val="both"/>
        <w:rPr>
          <w:rFonts w:ascii="Palatino Linotype" w:eastAsia="Calibri" w:hAnsi="Palatino Linotype" w:cs="Tahoma"/>
        </w:rPr>
      </w:pPr>
    </w:p>
    <w:p w14:paraId="32CBD9E1" w14:textId="77777777"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51724AB4" w14:textId="77777777" w:rsidR="00B72964" w:rsidRPr="00DF13AD" w:rsidRDefault="00B72964" w:rsidP="00B72964">
      <w:pPr>
        <w:pStyle w:val="Prrafodelista"/>
        <w:tabs>
          <w:tab w:val="left" w:pos="426"/>
        </w:tabs>
        <w:spacing w:line="360" w:lineRule="auto"/>
        <w:ind w:left="0"/>
        <w:jc w:val="both"/>
        <w:rPr>
          <w:rFonts w:ascii="Palatino Linotype" w:eastAsia="Calibri" w:hAnsi="Palatino Linotype" w:cs="Tahoma"/>
        </w:rPr>
      </w:pPr>
    </w:p>
    <w:p w14:paraId="28A8BD8C" w14:textId="77777777"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6C7C7BBF" w14:textId="77777777" w:rsidR="00B72964" w:rsidRPr="00DF13AD" w:rsidRDefault="00B72964" w:rsidP="00B72964">
      <w:pPr>
        <w:pStyle w:val="Prrafodelista"/>
        <w:tabs>
          <w:tab w:val="left" w:pos="426"/>
        </w:tabs>
        <w:rPr>
          <w:rFonts w:ascii="Palatino Linotype" w:eastAsia="Calibri" w:hAnsi="Palatino Linotype" w:cs="Tahoma"/>
        </w:rPr>
      </w:pPr>
    </w:p>
    <w:p w14:paraId="7EA4510F" w14:textId="77777777"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w:t>
      </w:r>
      <w:r w:rsidRPr="00DF13AD">
        <w:rPr>
          <w:rFonts w:ascii="Palatino Linotype" w:eastAsia="Calibri" w:hAnsi="Palatino Linotype" w:cs="Tahoma"/>
          <w:iCs/>
          <w:lang w:eastAsia="es-ES_tradnl"/>
        </w:rPr>
        <w:lastRenderedPageBreak/>
        <w:t>se termine el mayor nivel de tolerancia que debe tener frente a la crítica, sino que ese mayor nivel, sólo se tiene frente a la información de interés público.</w:t>
      </w:r>
    </w:p>
    <w:p w14:paraId="00C6A444" w14:textId="77777777" w:rsidR="00B72964" w:rsidRPr="00DF13AD" w:rsidRDefault="00B72964" w:rsidP="00B72964">
      <w:pPr>
        <w:pStyle w:val="Prrafodelista"/>
        <w:tabs>
          <w:tab w:val="left" w:pos="426"/>
        </w:tabs>
        <w:rPr>
          <w:rFonts w:ascii="Palatino Linotype" w:eastAsia="Calibri" w:hAnsi="Palatino Linotype" w:cs="Tahoma"/>
          <w:iCs/>
          <w:lang w:eastAsia="es-ES_tradnl"/>
        </w:rPr>
      </w:pPr>
    </w:p>
    <w:p w14:paraId="5F9862E6" w14:textId="670F8893"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En ese contexto</w:t>
      </w:r>
      <w:r w:rsidRPr="00DF13AD">
        <w:rPr>
          <w:rFonts w:ascii="Palatino Linotype" w:eastAsia="Calibri" w:hAnsi="Palatino Linotype" w:cs="Tahoma"/>
          <w:bCs/>
          <w:iCs/>
          <w:lang w:eastAsia="es-ES_tradnl"/>
        </w:rPr>
        <w:t xml:space="preserve">, dado que la información se relaciona con el actuar de los servidores públicos adscritos al </w:t>
      </w:r>
      <w:r w:rsidRPr="00DF13AD">
        <w:rPr>
          <w:rFonts w:ascii="Palatino Linotype" w:eastAsia="Calibri" w:hAnsi="Palatino Linotype" w:cs="Tahoma"/>
          <w:b/>
          <w:bCs/>
          <w:iCs/>
          <w:lang w:eastAsia="es-ES_tradnl"/>
        </w:rPr>
        <w:t xml:space="preserve">Ayuntamiento de </w:t>
      </w:r>
      <w:r w:rsidR="00E37D0C">
        <w:rPr>
          <w:rFonts w:ascii="Palatino Linotype" w:eastAsia="Calibri" w:hAnsi="Palatino Linotype" w:cs="Tahoma"/>
          <w:b/>
          <w:bCs/>
          <w:iCs/>
          <w:lang w:eastAsia="es-ES_tradnl"/>
        </w:rPr>
        <w:t>Malinalco</w:t>
      </w:r>
      <w:r w:rsidRPr="00DF13AD">
        <w:rPr>
          <w:rFonts w:ascii="Palatino Linotype" w:eastAsia="Calibri" w:hAnsi="Palatino Linotype" w:cs="Tahoma"/>
          <w:bCs/>
          <w:iCs/>
          <w:lang w:eastAsia="es-ES_tradnl"/>
        </w:rPr>
        <w:t xml:space="preserve">, existe un interés público por conocer </w:t>
      </w:r>
      <w:r w:rsidRPr="00DF13AD">
        <w:rPr>
          <w:rFonts w:ascii="Palatino Linotype" w:eastAsia="Calibri" w:hAnsi="Palatino Linotype" w:cs="Tahoma"/>
          <w:iCs/>
          <w:lang w:eastAsia="es-ES_tradnl"/>
        </w:rPr>
        <w:t>los procedimientos generados en análisis vinculados con el nombre del servidor público sancionado</w:t>
      </w:r>
      <w:r w:rsidR="00E37D0C">
        <w:rPr>
          <w:rFonts w:ascii="Palatino Linotype" w:eastAsia="Calibri" w:hAnsi="Palatino Linotype" w:cs="Tahoma"/>
          <w:iCs/>
          <w:lang w:eastAsia="es-ES_tradnl"/>
        </w:rPr>
        <w:t xml:space="preserve"> </w:t>
      </w:r>
      <w:r w:rsidRPr="00DF13AD">
        <w:rPr>
          <w:rFonts w:ascii="Palatino Linotype" w:eastAsia="Calibri" w:hAnsi="Palatino Linotype" w:cs="Tahoma"/>
          <w:bCs/>
          <w:iCs/>
          <w:lang w:eastAsia="es-ES_tradnl"/>
        </w:rPr>
        <w:t xml:space="preserve">y, por lo tanto, la información del interés del particular no es susceptible de protección en tanto que su vinculación con una persona determinada reviste un interés público mayor de ser dado a conocer. </w:t>
      </w:r>
    </w:p>
    <w:p w14:paraId="7416F31C" w14:textId="77777777" w:rsidR="00B72964" w:rsidRPr="00DF13AD" w:rsidRDefault="00B72964" w:rsidP="00B72964">
      <w:pPr>
        <w:pStyle w:val="Prrafodelista"/>
        <w:tabs>
          <w:tab w:val="left" w:pos="426"/>
        </w:tabs>
        <w:rPr>
          <w:rFonts w:ascii="Palatino Linotype" w:eastAsia="Calibri" w:hAnsi="Palatino Linotype" w:cs="Tahoma"/>
        </w:rPr>
      </w:pPr>
    </w:p>
    <w:p w14:paraId="2F797182" w14:textId="3A965C5F"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bCs/>
          <w:iCs/>
          <w:lang w:eastAsia="es-ES_tradnl"/>
        </w:rPr>
        <w:t xml:space="preserve">Lo anterior, ya que como se precisó en párrafos anteriores, </w:t>
      </w:r>
      <w:r w:rsidRPr="00DF13AD">
        <w:rPr>
          <w:rFonts w:ascii="Palatino Linotype" w:eastAsia="Calibri" w:hAnsi="Palatino Linotype" w:cs="Tahoma"/>
          <w:iCs/>
          <w:lang w:eastAsia="es-ES_tradnl"/>
        </w:rPr>
        <w:t xml:space="preserve">proporcionar la información de referencia, garantizaría la rendición de cuentas por parte de la Contraloría Municipal del </w:t>
      </w:r>
      <w:r w:rsidR="00E37D0C">
        <w:rPr>
          <w:rFonts w:ascii="Palatino Linotype" w:eastAsia="Calibri" w:hAnsi="Palatino Linotype" w:cs="Tahoma"/>
          <w:b/>
          <w:bCs/>
          <w:iCs/>
          <w:lang w:eastAsia="es-ES_tradnl"/>
        </w:rPr>
        <w:t>SUJETO OBLIGADO</w:t>
      </w:r>
      <w:r w:rsidRPr="00DF13AD">
        <w:rPr>
          <w:rFonts w:ascii="Palatino Linotype" w:eastAsia="Calibri" w:hAnsi="Palatino Linotype" w:cs="Tahoma"/>
          <w:iCs/>
          <w:lang w:eastAsia="es-ES_tradnl"/>
        </w:rPr>
        <w:t xml:space="preserve">,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w:t>
      </w:r>
      <w:r w:rsidR="00E37D0C">
        <w:rPr>
          <w:rFonts w:ascii="Palatino Linotype" w:eastAsia="Calibri" w:hAnsi="Palatino Linotype" w:cs="Tahoma"/>
          <w:iCs/>
          <w:lang w:eastAsia="es-ES_tradnl"/>
        </w:rPr>
        <w:t>sí cometió faltas administrativas graves</w:t>
      </w:r>
      <w:r w:rsidRPr="00DF13AD">
        <w:rPr>
          <w:rFonts w:ascii="Palatino Linotype" w:eastAsia="Calibri" w:hAnsi="Palatino Linotype" w:cs="Tahoma"/>
          <w:iCs/>
          <w:lang w:eastAsia="es-ES_tradnl"/>
        </w:rPr>
        <w:t>, relacionadas al ejercicio de las funciones.</w:t>
      </w:r>
    </w:p>
    <w:p w14:paraId="61045746" w14:textId="77777777" w:rsidR="00B72964" w:rsidRPr="00DF13AD" w:rsidRDefault="00B72964" w:rsidP="00B72964">
      <w:pPr>
        <w:pStyle w:val="Prrafodelista"/>
        <w:tabs>
          <w:tab w:val="left" w:pos="426"/>
        </w:tabs>
        <w:rPr>
          <w:rFonts w:ascii="Palatino Linotype" w:eastAsia="Calibri" w:hAnsi="Palatino Linotype" w:cs="Tahoma"/>
        </w:rPr>
      </w:pPr>
    </w:p>
    <w:p w14:paraId="7E950A78" w14:textId="3562844D" w:rsidR="00B72964" w:rsidRPr="00DF13AD" w:rsidRDefault="00B72964" w:rsidP="00B72964">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Además que, con dicha información, se estaría revelando que el desempeño de los servidores públicos sancionados, no fue conforme a derecho, asimismo, de dar a conocer que los referidos acreditaron que había cometido alguna responsabilidad grave.</w:t>
      </w:r>
    </w:p>
    <w:p w14:paraId="36BF88F8" w14:textId="77777777" w:rsidR="00B72964" w:rsidRPr="00DF13AD" w:rsidRDefault="00B72964" w:rsidP="00B72964">
      <w:pPr>
        <w:pStyle w:val="Prrafodelista"/>
        <w:tabs>
          <w:tab w:val="left" w:pos="426"/>
        </w:tabs>
        <w:rPr>
          <w:rFonts w:ascii="Palatino Linotype" w:eastAsia="Calibri" w:hAnsi="Palatino Linotype" w:cs="Tahoma"/>
        </w:rPr>
      </w:pPr>
    </w:p>
    <w:p w14:paraId="71F40D2D" w14:textId="6CF650CE" w:rsidR="00EB41EF" w:rsidRPr="00EB41EF" w:rsidRDefault="00B72964" w:rsidP="00B72964">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DF13AD">
        <w:rPr>
          <w:rFonts w:ascii="Palatino Linotype" w:eastAsia="Calibri" w:hAnsi="Palatino Linotype" w:cs="Tahoma"/>
          <w:iCs/>
          <w:lang w:eastAsia="es-ES_tradnl"/>
        </w:rPr>
        <w:t xml:space="preserve">Con base en lo anterior, se considera que el principio que se debe adoptar en el presente asunto es el que subyace en el derecho fundamental de acceso a la información, puesto que a través de éste se busca no sólo satisfacer un interés </w:t>
      </w:r>
      <w:r w:rsidRPr="00DF13AD">
        <w:rPr>
          <w:rFonts w:ascii="Palatino Linotype" w:eastAsia="Calibri" w:hAnsi="Palatino Linotype" w:cs="Tahoma"/>
          <w:iCs/>
          <w:lang w:eastAsia="es-ES_tradnl"/>
        </w:rPr>
        <w:lastRenderedPageBreak/>
        <w:t>individual, sino la necesidad de la colectividad de estar en posibilidad de evaluar el desempeño de los servidores públicos y autoridades.</w:t>
      </w:r>
    </w:p>
    <w:p w14:paraId="7FD54CFF" w14:textId="77777777" w:rsid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57D634DD" w14:textId="77777777" w:rsidR="00E37D0C" w:rsidRPr="00896524" w:rsidRDefault="00E37D0C" w:rsidP="00E37D0C">
      <w:pPr>
        <w:spacing w:before="240" w:after="240" w:line="360" w:lineRule="auto"/>
        <w:ind w:left="284"/>
        <w:jc w:val="both"/>
        <w:rPr>
          <w:rFonts w:ascii="Palatino Linotype" w:eastAsia="Calibri" w:hAnsi="Palatino Linotype" w:cs="Tahoma"/>
          <w:iCs/>
          <w:lang w:eastAsia="es-ES_tradnl"/>
        </w:rPr>
      </w:pPr>
      <w:r w:rsidRPr="00896524">
        <w:rPr>
          <w:rFonts w:ascii="Palatino Linotype" w:eastAsia="Calibri" w:hAnsi="Palatino Linotype" w:cs="Tahoma"/>
          <w:b/>
          <w:iCs/>
          <w:lang w:eastAsia="es-ES_tradnl"/>
        </w:rPr>
        <w:t xml:space="preserve">b) </w:t>
      </w:r>
      <w:bookmarkStart w:id="26" w:name="_Hlk87401894"/>
      <w:r w:rsidRPr="00896524">
        <w:rPr>
          <w:rFonts w:ascii="Palatino Linotype" w:eastAsia="Calibri" w:hAnsi="Palatino Linotype" w:cs="Tahoma"/>
          <w:b/>
          <w:iCs/>
          <w:lang w:eastAsia="es-ES_tradnl"/>
        </w:rPr>
        <w:t>Necesidad</w:t>
      </w:r>
      <w:bookmarkEnd w:id="26"/>
      <w:r w:rsidRPr="00896524">
        <w:rPr>
          <w:rFonts w:ascii="Palatino Linotype" w:eastAsia="Calibri" w:hAnsi="Palatino Linotype" w:cs="Tahoma"/>
          <w:b/>
          <w:iCs/>
          <w:lang w:eastAsia="es-ES_tradnl"/>
        </w:rPr>
        <w:t xml:space="preserve">: </w:t>
      </w:r>
      <w:r w:rsidRPr="00896524">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de la información requerida, es decir, de los procedimientos en análisis</w:t>
      </w:r>
      <w:r w:rsidRPr="00896524">
        <w:rPr>
          <w:rFonts w:ascii="Palatino Linotype" w:eastAsia="Calibri" w:hAnsi="Palatino Linotype" w:cs="Tahoma"/>
          <w:bCs/>
          <w:iCs/>
          <w:lang w:eastAsia="es-ES_tradnl"/>
        </w:rPr>
        <w:t xml:space="preserve"> vinculándolos al servidor público sancionado, pues se relacionan con el ejercicio de sus funciones de los cargos ocupados</w:t>
      </w:r>
      <w:r w:rsidRPr="00896524">
        <w:rPr>
          <w:rFonts w:ascii="Palatino Linotype" w:eastAsia="Calibri" w:hAnsi="Palatino Linotype" w:cs="Tahoma"/>
          <w:iCs/>
          <w:lang w:eastAsia="es-ES_tradnl"/>
        </w:rPr>
        <w:t>,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6CC8CFC4" w14:textId="77777777" w:rsidR="00E37D0C" w:rsidRPr="00EB41EF" w:rsidRDefault="00E37D0C" w:rsidP="00EB41EF">
      <w:pPr>
        <w:pStyle w:val="Prrafodelista"/>
        <w:tabs>
          <w:tab w:val="left" w:pos="426"/>
        </w:tabs>
        <w:spacing w:before="240" w:after="240" w:line="360" w:lineRule="auto"/>
        <w:ind w:left="0" w:right="51"/>
        <w:jc w:val="both"/>
        <w:rPr>
          <w:rFonts w:ascii="Palatino Linotype" w:hAnsi="Palatino Linotype" w:cs="Tahoma"/>
          <w:bCs/>
          <w:iCs/>
        </w:rPr>
      </w:pPr>
    </w:p>
    <w:p w14:paraId="22CB0613" w14:textId="78E38A63"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Pr>
          <w:rFonts w:ascii="Palatino Linotype" w:hAnsi="Palatino Linotype"/>
          <w:color w:val="000000" w:themeColor="text1"/>
        </w:rPr>
        <w:t xml:space="preserve">Además, nuevamente, </w:t>
      </w:r>
      <w:r w:rsidRPr="00DF13AD">
        <w:rPr>
          <w:rFonts w:ascii="Palatino Linotype" w:eastAsia="Calibri" w:hAnsi="Palatino Linotype" w:cs="Tahoma"/>
          <w:iCs/>
          <w:lang w:eastAsia="es-ES_tradnl"/>
        </w:rPr>
        <w:t xml:space="preserve">ello permite evaluar la actuación de la Contraloría Municipal del </w:t>
      </w:r>
      <w:r w:rsidRPr="00DF13AD">
        <w:rPr>
          <w:rFonts w:ascii="Palatino Linotype" w:eastAsia="Calibri" w:hAnsi="Palatino Linotype" w:cs="Tahoma"/>
          <w:b/>
          <w:iCs/>
          <w:lang w:eastAsia="es-ES_tradnl"/>
        </w:rPr>
        <w:t xml:space="preserve">Ayuntamiento de </w:t>
      </w:r>
      <w:r>
        <w:rPr>
          <w:rFonts w:ascii="Palatino Linotype" w:eastAsia="Calibri" w:hAnsi="Palatino Linotype" w:cs="Tahoma"/>
          <w:b/>
          <w:iCs/>
          <w:lang w:eastAsia="es-ES_tradnl"/>
        </w:rPr>
        <w:t>Malinalco</w:t>
      </w:r>
      <w:r w:rsidRPr="00DF13AD">
        <w:rPr>
          <w:rFonts w:ascii="Palatino Linotype" w:eastAsia="Calibri" w:hAnsi="Palatino Linotype" w:cs="Tahoma"/>
          <w:iCs/>
          <w:lang w:eastAsia="es-ES_tradnl"/>
        </w:rPr>
        <w:t>, pues se podrá advertir la forma en la que ejercieron las funciones que legalmente tienen conferidas.</w:t>
      </w:r>
    </w:p>
    <w:p w14:paraId="61B4D427" w14:textId="77777777" w:rsidR="00E37D0C" w:rsidRPr="00DF13AD" w:rsidRDefault="00E37D0C" w:rsidP="00E37D0C">
      <w:pPr>
        <w:pStyle w:val="Prrafodelista"/>
        <w:tabs>
          <w:tab w:val="left" w:pos="426"/>
        </w:tabs>
        <w:spacing w:line="360" w:lineRule="auto"/>
        <w:ind w:left="0"/>
        <w:jc w:val="both"/>
        <w:rPr>
          <w:rFonts w:ascii="Palatino Linotype" w:eastAsia="Calibri" w:hAnsi="Palatino Linotype" w:cs="Tahoma"/>
        </w:rPr>
      </w:pPr>
    </w:p>
    <w:p w14:paraId="713BC06B" w14:textId="17D38072"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 xml:space="preserve">Lo anterior, considerando que sólo por esta vía se podría lograr el acceso a la información </w:t>
      </w:r>
      <w:r>
        <w:rPr>
          <w:rFonts w:ascii="Palatino Linotype" w:eastAsia="Calibri" w:hAnsi="Palatino Linotype" w:cs="Tahoma"/>
          <w:iCs/>
          <w:lang w:eastAsia="es-ES_tradnl"/>
        </w:rPr>
        <w:t xml:space="preserve">solicitada por el </w:t>
      </w:r>
      <w:r>
        <w:rPr>
          <w:rFonts w:ascii="Palatino Linotype" w:eastAsia="Calibri" w:hAnsi="Palatino Linotype" w:cs="Tahoma"/>
          <w:b/>
          <w:bCs/>
          <w:iCs/>
          <w:lang w:eastAsia="es-ES_tradnl"/>
        </w:rPr>
        <w:t>RECURRENTE</w:t>
      </w:r>
      <w:r w:rsidRPr="00DF13AD">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relacionada con sanciones impuestas a servidores públicos</w:t>
      </w:r>
      <w:r w:rsidRPr="00DF13AD">
        <w:rPr>
          <w:rFonts w:ascii="Palatino Linotype" w:eastAsia="Calibri" w:hAnsi="Palatino Linotype" w:cs="Tahoma"/>
          <w:iCs/>
          <w:lang w:eastAsia="es-ES_tradnl"/>
        </w:rPr>
        <w:t>.</w:t>
      </w:r>
    </w:p>
    <w:p w14:paraId="1C51CA6D" w14:textId="77777777" w:rsidR="00E37D0C" w:rsidRPr="00E37D0C" w:rsidRDefault="00E37D0C" w:rsidP="00E37D0C">
      <w:pPr>
        <w:tabs>
          <w:tab w:val="left" w:pos="426"/>
        </w:tabs>
        <w:rPr>
          <w:rFonts w:ascii="Palatino Linotype" w:eastAsia="Calibri" w:hAnsi="Palatino Linotype" w:cs="Tahoma"/>
          <w:iCs/>
          <w:lang w:eastAsia="es-ES_tradnl"/>
        </w:rPr>
      </w:pPr>
    </w:p>
    <w:p w14:paraId="384643CC" w14:textId="08CF6D53" w:rsidR="00EB41EF" w:rsidRPr="00EB41EF" w:rsidRDefault="00E37D0C" w:rsidP="00E37D0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DF13AD">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w:t>
      </w:r>
    </w:p>
    <w:p w14:paraId="1F9773ED" w14:textId="77777777" w:rsidR="00EB41EF"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0122AF7C" w14:textId="080A4FA7" w:rsidR="00E37D0C" w:rsidRPr="00DF13AD" w:rsidRDefault="00E37D0C" w:rsidP="00E37D0C">
      <w:pPr>
        <w:pStyle w:val="Prrafodelista"/>
        <w:spacing w:before="240" w:after="240" w:line="360" w:lineRule="auto"/>
        <w:ind w:left="284"/>
        <w:jc w:val="both"/>
        <w:rPr>
          <w:rFonts w:ascii="Palatino Linotype" w:eastAsia="Calibri" w:hAnsi="Palatino Linotype" w:cs="Tahoma"/>
          <w:iCs/>
          <w:lang w:eastAsia="es-ES_tradnl"/>
        </w:rPr>
      </w:pPr>
      <w:r w:rsidRPr="00DF13AD">
        <w:rPr>
          <w:rFonts w:ascii="Palatino Linotype" w:eastAsia="Calibri" w:hAnsi="Palatino Linotype" w:cs="Tahoma"/>
          <w:b/>
          <w:iCs/>
          <w:lang w:eastAsia="es-ES_tradnl"/>
        </w:rPr>
        <w:t>c) Proporcionalidad en sentido estricto:</w:t>
      </w:r>
      <w:r w:rsidRPr="00DF13AD">
        <w:rPr>
          <w:rFonts w:ascii="Palatino Linotype" w:eastAsia="Calibri" w:hAnsi="Palatino Linotype" w:cs="Tahoma"/>
          <w:iCs/>
          <w:lang w:eastAsia="es-ES_tradnl"/>
        </w:rPr>
        <w:t xml:space="preserve"> El sacrificio de la protección del nombre de los servidores públicos, </w:t>
      </w:r>
      <w:r w:rsidRPr="00DF13AD">
        <w:rPr>
          <w:rFonts w:ascii="Palatino Linotype" w:eastAsia="Calibri" w:hAnsi="Palatino Linotype" w:cs="Tahoma"/>
          <w:bCs/>
          <w:iCs/>
          <w:lang w:eastAsia="es-ES_tradnl"/>
        </w:rPr>
        <w:t xml:space="preserve">en caso de que </w:t>
      </w:r>
      <w:r w:rsidRPr="00DF13AD">
        <w:rPr>
          <w:rFonts w:ascii="Palatino Linotype" w:eastAsia="Calibri" w:hAnsi="Palatino Linotype" w:cs="Tahoma"/>
          <w:iCs/>
          <w:lang w:eastAsia="es-ES_tradnl"/>
        </w:rPr>
        <w:t xml:space="preserve">hayan sido sujetos a proceso y cuente con una resolución sancionatoria por haber cometido </w:t>
      </w:r>
      <w:r>
        <w:rPr>
          <w:rFonts w:ascii="Palatino Linotype" w:eastAsia="Calibri" w:hAnsi="Palatino Linotype" w:cs="Tahoma"/>
          <w:b/>
          <w:bCs/>
          <w:iCs/>
          <w:lang w:eastAsia="es-ES_tradnl"/>
        </w:rPr>
        <w:t>faltas administrativas</w:t>
      </w:r>
      <w:r w:rsidRPr="00E37D0C">
        <w:rPr>
          <w:rFonts w:ascii="Palatino Linotype" w:eastAsia="Calibri" w:hAnsi="Palatino Linotype" w:cs="Tahoma"/>
          <w:b/>
          <w:bCs/>
          <w:iCs/>
          <w:lang w:eastAsia="es-ES_tradnl"/>
        </w:rPr>
        <w:t xml:space="preserve"> graves</w:t>
      </w:r>
      <w:r w:rsidRPr="00DF13AD">
        <w:rPr>
          <w:rFonts w:ascii="Palatino Linotype" w:eastAsia="Calibri" w:hAnsi="Palatino Linotype" w:cs="Tahoma"/>
          <w:iCs/>
          <w:lang w:eastAsia="es-ES_tradnl"/>
        </w:rPr>
        <w:t>,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0BEDD9DD" w14:textId="77777777" w:rsidR="00E37D0C" w:rsidRPr="00EB41EF" w:rsidRDefault="00E37D0C" w:rsidP="00EB41EF">
      <w:pPr>
        <w:pStyle w:val="Prrafodelista"/>
        <w:tabs>
          <w:tab w:val="left" w:pos="426"/>
        </w:tabs>
        <w:spacing w:before="240" w:after="240" w:line="360" w:lineRule="auto"/>
        <w:ind w:left="0" w:right="51"/>
        <w:jc w:val="both"/>
        <w:rPr>
          <w:rFonts w:ascii="Palatino Linotype" w:hAnsi="Palatino Linotype" w:cs="Tahoma"/>
          <w:bCs/>
          <w:iCs/>
        </w:rPr>
      </w:pPr>
    </w:p>
    <w:p w14:paraId="0883D319" w14:textId="77777777"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Pr>
          <w:rFonts w:ascii="Palatino Linotype" w:hAnsi="Palatino Linotype"/>
          <w:color w:val="000000" w:themeColor="text1"/>
        </w:rPr>
        <w:t xml:space="preserve">De </w:t>
      </w:r>
      <w:r w:rsidRPr="00DF13AD">
        <w:rPr>
          <w:rFonts w:ascii="Palatino Linotype" w:eastAsia="Calibri" w:hAnsi="Palatino Linotype" w:cs="Tahoma"/>
          <w:iCs/>
          <w:lang w:eastAsia="es-ES_tradnl"/>
        </w:rPr>
        <w:t>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444619A2" w14:textId="77777777" w:rsidR="00E37D0C" w:rsidRPr="00DF13AD" w:rsidRDefault="00E37D0C" w:rsidP="00E37D0C">
      <w:pPr>
        <w:pStyle w:val="Prrafodelista"/>
        <w:tabs>
          <w:tab w:val="left" w:pos="426"/>
        </w:tabs>
        <w:spacing w:line="360" w:lineRule="auto"/>
        <w:ind w:left="0"/>
        <w:jc w:val="both"/>
        <w:rPr>
          <w:rFonts w:ascii="Palatino Linotype" w:eastAsia="Calibri" w:hAnsi="Palatino Linotype" w:cs="Tahoma"/>
        </w:rPr>
      </w:pPr>
    </w:p>
    <w:p w14:paraId="5052347E" w14:textId="5C281496"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bCs/>
          <w:iCs/>
          <w:lang w:eastAsia="es-ES_tradnl"/>
        </w:rPr>
        <w:t xml:space="preserve">En ese orden de ideas, es posible advertir un margen de beneficio mayor al favorecer el derecho de acceso a la información, respecto del derecho a la vida privada; por lo </w:t>
      </w:r>
      <w:r>
        <w:rPr>
          <w:rFonts w:ascii="Palatino Linotype" w:eastAsia="Calibri" w:hAnsi="Palatino Linotype" w:cs="Tahoma"/>
          <w:bCs/>
          <w:iCs/>
          <w:lang w:eastAsia="es-ES_tradnl"/>
        </w:rPr>
        <w:t>tanto</w:t>
      </w:r>
      <w:r w:rsidRPr="00DF13AD">
        <w:rPr>
          <w:rFonts w:ascii="Palatino Linotype" w:eastAsia="Calibri" w:hAnsi="Palatino Linotype" w:cs="Tahoma"/>
          <w:bCs/>
          <w:iCs/>
          <w:lang w:eastAsia="es-ES_tradnl"/>
        </w:rPr>
        <w:t xml:space="preserve">, la intervención que subsume este ejercicio de ponderación </w:t>
      </w:r>
      <w:r w:rsidRPr="00DF13AD">
        <w:rPr>
          <w:rFonts w:ascii="Palatino Linotype" w:eastAsia="Calibri" w:hAnsi="Palatino Linotype" w:cs="Tahoma"/>
          <w:bCs/>
          <w:iCs/>
          <w:lang w:eastAsia="es-ES_tradnl"/>
        </w:rPr>
        <w:lastRenderedPageBreak/>
        <w:t>apunta a la obtención de mayores efectos positivos y una afectación menor en la esfera de privacidad de los servidores públicos.</w:t>
      </w:r>
    </w:p>
    <w:p w14:paraId="7CB49B0A" w14:textId="77777777" w:rsidR="00E37D0C" w:rsidRPr="00DF13AD" w:rsidRDefault="00E37D0C" w:rsidP="00E37D0C">
      <w:pPr>
        <w:pStyle w:val="Prrafodelista"/>
        <w:tabs>
          <w:tab w:val="left" w:pos="426"/>
        </w:tabs>
        <w:rPr>
          <w:rFonts w:ascii="Palatino Linotype" w:eastAsia="Calibri" w:hAnsi="Palatino Linotype" w:cs="Tahoma"/>
          <w:iCs/>
          <w:lang w:eastAsia="es-ES_tradnl"/>
        </w:rPr>
      </w:pPr>
    </w:p>
    <w:p w14:paraId="37ACC399" w14:textId="77777777"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79D88CE2" w14:textId="77777777" w:rsidR="00E37D0C" w:rsidRPr="00DF13AD" w:rsidRDefault="00E37D0C" w:rsidP="00E37D0C">
      <w:pPr>
        <w:pStyle w:val="Prrafodelista"/>
        <w:tabs>
          <w:tab w:val="left" w:pos="426"/>
        </w:tabs>
        <w:rPr>
          <w:rFonts w:ascii="Palatino Linotype" w:eastAsia="Calibri" w:hAnsi="Palatino Linotype" w:cs="Tahoma"/>
          <w:iCs/>
          <w:lang w:eastAsia="es-ES_tradnl"/>
        </w:rPr>
      </w:pPr>
    </w:p>
    <w:p w14:paraId="03A1C52C" w14:textId="73B2CC98"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Pr>
          <w:rFonts w:ascii="Palatino Linotype" w:eastAsia="Calibri" w:hAnsi="Palatino Linotype" w:cs="Tahoma"/>
          <w:iCs/>
          <w:lang w:eastAsia="es-ES_tradnl"/>
        </w:rPr>
        <w:t>Así</w:t>
      </w:r>
      <w:r w:rsidRPr="00DF13AD">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podemos arribar a la conclusión de que</w:t>
      </w:r>
      <w:r w:rsidRPr="00DF13AD">
        <w:rPr>
          <w:rFonts w:ascii="Palatino Linotype" w:eastAsia="Calibri" w:hAnsi="Palatino Linotype" w:cs="Tahoma"/>
          <w:iCs/>
          <w:lang w:eastAsia="es-ES_tradnl"/>
        </w:rPr>
        <w:t>, al tenor de la ponderación realizada, se cumple con los tres elementos para darle preminencia, en el caso concreto, al derecho de acceso a la información.</w:t>
      </w:r>
    </w:p>
    <w:p w14:paraId="7015E141" w14:textId="77777777" w:rsidR="00E37D0C" w:rsidRPr="00DF13AD" w:rsidRDefault="00E37D0C" w:rsidP="00E37D0C">
      <w:pPr>
        <w:pStyle w:val="Prrafodelista"/>
        <w:tabs>
          <w:tab w:val="left" w:pos="426"/>
        </w:tabs>
        <w:rPr>
          <w:rFonts w:ascii="Palatino Linotype" w:eastAsia="Calibri" w:hAnsi="Palatino Linotype" w:cs="Tahoma"/>
          <w:iCs/>
          <w:lang w:eastAsia="es-ES_tradnl"/>
        </w:rPr>
      </w:pPr>
    </w:p>
    <w:p w14:paraId="126F6444" w14:textId="4D47D8FD" w:rsidR="00E37D0C" w:rsidRPr="00DF13AD" w:rsidRDefault="00E37D0C" w:rsidP="00E37D0C">
      <w:pPr>
        <w:pStyle w:val="Prrafodelista"/>
        <w:numPr>
          <w:ilvl w:val="0"/>
          <w:numId w:val="1"/>
        </w:numPr>
        <w:tabs>
          <w:tab w:val="left" w:pos="426"/>
        </w:tabs>
        <w:spacing w:line="360" w:lineRule="auto"/>
        <w:jc w:val="both"/>
        <w:rPr>
          <w:rFonts w:ascii="Palatino Linotype" w:eastAsia="Calibri" w:hAnsi="Palatino Linotype" w:cs="Tahoma"/>
        </w:rPr>
      </w:pPr>
      <w:r w:rsidRPr="00DF13AD">
        <w:rPr>
          <w:rFonts w:ascii="Palatino Linotype" w:eastAsia="Calibri" w:hAnsi="Palatino Linotype" w:cs="Tahoma"/>
          <w:iCs/>
          <w:lang w:eastAsia="es-ES_tradnl"/>
        </w:rPr>
        <w:t xml:space="preserve">Por lo expuesto, se determina </w:t>
      </w:r>
      <w:r w:rsidRPr="00E37D0C">
        <w:rPr>
          <w:rFonts w:ascii="Palatino Linotype" w:eastAsia="Calibri" w:hAnsi="Palatino Linotype" w:cs="Tahoma"/>
          <w:b/>
          <w:bCs/>
          <w:iCs/>
          <w:lang w:eastAsia="es-ES_tradnl"/>
        </w:rPr>
        <w:t>el nombre de los servidores públicos</w:t>
      </w:r>
      <w:r>
        <w:rPr>
          <w:rFonts w:ascii="Palatino Linotype" w:eastAsia="Calibri" w:hAnsi="Palatino Linotype" w:cs="Tahoma"/>
          <w:b/>
          <w:bCs/>
          <w:iCs/>
          <w:lang w:eastAsia="es-ES_tradnl"/>
        </w:rPr>
        <w:t>,</w:t>
      </w:r>
      <w:r w:rsidRPr="00E37D0C">
        <w:rPr>
          <w:rFonts w:ascii="Palatino Linotype" w:eastAsia="Calibri" w:hAnsi="Palatino Linotype" w:cs="Tahoma"/>
          <w:b/>
          <w:bCs/>
          <w:iCs/>
          <w:lang w:eastAsia="es-ES_tradnl"/>
        </w:rPr>
        <w:t xml:space="preserve"> o ex trabajadores</w:t>
      </w:r>
      <w:r>
        <w:rPr>
          <w:rFonts w:ascii="Palatino Linotype" w:eastAsia="Calibri" w:hAnsi="Palatino Linotype" w:cs="Tahoma"/>
          <w:b/>
          <w:bCs/>
          <w:iCs/>
          <w:lang w:eastAsia="es-ES_tradnl"/>
        </w:rPr>
        <w:t>, a quienes se les impuso una</w:t>
      </w:r>
      <w:r w:rsidRPr="00DF13AD">
        <w:rPr>
          <w:rFonts w:ascii="Palatino Linotype" w:eastAsia="Calibri" w:hAnsi="Palatino Linotype" w:cs="Tahoma"/>
          <w:iCs/>
          <w:lang w:eastAsia="es-ES_tradnl"/>
        </w:rPr>
        <w:t xml:space="preserve"> </w:t>
      </w:r>
      <w:r>
        <w:rPr>
          <w:rFonts w:ascii="Palatino Linotype" w:eastAsia="Calibri" w:hAnsi="Palatino Linotype" w:cs="Tahoma"/>
          <w:b/>
          <w:bCs/>
          <w:iCs/>
          <w:lang w:eastAsia="es-ES_tradnl"/>
        </w:rPr>
        <w:t>sanción derivada de</w:t>
      </w:r>
      <w:r w:rsidRPr="00E37D0C">
        <w:rPr>
          <w:rFonts w:ascii="Palatino Linotype" w:eastAsia="Calibri" w:hAnsi="Palatino Linotype" w:cs="Tahoma"/>
          <w:b/>
          <w:bCs/>
          <w:iCs/>
          <w:lang w:eastAsia="es-ES_tradnl"/>
        </w:rPr>
        <w:t xml:space="preserve"> procedimientos de responsabilidades graves</w:t>
      </w:r>
      <w:r>
        <w:rPr>
          <w:rFonts w:ascii="Palatino Linotype" w:eastAsia="Calibri" w:hAnsi="Palatino Linotype" w:cs="Tahoma"/>
          <w:b/>
          <w:bCs/>
          <w:iCs/>
          <w:lang w:eastAsia="es-ES_tradnl"/>
        </w:rPr>
        <w:t>,</w:t>
      </w:r>
      <w:r w:rsidRPr="00E37D0C">
        <w:rPr>
          <w:rFonts w:ascii="Palatino Linotype" w:eastAsia="Calibri" w:hAnsi="Palatino Linotype" w:cs="Tahoma"/>
          <w:b/>
          <w:bCs/>
          <w:iCs/>
          <w:lang w:eastAsia="es-ES_tradnl"/>
        </w:rPr>
        <w:t xml:space="preserve"> guardan la naturaleza pública</w:t>
      </w:r>
      <w:r w:rsidRPr="00DF13AD">
        <w:rPr>
          <w:rFonts w:ascii="Palatino Linotype" w:eastAsia="Calibri" w:hAnsi="Palatino Linotype" w:cs="Tahoma"/>
          <w:iCs/>
          <w:lang w:eastAsia="es-ES_tradnl"/>
        </w:rPr>
        <w:t xml:space="preserve">, en razón de que, si bien </w:t>
      </w:r>
      <w:r w:rsidRPr="00DF13AD">
        <w:rPr>
          <w:rFonts w:ascii="Palatino Linotype" w:eastAsia="Calibri" w:hAnsi="Palatino Linotype" w:cs="Tahoma"/>
          <w:iCs/>
          <w:lang w:val="es-ES_tradnl" w:eastAsia="es-ES_tradnl"/>
        </w:rPr>
        <w:t>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14:paraId="56663CAC" w14:textId="77777777" w:rsidR="00E37D0C" w:rsidRPr="00DF13AD" w:rsidRDefault="00E37D0C" w:rsidP="00E37D0C">
      <w:pPr>
        <w:pStyle w:val="Prrafodelista"/>
        <w:tabs>
          <w:tab w:val="left" w:pos="426"/>
        </w:tabs>
        <w:rPr>
          <w:rFonts w:ascii="Palatino Linotype" w:eastAsia="Calibri" w:hAnsi="Palatino Linotype" w:cs="Tahoma"/>
          <w:iCs/>
          <w:lang w:eastAsia="es-ES_tradnl"/>
        </w:rPr>
      </w:pPr>
    </w:p>
    <w:p w14:paraId="7B6A5DC8" w14:textId="15713348" w:rsidR="00EB41EF" w:rsidRPr="00EB41EF" w:rsidRDefault="00E37D0C" w:rsidP="00E37D0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DF13AD">
        <w:rPr>
          <w:rFonts w:ascii="Palatino Linotype" w:eastAsia="Calibri" w:hAnsi="Palatino Linotype" w:cs="Tahoma"/>
          <w:iCs/>
          <w:lang w:eastAsia="es-ES_tradnl"/>
        </w:rPr>
        <w:t xml:space="preserve">Conforme a lo anterior, se concluye que el </w:t>
      </w:r>
      <w:r>
        <w:rPr>
          <w:rFonts w:ascii="Palatino Linotype" w:eastAsia="Calibri" w:hAnsi="Palatino Linotype" w:cs="Tahoma"/>
          <w:b/>
          <w:bCs/>
          <w:iCs/>
          <w:lang w:eastAsia="es-ES_tradnl"/>
        </w:rPr>
        <w:t>SUJETO OBLIGADO</w:t>
      </w:r>
      <w:r w:rsidRPr="00DF13AD">
        <w:rPr>
          <w:rFonts w:ascii="Palatino Linotype" w:eastAsia="Calibri" w:hAnsi="Palatino Linotype" w:cs="Tahoma"/>
          <w:iCs/>
          <w:lang w:eastAsia="es-ES_tradnl"/>
        </w:rPr>
        <w:t xml:space="preserve"> únicamente se encuentra constreñido a proporcionar </w:t>
      </w:r>
      <w:r>
        <w:rPr>
          <w:rFonts w:ascii="Palatino Linotype" w:eastAsia="Calibri" w:hAnsi="Palatino Linotype" w:cs="Tahoma"/>
          <w:iCs/>
          <w:lang w:eastAsia="es-ES_tradnl"/>
        </w:rPr>
        <w:t>información sobre los</w:t>
      </w:r>
      <w:r w:rsidRPr="00DF13AD">
        <w:rPr>
          <w:rFonts w:ascii="Palatino Linotype" w:eastAsia="Calibri" w:hAnsi="Palatino Linotype" w:cs="Tahoma"/>
          <w:iCs/>
          <w:lang w:eastAsia="es-ES_tradnl"/>
        </w:rPr>
        <w:t xml:space="preserve"> procedimientos que </w:t>
      </w:r>
      <w:r w:rsidRPr="00DF13AD">
        <w:rPr>
          <w:rFonts w:ascii="Palatino Linotype" w:eastAsia="Calibri" w:hAnsi="Palatino Linotype" w:cs="Tahoma"/>
          <w:iCs/>
          <w:lang w:eastAsia="es-ES_tradnl"/>
        </w:rPr>
        <w:lastRenderedPageBreak/>
        <w:t xml:space="preserve">ya hayan causado estado, sin testar el nombre de servidores públicos que fueron sancionados por </w:t>
      </w:r>
      <w:r w:rsidRPr="00E37D0C">
        <w:rPr>
          <w:rFonts w:ascii="Palatino Linotype" w:eastAsia="Calibri" w:hAnsi="Palatino Linotype" w:cs="Tahoma"/>
          <w:b/>
          <w:bCs/>
          <w:iCs/>
          <w:lang w:eastAsia="es-ES_tradnl"/>
        </w:rPr>
        <w:t>responsabilidades graves</w:t>
      </w:r>
      <w:r w:rsidRPr="00DF13AD">
        <w:rPr>
          <w:rFonts w:ascii="Palatino Linotype" w:eastAsia="Calibri" w:hAnsi="Palatino Linotype" w:cs="Tahoma"/>
          <w:iCs/>
          <w:lang w:eastAsia="es-ES_tradnl"/>
        </w:rPr>
        <w:t>.</w:t>
      </w:r>
    </w:p>
    <w:p w14:paraId="28BAFCA8" w14:textId="77777777" w:rsidR="00EB41EF" w:rsidRPr="0021017B" w:rsidRDefault="00EB41EF" w:rsidP="00EB41EF">
      <w:pPr>
        <w:pStyle w:val="Prrafodelista"/>
        <w:tabs>
          <w:tab w:val="left" w:pos="426"/>
        </w:tabs>
        <w:spacing w:before="240" w:after="240" w:line="360" w:lineRule="auto"/>
        <w:ind w:left="0" w:right="51"/>
        <w:jc w:val="both"/>
        <w:rPr>
          <w:rFonts w:ascii="Palatino Linotype" w:hAnsi="Palatino Linotype" w:cs="Tahoma"/>
          <w:bCs/>
          <w:iCs/>
        </w:rPr>
      </w:pPr>
    </w:p>
    <w:p w14:paraId="29A91607" w14:textId="23BD627F" w:rsidR="001F0379" w:rsidRPr="001F0379" w:rsidRDefault="001F0379" w:rsidP="001F0379">
      <w:pPr>
        <w:pStyle w:val="Ttulo2"/>
        <w:rPr>
          <w:rFonts w:ascii="Palatino Linotype" w:hAnsi="Palatino Linotype" w:cs="Tahoma"/>
          <w:b/>
          <w:iCs/>
          <w:color w:val="auto"/>
        </w:rPr>
      </w:pPr>
      <w:r w:rsidRPr="001F0379">
        <w:rPr>
          <w:rFonts w:ascii="Palatino Linotype" w:hAnsi="Palatino Linotype" w:cs="Tahoma"/>
          <w:b/>
          <w:iCs/>
          <w:color w:val="auto"/>
        </w:rPr>
        <w:t>QUINTO. De la versión pública.</w:t>
      </w:r>
    </w:p>
    <w:p w14:paraId="63E1B520" w14:textId="77777777" w:rsidR="001F0379"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0C79358A" w14:textId="5326F54C" w:rsidR="00A82C13" w:rsidRDefault="00223616" w:rsidP="00E37D0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00E37D0C" w:rsidRPr="000D77A7">
        <w:rPr>
          <w:rFonts w:ascii="Palatino Linotype" w:hAnsi="Palatino Linotype" w:cs="Arial"/>
          <w:color w:val="000000"/>
        </w:rPr>
        <w:t>destacarse que, debido a la naturaleza de la información solicitada</w:t>
      </w:r>
      <w:r w:rsidR="00E37D0C" w:rsidRPr="000D77A7">
        <w:rPr>
          <w:rFonts w:ascii="Palatino Linotype" w:hAnsi="Palatino Linotype" w:cs="Arial"/>
          <w:b/>
          <w:color w:val="000000"/>
        </w:rPr>
        <w:t xml:space="preserve">, </w:t>
      </w:r>
      <w:r w:rsidR="00E37D0C" w:rsidRPr="000D77A7">
        <w:rPr>
          <w:rFonts w:ascii="Palatino Linotype" w:hAnsi="Palatino Linotype" w:cs="Arial"/>
          <w:color w:val="000000"/>
        </w:rPr>
        <w:t xml:space="preserve">eventualmente pudiera obrar datos personales susceptibles de protegerse, el </w:t>
      </w:r>
      <w:r w:rsidR="00E37D0C">
        <w:rPr>
          <w:rFonts w:ascii="Palatino Linotype" w:hAnsi="Palatino Linotype" w:cs="Arial"/>
          <w:b/>
          <w:bCs/>
          <w:color w:val="000000"/>
        </w:rPr>
        <w:t>SUJETO OBLIGADO</w:t>
      </w:r>
      <w:r w:rsidR="00E37D0C" w:rsidRPr="000D77A7">
        <w:rPr>
          <w:rFonts w:ascii="Palatino Linotype" w:hAnsi="Palatino Linotype" w:cs="Arial"/>
          <w:b/>
          <w:bCs/>
          <w:color w:val="000000"/>
        </w:rPr>
        <w:t xml:space="preserve"> </w:t>
      </w:r>
      <w:r w:rsidR="00E37D0C" w:rsidRPr="000D77A7">
        <w:rPr>
          <w:rFonts w:ascii="Palatino Linotype" w:hAnsi="Palatino Linotype" w:cs="Arial"/>
          <w:color w:val="000000"/>
        </w:rPr>
        <w:t>deberá de hacer la adecuada versión pública, protegiendo los datos que no son susceptibles de ser proporcionados.</w:t>
      </w:r>
    </w:p>
    <w:p w14:paraId="0C7D6358" w14:textId="77777777" w:rsidR="00E37D0C" w:rsidRDefault="00E37D0C" w:rsidP="00E37D0C">
      <w:pPr>
        <w:pStyle w:val="Prrafodelista"/>
        <w:tabs>
          <w:tab w:val="left" w:pos="426"/>
        </w:tabs>
        <w:spacing w:before="240" w:after="240" w:line="360" w:lineRule="auto"/>
        <w:ind w:left="0" w:right="51"/>
        <w:jc w:val="both"/>
        <w:rPr>
          <w:rFonts w:ascii="Palatino Linotype" w:hAnsi="Palatino Linotype"/>
          <w:color w:val="000000" w:themeColor="text1"/>
        </w:rPr>
      </w:pPr>
    </w:p>
    <w:p w14:paraId="7CC8436F" w14:textId="10E8D9CC" w:rsidR="00E37D0C" w:rsidRDefault="00E37D0C" w:rsidP="00E37D0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w:t>
      </w:r>
      <w:r w:rsidRPr="000D77A7">
        <w:rPr>
          <w:rFonts w:ascii="Palatino Linotype" w:hAnsi="Palatino Linotype" w:cs="Arial"/>
          <w:color w:val="000000"/>
        </w:rPr>
        <w:t xml:space="preserve">pasa desapercibido para este Órgano Garante que los </w:t>
      </w:r>
      <w:r w:rsidRPr="00E37D0C">
        <w:rPr>
          <w:rFonts w:ascii="Palatino Linotype" w:hAnsi="Palatino Linotype" w:cs="Arial"/>
          <w:color w:val="000000"/>
        </w:rPr>
        <w:t>Sujetos Obligados</w:t>
      </w:r>
      <w:r w:rsidRPr="000D77A7">
        <w:rPr>
          <w:rFonts w:ascii="Palatino Linotype" w:hAnsi="Palatino Linotype" w:cs="Arial"/>
          <w:b/>
          <w:bCs/>
          <w:color w:val="000000"/>
        </w:rPr>
        <w:t xml:space="preserve"> </w:t>
      </w:r>
      <w:r w:rsidRPr="000D77A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B16FE31" w14:textId="77777777" w:rsidR="00E37D0C" w:rsidRDefault="00E37D0C" w:rsidP="00E37D0C">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normal1"/>
        <w:tblW w:w="0" w:type="auto"/>
        <w:tblLook w:val="04A0" w:firstRow="1" w:lastRow="0" w:firstColumn="1" w:lastColumn="0" w:noHBand="0" w:noVBand="1"/>
      </w:tblPr>
      <w:tblGrid>
        <w:gridCol w:w="1838"/>
        <w:gridCol w:w="6990"/>
      </w:tblGrid>
      <w:tr w:rsidR="00E37D0C" w:rsidRPr="008A44D6" w14:paraId="0863B7F3" w14:textId="77777777" w:rsidTr="00F6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70B2C32" w14:textId="77777777" w:rsidR="00E37D0C" w:rsidRPr="008A44D6" w:rsidRDefault="00E37D0C" w:rsidP="00F6715F">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12AB4E9D" w14:textId="77777777" w:rsidR="00E37D0C" w:rsidRPr="008A44D6" w:rsidRDefault="00E37D0C" w:rsidP="00F6715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0F38559" w14:textId="77777777" w:rsidR="00E37D0C" w:rsidRPr="008A44D6" w:rsidRDefault="00E37D0C" w:rsidP="00F6715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294F7688" w14:textId="77777777" w:rsidR="00E37D0C" w:rsidRPr="008A44D6" w:rsidRDefault="00E37D0C" w:rsidP="00F6715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68831905" w14:textId="77777777" w:rsidR="00E37D0C" w:rsidRPr="008A44D6" w:rsidRDefault="00E37D0C" w:rsidP="00F6715F">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E37D0C" w:rsidRPr="008A44D6" w14:paraId="33E6D8D4" w14:textId="77777777" w:rsidTr="00F6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494A4AA" w14:textId="77777777" w:rsidR="00E37D0C" w:rsidRPr="008A44D6" w:rsidRDefault="00E37D0C" w:rsidP="00F6715F">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057E013A"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4E01BE19"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3E6AF7B" w14:textId="77777777" w:rsidR="00E37D0C" w:rsidRPr="008A44D6" w:rsidRDefault="00E37D0C" w:rsidP="00F6715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37D0C" w:rsidRPr="008A44D6" w14:paraId="7FFE2F80" w14:textId="77777777" w:rsidTr="00F6715F">
        <w:tc>
          <w:tcPr>
            <w:cnfStyle w:val="001000000000" w:firstRow="0" w:lastRow="0" w:firstColumn="1" w:lastColumn="0" w:oddVBand="0" w:evenVBand="0" w:oddHBand="0" w:evenHBand="0" w:firstRowFirstColumn="0" w:firstRowLastColumn="0" w:lastRowFirstColumn="0" w:lastRowLastColumn="0"/>
            <w:tcW w:w="1838" w:type="dxa"/>
            <w:hideMark/>
          </w:tcPr>
          <w:p w14:paraId="3A18FA02" w14:textId="77777777" w:rsidR="00E37D0C" w:rsidRPr="008A44D6" w:rsidRDefault="00E37D0C" w:rsidP="00F6715F">
            <w:pPr>
              <w:spacing w:line="360" w:lineRule="auto"/>
              <w:rPr>
                <w:rFonts w:ascii="Palatino Linotype" w:hAnsi="Palatino Linotype"/>
                <w:bCs w:val="0"/>
              </w:rPr>
            </w:pPr>
            <w:r w:rsidRPr="008A44D6">
              <w:rPr>
                <w:rFonts w:ascii="Palatino Linotype" w:hAnsi="Palatino Linotype" w:cstheme="majorBidi"/>
                <w:bCs w:val="0"/>
              </w:rPr>
              <w:lastRenderedPageBreak/>
              <w:t>c) Formalidades para emitir el acuerdo de clasificación.</w:t>
            </w:r>
          </w:p>
        </w:tc>
        <w:tc>
          <w:tcPr>
            <w:tcW w:w="6990" w:type="dxa"/>
            <w:hideMark/>
          </w:tcPr>
          <w:p w14:paraId="6B3BF305" w14:textId="77777777" w:rsidR="00E37D0C" w:rsidRPr="008A44D6" w:rsidRDefault="00E37D0C" w:rsidP="00F6715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5E6EDEA" w14:textId="77777777" w:rsidR="00E37D0C" w:rsidRPr="008A44D6" w:rsidRDefault="00E37D0C" w:rsidP="00F6715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374227D0" w14:textId="77777777" w:rsidR="00E37D0C" w:rsidRPr="008A44D6" w:rsidRDefault="00E37D0C" w:rsidP="00F6715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37D0C" w:rsidRPr="008A44D6" w14:paraId="14E9D6E1" w14:textId="77777777" w:rsidTr="00F6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7132A4" w14:textId="77777777" w:rsidR="00E37D0C" w:rsidRPr="008A44D6" w:rsidRDefault="00E37D0C" w:rsidP="00F6715F">
            <w:pPr>
              <w:spacing w:line="360" w:lineRule="auto"/>
              <w:rPr>
                <w:rFonts w:ascii="Palatino Linotype" w:hAnsi="Palatino Linotype"/>
                <w:b w:val="0"/>
              </w:rPr>
            </w:pPr>
          </w:p>
          <w:p w14:paraId="72B0A234" w14:textId="77777777" w:rsidR="00E37D0C" w:rsidRPr="008A44D6" w:rsidRDefault="00E37D0C" w:rsidP="00F6715F">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7D4BA2EB"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59B5FF4A"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8A44D6">
              <w:rPr>
                <w:rFonts w:ascii="Palatino Linotype" w:hAnsi="Palatino Linotype" w:cs="Arial"/>
                <w:color w:val="000000"/>
              </w:rPr>
              <w:lastRenderedPageBreak/>
              <w:t>fundamentos legales que le dieron origen y las razones por las que se deben aplicar al caso concreto.</w:t>
            </w:r>
          </w:p>
          <w:p w14:paraId="360FA5B5"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154D2D8"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E2963E2" w14:textId="77777777" w:rsidR="00E37D0C" w:rsidRPr="008A44D6" w:rsidRDefault="00E37D0C" w:rsidP="00F6715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37D0C" w:rsidRPr="008A44D6" w14:paraId="2BE33341" w14:textId="77777777" w:rsidTr="00F6715F">
        <w:tc>
          <w:tcPr>
            <w:cnfStyle w:val="001000000000" w:firstRow="0" w:lastRow="0" w:firstColumn="1" w:lastColumn="0" w:oddVBand="0" w:evenVBand="0" w:oddHBand="0" w:evenHBand="0" w:firstRowFirstColumn="0" w:firstRowLastColumn="0" w:lastRowFirstColumn="0" w:lastRowLastColumn="0"/>
            <w:tcW w:w="1838" w:type="dxa"/>
          </w:tcPr>
          <w:p w14:paraId="69E5404A" w14:textId="77777777" w:rsidR="00E37D0C" w:rsidRPr="008A44D6" w:rsidRDefault="00E37D0C" w:rsidP="00F6715F">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1AE04CD3" w14:textId="77777777" w:rsidR="00E37D0C" w:rsidRPr="008A44D6" w:rsidRDefault="00E37D0C" w:rsidP="00F6715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29EFEA62" w14:textId="77777777" w:rsidR="00E37D0C" w:rsidRPr="008A44D6" w:rsidRDefault="00E37D0C" w:rsidP="00F6715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w:t>
            </w:r>
            <w:r w:rsidRPr="008A44D6">
              <w:rPr>
                <w:rFonts w:ascii="Palatino Linotype" w:hAnsi="Palatino Linotype" w:cs="Arial"/>
                <w:color w:val="000000"/>
              </w:rPr>
              <w:lastRenderedPageBreak/>
              <w:t xml:space="preserve">los servidores públicos nos encontramos sujetos a un régimen menor de protección. </w:t>
            </w:r>
          </w:p>
          <w:p w14:paraId="73FF8020" w14:textId="77777777" w:rsidR="00E37D0C" w:rsidRPr="008A44D6" w:rsidRDefault="00E37D0C" w:rsidP="00F6715F">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6188143" w14:textId="77777777" w:rsidR="00E37D0C" w:rsidRDefault="00E37D0C" w:rsidP="00E37D0C">
      <w:pPr>
        <w:pStyle w:val="Prrafodelista"/>
        <w:tabs>
          <w:tab w:val="left" w:pos="426"/>
        </w:tabs>
        <w:spacing w:before="240" w:after="240" w:line="360" w:lineRule="auto"/>
        <w:ind w:left="0" w:right="51"/>
        <w:jc w:val="both"/>
        <w:rPr>
          <w:rFonts w:ascii="Palatino Linotype" w:hAnsi="Palatino Linotype"/>
          <w:color w:val="000000" w:themeColor="text1"/>
        </w:rPr>
      </w:pPr>
    </w:p>
    <w:p w14:paraId="6EABC19C" w14:textId="57C5C713" w:rsidR="00E37D0C" w:rsidRDefault="00E37D0C" w:rsidP="00E37D0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ser el caso que el </w:t>
      </w:r>
      <w:r w:rsidRPr="00014006">
        <w:rPr>
          <w:rFonts w:ascii="Palatino Linotype" w:hAnsi="Palatino Linotype" w:cs="Arial"/>
          <w:lang w:eastAsia="en-US"/>
        </w:rPr>
        <w:t xml:space="preserve">servidor público </w:t>
      </w:r>
      <w:r>
        <w:rPr>
          <w:rFonts w:ascii="Palatino Linotype" w:hAnsi="Palatino Linotype" w:cs="Arial"/>
          <w:lang w:eastAsia="en-US"/>
        </w:rPr>
        <w:t>incumpla</w:t>
      </w:r>
      <w:r w:rsidRPr="00014006">
        <w:rPr>
          <w:rFonts w:ascii="Palatino Linotype" w:hAnsi="Palatino Linotype" w:cs="Arial"/>
          <w:lang w:eastAsia="en-US"/>
        </w:rPr>
        <w:t xml:space="preserve"> con estas formalidades</w:t>
      </w:r>
      <w:r>
        <w:rPr>
          <w:rFonts w:ascii="Palatino Linotype" w:hAnsi="Palatino Linotype" w:cs="Arial"/>
          <w:lang w:eastAsia="en-US"/>
        </w:rPr>
        <w:t>,</w:t>
      </w:r>
      <w:r w:rsidRPr="00014006">
        <w:rPr>
          <w:rFonts w:ascii="Palatino Linotype" w:hAnsi="Palatino Linotype" w:cs="Arial"/>
          <w:lang w:eastAsia="en-US"/>
        </w:rPr>
        <w:t xml:space="preserve"> y </w:t>
      </w:r>
      <w:r>
        <w:rPr>
          <w:rFonts w:ascii="Palatino Linotype" w:hAnsi="Palatino Linotype" w:cs="Arial"/>
          <w:lang w:eastAsia="en-US"/>
        </w:rPr>
        <w:t>entregue</w:t>
      </w:r>
      <w:r w:rsidRPr="00014006">
        <w:rPr>
          <w:rFonts w:ascii="Palatino Linotype" w:hAnsi="Palatino Linotype" w:cs="Arial"/>
          <w:lang w:eastAsia="en-US"/>
        </w:rPr>
        <w:t xml:space="preserve"> la información sin proteger los datos personales</w:t>
      </w:r>
      <w:r>
        <w:rPr>
          <w:rFonts w:ascii="Palatino Linotype" w:hAnsi="Palatino Linotype" w:cs="Arial"/>
          <w:lang w:eastAsia="en-US"/>
        </w:rPr>
        <w:t>,</w:t>
      </w:r>
      <w:r w:rsidRPr="00014006">
        <w:rPr>
          <w:rFonts w:ascii="Palatino Linotype" w:hAnsi="Palatino Linotype" w:cs="Arial"/>
          <w:lang w:eastAsia="en-US"/>
        </w:rPr>
        <w:t xml:space="preserve"> </w:t>
      </w:r>
      <w:r>
        <w:rPr>
          <w:rFonts w:ascii="Palatino Linotype" w:hAnsi="Palatino Linotype" w:cs="Arial"/>
          <w:lang w:eastAsia="en-US"/>
        </w:rPr>
        <w:t>atentará directamente</w:t>
      </w:r>
      <w:r w:rsidRPr="00014006">
        <w:rPr>
          <w:rFonts w:ascii="Palatino Linotype" w:hAnsi="Palatino Linotype" w:cs="Arial"/>
          <w:lang w:eastAsia="en-US"/>
        </w:rPr>
        <w:t xml:space="preserve"> con lo que estipula</w:t>
      </w:r>
      <w:r>
        <w:rPr>
          <w:rFonts w:ascii="Palatino Linotype" w:hAnsi="Palatino Linotype" w:cs="Arial"/>
          <w:lang w:eastAsia="en-US"/>
        </w:rPr>
        <w:t>n</w:t>
      </w:r>
      <w:r w:rsidRPr="00014006">
        <w:rPr>
          <w:rFonts w:ascii="Palatino Linotype" w:hAnsi="Palatino Linotype" w:cs="Arial"/>
          <w:lang w:eastAsia="en-US"/>
        </w:rPr>
        <w:t xml:space="preserve"> las disposiciones legales establecidas, asimismo que si entrega un documento testado sin el debido </w:t>
      </w:r>
      <w:r>
        <w:rPr>
          <w:rFonts w:ascii="Palatino Linotype" w:hAnsi="Palatino Linotype" w:cs="Arial"/>
          <w:lang w:eastAsia="en-US"/>
        </w:rPr>
        <w:t>Acuerdo de Clasificación</w:t>
      </w:r>
      <w:r w:rsidRPr="00014006">
        <w:rPr>
          <w:rFonts w:ascii="Palatino Linotype" w:hAnsi="Palatino Linotype" w:cs="Arial"/>
          <w:lang w:eastAsia="en-US"/>
        </w:rPr>
        <w:t>.</w:t>
      </w:r>
    </w:p>
    <w:p w14:paraId="3F2BCDD2" w14:textId="77777777" w:rsidR="00E37D0C" w:rsidRDefault="00E37D0C" w:rsidP="00E37D0C">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C65875"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Pr>
          <w:rFonts w:ascii="Palatino Linotype" w:hAnsi="Palatino Linotype" w:cs="Arial"/>
          <w:b/>
          <w:bCs/>
          <w:lang w:eastAsia="es-MX"/>
        </w:rPr>
        <w:t>SEXTO</w:t>
      </w:r>
      <w:r w:rsidR="00C65875">
        <w:rPr>
          <w:rFonts w:ascii="Palatino Linotype" w:hAnsi="Palatino Linotype" w:cs="Arial"/>
          <w:b/>
          <w:bCs/>
          <w:lang w:eastAsia="es-MX"/>
        </w:rPr>
        <w:t>. Decisión.</w:t>
      </w:r>
    </w:p>
    <w:p w14:paraId="462AEDDB" w14:textId="77777777" w:rsidR="00C65875" w:rsidRPr="00C6587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066FCD5D" w:rsidR="00C65875" w:rsidRPr="006B218B"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Luego </w:t>
      </w:r>
      <w:r>
        <w:rPr>
          <w:rFonts w:ascii="Palatino Linotype" w:hAnsi="Palatino Linotype"/>
          <w:color w:val="000000" w:themeColor="text1"/>
        </w:rPr>
        <w:t xml:space="preserve">de </w:t>
      </w:r>
      <w:r w:rsidR="000D001E">
        <w:rPr>
          <w:rFonts w:ascii="Palatino Linotype" w:hAnsi="Palatino Linotype"/>
          <w:color w:val="000000" w:themeColor="text1"/>
        </w:rPr>
        <w:t xml:space="preserve">analizar la respuesta proporcionada por el </w:t>
      </w:r>
      <w:r w:rsidR="000D001E">
        <w:rPr>
          <w:rFonts w:ascii="Palatino Linotype" w:hAnsi="Palatino Linotype"/>
          <w:b/>
          <w:color w:val="000000" w:themeColor="text1"/>
        </w:rPr>
        <w:t>SUJETO OBLIGADO</w:t>
      </w:r>
      <w:r w:rsidR="000D001E">
        <w:rPr>
          <w:rFonts w:ascii="Palatino Linotype" w:hAnsi="Palatino Linotype"/>
          <w:color w:val="000000" w:themeColor="text1"/>
        </w:rPr>
        <w:t xml:space="preserve">, se estableció que éste no había atendido el derecho de acceso a la información ejercido por </w:t>
      </w:r>
      <w:r w:rsidR="004D29C1">
        <w:rPr>
          <w:rFonts w:ascii="Palatino Linotype" w:hAnsi="Palatino Linotype"/>
          <w:color w:val="000000" w:themeColor="text1"/>
        </w:rPr>
        <w:t>el</w:t>
      </w:r>
      <w:r w:rsidR="000D001E">
        <w:rPr>
          <w:rFonts w:ascii="Palatino Linotype" w:hAnsi="Palatino Linotype"/>
          <w:color w:val="000000" w:themeColor="text1"/>
        </w:rPr>
        <w:t xml:space="preserve"> </w:t>
      </w:r>
      <w:r w:rsidR="000D001E">
        <w:rPr>
          <w:rFonts w:ascii="Palatino Linotype" w:hAnsi="Palatino Linotype"/>
          <w:b/>
          <w:color w:val="000000" w:themeColor="text1"/>
        </w:rPr>
        <w:t>RECURRENTE</w:t>
      </w:r>
      <w:r w:rsidR="000D001E">
        <w:rPr>
          <w:rFonts w:ascii="Palatino Linotype" w:hAnsi="Palatino Linotype"/>
          <w:color w:val="000000" w:themeColor="text1"/>
        </w:rPr>
        <w:t>, pue</w:t>
      </w:r>
      <w:r w:rsidR="004C4EF2">
        <w:rPr>
          <w:rFonts w:ascii="Palatino Linotype" w:hAnsi="Palatino Linotype"/>
          <w:color w:val="000000" w:themeColor="text1"/>
        </w:rPr>
        <w:t>s como fuera referido por el particular, el Ayuntamiento de Malinalco no entregó ningún anexo o archivo adjunto con la información solicitada.</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775E3E5"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n consecuencia y en mérito de lo expuesto en líneas anteriores, resultan</w:t>
      </w:r>
      <w:r w:rsidR="00FB5B03">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 xml:space="preserve">fundadas las razones o motivos de inconformidad hechos valer por </w:t>
      </w:r>
      <w:r w:rsidR="00650C79">
        <w:rPr>
          <w:rFonts w:ascii="Palatino Linotype" w:eastAsia="MS Mincho" w:hAnsi="Palatino Linotype" w:cstheme="majorBidi"/>
          <w:lang w:val="es-ES"/>
        </w:rPr>
        <w:t>el</w:t>
      </w:r>
      <w:r w:rsidR="003E6079" w:rsidRPr="0028241C">
        <w:rPr>
          <w:rFonts w:ascii="Palatino Linotype" w:eastAsia="MS Mincho" w:hAnsi="Palatino Linotype" w:cstheme="majorBidi"/>
          <w:lang w:val="es-ES"/>
        </w:rPr>
        <w:t xml:space="preserve">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del recurso de revisión </w:t>
      </w:r>
      <w:r w:rsidR="003D03B5">
        <w:rPr>
          <w:rFonts w:ascii="Palatino Linotype" w:eastAsia="MS Mincho" w:hAnsi="Palatino Linotype" w:cstheme="majorBidi"/>
          <w:b/>
          <w:bCs/>
          <w:lang w:val="es-ES"/>
        </w:rPr>
        <w:t>12773/INFOEM/IP/RR/2022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 xml:space="preserve">II del numeral 186 de la Ley de Transparencia </w:t>
      </w:r>
      <w:r w:rsidR="003E6079" w:rsidRPr="0028241C">
        <w:rPr>
          <w:rFonts w:ascii="Palatino Linotype" w:eastAsia="MS Mincho" w:hAnsi="Palatino Linotype" w:cstheme="majorBidi"/>
          <w:lang w:val="es-ES"/>
        </w:rPr>
        <w:lastRenderedPageBreak/>
        <w:t xml:space="preserve">y Acceso a la Información Pública del Estado de México y Municipios, se </w:t>
      </w:r>
      <w:r w:rsidR="003F3757">
        <w:rPr>
          <w:rFonts w:ascii="Palatino Linotype" w:eastAsia="MS Mincho" w:hAnsi="Palatino Linotype" w:cstheme="majorBidi"/>
          <w:b/>
          <w:lang w:val="es-ES"/>
        </w:rPr>
        <w:t>REVOCA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sidR="003D03B5">
        <w:rPr>
          <w:rFonts w:ascii="Palatino Linotype" w:eastAsia="MS Mincho" w:hAnsi="Palatino Linotype" w:cstheme="majorBidi"/>
          <w:b/>
          <w:lang w:val="es-ES"/>
        </w:rPr>
        <w:t>00208/MALINAL/IP/2022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FC6C3D">
        <w:rPr>
          <w:rFonts w:ascii="Palatino Linotype" w:hAnsi="Palatino Linotype"/>
          <w:color w:val="000000" w:themeColor="text1"/>
        </w:rPr>
        <w:t>----------------------------------------</w:t>
      </w:r>
      <w:r w:rsidR="00472A17">
        <w:rPr>
          <w:rFonts w:ascii="Palatino Linotype" w:hAnsi="Palatino Linotype"/>
          <w:color w:val="000000" w:themeColor="text1"/>
        </w:rPr>
        <w:t>------------------------------------------------------------------------------------------------------------------------------------------------------------------------</w:t>
      </w:r>
      <w:r w:rsidR="00FC6C3D">
        <w:rPr>
          <w:rFonts w:ascii="Palatino Linotype" w:hAnsi="Palatino Linotype"/>
          <w:color w:val="000000" w:themeColor="text1"/>
        </w:rPr>
        <w:t>----------</w:t>
      </w:r>
    </w:p>
    <w:p w14:paraId="64A61CAA" w14:textId="50904DF4" w:rsidR="00BD540C" w:rsidRDefault="00BD540C">
      <w:pPr>
        <w:rPr>
          <w:rFonts w:ascii="Palatino Linotype" w:hAnsi="Palatino Linotype"/>
          <w:color w:val="000000" w:themeColor="text1"/>
        </w:rPr>
      </w:pPr>
    </w:p>
    <w:p w14:paraId="18C7D92B" w14:textId="2E6B88EF" w:rsidR="009959DB" w:rsidRPr="00922B81" w:rsidRDefault="009959DB" w:rsidP="009959DB">
      <w:pPr>
        <w:pStyle w:val="Ttulo1"/>
        <w:spacing w:line="360" w:lineRule="auto"/>
        <w:jc w:val="center"/>
        <w:rPr>
          <w:b/>
          <w:color w:val="000000" w:themeColor="text1"/>
          <w:sz w:val="28"/>
          <w:szCs w:val="24"/>
          <w:lang w:val="pt-PT"/>
        </w:rPr>
      </w:pPr>
      <w:bookmarkStart w:id="27" w:name="_Toc495427547"/>
      <w:bookmarkStart w:id="28" w:name="_Toc497905366"/>
      <w:bookmarkStart w:id="29" w:name="_Toc88071791"/>
      <w:r w:rsidRPr="00922B81">
        <w:rPr>
          <w:b/>
          <w:color w:val="000000" w:themeColor="text1"/>
          <w:sz w:val="28"/>
          <w:szCs w:val="24"/>
          <w:lang w:val="pt-PT"/>
        </w:rPr>
        <w:t>R E S O L U T I V O S</w:t>
      </w:r>
      <w:bookmarkEnd w:id="21"/>
      <w:bookmarkEnd w:id="22"/>
      <w:bookmarkEnd w:id="27"/>
      <w:bookmarkEnd w:id="28"/>
      <w:bookmarkEnd w:id="29"/>
    </w:p>
    <w:p w14:paraId="2EF2AC2D" w14:textId="77777777" w:rsidR="00A73C04" w:rsidRPr="00922B81" w:rsidRDefault="00A73C04" w:rsidP="002578EE">
      <w:pPr>
        <w:spacing w:line="360" w:lineRule="auto"/>
        <w:jc w:val="both"/>
        <w:rPr>
          <w:rFonts w:ascii="Palatino Linotype" w:eastAsia="Times New Roman" w:hAnsi="Palatino Linotype" w:cs="Arial"/>
          <w:b/>
          <w:sz w:val="28"/>
          <w:szCs w:val="28"/>
          <w:lang w:val="pt-PT"/>
        </w:rPr>
      </w:pPr>
    </w:p>
    <w:p w14:paraId="0C435278" w14:textId="0C6D20C3"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291D91">
        <w:rPr>
          <w:rFonts w:ascii="Palatino Linotype" w:eastAsia="Calibri" w:hAnsi="Palatino Linotype" w:cs="Arial"/>
          <w:lang w:val="es-ES"/>
        </w:rPr>
        <w:t>el</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 xml:space="preserve">recurso de revisión </w:t>
      </w:r>
      <w:r w:rsidR="003D03B5">
        <w:rPr>
          <w:rFonts w:ascii="Palatino Linotype" w:eastAsia="Times New Roman" w:hAnsi="Palatino Linotype" w:cs="Times New Roman"/>
          <w:b/>
        </w:rPr>
        <w:t>12773/INFOEM/IP/RR/2022</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00E64F65">
        <w:rPr>
          <w:rFonts w:ascii="Palatino Linotype" w:eastAsia="Times New Roman" w:hAnsi="Palatino Linotype" w:cs="Times New Roman"/>
          <w:b/>
          <w:bCs/>
        </w:rPr>
        <w:t xml:space="preserve"> c</w:t>
      </w:r>
      <w:r w:rsidRPr="001607E7">
        <w:rPr>
          <w:rFonts w:ascii="Palatino Linotype" w:eastAsia="Times New Roman" w:hAnsi="Palatino Linotype" w:cs="Times New Roman"/>
          <w:b/>
          <w:bCs/>
        </w:rPr>
        <w:t>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64F1ADDD" w:rsidR="00743CAC"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A255AD">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3D03B5">
        <w:rPr>
          <w:rFonts w:ascii="Palatino Linotype" w:eastAsia="Calibri" w:hAnsi="Palatino Linotype" w:cs="Arial"/>
          <w:b/>
        </w:rPr>
        <w:t>Ayuntamiento de Malinalco</w:t>
      </w:r>
      <w:r w:rsidR="00E64F65">
        <w:rPr>
          <w:rFonts w:ascii="Palatino Linotype" w:eastAsia="Calibri" w:hAnsi="Palatino Linotype" w:cs="Arial"/>
          <w:b/>
        </w:rPr>
        <w:t>,</w:t>
      </w:r>
      <w:r>
        <w:rPr>
          <w:rFonts w:ascii="Palatino Linotype" w:eastAsia="Calibri" w:hAnsi="Palatino Linotype" w:cs="Arial"/>
          <w:bCs/>
        </w:rPr>
        <w:t xml:space="preserve"> a la solicitud </w:t>
      </w:r>
      <w:r w:rsidR="003D03B5">
        <w:rPr>
          <w:rFonts w:ascii="Palatino Linotype" w:eastAsia="MS Mincho" w:hAnsi="Palatino Linotype" w:cstheme="majorBidi"/>
          <w:b/>
          <w:lang w:val="es-ES"/>
        </w:rPr>
        <w:t>00208/MALINAL/IP/2022</w:t>
      </w:r>
      <w:r>
        <w:rPr>
          <w:rFonts w:ascii="Palatino Linotype" w:eastAsia="MS Mincho" w:hAnsi="Palatino Linotype" w:cstheme="majorBidi"/>
          <w:b/>
          <w:lang w:val="es-E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 xml:space="preserve">entregar </w:t>
      </w:r>
      <w:bookmarkStart w:id="30" w:name="_Toc460947013"/>
      <w:r>
        <w:rPr>
          <w:rFonts w:ascii="Palatino Linotype" w:eastAsia="Calibri" w:hAnsi="Palatino Linotype" w:cs="Arial"/>
          <w:lang w:val="es-ES"/>
        </w:rPr>
        <w:t>vía Sistema de Acceso a la Información Pública Mexiquense (SAIMEX)</w:t>
      </w:r>
      <w:r>
        <w:rPr>
          <w:rFonts w:ascii="Palatino Linotype" w:eastAsia="Times New Roman" w:hAnsi="Palatino Linotype" w:cs="Arial"/>
          <w:color w:val="000000"/>
        </w:rPr>
        <w:t>,</w:t>
      </w:r>
      <w:r w:rsidR="00325B05">
        <w:rPr>
          <w:rFonts w:ascii="Palatino Linotype" w:eastAsia="Times New Roman" w:hAnsi="Palatino Linotype" w:cs="Arial"/>
          <w:color w:val="000000"/>
        </w:rPr>
        <w:t xml:space="preserve"> en versión pública de ser procedente,</w:t>
      </w:r>
      <w:r>
        <w:rPr>
          <w:rFonts w:ascii="Palatino Linotype" w:eastAsia="Times New Roman" w:hAnsi="Palatino Linotype" w:cs="Arial"/>
          <w:color w:val="000000"/>
        </w:rPr>
        <w:t xml:space="preserve"> </w:t>
      </w:r>
      <w:r w:rsidR="004C4EF2">
        <w:rPr>
          <w:rFonts w:ascii="Palatino Linotype" w:eastAsia="Times New Roman" w:hAnsi="Palatino Linotype" w:cs="Arial"/>
          <w:color w:val="000000"/>
        </w:rPr>
        <w:t xml:space="preserve">y con el mayor grado de desagregación posible, </w:t>
      </w:r>
      <w:r w:rsidR="004D29C1">
        <w:rPr>
          <w:rFonts w:ascii="Palatino Linotype" w:eastAsia="Times New Roman" w:hAnsi="Palatino Linotype" w:cs="Arial"/>
          <w:color w:val="000000"/>
        </w:rPr>
        <w:t xml:space="preserve">los documentos donde conste </w:t>
      </w:r>
      <w:r w:rsidR="00A84187">
        <w:rPr>
          <w:rFonts w:ascii="Palatino Linotype" w:eastAsia="Times New Roman" w:hAnsi="Palatino Linotype" w:cs="Arial"/>
          <w:color w:val="000000"/>
        </w:rPr>
        <w:t>la siguiente información</w:t>
      </w:r>
      <w:r>
        <w:rPr>
          <w:rFonts w:ascii="Palatino Linotype" w:eastAsia="Times New Roman" w:hAnsi="Palatino Linotype" w:cs="Arial"/>
          <w:color w:val="000000"/>
        </w:rPr>
        <w:t xml:space="preserve">: </w:t>
      </w:r>
    </w:p>
    <w:p w14:paraId="6E6AD4FF" w14:textId="77777777" w:rsidR="00596238" w:rsidRDefault="00596238" w:rsidP="00743CAC">
      <w:pPr>
        <w:spacing w:line="360" w:lineRule="auto"/>
        <w:contextualSpacing/>
        <w:jc w:val="both"/>
        <w:rPr>
          <w:rFonts w:ascii="Palatino Linotype" w:eastAsia="Times New Roman" w:hAnsi="Palatino Linotype" w:cs="Arial"/>
          <w:color w:val="000000"/>
        </w:rPr>
      </w:pPr>
    </w:p>
    <w:p w14:paraId="2CB5CCE6" w14:textId="130966DA" w:rsidR="00C00996" w:rsidRPr="006F6A3F" w:rsidRDefault="00C00996" w:rsidP="0028422E">
      <w:pPr>
        <w:pStyle w:val="Prrafodelista"/>
        <w:numPr>
          <w:ilvl w:val="0"/>
          <w:numId w:val="2"/>
        </w:numPr>
        <w:spacing w:after="240" w:line="360" w:lineRule="auto"/>
        <w:ind w:left="851" w:right="567" w:hanging="284"/>
        <w:jc w:val="both"/>
        <w:rPr>
          <w:rFonts w:ascii="Palatino Linotype" w:hAnsi="Palatino Linotype"/>
          <w:b/>
          <w:bCs/>
          <w:color w:val="000000"/>
          <w:highlight w:val="yellow"/>
        </w:rPr>
      </w:pPr>
      <w:r w:rsidRPr="006F6A3F">
        <w:rPr>
          <w:rFonts w:ascii="Palatino Linotype" w:hAnsi="Palatino Linotype"/>
          <w:b/>
          <w:bCs/>
          <w:color w:val="000000"/>
          <w:highlight w:val="yellow"/>
        </w:rPr>
        <w:t xml:space="preserve">Sanciones impuestas dentro de los procedimientos de responsabilidades administrativas que hayan causado estado, del uno (01) de enero de dos mil dieciocho al treinta y uno (31) de mayo de dos mil </w:t>
      </w:r>
      <w:r w:rsidRPr="006F6A3F">
        <w:rPr>
          <w:rFonts w:ascii="Palatino Linotype" w:hAnsi="Palatino Linotype"/>
          <w:b/>
          <w:bCs/>
          <w:color w:val="000000"/>
          <w:highlight w:val="cyan"/>
        </w:rPr>
        <w:t>veinti</w:t>
      </w:r>
      <w:r w:rsidR="00A7313E" w:rsidRPr="006F6A3F">
        <w:rPr>
          <w:rFonts w:ascii="Palatino Linotype" w:hAnsi="Palatino Linotype"/>
          <w:b/>
          <w:bCs/>
          <w:color w:val="000000"/>
          <w:highlight w:val="cyan"/>
        </w:rPr>
        <w:t>uno</w:t>
      </w:r>
      <w:r w:rsidRPr="006F6A3F">
        <w:rPr>
          <w:rFonts w:ascii="Palatino Linotype" w:hAnsi="Palatino Linotype"/>
          <w:b/>
          <w:bCs/>
          <w:color w:val="000000"/>
          <w:highlight w:val="cyan"/>
        </w:rPr>
        <w:t>,</w:t>
      </w:r>
      <w:r w:rsidRPr="006F6A3F">
        <w:rPr>
          <w:rFonts w:ascii="Palatino Linotype" w:hAnsi="Palatino Linotype"/>
          <w:b/>
          <w:bCs/>
          <w:color w:val="000000"/>
          <w:highlight w:val="yellow"/>
        </w:rPr>
        <w:t xml:space="preserve"> y donde conste lo siguiente:</w:t>
      </w:r>
    </w:p>
    <w:p w14:paraId="2543204D" w14:textId="77777777" w:rsidR="00C00996" w:rsidRPr="006F6A3F" w:rsidRDefault="00C00996" w:rsidP="00C00996">
      <w:pPr>
        <w:pStyle w:val="Prrafodelista"/>
        <w:numPr>
          <w:ilvl w:val="1"/>
          <w:numId w:val="2"/>
        </w:numPr>
        <w:spacing w:after="240" w:line="360" w:lineRule="auto"/>
        <w:ind w:left="1701" w:right="567"/>
        <w:jc w:val="both"/>
        <w:rPr>
          <w:rFonts w:ascii="Palatino Linotype" w:hAnsi="Palatino Linotype"/>
          <w:b/>
          <w:bCs/>
          <w:color w:val="000000"/>
          <w:highlight w:val="yellow"/>
        </w:rPr>
      </w:pPr>
      <w:r w:rsidRPr="006F6A3F">
        <w:rPr>
          <w:rFonts w:ascii="Palatino Linotype" w:hAnsi="Palatino Linotype"/>
          <w:b/>
          <w:bCs/>
          <w:color w:val="000000"/>
          <w:highlight w:val="yellow"/>
        </w:rPr>
        <w:lastRenderedPageBreak/>
        <w:t>Nombre de la o el servidor público responsable (únicamente aplicable para faltas administrativas graves);</w:t>
      </w:r>
    </w:p>
    <w:p w14:paraId="1B3AE9F7" w14:textId="77777777" w:rsidR="00C00996" w:rsidRPr="006F6A3F" w:rsidRDefault="00C00996" w:rsidP="00C00996">
      <w:pPr>
        <w:pStyle w:val="Prrafodelista"/>
        <w:numPr>
          <w:ilvl w:val="1"/>
          <w:numId w:val="2"/>
        </w:numPr>
        <w:spacing w:after="240" w:line="360" w:lineRule="auto"/>
        <w:ind w:left="1701" w:right="567"/>
        <w:jc w:val="both"/>
        <w:rPr>
          <w:rFonts w:ascii="Palatino Linotype" w:hAnsi="Palatino Linotype"/>
          <w:b/>
          <w:bCs/>
          <w:color w:val="000000"/>
          <w:highlight w:val="yellow"/>
        </w:rPr>
      </w:pPr>
      <w:r w:rsidRPr="006F6A3F">
        <w:rPr>
          <w:rFonts w:ascii="Palatino Linotype" w:hAnsi="Palatino Linotype"/>
          <w:b/>
          <w:bCs/>
          <w:color w:val="000000"/>
          <w:highlight w:val="yellow"/>
        </w:rPr>
        <w:t>Tipo de sanción;</w:t>
      </w:r>
    </w:p>
    <w:p w14:paraId="3E2E60DA" w14:textId="77777777" w:rsidR="00C00996" w:rsidRPr="006F6A3F" w:rsidRDefault="00C00996" w:rsidP="00C00996">
      <w:pPr>
        <w:pStyle w:val="Prrafodelista"/>
        <w:numPr>
          <w:ilvl w:val="1"/>
          <w:numId w:val="2"/>
        </w:numPr>
        <w:spacing w:after="240" w:line="360" w:lineRule="auto"/>
        <w:ind w:left="1701" w:right="567"/>
        <w:jc w:val="both"/>
        <w:rPr>
          <w:rFonts w:ascii="Palatino Linotype" w:hAnsi="Palatino Linotype"/>
          <w:b/>
          <w:bCs/>
          <w:color w:val="000000"/>
          <w:highlight w:val="yellow"/>
        </w:rPr>
      </w:pPr>
      <w:r w:rsidRPr="006F6A3F">
        <w:rPr>
          <w:rFonts w:ascii="Palatino Linotype" w:hAnsi="Palatino Linotype"/>
          <w:b/>
          <w:bCs/>
          <w:color w:val="000000"/>
          <w:highlight w:val="yellow"/>
        </w:rPr>
        <w:t>Tiempo de inhabilitación, de ser el caso; y</w:t>
      </w:r>
    </w:p>
    <w:p w14:paraId="41A2AEBC" w14:textId="144666E9" w:rsidR="00C00996" w:rsidRPr="006F6A3F" w:rsidRDefault="00C00996" w:rsidP="00C00996">
      <w:pPr>
        <w:pStyle w:val="Prrafodelista"/>
        <w:numPr>
          <w:ilvl w:val="1"/>
          <w:numId w:val="2"/>
        </w:numPr>
        <w:spacing w:after="240" w:line="360" w:lineRule="auto"/>
        <w:ind w:left="1701" w:right="567"/>
        <w:jc w:val="both"/>
        <w:rPr>
          <w:rFonts w:ascii="Palatino Linotype" w:hAnsi="Palatino Linotype"/>
          <w:b/>
          <w:bCs/>
          <w:color w:val="000000"/>
          <w:highlight w:val="yellow"/>
        </w:rPr>
      </w:pPr>
      <w:r w:rsidRPr="006F6A3F">
        <w:rPr>
          <w:rFonts w:ascii="Palatino Linotype" w:hAnsi="Palatino Linotype"/>
          <w:b/>
          <w:bCs/>
          <w:color w:val="000000"/>
          <w:highlight w:val="yellow"/>
        </w:rPr>
        <w:t>Monto de la sanción económica, de ser el caso.</w:t>
      </w:r>
    </w:p>
    <w:p w14:paraId="326766E2" w14:textId="4A4F705D" w:rsidR="004D54E4" w:rsidRPr="00A7313E" w:rsidRDefault="00C00996" w:rsidP="0028422E">
      <w:pPr>
        <w:pStyle w:val="Prrafodelista"/>
        <w:numPr>
          <w:ilvl w:val="0"/>
          <w:numId w:val="2"/>
        </w:numPr>
        <w:spacing w:after="240" w:line="360" w:lineRule="auto"/>
        <w:ind w:left="851" w:right="567" w:hanging="284"/>
        <w:jc w:val="both"/>
        <w:rPr>
          <w:rFonts w:ascii="Palatino Linotype" w:hAnsi="Palatino Linotype"/>
          <w:b/>
          <w:bCs/>
          <w:color w:val="000000"/>
        </w:rPr>
      </w:pPr>
      <w:r>
        <w:rPr>
          <w:rFonts w:ascii="Palatino Linotype" w:hAnsi="Palatino Linotype"/>
          <w:b/>
          <w:bCs/>
          <w:color w:val="000000"/>
          <w:highlight w:val="yellow"/>
        </w:rPr>
        <w:t>E</w:t>
      </w:r>
      <w:r w:rsidR="0028422E" w:rsidRPr="0028422E">
        <w:rPr>
          <w:rFonts w:ascii="Palatino Linotype" w:hAnsi="Palatino Linotype"/>
          <w:b/>
          <w:bCs/>
          <w:color w:val="000000"/>
          <w:highlight w:val="yellow"/>
        </w:rPr>
        <w:t xml:space="preserve">xpedientes de responsabilidad administrativa concluidos, así como aquéllos que se encuentren en trámite y que actualicen alguna de las excepciones contempladas en el artículo 142 de la Ley de Transparencia y Acceso a la Información Pública del Estado de México y Municipios, </w:t>
      </w:r>
      <w:r w:rsidR="004C4EF2" w:rsidRPr="0028422E">
        <w:rPr>
          <w:rFonts w:ascii="Palatino Linotype" w:hAnsi="Palatino Linotype"/>
          <w:b/>
          <w:bCs/>
          <w:color w:val="000000"/>
          <w:highlight w:val="yellow"/>
        </w:rPr>
        <w:t>abiertos por el Órgano Interno de Control, del uno (01) de enero de dos mil dieciocho</w:t>
      </w:r>
      <w:r w:rsidR="00A73BAD">
        <w:rPr>
          <w:rFonts w:ascii="Palatino Linotype" w:hAnsi="Palatino Linotype"/>
          <w:b/>
          <w:bCs/>
          <w:color w:val="000000"/>
          <w:highlight w:val="yellow"/>
        </w:rPr>
        <w:t>,</w:t>
      </w:r>
      <w:r w:rsidR="004C4EF2" w:rsidRPr="0028422E">
        <w:rPr>
          <w:rFonts w:ascii="Palatino Linotype" w:hAnsi="Palatino Linotype"/>
          <w:b/>
          <w:bCs/>
          <w:color w:val="000000"/>
          <w:highlight w:val="yellow"/>
        </w:rPr>
        <w:t xml:space="preserve"> al treinta y uno (31) de mayo de dos mil </w:t>
      </w:r>
      <w:r w:rsidR="004C4EF2" w:rsidRPr="00A7313E">
        <w:rPr>
          <w:rFonts w:ascii="Palatino Linotype" w:hAnsi="Palatino Linotype"/>
          <w:b/>
          <w:bCs/>
          <w:color w:val="000000"/>
          <w:highlight w:val="cyan"/>
        </w:rPr>
        <w:t>veinti</w:t>
      </w:r>
      <w:r w:rsidR="00A7313E" w:rsidRPr="00A7313E">
        <w:rPr>
          <w:rFonts w:ascii="Palatino Linotype" w:hAnsi="Palatino Linotype"/>
          <w:b/>
          <w:bCs/>
          <w:color w:val="000000"/>
          <w:highlight w:val="cyan"/>
        </w:rPr>
        <w:t>uno</w:t>
      </w:r>
      <w:r w:rsidR="004C4EF2" w:rsidRPr="00A7313E">
        <w:rPr>
          <w:rFonts w:ascii="Palatino Linotype" w:hAnsi="Palatino Linotype"/>
          <w:b/>
          <w:bCs/>
          <w:color w:val="000000"/>
          <w:highlight w:val="cyan"/>
        </w:rPr>
        <w:t>.</w:t>
      </w:r>
    </w:p>
    <w:p w14:paraId="14F6A209" w14:textId="6318C517" w:rsidR="0028422E" w:rsidRPr="0028422E" w:rsidRDefault="0028422E" w:rsidP="0028422E">
      <w:pPr>
        <w:pStyle w:val="Prrafodelista"/>
        <w:numPr>
          <w:ilvl w:val="0"/>
          <w:numId w:val="2"/>
        </w:numPr>
        <w:spacing w:after="240" w:line="360" w:lineRule="auto"/>
        <w:ind w:left="851" w:right="567" w:hanging="284"/>
        <w:jc w:val="both"/>
        <w:rPr>
          <w:rFonts w:ascii="Palatino Linotype" w:hAnsi="Palatino Linotype"/>
          <w:b/>
          <w:bCs/>
          <w:color w:val="000000"/>
          <w:highlight w:val="yellow"/>
        </w:rPr>
      </w:pPr>
      <w:r w:rsidRPr="0028422E">
        <w:rPr>
          <w:rFonts w:ascii="Palatino Linotype" w:hAnsi="Palatino Linotype"/>
          <w:b/>
          <w:bCs/>
          <w:color w:val="000000"/>
          <w:highlight w:val="yellow"/>
        </w:rPr>
        <w:t>Acuerdo del Comité de Transparencia</w:t>
      </w:r>
      <w:r w:rsidRPr="0028422E">
        <w:rPr>
          <w:rFonts w:ascii="Palatino Linotype" w:hAnsi="Palatino Linotype"/>
          <w:b/>
          <w:color w:val="000000" w:themeColor="text1"/>
          <w:highlight w:val="yellow"/>
        </w:rPr>
        <w:t xml:space="preserve"> que clasifique, como información reservada, los expedientes formados por procedimientos de responsabilidades administrativas no graves, que aún no obtengan una sentencia firme.</w:t>
      </w:r>
    </w:p>
    <w:p w14:paraId="484E00EF" w14:textId="2205AC1F" w:rsidR="0028422E" w:rsidRPr="0028422E" w:rsidRDefault="0028422E" w:rsidP="0028422E">
      <w:pPr>
        <w:pStyle w:val="Prrafodelista"/>
        <w:numPr>
          <w:ilvl w:val="0"/>
          <w:numId w:val="2"/>
        </w:numPr>
        <w:spacing w:after="240" w:line="360" w:lineRule="auto"/>
        <w:ind w:left="851" w:right="567" w:hanging="284"/>
        <w:jc w:val="both"/>
        <w:rPr>
          <w:rFonts w:ascii="Palatino Linotype" w:hAnsi="Palatino Linotype"/>
          <w:b/>
          <w:bCs/>
          <w:color w:val="000000"/>
          <w:highlight w:val="yellow"/>
        </w:rPr>
      </w:pPr>
      <w:r w:rsidRPr="0028422E">
        <w:rPr>
          <w:rFonts w:ascii="Palatino Linotype" w:hAnsi="Palatino Linotype"/>
          <w:b/>
          <w:bCs/>
          <w:color w:val="000000"/>
          <w:highlight w:val="yellow"/>
        </w:rPr>
        <w:t>Acuerdo del Comité de Transparencia</w:t>
      </w:r>
      <w:r w:rsidRPr="0028422E">
        <w:rPr>
          <w:rFonts w:ascii="Palatino Linotype" w:hAnsi="Palatino Linotype"/>
          <w:b/>
          <w:color w:val="000000" w:themeColor="text1"/>
          <w:highlight w:val="yellow"/>
        </w:rPr>
        <w:t xml:space="preserve"> que clasifique, como información confidencial, el nombre de los servidores públicos sancionados por faltas administrativas no graves.</w:t>
      </w:r>
    </w:p>
    <w:p w14:paraId="2DA954F0" w14:textId="77F938EE" w:rsidR="000D7CBE" w:rsidRDefault="000D7CBE" w:rsidP="000D7CBE">
      <w:pPr>
        <w:tabs>
          <w:tab w:val="left" w:pos="993"/>
        </w:tabs>
        <w:spacing w:line="360" w:lineRule="auto"/>
        <w:jc w:val="both"/>
        <w:rPr>
          <w:rFonts w:ascii="Palatino Linotype" w:eastAsia="Calibri" w:hAnsi="Palatino Linotype" w:cs="Arial"/>
        </w:rPr>
      </w:pPr>
      <w:r w:rsidRPr="00267985">
        <w:rPr>
          <w:rFonts w:ascii="Palatino Linotype" w:hAnsi="Palatino Linotype"/>
          <w:color w:val="000000"/>
        </w:rPr>
        <w:t xml:space="preserve">Para </w:t>
      </w:r>
      <w:r w:rsidRPr="00267985">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267985">
        <w:rPr>
          <w:rFonts w:ascii="Palatino Linotype" w:eastAsia="Calibri" w:hAnsi="Palatino Linotype" w:cs="Arial"/>
        </w:rPr>
        <w:t xml:space="preserve"> fracción VIII</w:t>
      </w:r>
      <w:r>
        <w:rPr>
          <w:rFonts w:ascii="Palatino Linotype" w:eastAsia="Calibri" w:hAnsi="Palatino Linotype" w:cs="Arial"/>
        </w:rPr>
        <w:t>,</w:t>
      </w:r>
      <w:r w:rsidRPr="00267985">
        <w:rPr>
          <w:rFonts w:ascii="Palatino Linotype" w:eastAsia="Calibri" w:hAnsi="Palatino Linotype" w:cs="Arial"/>
        </w:rPr>
        <w:t xml:space="preserve"> y 132</w:t>
      </w:r>
      <w:r>
        <w:rPr>
          <w:rFonts w:ascii="Palatino Linotype" w:eastAsia="Calibri" w:hAnsi="Palatino Linotype" w:cs="Arial"/>
        </w:rPr>
        <w:t>,</w:t>
      </w:r>
      <w:r w:rsidRPr="00267985">
        <w:rPr>
          <w:rFonts w:ascii="Palatino Linotype" w:eastAsia="Calibri" w:hAnsi="Palatino Linotype" w:cs="Arial"/>
        </w:rPr>
        <w:t xml:space="preserve"> fracción II</w:t>
      </w:r>
      <w:r>
        <w:rPr>
          <w:rFonts w:ascii="Palatino Linotype" w:eastAsia="Calibri" w:hAnsi="Palatino Linotype" w:cs="Arial"/>
        </w:rPr>
        <w:t>,</w:t>
      </w:r>
      <w:r w:rsidRPr="00267985">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67985">
        <w:rPr>
          <w:rFonts w:ascii="Palatino Linotype" w:eastAsia="Calibri" w:hAnsi="Palatino Linotype" w:cs="Arial"/>
          <w:b/>
        </w:rPr>
        <w:t>RECURRENTE</w:t>
      </w:r>
      <w:r w:rsidRPr="00267985">
        <w:rPr>
          <w:rFonts w:ascii="Palatino Linotype" w:eastAsia="Calibri" w:hAnsi="Palatino Linotype" w:cs="Arial"/>
        </w:rPr>
        <w:t>.</w:t>
      </w:r>
    </w:p>
    <w:p w14:paraId="3D36B4E4" w14:textId="77777777" w:rsidR="00325B05" w:rsidRDefault="00325B05" w:rsidP="000D7CBE">
      <w:pPr>
        <w:tabs>
          <w:tab w:val="left" w:pos="993"/>
        </w:tabs>
        <w:spacing w:line="360" w:lineRule="auto"/>
        <w:jc w:val="both"/>
        <w:rPr>
          <w:rFonts w:ascii="Palatino Linotype" w:eastAsia="Calibri" w:hAnsi="Palatino Linotype" w:cs="Arial"/>
        </w:rPr>
      </w:pPr>
    </w:p>
    <w:p w14:paraId="381522D4" w14:textId="0C3B8442" w:rsidR="00922B81" w:rsidRDefault="00743CAC" w:rsidP="00922B81">
      <w:pPr>
        <w:spacing w:line="360" w:lineRule="auto"/>
        <w:jc w:val="both"/>
        <w:rPr>
          <w:rFonts w:ascii="Palatino Linotype" w:eastAsia="MS Mincho" w:hAnsi="Palatino Linotype"/>
          <w:color w:val="000000"/>
        </w:rPr>
      </w:pPr>
      <w:r w:rsidRPr="00CA0640">
        <w:rPr>
          <w:rFonts w:ascii="Palatino Linotype" w:eastAsia="MS Mincho" w:hAnsi="Palatino Linotype" w:cs="Times New Roman"/>
          <w:b/>
          <w:color w:val="000000"/>
          <w:sz w:val="28"/>
          <w:szCs w:val="28"/>
        </w:rPr>
        <w:t>TERCERO</w:t>
      </w:r>
      <w:r w:rsidRPr="00922B81">
        <w:rPr>
          <w:rFonts w:ascii="Palatino Linotype" w:eastAsia="MS Mincho" w:hAnsi="Palatino Linotype" w:cs="Times New Roman"/>
          <w:b/>
          <w:color w:val="000000"/>
        </w:rPr>
        <w:t>.</w:t>
      </w:r>
      <w:r w:rsidRPr="00922B81">
        <w:rPr>
          <w:rFonts w:ascii="Palatino Linotype" w:eastAsia="MS Mincho" w:hAnsi="Palatino Linotype" w:cs="Times New Roman"/>
          <w:color w:val="000000"/>
        </w:rPr>
        <w:t xml:space="preserve"> </w:t>
      </w:r>
      <w:r w:rsidR="00922B81" w:rsidRPr="00922B81">
        <w:rPr>
          <w:rFonts w:ascii="Palatino Linotype" w:eastAsia="MS Mincho" w:hAnsi="Palatino Linotype"/>
          <w:color w:val="000000"/>
        </w:rPr>
        <w:t xml:space="preserve">Notifíquese al Titular de la Unidad de Transparencia </w:t>
      </w:r>
      <w:r w:rsidR="00922B81" w:rsidRPr="00922B81">
        <w:rPr>
          <w:rFonts w:ascii="Palatino Linotype" w:eastAsia="MS Mincho" w:hAnsi="Palatino Linotype" w:cs="Arial"/>
          <w:color w:val="222222"/>
          <w:lang w:val="es-ES_tradnl" w:eastAsia="es-MX"/>
        </w:rPr>
        <w:t xml:space="preserve">del </w:t>
      </w:r>
      <w:r w:rsidR="00922B81" w:rsidRPr="00922B81">
        <w:rPr>
          <w:rFonts w:ascii="Palatino Linotype" w:eastAsia="MS Mincho" w:hAnsi="Palatino Linotype" w:cs="Arial"/>
          <w:b/>
          <w:bCs/>
          <w:color w:val="222222"/>
          <w:lang w:val="es-ES_tradnl" w:eastAsia="es-MX"/>
        </w:rPr>
        <w:t xml:space="preserve">SUJETO OBLIGADO </w:t>
      </w:r>
      <w:r w:rsidR="00922B81" w:rsidRPr="00922B81">
        <w:rPr>
          <w:rFonts w:ascii="Palatino Linotype" w:eastAsia="MS Mincho" w:hAnsi="Palatino Linotype" w:cs="Arial"/>
          <w:bCs/>
          <w:color w:val="222222"/>
          <w:lang w:val="es-ES_tradnl" w:eastAsia="es-MX"/>
        </w:rPr>
        <w:t>la presente resolución, vía Sistema de Acceso a la Información Mexiquense (SAIMEX)</w:t>
      </w:r>
      <w:r w:rsidR="00922B81" w:rsidRPr="00922B81">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ordenado </w:t>
      </w:r>
      <w:r w:rsidR="00922B81" w:rsidRPr="006F6A3F">
        <w:rPr>
          <w:rFonts w:ascii="Palatino Linotype" w:eastAsia="MS Mincho" w:hAnsi="Palatino Linotype" w:cs="Arial"/>
          <w:b/>
          <w:color w:val="222222"/>
          <w:lang w:val="es-ES_tradnl" w:eastAsia="es-MX"/>
        </w:rPr>
        <w:t>dentro del plazo de diez días hábiles,</w:t>
      </w:r>
      <w:r w:rsidR="00922B81" w:rsidRPr="00922B81">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EACC04" w14:textId="1DE5EC92" w:rsidR="00743CAC" w:rsidRDefault="00743CAC" w:rsidP="00743CAC">
      <w:pPr>
        <w:spacing w:line="360" w:lineRule="auto"/>
        <w:jc w:val="both"/>
        <w:rPr>
          <w:rFonts w:ascii="Palatino Linotype" w:eastAsia="MS Mincho" w:hAnsi="Palatino Linotype" w:cs="Times New Roman"/>
          <w:color w:val="000000"/>
        </w:rPr>
      </w:pPr>
    </w:p>
    <w:p w14:paraId="24A1876D" w14:textId="77777777" w:rsidR="00743CAC" w:rsidRDefault="00743CAC" w:rsidP="00743CAC">
      <w:pPr>
        <w:spacing w:line="360" w:lineRule="auto"/>
        <w:jc w:val="both"/>
        <w:rPr>
          <w:rFonts w:ascii="Palatino Linotype" w:eastAsia="MS Mincho" w:hAnsi="Palatino Linotype" w:cs="Times New Roman"/>
          <w:color w:val="000000"/>
        </w:rPr>
      </w:pPr>
    </w:p>
    <w:p w14:paraId="63D52F7F" w14:textId="77777777"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56242C58"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 xml:space="preserve"> vía Sistema de Acceso a la Información Mexiquense (SAIMEX).</w:t>
      </w:r>
    </w:p>
    <w:p w14:paraId="67C9222E" w14:textId="77777777" w:rsidR="00743CAC" w:rsidRPr="00970362" w:rsidRDefault="00743CAC" w:rsidP="00743CAC">
      <w:pPr>
        <w:spacing w:line="360" w:lineRule="auto"/>
        <w:jc w:val="both"/>
        <w:rPr>
          <w:rFonts w:ascii="Palatino Linotype" w:hAnsi="Palatino Linotype"/>
          <w:b/>
        </w:rPr>
      </w:pPr>
    </w:p>
    <w:p w14:paraId="2A314043" w14:textId="7FD33A16" w:rsidR="00743CAC" w:rsidRPr="00F75114" w:rsidRDefault="00743CAC" w:rsidP="00743CAC">
      <w:pPr>
        <w:spacing w:line="360" w:lineRule="auto"/>
        <w:jc w:val="both"/>
        <w:rPr>
          <w:rFonts w:ascii="Palatino Linotype" w:eastAsia="MS Mincho" w:hAnsi="Palatino Linotype" w:cs="Times New Roman"/>
          <w:color w:val="000000"/>
        </w:rPr>
      </w:pPr>
      <w:r w:rsidRPr="00596238">
        <w:rPr>
          <w:rFonts w:ascii="Palatino Linotype" w:eastAsia="MS Mincho" w:hAnsi="Palatino Linotype" w:cs="Times New Roman"/>
          <w:b/>
          <w:sz w:val="28"/>
          <w:szCs w:val="28"/>
        </w:rPr>
        <w:t>SEXTO</w:t>
      </w:r>
      <w:r w:rsidRPr="00596238">
        <w:rPr>
          <w:rFonts w:ascii="Palatino Linotype" w:eastAsia="MS Mincho" w:hAnsi="Palatino Linotype" w:cs="Times New Roman"/>
          <w:b/>
          <w:color w:val="000000"/>
        </w:rPr>
        <w:t xml:space="preserve">. </w:t>
      </w:r>
      <w:r w:rsidRPr="00596238">
        <w:rPr>
          <w:rFonts w:ascii="Palatino Linotype" w:eastAsia="MS Mincho" w:hAnsi="Palatino Linotype" w:cs="Times New Roman"/>
          <w:color w:val="000000"/>
        </w:rPr>
        <w:t xml:space="preserve">Se </w:t>
      </w:r>
      <w:bookmarkEnd w:id="30"/>
      <w:r w:rsidRPr="00596238">
        <w:rPr>
          <w:rFonts w:ascii="Palatino Linotype" w:eastAsia="MS Mincho" w:hAnsi="Palatino Linotype" w:cs="Times New Roman"/>
          <w:color w:val="000000" w:themeColor="text1"/>
        </w:rPr>
        <w:t>hace del conocimiento del</w:t>
      </w:r>
      <w:r w:rsidRPr="00596238">
        <w:rPr>
          <w:rFonts w:ascii="Palatino Linotype" w:eastAsia="MS Mincho" w:hAnsi="Palatino Linotype" w:cs="Times New Roman"/>
          <w:b/>
          <w:color w:val="000000" w:themeColor="text1"/>
        </w:rPr>
        <w:t xml:space="preserve"> RECURRENTE </w:t>
      </w:r>
      <w:r w:rsidRPr="00596238">
        <w:rPr>
          <w:rFonts w:ascii="Palatino Linotype" w:eastAsia="MS Mincho" w:hAnsi="Palatino Linotype" w:cs="Times New Roman"/>
          <w:color w:val="000000" w:themeColor="text1"/>
        </w:rPr>
        <w:t xml:space="preserve">que, </w:t>
      </w:r>
      <w:r w:rsidR="00F75114" w:rsidRPr="00596238">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w:t>
      </w:r>
      <w:r w:rsidR="00F75114" w:rsidRPr="00596238">
        <w:rPr>
          <w:rFonts w:ascii="Palatino Linotype" w:eastAsia="MS Mincho" w:hAnsi="Palatino Linotype" w:cs="Times New Roman"/>
          <w:color w:val="000000"/>
          <w:lang w:val="es-ES"/>
        </w:rPr>
        <w:lastRenderedPageBreak/>
        <w:t xml:space="preserve">resolución le cause algún perjuicio podrá impugnarla </w:t>
      </w:r>
      <w:r w:rsidR="00F75114" w:rsidRPr="00596238">
        <w:rPr>
          <w:rFonts w:ascii="Palatino Linotype" w:eastAsia="MS Mincho" w:hAnsi="Palatino Linotype" w:cs="Times New Roman"/>
          <w:bCs/>
          <w:color w:val="000000"/>
          <w:lang w:val="es-ES"/>
        </w:rPr>
        <w:t>vía juicio de amparo</w:t>
      </w:r>
      <w:r w:rsidR="00F75114" w:rsidRPr="00596238">
        <w:rPr>
          <w:rFonts w:ascii="Palatino Linotype" w:eastAsia="MS Mincho" w:hAnsi="Palatino Linotype" w:cs="Times New Roman"/>
          <w:color w:val="000000"/>
          <w:lang w:val="es-ES"/>
        </w:rPr>
        <w:t xml:space="preserve"> en los términos de las leyes aplicables</w:t>
      </w:r>
      <w:r w:rsidR="00C603F1" w:rsidRPr="00596238">
        <w:rPr>
          <w:rFonts w:ascii="Palatino Linotype" w:eastAsia="MS Mincho" w:hAnsi="Palatino Linotype"/>
          <w:color w:val="000000" w:themeColor="text1"/>
        </w:rPr>
        <w:t>.</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00C6B49A" w14:textId="77777777" w:rsidR="006F6A3F" w:rsidRPr="006F6A3F" w:rsidRDefault="006F6A3F" w:rsidP="006F6A3F">
      <w:pPr>
        <w:spacing w:before="240" w:after="240" w:line="360" w:lineRule="auto"/>
        <w:ind w:firstLine="1"/>
        <w:jc w:val="both"/>
        <w:rPr>
          <w:rFonts w:ascii="Palatino Linotype" w:hAnsi="Palatino Linotype"/>
          <w:smallCaps/>
        </w:rPr>
      </w:pPr>
      <w:bookmarkStart w:id="31" w:name="_Hlk129792997"/>
      <w:r w:rsidRPr="006F6A3F">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PRIMERA SESIÓN ORDINARIA CELEBRADA EL SIETE (07) DE JUNIO DE DOS MIL VEINTITRÉS, ANTE EL SECRETARIO TÉCNICO DEL PLENO ALEXIS TAPIA RAMÍREZ. </w:t>
      </w:r>
      <w:bookmarkEnd w:id="31"/>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2"/>
      <w:footerReference w:type="default" r:id="rId13"/>
      <w:headerReference w:type="first" r:id="rId14"/>
      <w:footerReference w:type="first" r:id="rId15"/>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35A5A" w14:textId="77777777" w:rsidR="00207421" w:rsidRDefault="00207421" w:rsidP="00587366">
      <w:r>
        <w:separator/>
      </w:r>
    </w:p>
  </w:endnote>
  <w:endnote w:type="continuationSeparator" w:id="0">
    <w:p w14:paraId="22898AE7" w14:textId="77777777" w:rsidR="00207421" w:rsidRDefault="00207421" w:rsidP="00587366">
      <w:r>
        <w:continuationSeparator/>
      </w:r>
    </w:p>
  </w:endnote>
  <w:endnote w:type="continuationNotice" w:id="1">
    <w:p w14:paraId="20377B1B" w14:textId="77777777" w:rsidR="00207421" w:rsidRDefault="00207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900600" w:rsidRPr="00883450" w:rsidRDefault="0090060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A7D1E">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A7D1E">
              <w:rPr>
                <w:rFonts w:ascii="Palatino Linotype" w:hAnsi="Palatino Linotype"/>
                <w:b/>
                <w:bCs/>
                <w:noProof/>
                <w:sz w:val="22"/>
                <w:szCs w:val="20"/>
              </w:rPr>
              <w:t>79</w:t>
            </w:r>
            <w:r w:rsidRPr="00883450">
              <w:rPr>
                <w:rFonts w:ascii="Palatino Linotype" w:hAnsi="Palatino Linotype"/>
                <w:b/>
                <w:bCs/>
                <w:sz w:val="22"/>
                <w:szCs w:val="20"/>
              </w:rPr>
              <w:fldChar w:fldCharType="end"/>
            </w:r>
          </w:p>
        </w:sdtContent>
      </w:sdt>
    </w:sdtContent>
  </w:sdt>
  <w:p w14:paraId="6243EC1B" w14:textId="0E7C8B1E" w:rsidR="00900600" w:rsidRDefault="009006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00600" w:rsidRPr="00883450" w:rsidRDefault="0090060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A7D1E" w:rsidRPr="001A7D1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A7D1E" w:rsidRPr="001A7D1E">
      <w:rPr>
        <w:rFonts w:ascii="Palatino Linotype" w:hAnsi="Palatino Linotype"/>
        <w:noProof/>
        <w:sz w:val="22"/>
        <w:szCs w:val="22"/>
        <w:lang w:val="es-ES"/>
      </w:rPr>
      <w:t>79</w:t>
    </w:r>
    <w:r w:rsidRPr="00883450">
      <w:rPr>
        <w:rFonts w:ascii="Palatino Linotype" w:hAnsi="Palatino Linotype"/>
        <w:sz w:val="22"/>
        <w:szCs w:val="22"/>
      </w:rPr>
      <w:fldChar w:fldCharType="end"/>
    </w:r>
  </w:p>
  <w:p w14:paraId="5F5C4865" w14:textId="6B993D8B" w:rsidR="00900600" w:rsidRPr="00883450" w:rsidRDefault="0090060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66867" w14:textId="77777777" w:rsidR="00207421" w:rsidRDefault="00207421" w:rsidP="00587366">
      <w:r>
        <w:separator/>
      </w:r>
    </w:p>
  </w:footnote>
  <w:footnote w:type="continuationSeparator" w:id="0">
    <w:p w14:paraId="687BF87C" w14:textId="77777777" w:rsidR="00207421" w:rsidRDefault="00207421" w:rsidP="00587366">
      <w:r>
        <w:continuationSeparator/>
      </w:r>
    </w:p>
  </w:footnote>
  <w:footnote w:type="continuationNotice" w:id="1">
    <w:p w14:paraId="3CED43FE" w14:textId="77777777" w:rsidR="00207421" w:rsidRDefault="00207421"/>
  </w:footnote>
  <w:footnote w:id="2">
    <w:p w14:paraId="0D450E59" w14:textId="77777777" w:rsidR="00900600" w:rsidRPr="00C7183E" w:rsidRDefault="00900600" w:rsidP="008F4D8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2D44310B" w14:textId="77777777" w:rsidR="00900600" w:rsidRDefault="00900600" w:rsidP="008F4D8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2C1A3C21" w14:textId="77777777" w:rsidR="00900600" w:rsidRDefault="00900600" w:rsidP="008F4D8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7CFF1D76" w14:textId="77777777" w:rsidR="00900600" w:rsidRPr="009C43C2" w:rsidRDefault="0090060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900600" w:rsidRPr="009C43C2" w:rsidRDefault="0090060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900600" w:rsidRPr="009C43C2" w:rsidRDefault="0090060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900600" w:rsidRDefault="00900600"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1AD34A50" w14:textId="77777777" w:rsidR="00900600" w:rsidRDefault="00900600"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900600" w:rsidRDefault="00900600" w:rsidP="004B20FF">
      <w:pPr>
        <w:pStyle w:val="Textonotapie"/>
      </w:pPr>
      <w:r>
        <w:rPr>
          <w:rStyle w:val="Refdenotaalpie"/>
        </w:rPr>
        <w:footnoteRef/>
      </w:r>
      <w:r>
        <w:t xml:space="preserve"> Artículo 51, Ídem.</w:t>
      </w:r>
    </w:p>
  </w:footnote>
  <w:footnote w:id="11">
    <w:p w14:paraId="64B17C69" w14:textId="77777777" w:rsidR="00900600" w:rsidRDefault="00900600"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900600" w:rsidRDefault="00900600" w:rsidP="004B20FF">
      <w:pPr>
        <w:pStyle w:val="Textonotapie"/>
      </w:pPr>
      <w:r>
        <w:rPr>
          <w:rStyle w:val="Refdenotaalpie"/>
        </w:rPr>
        <w:footnoteRef/>
      </w:r>
      <w:r>
        <w:t xml:space="preserve"> Artículo 59, Ídem.</w:t>
      </w:r>
    </w:p>
  </w:footnote>
  <w:footnote w:id="13">
    <w:p w14:paraId="12F1E9D2" w14:textId="343A4E12" w:rsidR="00900600" w:rsidRPr="00754898" w:rsidRDefault="00900600">
      <w:pPr>
        <w:pStyle w:val="Textonotapie"/>
      </w:pPr>
      <w:r>
        <w:rPr>
          <w:rStyle w:val="Refdenotaalpie"/>
        </w:rPr>
        <w:footnoteRef/>
      </w:r>
      <w:r>
        <w:t xml:space="preserve"> Consultable en: </w:t>
      </w:r>
      <w:r w:rsidRPr="00754898">
        <w:t>https://tinyurl.com/mtzujx63</w:t>
      </w:r>
    </w:p>
  </w:footnote>
  <w:footnote w:id="14">
    <w:p w14:paraId="16152C07" w14:textId="076090E5" w:rsidR="00900600" w:rsidRPr="00754898" w:rsidRDefault="00900600">
      <w:pPr>
        <w:pStyle w:val="Textonotapie"/>
      </w:pPr>
      <w:r>
        <w:rPr>
          <w:rStyle w:val="Refdenotaalpie"/>
        </w:rPr>
        <w:footnoteRef/>
      </w:r>
      <w:r>
        <w:t xml:space="preserve"> Consultable en: </w:t>
      </w:r>
      <w:r w:rsidRPr="00754898">
        <w:t>https://tinyurl.com/ud6uhjsc</w:t>
      </w:r>
    </w:p>
  </w:footnote>
  <w:footnote w:id="15">
    <w:p w14:paraId="2B5D5FDE" w14:textId="77777777" w:rsidR="00900600" w:rsidRDefault="00900600" w:rsidP="00F70DDB">
      <w:pPr>
        <w:pStyle w:val="Textonotapie"/>
      </w:pPr>
      <w:r>
        <w:rPr>
          <w:rStyle w:val="Refdenotaalpie"/>
        </w:rPr>
        <w:footnoteRef/>
      </w:r>
      <w:r>
        <w:t xml:space="preserve"> Artículo 86, Ley Orgánica Municipal del Estado de México.</w:t>
      </w:r>
    </w:p>
  </w:footnote>
  <w:footnote w:id="16">
    <w:p w14:paraId="3833A4C9" w14:textId="77777777" w:rsidR="00900600" w:rsidRDefault="00900600" w:rsidP="00F70DDB">
      <w:pPr>
        <w:pStyle w:val="Textonotapie"/>
      </w:pPr>
      <w:r>
        <w:rPr>
          <w:rStyle w:val="Refdenotaalpie"/>
        </w:rPr>
        <w:footnoteRef/>
      </w:r>
      <w:r>
        <w:t xml:space="preserve"> Artículo 87, Ley Orgánica Municipal del Estado de México.</w:t>
      </w:r>
    </w:p>
  </w:footnote>
  <w:footnote w:id="17">
    <w:p w14:paraId="46ABB996" w14:textId="30EFCE4B" w:rsidR="00900600" w:rsidRPr="00197827" w:rsidRDefault="00900600">
      <w:pPr>
        <w:pStyle w:val="Textonotapie"/>
      </w:pPr>
      <w:r>
        <w:rPr>
          <w:rStyle w:val="Refdenotaalpie"/>
        </w:rPr>
        <w:footnoteRef/>
      </w:r>
      <w:r>
        <w:t xml:space="preserve"> Artículo 264, Bando Municipal 2022 de Malinalco.</w:t>
      </w:r>
    </w:p>
  </w:footnote>
  <w:footnote w:id="18">
    <w:p w14:paraId="678834D0" w14:textId="7F642D30" w:rsidR="00900600" w:rsidRPr="00197827" w:rsidRDefault="00900600">
      <w:pPr>
        <w:pStyle w:val="Textonotapie"/>
      </w:pPr>
      <w:r>
        <w:rPr>
          <w:rStyle w:val="Refdenotaalpie"/>
        </w:rPr>
        <w:footnoteRef/>
      </w:r>
      <w:r>
        <w:t xml:space="preserve"> Artículo 266, Ídem.</w:t>
      </w:r>
    </w:p>
  </w:footnote>
  <w:footnote w:id="19">
    <w:p w14:paraId="578A3123" w14:textId="77777777" w:rsidR="00900600" w:rsidRDefault="00900600" w:rsidP="00F70DDB">
      <w:pPr>
        <w:pStyle w:val="Textonotapie"/>
      </w:pPr>
      <w:r>
        <w:rPr>
          <w:rStyle w:val="Refdenotaalpie"/>
        </w:rPr>
        <w:footnoteRef/>
      </w:r>
      <w:r>
        <w:t xml:space="preserve"> Artículo 95 de la Ley de Responsabilidades Administrativas del Estado de México y Municipios.</w:t>
      </w:r>
    </w:p>
  </w:footnote>
  <w:footnote w:id="20">
    <w:p w14:paraId="6B8BFEBA" w14:textId="77777777" w:rsidR="00900600" w:rsidRDefault="00900600" w:rsidP="00F70DDB">
      <w:pPr>
        <w:pStyle w:val="Textonotapie"/>
      </w:pPr>
      <w:r>
        <w:rPr>
          <w:rStyle w:val="Refdenotaalpie"/>
        </w:rPr>
        <w:footnoteRef/>
      </w:r>
      <w:r>
        <w:t xml:space="preserve"> Artículo 94, Ley de Responsabilidades Administrativas del Estado de México y Municipios.</w:t>
      </w:r>
    </w:p>
  </w:footnote>
  <w:footnote w:id="21">
    <w:p w14:paraId="74B81ECD" w14:textId="77777777" w:rsidR="00900600" w:rsidRDefault="00900600" w:rsidP="00F70DDB">
      <w:pPr>
        <w:pStyle w:val="Textonotapie"/>
      </w:pPr>
      <w:r>
        <w:rPr>
          <w:rStyle w:val="Refdenotaalpie"/>
        </w:rPr>
        <w:footnoteRef/>
      </w:r>
      <w:r>
        <w:t xml:space="preserve"> Artículo 96, Ley de Responsabilidades Administrativas del Estado de México y Municipios.</w:t>
      </w:r>
    </w:p>
  </w:footnote>
  <w:footnote w:id="22">
    <w:p w14:paraId="56829AC7" w14:textId="77777777" w:rsidR="00900600" w:rsidRDefault="00900600" w:rsidP="00F70DDB">
      <w:pPr>
        <w:pStyle w:val="Textonotapie"/>
      </w:pPr>
      <w:r>
        <w:rPr>
          <w:rStyle w:val="Refdenotaalpie"/>
        </w:rPr>
        <w:footnoteRef/>
      </w:r>
      <w:r>
        <w:t xml:space="preserve"> Artículos 99, Ídem.</w:t>
      </w:r>
    </w:p>
  </w:footnote>
  <w:footnote w:id="23">
    <w:p w14:paraId="6B78AB51" w14:textId="77777777" w:rsidR="00900600" w:rsidRDefault="00900600" w:rsidP="00F70DDB">
      <w:pPr>
        <w:pStyle w:val="Textonotapie"/>
      </w:pPr>
      <w:r>
        <w:rPr>
          <w:rStyle w:val="Refdenotaalpie"/>
        </w:rPr>
        <w:footnoteRef/>
      </w:r>
      <w:r>
        <w:t xml:space="preserve"> Artículo 101, Ídem.</w:t>
      </w:r>
    </w:p>
  </w:footnote>
  <w:footnote w:id="24">
    <w:p w14:paraId="0F513944" w14:textId="77777777" w:rsidR="00900600" w:rsidRDefault="00900600" w:rsidP="00F70DDB">
      <w:pPr>
        <w:pStyle w:val="Textonotapie"/>
      </w:pPr>
      <w:r>
        <w:rPr>
          <w:rStyle w:val="Refdenotaalpie"/>
        </w:rPr>
        <w:footnoteRef/>
      </w:r>
      <w:r>
        <w:t xml:space="preserve"> Artículo 104 de la Ley de Responsabilidades Administrativas.</w:t>
      </w:r>
    </w:p>
  </w:footnote>
  <w:footnote w:id="25">
    <w:p w14:paraId="3A0E9C7A" w14:textId="77777777" w:rsidR="00900600" w:rsidRDefault="00900600" w:rsidP="00F70DDB">
      <w:pPr>
        <w:pStyle w:val="Textonotapie"/>
      </w:pPr>
      <w:r>
        <w:rPr>
          <w:rStyle w:val="Refdenotaalpie"/>
        </w:rPr>
        <w:footnoteRef/>
      </w:r>
      <w:r>
        <w:t xml:space="preserve"> Ídem.</w:t>
      </w:r>
    </w:p>
  </w:footnote>
  <w:footnote w:id="26">
    <w:p w14:paraId="5D95C5B1" w14:textId="77777777" w:rsidR="00900600" w:rsidRDefault="00900600" w:rsidP="00F70DDB">
      <w:pPr>
        <w:pStyle w:val="Textonotapie"/>
      </w:pPr>
      <w:r>
        <w:rPr>
          <w:rStyle w:val="Refdenotaalpie"/>
        </w:rPr>
        <w:footnoteRef/>
      </w:r>
      <w:r>
        <w:t xml:space="preserve"> Ídem.</w:t>
      </w:r>
    </w:p>
  </w:footnote>
  <w:footnote w:id="27">
    <w:p w14:paraId="55CDFB2E" w14:textId="77777777" w:rsidR="00900600" w:rsidRDefault="00900600" w:rsidP="00F70DDB">
      <w:pPr>
        <w:pStyle w:val="Textonotapie"/>
      </w:pPr>
      <w:r>
        <w:rPr>
          <w:rStyle w:val="Refdenotaalpie"/>
        </w:rPr>
        <w:footnoteRef/>
      </w:r>
      <w:r>
        <w:t xml:space="preserve"> Artículo 116 de la Ley de Responsabilidades Administrativas.</w:t>
      </w:r>
    </w:p>
  </w:footnote>
  <w:footnote w:id="28">
    <w:p w14:paraId="5A29F26B" w14:textId="77777777" w:rsidR="00900600" w:rsidRDefault="00900600" w:rsidP="00F70DDB">
      <w:pPr>
        <w:pStyle w:val="Textonotapie"/>
      </w:pPr>
      <w:r>
        <w:rPr>
          <w:rStyle w:val="Refdenotaalpie"/>
        </w:rPr>
        <w:footnoteRef/>
      </w:r>
      <w:r>
        <w:t xml:space="preserve"> Articulo 119, Ley de Responsabilidades Administrativas del Estado de México y Municipios.</w:t>
      </w:r>
    </w:p>
  </w:footnote>
  <w:footnote w:id="29">
    <w:p w14:paraId="6B0B40B1" w14:textId="77777777" w:rsidR="00900600" w:rsidRDefault="00900600" w:rsidP="00621F3F">
      <w:pPr>
        <w:pStyle w:val="Textonotapie"/>
      </w:pPr>
      <w:r>
        <w:rPr>
          <w:rStyle w:val="Refdenotaalpie"/>
        </w:rPr>
        <w:footnoteRef/>
      </w:r>
      <w:r>
        <w:t xml:space="preserve"> </w:t>
      </w:r>
      <w:r>
        <w:rPr>
          <w:b/>
          <w:bCs/>
        </w:rPr>
        <w:t>Artículo 140.-</w:t>
      </w:r>
      <w:r>
        <w:t xml:space="preserve"> Para los efectos de esta Ley, se considera información reservada, la clasificada como tal, de manera temporal, mediante acuerdo fundado y motivado, por los sujetos obligados cuando:</w:t>
      </w:r>
    </w:p>
    <w:p w14:paraId="29BDB39F" w14:textId="77777777" w:rsidR="00900600" w:rsidRDefault="00900600" w:rsidP="00621F3F">
      <w:pPr>
        <w:pStyle w:val="Textonotapie"/>
      </w:pPr>
      <w:r>
        <w:t>(…)</w:t>
      </w:r>
    </w:p>
    <w:p w14:paraId="6DA0B533" w14:textId="77777777" w:rsidR="00900600" w:rsidRDefault="00900600" w:rsidP="00621F3F">
      <w:pPr>
        <w:pStyle w:val="Textonotapie"/>
      </w:pPr>
      <w:r w:rsidRPr="003078D9">
        <w:rPr>
          <w:b/>
          <w:bCs/>
        </w:rPr>
        <w:t>IV.</w:t>
      </w:r>
      <w:r>
        <w:t xml:space="preserve"> Ponga en riesgo la vida, la seguridad o la salud de cualquier persona, o cause perjuicio a las actividades de fiscalización, verificación, inspección y comprobación del cumplimiento de las Leyes, de prevención del delito, procuración y administración de justicia, de readaptación social y de la recaudación de contribuciones;</w:t>
      </w:r>
    </w:p>
    <w:p w14:paraId="49544895" w14:textId="77777777" w:rsidR="00900600" w:rsidRDefault="00900600" w:rsidP="00621F3F">
      <w:pPr>
        <w:pStyle w:val="Textonotapie"/>
      </w:pPr>
      <w:r>
        <w:t>(…)</w:t>
      </w:r>
    </w:p>
    <w:p w14:paraId="41715B10" w14:textId="77777777" w:rsidR="00900600" w:rsidRPr="003078D9" w:rsidRDefault="00900600" w:rsidP="00621F3F">
      <w:pPr>
        <w:pStyle w:val="Textonotapie"/>
      </w:pPr>
      <w:r w:rsidRPr="003078D9">
        <w:rPr>
          <w:b/>
          <w:bCs/>
        </w:rPr>
        <w:t>VII.</w:t>
      </w:r>
      <w:r w:rsidRPr="003078D9">
        <w:t xml:space="preserve"> El daño que pueda producirse con la publicación de la información sea mayor que el interés público de conocer la información de referencia</w:t>
      </w:r>
      <w: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900600" w:rsidRPr="00025127" w14:paraId="07F2896E" w14:textId="77777777" w:rsidTr="008E29BB">
      <w:trPr>
        <w:trHeight w:val="138"/>
        <w:jc w:val="right"/>
      </w:trPr>
      <w:tc>
        <w:tcPr>
          <w:tcW w:w="3828" w:type="dxa"/>
          <w:vAlign w:val="center"/>
        </w:tcPr>
        <w:p w14:paraId="4A5B1974" w14:textId="172F35BB" w:rsidR="00900600" w:rsidRPr="00025127" w:rsidRDefault="0090060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5846D1B7" w:rsidR="00900600" w:rsidRPr="00025127" w:rsidRDefault="00900600" w:rsidP="00F25B61">
          <w:pPr>
            <w:pStyle w:val="Encabezado"/>
            <w:jc w:val="both"/>
            <w:rPr>
              <w:rFonts w:ascii="Palatino Linotype" w:hAnsi="Palatino Linotype"/>
              <w:b/>
              <w:sz w:val="22"/>
              <w:szCs w:val="22"/>
            </w:rPr>
          </w:pPr>
          <w:r>
            <w:rPr>
              <w:rFonts w:ascii="Palatino Linotype" w:hAnsi="Palatino Linotype"/>
              <w:b/>
              <w:sz w:val="22"/>
              <w:szCs w:val="22"/>
            </w:rPr>
            <w:t>12773</w:t>
          </w:r>
          <w:r w:rsidRPr="00025127">
            <w:rPr>
              <w:rFonts w:ascii="Palatino Linotype" w:hAnsi="Palatino Linotype"/>
              <w:b/>
              <w:sz w:val="22"/>
              <w:szCs w:val="22"/>
            </w:rPr>
            <w:t>/INFOEM/IP/RR/</w:t>
          </w:r>
          <w:r>
            <w:rPr>
              <w:rFonts w:ascii="Palatino Linotype" w:hAnsi="Palatino Linotype"/>
              <w:b/>
              <w:sz w:val="22"/>
              <w:szCs w:val="22"/>
            </w:rPr>
            <w:t>2022</w:t>
          </w:r>
        </w:p>
      </w:tc>
    </w:tr>
    <w:tr w:rsidR="00900600" w:rsidRPr="00025127" w14:paraId="1B5D8690" w14:textId="77777777" w:rsidTr="008E29BB">
      <w:trPr>
        <w:trHeight w:val="233"/>
        <w:jc w:val="right"/>
      </w:trPr>
      <w:tc>
        <w:tcPr>
          <w:tcW w:w="3828" w:type="dxa"/>
          <w:vAlign w:val="center"/>
        </w:tcPr>
        <w:p w14:paraId="3903F2C6" w14:textId="22D569F8" w:rsidR="00900600" w:rsidRPr="00025127" w:rsidRDefault="00900600" w:rsidP="000D45E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C459DDC" w:rsidR="00900600" w:rsidRPr="00025127" w:rsidRDefault="00900600" w:rsidP="00360789">
          <w:pPr>
            <w:pStyle w:val="Encabezado"/>
            <w:rPr>
              <w:rFonts w:ascii="Palatino Linotype" w:hAnsi="Palatino Linotype"/>
              <w:b/>
              <w:sz w:val="22"/>
              <w:szCs w:val="22"/>
            </w:rPr>
          </w:pPr>
          <w:r>
            <w:rPr>
              <w:rFonts w:ascii="Palatino Linotype" w:hAnsi="Palatino Linotype"/>
              <w:b/>
              <w:bCs/>
              <w:color w:val="000000"/>
              <w:sz w:val="22"/>
              <w:szCs w:val="22"/>
            </w:rPr>
            <w:t>Ayuntamiento de Malinalco</w:t>
          </w:r>
        </w:p>
      </w:tc>
    </w:tr>
    <w:tr w:rsidR="00900600" w:rsidRPr="00025127" w14:paraId="095EB01B" w14:textId="77777777" w:rsidTr="008E29BB">
      <w:trPr>
        <w:trHeight w:val="321"/>
        <w:jc w:val="right"/>
      </w:trPr>
      <w:tc>
        <w:tcPr>
          <w:tcW w:w="3828" w:type="dxa"/>
          <w:vAlign w:val="center"/>
        </w:tcPr>
        <w:p w14:paraId="6E000A51" w14:textId="05E1861A" w:rsidR="00900600" w:rsidRPr="00025127" w:rsidRDefault="0090060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900600" w:rsidRPr="00025127" w:rsidRDefault="0090060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900600" w:rsidRDefault="00900600"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900600" w:rsidRPr="00025127" w14:paraId="0A3256F2" w14:textId="77777777" w:rsidTr="008E29BB">
      <w:trPr>
        <w:trHeight w:val="138"/>
        <w:jc w:val="right"/>
      </w:trPr>
      <w:tc>
        <w:tcPr>
          <w:tcW w:w="3828" w:type="dxa"/>
          <w:vAlign w:val="center"/>
        </w:tcPr>
        <w:p w14:paraId="3D80769D" w14:textId="44A35B8D" w:rsidR="00900600" w:rsidRPr="00025127" w:rsidRDefault="00900600"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2437582F" w:rsidR="00900600" w:rsidRPr="00025127" w:rsidRDefault="00900600" w:rsidP="00F25B61">
          <w:pPr>
            <w:pStyle w:val="Encabezado"/>
            <w:rPr>
              <w:rFonts w:ascii="Palatino Linotype" w:hAnsi="Palatino Linotype"/>
              <w:b/>
              <w:sz w:val="22"/>
              <w:szCs w:val="22"/>
            </w:rPr>
          </w:pPr>
          <w:r>
            <w:rPr>
              <w:rFonts w:ascii="Palatino Linotype" w:hAnsi="Palatino Linotype"/>
              <w:b/>
              <w:sz w:val="22"/>
              <w:szCs w:val="22"/>
            </w:rPr>
            <w:t>12773</w:t>
          </w:r>
          <w:r w:rsidRPr="00025127">
            <w:rPr>
              <w:rFonts w:ascii="Palatino Linotype" w:hAnsi="Palatino Linotype"/>
              <w:b/>
              <w:sz w:val="22"/>
              <w:szCs w:val="22"/>
            </w:rPr>
            <w:t>/INFOEM/IP/RR/</w:t>
          </w:r>
          <w:r>
            <w:rPr>
              <w:rFonts w:ascii="Palatino Linotype" w:hAnsi="Palatino Linotype"/>
              <w:b/>
              <w:sz w:val="22"/>
              <w:szCs w:val="22"/>
            </w:rPr>
            <w:t>2022</w:t>
          </w:r>
        </w:p>
      </w:tc>
    </w:tr>
    <w:tr w:rsidR="00900600" w:rsidRPr="00025127" w14:paraId="128C8B3C" w14:textId="77777777" w:rsidTr="008E29BB">
      <w:trPr>
        <w:trHeight w:val="233"/>
        <w:jc w:val="right"/>
      </w:trPr>
      <w:tc>
        <w:tcPr>
          <w:tcW w:w="3828" w:type="dxa"/>
          <w:vAlign w:val="center"/>
        </w:tcPr>
        <w:p w14:paraId="483E3371" w14:textId="66B1BC74" w:rsidR="00900600" w:rsidRPr="00025127" w:rsidRDefault="0090060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53F80BAC" w:rsidR="00900600" w:rsidRPr="00025127" w:rsidRDefault="00900600" w:rsidP="0058757A">
          <w:pPr>
            <w:pStyle w:val="Encabezado"/>
            <w:rPr>
              <w:rFonts w:ascii="Palatino Linotype" w:hAnsi="Palatino Linotype"/>
              <w:b/>
              <w:sz w:val="22"/>
              <w:szCs w:val="22"/>
            </w:rPr>
          </w:pPr>
          <w:r>
            <w:rPr>
              <w:rFonts w:ascii="Palatino Linotype" w:hAnsi="Palatino Linotype"/>
              <w:b/>
              <w:sz w:val="22"/>
              <w:szCs w:val="22"/>
            </w:rPr>
            <w:t>XXXXXXX</w:t>
          </w:r>
        </w:p>
      </w:tc>
    </w:tr>
    <w:tr w:rsidR="00900600" w:rsidRPr="00025127" w14:paraId="41BE0704" w14:textId="77777777" w:rsidTr="008E29BB">
      <w:trPr>
        <w:trHeight w:val="321"/>
        <w:jc w:val="right"/>
      </w:trPr>
      <w:tc>
        <w:tcPr>
          <w:tcW w:w="3828" w:type="dxa"/>
          <w:vAlign w:val="center"/>
        </w:tcPr>
        <w:p w14:paraId="34C64148" w14:textId="10C6C8A9" w:rsidR="00900600" w:rsidRPr="00025127" w:rsidRDefault="0090060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16673F1D" w:rsidR="00900600" w:rsidRPr="00025127" w:rsidRDefault="00900600" w:rsidP="00360789">
          <w:pPr>
            <w:pStyle w:val="Encabezado"/>
            <w:rPr>
              <w:rFonts w:ascii="Palatino Linotype" w:hAnsi="Palatino Linotype"/>
              <w:b/>
              <w:sz w:val="22"/>
              <w:szCs w:val="22"/>
            </w:rPr>
          </w:pPr>
          <w:r>
            <w:rPr>
              <w:rFonts w:ascii="Palatino Linotype" w:hAnsi="Palatino Linotype"/>
              <w:b/>
              <w:bCs/>
              <w:color w:val="000000"/>
              <w:sz w:val="22"/>
              <w:szCs w:val="22"/>
            </w:rPr>
            <w:t>Ayuntamiento de Malinalco</w:t>
          </w:r>
        </w:p>
      </w:tc>
    </w:tr>
    <w:tr w:rsidR="00900600" w:rsidRPr="00025127" w14:paraId="0C8B6193" w14:textId="77777777" w:rsidTr="008E29BB">
      <w:trPr>
        <w:trHeight w:val="321"/>
        <w:jc w:val="right"/>
      </w:trPr>
      <w:tc>
        <w:tcPr>
          <w:tcW w:w="3828" w:type="dxa"/>
          <w:vAlign w:val="center"/>
        </w:tcPr>
        <w:p w14:paraId="321FFAFF" w14:textId="0E8C2CE7" w:rsidR="00900600" w:rsidRPr="00025127" w:rsidRDefault="0090060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900600" w:rsidRPr="00025127" w:rsidRDefault="0090060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900600" w:rsidRDefault="00900600" w:rsidP="00472C41">
    <w:pPr>
      <w:pStyle w:val="Encabezado"/>
      <w:tabs>
        <w:tab w:val="clear" w:pos="4252"/>
        <w:tab w:val="clear" w:pos="8504"/>
        <w:tab w:val="left" w:pos="3103"/>
      </w:tabs>
    </w:pPr>
    <w:r>
      <w:rPr>
        <w:noProof/>
      </w:rPr>
      <w:pict w14:anchorId="645EB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1A4428"/>
    <w:multiLevelType w:val="hybridMultilevel"/>
    <w:tmpl w:val="597EA7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8AD49D1"/>
    <w:multiLevelType w:val="hybridMultilevel"/>
    <w:tmpl w:val="F8103B92"/>
    <w:lvl w:ilvl="0" w:tplc="FFFFFFFF">
      <w:start w:val="1"/>
      <w:numFmt w:val="decimal"/>
      <w:lvlText w:val="%1."/>
      <w:lvlJc w:val="left"/>
      <w:pPr>
        <w:ind w:left="0" w:firstLine="0"/>
      </w:pPr>
      <w:rPr>
        <w:rFonts w:ascii="Palatino Linotype" w:hAnsi="Palatino Linotype" w:hint="default"/>
        <w:b/>
        <w:i w:val="0"/>
        <w:sz w:val="24"/>
      </w:rPr>
    </w:lvl>
    <w:lvl w:ilvl="1" w:tplc="C69033A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ADF18ED"/>
    <w:multiLevelType w:val="hybridMultilevel"/>
    <w:tmpl w:val="9C920C1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B7F6C64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5"/>
  </w:num>
  <w:num w:numId="5">
    <w:abstractNumId w:val="3"/>
  </w:num>
  <w:num w:numId="6">
    <w:abstractNumId w:val="13"/>
  </w:num>
  <w:num w:numId="7">
    <w:abstractNumId w:val="10"/>
  </w:num>
  <w:num w:numId="8">
    <w:abstractNumId w:val="7"/>
  </w:num>
  <w:num w:numId="9">
    <w:abstractNumId w:val="9"/>
  </w:num>
  <w:num w:numId="10">
    <w:abstractNumId w:val="16"/>
  </w:num>
  <w:num w:numId="11">
    <w:abstractNumId w:val="4"/>
  </w:num>
  <w:num w:numId="12">
    <w:abstractNumId w:val="14"/>
  </w:num>
  <w:num w:numId="13">
    <w:abstractNumId w:val="12"/>
  </w:num>
  <w:num w:numId="14">
    <w:abstractNumId w:val="17"/>
  </w:num>
  <w:num w:numId="15">
    <w:abstractNumId w:val="15"/>
  </w:num>
  <w:num w:numId="16">
    <w:abstractNumId w:val="2"/>
  </w:num>
  <w:num w:numId="17">
    <w:abstractNumId w:val="18"/>
  </w:num>
  <w:num w:numId="18">
    <w:abstractNumId w:val="11"/>
  </w:num>
  <w:num w:numId="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6D24"/>
    <w:rsid w:val="0000797D"/>
    <w:rsid w:val="00007E8A"/>
    <w:rsid w:val="000100D7"/>
    <w:rsid w:val="00010B47"/>
    <w:rsid w:val="0001106B"/>
    <w:rsid w:val="00011317"/>
    <w:rsid w:val="00012472"/>
    <w:rsid w:val="0001398B"/>
    <w:rsid w:val="00013CF1"/>
    <w:rsid w:val="00014F51"/>
    <w:rsid w:val="00015A16"/>
    <w:rsid w:val="00015A51"/>
    <w:rsid w:val="00016250"/>
    <w:rsid w:val="000174A0"/>
    <w:rsid w:val="000203D3"/>
    <w:rsid w:val="000204A6"/>
    <w:rsid w:val="000211F8"/>
    <w:rsid w:val="0002146F"/>
    <w:rsid w:val="000218C3"/>
    <w:rsid w:val="00022D89"/>
    <w:rsid w:val="000236A3"/>
    <w:rsid w:val="00024A8D"/>
    <w:rsid w:val="00024F35"/>
    <w:rsid w:val="00025127"/>
    <w:rsid w:val="00025266"/>
    <w:rsid w:val="0002699D"/>
    <w:rsid w:val="0003063D"/>
    <w:rsid w:val="00031D37"/>
    <w:rsid w:val="00031F10"/>
    <w:rsid w:val="00031F98"/>
    <w:rsid w:val="00032493"/>
    <w:rsid w:val="00032EC5"/>
    <w:rsid w:val="00032ED4"/>
    <w:rsid w:val="000371EF"/>
    <w:rsid w:val="00037657"/>
    <w:rsid w:val="0004072A"/>
    <w:rsid w:val="00040E10"/>
    <w:rsid w:val="00040E2D"/>
    <w:rsid w:val="000411E2"/>
    <w:rsid w:val="000414B8"/>
    <w:rsid w:val="0004193F"/>
    <w:rsid w:val="00042380"/>
    <w:rsid w:val="000435A5"/>
    <w:rsid w:val="000444BD"/>
    <w:rsid w:val="00044DB9"/>
    <w:rsid w:val="000463B6"/>
    <w:rsid w:val="0004686A"/>
    <w:rsid w:val="000468E2"/>
    <w:rsid w:val="00046CEE"/>
    <w:rsid w:val="000478BA"/>
    <w:rsid w:val="00051175"/>
    <w:rsid w:val="0005237C"/>
    <w:rsid w:val="00052A3C"/>
    <w:rsid w:val="00054384"/>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A70"/>
    <w:rsid w:val="00064B95"/>
    <w:rsid w:val="000659BE"/>
    <w:rsid w:val="00065A78"/>
    <w:rsid w:val="000664BF"/>
    <w:rsid w:val="00066B68"/>
    <w:rsid w:val="00070361"/>
    <w:rsid w:val="000718C5"/>
    <w:rsid w:val="0007221E"/>
    <w:rsid w:val="000728AD"/>
    <w:rsid w:val="00074573"/>
    <w:rsid w:val="00076A3F"/>
    <w:rsid w:val="00076E15"/>
    <w:rsid w:val="000770CE"/>
    <w:rsid w:val="000800AC"/>
    <w:rsid w:val="0008230A"/>
    <w:rsid w:val="00082D11"/>
    <w:rsid w:val="00082E28"/>
    <w:rsid w:val="000834FE"/>
    <w:rsid w:val="0008465D"/>
    <w:rsid w:val="00084E31"/>
    <w:rsid w:val="0008542A"/>
    <w:rsid w:val="000866D9"/>
    <w:rsid w:val="000908CC"/>
    <w:rsid w:val="00090D6F"/>
    <w:rsid w:val="00091C2C"/>
    <w:rsid w:val="00093A7F"/>
    <w:rsid w:val="00093FB4"/>
    <w:rsid w:val="00093FC7"/>
    <w:rsid w:val="00094B41"/>
    <w:rsid w:val="000953E2"/>
    <w:rsid w:val="00095806"/>
    <w:rsid w:val="00095BB9"/>
    <w:rsid w:val="0009700A"/>
    <w:rsid w:val="0009728E"/>
    <w:rsid w:val="000A0678"/>
    <w:rsid w:val="000A1CCA"/>
    <w:rsid w:val="000A26B8"/>
    <w:rsid w:val="000A3F90"/>
    <w:rsid w:val="000A44DE"/>
    <w:rsid w:val="000A4554"/>
    <w:rsid w:val="000A45FD"/>
    <w:rsid w:val="000A4E44"/>
    <w:rsid w:val="000A556A"/>
    <w:rsid w:val="000A77ED"/>
    <w:rsid w:val="000B0370"/>
    <w:rsid w:val="000B2BA0"/>
    <w:rsid w:val="000B35EB"/>
    <w:rsid w:val="000B405C"/>
    <w:rsid w:val="000B4DDD"/>
    <w:rsid w:val="000B5AB1"/>
    <w:rsid w:val="000B5D79"/>
    <w:rsid w:val="000B6D31"/>
    <w:rsid w:val="000B6F19"/>
    <w:rsid w:val="000B750B"/>
    <w:rsid w:val="000B7C4F"/>
    <w:rsid w:val="000C0061"/>
    <w:rsid w:val="000C0663"/>
    <w:rsid w:val="000C0BBB"/>
    <w:rsid w:val="000C10B9"/>
    <w:rsid w:val="000C1D19"/>
    <w:rsid w:val="000C2E5F"/>
    <w:rsid w:val="000C3423"/>
    <w:rsid w:val="000C37A5"/>
    <w:rsid w:val="000C3861"/>
    <w:rsid w:val="000C4111"/>
    <w:rsid w:val="000C48CA"/>
    <w:rsid w:val="000C4A8E"/>
    <w:rsid w:val="000C5458"/>
    <w:rsid w:val="000C5A04"/>
    <w:rsid w:val="000C5AF7"/>
    <w:rsid w:val="000C6B73"/>
    <w:rsid w:val="000C6CE3"/>
    <w:rsid w:val="000C6E97"/>
    <w:rsid w:val="000D001E"/>
    <w:rsid w:val="000D0855"/>
    <w:rsid w:val="000D11CC"/>
    <w:rsid w:val="000D1E0F"/>
    <w:rsid w:val="000D2DC2"/>
    <w:rsid w:val="000D3275"/>
    <w:rsid w:val="000D447F"/>
    <w:rsid w:val="000D45E8"/>
    <w:rsid w:val="000D4940"/>
    <w:rsid w:val="000D5A1D"/>
    <w:rsid w:val="000D62FF"/>
    <w:rsid w:val="000D69DF"/>
    <w:rsid w:val="000D72C9"/>
    <w:rsid w:val="000D7369"/>
    <w:rsid w:val="000D7394"/>
    <w:rsid w:val="000D7CBE"/>
    <w:rsid w:val="000E0366"/>
    <w:rsid w:val="000E07DC"/>
    <w:rsid w:val="000E096F"/>
    <w:rsid w:val="000E1389"/>
    <w:rsid w:val="000E2665"/>
    <w:rsid w:val="000E2A46"/>
    <w:rsid w:val="000E5176"/>
    <w:rsid w:val="000E5F27"/>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205D"/>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3B03"/>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362"/>
    <w:rsid w:val="00126C46"/>
    <w:rsid w:val="00127A33"/>
    <w:rsid w:val="00127E68"/>
    <w:rsid w:val="00130E89"/>
    <w:rsid w:val="001318D2"/>
    <w:rsid w:val="00132C06"/>
    <w:rsid w:val="00132D0E"/>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3E36"/>
    <w:rsid w:val="001459C8"/>
    <w:rsid w:val="001468E9"/>
    <w:rsid w:val="00147864"/>
    <w:rsid w:val="0015095C"/>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3780"/>
    <w:rsid w:val="00163B1F"/>
    <w:rsid w:val="001648EE"/>
    <w:rsid w:val="00164B65"/>
    <w:rsid w:val="001656F2"/>
    <w:rsid w:val="00165DC8"/>
    <w:rsid w:val="00166794"/>
    <w:rsid w:val="00167813"/>
    <w:rsid w:val="0017212C"/>
    <w:rsid w:val="00172471"/>
    <w:rsid w:val="0017260D"/>
    <w:rsid w:val="0017273C"/>
    <w:rsid w:val="001732E3"/>
    <w:rsid w:val="00174E02"/>
    <w:rsid w:val="00174E1B"/>
    <w:rsid w:val="0017653A"/>
    <w:rsid w:val="0017745D"/>
    <w:rsid w:val="001775DF"/>
    <w:rsid w:val="001809A7"/>
    <w:rsid w:val="00181C60"/>
    <w:rsid w:val="00181E2A"/>
    <w:rsid w:val="00183B72"/>
    <w:rsid w:val="001848C0"/>
    <w:rsid w:val="00185460"/>
    <w:rsid w:val="0018568B"/>
    <w:rsid w:val="001862A3"/>
    <w:rsid w:val="001921FD"/>
    <w:rsid w:val="001925E3"/>
    <w:rsid w:val="00192E4B"/>
    <w:rsid w:val="00194D62"/>
    <w:rsid w:val="00196407"/>
    <w:rsid w:val="00197091"/>
    <w:rsid w:val="001970D6"/>
    <w:rsid w:val="001972CC"/>
    <w:rsid w:val="00197827"/>
    <w:rsid w:val="001A032D"/>
    <w:rsid w:val="001A138D"/>
    <w:rsid w:val="001A229F"/>
    <w:rsid w:val="001A2857"/>
    <w:rsid w:val="001A2A89"/>
    <w:rsid w:val="001A2C62"/>
    <w:rsid w:val="001A3634"/>
    <w:rsid w:val="001A4D5D"/>
    <w:rsid w:val="001A5150"/>
    <w:rsid w:val="001A58B9"/>
    <w:rsid w:val="001A61E1"/>
    <w:rsid w:val="001A6C1E"/>
    <w:rsid w:val="001A7D1E"/>
    <w:rsid w:val="001B2AB9"/>
    <w:rsid w:val="001B30F9"/>
    <w:rsid w:val="001B3659"/>
    <w:rsid w:val="001B370C"/>
    <w:rsid w:val="001B40F3"/>
    <w:rsid w:val="001B508E"/>
    <w:rsid w:val="001B53A0"/>
    <w:rsid w:val="001B5F70"/>
    <w:rsid w:val="001B6845"/>
    <w:rsid w:val="001B6D4E"/>
    <w:rsid w:val="001B76FA"/>
    <w:rsid w:val="001C09E0"/>
    <w:rsid w:val="001C0AED"/>
    <w:rsid w:val="001C13A8"/>
    <w:rsid w:val="001C13B1"/>
    <w:rsid w:val="001C1C2A"/>
    <w:rsid w:val="001C1CDE"/>
    <w:rsid w:val="001C20E8"/>
    <w:rsid w:val="001C263B"/>
    <w:rsid w:val="001C2713"/>
    <w:rsid w:val="001C2EF3"/>
    <w:rsid w:val="001C34D6"/>
    <w:rsid w:val="001C3732"/>
    <w:rsid w:val="001C3BEF"/>
    <w:rsid w:val="001C54A9"/>
    <w:rsid w:val="001C6012"/>
    <w:rsid w:val="001C67B0"/>
    <w:rsid w:val="001C6F61"/>
    <w:rsid w:val="001C7276"/>
    <w:rsid w:val="001C7733"/>
    <w:rsid w:val="001C77F5"/>
    <w:rsid w:val="001C79FA"/>
    <w:rsid w:val="001D07C9"/>
    <w:rsid w:val="001D3AB5"/>
    <w:rsid w:val="001D4A81"/>
    <w:rsid w:val="001D545E"/>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379"/>
    <w:rsid w:val="001F094C"/>
    <w:rsid w:val="001F1C5C"/>
    <w:rsid w:val="001F2B8C"/>
    <w:rsid w:val="001F394F"/>
    <w:rsid w:val="001F6063"/>
    <w:rsid w:val="001F783F"/>
    <w:rsid w:val="001F7AFD"/>
    <w:rsid w:val="001F7DE2"/>
    <w:rsid w:val="002001BE"/>
    <w:rsid w:val="002031F3"/>
    <w:rsid w:val="00203388"/>
    <w:rsid w:val="002058A7"/>
    <w:rsid w:val="00205A1A"/>
    <w:rsid w:val="00207421"/>
    <w:rsid w:val="00207665"/>
    <w:rsid w:val="002076E2"/>
    <w:rsid w:val="0021017B"/>
    <w:rsid w:val="0021056F"/>
    <w:rsid w:val="00210BD1"/>
    <w:rsid w:val="00211229"/>
    <w:rsid w:val="00211C4C"/>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D6"/>
    <w:rsid w:val="002275DE"/>
    <w:rsid w:val="00230170"/>
    <w:rsid w:val="002305CF"/>
    <w:rsid w:val="002310B5"/>
    <w:rsid w:val="00232110"/>
    <w:rsid w:val="00233E08"/>
    <w:rsid w:val="002345FF"/>
    <w:rsid w:val="00235DF2"/>
    <w:rsid w:val="00237611"/>
    <w:rsid w:val="002408D7"/>
    <w:rsid w:val="002417FB"/>
    <w:rsid w:val="002426EA"/>
    <w:rsid w:val="00244476"/>
    <w:rsid w:val="0024579C"/>
    <w:rsid w:val="002457CF"/>
    <w:rsid w:val="00245B8E"/>
    <w:rsid w:val="00246318"/>
    <w:rsid w:val="002507D8"/>
    <w:rsid w:val="002510FA"/>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31C"/>
    <w:rsid w:val="00265CD7"/>
    <w:rsid w:val="00266588"/>
    <w:rsid w:val="002665BD"/>
    <w:rsid w:val="00270264"/>
    <w:rsid w:val="00271342"/>
    <w:rsid w:val="00271678"/>
    <w:rsid w:val="00271B06"/>
    <w:rsid w:val="0027298D"/>
    <w:rsid w:val="00272FEC"/>
    <w:rsid w:val="00273013"/>
    <w:rsid w:val="00273C37"/>
    <w:rsid w:val="00273F6D"/>
    <w:rsid w:val="0027430D"/>
    <w:rsid w:val="0027463A"/>
    <w:rsid w:val="002746D9"/>
    <w:rsid w:val="00274ED2"/>
    <w:rsid w:val="002754FC"/>
    <w:rsid w:val="002765F2"/>
    <w:rsid w:val="00277A35"/>
    <w:rsid w:val="00280278"/>
    <w:rsid w:val="00280994"/>
    <w:rsid w:val="00280E3F"/>
    <w:rsid w:val="00280F05"/>
    <w:rsid w:val="0028248C"/>
    <w:rsid w:val="00282B05"/>
    <w:rsid w:val="00282D4D"/>
    <w:rsid w:val="0028323A"/>
    <w:rsid w:val="00283861"/>
    <w:rsid w:val="0028422E"/>
    <w:rsid w:val="002856F3"/>
    <w:rsid w:val="00286DDB"/>
    <w:rsid w:val="002871EB"/>
    <w:rsid w:val="0028741E"/>
    <w:rsid w:val="00290DBD"/>
    <w:rsid w:val="00291D91"/>
    <w:rsid w:val="002948C4"/>
    <w:rsid w:val="00294D2D"/>
    <w:rsid w:val="002960D6"/>
    <w:rsid w:val="00297E45"/>
    <w:rsid w:val="002A2099"/>
    <w:rsid w:val="002A229B"/>
    <w:rsid w:val="002A26D9"/>
    <w:rsid w:val="002A35B6"/>
    <w:rsid w:val="002A4172"/>
    <w:rsid w:val="002A4516"/>
    <w:rsid w:val="002A4755"/>
    <w:rsid w:val="002A54DE"/>
    <w:rsid w:val="002A5FB6"/>
    <w:rsid w:val="002A670D"/>
    <w:rsid w:val="002A70E6"/>
    <w:rsid w:val="002A7FAB"/>
    <w:rsid w:val="002B0692"/>
    <w:rsid w:val="002B085C"/>
    <w:rsid w:val="002B0CBE"/>
    <w:rsid w:val="002B1252"/>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45D"/>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711F"/>
    <w:rsid w:val="00317883"/>
    <w:rsid w:val="00317EFF"/>
    <w:rsid w:val="00320597"/>
    <w:rsid w:val="00321181"/>
    <w:rsid w:val="00321AA3"/>
    <w:rsid w:val="00321AE9"/>
    <w:rsid w:val="00321EEE"/>
    <w:rsid w:val="0032264B"/>
    <w:rsid w:val="00323895"/>
    <w:rsid w:val="00323F63"/>
    <w:rsid w:val="0032586C"/>
    <w:rsid w:val="00325B05"/>
    <w:rsid w:val="00326579"/>
    <w:rsid w:val="00327D27"/>
    <w:rsid w:val="00327D79"/>
    <w:rsid w:val="003304E2"/>
    <w:rsid w:val="00330CBC"/>
    <w:rsid w:val="00330E47"/>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840"/>
    <w:rsid w:val="00341B17"/>
    <w:rsid w:val="00342C51"/>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6073F"/>
    <w:rsid w:val="00360789"/>
    <w:rsid w:val="003615A3"/>
    <w:rsid w:val="003629EE"/>
    <w:rsid w:val="00363DCB"/>
    <w:rsid w:val="003643B3"/>
    <w:rsid w:val="00366A7A"/>
    <w:rsid w:val="003708DD"/>
    <w:rsid w:val="00370B8E"/>
    <w:rsid w:val="00370BB1"/>
    <w:rsid w:val="003721B2"/>
    <w:rsid w:val="00372328"/>
    <w:rsid w:val="003739B0"/>
    <w:rsid w:val="00373F21"/>
    <w:rsid w:val="00374CE8"/>
    <w:rsid w:val="003762FD"/>
    <w:rsid w:val="00376FD2"/>
    <w:rsid w:val="00377278"/>
    <w:rsid w:val="003779F9"/>
    <w:rsid w:val="00377A76"/>
    <w:rsid w:val="00380A5C"/>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676"/>
    <w:rsid w:val="003A2CF7"/>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90C"/>
    <w:rsid w:val="003B7EC4"/>
    <w:rsid w:val="003C183D"/>
    <w:rsid w:val="003C19CA"/>
    <w:rsid w:val="003C41AC"/>
    <w:rsid w:val="003C4ECE"/>
    <w:rsid w:val="003C64C3"/>
    <w:rsid w:val="003C7269"/>
    <w:rsid w:val="003C7282"/>
    <w:rsid w:val="003C74CA"/>
    <w:rsid w:val="003D00D5"/>
    <w:rsid w:val="003D03B5"/>
    <w:rsid w:val="003D0A29"/>
    <w:rsid w:val="003D0BC7"/>
    <w:rsid w:val="003D17FB"/>
    <w:rsid w:val="003D181D"/>
    <w:rsid w:val="003D187D"/>
    <w:rsid w:val="003D20C4"/>
    <w:rsid w:val="003D29E0"/>
    <w:rsid w:val="003D4163"/>
    <w:rsid w:val="003D46D0"/>
    <w:rsid w:val="003D5051"/>
    <w:rsid w:val="003D5661"/>
    <w:rsid w:val="003D65BF"/>
    <w:rsid w:val="003D792A"/>
    <w:rsid w:val="003E1680"/>
    <w:rsid w:val="003E1870"/>
    <w:rsid w:val="003E2E98"/>
    <w:rsid w:val="003E2ED8"/>
    <w:rsid w:val="003E3CAB"/>
    <w:rsid w:val="003E4701"/>
    <w:rsid w:val="003E4C96"/>
    <w:rsid w:val="003E6079"/>
    <w:rsid w:val="003E6128"/>
    <w:rsid w:val="003E6679"/>
    <w:rsid w:val="003E6D0F"/>
    <w:rsid w:val="003E6D1E"/>
    <w:rsid w:val="003E712E"/>
    <w:rsid w:val="003F0769"/>
    <w:rsid w:val="003F0DDA"/>
    <w:rsid w:val="003F140F"/>
    <w:rsid w:val="003F1552"/>
    <w:rsid w:val="003F15DB"/>
    <w:rsid w:val="003F2702"/>
    <w:rsid w:val="003F2778"/>
    <w:rsid w:val="003F36A4"/>
    <w:rsid w:val="003F3757"/>
    <w:rsid w:val="003F4900"/>
    <w:rsid w:val="003F70CA"/>
    <w:rsid w:val="003F75DF"/>
    <w:rsid w:val="003F7823"/>
    <w:rsid w:val="003F7CCB"/>
    <w:rsid w:val="00400E76"/>
    <w:rsid w:val="0040137F"/>
    <w:rsid w:val="00402179"/>
    <w:rsid w:val="0040278D"/>
    <w:rsid w:val="00402C84"/>
    <w:rsid w:val="00403249"/>
    <w:rsid w:val="00403781"/>
    <w:rsid w:val="0040471A"/>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B3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9C0"/>
    <w:rsid w:val="00434ECD"/>
    <w:rsid w:val="00435075"/>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70027"/>
    <w:rsid w:val="0047025A"/>
    <w:rsid w:val="004724EC"/>
    <w:rsid w:val="00472A17"/>
    <w:rsid w:val="00472C41"/>
    <w:rsid w:val="00472CB5"/>
    <w:rsid w:val="00473115"/>
    <w:rsid w:val="004738D8"/>
    <w:rsid w:val="00473BD2"/>
    <w:rsid w:val="00473F11"/>
    <w:rsid w:val="00474477"/>
    <w:rsid w:val="004749E8"/>
    <w:rsid w:val="00475E37"/>
    <w:rsid w:val="004764CB"/>
    <w:rsid w:val="00476730"/>
    <w:rsid w:val="004769A5"/>
    <w:rsid w:val="00476A2D"/>
    <w:rsid w:val="004773A3"/>
    <w:rsid w:val="004773E6"/>
    <w:rsid w:val="00477710"/>
    <w:rsid w:val="00477AAB"/>
    <w:rsid w:val="00477B66"/>
    <w:rsid w:val="00481A7B"/>
    <w:rsid w:val="00483042"/>
    <w:rsid w:val="0048386B"/>
    <w:rsid w:val="00483C14"/>
    <w:rsid w:val="00484EDE"/>
    <w:rsid w:val="0048533E"/>
    <w:rsid w:val="004858CD"/>
    <w:rsid w:val="00485DB6"/>
    <w:rsid w:val="0048628A"/>
    <w:rsid w:val="0048658E"/>
    <w:rsid w:val="00487D6A"/>
    <w:rsid w:val="00490303"/>
    <w:rsid w:val="004911B6"/>
    <w:rsid w:val="00491C96"/>
    <w:rsid w:val="004923B6"/>
    <w:rsid w:val="00494294"/>
    <w:rsid w:val="00495611"/>
    <w:rsid w:val="004961DA"/>
    <w:rsid w:val="00496359"/>
    <w:rsid w:val="004963D5"/>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EB6"/>
    <w:rsid w:val="004B176B"/>
    <w:rsid w:val="004B182C"/>
    <w:rsid w:val="004B20FF"/>
    <w:rsid w:val="004B293C"/>
    <w:rsid w:val="004B35A4"/>
    <w:rsid w:val="004B3A2A"/>
    <w:rsid w:val="004B3D59"/>
    <w:rsid w:val="004B4713"/>
    <w:rsid w:val="004B4BE7"/>
    <w:rsid w:val="004B50F8"/>
    <w:rsid w:val="004B58EA"/>
    <w:rsid w:val="004B6CB0"/>
    <w:rsid w:val="004B73EF"/>
    <w:rsid w:val="004B7992"/>
    <w:rsid w:val="004C0200"/>
    <w:rsid w:val="004C09B4"/>
    <w:rsid w:val="004C2082"/>
    <w:rsid w:val="004C20F2"/>
    <w:rsid w:val="004C251E"/>
    <w:rsid w:val="004C3F25"/>
    <w:rsid w:val="004C4E77"/>
    <w:rsid w:val="004C4EF2"/>
    <w:rsid w:val="004C525E"/>
    <w:rsid w:val="004C6796"/>
    <w:rsid w:val="004C67E2"/>
    <w:rsid w:val="004C6BD8"/>
    <w:rsid w:val="004C7263"/>
    <w:rsid w:val="004C7A27"/>
    <w:rsid w:val="004D0490"/>
    <w:rsid w:val="004D10C7"/>
    <w:rsid w:val="004D12F1"/>
    <w:rsid w:val="004D1805"/>
    <w:rsid w:val="004D1CB6"/>
    <w:rsid w:val="004D2229"/>
    <w:rsid w:val="004D257A"/>
    <w:rsid w:val="004D2676"/>
    <w:rsid w:val="004D29C1"/>
    <w:rsid w:val="004D3142"/>
    <w:rsid w:val="004D36A1"/>
    <w:rsid w:val="004D37D7"/>
    <w:rsid w:val="004D4509"/>
    <w:rsid w:val="004D52DD"/>
    <w:rsid w:val="004D54E4"/>
    <w:rsid w:val="004D5A36"/>
    <w:rsid w:val="004D5BA4"/>
    <w:rsid w:val="004D68F8"/>
    <w:rsid w:val="004D6D19"/>
    <w:rsid w:val="004D70F9"/>
    <w:rsid w:val="004E11D8"/>
    <w:rsid w:val="004E54DE"/>
    <w:rsid w:val="004E6E3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6A11"/>
    <w:rsid w:val="00507043"/>
    <w:rsid w:val="00507C08"/>
    <w:rsid w:val="00507D18"/>
    <w:rsid w:val="00507D4A"/>
    <w:rsid w:val="0051016E"/>
    <w:rsid w:val="0051022D"/>
    <w:rsid w:val="00510707"/>
    <w:rsid w:val="0051111B"/>
    <w:rsid w:val="00511A30"/>
    <w:rsid w:val="00511EEA"/>
    <w:rsid w:val="005124A9"/>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7E2C"/>
    <w:rsid w:val="00540208"/>
    <w:rsid w:val="00542797"/>
    <w:rsid w:val="00542B3A"/>
    <w:rsid w:val="0054356D"/>
    <w:rsid w:val="00544ADC"/>
    <w:rsid w:val="00544B9C"/>
    <w:rsid w:val="00544E13"/>
    <w:rsid w:val="00544EC9"/>
    <w:rsid w:val="00546038"/>
    <w:rsid w:val="00546CE8"/>
    <w:rsid w:val="00546FBD"/>
    <w:rsid w:val="00547330"/>
    <w:rsid w:val="00550671"/>
    <w:rsid w:val="00551425"/>
    <w:rsid w:val="0055159A"/>
    <w:rsid w:val="005516E0"/>
    <w:rsid w:val="00551A9B"/>
    <w:rsid w:val="005520BF"/>
    <w:rsid w:val="00552213"/>
    <w:rsid w:val="005526F4"/>
    <w:rsid w:val="00552B8E"/>
    <w:rsid w:val="0055544F"/>
    <w:rsid w:val="00556533"/>
    <w:rsid w:val="00556B04"/>
    <w:rsid w:val="00556F72"/>
    <w:rsid w:val="00556F82"/>
    <w:rsid w:val="00560A81"/>
    <w:rsid w:val="00560C00"/>
    <w:rsid w:val="00561ED1"/>
    <w:rsid w:val="005620F7"/>
    <w:rsid w:val="00562B0A"/>
    <w:rsid w:val="00562CCE"/>
    <w:rsid w:val="00563FC3"/>
    <w:rsid w:val="00564AE2"/>
    <w:rsid w:val="00564F73"/>
    <w:rsid w:val="0056555A"/>
    <w:rsid w:val="00565D5E"/>
    <w:rsid w:val="005669D6"/>
    <w:rsid w:val="00566BC5"/>
    <w:rsid w:val="0056788F"/>
    <w:rsid w:val="00567998"/>
    <w:rsid w:val="00570911"/>
    <w:rsid w:val="005716F3"/>
    <w:rsid w:val="00573BC6"/>
    <w:rsid w:val="005759CD"/>
    <w:rsid w:val="00575D39"/>
    <w:rsid w:val="00575F2C"/>
    <w:rsid w:val="005773AC"/>
    <w:rsid w:val="00577884"/>
    <w:rsid w:val="00577C3F"/>
    <w:rsid w:val="00581C0F"/>
    <w:rsid w:val="00582919"/>
    <w:rsid w:val="00583749"/>
    <w:rsid w:val="005849B2"/>
    <w:rsid w:val="00585172"/>
    <w:rsid w:val="00586719"/>
    <w:rsid w:val="00587366"/>
    <w:rsid w:val="0058757A"/>
    <w:rsid w:val="00590037"/>
    <w:rsid w:val="00590579"/>
    <w:rsid w:val="00590892"/>
    <w:rsid w:val="00591931"/>
    <w:rsid w:val="00593476"/>
    <w:rsid w:val="005937BC"/>
    <w:rsid w:val="00594C52"/>
    <w:rsid w:val="00595511"/>
    <w:rsid w:val="00596238"/>
    <w:rsid w:val="00596514"/>
    <w:rsid w:val="0059679B"/>
    <w:rsid w:val="00597B2E"/>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C5D"/>
    <w:rsid w:val="005C02B5"/>
    <w:rsid w:val="005C0821"/>
    <w:rsid w:val="005C1A74"/>
    <w:rsid w:val="005C2CE0"/>
    <w:rsid w:val="005C2F0A"/>
    <w:rsid w:val="005C3294"/>
    <w:rsid w:val="005C347F"/>
    <w:rsid w:val="005C380A"/>
    <w:rsid w:val="005C3B63"/>
    <w:rsid w:val="005C450C"/>
    <w:rsid w:val="005C6961"/>
    <w:rsid w:val="005C6F55"/>
    <w:rsid w:val="005C7898"/>
    <w:rsid w:val="005C7CA9"/>
    <w:rsid w:val="005D0EB4"/>
    <w:rsid w:val="005D18A6"/>
    <w:rsid w:val="005D27DD"/>
    <w:rsid w:val="005D3493"/>
    <w:rsid w:val="005D42F5"/>
    <w:rsid w:val="005D487C"/>
    <w:rsid w:val="005D622E"/>
    <w:rsid w:val="005D6617"/>
    <w:rsid w:val="005D6FF0"/>
    <w:rsid w:val="005E0A97"/>
    <w:rsid w:val="005E11D5"/>
    <w:rsid w:val="005E2084"/>
    <w:rsid w:val="005E2486"/>
    <w:rsid w:val="005E2E8F"/>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92C"/>
    <w:rsid w:val="005F715E"/>
    <w:rsid w:val="006010DA"/>
    <w:rsid w:val="006014C5"/>
    <w:rsid w:val="006015F0"/>
    <w:rsid w:val="006017AB"/>
    <w:rsid w:val="00604AC3"/>
    <w:rsid w:val="00605865"/>
    <w:rsid w:val="00611DC1"/>
    <w:rsid w:val="00613655"/>
    <w:rsid w:val="006144EE"/>
    <w:rsid w:val="00616236"/>
    <w:rsid w:val="00617125"/>
    <w:rsid w:val="00617813"/>
    <w:rsid w:val="006206CC"/>
    <w:rsid w:val="0062118E"/>
    <w:rsid w:val="00621F3F"/>
    <w:rsid w:val="00622B06"/>
    <w:rsid w:val="00623C15"/>
    <w:rsid w:val="00624425"/>
    <w:rsid w:val="006257C2"/>
    <w:rsid w:val="00625CD0"/>
    <w:rsid w:val="00627163"/>
    <w:rsid w:val="00627CA9"/>
    <w:rsid w:val="0063034E"/>
    <w:rsid w:val="00632E24"/>
    <w:rsid w:val="00634476"/>
    <w:rsid w:val="00635424"/>
    <w:rsid w:val="00637049"/>
    <w:rsid w:val="00637475"/>
    <w:rsid w:val="00640B8E"/>
    <w:rsid w:val="00642240"/>
    <w:rsid w:val="0064393B"/>
    <w:rsid w:val="006439A1"/>
    <w:rsid w:val="00644375"/>
    <w:rsid w:val="00644A5C"/>
    <w:rsid w:val="00644F20"/>
    <w:rsid w:val="00645E03"/>
    <w:rsid w:val="00646A08"/>
    <w:rsid w:val="00646E43"/>
    <w:rsid w:val="00650392"/>
    <w:rsid w:val="0065061D"/>
    <w:rsid w:val="00650C79"/>
    <w:rsid w:val="00651701"/>
    <w:rsid w:val="00652854"/>
    <w:rsid w:val="006545C5"/>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FB5"/>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80F25"/>
    <w:rsid w:val="00682297"/>
    <w:rsid w:val="006842C0"/>
    <w:rsid w:val="00685689"/>
    <w:rsid w:val="0068594B"/>
    <w:rsid w:val="00686B04"/>
    <w:rsid w:val="00687CAD"/>
    <w:rsid w:val="006901FA"/>
    <w:rsid w:val="006904D3"/>
    <w:rsid w:val="00690ED0"/>
    <w:rsid w:val="006917EC"/>
    <w:rsid w:val="00692D5E"/>
    <w:rsid w:val="00693427"/>
    <w:rsid w:val="006934DA"/>
    <w:rsid w:val="00693503"/>
    <w:rsid w:val="00693D82"/>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0D49"/>
    <w:rsid w:val="006B12E8"/>
    <w:rsid w:val="006B1A37"/>
    <w:rsid w:val="006B1C19"/>
    <w:rsid w:val="006B218B"/>
    <w:rsid w:val="006B249F"/>
    <w:rsid w:val="006B31E7"/>
    <w:rsid w:val="006B4585"/>
    <w:rsid w:val="006B53EE"/>
    <w:rsid w:val="006B5BA1"/>
    <w:rsid w:val="006B65D4"/>
    <w:rsid w:val="006B7A58"/>
    <w:rsid w:val="006C15A0"/>
    <w:rsid w:val="006C26B3"/>
    <w:rsid w:val="006C2FEE"/>
    <w:rsid w:val="006C50B1"/>
    <w:rsid w:val="006C50C2"/>
    <w:rsid w:val="006C563A"/>
    <w:rsid w:val="006C6C8C"/>
    <w:rsid w:val="006C6E1A"/>
    <w:rsid w:val="006D1B6D"/>
    <w:rsid w:val="006D24C4"/>
    <w:rsid w:val="006D27EF"/>
    <w:rsid w:val="006D3FB4"/>
    <w:rsid w:val="006D425C"/>
    <w:rsid w:val="006D52D1"/>
    <w:rsid w:val="006D57BE"/>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346"/>
    <w:rsid w:val="006F0AE3"/>
    <w:rsid w:val="006F1DE2"/>
    <w:rsid w:val="006F1E31"/>
    <w:rsid w:val="006F2724"/>
    <w:rsid w:val="006F2C12"/>
    <w:rsid w:val="006F2F92"/>
    <w:rsid w:val="006F3266"/>
    <w:rsid w:val="006F51AA"/>
    <w:rsid w:val="006F5231"/>
    <w:rsid w:val="006F69E5"/>
    <w:rsid w:val="006F6A3F"/>
    <w:rsid w:val="00700553"/>
    <w:rsid w:val="0070102E"/>
    <w:rsid w:val="00701218"/>
    <w:rsid w:val="00702D2E"/>
    <w:rsid w:val="007050B1"/>
    <w:rsid w:val="00705527"/>
    <w:rsid w:val="00705B80"/>
    <w:rsid w:val="007060B5"/>
    <w:rsid w:val="00707096"/>
    <w:rsid w:val="00710B50"/>
    <w:rsid w:val="007127BB"/>
    <w:rsid w:val="00712B96"/>
    <w:rsid w:val="007136BC"/>
    <w:rsid w:val="007137B5"/>
    <w:rsid w:val="00714576"/>
    <w:rsid w:val="00714FEC"/>
    <w:rsid w:val="00715A04"/>
    <w:rsid w:val="00715B7D"/>
    <w:rsid w:val="0072125C"/>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5A75"/>
    <w:rsid w:val="00736115"/>
    <w:rsid w:val="007365AD"/>
    <w:rsid w:val="00736C54"/>
    <w:rsid w:val="007409D8"/>
    <w:rsid w:val="00740BA4"/>
    <w:rsid w:val="00740D91"/>
    <w:rsid w:val="007411E3"/>
    <w:rsid w:val="007417CD"/>
    <w:rsid w:val="00742486"/>
    <w:rsid w:val="007432E0"/>
    <w:rsid w:val="00743CAC"/>
    <w:rsid w:val="0074433B"/>
    <w:rsid w:val="007446C2"/>
    <w:rsid w:val="0074573F"/>
    <w:rsid w:val="00745B63"/>
    <w:rsid w:val="0074628D"/>
    <w:rsid w:val="007473D2"/>
    <w:rsid w:val="007474B7"/>
    <w:rsid w:val="007479C2"/>
    <w:rsid w:val="00750A80"/>
    <w:rsid w:val="00750FC0"/>
    <w:rsid w:val="00751061"/>
    <w:rsid w:val="0075151E"/>
    <w:rsid w:val="0075265E"/>
    <w:rsid w:val="0075440D"/>
    <w:rsid w:val="00754898"/>
    <w:rsid w:val="00754EF8"/>
    <w:rsid w:val="007550FA"/>
    <w:rsid w:val="00755369"/>
    <w:rsid w:val="0075604A"/>
    <w:rsid w:val="0075650E"/>
    <w:rsid w:val="00757995"/>
    <w:rsid w:val="00760BAE"/>
    <w:rsid w:val="00762511"/>
    <w:rsid w:val="00762697"/>
    <w:rsid w:val="00762E59"/>
    <w:rsid w:val="007644E6"/>
    <w:rsid w:val="007652EA"/>
    <w:rsid w:val="00766CDD"/>
    <w:rsid w:val="007674F3"/>
    <w:rsid w:val="00767CD2"/>
    <w:rsid w:val="00770859"/>
    <w:rsid w:val="00771B73"/>
    <w:rsid w:val="00772245"/>
    <w:rsid w:val="0077236C"/>
    <w:rsid w:val="0077277D"/>
    <w:rsid w:val="00774A5F"/>
    <w:rsid w:val="00774AB3"/>
    <w:rsid w:val="00774DFD"/>
    <w:rsid w:val="00775193"/>
    <w:rsid w:val="007753FA"/>
    <w:rsid w:val="0077544D"/>
    <w:rsid w:val="007758D3"/>
    <w:rsid w:val="00775D67"/>
    <w:rsid w:val="00776C78"/>
    <w:rsid w:val="007774E7"/>
    <w:rsid w:val="00780072"/>
    <w:rsid w:val="0078079A"/>
    <w:rsid w:val="007814A7"/>
    <w:rsid w:val="0078249C"/>
    <w:rsid w:val="00782761"/>
    <w:rsid w:val="00783DB5"/>
    <w:rsid w:val="00784AA0"/>
    <w:rsid w:val="00784F3D"/>
    <w:rsid w:val="00785321"/>
    <w:rsid w:val="00785E63"/>
    <w:rsid w:val="007860B9"/>
    <w:rsid w:val="0078618D"/>
    <w:rsid w:val="007861AF"/>
    <w:rsid w:val="00786DD5"/>
    <w:rsid w:val="00787184"/>
    <w:rsid w:val="00790613"/>
    <w:rsid w:val="00790765"/>
    <w:rsid w:val="007914E4"/>
    <w:rsid w:val="0079183F"/>
    <w:rsid w:val="00791CA9"/>
    <w:rsid w:val="00791E58"/>
    <w:rsid w:val="00794C2B"/>
    <w:rsid w:val="00795FC5"/>
    <w:rsid w:val="00797D59"/>
    <w:rsid w:val="007A0692"/>
    <w:rsid w:val="007A082B"/>
    <w:rsid w:val="007A0A0E"/>
    <w:rsid w:val="007A1303"/>
    <w:rsid w:val="007A28D5"/>
    <w:rsid w:val="007A2C90"/>
    <w:rsid w:val="007A4419"/>
    <w:rsid w:val="007A5823"/>
    <w:rsid w:val="007A638B"/>
    <w:rsid w:val="007A65E0"/>
    <w:rsid w:val="007A70B9"/>
    <w:rsid w:val="007A729D"/>
    <w:rsid w:val="007A7602"/>
    <w:rsid w:val="007A7A58"/>
    <w:rsid w:val="007A7D25"/>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8C4"/>
    <w:rsid w:val="007C7CA2"/>
    <w:rsid w:val="007D08F9"/>
    <w:rsid w:val="007D0C01"/>
    <w:rsid w:val="007D26D2"/>
    <w:rsid w:val="007D27D5"/>
    <w:rsid w:val="007D2E26"/>
    <w:rsid w:val="007D3356"/>
    <w:rsid w:val="007D3FBD"/>
    <w:rsid w:val="007D49A0"/>
    <w:rsid w:val="007D7B65"/>
    <w:rsid w:val="007D7EF3"/>
    <w:rsid w:val="007E0553"/>
    <w:rsid w:val="007E31A3"/>
    <w:rsid w:val="007E5125"/>
    <w:rsid w:val="007E5A30"/>
    <w:rsid w:val="007E5DB4"/>
    <w:rsid w:val="007E61FC"/>
    <w:rsid w:val="007E6334"/>
    <w:rsid w:val="007E6423"/>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39F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B29"/>
    <w:rsid w:val="00815FC2"/>
    <w:rsid w:val="0081607D"/>
    <w:rsid w:val="008167F5"/>
    <w:rsid w:val="00816B09"/>
    <w:rsid w:val="0081717F"/>
    <w:rsid w:val="0081794B"/>
    <w:rsid w:val="00817D8E"/>
    <w:rsid w:val="008200A3"/>
    <w:rsid w:val="00820222"/>
    <w:rsid w:val="00820BF2"/>
    <w:rsid w:val="00821A8A"/>
    <w:rsid w:val="00824749"/>
    <w:rsid w:val="00824C4E"/>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3C1"/>
    <w:rsid w:val="00843908"/>
    <w:rsid w:val="008443E1"/>
    <w:rsid w:val="008444D4"/>
    <w:rsid w:val="00845D12"/>
    <w:rsid w:val="00846713"/>
    <w:rsid w:val="00846C5D"/>
    <w:rsid w:val="00846D48"/>
    <w:rsid w:val="008472A9"/>
    <w:rsid w:val="008473E4"/>
    <w:rsid w:val="008473FA"/>
    <w:rsid w:val="00847830"/>
    <w:rsid w:val="00851A81"/>
    <w:rsid w:val="00851F4C"/>
    <w:rsid w:val="0085224B"/>
    <w:rsid w:val="008523BA"/>
    <w:rsid w:val="00852B26"/>
    <w:rsid w:val="008543D4"/>
    <w:rsid w:val="0085480B"/>
    <w:rsid w:val="00855021"/>
    <w:rsid w:val="00855985"/>
    <w:rsid w:val="00855A70"/>
    <w:rsid w:val="008560F4"/>
    <w:rsid w:val="0085656A"/>
    <w:rsid w:val="008568B1"/>
    <w:rsid w:val="008570EB"/>
    <w:rsid w:val="00860A1E"/>
    <w:rsid w:val="00861622"/>
    <w:rsid w:val="008624DD"/>
    <w:rsid w:val="00863125"/>
    <w:rsid w:val="00864325"/>
    <w:rsid w:val="008645F1"/>
    <w:rsid w:val="0086470B"/>
    <w:rsid w:val="00864EBB"/>
    <w:rsid w:val="008662C0"/>
    <w:rsid w:val="0086644C"/>
    <w:rsid w:val="008701F3"/>
    <w:rsid w:val="0087030B"/>
    <w:rsid w:val="008705E1"/>
    <w:rsid w:val="0087153F"/>
    <w:rsid w:val="00872938"/>
    <w:rsid w:val="00873ABF"/>
    <w:rsid w:val="0087459A"/>
    <w:rsid w:val="00875167"/>
    <w:rsid w:val="00875A88"/>
    <w:rsid w:val="00875DF8"/>
    <w:rsid w:val="0087644A"/>
    <w:rsid w:val="008765E3"/>
    <w:rsid w:val="00876DCE"/>
    <w:rsid w:val="00876F0A"/>
    <w:rsid w:val="00876FBF"/>
    <w:rsid w:val="00881572"/>
    <w:rsid w:val="00882FEA"/>
    <w:rsid w:val="0088320F"/>
    <w:rsid w:val="00883450"/>
    <w:rsid w:val="008834D1"/>
    <w:rsid w:val="0088398C"/>
    <w:rsid w:val="0088416D"/>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4872"/>
    <w:rsid w:val="008A52F3"/>
    <w:rsid w:val="008A5456"/>
    <w:rsid w:val="008A56DD"/>
    <w:rsid w:val="008A74F2"/>
    <w:rsid w:val="008A7536"/>
    <w:rsid w:val="008A7F1F"/>
    <w:rsid w:val="008A7F7D"/>
    <w:rsid w:val="008B1A0C"/>
    <w:rsid w:val="008B1A5A"/>
    <w:rsid w:val="008B382F"/>
    <w:rsid w:val="008B38BC"/>
    <w:rsid w:val="008B3A16"/>
    <w:rsid w:val="008B3CBF"/>
    <w:rsid w:val="008B4590"/>
    <w:rsid w:val="008B5AB4"/>
    <w:rsid w:val="008B66A6"/>
    <w:rsid w:val="008B6849"/>
    <w:rsid w:val="008B7D4A"/>
    <w:rsid w:val="008B7FFE"/>
    <w:rsid w:val="008C0446"/>
    <w:rsid w:val="008C13DB"/>
    <w:rsid w:val="008C1CFD"/>
    <w:rsid w:val="008C23FB"/>
    <w:rsid w:val="008C28BF"/>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5C3"/>
    <w:rsid w:val="008D4E99"/>
    <w:rsid w:val="008D5066"/>
    <w:rsid w:val="008D5A97"/>
    <w:rsid w:val="008D6697"/>
    <w:rsid w:val="008D728C"/>
    <w:rsid w:val="008E0674"/>
    <w:rsid w:val="008E11CC"/>
    <w:rsid w:val="008E1B8F"/>
    <w:rsid w:val="008E2154"/>
    <w:rsid w:val="008E234C"/>
    <w:rsid w:val="008E26D5"/>
    <w:rsid w:val="008E29BB"/>
    <w:rsid w:val="008E2B17"/>
    <w:rsid w:val="008E3E12"/>
    <w:rsid w:val="008E4DCD"/>
    <w:rsid w:val="008E5767"/>
    <w:rsid w:val="008E580D"/>
    <w:rsid w:val="008E63C7"/>
    <w:rsid w:val="008E7DFD"/>
    <w:rsid w:val="008F12E6"/>
    <w:rsid w:val="008F1558"/>
    <w:rsid w:val="008F2263"/>
    <w:rsid w:val="008F2B44"/>
    <w:rsid w:val="008F330B"/>
    <w:rsid w:val="008F3A6B"/>
    <w:rsid w:val="008F4D8E"/>
    <w:rsid w:val="008F5927"/>
    <w:rsid w:val="008F5D4C"/>
    <w:rsid w:val="008F5F96"/>
    <w:rsid w:val="008F7752"/>
    <w:rsid w:val="00900600"/>
    <w:rsid w:val="009006C5"/>
    <w:rsid w:val="0090174A"/>
    <w:rsid w:val="0090253F"/>
    <w:rsid w:val="00902E52"/>
    <w:rsid w:val="009036B3"/>
    <w:rsid w:val="009052C1"/>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1D8F"/>
    <w:rsid w:val="00922166"/>
    <w:rsid w:val="00922B81"/>
    <w:rsid w:val="00923604"/>
    <w:rsid w:val="00925C68"/>
    <w:rsid w:val="009315B0"/>
    <w:rsid w:val="009316E9"/>
    <w:rsid w:val="00931C93"/>
    <w:rsid w:val="00931EE2"/>
    <w:rsid w:val="00931FD8"/>
    <w:rsid w:val="0093282F"/>
    <w:rsid w:val="0093416D"/>
    <w:rsid w:val="009341A4"/>
    <w:rsid w:val="00934799"/>
    <w:rsid w:val="0093652D"/>
    <w:rsid w:val="00936971"/>
    <w:rsid w:val="00936999"/>
    <w:rsid w:val="0093714F"/>
    <w:rsid w:val="00937309"/>
    <w:rsid w:val="00937D66"/>
    <w:rsid w:val="009405CB"/>
    <w:rsid w:val="0094065A"/>
    <w:rsid w:val="00940FE2"/>
    <w:rsid w:val="009420B5"/>
    <w:rsid w:val="00943E62"/>
    <w:rsid w:val="0094407F"/>
    <w:rsid w:val="00945A61"/>
    <w:rsid w:val="009467D2"/>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5852"/>
    <w:rsid w:val="009767EB"/>
    <w:rsid w:val="00977D37"/>
    <w:rsid w:val="009813EA"/>
    <w:rsid w:val="009830D3"/>
    <w:rsid w:val="00983535"/>
    <w:rsid w:val="00983B8F"/>
    <w:rsid w:val="009847B3"/>
    <w:rsid w:val="00984D47"/>
    <w:rsid w:val="0098595E"/>
    <w:rsid w:val="00986073"/>
    <w:rsid w:val="00987589"/>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6EA3"/>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C0940"/>
    <w:rsid w:val="009C0950"/>
    <w:rsid w:val="009C1D99"/>
    <w:rsid w:val="009C1F8B"/>
    <w:rsid w:val="009C20A8"/>
    <w:rsid w:val="009C5057"/>
    <w:rsid w:val="009C6069"/>
    <w:rsid w:val="009D1378"/>
    <w:rsid w:val="009D1780"/>
    <w:rsid w:val="009D2384"/>
    <w:rsid w:val="009D3240"/>
    <w:rsid w:val="009D3A6E"/>
    <w:rsid w:val="009D3E9A"/>
    <w:rsid w:val="009D55C6"/>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43A"/>
    <w:rsid w:val="00A036C5"/>
    <w:rsid w:val="00A03AD2"/>
    <w:rsid w:val="00A05A67"/>
    <w:rsid w:val="00A05DA0"/>
    <w:rsid w:val="00A073A0"/>
    <w:rsid w:val="00A07D84"/>
    <w:rsid w:val="00A10336"/>
    <w:rsid w:val="00A10CE2"/>
    <w:rsid w:val="00A11EAC"/>
    <w:rsid w:val="00A13400"/>
    <w:rsid w:val="00A13703"/>
    <w:rsid w:val="00A13811"/>
    <w:rsid w:val="00A13838"/>
    <w:rsid w:val="00A13D7D"/>
    <w:rsid w:val="00A15C42"/>
    <w:rsid w:val="00A166B8"/>
    <w:rsid w:val="00A16DF1"/>
    <w:rsid w:val="00A17302"/>
    <w:rsid w:val="00A17A17"/>
    <w:rsid w:val="00A2069D"/>
    <w:rsid w:val="00A20B1F"/>
    <w:rsid w:val="00A21050"/>
    <w:rsid w:val="00A235D0"/>
    <w:rsid w:val="00A24131"/>
    <w:rsid w:val="00A255AD"/>
    <w:rsid w:val="00A27A7F"/>
    <w:rsid w:val="00A3276A"/>
    <w:rsid w:val="00A349D2"/>
    <w:rsid w:val="00A34C05"/>
    <w:rsid w:val="00A35492"/>
    <w:rsid w:val="00A35FCF"/>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8FE"/>
    <w:rsid w:val="00A46AC9"/>
    <w:rsid w:val="00A46F7C"/>
    <w:rsid w:val="00A471A7"/>
    <w:rsid w:val="00A47279"/>
    <w:rsid w:val="00A473F5"/>
    <w:rsid w:val="00A477E5"/>
    <w:rsid w:val="00A50188"/>
    <w:rsid w:val="00A50720"/>
    <w:rsid w:val="00A50922"/>
    <w:rsid w:val="00A50B8A"/>
    <w:rsid w:val="00A51F40"/>
    <w:rsid w:val="00A526B0"/>
    <w:rsid w:val="00A55D2B"/>
    <w:rsid w:val="00A572BC"/>
    <w:rsid w:val="00A57A82"/>
    <w:rsid w:val="00A62B7B"/>
    <w:rsid w:val="00A65B37"/>
    <w:rsid w:val="00A66AE9"/>
    <w:rsid w:val="00A67428"/>
    <w:rsid w:val="00A679BF"/>
    <w:rsid w:val="00A7028F"/>
    <w:rsid w:val="00A70CF3"/>
    <w:rsid w:val="00A7155E"/>
    <w:rsid w:val="00A71FE7"/>
    <w:rsid w:val="00A7313E"/>
    <w:rsid w:val="00A73BAD"/>
    <w:rsid w:val="00A73C04"/>
    <w:rsid w:val="00A73E14"/>
    <w:rsid w:val="00A73EFE"/>
    <w:rsid w:val="00A74EDE"/>
    <w:rsid w:val="00A763AE"/>
    <w:rsid w:val="00A76619"/>
    <w:rsid w:val="00A766D5"/>
    <w:rsid w:val="00A76B0D"/>
    <w:rsid w:val="00A80223"/>
    <w:rsid w:val="00A80A03"/>
    <w:rsid w:val="00A8114B"/>
    <w:rsid w:val="00A816EE"/>
    <w:rsid w:val="00A81AB5"/>
    <w:rsid w:val="00A822C6"/>
    <w:rsid w:val="00A82724"/>
    <w:rsid w:val="00A82C13"/>
    <w:rsid w:val="00A82C5A"/>
    <w:rsid w:val="00A83FF6"/>
    <w:rsid w:val="00A84187"/>
    <w:rsid w:val="00A85CB7"/>
    <w:rsid w:val="00A8620F"/>
    <w:rsid w:val="00A8652F"/>
    <w:rsid w:val="00A86AAB"/>
    <w:rsid w:val="00A86D49"/>
    <w:rsid w:val="00A8769A"/>
    <w:rsid w:val="00A877B4"/>
    <w:rsid w:val="00A87B22"/>
    <w:rsid w:val="00A90FF4"/>
    <w:rsid w:val="00A917E3"/>
    <w:rsid w:val="00A918B0"/>
    <w:rsid w:val="00A92E9F"/>
    <w:rsid w:val="00A92EC0"/>
    <w:rsid w:val="00A92EED"/>
    <w:rsid w:val="00A94F2F"/>
    <w:rsid w:val="00A95848"/>
    <w:rsid w:val="00A975D5"/>
    <w:rsid w:val="00A9772B"/>
    <w:rsid w:val="00AA0660"/>
    <w:rsid w:val="00AA1409"/>
    <w:rsid w:val="00AA29D8"/>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61E4"/>
    <w:rsid w:val="00AB6BE3"/>
    <w:rsid w:val="00AB7AAA"/>
    <w:rsid w:val="00AC2197"/>
    <w:rsid w:val="00AC37C3"/>
    <w:rsid w:val="00AC3E08"/>
    <w:rsid w:val="00AC3E65"/>
    <w:rsid w:val="00AC535B"/>
    <w:rsid w:val="00AC5F6A"/>
    <w:rsid w:val="00AC63D3"/>
    <w:rsid w:val="00AD02D6"/>
    <w:rsid w:val="00AD0B3C"/>
    <w:rsid w:val="00AD0F76"/>
    <w:rsid w:val="00AD0FC3"/>
    <w:rsid w:val="00AD1CC0"/>
    <w:rsid w:val="00AD22B5"/>
    <w:rsid w:val="00AD2718"/>
    <w:rsid w:val="00AD2E4D"/>
    <w:rsid w:val="00AD31ED"/>
    <w:rsid w:val="00AD33D3"/>
    <w:rsid w:val="00AD3DB4"/>
    <w:rsid w:val="00AD5133"/>
    <w:rsid w:val="00AD5712"/>
    <w:rsid w:val="00AD65F4"/>
    <w:rsid w:val="00AD6AC5"/>
    <w:rsid w:val="00AD76A1"/>
    <w:rsid w:val="00AE1CCB"/>
    <w:rsid w:val="00AE48E8"/>
    <w:rsid w:val="00AE6F39"/>
    <w:rsid w:val="00AE7F20"/>
    <w:rsid w:val="00AF0E7C"/>
    <w:rsid w:val="00AF1F04"/>
    <w:rsid w:val="00AF3B55"/>
    <w:rsid w:val="00AF3D59"/>
    <w:rsid w:val="00AF5337"/>
    <w:rsid w:val="00AF5C58"/>
    <w:rsid w:val="00AF615F"/>
    <w:rsid w:val="00AF6794"/>
    <w:rsid w:val="00AF6F48"/>
    <w:rsid w:val="00AF717E"/>
    <w:rsid w:val="00AF77A6"/>
    <w:rsid w:val="00AF7E53"/>
    <w:rsid w:val="00B016F7"/>
    <w:rsid w:val="00B024B9"/>
    <w:rsid w:val="00B02BDD"/>
    <w:rsid w:val="00B04A9B"/>
    <w:rsid w:val="00B04E10"/>
    <w:rsid w:val="00B055B9"/>
    <w:rsid w:val="00B07194"/>
    <w:rsid w:val="00B10AFF"/>
    <w:rsid w:val="00B10F6B"/>
    <w:rsid w:val="00B12CE1"/>
    <w:rsid w:val="00B13243"/>
    <w:rsid w:val="00B13511"/>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33EB"/>
    <w:rsid w:val="00B434C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2FF7"/>
    <w:rsid w:val="00B64099"/>
    <w:rsid w:val="00B643D6"/>
    <w:rsid w:val="00B64919"/>
    <w:rsid w:val="00B6571D"/>
    <w:rsid w:val="00B667C6"/>
    <w:rsid w:val="00B66BC8"/>
    <w:rsid w:val="00B6723D"/>
    <w:rsid w:val="00B67B60"/>
    <w:rsid w:val="00B67BD4"/>
    <w:rsid w:val="00B71F08"/>
    <w:rsid w:val="00B72964"/>
    <w:rsid w:val="00B73838"/>
    <w:rsid w:val="00B7421A"/>
    <w:rsid w:val="00B74366"/>
    <w:rsid w:val="00B74D4D"/>
    <w:rsid w:val="00B7561B"/>
    <w:rsid w:val="00B75F20"/>
    <w:rsid w:val="00B762FD"/>
    <w:rsid w:val="00B76BC1"/>
    <w:rsid w:val="00B76C73"/>
    <w:rsid w:val="00B808A4"/>
    <w:rsid w:val="00B81371"/>
    <w:rsid w:val="00B818B8"/>
    <w:rsid w:val="00B8225B"/>
    <w:rsid w:val="00B83B1F"/>
    <w:rsid w:val="00B83E2E"/>
    <w:rsid w:val="00B84739"/>
    <w:rsid w:val="00B855AA"/>
    <w:rsid w:val="00B864B3"/>
    <w:rsid w:val="00B87678"/>
    <w:rsid w:val="00B8780A"/>
    <w:rsid w:val="00B902E7"/>
    <w:rsid w:val="00B90B4F"/>
    <w:rsid w:val="00B922D9"/>
    <w:rsid w:val="00B926D6"/>
    <w:rsid w:val="00B93351"/>
    <w:rsid w:val="00B945F2"/>
    <w:rsid w:val="00B95670"/>
    <w:rsid w:val="00B959FD"/>
    <w:rsid w:val="00B95C7D"/>
    <w:rsid w:val="00B966BF"/>
    <w:rsid w:val="00B96FBD"/>
    <w:rsid w:val="00B974B4"/>
    <w:rsid w:val="00BA0012"/>
    <w:rsid w:val="00BA0458"/>
    <w:rsid w:val="00BA200D"/>
    <w:rsid w:val="00BA4BD7"/>
    <w:rsid w:val="00BA4F66"/>
    <w:rsid w:val="00BA54A2"/>
    <w:rsid w:val="00BA6D15"/>
    <w:rsid w:val="00BA7987"/>
    <w:rsid w:val="00BA7CFA"/>
    <w:rsid w:val="00BB1309"/>
    <w:rsid w:val="00BB2592"/>
    <w:rsid w:val="00BB2A0F"/>
    <w:rsid w:val="00BB3156"/>
    <w:rsid w:val="00BB4F26"/>
    <w:rsid w:val="00BB5CA9"/>
    <w:rsid w:val="00BB6662"/>
    <w:rsid w:val="00BB7E0C"/>
    <w:rsid w:val="00BC0CE4"/>
    <w:rsid w:val="00BC1CB0"/>
    <w:rsid w:val="00BC2139"/>
    <w:rsid w:val="00BC22CD"/>
    <w:rsid w:val="00BC260A"/>
    <w:rsid w:val="00BC30BF"/>
    <w:rsid w:val="00BC3150"/>
    <w:rsid w:val="00BC428C"/>
    <w:rsid w:val="00BC4307"/>
    <w:rsid w:val="00BC49C9"/>
    <w:rsid w:val="00BC4C44"/>
    <w:rsid w:val="00BC61B2"/>
    <w:rsid w:val="00BC7E69"/>
    <w:rsid w:val="00BD025A"/>
    <w:rsid w:val="00BD02D5"/>
    <w:rsid w:val="00BD0A1C"/>
    <w:rsid w:val="00BD0DA4"/>
    <w:rsid w:val="00BD0F9E"/>
    <w:rsid w:val="00BD1B67"/>
    <w:rsid w:val="00BD2E8E"/>
    <w:rsid w:val="00BD335B"/>
    <w:rsid w:val="00BD33B6"/>
    <w:rsid w:val="00BD36AE"/>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C95"/>
    <w:rsid w:val="00BE31BD"/>
    <w:rsid w:val="00BE37A9"/>
    <w:rsid w:val="00BE462E"/>
    <w:rsid w:val="00BE545A"/>
    <w:rsid w:val="00BE57A2"/>
    <w:rsid w:val="00BE5E11"/>
    <w:rsid w:val="00BE6C95"/>
    <w:rsid w:val="00BE7459"/>
    <w:rsid w:val="00BE74FA"/>
    <w:rsid w:val="00BE7E61"/>
    <w:rsid w:val="00BF0A54"/>
    <w:rsid w:val="00BF0F1C"/>
    <w:rsid w:val="00BF1278"/>
    <w:rsid w:val="00BF1B7F"/>
    <w:rsid w:val="00BF22B8"/>
    <w:rsid w:val="00BF2346"/>
    <w:rsid w:val="00BF3B85"/>
    <w:rsid w:val="00BF485E"/>
    <w:rsid w:val="00BF6B5B"/>
    <w:rsid w:val="00BF6C2B"/>
    <w:rsid w:val="00BF6D83"/>
    <w:rsid w:val="00BF704D"/>
    <w:rsid w:val="00BF7365"/>
    <w:rsid w:val="00BF7585"/>
    <w:rsid w:val="00BF7596"/>
    <w:rsid w:val="00BF7824"/>
    <w:rsid w:val="00BF7D15"/>
    <w:rsid w:val="00C00996"/>
    <w:rsid w:val="00C020F8"/>
    <w:rsid w:val="00C0234A"/>
    <w:rsid w:val="00C02535"/>
    <w:rsid w:val="00C04666"/>
    <w:rsid w:val="00C04D22"/>
    <w:rsid w:val="00C06C02"/>
    <w:rsid w:val="00C07C99"/>
    <w:rsid w:val="00C11482"/>
    <w:rsid w:val="00C11E0B"/>
    <w:rsid w:val="00C12419"/>
    <w:rsid w:val="00C1254E"/>
    <w:rsid w:val="00C12E38"/>
    <w:rsid w:val="00C14CDF"/>
    <w:rsid w:val="00C150E0"/>
    <w:rsid w:val="00C150F6"/>
    <w:rsid w:val="00C15A7E"/>
    <w:rsid w:val="00C15F97"/>
    <w:rsid w:val="00C16762"/>
    <w:rsid w:val="00C16B08"/>
    <w:rsid w:val="00C17637"/>
    <w:rsid w:val="00C179FC"/>
    <w:rsid w:val="00C203F6"/>
    <w:rsid w:val="00C20EB1"/>
    <w:rsid w:val="00C2139F"/>
    <w:rsid w:val="00C21EE9"/>
    <w:rsid w:val="00C24101"/>
    <w:rsid w:val="00C24B25"/>
    <w:rsid w:val="00C24FF3"/>
    <w:rsid w:val="00C2575E"/>
    <w:rsid w:val="00C25C57"/>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D3"/>
    <w:rsid w:val="00C43233"/>
    <w:rsid w:val="00C43A3B"/>
    <w:rsid w:val="00C454F4"/>
    <w:rsid w:val="00C45581"/>
    <w:rsid w:val="00C45A02"/>
    <w:rsid w:val="00C45BF0"/>
    <w:rsid w:val="00C46213"/>
    <w:rsid w:val="00C465BE"/>
    <w:rsid w:val="00C4712A"/>
    <w:rsid w:val="00C47468"/>
    <w:rsid w:val="00C47CDC"/>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28FD"/>
    <w:rsid w:val="00C95593"/>
    <w:rsid w:val="00C9667A"/>
    <w:rsid w:val="00C966B2"/>
    <w:rsid w:val="00C96A1F"/>
    <w:rsid w:val="00C9707E"/>
    <w:rsid w:val="00CA03B7"/>
    <w:rsid w:val="00CA0640"/>
    <w:rsid w:val="00CA1B2C"/>
    <w:rsid w:val="00CA2022"/>
    <w:rsid w:val="00CA4741"/>
    <w:rsid w:val="00CA4CF0"/>
    <w:rsid w:val="00CA543E"/>
    <w:rsid w:val="00CA5465"/>
    <w:rsid w:val="00CA5FEE"/>
    <w:rsid w:val="00CA62D4"/>
    <w:rsid w:val="00CA7A78"/>
    <w:rsid w:val="00CA7F49"/>
    <w:rsid w:val="00CB25AE"/>
    <w:rsid w:val="00CB2FC0"/>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6866"/>
    <w:rsid w:val="00CD76D4"/>
    <w:rsid w:val="00CD7893"/>
    <w:rsid w:val="00CD7911"/>
    <w:rsid w:val="00CE03CC"/>
    <w:rsid w:val="00CE5758"/>
    <w:rsid w:val="00CE6EC5"/>
    <w:rsid w:val="00CE7E6A"/>
    <w:rsid w:val="00CF030B"/>
    <w:rsid w:val="00CF15AD"/>
    <w:rsid w:val="00CF23A2"/>
    <w:rsid w:val="00CF2665"/>
    <w:rsid w:val="00CF5D77"/>
    <w:rsid w:val="00CF6EB2"/>
    <w:rsid w:val="00D00269"/>
    <w:rsid w:val="00D00730"/>
    <w:rsid w:val="00D02F72"/>
    <w:rsid w:val="00D04655"/>
    <w:rsid w:val="00D056B5"/>
    <w:rsid w:val="00D07927"/>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A9F"/>
    <w:rsid w:val="00D266ED"/>
    <w:rsid w:val="00D26C47"/>
    <w:rsid w:val="00D2734A"/>
    <w:rsid w:val="00D276CF"/>
    <w:rsid w:val="00D27F25"/>
    <w:rsid w:val="00D30003"/>
    <w:rsid w:val="00D306AB"/>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1955"/>
    <w:rsid w:val="00D525E2"/>
    <w:rsid w:val="00D53E76"/>
    <w:rsid w:val="00D5750C"/>
    <w:rsid w:val="00D60582"/>
    <w:rsid w:val="00D61222"/>
    <w:rsid w:val="00D6172D"/>
    <w:rsid w:val="00D6172F"/>
    <w:rsid w:val="00D62BEF"/>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8F0"/>
    <w:rsid w:val="00D74685"/>
    <w:rsid w:val="00D75E6C"/>
    <w:rsid w:val="00D80F7C"/>
    <w:rsid w:val="00D82CB3"/>
    <w:rsid w:val="00D82FC0"/>
    <w:rsid w:val="00D8322A"/>
    <w:rsid w:val="00D83C17"/>
    <w:rsid w:val="00D8537E"/>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226D"/>
    <w:rsid w:val="00DA22D8"/>
    <w:rsid w:val="00DA2D95"/>
    <w:rsid w:val="00DA3A4F"/>
    <w:rsid w:val="00DA42C0"/>
    <w:rsid w:val="00DA52A2"/>
    <w:rsid w:val="00DA5647"/>
    <w:rsid w:val="00DA57B0"/>
    <w:rsid w:val="00DA7146"/>
    <w:rsid w:val="00DA7E2F"/>
    <w:rsid w:val="00DB0C0B"/>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4DAD"/>
    <w:rsid w:val="00DC5188"/>
    <w:rsid w:val="00DC5A97"/>
    <w:rsid w:val="00DC6294"/>
    <w:rsid w:val="00DC6875"/>
    <w:rsid w:val="00DC6AEA"/>
    <w:rsid w:val="00DC7377"/>
    <w:rsid w:val="00DD0282"/>
    <w:rsid w:val="00DD2912"/>
    <w:rsid w:val="00DD2A39"/>
    <w:rsid w:val="00DD353B"/>
    <w:rsid w:val="00DD3902"/>
    <w:rsid w:val="00DD417A"/>
    <w:rsid w:val="00DD45C1"/>
    <w:rsid w:val="00DD4849"/>
    <w:rsid w:val="00DD4C01"/>
    <w:rsid w:val="00DD5361"/>
    <w:rsid w:val="00DD54CB"/>
    <w:rsid w:val="00DE0FC0"/>
    <w:rsid w:val="00DE190A"/>
    <w:rsid w:val="00DE1A76"/>
    <w:rsid w:val="00DE288D"/>
    <w:rsid w:val="00DE31D8"/>
    <w:rsid w:val="00DE3949"/>
    <w:rsid w:val="00DE3A31"/>
    <w:rsid w:val="00DE4F75"/>
    <w:rsid w:val="00DE5F76"/>
    <w:rsid w:val="00DF09A4"/>
    <w:rsid w:val="00DF0DF7"/>
    <w:rsid w:val="00DF13A5"/>
    <w:rsid w:val="00DF1C93"/>
    <w:rsid w:val="00DF1E5D"/>
    <w:rsid w:val="00DF2ABA"/>
    <w:rsid w:val="00DF2C11"/>
    <w:rsid w:val="00DF391A"/>
    <w:rsid w:val="00DF419C"/>
    <w:rsid w:val="00DF51C5"/>
    <w:rsid w:val="00DF6794"/>
    <w:rsid w:val="00DF72C7"/>
    <w:rsid w:val="00DF7862"/>
    <w:rsid w:val="00E00D6F"/>
    <w:rsid w:val="00E01A81"/>
    <w:rsid w:val="00E02A48"/>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37D0C"/>
    <w:rsid w:val="00E41588"/>
    <w:rsid w:val="00E41813"/>
    <w:rsid w:val="00E43ABE"/>
    <w:rsid w:val="00E44057"/>
    <w:rsid w:val="00E445BD"/>
    <w:rsid w:val="00E46673"/>
    <w:rsid w:val="00E46BF7"/>
    <w:rsid w:val="00E47A5F"/>
    <w:rsid w:val="00E47F04"/>
    <w:rsid w:val="00E50385"/>
    <w:rsid w:val="00E506E7"/>
    <w:rsid w:val="00E507A5"/>
    <w:rsid w:val="00E51A57"/>
    <w:rsid w:val="00E528D2"/>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7FF"/>
    <w:rsid w:val="00E64F65"/>
    <w:rsid w:val="00E650C6"/>
    <w:rsid w:val="00E6520A"/>
    <w:rsid w:val="00E6662D"/>
    <w:rsid w:val="00E66A80"/>
    <w:rsid w:val="00E66EE6"/>
    <w:rsid w:val="00E7063D"/>
    <w:rsid w:val="00E70911"/>
    <w:rsid w:val="00E71329"/>
    <w:rsid w:val="00E71633"/>
    <w:rsid w:val="00E7218C"/>
    <w:rsid w:val="00E72689"/>
    <w:rsid w:val="00E730A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6326"/>
    <w:rsid w:val="00E969D2"/>
    <w:rsid w:val="00E96FC5"/>
    <w:rsid w:val="00E97D83"/>
    <w:rsid w:val="00EA0CA1"/>
    <w:rsid w:val="00EA1D8B"/>
    <w:rsid w:val="00EA289E"/>
    <w:rsid w:val="00EA2E5E"/>
    <w:rsid w:val="00EA3249"/>
    <w:rsid w:val="00EA37A0"/>
    <w:rsid w:val="00EA3C59"/>
    <w:rsid w:val="00EA4CEB"/>
    <w:rsid w:val="00EA5061"/>
    <w:rsid w:val="00EA5118"/>
    <w:rsid w:val="00EA53CF"/>
    <w:rsid w:val="00EA6C56"/>
    <w:rsid w:val="00EB02F9"/>
    <w:rsid w:val="00EB0C63"/>
    <w:rsid w:val="00EB0DF0"/>
    <w:rsid w:val="00EB1280"/>
    <w:rsid w:val="00EB1A2C"/>
    <w:rsid w:val="00EB2513"/>
    <w:rsid w:val="00EB3DF7"/>
    <w:rsid w:val="00EB3F5C"/>
    <w:rsid w:val="00EB40DC"/>
    <w:rsid w:val="00EB41EF"/>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1C5"/>
    <w:rsid w:val="00EC6F0E"/>
    <w:rsid w:val="00EC7352"/>
    <w:rsid w:val="00ED2270"/>
    <w:rsid w:val="00ED26C0"/>
    <w:rsid w:val="00ED3818"/>
    <w:rsid w:val="00ED3B1D"/>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3BF9"/>
    <w:rsid w:val="00EF4891"/>
    <w:rsid w:val="00EF4C26"/>
    <w:rsid w:val="00EF5CC0"/>
    <w:rsid w:val="00EF6A2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4FE"/>
    <w:rsid w:val="00F20933"/>
    <w:rsid w:val="00F2141D"/>
    <w:rsid w:val="00F21705"/>
    <w:rsid w:val="00F21772"/>
    <w:rsid w:val="00F2299C"/>
    <w:rsid w:val="00F231FC"/>
    <w:rsid w:val="00F234AD"/>
    <w:rsid w:val="00F24AB7"/>
    <w:rsid w:val="00F2567E"/>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B6F"/>
    <w:rsid w:val="00F408DD"/>
    <w:rsid w:val="00F40C05"/>
    <w:rsid w:val="00F40E86"/>
    <w:rsid w:val="00F42168"/>
    <w:rsid w:val="00F425B3"/>
    <w:rsid w:val="00F4327E"/>
    <w:rsid w:val="00F44C78"/>
    <w:rsid w:val="00F44F38"/>
    <w:rsid w:val="00F452C0"/>
    <w:rsid w:val="00F45502"/>
    <w:rsid w:val="00F455A6"/>
    <w:rsid w:val="00F459E6"/>
    <w:rsid w:val="00F460CC"/>
    <w:rsid w:val="00F473DE"/>
    <w:rsid w:val="00F47D88"/>
    <w:rsid w:val="00F53104"/>
    <w:rsid w:val="00F5372F"/>
    <w:rsid w:val="00F53C70"/>
    <w:rsid w:val="00F550F8"/>
    <w:rsid w:val="00F55309"/>
    <w:rsid w:val="00F562A9"/>
    <w:rsid w:val="00F56E0D"/>
    <w:rsid w:val="00F606BE"/>
    <w:rsid w:val="00F60C62"/>
    <w:rsid w:val="00F6300E"/>
    <w:rsid w:val="00F6301A"/>
    <w:rsid w:val="00F638B9"/>
    <w:rsid w:val="00F63940"/>
    <w:rsid w:val="00F645AF"/>
    <w:rsid w:val="00F65055"/>
    <w:rsid w:val="00F65D41"/>
    <w:rsid w:val="00F664F8"/>
    <w:rsid w:val="00F66BC9"/>
    <w:rsid w:val="00F67057"/>
    <w:rsid w:val="00F6715F"/>
    <w:rsid w:val="00F67946"/>
    <w:rsid w:val="00F70916"/>
    <w:rsid w:val="00F70DDB"/>
    <w:rsid w:val="00F7271E"/>
    <w:rsid w:val="00F72B99"/>
    <w:rsid w:val="00F72CCD"/>
    <w:rsid w:val="00F72E9F"/>
    <w:rsid w:val="00F73166"/>
    <w:rsid w:val="00F736F9"/>
    <w:rsid w:val="00F739E9"/>
    <w:rsid w:val="00F75114"/>
    <w:rsid w:val="00F75285"/>
    <w:rsid w:val="00F77C12"/>
    <w:rsid w:val="00F8110A"/>
    <w:rsid w:val="00F81620"/>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7916"/>
    <w:rsid w:val="00F97AFE"/>
    <w:rsid w:val="00F97E65"/>
    <w:rsid w:val="00FA0128"/>
    <w:rsid w:val="00FA0F09"/>
    <w:rsid w:val="00FA1786"/>
    <w:rsid w:val="00FA17C2"/>
    <w:rsid w:val="00FA215F"/>
    <w:rsid w:val="00FA2406"/>
    <w:rsid w:val="00FA3191"/>
    <w:rsid w:val="00FA3808"/>
    <w:rsid w:val="00FA3860"/>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6C3D"/>
    <w:rsid w:val="00FC77FF"/>
    <w:rsid w:val="00FC7E40"/>
    <w:rsid w:val="00FD01C5"/>
    <w:rsid w:val="00FD0B5A"/>
    <w:rsid w:val="00FD1351"/>
    <w:rsid w:val="00FD1906"/>
    <w:rsid w:val="00FD27EA"/>
    <w:rsid w:val="00FD33CC"/>
    <w:rsid w:val="00FD4B65"/>
    <w:rsid w:val="00FD600C"/>
    <w:rsid w:val="00FD62D7"/>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233"/>
    <w:rsid w:val="00FF335C"/>
    <w:rsid w:val="00FF3373"/>
    <w:rsid w:val="00FF35F5"/>
    <w:rsid w:val="00FF3B7B"/>
    <w:rsid w:val="00FF3EA0"/>
    <w:rsid w:val="00FF3FF6"/>
    <w:rsid w:val="00FF40F7"/>
    <w:rsid w:val="00FF6C0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6F6A3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69424460">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6953921">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63482380">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18359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0277032">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CC1B4-5749-430B-9E9B-3B8B4D3B5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79</Pages>
  <Words>19381</Words>
  <Characters>106597</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2023-06-06T17:01:00Z</cp:lastPrinted>
  <dcterms:created xsi:type="dcterms:W3CDTF">2023-06-06T16:35:00Z</dcterms:created>
  <dcterms:modified xsi:type="dcterms:W3CDTF">2023-06-20T18:25:00Z</dcterms:modified>
</cp:coreProperties>
</file>