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273" w:rsidRDefault="000C5338">
      <w:pPr>
        <w:spacing w:after="0" w:line="360" w:lineRule="auto"/>
        <w:ind w:right="49"/>
        <w:jc w:val="both"/>
        <w:rPr>
          <w:rFonts w:ascii="Palatino Linotype" w:eastAsia="Palatino Linotype" w:hAnsi="Palatino Linotype" w:cs="Palatino Linotype"/>
          <w:sz w:val="24"/>
          <w:szCs w:val="24"/>
        </w:rPr>
      </w:pPr>
      <w:bookmarkStart w:id="0" w:name="_GoBack"/>
      <w:bookmarkEnd w:id="0"/>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veintitrés de noviembre de dos mil veintitrés. </w:t>
      </w:r>
    </w:p>
    <w:p w:rsidR="00940273" w:rsidRDefault="00940273">
      <w:pPr>
        <w:spacing w:after="0" w:line="360" w:lineRule="auto"/>
        <w:ind w:right="49"/>
        <w:jc w:val="center"/>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Visto el expediente relativo al recurso de revisión </w:t>
      </w:r>
      <w:r>
        <w:rPr>
          <w:rFonts w:ascii="Palatino Linotype" w:eastAsia="Palatino Linotype" w:hAnsi="Palatino Linotype" w:cs="Palatino Linotype"/>
          <w:b/>
          <w:sz w:val="24"/>
          <w:szCs w:val="24"/>
        </w:rPr>
        <w:t>05619/INFOEM/IP/RR/2023</w:t>
      </w:r>
      <w:r>
        <w:rPr>
          <w:rFonts w:ascii="Palatino Linotype" w:eastAsia="Palatino Linotype" w:hAnsi="Palatino Linotype" w:cs="Palatino Linotype"/>
          <w:sz w:val="24"/>
          <w:szCs w:val="24"/>
        </w:rPr>
        <w:t xml:space="preserve">, interpuesto por </w:t>
      </w:r>
      <w:r>
        <w:rPr>
          <w:rFonts w:ascii="Palatino Linotype" w:eastAsia="Palatino Linotype" w:hAnsi="Palatino Linotype" w:cs="Palatino Linotype"/>
          <w:b/>
          <w:sz w:val="24"/>
          <w:szCs w:val="24"/>
        </w:rPr>
        <w:t>una persona usuaria del Sistema de Acceso a la Información Mexiquense</w:t>
      </w:r>
      <w:r>
        <w:rPr>
          <w:rFonts w:ascii="Palatino Linotype" w:eastAsia="Palatino Linotype" w:hAnsi="Palatino Linotype" w:cs="Palatino Linotype"/>
          <w:sz w:val="24"/>
          <w:szCs w:val="24"/>
        </w:rPr>
        <w:t xml:space="preserve">, al cual en lo sucesivo se le denominará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en contra de la respuesta a su solici</w:t>
      </w:r>
      <w:r>
        <w:rPr>
          <w:rFonts w:ascii="Palatino Linotype" w:eastAsia="Palatino Linotype" w:hAnsi="Palatino Linotype" w:cs="Palatino Linotype"/>
          <w:sz w:val="24"/>
          <w:szCs w:val="24"/>
        </w:rPr>
        <w:t xml:space="preserve">tud de información identificada con número de folio </w:t>
      </w:r>
      <w:r>
        <w:rPr>
          <w:rFonts w:ascii="Palatino Linotype" w:eastAsia="Palatino Linotype" w:hAnsi="Palatino Linotype" w:cs="Palatino Linotype"/>
          <w:b/>
          <w:sz w:val="24"/>
          <w:szCs w:val="24"/>
        </w:rPr>
        <w:t>00605/ZINANCAT/IP/2022</w:t>
      </w:r>
      <w:r>
        <w:rPr>
          <w:rFonts w:ascii="Palatino Linotype" w:eastAsia="Palatino Linotype" w:hAnsi="Palatino Linotype" w:cs="Palatino Linotype"/>
          <w:sz w:val="24"/>
          <w:szCs w:val="24"/>
        </w:rPr>
        <w:t xml:space="preserve"> proporcionada por parte del Ayuntamiento de Zinacantepec, en lo sucesivo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se procede a dictar la presente resolución, con base en los siguientes:</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w:t>
      </w:r>
      <w:r>
        <w:rPr>
          <w:rFonts w:ascii="Palatino Linotype" w:eastAsia="Palatino Linotype" w:hAnsi="Palatino Linotype" w:cs="Palatino Linotype"/>
          <w:b/>
          <w:sz w:val="24"/>
          <w:szCs w:val="24"/>
        </w:rPr>
        <w:tab/>
        <w:t xml:space="preserve">A N T E C E </w:t>
      </w:r>
      <w:r>
        <w:rPr>
          <w:rFonts w:ascii="Palatino Linotype" w:eastAsia="Palatino Linotype" w:hAnsi="Palatino Linotype" w:cs="Palatino Linotype"/>
          <w:b/>
          <w:sz w:val="24"/>
          <w:szCs w:val="24"/>
        </w:rPr>
        <w:t>D E N T E S</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Solicitud de acceso a la información.</w:t>
      </w:r>
      <w:r>
        <w:rPr>
          <w:rFonts w:ascii="Palatino Linotype" w:eastAsia="Palatino Linotype" w:hAnsi="Palatino Linotype" w:cs="Palatino Linotype"/>
          <w:sz w:val="24"/>
          <w:szCs w:val="24"/>
        </w:rPr>
        <w:t xml:space="preserve"> Con fecha </w:t>
      </w:r>
      <w:r>
        <w:rPr>
          <w:rFonts w:ascii="Palatino Linotype" w:eastAsia="Palatino Linotype" w:hAnsi="Palatino Linotype" w:cs="Palatino Linotype"/>
          <w:b/>
          <w:sz w:val="24"/>
          <w:szCs w:val="24"/>
        </w:rPr>
        <w:t>catorce de julio de dos mil veintidós</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formuló solicitud de acceso a información pública al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xml:space="preserve"> a través del Sistema de Acceso a la Información Mexiquense, en adel</w:t>
      </w:r>
      <w:r>
        <w:rPr>
          <w:rFonts w:ascii="Palatino Linotype" w:eastAsia="Palatino Linotype" w:hAnsi="Palatino Linotype" w:cs="Palatino Linotype"/>
          <w:sz w:val="24"/>
          <w:szCs w:val="24"/>
        </w:rPr>
        <w:t xml:space="preserve">ante SAIMEX, en la que requirió lo siguiente: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276" w:lineRule="auto"/>
        <w:ind w:left="567" w:right="560"/>
        <w:jc w:val="both"/>
        <w:rPr>
          <w:rFonts w:ascii="Palatino Linotype" w:eastAsia="Palatino Linotype" w:hAnsi="Palatino Linotype" w:cs="Palatino Linotype"/>
          <w:i/>
        </w:rPr>
      </w:pPr>
      <w:bookmarkStart w:id="1" w:name="_heading=h.30j0zll" w:colFirst="0" w:colLast="0"/>
      <w:bookmarkEnd w:id="1"/>
      <w:r>
        <w:rPr>
          <w:rFonts w:ascii="Palatino Linotype" w:eastAsia="Palatino Linotype" w:hAnsi="Palatino Linotype" w:cs="Palatino Linotype"/>
          <w:i/>
        </w:rPr>
        <w:t xml:space="preserve">“SOLICITO EL PADRÓN DE PROVEEDORES DEL PERIODO 2022”. </w:t>
      </w:r>
    </w:p>
    <w:p w:rsidR="00940273" w:rsidRDefault="00940273">
      <w:pPr>
        <w:spacing w:after="0" w:line="360" w:lineRule="auto"/>
        <w:ind w:left="567" w:right="560"/>
        <w:jc w:val="both"/>
        <w:rPr>
          <w:rFonts w:ascii="Palatino Linotype" w:eastAsia="Palatino Linotype" w:hAnsi="Palatino Linotype" w:cs="Palatino Linotype"/>
          <w:i/>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Modalidad elegida para la entrega de la información:</w:t>
      </w:r>
      <w:r>
        <w:rPr>
          <w:rFonts w:ascii="Palatino Linotype" w:eastAsia="Palatino Linotype" w:hAnsi="Palatino Linotype" w:cs="Palatino Linotype"/>
          <w:sz w:val="24"/>
          <w:szCs w:val="24"/>
        </w:rPr>
        <w:t xml:space="preserve"> a través del Sistema de Acceso a la Información Mexiquense (SAIMEX). </w:t>
      </w:r>
    </w:p>
    <w:p w:rsidR="00940273" w:rsidRDefault="000C533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Ampliación de plazo para emit</w:t>
      </w:r>
      <w:r>
        <w:rPr>
          <w:rFonts w:ascii="Palatino Linotype" w:eastAsia="Palatino Linotype" w:hAnsi="Palatino Linotype" w:cs="Palatino Linotype"/>
          <w:b/>
          <w:sz w:val="24"/>
          <w:szCs w:val="24"/>
        </w:rPr>
        <w:t>ir respuesta</w:t>
      </w:r>
      <w:r>
        <w:rPr>
          <w:rFonts w:ascii="Palatino Linotype" w:eastAsia="Palatino Linotype" w:hAnsi="Palatino Linotype" w:cs="Palatino Linotype"/>
          <w:sz w:val="24"/>
          <w:szCs w:val="24"/>
        </w:rPr>
        <w:t xml:space="preserve">. En fecha </w:t>
      </w:r>
      <w:r>
        <w:rPr>
          <w:rFonts w:ascii="Palatino Linotype" w:eastAsia="Palatino Linotype" w:hAnsi="Palatino Linotype" w:cs="Palatino Linotype"/>
          <w:b/>
          <w:sz w:val="24"/>
          <w:szCs w:val="24"/>
        </w:rPr>
        <w:t xml:space="preserve">dieciocho de agosto de dos mil veintitrés </w:t>
      </w: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 xml:space="preserve">amplió el plazo para emitir respuesta por un periodo de siete días hábiles. </w:t>
      </w:r>
    </w:p>
    <w:p w:rsidR="00940273" w:rsidRDefault="0094027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940273" w:rsidRDefault="000C533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Respuesta.</w:t>
      </w:r>
      <w:r>
        <w:rPr>
          <w:rFonts w:ascii="Palatino Linotype" w:eastAsia="Palatino Linotype" w:hAnsi="Palatino Linotype" w:cs="Palatino Linotype"/>
          <w:sz w:val="24"/>
          <w:szCs w:val="24"/>
        </w:rPr>
        <w:t xml:space="preserve"> Con fecha </w:t>
      </w:r>
      <w:r>
        <w:rPr>
          <w:rFonts w:ascii="Palatino Linotype" w:eastAsia="Palatino Linotype" w:hAnsi="Palatino Linotype" w:cs="Palatino Linotype"/>
          <w:b/>
          <w:sz w:val="24"/>
          <w:szCs w:val="24"/>
        </w:rPr>
        <w:t>veintinueve de agosto de dos mil veintitrés</w:t>
      </w:r>
      <w:r>
        <w:rPr>
          <w:rFonts w:ascii="Palatino Linotype" w:eastAsia="Palatino Linotype" w:hAnsi="Palatino Linotype" w:cs="Palatino Linotype"/>
          <w:sz w:val="24"/>
          <w:szCs w:val="24"/>
        </w:rPr>
        <w:t xml:space="preserv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rsidR="00940273" w:rsidRDefault="00940273">
      <w:pPr>
        <w:spacing w:after="0" w:line="360" w:lineRule="auto"/>
        <w:ind w:left="567" w:right="560"/>
        <w:jc w:val="both"/>
        <w:rPr>
          <w:rFonts w:ascii="Verdana" w:eastAsia="Verdana" w:hAnsi="Verdana" w:cs="Verdana"/>
          <w:sz w:val="24"/>
          <w:szCs w:val="24"/>
        </w:rPr>
      </w:pPr>
    </w:p>
    <w:p w:rsidR="00940273" w:rsidRDefault="000C5338">
      <w:pPr>
        <w:spacing w:after="0" w:line="276" w:lineRule="auto"/>
        <w:ind w:left="567" w:right="560"/>
        <w:jc w:val="both"/>
        <w:rPr>
          <w:rFonts w:ascii="Palatino Linotype" w:eastAsia="Palatino Linotype" w:hAnsi="Palatino Linotype" w:cs="Palatino Linotype"/>
          <w:i/>
        </w:rPr>
      </w:pPr>
      <w:r>
        <w:rPr>
          <w:rFonts w:ascii="Verdana" w:eastAsia="Verdana" w:hAnsi="Verdana" w:cs="Verdana"/>
          <w:sz w:val="18"/>
          <w:szCs w:val="18"/>
        </w:rPr>
        <w:t>“</w:t>
      </w:r>
      <w:r>
        <w:rPr>
          <w:rFonts w:ascii="Palatino Linotype" w:eastAsia="Palatino Linotype" w:hAnsi="Palatino Linotype" w:cs="Palatino Linotype"/>
          <w:i/>
        </w:rPr>
        <w:t xml:space="preserve">En respuesta a la solicitud recibida, nos permitimos hacer de su conocimiento que con fundamento en el artículo 53, Fracciones: II, V y VI de la </w:t>
      </w:r>
      <w:r>
        <w:rPr>
          <w:rFonts w:ascii="Palatino Linotype" w:eastAsia="Palatino Linotype" w:hAnsi="Palatino Linotype" w:cs="Palatino Linotype"/>
          <w:i/>
        </w:rPr>
        <w:t>Ley de Transparencia y Acceso a la Información Pública del Estado de México y Municipios, le contestamos que:</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APRECIABLE SOLICITANTE P R E S E N T E Por medio del presente reciba un cordial saludo, al tiempo informarle, que con fundamento en los artículos </w:t>
      </w:r>
      <w:r>
        <w:rPr>
          <w:rFonts w:ascii="Palatino Linotype" w:eastAsia="Palatino Linotype" w:hAnsi="Palatino Linotype" w:cs="Palatino Linotype"/>
          <w:i/>
        </w:rPr>
        <w:t>51, 53 fracciones II y III, IV, V y VI, de la Ley de Transparencia y Acceso a la Información Pública del Estado de México y Municipios; y en seguimiento a su solicitud de información con número de folio 00605/ZINACANT/IP/2023, recibida a través del Sistema</w:t>
      </w:r>
      <w:r>
        <w:rPr>
          <w:rFonts w:ascii="Palatino Linotype" w:eastAsia="Palatino Linotype" w:hAnsi="Palatino Linotype" w:cs="Palatino Linotype"/>
          <w:i/>
        </w:rPr>
        <w:t xml:space="preserve"> SAIMEX, en donde se solicita textualmente lo siguiente: “SOLICITO EL PADRÓN DE PROVEEDORES DEL PERIODO 2022” (sic). En apego a lo establecido su solicitud fue analizada y turnada al área poseedora de la información, en este caso a la Dirección de Administ</w:t>
      </w:r>
      <w:r>
        <w:rPr>
          <w:rFonts w:ascii="Palatino Linotype" w:eastAsia="Palatino Linotype" w:hAnsi="Palatino Linotype" w:cs="Palatino Linotype"/>
          <w:i/>
        </w:rPr>
        <w:t>ración, por lo que con fundamento en el artículo 12 de la Ley de Transparencia y Acceso a la Información Pública del Estado de México y Municipios, donde se establece que, “Los sujetos obligados sólo proporcionarán la información pública que se les requier</w:t>
      </w:r>
      <w:r>
        <w:rPr>
          <w:rFonts w:ascii="Palatino Linotype" w:eastAsia="Palatino Linotype" w:hAnsi="Palatino Linotype" w:cs="Palatino Linotype"/>
          <w:i/>
        </w:rPr>
        <w:t>a y que obre en sus archivos y en el estado en que ésta se encuentre. La obligación de proporcionar información no comprende el procesamiento de la misma, ni el presentarla conforme al interés del solicitante; no estarán obligados a generarla, resumirla, e</w:t>
      </w:r>
      <w:r>
        <w:rPr>
          <w:rFonts w:ascii="Palatino Linotype" w:eastAsia="Palatino Linotype" w:hAnsi="Palatino Linotype" w:cs="Palatino Linotype"/>
          <w:i/>
        </w:rPr>
        <w:t>fectuar cálculos o practicar investigaciones”; remito anexa al presente, la respuesta proporcionada por el área competente. De igual manera y con fundamento en los artículos 176, 177, 178, 179 y demás relativos aplicables de la Ley de Transparencia y Acces</w:t>
      </w:r>
      <w:r>
        <w:rPr>
          <w:rFonts w:ascii="Palatino Linotype" w:eastAsia="Palatino Linotype" w:hAnsi="Palatino Linotype" w:cs="Palatino Linotype"/>
          <w:i/>
        </w:rPr>
        <w:t xml:space="preserve">o a la Información Pública del Estado de México y Municipios, se hace de su conocimiento el derecho que tiene de interponer el recurso de revisión en contra de la presente, en un término de 15 días hábiles a partir de la </w:t>
      </w:r>
      <w:r>
        <w:rPr>
          <w:rFonts w:ascii="Palatino Linotype" w:eastAsia="Palatino Linotype" w:hAnsi="Palatino Linotype" w:cs="Palatino Linotype"/>
          <w:i/>
        </w:rPr>
        <w:lastRenderedPageBreak/>
        <w:t>notificación de esta. Sin más por e</w:t>
      </w:r>
      <w:r>
        <w:rPr>
          <w:rFonts w:ascii="Palatino Linotype" w:eastAsia="Palatino Linotype" w:hAnsi="Palatino Linotype" w:cs="Palatino Linotype"/>
          <w:i/>
        </w:rPr>
        <w:t xml:space="preserve">l momento me reitero a sus órdenes. A T E N T A M E N T E BRENDA SELENE HERNÁNDEZ LÓPEZ TITULAR DE LA UNIDAD TRANSPARENCIA ZINACANTEPEC.”. </w:t>
      </w:r>
    </w:p>
    <w:p w:rsidR="00940273" w:rsidRDefault="00940273">
      <w:pPr>
        <w:spacing w:after="0" w:line="360" w:lineRule="auto"/>
        <w:ind w:left="567" w:right="560"/>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Sujeto Obligado a su respuesta adjuntó el documento que se describe a continuación: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Oficio signado por la Directora de Administración mediante el cual informa que la información pública de oficio referente a la fracción XXXVI Padrón de Proveedores y Contratistas, se encuentra publicada en el Portal de Información Pública de Oficio Mexique</w:t>
      </w:r>
      <w:r>
        <w:rPr>
          <w:rFonts w:ascii="Palatino Linotype" w:eastAsia="Palatino Linotype" w:hAnsi="Palatino Linotype" w:cs="Palatino Linotype"/>
          <w:color w:val="000000"/>
        </w:rPr>
        <w:t xml:space="preserve">nse en la siguiente liga electrónica: </w:t>
      </w:r>
    </w:p>
    <w:p w:rsidR="00940273" w:rsidRDefault="00940273">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rsidR="00940273" w:rsidRDefault="000C533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color w:val="000000"/>
        </w:rPr>
      </w:pPr>
      <w:hyperlink r:id="rId8">
        <w:r>
          <w:rPr>
            <w:rFonts w:ascii="Palatino Linotype" w:eastAsia="Palatino Linotype" w:hAnsi="Palatino Linotype" w:cs="Palatino Linotype"/>
            <w:color w:val="000000"/>
            <w:u w:val="single"/>
          </w:rPr>
          <w:t>https://www.ipomex.org.mx/ipo3/lgt/indice/ZINACANTEPEC/art_92_xxxvi.web</w:t>
        </w:r>
      </w:hyperlink>
      <w:r>
        <w:rPr>
          <w:rFonts w:ascii="Palatino Linotype" w:eastAsia="Palatino Linotype" w:hAnsi="Palatino Linotype" w:cs="Palatino Linotype"/>
          <w:color w:val="000000"/>
        </w:rPr>
        <w:t xml:space="preserve"> </w:t>
      </w:r>
    </w:p>
    <w:p w:rsidR="00940273" w:rsidRDefault="00940273">
      <w:pPr>
        <w:pBdr>
          <w:top w:val="nil"/>
          <w:left w:val="nil"/>
          <w:bottom w:val="nil"/>
          <w:right w:val="nil"/>
          <w:between w:val="nil"/>
        </w:pBdr>
        <w:tabs>
          <w:tab w:val="left" w:pos="993"/>
        </w:tabs>
        <w:spacing w:after="0" w:line="360" w:lineRule="auto"/>
        <w:ind w:right="560"/>
        <w:jc w:val="both"/>
        <w:rPr>
          <w:rFonts w:ascii="Palatino Linotype" w:eastAsia="Palatino Linotype" w:hAnsi="Palatino Linotype" w:cs="Palatino Linotype"/>
        </w:rPr>
      </w:pPr>
    </w:p>
    <w:p w:rsidR="00940273" w:rsidRDefault="000C533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Recurso de Revisión. </w:t>
      </w:r>
      <w:r>
        <w:rPr>
          <w:rFonts w:ascii="Palatino Linotype" w:eastAsia="Palatino Linotype" w:hAnsi="Palatino Linotype" w:cs="Palatino Linotype"/>
          <w:sz w:val="24"/>
          <w:szCs w:val="24"/>
        </w:rPr>
        <w:t xml:space="preserve">En fecha </w:t>
      </w:r>
      <w:r>
        <w:rPr>
          <w:rFonts w:ascii="Palatino Linotype" w:eastAsia="Palatino Linotype" w:hAnsi="Palatino Linotype" w:cs="Palatino Linotype"/>
          <w:b/>
          <w:sz w:val="24"/>
          <w:szCs w:val="24"/>
        </w:rPr>
        <w:t>siete de septiembre de dos mil veintitrés</w:t>
      </w:r>
      <w:r>
        <w:rPr>
          <w:rFonts w:ascii="Palatino Linotype" w:eastAsia="Palatino Linotype" w:hAnsi="Palatino Linotype" w:cs="Palatino Linotype"/>
          <w:sz w:val="24"/>
          <w:szCs w:val="24"/>
        </w:rPr>
        <w:t xml:space="preserve"> la persona Solicitante interpuso Recurso de Revisión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a través del cual expresó lo siguiente:</w:t>
      </w:r>
    </w:p>
    <w:p w:rsidR="00940273" w:rsidRDefault="0094027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940273" w:rsidRDefault="000C5338">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Acto impugnado. </w:t>
      </w:r>
      <w:r>
        <w:rPr>
          <w:rFonts w:ascii="Palatino Linotype" w:eastAsia="Palatino Linotype" w:hAnsi="Palatino Linotype" w:cs="Palatino Linotype"/>
        </w:rPr>
        <w:t>“</w:t>
      </w:r>
      <w:r>
        <w:rPr>
          <w:rFonts w:ascii="Palatino Linotype" w:eastAsia="Palatino Linotype" w:hAnsi="Palatino Linotype" w:cs="Palatino Linotype"/>
          <w:i/>
        </w:rPr>
        <w:t>la rwspuesta”.</w:t>
      </w:r>
    </w:p>
    <w:p w:rsidR="00940273" w:rsidRDefault="00940273">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b/>
          <w:sz w:val="24"/>
          <w:szCs w:val="24"/>
        </w:rPr>
      </w:pPr>
    </w:p>
    <w:p w:rsidR="00940273" w:rsidRDefault="000C5338">
      <w:pPr>
        <w:pBdr>
          <w:top w:val="nil"/>
          <w:left w:val="nil"/>
          <w:bottom w:val="nil"/>
          <w:right w:val="nil"/>
          <w:between w:val="nil"/>
        </w:pBdr>
        <w:tabs>
          <w:tab w:val="left" w:pos="1276"/>
        </w:tabs>
        <w:spacing w:after="0" w:line="276" w:lineRule="auto"/>
        <w:ind w:left="567" w:right="701"/>
        <w:jc w:val="both"/>
        <w:rPr>
          <w:rFonts w:ascii="Palatino Linotype" w:eastAsia="Palatino Linotype" w:hAnsi="Palatino Linotype" w:cs="Palatino Linotype"/>
          <w:i/>
          <w:sz w:val="24"/>
          <w:szCs w:val="24"/>
        </w:rPr>
      </w:pPr>
      <w:r>
        <w:rPr>
          <w:rFonts w:ascii="Palatino Linotype" w:eastAsia="Palatino Linotype" w:hAnsi="Palatino Linotype" w:cs="Palatino Linotype"/>
          <w:b/>
          <w:sz w:val="24"/>
          <w:szCs w:val="24"/>
        </w:rPr>
        <w:t xml:space="preserve">Razones o motivos de la inconformidad: </w:t>
      </w:r>
      <w:r>
        <w:rPr>
          <w:rFonts w:ascii="Palatino Linotype" w:eastAsia="Palatino Linotype" w:hAnsi="Palatino Linotype" w:cs="Palatino Linotype"/>
        </w:rPr>
        <w:t>“</w:t>
      </w:r>
      <w:r>
        <w:rPr>
          <w:rFonts w:ascii="Palatino Linotype" w:eastAsia="Palatino Linotype" w:hAnsi="Palatino Linotype" w:cs="Palatino Linotype"/>
          <w:i/>
        </w:rPr>
        <w:t>no me exolican como llegar a ese link y no se encuentra la informacion solicitada ni el periodo”.</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Turno.</w:t>
      </w:r>
      <w:r>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sz w:val="24"/>
          <w:szCs w:val="24"/>
        </w:rPr>
        <w:t>05619/INFOEM/IP/RR/2023</w:t>
      </w:r>
      <w:r>
        <w:rPr>
          <w:rFonts w:ascii="Palatino Linotype" w:eastAsia="Palatino Linotype" w:hAnsi="Palatino Linotype" w:cs="Palatino Linotype"/>
          <w:sz w:val="24"/>
          <w:szCs w:val="24"/>
        </w:rPr>
        <w:t xml:space="preserve">, se turnó por el sistema </w:t>
      </w:r>
      <w:r>
        <w:rPr>
          <w:rFonts w:ascii="Palatino Linotype" w:eastAsia="Palatino Linotype" w:hAnsi="Palatino Linotype" w:cs="Palatino Linotype"/>
          <w:sz w:val="24"/>
          <w:szCs w:val="24"/>
        </w:rPr>
        <w:lastRenderedPageBreak/>
        <w:t>electrónico del Instituto de Tran</w:t>
      </w:r>
      <w:r>
        <w:rPr>
          <w:rFonts w:ascii="Palatino Linotype" w:eastAsia="Palatino Linotype" w:hAnsi="Palatino Linotype" w:cs="Palatino Linotype"/>
          <w:sz w:val="24"/>
          <w:szCs w:val="24"/>
        </w:rPr>
        <w:t>sparencia, Acceso a la Información Pública y Protección de Datos Personales del Estado de México y Municipios, a la Comisionada Guadalupe Ramírez Peña para su análisis, estudio, elaboración del proyecto y presentación ante el Pleno de este Instituto.</w:t>
      </w:r>
    </w:p>
    <w:p w:rsidR="00940273" w:rsidRDefault="0094027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940273" w:rsidRDefault="000C533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Admi</w:t>
      </w:r>
      <w:r>
        <w:rPr>
          <w:rFonts w:ascii="Palatino Linotype" w:eastAsia="Palatino Linotype" w:hAnsi="Palatino Linotype" w:cs="Palatino Linotype"/>
          <w:b/>
          <w:sz w:val="24"/>
          <w:szCs w:val="24"/>
        </w:rPr>
        <w:t>sión del recurso de revisión</w:t>
      </w:r>
      <w:r>
        <w:rPr>
          <w:rFonts w:ascii="Palatino Linotype" w:eastAsia="Palatino Linotype" w:hAnsi="Palatino Linotype" w:cs="Palatino Linotype"/>
          <w:sz w:val="24"/>
          <w:szCs w:val="24"/>
        </w:rPr>
        <w:t xml:space="preserve">: En fecha </w:t>
      </w:r>
      <w:r>
        <w:rPr>
          <w:rFonts w:ascii="Palatino Linotype" w:eastAsia="Palatino Linotype" w:hAnsi="Palatino Linotype" w:cs="Palatino Linotype"/>
          <w:b/>
          <w:sz w:val="24"/>
          <w:szCs w:val="24"/>
        </w:rPr>
        <w:t>doce de septiembre de dos mil veintitrés</w:t>
      </w:r>
      <w:r>
        <w:rPr>
          <w:rFonts w:ascii="Palatino Linotype" w:eastAsia="Palatino Linotype" w:hAnsi="Palatino Linotype" w:cs="Palatino Linotype"/>
          <w:sz w:val="24"/>
          <w:szCs w:val="24"/>
        </w:rPr>
        <w:t>, la Comisionada Ponente admitió a trámite el recurso de revisión que ahora se resuelve, dando un plazo máximo de siete días hábiles para que las partes manifestaran lo que a su</w:t>
      </w:r>
      <w:r>
        <w:rPr>
          <w:rFonts w:ascii="Palatino Linotype" w:eastAsia="Palatino Linotype" w:hAnsi="Palatino Linotype" w:cs="Palatino Linotype"/>
          <w:sz w:val="24"/>
          <w:szCs w:val="24"/>
        </w:rPr>
        <w:t xml:space="preserve"> derecho resultara conveniente, ofrecieran pruebas, formularan alegatos y el Sujeto Obligado presentara su informe justificado. </w:t>
      </w:r>
    </w:p>
    <w:p w:rsidR="00940273" w:rsidRDefault="00940273">
      <w:pPr>
        <w:pBdr>
          <w:top w:val="nil"/>
          <w:left w:val="nil"/>
          <w:bottom w:val="nil"/>
          <w:right w:val="nil"/>
          <w:between w:val="nil"/>
        </w:pBdr>
        <w:ind w:left="720"/>
        <w:rPr>
          <w:rFonts w:ascii="Palatino Linotype" w:eastAsia="Palatino Linotype" w:hAnsi="Palatino Linotype" w:cs="Palatino Linotype"/>
          <w:sz w:val="24"/>
          <w:szCs w:val="24"/>
        </w:rPr>
      </w:pPr>
    </w:p>
    <w:p w:rsidR="00940273" w:rsidRDefault="000C533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Informe Justificado. </w:t>
      </w:r>
      <w:r>
        <w:rPr>
          <w:rFonts w:ascii="Palatino Linotype" w:eastAsia="Palatino Linotype" w:hAnsi="Palatino Linotype" w:cs="Palatino Linotype"/>
          <w:sz w:val="24"/>
          <w:szCs w:val="24"/>
        </w:rPr>
        <w:t xml:space="preserve">Las partes fueron omisas en rendir manifestaciones. </w:t>
      </w:r>
    </w:p>
    <w:p w:rsidR="00940273" w:rsidRDefault="00940273">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rsidR="00940273" w:rsidRDefault="000C533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5756275" cy="1424305"/>
            <wp:effectExtent l="0" t="0" r="0" b="0"/>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5756275" cy="1424305"/>
                    </a:xfrm>
                    <a:prstGeom prst="rect">
                      <a:avLst/>
                    </a:prstGeom>
                    <a:ln/>
                  </pic:spPr>
                </pic:pic>
              </a:graphicData>
            </a:graphic>
          </wp:inline>
        </w:drawing>
      </w:r>
    </w:p>
    <w:p w:rsidR="00940273" w:rsidRDefault="0094027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940273" w:rsidRDefault="000C5338">
      <w:pPr>
        <w:numPr>
          <w:ilvl w:val="0"/>
          <w:numId w:val="3"/>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Ampliación de plazo:</w:t>
      </w:r>
      <w:r>
        <w:rPr>
          <w:rFonts w:ascii="Palatino Linotype" w:eastAsia="Palatino Linotype" w:hAnsi="Palatino Linotype" w:cs="Palatino Linotype"/>
          <w:sz w:val="24"/>
          <w:szCs w:val="24"/>
        </w:rPr>
        <w:t xml:space="preserve"> El </w:t>
      </w:r>
      <w:r>
        <w:rPr>
          <w:rFonts w:ascii="Palatino Linotype" w:eastAsia="Palatino Linotype" w:hAnsi="Palatino Linotype" w:cs="Palatino Linotype"/>
          <w:b/>
          <w:sz w:val="24"/>
          <w:szCs w:val="24"/>
        </w:rPr>
        <w:t>treinta y uno de octubre de dos mil veintitrés</w:t>
      </w:r>
      <w:r>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w:t>
      </w:r>
      <w:r>
        <w:rPr>
          <w:rFonts w:ascii="Palatino Linotype" w:eastAsia="Palatino Linotype" w:hAnsi="Palatino Linotype" w:cs="Palatino Linotype"/>
          <w:sz w:val="24"/>
          <w:szCs w:val="24"/>
        </w:rPr>
        <w:t>ceso a la Información Pública del Estado de México y Municipios.</w:t>
      </w:r>
    </w:p>
    <w:p w:rsidR="00940273" w:rsidRDefault="000C5338">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w:t>
      </w:r>
      <w:r>
        <w:rPr>
          <w:rFonts w:ascii="Palatino Linotype" w:eastAsia="Palatino Linotype" w:hAnsi="Palatino Linotype" w:cs="Palatino Linotype"/>
          <w:sz w:val="24"/>
          <w:szCs w:val="24"/>
        </w:rPr>
        <w:t>ntro del año dos mil veintidós, que, en comparación con los recibidos el año dos mil veintiuno, se incrementó aproximadamente un 300%, circunstancia atípica que ha rebasado las capacidades técnicas y humanas del personal encargado de la proyección de las r</w:t>
      </w:r>
      <w:r>
        <w:rPr>
          <w:rFonts w:ascii="Palatino Linotype" w:eastAsia="Palatino Linotype" w:hAnsi="Palatino Linotype" w:cs="Palatino Linotype"/>
          <w:sz w:val="24"/>
          <w:szCs w:val="24"/>
        </w:rPr>
        <w:t>esoluciones a dichos medios de impugnación.</w:t>
      </w:r>
    </w:p>
    <w:p w:rsidR="00940273" w:rsidRDefault="00940273">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rsidR="00940273" w:rsidRDefault="000C5338">
      <w:pPr>
        <w:widowControl w:val="0"/>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w:t>
      </w:r>
      <w:r>
        <w:rPr>
          <w:rFonts w:ascii="Palatino Linotype" w:eastAsia="Palatino Linotype" w:hAnsi="Palatino Linotype" w:cs="Palatino Linotype"/>
          <w:sz w:val="24"/>
          <w:szCs w:val="24"/>
        </w:rPr>
        <w:t>do en los elementos para medir su razonabilidad de asuntos conforme a los parámetros establecidos por diversos órganos jurisdiccionales federales, aplicables también en procedimientos análogos, como el que nos ocupa.</w:t>
      </w:r>
    </w:p>
    <w:p w:rsidR="00940273" w:rsidRDefault="000C5338">
      <w:pPr>
        <w:widowControl w:val="0"/>
        <w:pBdr>
          <w:top w:val="nil"/>
          <w:left w:val="nil"/>
          <w:bottom w:val="nil"/>
          <w:right w:val="nil"/>
          <w:between w:val="nil"/>
        </w:pBdr>
        <w:tabs>
          <w:tab w:val="left" w:pos="709"/>
        </w:tabs>
        <w:spacing w:after="0" w:line="360" w:lineRule="auto"/>
        <w:ind w:left="70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940273" w:rsidRDefault="000C5338">
      <w:pPr>
        <w:widowControl w:val="0"/>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w:t>
      </w:r>
      <w:r>
        <w:rPr>
          <w:rFonts w:ascii="Palatino Linotype" w:eastAsia="Palatino Linotype" w:hAnsi="Palatino Linotype" w:cs="Palatino Linotype"/>
          <w:sz w:val="24"/>
          <w:szCs w:val="24"/>
        </w:rPr>
        <w:t xml:space="preserve"> en un plazo razonable.</w:t>
      </w:r>
    </w:p>
    <w:p w:rsidR="00940273" w:rsidRDefault="00940273">
      <w:pPr>
        <w:widowControl w:val="0"/>
        <w:tabs>
          <w:tab w:val="left" w:pos="709"/>
        </w:tabs>
        <w:spacing w:after="0" w:line="360" w:lineRule="auto"/>
        <w:jc w:val="both"/>
        <w:rPr>
          <w:rFonts w:ascii="Palatino Linotype" w:eastAsia="Palatino Linotype" w:hAnsi="Palatino Linotype" w:cs="Palatino Linotype"/>
          <w:sz w:val="24"/>
          <w:szCs w:val="24"/>
        </w:rPr>
      </w:pPr>
    </w:p>
    <w:p w:rsidR="00940273" w:rsidRDefault="000C5338">
      <w:pPr>
        <w:widowControl w:val="0"/>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w:t>
      </w:r>
      <w:r>
        <w:rPr>
          <w:rFonts w:ascii="Palatino Linotype" w:eastAsia="Palatino Linotype" w:hAnsi="Palatino Linotype" w:cs="Palatino Linotype"/>
          <w:sz w:val="24"/>
          <w:szCs w:val="24"/>
        </w:rPr>
        <w:t>omplejidad de los hechos, como por el número de casos que conocen.</w:t>
      </w:r>
    </w:p>
    <w:p w:rsidR="00940273" w:rsidRDefault="00940273">
      <w:pPr>
        <w:widowControl w:val="0"/>
        <w:tabs>
          <w:tab w:val="left" w:pos="709"/>
        </w:tabs>
        <w:spacing w:after="0" w:line="360" w:lineRule="auto"/>
        <w:jc w:val="both"/>
        <w:rPr>
          <w:rFonts w:ascii="Palatino Linotype" w:eastAsia="Palatino Linotype" w:hAnsi="Palatino Linotype" w:cs="Palatino Linotype"/>
          <w:sz w:val="24"/>
          <w:szCs w:val="24"/>
        </w:rPr>
      </w:pPr>
    </w:p>
    <w:p w:rsidR="00940273" w:rsidRDefault="000C5338">
      <w:pPr>
        <w:widowControl w:val="0"/>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Por ello, excepcionalmente, si un asunto es resuelto con posterioridad a los plazos señalados por la norma debe analizarse la razonabilidad del tiempo necesario para su resolución, atentos</w:t>
      </w:r>
      <w:r>
        <w:rPr>
          <w:rFonts w:ascii="Palatino Linotype" w:eastAsia="Palatino Linotype" w:hAnsi="Palatino Linotype" w:cs="Palatino Linotype"/>
          <w:sz w:val="24"/>
          <w:szCs w:val="24"/>
        </w:rPr>
        <w:t xml:space="preserve"> a los siguientes criterios:  </w:t>
      </w:r>
    </w:p>
    <w:p w:rsidR="00940273" w:rsidRDefault="00940273">
      <w:pPr>
        <w:widowControl w:val="0"/>
        <w:tabs>
          <w:tab w:val="left" w:pos="709"/>
        </w:tabs>
        <w:spacing w:line="360" w:lineRule="auto"/>
        <w:jc w:val="both"/>
        <w:rPr>
          <w:rFonts w:ascii="Palatino Linotype" w:eastAsia="Palatino Linotype" w:hAnsi="Palatino Linotype" w:cs="Palatino Linotype"/>
        </w:rPr>
      </w:pPr>
    </w:p>
    <w:p w:rsidR="00940273" w:rsidRDefault="000C53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b/>
        </w:rPr>
        <w:t>a)      Complejidad del asunto:</w:t>
      </w:r>
      <w:r>
        <w:rPr>
          <w:rFonts w:ascii="Palatino Linotype" w:eastAsia="Palatino Linotype" w:hAnsi="Palatino Linotype" w:cs="Palatino Linotype"/>
        </w:rPr>
        <w:t xml:space="preserve"> La complejidad de la prueba, la pluralidad de sujetos procesales, el tiempo transcurrido, las características y contexto del recurso.</w:t>
      </w:r>
    </w:p>
    <w:p w:rsidR="00940273" w:rsidRDefault="000C53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b/>
        </w:rPr>
        <w:t>b)     Actividad Procesal del interesado:</w:t>
      </w:r>
      <w:r>
        <w:rPr>
          <w:rFonts w:ascii="Palatino Linotype" w:eastAsia="Palatino Linotype" w:hAnsi="Palatino Linotype" w:cs="Palatino Linotype"/>
        </w:rPr>
        <w:t xml:space="preserve"> Acciones u omisiones del interesado.</w:t>
      </w:r>
    </w:p>
    <w:p w:rsidR="00940273" w:rsidRDefault="000C53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b/>
        </w:rPr>
        <w:t>c)      Conducta de la Autoridad</w:t>
      </w:r>
      <w:r>
        <w:rPr>
          <w:rFonts w:ascii="Palatino Linotype" w:eastAsia="Palatino Linotype" w:hAnsi="Palatino Linotype" w:cs="Palatino Linotype"/>
        </w:rPr>
        <w:t>: Las Acciones u omisiones realizadas en el procedimiento. Así como si la autoridad actuó con la debida diligencia.</w:t>
      </w:r>
    </w:p>
    <w:p w:rsidR="00940273" w:rsidRDefault="000C53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b/>
        </w:rPr>
        <w:t>d) La afectación generada en la situación jurídica de la persona invol</w:t>
      </w:r>
      <w:r>
        <w:rPr>
          <w:rFonts w:ascii="Palatino Linotype" w:eastAsia="Palatino Linotype" w:hAnsi="Palatino Linotype" w:cs="Palatino Linotype"/>
          <w:b/>
        </w:rPr>
        <w:t>ucrada en el proceso</w:t>
      </w:r>
      <w:r>
        <w:rPr>
          <w:rFonts w:ascii="Palatino Linotype" w:eastAsia="Palatino Linotype" w:hAnsi="Palatino Linotype" w:cs="Palatino Linotype"/>
        </w:rPr>
        <w:t>: Violación a sus derechos humanos.</w:t>
      </w:r>
    </w:p>
    <w:p w:rsidR="00940273" w:rsidRDefault="00940273">
      <w:pPr>
        <w:widowControl w:val="0"/>
        <w:pBdr>
          <w:top w:val="nil"/>
          <w:left w:val="nil"/>
          <w:bottom w:val="nil"/>
          <w:right w:val="nil"/>
          <w:between w:val="nil"/>
        </w:pBdr>
        <w:tabs>
          <w:tab w:val="left" w:pos="709"/>
        </w:tabs>
        <w:spacing w:after="0" w:line="360" w:lineRule="auto"/>
        <w:ind w:left="708"/>
        <w:jc w:val="both"/>
        <w:rPr>
          <w:rFonts w:ascii="Palatino Linotype" w:eastAsia="Palatino Linotype" w:hAnsi="Palatino Linotype" w:cs="Palatino Linotype"/>
          <w:sz w:val="24"/>
          <w:szCs w:val="24"/>
        </w:rPr>
      </w:pPr>
    </w:p>
    <w:p w:rsidR="00940273" w:rsidRDefault="000C5338">
      <w:pPr>
        <w:widowControl w:val="0"/>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w:t>
      </w:r>
      <w:r>
        <w:rPr>
          <w:rFonts w:ascii="Palatino Linotype" w:eastAsia="Palatino Linotype" w:hAnsi="Palatino Linotype" w:cs="Palatino Linotype"/>
          <w:sz w:val="24"/>
          <w:szCs w:val="24"/>
        </w:rPr>
        <w:t xml:space="preserve"> debe concluirse que es una excluyente de responsabilidad en relación con la actuación del funcionario, como ha acontecido en el caso que nos ocupa.</w:t>
      </w:r>
    </w:p>
    <w:p w:rsidR="00940273" w:rsidRDefault="00940273">
      <w:pPr>
        <w:widowControl w:val="0"/>
        <w:tabs>
          <w:tab w:val="left" w:pos="709"/>
        </w:tabs>
        <w:spacing w:after="0" w:line="360" w:lineRule="auto"/>
        <w:jc w:val="both"/>
        <w:rPr>
          <w:rFonts w:ascii="Palatino Linotype" w:eastAsia="Palatino Linotype" w:hAnsi="Palatino Linotype" w:cs="Palatino Linotype"/>
          <w:sz w:val="24"/>
          <w:szCs w:val="24"/>
        </w:rPr>
      </w:pPr>
    </w:p>
    <w:p w:rsidR="00940273" w:rsidRDefault="000C5338">
      <w:pPr>
        <w:widowControl w:val="0"/>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Argumento que encuentra sustento en la jurisprudencia P./J. 32/92 emitida por el Pleno de la Suprema Corte</w:t>
      </w:r>
      <w:r>
        <w:rPr>
          <w:rFonts w:ascii="Palatino Linotype" w:eastAsia="Palatino Linotype" w:hAnsi="Palatino Linotype" w:cs="Palatino Linotype"/>
          <w:sz w:val="24"/>
          <w:szCs w:val="24"/>
        </w:rPr>
        <w:t xml:space="preserve"> de Justicia de la Nación de rubro </w:t>
      </w:r>
      <w:r>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PRESUPUESTO QUE CONSIDERÓ EL LEGISLADOR AL FIJARLOS Y LAS </w:t>
      </w:r>
      <w:r>
        <w:rPr>
          <w:rFonts w:ascii="Palatino Linotype" w:eastAsia="Palatino Linotype" w:hAnsi="Palatino Linotype" w:cs="Palatino Linotype"/>
          <w:b/>
          <w:sz w:val="24"/>
          <w:szCs w:val="24"/>
        </w:rPr>
        <w:lastRenderedPageBreak/>
        <w:t>CARACTERÍSTICAS DEL CASO.”,</w:t>
      </w:r>
      <w:r>
        <w:rPr>
          <w:rFonts w:ascii="Palatino Linotype" w:eastAsia="Palatino Linotype" w:hAnsi="Palatino Linotype" w:cs="Palatino Linotype"/>
          <w:sz w:val="24"/>
          <w:szCs w:val="24"/>
        </w:rPr>
        <w:t xml:space="preserve"> visible en l</w:t>
      </w:r>
      <w:r>
        <w:rPr>
          <w:rFonts w:ascii="Palatino Linotype" w:eastAsia="Palatino Linotype" w:hAnsi="Palatino Linotype" w:cs="Palatino Linotype"/>
          <w:sz w:val="24"/>
          <w:szCs w:val="24"/>
        </w:rPr>
        <w:t xml:space="preserve">a Gaceta del Seminario Judicial de la Federación con el registro digital 205635. </w:t>
      </w:r>
    </w:p>
    <w:p w:rsidR="00940273" w:rsidRDefault="00940273">
      <w:pPr>
        <w:widowControl w:val="0"/>
        <w:tabs>
          <w:tab w:val="left" w:pos="709"/>
        </w:tabs>
        <w:spacing w:after="0" w:line="360" w:lineRule="auto"/>
        <w:jc w:val="both"/>
        <w:rPr>
          <w:rFonts w:ascii="Palatino Linotype" w:eastAsia="Palatino Linotype" w:hAnsi="Palatino Linotype" w:cs="Palatino Linotype"/>
          <w:sz w:val="24"/>
          <w:szCs w:val="24"/>
        </w:rPr>
      </w:pPr>
    </w:p>
    <w:p w:rsidR="00940273" w:rsidRDefault="000C5338">
      <w:pPr>
        <w:widowControl w:val="0"/>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w:t>
      </w:r>
      <w:r>
        <w:rPr>
          <w:rFonts w:ascii="Palatino Linotype" w:eastAsia="Palatino Linotype" w:hAnsi="Palatino Linotype" w:cs="Palatino Linotype"/>
          <w:sz w:val="24"/>
          <w:szCs w:val="24"/>
        </w:rPr>
        <w:t>ón a la capacidad de los recursos materiales y humanos con que cuenta este Instituto para atender la enorme demanda de usuarios que acuden para que se les garantice su Derecho de acceso a la información Pública y Protección de Datos Personales, aunado a la</w:t>
      </w:r>
      <w:r>
        <w:rPr>
          <w:rFonts w:ascii="Palatino Linotype" w:eastAsia="Palatino Linotype" w:hAnsi="Palatino Linotype" w:cs="Palatino Linotype"/>
          <w:sz w:val="24"/>
          <w:szCs w:val="24"/>
        </w:rPr>
        <w:t xml:space="preserve"> complejidad de los hechos a los que se refieren, así como al volumen del expediente, la extensión de los escritos y pruebas aportadas y desahogadas por las partes; lo que impide la tramitación de los recursos dentro de los términos legales previamente est</w:t>
      </w:r>
      <w:r>
        <w:rPr>
          <w:rFonts w:ascii="Palatino Linotype" w:eastAsia="Palatino Linotype" w:hAnsi="Palatino Linotype" w:cs="Palatino Linotype"/>
          <w:sz w:val="24"/>
          <w:szCs w:val="24"/>
        </w:rPr>
        <w:t>ablecidos por la Ley, por tratarse de causas de fuerza mayor.</w:t>
      </w:r>
    </w:p>
    <w:p w:rsidR="00940273" w:rsidRDefault="00940273">
      <w:pPr>
        <w:widowControl w:val="0"/>
        <w:pBdr>
          <w:top w:val="nil"/>
          <w:left w:val="nil"/>
          <w:bottom w:val="nil"/>
          <w:right w:val="nil"/>
          <w:between w:val="nil"/>
        </w:pBdr>
        <w:tabs>
          <w:tab w:val="left" w:pos="709"/>
        </w:tabs>
        <w:spacing w:after="0" w:line="360" w:lineRule="auto"/>
        <w:ind w:left="708"/>
        <w:jc w:val="both"/>
        <w:rPr>
          <w:rFonts w:ascii="Palatino Linotype" w:eastAsia="Palatino Linotype" w:hAnsi="Palatino Linotype" w:cs="Palatino Linotype"/>
          <w:sz w:val="24"/>
          <w:szCs w:val="24"/>
        </w:rPr>
      </w:pPr>
    </w:p>
    <w:p w:rsidR="00940273" w:rsidRDefault="000C5338">
      <w:pPr>
        <w:widowControl w:val="0"/>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w:t>
      </w:r>
      <w:r>
        <w:rPr>
          <w:rFonts w:ascii="Palatino Linotype" w:eastAsia="Palatino Linotype" w:hAnsi="Palatino Linotype" w:cs="Palatino Linotype"/>
          <w:sz w:val="24"/>
          <w:szCs w:val="24"/>
        </w:rPr>
        <w:t>guientes:</w:t>
      </w:r>
    </w:p>
    <w:p w:rsidR="00940273" w:rsidRDefault="000C53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940273" w:rsidRDefault="000C533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b/>
        </w:rPr>
        <w:t>PLAZO RAZONABLE PARA RESOLVER. DIMENSIÓN Y EFECTOS DE ESTE CONCEPTO CUANDO SE ADUCE EXCESIVA CARGA DE TRABAJO</w:t>
      </w:r>
      <w:r>
        <w:rPr>
          <w:rFonts w:ascii="Palatino Linotype" w:eastAsia="Palatino Linotype" w:hAnsi="Palatino Linotype" w:cs="Palatino Linotype"/>
        </w:rPr>
        <w:t>.” consultable en el Seminario Judicial de la Federación y su gaceta, con el registro digital 2002351.</w:t>
      </w:r>
    </w:p>
    <w:p w:rsidR="00940273" w:rsidRDefault="000C533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940273" w:rsidRDefault="000C5338">
      <w:pPr>
        <w:widowControl w:val="0"/>
        <w:pBdr>
          <w:top w:val="nil"/>
          <w:left w:val="nil"/>
          <w:bottom w:val="nil"/>
          <w:right w:val="nil"/>
          <w:between w:val="nil"/>
        </w:pBdr>
        <w:tabs>
          <w:tab w:val="left" w:pos="851"/>
        </w:tabs>
        <w:spacing w:after="0"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r>
        <w:rPr>
          <w:rFonts w:ascii="Palatino Linotype" w:eastAsia="Palatino Linotype" w:hAnsi="Palatino Linotype" w:cs="Palatino Linotype"/>
          <w:b/>
        </w:rPr>
        <w:t>PLAZO RAZONABLE PARA RESOLVER. CONCEPTO Y ELEMENTOS QUE LO INTEGRAN A LA LUZ DEL DERECHO INTERNACIONAL DE LOS DERECHOS HUMANOS.”,</w:t>
      </w:r>
      <w:r>
        <w:rPr>
          <w:rFonts w:ascii="Palatino Linotype" w:eastAsia="Palatino Linotype" w:hAnsi="Palatino Linotype" w:cs="Palatino Linotype"/>
        </w:rPr>
        <w:t xml:space="preserve"> visible en el Seminario Judicial de la Federación y su gaceta, con el registro digital 2002350.</w:t>
      </w:r>
    </w:p>
    <w:p w:rsidR="00940273" w:rsidRDefault="00940273">
      <w:pPr>
        <w:widowControl w:val="0"/>
        <w:pBdr>
          <w:top w:val="nil"/>
          <w:left w:val="nil"/>
          <w:bottom w:val="nil"/>
          <w:right w:val="nil"/>
          <w:between w:val="nil"/>
        </w:pBdr>
        <w:tabs>
          <w:tab w:val="left" w:pos="851"/>
        </w:tabs>
        <w:spacing w:after="0" w:line="360" w:lineRule="auto"/>
        <w:ind w:left="567" w:right="567"/>
        <w:jc w:val="both"/>
        <w:rPr>
          <w:rFonts w:ascii="Palatino Linotype" w:eastAsia="Palatino Linotype" w:hAnsi="Palatino Linotype" w:cs="Palatino Linotype"/>
        </w:rPr>
      </w:pPr>
    </w:p>
    <w:p w:rsidR="00940273" w:rsidRDefault="000C5338">
      <w:pPr>
        <w:widowControl w:val="0"/>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ello, este organismo gara</w:t>
      </w:r>
      <w:r>
        <w:rPr>
          <w:rFonts w:ascii="Palatino Linotype" w:eastAsia="Palatino Linotype" w:hAnsi="Palatino Linotype" w:cs="Palatino Linotype"/>
          <w:sz w:val="24"/>
          <w:szCs w:val="24"/>
        </w:rPr>
        <w:t>nte comprometido con la tutela de los derechos humanos confiados señala que este exceso del plazo legal para resolver el presente asunto resulta de carácter excepcional.</w:t>
      </w:r>
    </w:p>
    <w:p w:rsidR="00940273" w:rsidRDefault="00940273">
      <w:pPr>
        <w:pBdr>
          <w:top w:val="nil"/>
          <w:left w:val="nil"/>
          <w:bottom w:val="nil"/>
          <w:right w:val="nil"/>
          <w:between w:val="nil"/>
        </w:pBdr>
        <w:tabs>
          <w:tab w:val="left" w:pos="360"/>
        </w:tabs>
        <w:spacing w:after="0" w:line="360" w:lineRule="auto"/>
        <w:ind w:right="49"/>
        <w:jc w:val="both"/>
        <w:rPr>
          <w:rFonts w:ascii="Palatino Linotype" w:eastAsia="Palatino Linotype" w:hAnsi="Palatino Linotype" w:cs="Palatino Linotype"/>
          <w:sz w:val="24"/>
          <w:szCs w:val="24"/>
        </w:rPr>
      </w:pPr>
    </w:p>
    <w:p w:rsidR="00940273" w:rsidRDefault="000C5338">
      <w:pPr>
        <w:numPr>
          <w:ilvl w:val="0"/>
          <w:numId w:val="3"/>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Cierre de instrucción</w:t>
      </w:r>
      <w:r>
        <w:rPr>
          <w:rFonts w:ascii="Palatino Linotype" w:eastAsia="Palatino Linotype" w:hAnsi="Palatino Linotype" w:cs="Palatino Linotype"/>
          <w:sz w:val="24"/>
          <w:szCs w:val="24"/>
        </w:rPr>
        <w:t xml:space="preserve">. En fecha </w:t>
      </w:r>
      <w:r>
        <w:rPr>
          <w:rFonts w:ascii="Palatino Linotype" w:eastAsia="Palatino Linotype" w:hAnsi="Palatino Linotype" w:cs="Palatino Linotype"/>
          <w:b/>
          <w:sz w:val="24"/>
          <w:szCs w:val="24"/>
        </w:rPr>
        <w:t>treinta y uno de octubre de dos mil veintitrés</w:t>
      </w:r>
      <w:r>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rsidR="00940273" w:rsidRDefault="0094027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Debido a que fue debidamente sustanciado el expedien</w:t>
      </w:r>
      <w:r>
        <w:rPr>
          <w:rFonts w:ascii="Palatino Linotype" w:eastAsia="Palatino Linotype" w:hAnsi="Palatino Linotype" w:cs="Palatino Linotype"/>
          <w:sz w:val="24"/>
          <w:szCs w:val="24"/>
        </w:rPr>
        <w:t xml:space="preserve">te electrónico y no existe diligencia pendiente de desahogo, se emite la Resolución que conforme a Derecho proceda, de acuerdo con los siguientes: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w:t>
      </w:r>
      <w:r>
        <w:rPr>
          <w:rFonts w:ascii="Palatino Linotype" w:eastAsia="Palatino Linotype" w:hAnsi="Palatino Linotype" w:cs="Palatino Linotype"/>
          <w:b/>
          <w:sz w:val="24"/>
          <w:szCs w:val="24"/>
        </w:rPr>
        <w:tab/>
        <w:t>C O N S I D E R A N D O:</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Primero. Competencia. </w:t>
      </w:r>
      <w:r>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w:t>
      </w:r>
      <w:r>
        <w:rPr>
          <w:rFonts w:ascii="Palatino Linotype" w:eastAsia="Palatino Linotype" w:hAnsi="Palatino Linotype" w:cs="Palatino Linotype"/>
          <w:sz w:val="24"/>
          <w:szCs w:val="24"/>
        </w:rPr>
        <w:t xml:space="preserve">uesto en los artículos 6, apartado A de la Constitución </w:t>
      </w:r>
      <w:r>
        <w:rPr>
          <w:rFonts w:ascii="Palatino Linotype" w:eastAsia="Palatino Linotype" w:hAnsi="Palatino Linotype" w:cs="Palatino Linotype"/>
          <w:sz w:val="24"/>
          <w:szCs w:val="24"/>
        </w:rPr>
        <w:lastRenderedPageBreak/>
        <w:t>Política de los Estados Unidos Mexicanos; 5, párrafos trigésimo segundo, trigésimo tercero y trigésimo cuarto, fracciones IV y V de la Constitución Política del Estado Libre y Soberano de México; 1, 2</w:t>
      </w:r>
      <w:r>
        <w:rPr>
          <w:rFonts w:ascii="Palatino Linotype" w:eastAsia="Palatino Linotype" w:hAnsi="Palatino Linotype" w:cs="Palatino Linotype"/>
          <w:sz w:val="24"/>
          <w:szCs w:val="24"/>
        </w:rPr>
        <w:t>, fracción II; 13,  29, 36, fracciones I y II; 176, 178, 179, 181 párrafo tercero y 185 de la Ley Transparencia y Acceso a la Información Pública del Estado de México y Municipios; 9, fracciones I y XXIII y 11 del Reglamento Interior del Instituto de Trans</w:t>
      </w:r>
      <w:r>
        <w:rPr>
          <w:rFonts w:ascii="Palatino Linotype" w:eastAsia="Palatino Linotype" w:hAnsi="Palatino Linotype" w:cs="Palatino Linotype"/>
          <w:sz w:val="24"/>
          <w:szCs w:val="24"/>
        </w:rPr>
        <w:t>parencia, Acceso a la Información Pública y Protección de Datos Personales del Estado de México y Municipios.</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 Oportunidad y Procedibilidad del Recurso de Revisión.</w:t>
      </w:r>
      <w:r>
        <w:rPr>
          <w:rFonts w:ascii="Palatino Linotype" w:eastAsia="Palatino Linotype" w:hAnsi="Palatino Linotype" w:cs="Palatino Linotype"/>
          <w:sz w:val="24"/>
          <w:szCs w:val="24"/>
        </w:rPr>
        <w:t xml:space="preserve"> Previo al estudio del fondo del asunto, se procede a analizar los requisitos de op</w:t>
      </w:r>
      <w:r>
        <w:rPr>
          <w:rFonts w:ascii="Palatino Linotype" w:eastAsia="Palatino Linotype" w:hAnsi="Palatino Linotype" w:cs="Palatino Linotype"/>
          <w:sz w:val="24"/>
          <w:szCs w:val="24"/>
        </w:rPr>
        <w:t xml:space="preserve">ortunidad y procedibilidad que deben reunir el recurso de revisión interpuesto, previstos en los artículos 178 y 180 de la Ley de Transparencia y Acceso a la Información Pública del Estado de México y Municipios.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recurso de revisión fue interpuesto de</w:t>
      </w:r>
      <w:r>
        <w:rPr>
          <w:rFonts w:ascii="Palatino Linotype" w:eastAsia="Palatino Linotype" w:hAnsi="Palatino Linotype" w:cs="Palatino Linotype"/>
          <w:sz w:val="24"/>
          <w:szCs w:val="24"/>
        </w:rPr>
        <w:t xml:space="preserve">ntro del plazo de quince días hábiles previstos en el artículo 178 de la Ley de Transparencia y Acceso a la Información Pública del Estado de México y Municipios, toda vez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remitió la respuesta a la solicitud de información el </w:t>
      </w:r>
      <w:r>
        <w:rPr>
          <w:rFonts w:ascii="Palatino Linotype" w:eastAsia="Palatino Linotype" w:hAnsi="Palatino Linotype" w:cs="Palatino Linotype"/>
          <w:b/>
          <w:sz w:val="24"/>
          <w:szCs w:val="24"/>
        </w:rPr>
        <w:t>veintin</w:t>
      </w:r>
      <w:r>
        <w:rPr>
          <w:rFonts w:ascii="Palatino Linotype" w:eastAsia="Palatino Linotype" w:hAnsi="Palatino Linotype" w:cs="Palatino Linotype"/>
          <w:b/>
          <w:sz w:val="24"/>
          <w:szCs w:val="24"/>
        </w:rPr>
        <w:t>ueve de agosto de dos mil veintitrés</w:t>
      </w:r>
      <w:r>
        <w:rPr>
          <w:rFonts w:ascii="Palatino Linotype" w:eastAsia="Palatino Linotype" w:hAnsi="Palatino Linotype" w:cs="Palatino Linotype"/>
          <w:sz w:val="24"/>
          <w:szCs w:val="24"/>
        </w:rPr>
        <w:t xml:space="preserve">, mientras que el recurso de revisión interpuesto por la parte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 xml:space="preserve">se tuvo por presentado </w:t>
      </w:r>
      <w:r>
        <w:rPr>
          <w:rFonts w:ascii="Palatino Linotype" w:eastAsia="Palatino Linotype" w:hAnsi="Palatino Linotype" w:cs="Palatino Linotype"/>
          <w:b/>
          <w:sz w:val="24"/>
          <w:szCs w:val="24"/>
        </w:rPr>
        <w:t>siete de septiembre de dos mil veintitrés</w:t>
      </w:r>
      <w:r>
        <w:rPr>
          <w:rFonts w:ascii="Palatino Linotype" w:eastAsia="Palatino Linotype" w:hAnsi="Palatino Linotype" w:cs="Palatino Linotype"/>
          <w:sz w:val="24"/>
          <w:szCs w:val="24"/>
        </w:rPr>
        <w:t xml:space="preserve">, esto es al séptimo día hábil en que se tuvo conocimiento de la respuesta. </w:t>
      </w:r>
    </w:p>
    <w:p w:rsidR="00940273" w:rsidRDefault="00940273">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este sentido, al considerar la fecha en que se formuló la solicitud y la fecha en que respondió a esta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así como la fecha en que se interpuso el </w:t>
      </w:r>
      <w:r>
        <w:rPr>
          <w:rFonts w:ascii="Palatino Linotype" w:eastAsia="Palatino Linotype" w:hAnsi="Palatino Linotype" w:cs="Palatino Linotype"/>
          <w:sz w:val="24"/>
          <w:szCs w:val="24"/>
        </w:rPr>
        <w:lastRenderedPageBreak/>
        <w:t xml:space="preserve">recurso de revisión, se concluye que el presente recurso de revisión se encuentra dentro </w:t>
      </w:r>
      <w:r>
        <w:rPr>
          <w:rFonts w:ascii="Palatino Linotype" w:eastAsia="Palatino Linotype" w:hAnsi="Palatino Linotype" w:cs="Palatino Linotype"/>
          <w:sz w:val="24"/>
          <w:szCs w:val="24"/>
        </w:rPr>
        <w:t xml:space="preserve">de los márgenes temporales previstos en las disposiciones legales referidas.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 suma importancia mencionar que, si bien la parte no proporcionó algún nombre para ser identificado como se advierte en el detalle de seguimiento del SAIMEX, no es motivo p</w:t>
      </w:r>
      <w:r>
        <w:rPr>
          <w:rFonts w:ascii="Palatino Linotype" w:eastAsia="Palatino Linotype" w:hAnsi="Palatino Linotype" w:cs="Palatino Linotype"/>
          <w:sz w:val="24"/>
          <w:szCs w:val="24"/>
        </w:rPr>
        <w:t>ara archivar la solicitud de acceso a la información pública como concluida, conforme a lo previsto en el artículo 155, penúltimo párrafo de la Ley de Transparencia y Acceso a la Información Pública del Estado de México y Municipios que establece lo siguie</w:t>
      </w:r>
      <w:r>
        <w:rPr>
          <w:rFonts w:ascii="Palatino Linotype" w:eastAsia="Palatino Linotype" w:hAnsi="Palatino Linotype" w:cs="Palatino Linotype"/>
          <w:sz w:val="24"/>
          <w:szCs w:val="24"/>
        </w:rPr>
        <w:t>nte:</w:t>
      </w:r>
    </w:p>
    <w:p w:rsidR="00940273" w:rsidRDefault="00940273">
      <w:pPr>
        <w:spacing w:after="0" w:line="360" w:lineRule="auto"/>
        <w:jc w:val="both"/>
        <w:rPr>
          <w:rFonts w:ascii="Palatino Linotype" w:eastAsia="Palatino Linotype" w:hAnsi="Palatino Linotype" w:cs="Palatino Linotype"/>
          <w:sz w:val="24"/>
          <w:szCs w:val="24"/>
        </w:rPr>
      </w:pPr>
    </w:p>
    <w:p w:rsidR="00940273" w:rsidRDefault="000C5338">
      <w:pPr>
        <w:spacing w:after="0"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i/>
        </w:rPr>
        <w:t xml:space="preserve">"Las solicitudes </w:t>
      </w:r>
      <w:r>
        <w:rPr>
          <w:rFonts w:ascii="Palatino Linotype" w:eastAsia="Palatino Linotype" w:hAnsi="Palatino Linotype" w:cs="Palatino Linotype"/>
          <w:b/>
          <w:i/>
          <w:u w:val="single"/>
        </w:rPr>
        <w:t>anónimas</w:t>
      </w:r>
      <w:r>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w:t>
      </w:r>
      <w:r>
        <w:rPr>
          <w:rFonts w:ascii="Palatino Linotype" w:eastAsia="Palatino Linotype" w:hAnsi="Palatino Linotype" w:cs="Palatino Linotype"/>
          <w:sz w:val="24"/>
          <w:szCs w:val="24"/>
        </w:rPr>
        <w:t>hora bien, del análisis efectuado se advierte que resulta procedente la interposición del recurso y se concluye la acreditación plena de todos y cada uno de los elementos formales exigidos por el artículo 180 de la Ley de Transparencia y Acceso a la Inform</w:t>
      </w:r>
      <w:r>
        <w:rPr>
          <w:rFonts w:ascii="Palatino Linotype" w:eastAsia="Palatino Linotype" w:hAnsi="Palatino Linotype" w:cs="Palatino Linotype"/>
          <w:sz w:val="24"/>
          <w:szCs w:val="24"/>
        </w:rPr>
        <w:t xml:space="preserve">ación Pública del Estado de México y Municipios en vigor, en atención a que fue presentado mediante el formato visible en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Finalmente, resulta procedente la interposición del recurso de revisión al rubro anotado, toda vez que se actualiza la hipó</w:t>
      </w:r>
      <w:r>
        <w:rPr>
          <w:rFonts w:ascii="Palatino Linotype" w:eastAsia="Palatino Linotype" w:hAnsi="Palatino Linotype" w:cs="Palatino Linotype"/>
          <w:sz w:val="24"/>
          <w:szCs w:val="24"/>
        </w:rPr>
        <w:t>tesis de procedencia prevista en el artículo 179, fracción IX de la Ley de la materia, que a la letra dice:</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Artículo 179.</w:t>
      </w:r>
      <w:r>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IX. La entrega o puesta a disposición de información e</w:t>
      </w:r>
      <w:r>
        <w:rPr>
          <w:rFonts w:ascii="Palatino Linotype" w:eastAsia="Palatino Linotype" w:hAnsi="Palatino Linotype" w:cs="Palatino Linotype"/>
          <w:i/>
        </w:rPr>
        <w:t xml:space="preserve">n un formato incomprensible y/o no accesible para el solicitante;”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Materia de la revisión</w:t>
      </w:r>
      <w:r>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w:t>
      </w:r>
      <w:r>
        <w:rPr>
          <w:rFonts w:ascii="Palatino Linotype" w:eastAsia="Palatino Linotype" w:hAnsi="Palatino Linotype" w:cs="Palatino Linotype"/>
          <w:sz w:val="24"/>
          <w:szCs w:val="24"/>
        </w:rPr>
        <w:t xml:space="preserve">parencia y Acceso a la Información se pronunciará será en determinar, si se actualiza la hipótesis prevista en la fracción IX del artículo 179 de la Ley en la materia.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Estudio de fondo del asunto.</w:t>
      </w:r>
      <w:r>
        <w:rPr>
          <w:rFonts w:ascii="Palatino Linotype" w:eastAsia="Palatino Linotype" w:hAnsi="Palatino Linotype" w:cs="Palatino Linotype"/>
          <w:sz w:val="24"/>
          <w:szCs w:val="24"/>
        </w:rPr>
        <w:t xml:space="preserve">  Antes de entrar al análisis de los pronunciamien</w:t>
      </w:r>
      <w:r>
        <w:rPr>
          <w:rFonts w:ascii="Palatino Linotype" w:eastAsia="Palatino Linotype" w:hAnsi="Palatino Linotype" w:cs="Palatino Linotype"/>
          <w:sz w:val="24"/>
          <w:szCs w:val="24"/>
        </w:rPr>
        <w:t>tos del Sujeto Obligado en la respuesta proporcionada, así como en el informe justificado, es necesario mencionar que el derecho de acceso a la información está consagrado en instrumentos internacionales de los cuales el Estado Mexicano se ha adherido, sin</w:t>
      </w:r>
      <w:r>
        <w:rPr>
          <w:rFonts w:ascii="Palatino Linotype" w:eastAsia="Palatino Linotype" w:hAnsi="Palatino Linotype" w:cs="Palatino Linotype"/>
          <w:sz w:val="24"/>
          <w:szCs w:val="24"/>
        </w:rPr>
        <w:t xml:space="preserve"> oponer reserva alguna sobre lo que nos interesa, adoptando dichas disposiciones al Derecho Interno, específicamente a nivel Constitucional, tal y como lo prevén los arábigos 1 párrafos primero, segundo y tercero y 6 apartado A fracciones I, II, III, IV, V</w:t>
      </w:r>
      <w:r>
        <w:rPr>
          <w:rFonts w:ascii="Palatino Linotype" w:eastAsia="Palatino Linotype" w:hAnsi="Palatino Linotype" w:cs="Palatino Linotype"/>
          <w:sz w:val="24"/>
          <w:szCs w:val="24"/>
        </w:rPr>
        <w:t>, VI y VII que a la letra señalan:</w:t>
      </w:r>
    </w:p>
    <w:p w:rsidR="00940273" w:rsidRDefault="00940273">
      <w:pPr>
        <w:spacing w:after="0" w:line="276" w:lineRule="auto"/>
        <w:ind w:left="567" w:right="560"/>
        <w:jc w:val="both"/>
        <w:rPr>
          <w:rFonts w:ascii="Palatino Linotype" w:eastAsia="Palatino Linotype" w:hAnsi="Palatino Linotype" w:cs="Palatino Linotype"/>
          <w:i/>
        </w:rPr>
      </w:pP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Artículo 1o.</w:t>
      </w:r>
      <w:r>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w:t>
      </w:r>
      <w:r>
        <w:rPr>
          <w:rFonts w:ascii="Palatino Linotype" w:eastAsia="Palatino Linotype" w:hAnsi="Palatino Linotype" w:cs="Palatino Linotype"/>
          <w:i/>
        </w:rPr>
        <w:t>garantías para su protección, cuyo ejercicio no podrá restringirse ni suspenderse, salvo en los casos y bajo las condiciones que esta Constitución establece.</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Las normas relativas a los derechos humanos se interpretarán de conformidad con esta Constitución </w:t>
      </w:r>
      <w:r>
        <w:rPr>
          <w:rFonts w:ascii="Palatino Linotype" w:eastAsia="Palatino Linotype" w:hAnsi="Palatino Linotype" w:cs="Palatino Linotype"/>
          <w:i/>
        </w:rPr>
        <w:t>y con los tratados internacionales de la materia favoreciendo en todo tiempo a las personas la protección más amplia.</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Todas las autoridades, en el ámbito de sus competencias, tienen la obligación de promover, respetar, proteger y garantizar los derechos hu</w:t>
      </w:r>
      <w:r>
        <w:rPr>
          <w:rFonts w:ascii="Palatino Linotype" w:eastAsia="Palatino Linotype" w:hAnsi="Palatino Linotype" w:cs="Palatino Linotype"/>
          <w:i/>
        </w:rPr>
        <w:t xml:space="preserve">manos de conformidad con los principios de universalidad, interdependencia, indivisibilidad y progresividad. En consecuencia, el Estado deberá prevenir, investigar, sancionar y reparar las violaciones a los derechos humanos, en los términos que establezca </w:t>
      </w:r>
      <w:r>
        <w:rPr>
          <w:rFonts w:ascii="Palatino Linotype" w:eastAsia="Palatino Linotype" w:hAnsi="Palatino Linotype" w:cs="Palatino Linotype"/>
          <w:i/>
        </w:rPr>
        <w:t>la ley</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940273" w:rsidRDefault="000C5338">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b/>
          <w:i/>
        </w:rPr>
        <w:t>“Artículo 6o.</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w:t>
      </w:r>
      <w:r>
        <w:rPr>
          <w:rFonts w:ascii="Palatino Linotype" w:eastAsia="Palatino Linotype" w:hAnsi="Palatino Linotype" w:cs="Palatino Linotype"/>
          <w:i/>
        </w:rPr>
        <w:t>indicato que reciba y ejerza recursos públicos o realice actos de autoridad en el ámbito federal, estatal y municipal, es pública y sólo podrá ser reservada temporalmente por razones de interés público y seguridad nacional, en los términos que fijen las le</w:t>
      </w:r>
      <w:r>
        <w:rPr>
          <w:rFonts w:ascii="Palatino Linotype" w:eastAsia="Palatino Linotype" w:hAnsi="Palatino Linotype" w:cs="Palatino Linotype"/>
          <w:i/>
        </w:rPr>
        <w:t>yes. En la interpretación de este derecho deberá prevalecer el principio de máxima publicidad. Los sujetos obligados deberán documentar todo acto que derive del ejercicio de sus facultades, competencias o funciones, la ley determinará los supuestos específ</w:t>
      </w:r>
      <w:r>
        <w:rPr>
          <w:rFonts w:ascii="Palatino Linotype" w:eastAsia="Palatino Linotype" w:hAnsi="Palatino Linotype" w:cs="Palatino Linotype"/>
          <w:i/>
        </w:rPr>
        <w:t>icos bajo los cuales procederá la declaración de inexistencia de la información.</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III. Toda persona, sin n</w:t>
      </w:r>
      <w:r>
        <w:rPr>
          <w:rFonts w:ascii="Palatino Linotype" w:eastAsia="Palatino Linotype" w:hAnsi="Palatino Linotype" w:cs="Palatino Linotype"/>
          <w:i/>
        </w:rPr>
        <w:t>ecesidad de acreditar interés alguno o justificar su utilización, tendrá acceso gratuito a la información pública, a sus datos personales o a la rectificación de éstos.</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IV. Se establecerán mecanismos de acceso a la información y procedimientos de revisión</w:t>
      </w:r>
      <w:r>
        <w:rPr>
          <w:rFonts w:ascii="Palatino Linotype" w:eastAsia="Palatino Linotype" w:hAnsi="Palatino Linotype" w:cs="Palatino Linotype"/>
          <w:i/>
        </w:rPr>
        <w:t xml:space="preserve"> expeditos que se sustanciarán ante los organismos autónomos especializados e imparciales que establece esta Constitución.</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V. Los sujetos obligados deberán preservar sus documentos en archivos administrativos actualizados y publicarán, a través de los medi</w:t>
      </w:r>
      <w:r>
        <w:rPr>
          <w:rFonts w:ascii="Palatino Linotype" w:eastAsia="Palatino Linotype" w:hAnsi="Palatino Linotype" w:cs="Palatino Linotype"/>
          <w:i/>
        </w:rPr>
        <w:t xml:space="preserve">os electrónicos disponibles, la información </w:t>
      </w:r>
      <w:r>
        <w:rPr>
          <w:rFonts w:ascii="Palatino Linotype" w:eastAsia="Palatino Linotype" w:hAnsi="Palatino Linotype" w:cs="Palatino Linotype"/>
          <w:i/>
        </w:rPr>
        <w:lastRenderedPageBreak/>
        <w:t>completa y actualizada sobre el ejercicio de los recursos públicos y los indicadores que permitan rendir cuenta del cumplimiento de sus objetivos y de los resultados obtenidos.</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VI. Las leyes determinarán la mane</w:t>
      </w:r>
      <w:r>
        <w:rPr>
          <w:rFonts w:ascii="Palatino Linotype" w:eastAsia="Palatino Linotype" w:hAnsi="Palatino Linotype" w:cs="Palatino Linotype"/>
          <w:i/>
        </w:rPr>
        <w:t>ra en que los sujetos obligados deberán hacer pública la información relativa a los recursos públicos que entreguen a personas físicas o morales.</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 VII. La inobservancia a las disposiciones en materia de acceso a la información pública será sancionada en lo</w:t>
      </w:r>
      <w:r>
        <w:rPr>
          <w:rFonts w:ascii="Palatino Linotype" w:eastAsia="Palatino Linotype" w:hAnsi="Palatino Linotype" w:cs="Palatino Linotype"/>
          <w:i/>
        </w:rPr>
        <w:t>s términos que dispongan las leyes.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w:t>
      </w:r>
      <w:r>
        <w:rPr>
          <w:rFonts w:ascii="Palatino Linotype" w:eastAsia="Palatino Linotype" w:hAnsi="Palatino Linotype" w:cs="Palatino Linotype"/>
          <w:sz w:val="24"/>
          <w:szCs w:val="24"/>
        </w:rPr>
        <w:t>os Obligados, como así también lo señala la Ley de Transparencia y Acceso a la Información Pública del Estado de México y Municipios en su artículo 4, que toda la información generada, obtenida, adquirida, transformada, administrada o en posesión de los su</w:t>
      </w:r>
      <w:r>
        <w:rPr>
          <w:rFonts w:ascii="Palatino Linotype" w:eastAsia="Palatino Linotype" w:hAnsi="Palatino Linotype" w:cs="Palatino Linotype"/>
          <w:sz w:val="24"/>
          <w:szCs w:val="24"/>
        </w:rPr>
        <w:t>jetos obligados, es pública y accesible, de manera permanente a cualquier persona, privilegiando el principio de máxima publicidad, como así lo establece dicha determinación, que a continuación se transcribe para un mejor entendimiento:</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Toda la información </w:t>
      </w:r>
      <w:r>
        <w:rPr>
          <w:rFonts w:ascii="Palatino Linotype" w:eastAsia="Palatino Linotype" w:hAnsi="Palatino Linotype" w:cs="Palatino Linotype"/>
          <w:i/>
        </w:rPr>
        <w:t>generada, obtenida, adquirida, transformada, administrada o en posesión de los sujetos obligados es pública y accesible de manera permanente a cualquier persona, en los términos y condiciones que se establezcan en los tratados internacionales de los que el</w:t>
      </w:r>
      <w:r>
        <w:rPr>
          <w:rFonts w:ascii="Palatino Linotype" w:eastAsia="Palatino Linotype" w:hAnsi="Palatino Linotype" w:cs="Palatino Linotype"/>
          <w:i/>
        </w:rPr>
        <w:t xml:space="preserve"> Estado mexicano sea parte, en la Ley General, la presente Ley y demás disposiciones de la materia, privilegiando el principio de máxima publicidad de la información. Solo podrá ser clasificada excepcionalmente Ley de Transparencia y Acceso a la Informació</w:t>
      </w:r>
      <w:r>
        <w:rPr>
          <w:rFonts w:ascii="Palatino Linotype" w:eastAsia="Palatino Linotype" w:hAnsi="Palatino Linotype" w:cs="Palatino Linotype"/>
          <w:i/>
        </w:rPr>
        <w:t>n Pública del Estado de México y Municipios 29 como reservada temporalmente por razones de interés público, en los términos de las causas legítimas y estrictamente necesarias previstas por esta Ley.</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Los sujetos obligados deben poner en práctica, políticas </w:t>
      </w:r>
      <w:r>
        <w:rPr>
          <w:rFonts w:ascii="Palatino Linotype" w:eastAsia="Palatino Linotype" w:hAnsi="Palatino Linotype" w:cs="Palatino Linotype"/>
          <w:i/>
        </w:rPr>
        <w:t>y programas de acceso a la información que se apeguen a criterios de publicidad, veracidad, oportunidad, precisión y suficiencia en beneficio de los solicitantes.”</w:t>
      </w:r>
    </w:p>
    <w:p w:rsidR="00940273" w:rsidRDefault="00940273">
      <w:pPr>
        <w:spacing w:after="0" w:line="360" w:lineRule="auto"/>
        <w:ind w:left="567" w:right="560"/>
        <w:jc w:val="both"/>
        <w:rPr>
          <w:rFonts w:ascii="Palatino Linotype" w:eastAsia="Palatino Linotype" w:hAnsi="Palatino Linotype" w:cs="Palatino Linotype"/>
          <w:i/>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lo precedente, se desprende que los Sujetos Obligados tienen la obligación o deber de at</w:t>
      </w:r>
      <w:r>
        <w:rPr>
          <w:rFonts w:ascii="Palatino Linotype" w:eastAsia="Palatino Linotype" w:hAnsi="Palatino Linotype" w:cs="Palatino Linotype"/>
          <w:sz w:val="24"/>
          <w:szCs w:val="24"/>
        </w:rPr>
        <w:t>ender las solicitudes de acceso a la información pública que se les hagan de su conocimiento y proporcionar la información pública que obren en su poder como así lo establece el artículo 12 de la Ley de Transparencia y Acceso a la Información Pública del E</w:t>
      </w:r>
      <w:r>
        <w:rPr>
          <w:rFonts w:ascii="Palatino Linotype" w:eastAsia="Palatino Linotype" w:hAnsi="Palatino Linotype" w:cs="Palatino Linotype"/>
          <w:sz w:val="24"/>
          <w:szCs w:val="24"/>
        </w:rPr>
        <w:t>stado de México y Municipios, el cual a la letra dice:</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w:t>
      </w:r>
      <w:r>
        <w:rPr>
          <w:rFonts w:ascii="Palatino Linotype" w:eastAsia="Palatino Linotype" w:hAnsi="Palatino Linotype" w:cs="Palatino Linotype"/>
          <w:i/>
        </w:rPr>
        <w:t xml:space="preserve">les. </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w:t>
      </w:r>
      <w:r>
        <w:rPr>
          <w:rFonts w:ascii="Palatino Linotype" w:eastAsia="Palatino Linotype" w:hAnsi="Palatino Linotype" w:cs="Palatino Linotype"/>
          <w:i/>
        </w:rPr>
        <w:t xml:space="preserve">tarla conforme al interés del solicitante; no estarán obligados a generarla, resumirla, efectuar cálculos o practicar investigaciones.”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decir, que el derecho de acceso a la información pública se satisface en aquellos casos en que se entregue document</w:t>
      </w:r>
      <w:r>
        <w:rPr>
          <w:rFonts w:ascii="Palatino Linotype" w:eastAsia="Palatino Linotype" w:hAnsi="Palatino Linotype" w:cs="Palatino Linotype"/>
          <w:sz w:val="24"/>
          <w:szCs w:val="24"/>
        </w:rPr>
        <w:t>o en que conste la información requerida, toda vez que, los Sujetos Obligados no tienen el deber de generar, poseer o administrar la información pública con el grado de detalle solicitado; esto es, que no tienen el deber de generar un documento ad hoc, par</w:t>
      </w:r>
      <w:r>
        <w:rPr>
          <w:rFonts w:ascii="Palatino Linotype" w:eastAsia="Palatino Linotype" w:hAnsi="Palatino Linotype" w:cs="Palatino Linotype"/>
          <w:sz w:val="24"/>
          <w:szCs w:val="24"/>
        </w:rPr>
        <w:t>a satisfacer el derecho de acceso a la información pública, como así lo establece el Criterio 03/17 emitido por el Instituto Nacional de Transparencia, Acceso a la Información Pública y Protección de Datos Personales, el cual señala lo siguiente:</w:t>
      </w:r>
    </w:p>
    <w:p w:rsidR="00940273" w:rsidRDefault="000C5338">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 xml:space="preserve">Criterio </w:t>
      </w:r>
      <w:r>
        <w:rPr>
          <w:rFonts w:ascii="Palatino Linotype" w:eastAsia="Palatino Linotype" w:hAnsi="Palatino Linotype" w:cs="Palatino Linotype"/>
          <w:b/>
          <w:i/>
        </w:rPr>
        <w:t>03/17</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 xml:space="preserve">“NO EXISTE OBLIGACIÓN DE ELABORAR DOCUMENTOS AD HOC PARA ATENDER LAS SOLICITUDES DE ACCESO A LA INFORMACIÓN. </w:t>
      </w:r>
      <w:r>
        <w:rPr>
          <w:rFonts w:ascii="Palatino Linotype" w:eastAsia="Palatino Linotype" w:hAnsi="Palatino Linotype" w:cs="Palatino Linotype"/>
          <w:i/>
        </w:rPr>
        <w:t>Los artículos 129 de la Ley General de Transparencia y Acceso a la Información Pública y 130, párrafo cuarto, de la Ley Federal de Transparen</w:t>
      </w:r>
      <w:r>
        <w:rPr>
          <w:rFonts w:ascii="Palatino Linotype" w:eastAsia="Palatino Linotype" w:hAnsi="Palatino Linotype" w:cs="Palatino Linotype"/>
          <w:i/>
        </w:rPr>
        <w:t>cia y Acceso a la Información Pública, señalan que los sujetos obligados deberán otorgar acceso a los documentos que se encuentren en sus archivos o que estén obligados a documentar, de acuerdo con sus facultades, competencias o funciones, conforme a Las c</w:t>
      </w:r>
      <w:r>
        <w:rPr>
          <w:rFonts w:ascii="Palatino Linotype" w:eastAsia="Palatino Linotype" w:hAnsi="Palatino Linotype" w:cs="Palatino Linotype"/>
          <w:i/>
        </w:rPr>
        <w:t xml:space="preserve">aracterísticas físicas de la información o del lugar donde se encuentre. Por lo anterior, los sujetos obligados deben garantizar el derecho de acceso a la información del particular, proporcionando la información con la que cuentan en el formato en que la </w:t>
      </w:r>
      <w:r>
        <w:rPr>
          <w:rFonts w:ascii="Palatino Linotype" w:eastAsia="Palatino Linotype" w:hAnsi="Palatino Linotype" w:cs="Palatino Linotype"/>
          <w:i/>
        </w:rPr>
        <w:t>misma obre en sus archivos; sin necesidad de elaborar documentos ad hoc para atender las solicitudes de información."</w:t>
      </w:r>
    </w:p>
    <w:p w:rsidR="00940273" w:rsidRDefault="00940273">
      <w:pPr>
        <w:spacing w:after="0" w:line="360" w:lineRule="auto"/>
        <w:ind w:left="567" w:right="560"/>
        <w:jc w:val="both"/>
        <w:rPr>
          <w:rFonts w:ascii="Palatino Linotype" w:eastAsia="Palatino Linotype" w:hAnsi="Palatino Linotype" w:cs="Palatino Linotype"/>
          <w:b/>
          <w:i/>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otra parte, y aunado a lo antepuesto, el último párrafo del artículo 24 de la Ley de la materia, dispone que los Sujetos Obligados só</w:t>
      </w:r>
      <w:r>
        <w:rPr>
          <w:rFonts w:ascii="Palatino Linotype" w:eastAsia="Palatino Linotype" w:hAnsi="Palatino Linotype" w:cs="Palatino Linotype"/>
          <w:sz w:val="24"/>
          <w:szCs w:val="24"/>
        </w:rPr>
        <w:t xml:space="preserve">lo proporcionarán la información pública que generen, administren o posean en el ejercicio de sus atribuciones; por consiguiente, la información pública se encuentra a disposición de cualquier persona, lo que implica que es deber de los Sujetos Obligados, </w:t>
      </w:r>
      <w:r>
        <w:rPr>
          <w:rFonts w:ascii="Palatino Linotype" w:eastAsia="Palatino Linotype" w:hAnsi="Palatino Linotype" w:cs="Palatino Linotype"/>
          <w:sz w:val="24"/>
          <w:szCs w:val="24"/>
        </w:rPr>
        <w:t>garantizar el Derecho de Acceso a la Información Pública.</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w:t>
      </w:r>
      <w:r>
        <w:rPr>
          <w:rFonts w:ascii="Palatino Linotype" w:eastAsia="Palatino Linotype" w:hAnsi="Palatino Linotype" w:cs="Palatino Linotype"/>
          <w:sz w:val="24"/>
          <w:szCs w:val="24"/>
        </w:rPr>
        <w:t>s Obligados para cuidar esta información a través del acuerdo clasificatorio del comité de transparencia y la versión pública que emita el servidor público habilitado de cada Sujeto Obligado; como así se establece en la Ley de Transparencia y Acceso a la I</w:t>
      </w:r>
      <w:r>
        <w:rPr>
          <w:rFonts w:ascii="Palatino Linotype" w:eastAsia="Palatino Linotype" w:hAnsi="Palatino Linotype" w:cs="Palatino Linotype"/>
          <w:sz w:val="24"/>
          <w:szCs w:val="24"/>
        </w:rPr>
        <w:t>nformación Pública del Estado de México y Municipios.</w:t>
      </w: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conclusión, el derecho de acceso a la información pública, consiste en que la información solicitada conste en un documento en cualquiera de sus formas, a saber: expedientes, reportes, estudios, acta</w:t>
      </w:r>
      <w:r>
        <w:rPr>
          <w:rFonts w:ascii="Palatino Linotype" w:eastAsia="Palatino Linotype" w:hAnsi="Palatino Linotype" w:cs="Palatino Linotype"/>
          <w:sz w:val="24"/>
          <w:szCs w:val="24"/>
        </w:rPr>
        <w:t>s, resoluciones, oficios, correspondencia, acuerdos, directivas, directrices, circulares, contratos, convenios, instructivos, notas, memorandos, estadísticas o bien, cualquier otro registro que documente el ejercicio de las facultades, funciones y competen</w:t>
      </w:r>
      <w:r>
        <w:rPr>
          <w:rFonts w:ascii="Palatino Linotype" w:eastAsia="Palatino Linotype" w:hAnsi="Palatino Linotype" w:cs="Palatino Linotype"/>
          <w:sz w:val="24"/>
          <w:szCs w:val="24"/>
        </w:rPr>
        <w:t xml:space="preserve">cias de los Sujetos Obligados; los que, podrán estar en cualquier medio, sea escrito, impreso, sonoro, visual, electrónico, informático u holográfico de conformidad con el artículo 3, fracción XI de la Ley de la materia, el cual señala lo siguiente: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3.</w:t>
      </w:r>
      <w:r>
        <w:rPr>
          <w:rFonts w:ascii="Palatino Linotype" w:eastAsia="Palatino Linotype" w:hAnsi="Palatino Linotype" w:cs="Palatino Linotype"/>
          <w:i/>
        </w:rPr>
        <w:t xml:space="preserve"> Para los efectos de la presente Ley se entenderá por:</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w:t>
      </w:r>
      <w:r>
        <w:rPr>
          <w:rFonts w:ascii="Palatino Linotype" w:eastAsia="Palatino Linotype" w:hAnsi="Palatino Linotype" w:cs="Palatino Linotype"/>
          <w:i/>
        </w:rPr>
        <w:t xml:space="preserve"> memorandos, estadísticas o bien, cualquier otro registro que documente el ejercicio de las facultades, funciones y competencias de los sujetos obligados, sus servidores públicos e integrantes, sin importar su fuente o fecha de elaboración. Los documentos </w:t>
      </w:r>
      <w:r>
        <w:rPr>
          <w:rFonts w:ascii="Palatino Linotype" w:eastAsia="Palatino Linotype" w:hAnsi="Palatino Linotype" w:cs="Palatino Linotype"/>
          <w:i/>
        </w:rPr>
        <w:t>podrán estar en cualquier medio, sea escrito, impreso, sonoro, visual, electrónico, informático u holográfico…” (Sic)</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Siendo aplicable, el Criterio de interpretación en el orden administrativo número 0002-11, emitido por Acuerdo del Pleno del Instituto de</w:t>
      </w:r>
      <w:r>
        <w:rPr>
          <w:rFonts w:ascii="Palatino Linotype" w:eastAsia="Palatino Linotype" w:hAnsi="Palatino Linotype" w:cs="Palatino Linotype"/>
          <w:sz w:val="24"/>
          <w:szCs w:val="24"/>
        </w:rPr>
        <w:t xml:space="preserve"> Transparencia y Acceso a la Información Pública del Estado de México y Municipios; publicado en el Periódico Oficial del Gobierno del Estado Libre y Soberano de México “Gaceta del Gobierno”, el diecinueve de octubre de dos mil once, cuyo rubro y texto ref</w:t>
      </w:r>
      <w:r>
        <w:rPr>
          <w:rFonts w:ascii="Palatino Linotype" w:eastAsia="Palatino Linotype" w:hAnsi="Palatino Linotype" w:cs="Palatino Linotype"/>
          <w:sz w:val="24"/>
          <w:szCs w:val="24"/>
        </w:rPr>
        <w:t>ieren lo siguiente:</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276" w:lineRule="auto"/>
        <w:ind w:left="567" w:right="560"/>
        <w:jc w:val="both"/>
        <w:rPr>
          <w:rFonts w:ascii="Palatino Linotype" w:eastAsia="Palatino Linotype" w:hAnsi="Palatino Linotype" w:cs="Palatino Linotype"/>
          <w:b/>
          <w:i/>
        </w:rPr>
      </w:pPr>
      <w:r>
        <w:rPr>
          <w:rFonts w:ascii="Palatino Linotype" w:eastAsia="Palatino Linotype" w:hAnsi="Palatino Linotype" w:cs="Palatino Linotype"/>
          <w:i/>
        </w:rPr>
        <w:lastRenderedPageBreak/>
        <w:t>“</w:t>
      </w:r>
      <w:r>
        <w:rPr>
          <w:rFonts w:ascii="Palatino Linotype" w:eastAsia="Palatino Linotype" w:hAnsi="Palatino Linotype" w:cs="Palatino Linotype"/>
          <w:b/>
          <w:i/>
        </w:rPr>
        <w:t>CRITERIO 0002-11</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b/>
          <w:i/>
        </w:rPr>
        <w:t>INFORMACIÓN PÚBLICA, CONCEPTO DE, EN MATERIA DE TRANSPARENCIA. INTERPRETACIÓN SISTEMÁTICA DE LOS 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w:t>
      </w:r>
      <w:r>
        <w:rPr>
          <w:rFonts w:ascii="Palatino Linotype" w:eastAsia="Palatino Linotype" w:hAnsi="Palatino Linotype" w:cs="Palatino Linotype"/>
          <w:i/>
        </w:rPr>
        <w:t>s órganos u organismos públicos, en virtud del ejercicio de sus funciones de derecho público, sin importar su fuente, soporte o fecha de elaboración.</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w:t>
      </w:r>
      <w:r>
        <w:rPr>
          <w:rFonts w:ascii="Palatino Linotype" w:eastAsia="Palatino Linotype" w:hAnsi="Palatino Linotype" w:cs="Palatino Linotype"/>
          <w:i/>
        </w:rPr>
        <w:t>upuestos:</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1)</w:t>
      </w:r>
      <w:r>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2)</w:t>
      </w:r>
      <w:r>
        <w:rPr>
          <w:rFonts w:ascii="Palatino Linotype" w:eastAsia="Palatino Linotype" w:hAnsi="Palatino Linotype" w:cs="Palatino Linotype"/>
          <w:i/>
        </w:rPr>
        <w:tab/>
        <w:t xml:space="preserve">Que se trate de información registrada en cualquier soporte documental, que en </w:t>
      </w:r>
      <w:r>
        <w:rPr>
          <w:rFonts w:ascii="Palatino Linotype" w:eastAsia="Palatino Linotype" w:hAnsi="Palatino Linotype" w:cs="Palatino Linotype"/>
          <w:i/>
        </w:rPr>
        <w:t>ejercicio de las atribuciones conferidas, sea administrada por los Sujetos Obligados, y</w:t>
      </w:r>
    </w:p>
    <w:p w:rsidR="00940273" w:rsidRDefault="000C5338">
      <w:pPr>
        <w:spacing w:after="0" w:line="276" w:lineRule="auto"/>
        <w:ind w:left="567" w:right="560"/>
        <w:jc w:val="both"/>
        <w:rPr>
          <w:rFonts w:ascii="Palatino Linotype" w:eastAsia="Palatino Linotype" w:hAnsi="Palatino Linotype" w:cs="Palatino Linotype"/>
          <w:i/>
        </w:rPr>
      </w:pPr>
      <w:r>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w:t>
      </w:r>
      <w:r>
        <w:rPr>
          <w:rFonts w:ascii="Palatino Linotype" w:eastAsia="Palatino Linotype" w:hAnsi="Palatino Linotype" w:cs="Palatino Linotype"/>
          <w:i/>
        </w:rPr>
        <w:t xml:space="preserve">gados.”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w:t>
      </w:r>
      <w:r>
        <w:rPr>
          <w:rFonts w:ascii="Palatino Linotype" w:eastAsia="Palatino Linotype" w:hAnsi="Palatino Linotype" w:cs="Palatino Linotype"/>
          <w:sz w:val="24"/>
          <w:szCs w:val="24"/>
        </w:rPr>
        <w:t>ficio la cual se relaciona con aquella que se genere de acuerdo con sus facultades, atribuciones señaladas por la Ley en la materia, así como de interés público, es decir, aquella que resulta relevante o beneficiosa para la sociedad y no simplemente de int</w:t>
      </w:r>
      <w:r>
        <w:rPr>
          <w:rFonts w:ascii="Palatino Linotype" w:eastAsia="Palatino Linotype" w:hAnsi="Palatino Linotype" w:cs="Palatino Linotype"/>
          <w:sz w:val="24"/>
          <w:szCs w:val="24"/>
        </w:rPr>
        <w:t>erés individual y cuya divulgación resulta útil para que el público comprenda las actividades que llevan a cabo los Sujetos Obligados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las actuaciones que integran el expediente electrónico, se procede al análisis de los agravios hechos valer por el R</w:t>
      </w:r>
      <w:r>
        <w:rPr>
          <w:rFonts w:ascii="Palatino Linotype" w:eastAsia="Palatino Linotype" w:hAnsi="Palatino Linotype" w:cs="Palatino Linotype"/>
          <w:sz w:val="24"/>
          <w:szCs w:val="24"/>
        </w:rPr>
        <w:t xml:space="preserve">ecurrente, relativos a la negativa a la información </w:t>
      </w:r>
      <w:r>
        <w:rPr>
          <w:rFonts w:ascii="Palatino Linotype" w:eastAsia="Palatino Linotype" w:hAnsi="Palatino Linotype" w:cs="Palatino Linotype"/>
          <w:sz w:val="24"/>
          <w:szCs w:val="24"/>
        </w:rPr>
        <w:lastRenderedPageBreak/>
        <w:t xml:space="preserve">solicitada, lo que actualiza la causal de procedencia prevista en la fracción I del artículo 179 de la Ley de Transparencia y Acceso a la Información Pública del Estado de México y Municipios.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ello</w:t>
      </w:r>
      <w:r>
        <w:rPr>
          <w:rFonts w:ascii="Palatino Linotype" w:eastAsia="Palatino Linotype" w:hAnsi="Palatino Linotype" w:cs="Palatino Linotype"/>
          <w:sz w:val="24"/>
          <w:szCs w:val="24"/>
        </w:rPr>
        <w:t>, en principio resulta recordar que la pretensión del ahora Recurrente es obtener</w:t>
      </w:r>
      <w:r>
        <w:rPr>
          <w:rFonts w:ascii="Palatino Linotype" w:eastAsia="Palatino Linotype" w:hAnsi="Palatino Linotype" w:cs="Palatino Linotype"/>
          <w:b/>
          <w:sz w:val="24"/>
          <w:szCs w:val="24"/>
        </w:rPr>
        <w:t xml:space="preserve"> el padrón de proveedores del año dos mil veintidós. </w:t>
      </w:r>
    </w:p>
    <w:p w:rsidR="00940273" w:rsidRDefault="00940273">
      <w:pPr>
        <w:pBdr>
          <w:top w:val="nil"/>
          <w:left w:val="nil"/>
          <w:bottom w:val="nil"/>
          <w:right w:val="nil"/>
          <w:between w:val="nil"/>
        </w:pBdr>
        <w:tabs>
          <w:tab w:val="left" w:pos="993"/>
        </w:tabs>
        <w:spacing w:after="0" w:line="360" w:lineRule="auto"/>
        <w:ind w:right="49"/>
        <w:jc w:val="both"/>
        <w:rPr>
          <w:rFonts w:ascii="Palatino Linotype" w:eastAsia="Palatino Linotype" w:hAnsi="Palatino Linotype" w:cs="Palatino Linotype"/>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respuesta, el Sujeto Obligado a través de la Directora de Administración, informó que la información pública de ofici</w:t>
      </w:r>
      <w:r>
        <w:rPr>
          <w:rFonts w:ascii="Palatino Linotype" w:eastAsia="Palatino Linotype" w:hAnsi="Palatino Linotype" w:cs="Palatino Linotype"/>
          <w:sz w:val="24"/>
          <w:szCs w:val="24"/>
        </w:rPr>
        <w:t xml:space="preserve">o referente a la fracción XXXVI Padrón de Proveedores y Contratistas, se encuentra publicada en el Portal de Información Pública de Oficio Mexiquense en la siguiente liga electrónica: </w:t>
      </w:r>
    </w:p>
    <w:p w:rsidR="00940273" w:rsidRDefault="00940273">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rsidR="00940273" w:rsidRDefault="000C5338">
      <w:pPr>
        <w:spacing w:after="0" w:line="360" w:lineRule="auto"/>
        <w:ind w:right="49"/>
        <w:jc w:val="center"/>
        <w:rPr>
          <w:rFonts w:ascii="Palatino Linotype" w:eastAsia="Palatino Linotype" w:hAnsi="Palatino Linotype" w:cs="Palatino Linotype"/>
        </w:rPr>
      </w:pPr>
      <w:hyperlink r:id="rId10">
        <w:r>
          <w:rPr>
            <w:rFonts w:ascii="Palatino Linotype" w:eastAsia="Palatino Linotype" w:hAnsi="Palatino Linotype" w:cs="Palatino Linotype"/>
            <w:color w:val="000000"/>
            <w:u w:val="single"/>
          </w:rPr>
          <w:t>https://www.ipomex.org.mx/ipo3/lgt/indice/ZINACANTEPEC/art_92_xxxvi.web</w:t>
        </w:r>
      </w:hyperlink>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Derivado de ello, la parte Solicitante se agravió arguyendo que no se le explicaba cómo consul</w:t>
      </w:r>
      <w:r>
        <w:rPr>
          <w:rFonts w:ascii="Palatino Linotype" w:eastAsia="Palatino Linotype" w:hAnsi="Palatino Linotype" w:cs="Palatino Linotype"/>
          <w:sz w:val="24"/>
          <w:szCs w:val="24"/>
        </w:rPr>
        <w:t xml:space="preserve">tar la liga electrónica y porque no se encontraba la información del periodo solicitado.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Las partes fueron omisas en rendir manifestaciones.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Dicho lo anterior, se procede a contextualizar la información solicitada, por lo que, es indispensable definir que el padrón de proveedores es el sistema de registro para que personas físicas como personas morales soliciten el registro y, este pase por el </w:t>
      </w:r>
      <w:r>
        <w:rPr>
          <w:rFonts w:ascii="Palatino Linotype" w:eastAsia="Palatino Linotype" w:hAnsi="Palatino Linotype" w:cs="Palatino Linotype"/>
          <w:sz w:val="24"/>
          <w:szCs w:val="24"/>
        </w:rPr>
        <w:t xml:space="preserve">proceso </w:t>
      </w:r>
      <w:r>
        <w:rPr>
          <w:rFonts w:ascii="Palatino Linotype" w:eastAsia="Palatino Linotype" w:hAnsi="Palatino Linotype" w:cs="Palatino Linotype"/>
          <w:sz w:val="24"/>
          <w:szCs w:val="24"/>
        </w:rPr>
        <w:lastRenderedPageBreak/>
        <w:t xml:space="preserve">de revisión y validación necesarios para obtener la constancia que les permita participar en procedimientos de contratación pública.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cabe destacar que el padrón de proveedores forma parte de una de las obligaciones de transparencia es</w:t>
      </w:r>
      <w:r>
        <w:rPr>
          <w:rFonts w:ascii="Palatino Linotype" w:eastAsia="Palatino Linotype" w:hAnsi="Palatino Linotype" w:cs="Palatino Linotype"/>
          <w:sz w:val="24"/>
          <w:szCs w:val="24"/>
        </w:rPr>
        <w:t>tablecidas en la Ley de Transparencia y Acceso a la Información Pública del Estado de México y Municipios, específicamente en el artículo 92, fracción XXXVI de la Ley de Transparencia y Acceso a la Información Pública del Estado de México y Municipios; cuy</w:t>
      </w:r>
      <w:r>
        <w:rPr>
          <w:rFonts w:ascii="Palatino Linotype" w:eastAsia="Palatino Linotype" w:hAnsi="Palatino Linotype" w:cs="Palatino Linotype"/>
          <w:sz w:val="24"/>
          <w:szCs w:val="24"/>
        </w:rPr>
        <w:t>a literalidad determina lo siguiente:</w:t>
      </w:r>
    </w:p>
    <w:p w:rsidR="00940273" w:rsidRDefault="00940273">
      <w:pPr>
        <w:pBdr>
          <w:top w:val="nil"/>
          <w:left w:val="nil"/>
          <w:bottom w:val="nil"/>
          <w:right w:val="nil"/>
          <w:between w:val="nil"/>
        </w:pBdr>
        <w:tabs>
          <w:tab w:val="left" w:pos="426"/>
        </w:tabs>
        <w:spacing w:before="240" w:after="0" w:line="360" w:lineRule="auto"/>
        <w:ind w:right="49"/>
        <w:jc w:val="both"/>
        <w:rPr>
          <w:rFonts w:ascii="Palatino Linotype" w:eastAsia="Palatino Linotype" w:hAnsi="Palatino Linotype" w:cs="Palatino Linotype"/>
          <w:color w:val="000000"/>
          <w:sz w:val="8"/>
          <w:szCs w:val="8"/>
        </w:rPr>
      </w:pPr>
    </w:p>
    <w:p w:rsidR="00940273" w:rsidRDefault="000C5338">
      <w:pPr>
        <w:pBdr>
          <w:top w:val="nil"/>
          <w:left w:val="nil"/>
          <w:bottom w:val="nil"/>
          <w:right w:val="nil"/>
          <w:between w:val="nil"/>
        </w:pBdr>
        <w:tabs>
          <w:tab w:val="left" w:pos="426"/>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Pr>
          <w:rFonts w:ascii="Palatino Linotype" w:eastAsia="Palatino Linotype" w:hAnsi="Palatino Linotype" w:cs="Palatino Linotype"/>
          <w:b/>
          <w:i/>
          <w:color w:val="000000"/>
        </w:rPr>
        <w:t>Artículo 92.</w:t>
      </w:r>
      <w:r>
        <w:rPr>
          <w:rFonts w:ascii="Palatino Linotype" w:eastAsia="Palatino Linotype" w:hAnsi="Palatino Linotype" w:cs="Palatino Linotype"/>
          <w:i/>
          <w:color w:val="00000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w:t>
      </w:r>
      <w:r>
        <w:rPr>
          <w:rFonts w:ascii="Palatino Linotype" w:eastAsia="Palatino Linotype" w:hAnsi="Palatino Linotype" w:cs="Palatino Linotype"/>
          <w:i/>
          <w:color w:val="000000"/>
        </w:rPr>
        <w:t xml:space="preserve"> corresponda, la información, por lo menos, de los temas, documentos y políticas que a continuación se señalan:</w:t>
      </w:r>
    </w:p>
    <w:p w:rsidR="00940273" w:rsidRDefault="000C5338">
      <w:pPr>
        <w:pBdr>
          <w:top w:val="nil"/>
          <w:left w:val="nil"/>
          <w:bottom w:val="nil"/>
          <w:right w:val="nil"/>
          <w:between w:val="nil"/>
        </w:pBdr>
        <w:tabs>
          <w:tab w:val="left" w:pos="426"/>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940273" w:rsidRDefault="000C5338">
      <w:pPr>
        <w:pBdr>
          <w:top w:val="nil"/>
          <w:left w:val="nil"/>
          <w:bottom w:val="nil"/>
          <w:right w:val="nil"/>
          <w:between w:val="nil"/>
        </w:pBdr>
        <w:tabs>
          <w:tab w:val="left" w:pos="426"/>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XXXVI. Padrón de proveedores y contratistas;</w:t>
      </w:r>
    </w:p>
    <w:p w:rsidR="00940273" w:rsidRDefault="000C5338">
      <w:pPr>
        <w:pBdr>
          <w:top w:val="nil"/>
          <w:left w:val="nil"/>
          <w:bottom w:val="nil"/>
          <w:right w:val="nil"/>
          <w:between w:val="nil"/>
        </w:pBdr>
        <w:tabs>
          <w:tab w:val="left" w:pos="426"/>
        </w:tabs>
        <w:spacing w:after="0" w:line="276"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940273" w:rsidRDefault="00940273">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rPr>
      </w:pPr>
    </w:p>
    <w:p w:rsidR="00940273" w:rsidRDefault="000C5338">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de conformidad con los Lineamientos Técnicos Generales para la publicación, hom</w:t>
      </w:r>
      <w:r>
        <w:rPr>
          <w:rFonts w:ascii="Palatino Linotype" w:eastAsia="Palatino Linotype" w:hAnsi="Palatino Linotype" w:cs="Palatino Linotype"/>
          <w:color w:val="000000"/>
          <w:sz w:val="24"/>
          <w:szCs w:val="24"/>
        </w:rPr>
        <w:t>ologación y estandarización de la información de las obligaciones establecidas en el Título Quinto y en la fracción IV del artículo 31 de la Ley General de Transparencia y Acceso a la Información Pública que deben de difundir los sujetos obligados en los p</w:t>
      </w:r>
      <w:r>
        <w:rPr>
          <w:rFonts w:ascii="Palatino Linotype" w:eastAsia="Palatino Linotype" w:hAnsi="Palatino Linotype" w:cs="Palatino Linotype"/>
          <w:color w:val="000000"/>
          <w:sz w:val="24"/>
          <w:szCs w:val="24"/>
        </w:rPr>
        <w:t xml:space="preserve">ortales de internet y en la Plataforma Nacional de Transparencia, se establece en su fracción XXXII lo siguiente: </w:t>
      </w:r>
    </w:p>
    <w:p w:rsidR="00940273" w:rsidRDefault="00940273">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rPr>
      </w:pPr>
    </w:p>
    <w:p w:rsidR="00940273" w:rsidRDefault="000C5338">
      <w:pPr>
        <w:pBdr>
          <w:top w:val="nil"/>
          <w:left w:val="nil"/>
          <w:bottom w:val="nil"/>
          <w:right w:val="nil"/>
          <w:between w:val="nil"/>
        </w:pBdr>
        <w:tabs>
          <w:tab w:val="left" w:pos="426"/>
        </w:tabs>
        <w:spacing w:after="0" w:line="276" w:lineRule="auto"/>
        <w:ind w:left="567" w:right="560"/>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XXXII. Padrón de proveedores y contratistas</w:t>
      </w:r>
    </w:p>
    <w:p w:rsidR="00940273" w:rsidRDefault="00940273">
      <w:pPr>
        <w:pBdr>
          <w:top w:val="nil"/>
          <w:left w:val="nil"/>
          <w:bottom w:val="nil"/>
          <w:right w:val="nil"/>
          <w:between w:val="nil"/>
        </w:pBdr>
        <w:tabs>
          <w:tab w:val="left" w:pos="426"/>
        </w:tabs>
        <w:spacing w:after="0" w:line="276" w:lineRule="auto"/>
        <w:ind w:left="567" w:right="560"/>
        <w:jc w:val="both"/>
        <w:rPr>
          <w:rFonts w:ascii="Palatino Linotype" w:eastAsia="Palatino Linotype" w:hAnsi="Palatino Linotype" w:cs="Palatino Linotype"/>
          <w:i/>
          <w:color w:val="000000"/>
        </w:rPr>
      </w:pPr>
    </w:p>
    <w:p w:rsidR="00940273" w:rsidRDefault="000C5338">
      <w:pPr>
        <w:pBdr>
          <w:top w:val="nil"/>
          <w:left w:val="nil"/>
          <w:bottom w:val="nil"/>
          <w:right w:val="nil"/>
          <w:between w:val="nil"/>
        </w:pBdr>
        <w:tabs>
          <w:tab w:val="left" w:pos="426"/>
        </w:tabs>
        <w:spacing w:after="0" w:line="276"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 xml:space="preserve"> En cumplimiento a la presente fracción, los sujetos obligados deberán publicar un padrón con información relativa a las personas físicas y morales con las que celebren contratos de adquisiciones, arrendamientos, servicios, obras públicas y/o servicios rel</w:t>
      </w:r>
      <w:r>
        <w:rPr>
          <w:rFonts w:ascii="Palatino Linotype" w:eastAsia="Palatino Linotype" w:hAnsi="Palatino Linotype" w:cs="Palatino Linotype"/>
          <w:i/>
          <w:color w:val="000000"/>
        </w:rPr>
        <w:t>acionados con las mismas, que deberá actualizarse por lo menos cada tres meses. En el caso de los sujetos obligados regidos por la Ley de Adquisiciones, Arrendamientos y Servicios del Sector Público, el padrón deberá guardar correspondencia con el Registro</w:t>
      </w:r>
      <w:r>
        <w:rPr>
          <w:rFonts w:ascii="Palatino Linotype" w:eastAsia="Palatino Linotype" w:hAnsi="Palatino Linotype" w:cs="Palatino Linotype"/>
          <w:i/>
          <w:color w:val="000000"/>
        </w:rPr>
        <w:t xml:space="preserve"> Único de Proveedores y Contratistas; el de los partidos políticos con el Registro Único de Proveedores y Contratistas del Instituto Nacional Electoral y el resto de los sujetos obligados incluirá el hipervínculo al registro electrónico que en su caso corr</w:t>
      </w:r>
      <w:r>
        <w:rPr>
          <w:rFonts w:ascii="Palatino Linotype" w:eastAsia="Palatino Linotype" w:hAnsi="Palatino Linotype" w:cs="Palatino Linotype"/>
          <w:i/>
          <w:color w:val="000000"/>
        </w:rPr>
        <w:t>esponda. Adicionalmente, los sujetos obligados usarán como referencia el Directorio Estadístico Nacional de Unidades Económicas (DENUE), administrado por el Instituto Nacional de Estadística y Geografía (INEGI), para indicar la actividad económica del prov</w:t>
      </w:r>
      <w:r>
        <w:rPr>
          <w:rFonts w:ascii="Palatino Linotype" w:eastAsia="Palatino Linotype" w:hAnsi="Palatino Linotype" w:cs="Palatino Linotype"/>
          <w:i/>
          <w:color w:val="000000"/>
        </w:rPr>
        <w:t>eedor y/o contratista que corresponda.</w:t>
      </w:r>
    </w:p>
    <w:p w:rsidR="00940273" w:rsidRDefault="00940273">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rPr>
      </w:pPr>
    </w:p>
    <w:p w:rsidR="00940273" w:rsidRDefault="000C5338">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otro lado, de acuerdo con el formato de publicación de la información relacionada con esta obligación de transparencia; el padrón de proveedores y contratistas deberá contener lo siguiente: </w:t>
      </w:r>
    </w:p>
    <w:p w:rsidR="00940273" w:rsidRDefault="00940273">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rPr>
      </w:pPr>
    </w:p>
    <w:p w:rsidR="00940273" w:rsidRDefault="000C5338">
      <w:pPr>
        <w:pBdr>
          <w:top w:val="nil"/>
          <w:left w:val="nil"/>
          <w:bottom w:val="nil"/>
          <w:right w:val="nil"/>
          <w:between w:val="nil"/>
        </w:pBdr>
        <w:tabs>
          <w:tab w:val="left" w:pos="426"/>
        </w:tabs>
        <w:spacing w:after="0" w:line="360" w:lineRule="auto"/>
        <w:ind w:right="49"/>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extent cx="4878027" cy="2483506"/>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4878027" cy="2483506"/>
                    </a:xfrm>
                    <a:prstGeom prst="rect">
                      <a:avLst/>
                    </a:prstGeom>
                    <a:ln/>
                  </pic:spPr>
                </pic:pic>
              </a:graphicData>
            </a:graphic>
          </wp:inline>
        </w:drawing>
      </w:r>
    </w:p>
    <w:p w:rsidR="00940273" w:rsidRDefault="000C5338">
      <w:pPr>
        <w:pBdr>
          <w:top w:val="nil"/>
          <w:left w:val="nil"/>
          <w:bottom w:val="nil"/>
          <w:right w:val="nil"/>
          <w:between w:val="nil"/>
        </w:pBdr>
        <w:tabs>
          <w:tab w:val="left" w:pos="426"/>
        </w:tabs>
        <w:spacing w:after="0" w:line="360" w:lineRule="auto"/>
        <w:ind w:right="49"/>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lastRenderedPageBreak/>
        <w:drawing>
          <wp:inline distT="0" distB="0" distL="0" distR="0">
            <wp:extent cx="4838656" cy="1292463"/>
            <wp:effectExtent l="0" t="0" r="0" b="0"/>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838656" cy="1292463"/>
                    </a:xfrm>
                    <a:prstGeom prst="rect">
                      <a:avLst/>
                    </a:prstGeom>
                    <a:ln/>
                  </pic:spPr>
                </pic:pic>
              </a:graphicData>
            </a:graphic>
          </wp:inline>
        </w:drawing>
      </w:r>
    </w:p>
    <w:p w:rsidR="00940273" w:rsidRDefault="00940273">
      <w:pPr>
        <w:pBdr>
          <w:top w:val="nil"/>
          <w:left w:val="nil"/>
          <w:bottom w:val="nil"/>
          <w:right w:val="nil"/>
          <w:between w:val="nil"/>
        </w:pBdr>
        <w:tabs>
          <w:tab w:val="left" w:pos="426"/>
        </w:tabs>
        <w:spacing w:after="0" w:line="360" w:lineRule="auto"/>
        <w:ind w:right="49"/>
        <w:jc w:val="center"/>
        <w:rPr>
          <w:rFonts w:ascii="Palatino Linotype" w:eastAsia="Palatino Linotype" w:hAnsi="Palatino Linotype" w:cs="Palatino Linotype"/>
          <w:color w:val="000000"/>
        </w:rPr>
      </w:pPr>
    </w:p>
    <w:p w:rsidR="00940273" w:rsidRDefault="000C5338">
      <w:pPr>
        <w:pBdr>
          <w:top w:val="nil"/>
          <w:left w:val="nil"/>
          <w:bottom w:val="nil"/>
          <w:right w:val="nil"/>
          <w:between w:val="nil"/>
        </w:pBdr>
        <w:tabs>
          <w:tab w:val="left" w:pos="426"/>
        </w:tabs>
        <w:spacing w:after="0" w:line="360" w:lineRule="auto"/>
        <w:ind w:right="49"/>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extent cx="4707679" cy="1240110"/>
            <wp:effectExtent l="0" t="0" r="0" b="0"/>
            <wp:docPr id="3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707679" cy="1240110"/>
                    </a:xfrm>
                    <a:prstGeom prst="rect">
                      <a:avLst/>
                    </a:prstGeom>
                    <a:ln/>
                  </pic:spPr>
                </pic:pic>
              </a:graphicData>
            </a:graphic>
          </wp:inline>
        </w:drawing>
      </w:r>
    </w:p>
    <w:p w:rsidR="00940273" w:rsidRDefault="00940273">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sz w:val="24"/>
          <w:szCs w:val="24"/>
        </w:rPr>
      </w:pPr>
    </w:p>
    <w:p w:rsidR="00940273" w:rsidRDefault="000C5338">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La importancia de hacer pública la información del padrón de proveedores radica en que, este permite llevar a cabo de manera transparente los procedimientos de licitación, adjudicación y contratación y evaluar las ofertas de las personas físicas, morales y</w:t>
      </w:r>
      <w:r>
        <w:rPr>
          <w:rFonts w:ascii="Palatino Linotype" w:eastAsia="Palatino Linotype" w:hAnsi="Palatino Linotype" w:cs="Palatino Linotype"/>
          <w:color w:val="000000"/>
          <w:sz w:val="24"/>
          <w:szCs w:val="24"/>
        </w:rPr>
        <w:t xml:space="preserve"> jurídico colectiva que lo integran, debido a que en estos procedimientos se ejerce recurso público. </w:t>
      </w:r>
    </w:p>
    <w:p w:rsidR="00940273" w:rsidRDefault="00940273">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sz w:val="24"/>
          <w:szCs w:val="24"/>
        </w:rPr>
      </w:pPr>
    </w:p>
    <w:p w:rsidR="00940273" w:rsidRDefault="000C5338">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Por otro lado, es importante destacar que el Reglamento Orgánico Municipal de Zinacantepec precisa en sus artículos 52 y 53 lo siguiente: </w:t>
      </w:r>
    </w:p>
    <w:p w:rsidR="00940273" w:rsidRDefault="00940273">
      <w:pPr>
        <w:pBdr>
          <w:top w:val="nil"/>
          <w:left w:val="nil"/>
          <w:bottom w:val="nil"/>
          <w:right w:val="nil"/>
          <w:between w:val="nil"/>
        </w:pBdr>
        <w:tabs>
          <w:tab w:val="left" w:pos="426"/>
        </w:tabs>
        <w:spacing w:after="0" w:line="360" w:lineRule="auto"/>
        <w:ind w:right="49"/>
        <w:jc w:val="both"/>
        <w:rPr>
          <w:rFonts w:ascii="Palatino Linotype" w:eastAsia="Palatino Linotype" w:hAnsi="Palatino Linotype" w:cs="Palatino Linotype"/>
          <w:color w:val="000000"/>
          <w:sz w:val="24"/>
          <w:szCs w:val="24"/>
        </w:rPr>
      </w:pPr>
    </w:p>
    <w:p w:rsidR="00940273" w:rsidRDefault="000C5338">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 xml:space="preserve">Artículo 52. </w:t>
      </w:r>
      <w:r>
        <w:rPr>
          <w:rFonts w:ascii="Palatino Linotype" w:eastAsia="Palatino Linotype" w:hAnsi="Palatino Linotype" w:cs="Palatino Linotype"/>
          <w:i/>
          <w:color w:val="000000"/>
        </w:rPr>
        <w:t>La Dirección de Administración es la Unidad Administrativa encargada de brindar apoyo administrativo, técnico y humano, a los servidores públicos que conforman la Administración Pública Municipal, a fin de proporcionarles un espacio digno de trabajo y opti</w:t>
      </w:r>
      <w:r>
        <w:rPr>
          <w:rFonts w:ascii="Palatino Linotype" w:eastAsia="Palatino Linotype" w:hAnsi="Palatino Linotype" w:cs="Palatino Linotype"/>
          <w:i/>
          <w:color w:val="000000"/>
        </w:rPr>
        <w:t xml:space="preserve">mizar las funciones de cada Unidad Administrativa, en beneficio de la ciudadanía. </w:t>
      </w:r>
    </w:p>
    <w:p w:rsidR="00940273" w:rsidRDefault="00940273">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p>
    <w:p w:rsidR="00940273" w:rsidRDefault="000C5338">
      <w:pPr>
        <w:pBdr>
          <w:top w:val="nil"/>
          <w:left w:val="nil"/>
          <w:bottom w:val="nil"/>
          <w:right w:val="nil"/>
          <w:between w:val="nil"/>
        </w:pBdr>
        <w:spacing w:after="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lastRenderedPageBreak/>
        <w:t xml:space="preserve">Artículo 53. </w:t>
      </w:r>
      <w:r>
        <w:rPr>
          <w:rFonts w:ascii="Palatino Linotype" w:eastAsia="Palatino Linotype" w:hAnsi="Palatino Linotype" w:cs="Palatino Linotype"/>
          <w:i/>
          <w:color w:val="000000"/>
        </w:rPr>
        <w:t xml:space="preserve">Además de las previstas en las disposiciones normativas y administrativas en la materia, la Dirección de Administración tiene las siguientes funciones y atribuciones: </w:t>
      </w:r>
    </w:p>
    <w:p w:rsidR="00940273" w:rsidRDefault="000C5338">
      <w:pPr>
        <w:pBdr>
          <w:top w:val="nil"/>
          <w:left w:val="nil"/>
          <w:bottom w:val="nil"/>
          <w:right w:val="nil"/>
          <w:between w:val="nil"/>
        </w:pBdr>
        <w:spacing w:after="10" w:line="240" w:lineRule="auto"/>
        <w:ind w:left="567" w:right="560"/>
        <w:jc w:val="both"/>
        <w:rPr>
          <w:rFonts w:ascii="Palatino Linotype" w:eastAsia="Palatino Linotype" w:hAnsi="Palatino Linotype" w:cs="Palatino Linotype"/>
          <w:i/>
          <w:color w:val="000000"/>
          <w:u w:val="single"/>
        </w:rPr>
      </w:pPr>
      <w:r>
        <w:rPr>
          <w:rFonts w:ascii="Palatino Linotype" w:eastAsia="Palatino Linotype" w:hAnsi="Palatino Linotype" w:cs="Palatino Linotype"/>
          <w:i/>
          <w:color w:val="000000"/>
          <w:u w:val="single"/>
        </w:rPr>
        <w:t>I. Vigilar el cumplimiento de los lineamientos sobre los procesos de selección, adquisic</w:t>
      </w:r>
      <w:r>
        <w:rPr>
          <w:rFonts w:ascii="Palatino Linotype" w:eastAsia="Palatino Linotype" w:hAnsi="Palatino Linotype" w:cs="Palatino Linotype"/>
          <w:i/>
          <w:color w:val="000000"/>
          <w:u w:val="single"/>
        </w:rPr>
        <w:t xml:space="preserve">ión y mantenimiento del mobiliario y recursos materiales, así como en el reclutamiento y selección de personal; </w:t>
      </w:r>
    </w:p>
    <w:p w:rsidR="00940273" w:rsidRDefault="000C5338">
      <w:pPr>
        <w:pBdr>
          <w:top w:val="nil"/>
          <w:left w:val="nil"/>
          <w:bottom w:val="nil"/>
          <w:right w:val="nil"/>
          <w:between w:val="nil"/>
        </w:pBdr>
        <w:spacing w:after="1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rsidR="00940273" w:rsidRDefault="000C5338">
      <w:pPr>
        <w:pBdr>
          <w:top w:val="nil"/>
          <w:left w:val="nil"/>
          <w:bottom w:val="nil"/>
          <w:right w:val="nil"/>
          <w:between w:val="nil"/>
        </w:pBdr>
        <w:spacing w:after="1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XII. Llevar a cabo las adquisiciones de bienes, arrendamiento de bienes muebles y la contratación de servicios que requieran las distintas ár</w:t>
      </w:r>
      <w:r>
        <w:rPr>
          <w:rFonts w:ascii="Palatino Linotype" w:eastAsia="Palatino Linotype" w:hAnsi="Palatino Linotype" w:cs="Palatino Linotype"/>
          <w:i/>
          <w:color w:val="000000"/>
        </w:rPr>
        <w:t xml:space="preserve">eas, ajustándose en su caso las disposiciones legales de la materia; </w:t>
      </w:r>
    </w:p>
    <w:p w:rsidR="00940273" w:rsidRDefault="000C5338">
      <w:pPr>
        <w:pBdr>
          <w:top w:val="nil"/>
          <w:left w:val="nil"/>
          <w:bottom w:val="nil"/>
          <w:right w:val="nil"/>
          <w:between w:val="nil"/>
        </w:pBdr>
        <w:spacing w:after="1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XIII. Programar, organizar, integrar, dirigir, controlar y ejecutar las licitaciones públicas, invitaciones restringidas y las adjudicaciones directas que se requieren para la adquisició</w:t>
      </w:r>
      <w:r>
        <w:rPr>
          <w:rFonts w:ascii="Palatino Linotype" w:eastAsia="Palatino Linotype" w:hAnsi="Palatino Linotype" w:cs="Palatino Linotype"/>
          <w:i/>
          <w:color w:val="000000"/>
        </w:rPr>
        <w:t xml:space="preserve">n y arrendamiento de bienes muebles y la prestación de servicios que requieran las áreas que integran de acuerdo a los requisitos establecidos en las diversas disposiciones legales aplicables; </w:t>
      </w:r>
    </w:p>
    <w:p w:rsidR="00940273" w:rsidRDefault="000C5338">
      <w:pPr>
        <w:pBdr>
          <w:top w:val="nil"/>
          <w:left w:val="nil"/>
          <w:bottom w:val="nil"/>
          <w:right w:val="nil"/>
          <w:between w:val="nil"/>
        </w:pBdr>
        <w:spacing w:after="10" w:line="240" w:lineRule="auto"/>
        <w:ind w:left="567" w:right="56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XIV. Integrar el programa anual de adquisiciones en coordinaci</w:t>
      </w:r>
      <w:r>
        <w:rPr>
          <w:rFonts w:ascii="Palatino Linotype" w:eastAsia="Palatino Linotype" w:hAnsi="Palatino Linotype" w:cs="Palatino Linotype"/>
          <w:i/>
          <w:color w:val="000000"/>
        </w:rPr>
        <w:t xml:space="preserve">ón con las dependencias de la Administración Pública Municipal; </w:t>
      </w:r>
    </w:p>
    <w:p w:rsidR="00940273" w:rsidRDefault="000C5338">
      <w:pPr>
        <w:pBdr>
          <w:top w:val="nil"/>
          <w:left w:val="nil"/>
          <w:bottom w:val="nil"/>
          <w:right w:val="nil"/>
          <w:between w:val="nil"/>
        </w:pBdr>
        <w:tabs>
          <w:tab w:val="left" w:pos="426"/>
        </w:tabs>
        <w:spacing w:after="0" w:line="360" w:lineRule="auto"/>
        <w:ind w:left="567" w:right="56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w:t>
      </w:r>
    </w:p>
    <w:p w:rsidR="00940273" w:rsidRDefault="00940273">
      <w:pPr>
        <w:pBdr>
          <w:top w:val="nil"/>
          <w:left w:val="nil"/>
          <w:bottom w:val="nil"/>
          <w:right w:val="nil"/>
          <w:between w:val="nil"/>
        </w:pBdr>
        <w:tabs>
          <w:tab w:val="left" w:pos="426"/>
        </w:tabs>
        <w:spacing w:after="0" w:line="360" w:lineRule="auto"/>
        <w:ind w:left="567" w:right="560"/>
        <w:jc w:val="both"/>
        <w:rPr>
          <w:rFonts w:ascii="Palatino Linotype" w:eastAsia="Palatino Linotype" w:hAnsi="Palatino Linotype" w:cs="Palatino Linotype"/>
          <w:i/>
          <w:color w:val="000000"/>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así que, se colige que, el Sujeto Obligado es competente para generar, administrar y poseer la información solicitada relacionada con el padrón de proveedores del año dos mil veintidós, debido a que cuenta con una unidad administrativa que por sus funci</w:t>
      </w:r>
      <w:r>
        <w:rPr>
          <w:rFonts w:ascii="Palatino Linotype" w:eastAsia="Palatino Linotype" w:hAnsi="Palatino Linotype" w:cs="Palatino Linotype"/>
          <w:sz w:val="24"/>
          <w:szCs w:val="24"/>
        </w:rPr>
        <w:t xml:space="preserve">ones pudiera generarlo, poseerlo y administrarlo, a saber la Dirección de Administración, aunado a que, este documento, es una </w:t>
      </w:r>
      <w:r>
        <w:rPr>
          <w:rFonts w:ascii="Palatino Linotype" w:eastAsia="Palatino Linotype" w:hAnsi="Palatino Linotype" w:cs="Palatino Linotype"/>
          <w:b/>
          <w:sz w:val="24"/>
          <w:szCs w:val="24"/>
        </w:rPr>
        <w:t xml:space="preserve">obligación de transparencia </w:t>
      </w:r>
      <w:r>
        <w:rPr>
          <w:rFonts w:ascii="Palatino Linotype" w:eastAsia="Palatino Linotype" w:hAnsi="Palatino Linotype" w:cs="Palatino Linotype"/>
          <w:sz w:val="24"/>
          <w:szCs w:val="24"/>
        </w:rPr>
        <w:t xml:space="preserve">por lo que, su acceso debe ser de manera permanente y actualizada.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Establecido lo anterior, es de r</w:t>
      </w:r>
      <w:r>
        <w:rPr>
          <w:rFonts w:ascii="Palatino Linotype" w:eastAsia="Palatino Linotype" w:hAnsi="Palatino Linotype" w:cs="Palatino Linotype"/>
          <w:sz w:val="24"/>
          <w:szCs w:val="24"/>
        </w:rPr>
        <w:t>ecordar que el Sujeto Obligado, a través de la Directora de Administración, informó que la información pública de oficio referente a la fracción XXXVI Padrón de Proveedores y Contratistas, se encuentra publicada en el Portal de Información Pública de Ofici</w:t>
      </w:r>
      <w:r>
        <w:rPr>
          <w:rFonts w:ascii="Palatino Linotype" w:eastAsia="Palatino Linotype" w:hAnsi="Palatino Linotype" w:cs="Palatino Linotype"/>
          <w:sz w:val="24"/>
          <w:szCs w:val="24"/>
        </w:rPr>
        <w:t xml:space="preserve">o Mexiquense en la siguiente liga electrónica: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color w:val="000000"/>
        </w:rPr>
      </w:pPr>
      <w:hyperlink r:id="rId14">
        <w:r>
          <w:rPr>
            <w:rFonts w:ascii="Palatino Linotype" w:eastAsia="Palatino Linotype" w:hAnsi="Palatino Linotype" w:cs="Palatino Linotype"/>
            <w:color w:val="000000"/>
            <w:u w:val="single"/>
          </w:rPr>
          <w:t>https://www.ipomex.org.mx/ipo3/lgt/indice/ZINACANTEPEC/art_92_xxxvi.web</w:t>
        </w:r>
      </w:hyperlink>
      <w:r>
        <w:rPr>
          <w:rFonts w:ascii="Palatino Linotype" w:eastAsia="Palatino Linotype" w:hAnsi="Palatino Linotype" w:cs="Palatino Linotype"/>
          <w:color w:val="000000"/>
        </w:rPr>
        <w:t xml:space="preserve">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Liga electrónica remitida por el Sujeto Obligado en informe justificado </w:t>
      </w:r>
      <w:hyperlink r:id="rId15">
        <w:r>
          <w:rPr>
            <w:rFonts w:ascii="Palatino Linotype" w:eastAsia="Palatino Linotype" w:hAnsi="Palatino Linotype" w:cs="Palatino Linotype"/>
            <w:color w:val="000000"/>
            <w:u w:val="single"/>
          </w:rPr>
          <w:t>https://www.ipomex.org.mx/ipo3/lgt/indice/ZINACANTEPEC/art_92_xxxvi.web</w:t>
        </w:r>
      </w:hyperlink>
      <w:r>
        <w:rPr>
          <w:rFonts w:ascii="Palatino Linotype" w:eastAsia="Palatino Linotype" w:hAnsi="Palatino Linotype" w:cs="Palatino Linotype"/>
          <w:color w:val="000000"/>
        </w:rPr>
        <w:t xml:space="preserve"> que de su acceso, se </w:t>
      </w:r>
      <w:r>
        <w:rPr>
          <w:rFonts w:ascii="Palatino Linotype" w:eastAsia="Palatino Linotype" w:hAnsi="Palatino Linotype" w:cs="Palatino Linotype"/>
          <w:color w:val="000000"/>
        </w:rPr>
        <w:t xml:space="preserve">obtiene lo siguiente: </w:t>
      </w:r>
    </w:p>
    <w:p w:rsidR="00940273" w:rsidRDefault="00940273">
      <w:pPr>
        <w:pBdr>
          <w:top w:val="nil"/>
          <w:left w:val="nil"/>
          <w:bottom w:val="nil"/>
          <w:right w:val="nil"/>
          <w:between w:val="nil"/>
        </w:pBdr>
        <w:spacing w:after="0" w:line="360" w:lineRule="auto"/>
        <w:ind w:left="720" w:right="49"/>
        <w:jc w:val="both"/>
        <w:rPr>
          <w:rFonts w:ascii="Palatino Linotype" w:eastAsia="Palatino Linotype" w:hAnsi="Palatino Linotype" w:cs="Palatino Linotype"/>
          <w:color w:val="000000"/>
        </w:rPr>
      </w:pPr>
    </w:p>
    <w:p w:rsidR="00940273" w:rsidRDefault="000C5338">
      <w:pPr>
        <w:spacing w:after="0" w:line="360" w:lineRule="auto"/>
        <w:ind w:right="49"/>
        <w:jc w:val="center"/>
        <w:rPr>
          <w:rFonts w:ascii="Palatino Linotype" w:eastAsia="Palatino Linotype" w:hAnsi="Palatino Linotype" w:cs="Palatino Linotype"/>
          <w:b/>
          <w:sz w:val="24"/>
          <w:szCs w:val="24"/>
        </w:rPr>
      </w:pPr>
      <w:r>
        <w:rPr>
          <w:rFonts w:ascii="Palatino Linotype" w:eastAsia="Palatino Linotype" w:hAnsi="Palatino Linotype" w:cs="Palatino Linotype"/>
          <w:b/>
          <w:noProof/>
          <w:sz w:val="24"/>
          <w:szCs w:val="24"/>
        </w:rPr>
        <w:drawing>
          <wp:inline distT="0" distB="0" distL="0" distR="0">
            <wp:extent cx="3953427" cy="2524477"/>
            <wp:effectExtent l="0" t="0" r="0" b="0"/>
            <wp:docPr id="3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3953427" cy="2524477"/>
                    </a:xfrm>
                    <a:prstGeom prst="rect">
                      <a:avLst/>
                    </a:prstGeom>
                    <a:ln/>
                  </pic:spPr>
                </pic:pic>
              </a:graphicData>
            </a:graphic>
          </wp:inline>
        </w:drawing>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center"/>
        <w:rPr>
          <w:rFonts w:ascii="Palatino Linotype" w:eastAsia="Palatino Linotype" w:hAnsi="Palatino Linotype" w:cs="Palatino Linotype"/>
          <w:sz w:val="24"/>
          <w:szCs w:val="24"/>
        </w:rPr>
      </w:pPr>
      <w:r>
        <w:rPr>
          <w:rFonts w:ascii="Palatino Linotype" w:eastAsia="Palatino Linotype" w:hAnsi="Palatino Linotype" w:cs="Palatino Linotype"/>
          <w:noProof/>
          <w:sz w:val="24"/>
          <w:szCs w:val="24"/>
        </w:rPr>
        <w:drawing>
          <wp:inline distT="0" distB="0" distL="0" distR="0">
            <wp:extent cx="5546725" cy="1920240"/>
            <wp:effectExtent l="0" t="0" r="0" b="0"/>
            <wp:docPr id="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l="3640"/>
                    <a:stretch>
                      <a:fillRect/>
                    </a:stretch>
                  </pic:blipFill>
                  <pic:spPr>
                    <a:xfrm>
                      <a:off x="0" y="0"/>
                      <a:ext cx="5546725" cy="1920240"/>
                    </a:xfrm>
                    <a:prstGeom prst="rect">
                      <a:avLst/>
                    </a:prstGeom>
                    <a:ln/>
                  </pic:spPr>
                </pic:pic>
              </a:graphicData>
            </a:graphic>
          </wp:inline>
        </w:drawing>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sentido, de conformidad con el artículo 161 de la Ley de Transparencia y Acceso a la Información Pública del Estado de México y Municipios</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establece las características que debe tener la información desde el momento de su generación, publicación y entrega; de igual manera se contempla el procedimiento a seguir por el sujeto obligado para informar a los solicitantes sobre información que se en</w:t>
      </w:r>
      <w:r>
        <w:rPr>
          <w:rFonts w:ascii="Palatino Linotype" w:eastAsia="Palatino Linotype" w:hAnsi="Palatino Linotype" w:cs="Palatino Linotype"/>
          <w:sz w:val="24"/>
          <w:szCs w:val="24"/>
        </w:rPr>
        <w:t xml:space="preserve">cuentre disponible en libros, compendios, formatos electrónicos, entre otros, haciéndole saber al solicitante como podrá consultar, reproducir o adquirir la información, </w:t>
      </w:r>
      <w:r>
        <w:rPr>
          <w:rFonts w:ascii="Palatino Linotype" w:eastAsia="Palatino Linotype" w:hAnsi="Palatino Linotype" w:cs="Palatino Linotype"/>
          <w:b/>
          <w:sz w:val="24"/>
          <w:szCs w:val="24"/>
          <w:u w:val="single"/>
        </w:rPr>
        <w:t>en un plazo no mayor a cinco días hábiles</w:t>
      </w:r>
      <w:r>
        <w:rPr>
          <w:rFonts w:ascii="Palatino Linotype" w:eastAsia="Palatino Linotype" w:hAnsi="Palatino Linotype" w:cs="Palatino Linotype"/>
          <w:sz w:val="24"/>
          <w:szCs w:val="24"/>
        </w:rPr>
        <w:t>, comprendiendo:</w:t>
      </w:r>
    </w:p>
    <w:p w:rsidR="00940273" w:rsidRDefault="00940273">
      <w:pPr>
        <w:spacing w:after="0" w:line="360" w:lineRule="auto"/>
        <w:ind w:right="-7"/>
        <w:jc w:val="both"/>
        <w:rPr>
          <w:rFonts w:ascii="Palatino Linotype" w:eastAsia="Palatino Linotype" w:hAnsi="Palatino Linotype" w:cs="Palatino Linotype"/>
          <w:i/>
          <w:sz w:val="24"/>
          <w:szCs w:val="24"/>
        </w:rPr>
      </w:pPr>
    </w:p>
    <w:p w:rsidR="00940273" w:rsidRDefault="000C5338">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a) La fuente</w:t>
      </w:r>
    </w:p>
    <w:p w:rsidR="00940273" w:rsidRDefault="000C5338">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b) El lugar y</w:t>
      </w:r>
    </w:p>
    <w:p w:rsidR="00940273" w:rsidRDefault="000C5338">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c) La forma</w:t>
      </w:r>
    </w:p>
    <w:p w:rsidR="00940273" w:rsidRDefault="00940273">
      <w:pPr>
        <w:spacing w:after="0" w:line="276" w:lineRule="auto"/>
        <w:ind w:left="284" w:right="49"/>
        <w:jc w:val="both"/>
        <w:rPr>
          <w:rFonts w:ascii="Palatino Linotype" w:eastAsia="Palatino Linotype" w:hAnsi="Palatino Linotype" w:cs="Palatino Linotype"/>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se establece que la fuente de la información deberá ser:</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a) Precisa</w:t>
      </w:r>
    </w:p>
    <w:p w:rsidR="00940273" w:rsidRDefault="000C5338">
      <w:pPr>
        <w:spacing w:after="0" w:line="276" w:lineRule="auto"/>
        <w:ind w:left="284" w:right="49"/>
        <w:jc w:val="both"/>
        <w:rPr>
          <w:rFonts w:ascii="Palatino Linotype" w:eastAsia="Palatino Linotype" w:hAnsi="Palatino Linotype" w:cs="Palatino Linotype"/>
        </w:rPr>
      </w:pPr>
      <w:r>
        <w:rPr>
          <w:rFonts w:ascii="Palatino Linotype" w:eastAsia="Palatino Linotype" w:hAnsi="Palatino Linotype" w:cs="Palatino Linotype"/>
        </w:rPr>
        <w:t>b) Concreta</w:t>
      </w:r>
    </w:p>
    <w:p w:rsidR="00940273" w:rsidRDefault="000C5338">
      <w:pPr>
        <w:spacing w:after="0" w:line="360" w:lineRule="auto"/>
        <w:ind w:left="284" w:right="560"/>
        <w:jc w:val="both"/>
        <w:rPr>
          <w:rFonts w:ascii="Palatino Linotype" w:eastAsia="Palatino Linotype" w:hAnsi="Palatino Linotype" w:cs="Palatino Linotype"/>
        </w:rPr>
      </w:pPr>
      <w:r>
        <w:rPr>
          <w:rFonts w:ascii="Palatino Linotype" w:eastAsia="Palatino Linotype" w:hAnsi="Palatino Linotype" w:cs="Palatino Linotype"/>
        </w:rPr>
        <w:t>c) Y no debe implicar que el solicitante realice una búsqueda en toda la información que se encuentre disponible.</w:t>
      </w:r>
    </w:p>
    <w:p w:rsidR="00940273" w:rsidRDefault="00940273">
      <w:pPr>
        <w:spacing w:after="0" w:line="360" w:lineRule="auto"/>
        <w:ind w:left="284" w:right="51"/>
        <w:jc w:val="both"/>
        <w:rPr>
          <w:rFonts w:ascii="Palatino Linotype" w:eastAsia="Palatino Linotype" w:hAnsi="Palatino Linotype" w:cs="Palatino Linotype"/>
        </w:rPr>
      </w:pPr>
    </w:p>
    <w:p w:rsidR="00940273" w:rsidRDefault="000C5338">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Imperativos legales que detallan el p</w:t>
      </w:r>
      <w:r>
        <w:rPr>
          <w:rFonts w:ascii="Palatino Linotype" w:eastAsia="Palatino Linotype" w:hAnsi="Palatino Linotype" w:cs="Palatino Linotype"/>
          <w:sz w:val="24"/>
          <w:szCs w:val="24"/>
        </w:rPr>
        <w:t>rocedimiento que debe seguir el Sujeto Obligado para que pueda tomarse como válida su orientación sobre la forma en que puede consultar la información requerida.</w:t>
      </w:r>
    </w:p>
    <w:p w:rsidR="00940273" w:rsidRDefault="00940273">
      <w:pPr>
        <w:spacing w:after="0" w:line="360" w:lineRule="auto"/>
        <w:ind w:right="51"/>
        <w:jc w:val="both"/>
        <w:rPr>
          <w:rFonts w:ascii="Palatino Linotype" w:eastAsia="Palatino Linotype" w:hAnsi="Palatino Linotype" w:cs="Palatino Linotype"/>
          <w:sz w:val="24"/>
          <w:szCs w:val="24"/>
        </w:rPr>
      </w:pPr>
    </w:p>
    <w:p w:rsidR="00940273" w:rsidRDefault="000C533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Dicho esto, se tiene que, en el caso que ahora nos ocupa, el Sujeto Obligado remitió una liga electrónica que de su acceso se pueden encontrar 107 registros del Padrón de </w:t>
      </w:r>
      <w:r>
        <w:rPr>
          <w:rFonts w:ascii="Palatino Linotype" w:eastAsia="Palatino Linotype" w:hAnsi="Palatino Linotype" w:cs="Palatino Linotype"/>
          <w:color w:val="000000"/>
          <w:sz w:val="24"/>
          <w:szCs w:val="24"/>
        </w:rPr>
        <w:lastRenderedPageBreak/>
        <w:t>Proveedores del Sujeto Obligado del año dos mil veintidós, tal como se puede observar</w:t>
      </w:r>
      <w:r>
        <w:rPr>
          <w:rFonts w:ascii="Palatino Linotype" w:eastAsia="Palatino Linotype" w:hAnsi="Palatino Linotype" w:cs="Palatino Linotype"/>
          <w:color w:val="000000"/>
          <w:sz w:val="24"/>
          <w:szCs w:val="24"/>
        </w:rPr>
        <w:t>:</w:t>
      </w:r>
    </w:p>
    <w:p w:rsidR="00940273" w:rsidRDefault="0094027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940273" w:rsidRDefault="000C5338">
      <w:pPr>
        <w:pBdr>
          <w:top w:val="nil"/>
          <w:left w:val="nil"/>
          <w:bottom w:val="nil"/>
          <w:right w:val="nil"/>
          <w:between w:val="nil"/>
        </w:pBdr>
        <w:spacing w:after="0" w:line="360" w:lineRule="auto"/>
        <w:jc w:val="center"/>
        <w:rPr>
          <w:rFonts w:ascii="Palatino Linotype" w:eastAsia="Palatino Linotype" w:hAnsi="Palatino Linotype" w:cs="Palatino Linotype"/>
          <w:color w:val="000000"/>
          <w:sz w:val="24"/>
          <w:szCs w:val="24"/>
        </w:rPr>
      </w:pPr>
      <w:r>
        <w:rPr>
          <w:rFonts w:ascii="Palatino Linotype" w:eastAsia="Palatino Linotype" w:hAnsi="Palatino Linotype" w:cs="Palatino Linotype"/>
          <w:noProof/>
          <w:color w:val="000000"/>
          <w:sz w:val="24"/>
          <w:szCs w:val="24"/>
        </w:rPr>
        <w:drawing>
          <wp:inline distT="0" distB="0" distL="0" distR="0">
            <wp:extent cx="3823841" cy="3057654"/>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3823841" cy="3057654"/>
                    </a:xfrm>
                    <a:prstGeom prst="rect">
                      <a:avLst/>
                    </a:prstGeom>
                    <a:ln/>
                  </pic:spPr>
                </pic:pic>
              </a:graphicData>
            </a:graphic>
          </wp:inline>
        </w:drawing>
      </w:r>
    </w:p>
    <w:p w:rsidR="00940273" w:rsidRDefault="00940273">
      <w:pPr>
        <w:pBdr>
          <w:top w:val="nil"/>
          <w:left w:val="nil"/>
          <w:bottom w:val="nil"/>
          <w:right w:val="nil"/>
          <w:between w:val="nil"/>
        </w:pBdr>
        <w:spacing w:after="0" w:line="360" w:lineRule="auto"/>
        <w:jc w:val="center"/>
        <w:rPr>
          <w:rFonts w:ascii="Palatino Linotype" w:eastAsia="Palatino Linotype" w:hAnsi="Palatino Linotype" w:cs="Palatino Linotype"/>
          <w:color w:val="000000"/>
          <w:sz w:val="24"/>
          <w:szCs w:val="24"/>
        </w:rPr>
      </w:pPr>
    </w:p>
    <w:p w:rsidR="00940273" w:rsidRDefault="000C533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se considera que, el Sujeto Obligado, a través de la liga electrónica remitida, proporcionó la información solicitada, aunado a ello, no está por demás mencionar que, de conformidad con el artículo 166 de la Ley de Transparencia y Acceso a </w:t>
      </w:r>
      <w:r>
        <w:rPr>
          <w:rFonts w:ascii="Palatino Linotype" w:eastAsia="Palatino Linotype" w:hAnsi="Palatino Linotype" w:cs="Palatino Linotype"/>
          <w:sz w:val="24"/>
          <w:szCs w:val="24"/>
        </w:rPr>
        <w:t xml:space="preserve">la Información Pública del Estado de México y Municipios, se tiene que el acceso a la información pública se tendrá por cumplida cuando el solicitante tenga a su disposición la información de su interés, tal como se advierte a continuación: </w:t>
      </w:r>
    </w:p>
    <w:p w:rsidR="00940273" w:rsidRDefault="0094027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940273" w:rsidRDefault="000C5338">
      <w:pPr>
        <w:pBdr>
          <w:top w:val="nil"/>
          <w:left w:val="nil"/>
          <w:bottom w:val="nil"/>
          <w:right w:val="nil"/>
          <w:between w:val="nil"/>
        </w:pBdr>
        <w:spacing w:after="0" w:line="276" w:lineRule="auto"/>
        <w:ind w:left="567" w:right="560"/>
        <w:jc w:val="both"/>
        <w:rPr>
          <w:rFonts w:ascii="Palatino Linotype" w:eastAsia="Palatino Linotype" w:hAnsi="Palatino Linotype" w:cs="Palatino Linotype"/>
          <w:i/>
          <w:sz w:val="24"/>
          <w:szCs w:val="24"/>
        </w:rPr>
      </w:pPr>
      <w:r>
        <w:rPr>
          <w:rFonts w:ascii="Palatino Linotype" w:eastAsia="Palatino Linotype" w:hAnsi="Palatino Linotype" w:cs="Palatino Linotype"/>
          <w:b/>
          <w:i/>
        </w:rPr>
        <w:t>Artículo 166.</w:t>
      </w:r>
      <w:r>
        <w:rPr>
          <w:rFonts w:ascii="Palatino Linotype" w:eastAsia="Palatino Linotype" w:hAnsi="Palatino Linotype" w:cs="Palatino Linotype"/>
          <w:i/>
        </w:rPr>
        <w:t xml:space="preserve"> La obligación de acceso a la información pública se tendrá por cumplida cuando el solicitante tenga a su disposición la información requerida, o cuando realice la consulta de la misma en el lugar en el que ésta se localice. La Unidad de Transparencia </w:t>
      </w:r>
      <w:r>
        <w:rPr>
          <w:rFonts w:ascii="Palatino Linotype" w:eastAsia="Palatino Linotype" w:hAnsi="Palatino Linotype" w:cs="Palatino Linotype"/>
          <w:i/>
        </w:rPr>
        <w:lastRenderedPageBreak/>
        <w:t>tend</w:t>
      </w:r>
      <w:r>
        <w:rPr>
          <w:rFonts w:ascii="Palatino Linotype" w:eastAsia="Palatino Linotype" w:hAnsi="Palatino Linotype" w:cs="Palatino Linotype"/>
          <w:i/>
        </w:rPr>
        <w:t>rá disponible la información solicitada, durante un plazo mínimo de sesenta días hábiles, contado a partir de que el solicitante hubiere realizado, en su caso, el pago respectivo, el cual deberá efectuarse en un plazo no mayor a treinta días hábiles. Trans</w:t>
      </w:r>
      <w:r>
        <w:rPr>
          <w:rFonts w:ascii="Palatino Linotype" w:eastAsia="Palatino Linotype" w:hAnsi="Palatino Linotype" w:cs="Palatino Linotype"/>
          <w:i/>
        </w:rPr>
        <w:t>curridos dichos plazos, si los solicitantes no acuden a recibir la información requerida los sujetos obligados darán por concluida la solicitud y procederán, de ser el caso, a la destrucción del material en el que se reprodujo la información. Cuando el suj</w:t>
      </w:r>
      <w:r>
        <w:rPr>
          <w:rFonts w:ascii="Palatino Linotype" w:eastAsia="Palatino Linotype" w:hAnsi="Palatino Linotype" w:cs="Palatino Linotype"/>
          <w:i/>
        </w:rPr>
        <w:t>eto obligado no entregue la respuesta a la solicitud dentro del plazo previsto en la Ley, la solicitud se entenderá negada y el solicitante podrá interponer el recurso de revisión previsto en este ordenamiento. Una vez entregada la información, el solicita</w:t>
      </w:r>
      <w:r>
        <w:rPr>
          <w:rFonts w:ascii="Palatino Linotype" w:eastAsia="Palatino Linotype" w:hAnsi="Palatino Linotype" w:cs="Palatino Linotype"/>
          <w:i/>
        </w:rPr>
        <w:t>nte acusará recibo por escrito, dándose por terminado el trámite de acceso a la información.</w:t>
      </w:r>
    </w:p>
    <w:p w:rsidR="00940273" w:rsidRDefault="0094027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940273" w:rsidRDefault="000C5338">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Situación que en el presente caso aconteció, toda vez que, la parte Solicitante, pudo obtener el padrón de proveedores del año 2022 a través del enlace que fue pr</w:t>
      </w:r>
      <w:r>
        <w:rPr>
          <w:rFonts w:ascii="Palatino Linotype" w:eastAsia="Palatino Linotype" w:hAnsi="Palatino Linotype" w:cs="Palatino Linotype"/>
          <w:b/>
          <w:sz w:val="24"/>
          <w:szCs w:val="24"/>
          <w:u w:val="single"/>
        </w:rPr>
        <w:t xml:space="preserve">oporcionado por el Sujeto Obligado en su respuesta. </w:t>
      </w:r>
    </w:p>
    <w:p w:rsidR="00940273" w:rsidRDefault="00940273">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940273" w:rsidRDefault="000C5338">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Por último, respecto a la información contenida en la Plataforma de Información Pública de Oficio Mexiquense, es de destacar que, </w:t>
      </w:r>
      <w:r>
        <w:rPr>
          <w:rFonts w:ascii="Palatino Linotype" w:eastAsia="Palatino Linotype" w:hAnsi="Palatino Linotype" w:cs="Palatino Linotype"/>
        </w:rPr>
        <w:t xml:space="preserve">el artículo 12 de la Ley de Transparencia y Acceso a la Información Pública del Estado de México y Municipios, el cual precisa lo siguiente:  </w:t>
      </w:r>
    </w:p>
    <w:p w:rsidR="00940273" w:rsidRDefault="00940273">
      <w:pPr>
        <w:spacing w:line="276" w:lineRule="auto"/>
        <w:ind w:right="49"/>
        <w:jc w:val="both"/>
        <w:rPr>
          <w:rFonts w:ascii="Palatino Linotype" w:eastAsia="Palatino Linotype" w:hAnsi="Palatino Linotype" w:cs="Palatino Linotype"/>
        </w:rPr>
      </w:pPr>
    </w:p>
    <w:p w:rsidR="00940273" w:rsidRDefault="000C5338">
      <w:pPr>
        <w:spacing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940273" w:rsidRDefault="00940273">
      <w:pPr>
        <w:spacing w:line="276" w:lineRule="auto"/>
        <w:ind w:left="567" w:right="900"/>
        <w:jc w:val="both"/>
        <w:rPr>
          <w:rFonts w:ascii="Palatino Linotype" w:eastAsia="Palatino Linotype" w:hAnsi="Palatino Linotype" w:cs="Palatino Linotype"/>
          <w:i/>
        </w:rPr>
      </w:pPr>
    </w:p>
    <w:p w:rsidR="00940273" w:rsidRDefault="000C5338">
      <w:pPr>
        <w:spacing w:line="276" w:lineRule="auto"/>
        <w:ind w:left="567" w:right="900"/>
        <w:jc w:val="both"/>
        <w:rPr>
          <w:rFonts w:ascii="Palatino Linotype" w:eastAsia="Palatino Linotype" w:hAnsi="Palatino Linotype" w:cs="Palatino Linotype"/>
          <w:i/>
        </w:rPr>
      </w:pPr>
      <w:r>
        <w:rPr>
          <w:rFonts w:ascii="Palatino Linotype" w:eastAsia="Palatino Linotype" w:hAnsi="Palatino Linotype" w:cs="Palatino Linotype"/>
          <w:b/>
          <w:i/>
          <w:u w:val="single"/>
        </w:rPr>
        <w:t>Los sujetos obligados sólo proporcionarán la información públi</w:t>
      </w:r>
      <w:r>
        <w:rPr>
          <w:rFonts w:ascii="Palatino Linotype" w:eastAsia="Palatino Linotype" w:hAnsi="Palatino Linotype" w:cs="Palatino Linotype"/>
          <w:b/>
          <w:i/>
          <w:u w:val="single"/>
        </w:rPr>
        <w:t>ca que se les requiera y que obre en sus archivos y en el estado en que ésta se encuentre</w:t>
      </w:r>
      <w:r>
        <w:rPr>
          <w:rFonts w:ascii="Palatino Linotype" w:eastAsia="Palatino Linotype" w:hAnsi="Palatino Linotype" w:cs="Palatino Linotype"/>
          <w:i/>
        </w:rPr>
        <w:t xml:space="preserve">. La obligación de proporcionar información no comprende el procesamiento de la misma, ni </w:t>
      </w:r>
      <w:r>
        <w:rPr>
          <w:rFonts w:ascii="Palatino Linotype" w:eastAsia="Palatino Linotype" w:hAnsi="Palatino Linotype" w:cs="Palatino Linotype"/>
          <w:i/>
        </w:rPr>
        <w:lastRenderedPageBreak/>
        <w:t>el presentarla conforme al interés del solicitante; no estarán obligados a ge</w:t>
      </w:r>
      <w:r>
        <w:rPr>
          <w:rFonts w:ascii="Palatino Linotype" w:eastAsia="Palatino Linotype" w:hAnsi="Palatino Linotype" w:cs="Palatino Linotype"/>
          <w:i/>
        </w:rPr>
        <w:t>nerarla, resumirla, efectuar cálculos o practicar investigaciones.</w:t>
      </w:r>
    </w:p>
    <w:p w:rsidR="00940273" w:rsidRDefault="00940273">
      <w:pPr>
        <w:spacing w:after="0" w:line="360" w:lineRule="auto"/>
        <w:ind w:right="900"/>
        <w:jc w:val="both"/>
        <w:rPr>
          <w:rFonts w:ascii="Palatino Linotype" w:eastAsia="Palatino Linotype" w:hAnsi="Palatino Linotype" w:cs="Palatino Linotype"/>
          <w:i/>
        </w:rPr>
      </w:pPr>
    </w:p>
    <w:p w:rsidR="00940273" w:rsidRDefault="000C533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el Sujeto Obligado sólo puede proporcionar la información que obra en sus archivos, lo que a </w:t>
      </w:r>
      <w:r>
        <w:rPr>
          <w:rFonts w:ascii="Palatino Linotype" w:eastAsia="Palatino Linotype" w:hAnsi="Palatino Linotype" w:cs="Palatino Linotype"/>
          <w:i/>
        </w:rPr>
        <w:t xml:space="preserve">contrario sensu </w:t>
      </w:r>
      <w:r>
        <w:rPr>
          <w:rFonts w:ascii="Palatino Linotype" w:eastAsia="Palatino Linotype" w:hAnsi="Palatino Linotype" w:cs="Palatino Linotype"/>
        </w:rPr>
        <w:t>significa que no se está obligado a proporcionar lo que no obre en los mis</w:t>
      </w:r>
      <w:r>
        <w:rPr>
          <w:rFonts w:ascii="Palatino Linotype" w:eastAsia="Palatino Linotype" w:hAnsi="Palatino Linotype" w:cs="Palatino Linotype"/>
        </w:rPr>
        <w:t xml:space="preserve">mos. </w:t>
      </w:r>
    </w:p>
    <w:p w:rsidR="00940273" w:rsidRDefault="00940273">
      <w:pPr>
        <w:spacing w:after="0" w:line="360" w:lineRule="auto"/>
        <w:ind w:right="49"/>
        <w:jc w:val="both"/>
        <w:rPr>
          <w:rFonts w:ascii="Palatino Linotype" w:eastAsia="Palatino Linotype" w:hAnsi="Palatino Linotype" w:cs="Palatino Linotype"/>
        </w:rPr>
      </w:pPr>
    </w:p>
    <w:p w:rsidR="00940273" w:rsidRDefault="000C5338">
      <w:pPr>
        <w:spacing w:after="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de acuerdo con el Criterio 31/10 de aplicación análoga para este Organismo Garante, emitido por el Instituto Nacional de Transparencia, Acceso a la Información y Protección de Datos Personales, que establece lo siguiente: </w:t>
      </w:r>
    </w:p>
    <w:p w:rsidR="00940273" w:rsidRDefault="00940273">
      <w:pPr>
        <w:spacing w:after="0" w:line="360" w:lineRule="auto"/>
        <w:ind w:right="49"/>
        <w:jc w:val="both"/>
        <w:rPr>
          <w:rFonts w:ascii="Palatino Linotype" w:eastAsia="Palatino Linotype" w:hAnsi="Palatino Linotype" w:cs="Palatino Linotype"/>
        </w:rPr>
      </w:pPr>
    </w:p>
    <w:p w:rsidR="00940273" w:rsidRDefault="000C5338">
      <w:pPr>
        <w:spacing w:line="276" w:lineRule="auto"/>
        <w:ind w:left="567" w:right="843"/>
        <w:jc w:val="both"/>
        <w:rPr>
          <w:rFonts w:ascii="Palatino Linotype" w:eastAsia="Palatino Linotype" w:hAnsi="Palatino Linotype" w:cs="Palatino Linotype"/>
          <w:i/>
        </w:rPr>
      </w:pPr>
      <w:r>
        <w:rPr>
          <w:rFonts w:ascii="Palatino Linotype" w:eastAsia="Palatino Linotype" w:hAnsi="Palatino Linotype" w:cs="Palatino Linotype"/>
          <w:b/>
          <w:i/>
        </w:rPr>
        <w:t xml:space="preserve">El </w:t>
      </w:r>
      <w:r>
        <w:rPr>
          <w:rFonts w:ascii="Palatino Linotype" w:eastAsia="Palatino Linotype" w:hAnsi="Palatino Linotype" w:cs="Palatino Linotype"/>
          <w:b/>
          <w:i/>
        </w:rPr>
        <w:t xml:space="preserve">Instituto Federal de Acceso a la Información y Protección de Datos no cuenta con facultades para pronunciarse respecto de la veracidad de los documentos proporcionados por los sujetos obligados. </w:t>
      </w:r>
      <w:r>
        <w:rPr>
          <w:rFonts w:ascii="Palatino Linotype" w:eastAsia="Palatino Linotype" w:hAnsi="Palatino Linotype" w:cs="Palatino Linotype"/>
          <w:i/>
        </w:rPr>
        <w:t xml:space="preserve">El Instituto Federal de Acceso a la Información y Protección </w:t>
      </w:r>
      <w:r>
        <w:rPr>
          <w:rFonts w:ascii="Palatino Linotype" w:eastAsia="Palatino Linotype" w:hAnsi="Palatino Linotype" w:cs="Palatino Linotype"/>
          <w:i/>
        </w:rPr>
        <w:t xml:space="preserve">de Datos es un órgano de la Administración Pública Federal con autonomía operativa, presupuestaria y de decisión, encargado de promover y difundir el ejercicio del derecho de acceso a la información; resolver sobre la negativa de las solicitudes de acceso </w:t>
      </w:r>
      <w:r>
        <w:rPr>
          <w:rFonts w:ascii="Palatino Linotype" w:eastAsia="Palatino Linotype" w:hAnsi="Palatino Linotype" w:cs="Palatino Linotype"/>
          <w:i/>
        </w:rPr>
        <w:t>a la información; y proteger los datos personales en poder de las dependencias y entidades. Sin embargo, no está facultado para pronunciarse sobre la veracidad de la información proporcionada por las autoridades en respuesta a las solicitudes de informació</w:t>
      </w:r>
      <w:r>
        <w:rPr>
          <w:rFonts w:ascii="Palatino Linotype" w:eastAsia="Palatino Linotype" w:hAnsi="Palatino Linotype" w:cs="Palatino Linotype"/>
          <w:i/>
        </w:rPr>
        <w:t>n que les presentan los particulares, en virtud de que en los artículos 49 y 50 de la Ley Federal de Transparencia y Acceso a la Información Pública Gubernamental no se prevé una causal que permita al Instituto Federal de Acceso a la Información y Protecci</w:t>
      </w:r>
      <w:r>
        <w:rPr>
          <w:rFonts w:ascii="Palatino Linotype" w:eastAsia="Palatino Linotype" w:hAnsi="Palatino Linotype" w:cs="Palatino Linotype"/>
          <w:i/>
        </w:rPr>
        <w:t>ón de Datos conocer, vía recurso revisión, al respecto.</w:t>
      </w:r>
    </w:p>
    <w:p w:rsidR="00940273" w:rsidRDefault="00940273">
      <w:pPr>
        <w:spacing w:after="0" w:line="276" w:lineRule="auto"/>
        <w:ind w:left="567" w:right="843"/>
        <w:jc w:val="both"/>
        <w:rPr>
          <w:rFonts w:ascii="Palatino Linotype" w:eastAsia="Palatino Linotype" w:hAnsi="Palatino Linotype" w:cs="Palatino Linotype"/>
          <w:i/>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entonces que, se colige que este Instituto, no está facultado para dudar de la veracidad de la información que los sujetos obligados ponen a disposición de los solicitantes.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ese entendido, se</w:t>
      </w:r>
      <w:r>
        <w:rPr>
          <w:rFonts w:ascii="Palatino Linotype" w:eastAsia="Palatino Linotype" w:hAnsi="Palatino Linotype" w:cs="Palatino Linotype"/>
          <w:sz w:val="24"/>
          <w:szCs w:val="24"/>
        </w:rPr>
        <w:t xml:space="preserve"> determina que, toda vez que el Sujeto Obligado, dio atención a la solicitud de información a través de la unidad administrativa competente; los agravios hechos valer por este devienen </w:t>
      </w:r>
      <w:r>
        <w:rPr>
          <w:rFonts w:ascii="Palatino Linotype" w:eastAsia="Palatino Linotype" w:hAnsi="Palatino Linotype" w:cs="Palatino Linotype"/>
          <w:b/>
          <w:sz w:val="24"/>
          <w:szCs w:val="24"/>
        </w:rPr>
        <w:t xml:space="preserve">INFUNDADOS </w:t>
      </w:r>
      <w:r>
        <w:rPr>
          <w:rFonts w:ascii="Palatino Linotype" w:eastAsia="Palatino Linotype" w:hAnsi="Palatino Linotype" w:cs="Palatino Linotype"/>
          <w:sz w:val="24"/>
          <w:szCs w:val="24"/>
        </w:rPr>
        <w:t xml:space="preserve">y, por lo tanto, resulta procedente </w:t>
      </w:r>
      <w:r>
        <w:rPr>
          <w:rFonts w:ascii="Palatino Linotype" w:eastAsia="Palatino Linotype" w:hAnsi="Palatino Linotype" w:cs="Palatino Linotype"/>
          <w:b/>
          <w:sz w:val="24"/>
          <w:szCs w:val="24"/>
        </w:rPr>
        <w:t>CONFIRMAR la</w:t>
      </w:r>
      <w:r>
        <w:rPr>
          <w:rFonts w:ascii="Palatino Linotype" w:eastAsia="Palatino Linotype" w:hAnsi="Palatino Linotype" w:cs="Palatino Linotype"/>
          <w:sz w:val="24"/>
          <w:szCs w:val="24"/>
        </w:rPr>
        <w:t xml:space="preserve"> respuesta e</w:t>
      </w:r>
      <w:r>
        <w:rPr>
          <w:rFonts w:ascii="Palatino Linotype" w:eastAsia="Palatino Linotype" w:hAnsi="Palatino Linotype" w:cs="Palatino Linotype"/>
          <w:sz w:val="24"/>
          <w:szCs w:val="24"/>
        </w:rPr>
        <w:t xml:space="preserve">mitida por el Sujeto Obligado, en términos de la fracción II del artículo 186 de la Ley de Transparencia y Acceso a la Información Pública del Estado de México y Municipios.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w:t>
      </w:r>
      <w:r>
        <w:rPr>
          <w:rFonts w:ascii="Palatino Linotype" w:eastAsia="Palatino Linotype" w:hAnsi="Palatino Linotype" w:cs="Palatino Linotype"/>
          <w:sz w:val="24"/>
          <w:szCs w:val="24"/>
        </w:rPr>
        <w:t>, 181, 185, fracción I, 186 y 188 de la Ley de Transparencia y Acceso a la Información Pública del Estado de México y Municipios, este Pleno:</w:t>
      </w:r>
    </w:p>
    <w:p w:rsidR="00940273" w:rsidRDefault="00940273">
      <w:pPr>
        <w:spacing w:after="0" w:line="360" w:lineRule="auto"/>
        <w:ind w:right="51"/>
        <w:jc w:val="both"/>
        <w:rPr>
          <w:rFonts w:ascii="Palatino Linotype" w:eastAsia="Palatino Linotype" w:hAnsi="Palatino Linotype" w:cs="Palatino Linotype"/>
          <w:sz w:val="24"/>
          <w:szCs w:val="24"/>
        </w:rPr>
      </w:pPr>
    </w:p>
    <w:p w:rsidR="00940273" w:rsidRDefault="000C5338">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bookmarkStart w:id="2" w:name="_heading=h.lnxbz9" w:colFirst="0" w:colLast="0"/>
      <w:bookmarkEnd w:id="2"/>
      <w:r>
        <w:rPr>
          <w:rFonts w:ascii="Palatino Linotype" w:eastAsia="Palatino Linotype" w:hAnsi="Palatino Linotype" w:cs="Palatino Linotype"/>
          <w:b/>
          <w:sz w:val="24"/>
          <w:szCs w:val="24"/>
        </w:rPr>
        <w:t>III. R E S U E L V E</w:t>
      </w:r>
    </w:p>
    <w:p w:rsidR="00940273" w:rsidRDefault="00940273">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rsidR="00940273" w:rsidRDefault="000C5338">
      <w:pPr>
        <w:spacing w:after="0" w:line="360" w:lineRule="auto"/>
        <w:jc w:val="both"/>
        <w:rPr>
          <w:rFonts w:ascii="Palatino Linotype" w:eastAsia="Palatino Linotype" w:hAnsi="Palatino Linotype" w:cs="Palatino Linotype"/>
          <w:sz w:val="24"/>
          <w:szCs w:val="24"/>
        </w:rPr>
      </w:pPr>
      <w:bookmarkStart w:id="3" w:name="_heading=h.26in1rg" w:colFirst="0" w:colLast="0"/>
      <w:bookmarkEnd w:id="3"/>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Son </w:t>
      </w:r>
      <w:r>
        <w:rPr>
          <w:rFonts w:ascii="Palatino Linotype" w:eastAsia="Palatino Linotype" w:hAnsi="Palatino Linotype" w:cs="Palatino Linotype"/>
          <w:b/>
          <w:sz w:val="24"/>
          <w:szCs w:val="24"/>
        </w:rPr>
        <w:t>infundadas</w:t>
      </w:r>
      <w:r>
        <w:rPr>
          <w:rFonts w:ascii="Palatino Linotype" w:eastAsia="Palatino Linotype" w:hAnsi="Palatino Linotype" w:cs="Palatino Linotype"/>
          <w:sz w:val="24"/>
          <w:szCs w:val="24"/>
        </w:rPr>
        <w:t xml:space="preserve"> las razones o motivos de inconformidad hechos valer por la parte </w:t>
      </w:r>
      <w:r>
        <w:rPr>
          <w:rFonts w:ascii="Palatino Linotype" w:eastAsia="Palatino Linotype" w:hAnsi="Palatino Linotype" w:cs="Palatino Linotype"/>
          <w:b/>
          <w:sz w:val="24"/>
          <w:szCs w:val="24"/>
        </w:rPr>
        <w:t>Re</w:t>
      </w:r>
      <w:r>
        <w:rPr>
          <w:rFonts w:ascii="Palatino Linotype" w:eastAsia="Palatino Linotype" w:hAnsi="Palatino Linotype" w:cs="Palatino Linotype"/>
          <w:b/>
          <w:sz w:val="24"/>
          <w:szCs w:val="24"/>
        </w:rPr>
        <w:t>currente</w:t>
      </w:r>
      <w:r>
        <w:rPr>
          <w:rFonts w:ascii="Palatino Linotype" w:eastAsia="Palatino Linotype" w:hAnsi="Palatino Linotype" w:cs="Palatino Linotype"/>
          <w:sz w:val="24"/>
          <w:szCs w:val="24"/>
        </w:rPr>
        <w:t xml:space="preserve"> en el recurso de revisión </w:t>
      </w:r>
      <w:r>
        <w:rPr>
          <w:rFonts w:ascii="Palatino Linotype" w:eastAsia="Palatino Linotype" w:hAnsi="Palatino Linotype" w:cs="Palatino Linotype"/>
          <w:b/>
          <w:sz w:val="24"/>
          <w:szCs w:val="24"/>
        </w:rPr>
        <w:t>05619/INFOEM/IP/RR/2023</w:t>
      </w:r>
      <w:r>
        <w:rPr>
          <w:rFonts w:ascii="Palatino Linotype" w:eastAsia="Palatino Linotype" w:hAnsi="Palatino Linotype" w:cs="Palatino Linotype"/>
          <w:sz w:val="24"/>
          <w:szCs w:val="24"/>
        </w:rPr>
        <w:t xml:space="preserve">, por lo que, en términos de los argumentos de derecho señalados en el considerando </w:t>
      </w: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se</w:t>
      </w:r>
      <w:r>
        <w:rPr>
          <w:rFonts w:ascii="Palatino Linotype" w:eastAsia="Palatino Linotype" w:hAnsi="Palatino Linotype" w:cs="Palatino Linotype"/>
          <w:b/>
          <w:sz w:val="24"/>
          <w:szCs w:val="24"/>
        </w:rPr>
        <w:t xml:space="preserve"> Confirma </w:t>
      </w:r>
      <w:r>
        <w:rPr>
          <w:rFonts w:ascii="Palatino Linotype" w:eastAsia="Palatino Linotype" w:hAnsi="Palatino Linotype" w:cs="Palatino Linotype"/>
          <w:sz w:val="24"/>
          <w:szCs w:val="24"/>
        </w:rPr>
        <w:t xml:space="preserve">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rsidR="00940273" w:rsidRDefault="00940273">
      <w:pPr>
        <w:spacing w:after="0" w:line="360" w:lineRule="auto"/>
        <w:jc w:val="both"/>
        <w:rPr>
          <w:rFonts w:ascii="Palatino Linotype" w:eastAsia="Palatino Linotype" w:hAnsi="Palatino Linotype" w:cs="Palatino Linotype"/>
          <w:sz w:val="24"/>
          <w:szCs w:val="24"/>
        </w:rPr>
      </w:pPr>
    </w:p>
    <w:p w:rsidR="00940273" w:rsidRDefault="000C5338">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Notifíquese, </w:t>
      </w:r>
      <w:r>
        <w:rPr>
          <w:rFonts w:ascii="Palatino Linotype" w:eastAsia="Palatino Linotype" w:hAnsi="Palatino Linotype" w:cs="Palatino Linotype"/>
          <w:sz w:val="24"/>
          <w:szCs w:val="24"/>
        </w:rPr>
        <w:t xml:space="preserve">al Responsable de la Unidad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para su conocimiento, la presente resolución.</w:t>
      </w:r>
    </w:p>
    <w:p w:rsidR="00940273" w:rsidRDefault="00940273">
      <w:pPr>
        <w:spacing w:after="0" w:line="360" w:lineRule="auto"/>
        <w:jc w:val="both"/>
        <w:rPr>
          <w:rFonts w:ascii="Palatino Linotype" w:eastAsia="Palatino Linotype" w:hAnsi="Palatino Linotype" w:cs="Palatino Linotype"/>
          <w:sz w:val="24"/>
          <w:szCs w:val="24"/>
        </w:rPr>
      </w:pPr>
    </w:p>
    <w:p w:rsidR="00940273" w:rsidRDefault="000C5338">
      <w:pPr>
        <w:spacing w:after="0" w:line="360" w:lineRule="auto"/>
        <w:jc w:val="both"/>
        <w:rPr>
          <w:rFonts w:ascii="Palatino Linotype" w:eastAsia="Palatino Linotype" w:hAnsi="Palatino Linotype" w:cs="Palatino Linotype"/>
          <w:sz w:val="24"/>
          <w:szCs w:val="24"/>
        </w:rPr>
      </w:pPr>
      <w:bookmarkStart w:id="4" w:name="_heading=h.4d34og8" w:colFirst="0" w:colLast="0"/>
      <w:bookmarkEnd w:id="4"/>
      <w:r>
        <w:rPr>
          <w:rFonts w:ascii="Palatino Linotype" w:eastAsia="Palatino Linotype" w:hAnsi="Palatino Linotype" w:cs="Palatino Linotype"/>
          <w:b/>
          <w:sz w:val="24"/>
          <w:szCs w:val="24"/>
        </w:rPr>
        <w:lastRenderedPageBreak/>
        <w:t xml:space="preserve"> Tercero.  Notifíquese, a</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así como, que de conformidad con lo establecido en el artículo 196 de la L</w:t>
      </w:r>
      <w:r>
        <w:rPr>
          <w:rFonts w:ascii="Palatino Linotype" w:eastAsia="Palatino Linotype" w:hAnsi="Palatino Linotype" w:cs="Palatino Linotype"/>
          <w:sz w:val="24"/>
          <w:szCs w:val="24"/>
        </w:rPr>
        <w:t>ey de Transparencia y Acceso a la Información Pública del Estado de México y Municipios, en caso de que considere que le causa algún perjuicio podrá impugnarla vía Juicio de Amparo en los términos de las leyes aplicables.</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0C5338">
      <w:pPr>
        <w:spacing w:after="0" w:line="360" w:lineRule="auto"/>
        <w:ind w:right="49"/>
        <w:jc w:val="both"/>
        <w:rPr>
          <w:rFonts w:ascii="Palatino Linotype" w:eastAsia="Palatino Linotype" w:hAnsi="Palatino Linotype" w:cs="Palatino Linotype"/>
          <w:sz w:val="24"/>
          <w:szCs w:val="24"/>
        </w:rPr>
      </w:pPr>
      <w:bookmarkStart w:id="5" w:name="_heading=h.gjdgxs" w:colFirst="0" w:colLast="0"/>
      <w:bookmarkEnd w:id="5"/>
      <w:r>
        <w:rPr>
          <w:rFonts w:ascii="Palatino Linotype" w:eastAsia="Palatino Linotype" w:hAnsi="Palatino Linotype" w:cs="Palatino Linotype"/>
          <w:sz w:val="24"/>
          <w:szCs w:val="24"/>
        </w:rPr>
        <w:t>ASÍ LO RESUELVE, POR UNANIMIDAD D</w:t>
      </w:r>
      <w:r>
        <w:rPr>
          <w:rFonts w:ascii="Palatino Linotype" w:eastAsia="Palatino Linotype" w:hAnsi="Palatino Linotype" w:cs="Palatino Linotype"/>
          <w:sz w:val="24"/>
          <w:szCs w:val="24"/>
        </w:rPr>
        <w:t>E VOTOS, EL PLENO DEL INSTITUTO DE TRANSPARENCIA, ACCESO A LA INFORMACIÓN PÚBLICA Y PROTECCIÓN DE DATOS PERSONALES DEL ESTADO DE MÉXICO Y MUNICIPIOS, CONFORMADO POR LOS COMISIONADOS JOSÉ MARTÍNEZ VILCHIS, MARÍA DEL ROSARIO MEJÍA AYALA, SHARON CRISTINA MORA</w:t>
      </w:r>
      <w:r>
        <w:rPr>
          <w:rFonts w:ascii="Palatino Linotype" w:eastAsia="Palatino Linotype" w:hAnsi="Palatino Linotype" w:cs="Palatino Linotype"/>
          <w:sz w:val="24"/>
          <w:szCs w:val="24"/>
        </w:rPr>
        <w:t xml:space="preserve">LES MARTÍNEZ, LUIS GUSTAVO PARRA NORIEGA Y GUADALUPE RAMÍREZ PEÑA; EN LA CUADRAGÉSIMA SEGUNDA SESIÓN ORDINARIA CELEBRADA EL VEITITRÉS DE NOVIEMBRE DE DOS MIL VEINTITRÉS, ANTE EL SECRETARIO TÉCNICO DEL PLENO ALEXIS TAPIA RAMÍREZ. </w:t>
      </w: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p w:rsidR="00940273" w:rsidRDefault="00940273">
      <w:pPr>
        <w:spacing w:after="0" w:line="360" w:lineRule="auto"/>
        <w:ind w:right="49"/>
        <w:jc w:val="both"/>
        <w:rPr>
          <w:rFonts w:ascii="Palatino Linotype" w:eastAsia="Palatino Linotype" w:hAnsi="Palatino Linotype" w:cs="Palatino Linotype"/>
          <w:sz w:val="24"/>
          <w:szCs w:val="24"/>
        </w:rPr>
      </w:pPr>
    </w:p>
    <w:sectPr w:rsidR="00940273">
      <w:headerReference w:type="default" r:id="rId19"/>
      <w:footerReference w:type="default" r:id="rId20"/>
      <w:headerReference w:type="first" r:id="rId21"/>
      <w:footerReference w:type="first" r:id="rId2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C5338">
      <w:pPr>
        <w:spacing w:after="0" w:line="240" w:lineRule="auto"/>
      </w:pPr>
      <w:r>
        <w:separator/>
      </w:r>
    </w:p>
  </w:endnote>
  <w:endnote w:type="continuationSeparator" w:id="0">
    <w:p w:rsidR="00000000" w:rsidRDefault="000C5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73" w:rsidRDefault="000C533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30</w:t>
    </w:r>
    <w:r>
      <w:rPr>
        <w:b/>
        <w:color w:val="000000"/>
        <w:sz w:val="24"/>
        <w:szCs w:val="24"/>
      </w:rPr>
      <w:fldChar w:fldCharType="end"/>
    </w:r>
    <w:r>
      <w:rPr>
        <w:noProof/>
      </w:rPr>
      <w:drawing>
        <wp:anchor distT="0" distB="0" distL="0" distR="0" simplePos="0" relativeHeight="251659264" behindDoc="1" locked="0" layoutInCell="1" hidden="0" allowOverlap="1">
          <wp:simplePos x="0" y="0"/>
          <wp:positionH relativeFrom="column">
            <wp:posOffset>-771524</wp:posOffset>
          </wp:positionH>
          <wp:positionV relativeFrom="paragraph">
            <wp:posOffset>-80664</wp:posOffset>
          </wp:positionV>
          <wp:extent cx="7809876" cy="10165823"/>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940273" w:rsidRDefault="0094027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73" w:rsidRDefault="000C533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30</w:t>
    </w:r>
    <w:r>
      <w:rPr>
        <w:b/>
        <w:color w:val="000000"/>
        <w:sz w:val="24"/>
        <w:szCs w:val="24"/>
      </w:rPr>
      <w:fldChar w:fldCharType="end"/>
    </w:r>
  </w:p>
  <w:p w:rsidR="00940273" w:rsidRDefault="0094027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C5338">
      <w:pPr>
        <w:spacing w:after="0" w:line="240" w:lineRule="auto"/>
      </w:pPr>
      <w:r>
        <w:separator/>
      </w:r>
    </w:p>
  </w:footnote>
  <w:footnote w:type="continuationSeparator" w:id="0">
    <w:p w:rsidR="00000000" w:rsidRDefault="000C53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73" w:rsidRDefault="00940273">
    <w:pPr>
      <w:widowControl w:val="0"/>
      <w:pBdr>
        <w:top w:val="nil"/>
        <w:left w:val="nil"/>
        <w:bottom w:val="nil"/>
        <w:right w:val="nil"/>
        <w:between w:val="nil"/>
      </w:pBdr>
      <w:spacing w:after="0" w:line="276" w:lineRule="auto"/>
      <w:rPr>
        <w:color w:val="000000"/>
      </w:rPr>
    </w:pPr>
  </w:p>
  <w:tbl>
    <w:tblPr>
      <w:tblStyle w:val="a6"/>
      <w:tblW w:w="5603" w:type="dxa"/>
      <w:tblInd w:w="3611" w:type="dxa"/>
      <w:tblLayout w:type="fixed"/>
      <w:tblLook w:val="0400" w:firstRow="0" w:lastRow="0" w:firstColumn="0" w:lastColumn="0" w:noHBand="0" w:noVBand="1"/>
    </w:tblPr>
    <w:tblGrid>
      <w:gridCol w:w="2551"/>
      <w:gridCol w:w="3052"/>
    </w:tblGrid>
    <w:tr w:rsidR="00940273">
      <w:tc>
        <w:tcPr>
          <w:tcW w:w="2551" w:type="dxa"/>
          <w:vAlign w:val="center"/>
        </w:tcPr>
        <w:p w:rsidR="00940273" w:rsidRDefault="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940273" w:rsidRDefault="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05619/INFOEM/IP/RR/2023</w:t>
          </w:r>
        </w:p>
      </w:tc>
    </w:tr>
    <w:tr w:rsidR="00940273">
      <w:trPr>
        <w:trHeight w:val="217"/>
      </w:trPr>
      <w:tc>
        <w:tcPr>
          <w:tcW w:w="2551" w:type="dxa"/>
          <w:vAlign w:val="center"/>
        </w:tcPr>
        <w:p w:rsidR="00940273" w:rsidRDefault="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rsidR="00940273" w:rsidRDefault="000C5338">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940273">
      <w:tc>
        <w:tcPr>
          <w:tcW w:w="2551" w:type="dxa"/>
          <w:vAlign w:val="center"/>
        </w:tcPr>
        <w:p w:rsidR="00940273" w:rsidRDefault="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940273" w:rsidRDefault="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940273" w:rsidRDefault="0094027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273" w:rsidRDefault="000C5338">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simplePos x="0" y="0"/>
          <wp:positionH relativeFrom="column">
            <wp:posOffset>-706754</wp:posOffset>
          </wp:positionH>
          <wp:positionV relativeFrom="paragraph">
            <wp:posOffset>-229869</wp:posOffset>
          </wp:positionV>
          <wp:extent cx="7809865" cy="1016571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603" w:type="dxa"/>
      <w:tblInd w:w="3611" w:type="dxa"/>
      <w:tblLayout w:type="fixed"/>
      <w:tblLook w:val="0400" w:firstRow="0" w:lastRow="0" w:firstColumn="0" w:lastColumn="0" w:noHBand="0" w:noVBand="1"/>
    </w:tblPr>
    <w:tblGrid>
      <w:gridCol w:w="2551"/>
      <w:gridCol w:w="3052"/>
    </w:tblGrid>
    <w:tr w:rsidR="00940273">
      <w:tc>
        <w:tcPr>
          <w:tcW w:w="2551" w:type="dxa"/>
          <w:vAlign w:val="center"/>
        </w:tcPr>
        <w:p w:rsidR="00940273" w:rsidRDefault="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rsidR="00940273" w:rsidRDefault="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05619/INFOEM/IP/RR/2023</w:t>
          </w:r>
        </w:p>
      </w:tc>
    </w:tr>
    <w:tr w:rsidR="00940273">
      <w:tc>
        <w:tcPr>
          <w:tcW w:w="2551" w:type="dxa"/>
          <w:vAlign w:val="center"/>
        </w:tcPr>
        <w:p w:rsidR="00940273" w:rsidRDefault="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rsidR="00940273" w:rsidRDefault="0094027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940273">
      <w:trPr>
        <w:trHeight w:val="152"/>
      </w:trPr>
      <w:tc>
        <w:tcPr>
          <w:tcW w:w="2551" w:type="dxa"/>
          <w:vAlign w:val="center"/>
        </w:tcPr>
        <w:p w:rsidR="00940273" w:rsidRDefault="000C5338">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940273" w:rsidRDefault="00940273">
          <w:pP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940273" w:rsidRDefault="000C533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Zinacantepec</w:t>
          </w:r>
        </w:p>
      </w:tc>
    </w:tr>
    <w:tr w:rsidR="00940273">
      <w:tc>
        <w:tcPr>
          <w:tcW w:w="2551" w:type="dxa"/>
          <w:vAlign w:val="center"/>
        </w:tcPr>
        <w:p w:rsidR="00940273" w:rsidRDefault="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940273" w:rsidRDefault="000C533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940273" w:rsidRDefault="000C533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43E45"/>
    <w:multiLevelType w:val="multilevel"/>
    <w:tmpl w:val="1BA632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2624CE1"/>
    <w:multiLevelType w:val="multilevel"/>
    <w:tmpl w:val="3C9EE3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53E59A4"/>
    <w:multiLevelType w:val="multilevel"/>
    <w:tmpl w:val="7CC646D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273"/>
    <w:rsid w:val="000C5338"/>
    <w:rsid w:val="009402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B4C119-A8C1-4406-AA2B-5BC22053E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15" w:type="dxa"/>
        <w:left w:w="115" w:type="dxa"/>
        <w:bottom w:w="15" w:type="dxa"/>
        <w:right w:w="115" w:type="dxa"/>
      </w:tblCellMar>
    </w:tblPr>
  </w:style>
  <w:style w:type="table" w:customStyle="1" w:styleId="a3">
    <w:basedOn w:val="TableNormal1"/>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table" w:customStyle="1" w:styleId="a5">
    <w:basedOn w:val="TableNormal0"/>
    <w:tblPr>
      <w:tblStyleRowBandSize w:val="1"/>
      <w:tblStyleColBandSize w:val="1"/>
      <w:tblCellMar>
        <w:top w:w="15" w:type="dxa"/>
        <w:left w:w="115" w:type="dxa"/>
        <w:bottom w:w="15" w:type="dxa"/>
        <w:right w:w="115" w:type="dxa"/>
      </w:tblCellMar>
    </w:tblPr>
  </w:style>
  <w:style w:type="table" w:customStyle="1" w:styleId="a6">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vi.web" TargetMode="Externa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pomex.org.mx/ipo3/lgt/indice/ZINACANTEPEC/art_92_xxxvi.web" TargetMode="External"/><Relationship Id="rId23" Type="http://schemas.openxmlformats.org/officeDocument/2006/relationships/fontTable" Target="fontTable.xml"/><Relationship Id="rId10" Type="http://schemas.openxmlformats.org/officeDocument/2006/relationships/hyperlink" Target="https://www.ipomex.org.mx/ipo3/lgt/indice/ZINACANTEPEC/art_92_xxxvi.web"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pomex.org.mx/ipo3/lgt/indice/ZINACANTEPEC/art_92_xxxvi.web"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micx0DyXDKuo8MqMA12A5Bm+9Q==">CgMxLjAyCWguMzBqMHpsbDIIaC5sbnhiejkyCWguMjZpbjFyZzIJaC40ZDM0b2c4MghoLmdqZGd4czgAciExYjluTUxzYVhTWEhlRm45SkMtUVlmTUcwVDFneXdvUFE=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6714</Words>
  <Characters>36928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INFOEM563</cp:lastModifiedBy>
  <cp:revision>2</cp:revision>
  <dcterms:created xsi:type="dcterms:W3CDTF">2023-12-05T21:00:00Z</dcterms:created>
  <dcterms:modified xsi:type="dcterms:W3CDTF">2023-12-05T21:00:00Z</dcterms:modified>
</cp:coreProperties>
</file>