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a tres de octubre de dos mil veintitrés. </w:t>
      </w:r>
    </w:p>
    <w:p w:rsidR="00000000" w:rsidDel="00000000" w:rsidP="00000000" w:rsidRDefault="00000000" w:rsidRPr="00000000" w14:paraId="0000000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formado con motivo del recurso de revisión </w:t>
      </w:r>
      <w:r w:rsidDel="00000000" w:rsidR="00000000" w:rsidRPr="00000000">
        <w:rPr>
          <w:rFonts w:ascii="Palatino Linotype" w:cs="Palatino Linotype" w:eastAsia="Palatino Linotype" w:hAnsi="Palatino Linotype"/>
          <w:b w:val="1"/>
          <w:rtl w:val="0"/>
        </w:rPr>
        <w:t xml:space="preserve">01684/INFOEM/IP/RR/2023</w:t>
      </w:r>
      <w:r w:rsidDel="00000000" w:rsidR="00000000" w:rsidRPr="00000000">
        <w:rPr>
          <w:rFonts w:ascii="Palatino Linotype" w:cs="Palatino Linotype" w:eastAsia="Palatino Linotype" w:hAnsi="Palatino Linotype"/>
          <w:rtl w:val="0"/>
        </w:rPr>
        <w:t xml:space="preserve">, interpuesto por quien dijo ser </w:t>
      </w:r>
      <w:r w:rsidDel="00000000" w:rsidR="00000000" w:rsidRPr="00000000">
        <w:rPr>
          <w:rFonts w:ascii="Palatino Linotype" w:cs="Palatino Linotype" w:eastAsia="Palatino Linotype" w:hAnsi="Palatino Linotype"/>
          <w:b w:val="1"/>
          <w:rtl w:val="0"/>
        </w:rPr>
        <w:t xml:space="preserve">XXXXXXX XXXXXX XXXX </w:t>
      </w:r>
      <w:r w:rsidDel="00000000" w:rsidR="00000000" w:rsidRPr="00000000">
        <w:rPr>
          <w:rFonts w:ascii="Palatino Linotype" w:cs="Palatino Linotype" w:eastAsia="Palatino Linotype" w:hAnsi="Palatino Linotype"/>
          <w:rtl w:val="0"/>
        </w:rPr>
        <w:t xml:space="preserve">a quien</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en lo sucesivo se le denominará como</w:t>
      </w:r>
      <w:r w:rsidDel="00000000" w:rsidR="00000000" w:rsidRPr="00000000">
        <w:rPr>
          <w:rFonts w:ascii="Palatino Linotype" w:cs="Palatino Linotype" w:eastAsia="Palatino Linotype" w:hAnsi="Palatino Linotype"/>
          <w:b w:val="1"/>
          <w:rtl w:val="0"/>
        </w:rPr>
        <w:t xml:space="preserve"> LA PARTE RECURRENTE,</w:t>
      </w:r>
      <w:r w:rsidDel="00000000" w:rsidR="00000000" w:rsidRPr="00000000">
        <w:rPr>
          <w:rFonts w:ascii="Palatino Linotype" w:cs="Palatino Linotype" w:eastAsia="Palatino Linotype" w:hAnsi="Palatino Linotype"/>
          <w:rtl w:val="0"/>
        </w:rPr>
        <w:t xml:space="preserve"> en contra de la respuesta a la solicitud </w:t>
      </w:r>
      <w:r w:rsidDel="00000000" w:rsidR="00000000" w:rsidRPr="00000000">
        <w:rPr>
          <w:rFonts w:ascii="Palatino Linotype" w:cs="Palatino Linotype" w:eastAsia="Palatino Linotype" w:hAnsi="Palatino Linotype"/>
          <w:b w:val="1"/>
          <w:rtl w:val="0"/>
        </w:rPr>
        <w:t xml:space="preserve">00059/GUBERNA/IP/2023</w:t>
      </w:r>
      <w:r w:rsidDel="00000000" w:rsidR="00000000" w:rsidRPr="00000000">
        <w:rPr>
          <w:rFonts w:ascii="Arial" w:cs="Arial" w:eastAsia="Arial" w:hAnsi="Arial"/>
          <w:b w:val="1"/>
          <w:sz w:val="15"/>
          <w:szCs w:val="15"/>
          <w:rtl w:val="0"/>
        </w:rPr>
        <w:t xml:space="preserve"> </w:t>
      </w:r>
      <w:r w:rsidDel="00000000" w:rsidR="00000000" w:rsidRPr="00000000">
        <w:rPr>
          <w:rFonts w:ascii="Palatino Linotype" w:cs="Palatino Linotype" w:eastAsia="Palatino Linotype" w:hAnsi="Palatino Linotype"/>
          <w:rtl w:val="0"/>
        </w:rPr>
        <w:t xml:space="preserve">por parte de la</w:t>
      </w:r>
      <w:r w:rsidDel="00000000" w:rsidR="00000000" w:rsidRPr="00000000">
        <w:rPr>
          <w:rFonts w:ascii="Palatino Linotype" w:cs="Palatino Linotype" w:eastAsia="Palatino Linotype" w:hAnsi="Palatino Linotype"/>
          <w:b w:val="1"/>
          <w:rtl w:val="0"/>
        </w:rPr>
        <w:t xml:space="preserve"> Gubernatura, </w:t>
      </w:r>
      <w:r w:rsidDel="00000000" w:rsidR="00000000" w:rsidRPr="00000000">
        <w:rPr>
          <w:rFonts w:ascii="Palatino Linotype" w:cs="Palatino Linotype" w:eastAsia="Palatino Linotype" w:hAnsi="Palatino Linotype"/>
          <w:rtl w:val="0"/>
        </w:rPr>
        <w:t xml:space="preserve">en lo sucesivo </w:t>
      </w:r>
      <w:r w:rsidDel="00000000" w:rsidR="00000000" w:rsidRPr="00000000">
        <w:rPr>
          <w:rFonts w:ascii="Palatino Linotype" w:cs="Palatino Linotype" w:eastAsia="Palatino Linotype" w:hAnsi="Palatino Linotype"/>
          <w:b w:val="1"/>
          <w:rtl w:val="0"/>
        </w:rPr>
        <w:t xml:space="preserve">EL 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w:t>
      </w:r>
    </w:p>
    <w:p w:rsidR="00000000" w:rsidDel="00000000" w:rsidP="00000000" w:rsidRDefault="00000000" w:rsidRPr="00000000" w14:paraId="0000000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5">
      <w:pPr>
        <w:numPr>
          <w:ilvl w:val="0"/>
          <w:numId w:val="1"/>
        </w:numPr>
        <w:pBdr>
          <w:top w:space="0" w:sz="0" w:val="nil"/>
          <w:left w:space="0" w:sz="0" w:val="nil"/>
          <w:bottom w:space="0" w:sz="0" w:val="nil"/>
          <w:right w:space="0" w:sz="0" w:val="nil"/>
          <w:between w:space="0" w:sz="0" w:val="nil"/>
        </w:pBdr>
        <w:spacing w:line="360" w:lineRule="auto"/>
        <w:ind w:left="1080" w:hanging="72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N T E C E D E N T E S:</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360" w:lineRule="auto"/>
        <w:ind w:left="1080" w:firstLine="0"/>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7">
      <w:pPr>
        <w:spacing w:line="360" w:lineRule="auto"/>
        <w:jc w:val="both"/>
        <w:rPr>
          <w:rFonts w:ascii="Palatino Linotype" w:cs="Palatino Linotype" w:eastAsia="Palatino Linotype" w:hAnsi="Palatino Linotype"/>
        </w:rPr>
      </w:pPr>
      <w:bookmarkStart w:colFirst="0" w:colLast="0" w:name="_heading=h.gjdgxs" w:id="0"/>
      <w:bookmarkEnd w:id="0"/>
      <w:r w:rsidDel="00000000" w:rsidR="00000000" w:rsidRPr="00000000">
        <w:rPr>
          <w:rFonts w:ascii="Palatino Linotype" w:cs="Palatino Linotype" w:eastAsia="Palatino Linotype" w:hAnsi="Palatino Linotype"/>
          <w:b w:val="1"/>
          <w:rtl w:val="0"/>
        </w:rPr>
        <w:t xml:space="preserve">1. Solicitud de acceso a la información.</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catorce de marzo de dos mil veintitrés,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LA PARTE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presentó, a través del Sistema de Acceso a la Información Mexiquense o SAIMEX</w:t>
      </w: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rtl w:val="0"/>
        </w:rPr>
        <w:t xml:space="preserve"> ante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la solicitud de acceso a la información pública</w:t>
      </w:r>
      <w:r w:rsidDel="00000000" w:rsidR="00000000" w:rsidRPr="00000000">
        <w:rPr>
          <w:rFonts w:ascii="Palatino Linotype" w:cs="Palatino Linotype" w:eastAsia="Palatino Linotype" w:hAnsi="Palatino Linotype"/>
          <w:b w:val="1"/>
          <w:rtl w:val="0"/>
        </w:rPr>
        <w:t xml:space="preserve"> 00059/GUBERNA/IP/2023, </w:t>
      </w:r>
      <w:r w:rsidDel="00000000" w:rsidR="00000000" w:rsidRPr="00000000">
        <w:rPr>
          <w:rFonts w:ascii="Palatino Linotype" w:cs="Palatino Linotype" w:eastAsia="Palatino Linotype" w:hAnsi="Palatino Linotype"/>
          <w:rtl w:val="0"/>
        </w:rPr>
        <w:t xml:space="preserve">mediante la cual requirió la información siguiente: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“se anexa archivo con la solicitud de informacion.” (Sic)</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Y conforme a su dicho, remitió el archivo de texto denominado </w:t>
      </w:r>
      <w:r w:rsidDel="00000000" w:rsidR="00000000" w:rsidRPr="00000000">
        <w:rPr>
          <w:rFonts w:ascii="Palatino Linotype" w:cs="Palatino Linotype" w:eastAsia="Palatino Linotype" w:hAnsi="Palatino Linotype"/>
          <w:i w:val="1"/>
          <w:rtl w:val="0"/>
        </w:rPr>
        <w:t xml:space="preserve">ALAMONTILLA, ORILLAL Y PANTANO INFORMACION PUBLICA.docx </w:t>
      </w:r>
      <w:r w:rsidDel="00000000" w:rsidR="00000000" w:rsidRPr="00000000">
        <w:rPr>
          <w:rFonts w:ascii="Palatino Linotype" w:cs="Palatino Linotype" w:eastAsia="Palatino Linotype" w:hAnsi="Palatino Linotype"/>
          <w:rtl w:val="0"/>
        </w:rPr>
        <w:t xml:space="preserve">que contiene la solicitud de información de la persona solicitante, de literalidad siguiente: </w:t>
      </w:r>
    </w:p>
    <w:p w:rsidR="00000000" w:rsidDel="00000000" w:rsidP="00000000" w:rsidRDefault="00000000" w:rsidRPr="00000000" w14:paraId="0000000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“1.- Que indique cual es la situación jurídica del predio conocido como “Alamontilla Orillal y Pantano”, ubicado en Av. Bordo de Xochiaca S/N entre los municipios de Nezahualcóyotl y Chimalhuacán, en el Estado de México, el cual tiene las siguientes medidas y colindancias;</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single"/>
          <w:shd w:fill="auto" w:val="clear"/>
          <w:vertAlign w:val="baseline"/>
          <w:rtl w:val="0"/>
        </w:rPr>
        <w:t xml:space="preserve">Lado Norte</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partiendo del punto Norponiente al Nororiente: en una extensión de 1,822 mts (mil ochocientos veintidós metros) con camino: el </w:t>
      </w:r>
      <w:r w:rsidDel="00000000" w:rsidR="00000000" w:rsidRPr="00000000">
        <w:rPr>
          <w:rFonts w:ascii="Palatino Linotype" w:cs="Palatino Linotype" w:eastAsia="Palatino Linotype" w:hAnsi="Palatino Linotype"/>
          <w:b w:val="0"/>
          <w:i w:val="1"/>
          <w:smallCaps w:val="0"/>
          <w:strike w:val="0"/>
          <w:color w:val="000000"/>
          <w:sz w:val="22"/>
          <w:szCs w:val="22"/>
          <w:u w:val="single"/>
          <w:shd w:fill="auto" w:val="clear"/>
          <w:vertAlign w:val="baseline"/>
          <w:rtl w:val="0"/>
        </w:rPr>
        <w:t xml:space="preserve">Lado Oriente</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partiendo del punto Nororiente hacia el lado Suroriente: tiene una distancia de 658 mts (Seiscientos cincuenta y ocho metros) colinda con propiedad del señor Inés Palmar, el cual corta hacia dentro del mismo predio en punto Suroriente; en una extensión de 800 Mts (ochocientos metros), siguiendo una trayectoria de Norte a Sur por el lado Oriente de 470 mts (Cuatrocientos setenta metros) al </w:t>
      </w:r>
      <w:r w:rsidDel="00000000" w:rsidR="00000000" w:rsidRPr="00000000">
        <w:rPr>
          <w:rFonts w:ascii="Palatino Linotype" w:cs="Palatino Linotype" w:eastAsia="Palatino Linotype" w:hAnsi="Palatino Linotype"/>
          <w:b w:val="0"/>
          <w:i w:val="1"/>
          <w:smallCaps w:val="0"/>
          <w:strike w:val="0"/>
          <w:color w:val="000000"/>
          <w:sz w:val="22"/>
          <w:szCs w:val="22"/>
          <w:u w:val="single"/>
          <w:shd w:fill="auto" w:val="clear"/>
          <w:vertAlign w:val="baseline"/>
          <w:rtl w:val="0"/>
        </w:rPr>
        <w:t xml:space="preserve">Lado Sur</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Partiendo en punto Suroriente en 1,215 (Mil doscientos quince metros) con vías del Ferrocarril y Bordo de Xochiaca), al </w:t>
      </w:r>
      <w:r w:rsidDel="00000000" w:rsidR="00000000" w:rsidRPr="00000000">
        <w:rPr>
          <w:rFonts w:ascii="Palatino Linotype" w:cs="Palatino Linotype" w:eastAsia="Palatino Linotype" w:hAnsi="Palatino Linotype"/>
          <w:b w:val="0"/>
          <w:i w:val="1"/>
          <w:smallCaps w:val="0"/>
          <w:strike w:val="0"/>
          <w:color w:val="000000"/>
          <w:sz w:val="22"/>
          <w:szCs w:val="22"/>
          <w:u w:val="single"/>
          <w:shd w:fill="auto" w:val="clear"/>
          <w:vertAlign w:val="baseline"/>
          <w:rtl w:val="0"/>
        </w:rPr>
        <w:t xml:space="preserve">Lado Poniente</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partiendo en punto Suroriente al Punto Norponiente en 2,100 mts (Dos mil cien metros) colinda con La Victoria o Las Islas.</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Para una mejor identificación, agrego croquis realizado por el Perito Oficial de la entonces Procuraduría General de la República (PGR), Sergio Córdova Ojeda:</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center"/>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Pr>
        <w:drawing>
          <wp:inline distB="0" distT="0" distL="0" distR="0">
            <wp:extent cx="3332562" cy="2755752"/>
            <wp:effectExtent b="0" l="0" r="0" t="0"/>
            <wp:docPr id="30"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3332562" cy="2755752"/>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Teniendo como superficie la de 2,509,359,433 m2</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Predio en el cual se tuvo intervención por parte del Gobierno del Estado de México, según notas periodísticas del Diario Quadratín, en su versión electrónica, consultable en </w:t>
      </w:r>
      <w:hyperlink r:id="rId8">
        <w:r w:rsidDel="00000000" w:rsidR="00000000" w:rsidRPr="00000000">
          <w:rPr>
            <w:rFonts w:ascii="Palatino Linotype" w:cs="Palatino Linotype" w:eastAsia="Palatino Linotype" w:hAnsi="Palatino Linotype"/>
            <w:b w:val="0"/>
            <w:i w:val="1"/>
            <w:smallCaps w:val="0"/>
            <w:strike w:val="0"/>
            <w:color w:val="000000"/>
            <w:sz w:val="22"/>
            <w:szCs w:val="22"/>
            <w:u w:val="single"/>
            <w:shd w:fill="auto" w:val="clear"/>
            <w:vertAlign w:val="baseline"/>
            <w:rtl w:val="0"/>
          </w:rPr>
          <w:t xml:space="preserve">https://edomex.quadratin.com.mx/Desalojan-de-manera-pacifica-habitantes-del-predio-Las-Casitas/</w:t>
        </w:r>
      </w:hyperlink>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Así como Periódico Plana Mayor; </w:t>
      </w:r>
      <w:hyperlink r:id="rId9">
        <w:r w:rsidDel="00000000" w:rsidR="00000000" w:rsidRPr="00000000">
          <w:rPr>
            <w:rFonts w:ascii="Palatino Linotype" w:cs="Palatino Linotype" w:eastAsia="Palatino Linotype" w:hAnsi="Palatino Linotype"/>
            <w:b w:val="0"/>
            <w:i w:val="1"/>
            <w:smallCaps w:val="0"/>
            <w:strike w:val="0"/>
            <w:color w:val="000000"/>
            <w:sz w:val="22"/>
            <w:szCs w:val="22"/>
            <w:u w:val="single"/>
            <w:shd w:fill="auto" w:val="clear"/>
            <w:vertAlign w:val="baseline"/>
            <w:rtl w:val="0"/>
          </w:rPr>
          <w:t xml:space="preserve">https://planamayor.com.mx/desaloja-policia-del-edomex-a-dos-mil-personas-de-predio-de-neza-por-invasion/</w:t>
        </w:r>
      </w:hyperlink>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Periódico La Jornada: </w:t>
      </w:r>
      <w:hyperlink r:id="rId10">
        <w:r w:rsidDel="00000000" w:rsidR="00000000" w:rsidRPr="00000000">
          <w:rPr>
            <w:rFonts w:ascii="Palatino Linotype" w:cs="Palatino Linotype" w:eastAsia="Palatino Linotype" w:hAnsi="Palatino Linotype"/>
            <w:b w:val="0"/>
            <w:i w:val="1"/>
            <w:smallCaps w:val="0"/>
            <w:strike w:val="0"/>
            <w:color w:val="000000"/>
            <w:sz w:val="22"/>
            <w:szCs w:val="22"/>
            <w:u w:val="single"/>
            <w:shd w:fill="auto" w:val="clear"/>
            <w:vertAlign w:val="baseline"/>
            <w:rtl w:val="0"/>
          </w:rPr>
          <w:t xml:space="preserve">https://www.jornada.com.mx/2014/08/03/estados/026n1est</w:t>
        </w:r>
      </w:hyperlink>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2.-  Que proporcione las medidas y colindancias, del predio a que se hace referencia en el punto anterior, identificado en la nota como “Las casitas”, donde fueron desalojados aproximadamente 300 casas.</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3.- Que indique las acciones legales que emprendió el Gobierno del Estado de México, o si ordeno o delego dicha función, a algún funcionario o dependencia de gobierno, derivado del desalojo del predio conocido como “las casitas” donde se llevo a cabo el desalojo de 300 personas aproximadamente.</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4.- Que indique si el Gobierno del Estado de México, inicio algún proceso o denuncia en contra del C. Manuel Solís Berber, quien fue el presunto fraccionador del predio “Las Casitas”.</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5.- Que la secretaria de Seguridad Ciudadana del Estado de México, indique el número de elementos policiacos que participaron en dicho operativo y si eran Municipales, Estatales o Ministeriales y cuantos elementos participaron de cada corporación, en su caso.</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6.- Que indique cual fue el motivo que origino su intervención y desalojo de las personas del predio conocido como “Las casitas”.</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7.- Que mencione si conoce cual es el nombre del propietario del predio desalojado, denominado “Alamontilla, Orillal y Pantano”, y como sabe lo anterior.</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8.- Que diga si alguna dependencia del Estado de México, a iniciado algún procedimiento, sobre el predio denominado “Alamontilla, Orillal y Pantano”, que tipo de procedimiento es, y el numero de expediente que se haya formado por tales motivos.</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9.- Que diga si ha notificado de algún procedimiento que se haya ejecutado sobre el predio denominado “Alamontilla, Orillal y Pantano”, a persona física o moral alguna, y cuando ocurrió ello.</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10.- Que refiera cuantos metros de predio fueron cercados por el Gobierno del Estado de México, una vez desalojados los ocupantes del predio señalado en el punto 1.</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11.- Que indique si ha transferido la posesión a persona física o moral, o alguna autoridad y bajo que título, una vez desalojados los ocupantes del predio señalado en el punto 1.</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12.- Que indique si existe algún procedimiento de expropiación sobre dicho predio, y cuando fue publicado en la Gaceta de Gobierno, proporcionando copia de la misma.</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13.- Cuando fue la última actuación de parte del Gobierno del Estado de México, por si o por cualquiera de las dependencias que lo conforman, en el predio señalado en el punto 1.</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14.- Que indique si, después del operativo de desalojo a que se hace referencia en el punto numero 1, tomo la posesión del mismo y en cuantos metros cuadrados</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15.- Si coloco sellos de clausura derivado del operativo señalado en el punto 1, sobre el predio que ocupaba la zona denominada “Las casitas”.</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16.- Que diga que fue lo que encontró en el operativo señalado en el punto 1.</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17.- cual era el uso que tenia el predio señalado en el punto numero 1, al momento del operativo de desalojo.</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18.- Que diga si alguna persona le ha presentado algún título de propiedad o se ha ostentado como propietario del inmueble conocido como “Alamontilla Orillal y Pantano”, ubicado en Av. Bordo de Xochiaca S/N entre los municipios de Nezahualcóyotl y Chimalhuacán, en el Estado de México, el cual tiene las siguientes medidas y colindancias;</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single"/>
          <w:shd w:fill="auto" w:val="clear"/>
          <w:vertAlign w:val="baseline"/>
          <w:rtl w:val="0"/>
        </w:rPr>
        <w:t xml:space="preserve">Lado Norte</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partiendo del punto Norponiente al Nororiente: en una extensión de 1,822 mts (mil ochocientos veintidós metros) con camino: el </w:t>
      </w:r>
      <w:r w:rsidDel="00000000" w:rsidR="00000000" w:rsidRPr="00000000">
        <w:rPr>
          <w:rFonts w:ascii="Palatino Linotype" w:cs="Palatino Linotype" w:eastAsia="Palatino Linotype" w:hAnsi="Palatino Linotype"/>
          <w:b w:val="0"/>
          <w:i w:val="1"/>
          <w:smallCaps w:val="0"/>
          <w:strike w:val="0"/>
          <w:color w:val="000000"/>
          <w:sz w:val="22"/>
          <w:szCs w:val="22"/>
          <w:u w:val="single"/>
          <w:shd w:fill="auto" w:val="clear"/>
          <w:vertAlign w:val="baseline"/>
          <w:rtl w:val="0"/>
        </w:rPr>
        <w:t xml:space="preserve">Lado Oriente</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partiendo del punto Nororiente hacia el lado Suroriente: tiene una distancia de 658 mts (Seiscientos cincuenta y ocho metros) colinda con propiedad del señor Inés Palmar, el cual corta hacia dentro del mismo predio en punto Suroriente; en una extensión de 800 Mts (ochocientos metros), siguiendo una trayectoria de Norte a Sur por el lado Oriente de 470 mts (Cuatrocientos setenta metros) al </w:t>
      </w:r>
      <w:r w:rsidDel="00000000" w:rsidR="00000000" w:rsidRPr="00000000">
        <w:rPr>
          <w:rFonts w:ascii="Palatino Linotype" w:cs="Palatino Linotype" w:eastAsia="Palatino Linotype" w:hAnsi="Palatino Linotype"/>
          <w:b w:val="0"/>
          <w:i w:val="1"/>
          <w:smallCaps w:val="0"/>
          <w:strike w:val="0"/>
          <w:color w:val="000000"/>
          <w:sz w:val="22"/>
          <w:szCs w:val="22"/>
          <w:u w:val="single"/>
          <w:shd w:fill="auto" w:val="clear"/>
          <w:vertAlign w:val="baseline"/>
          <w:rtl w:val="0"/>
        </w:rPr>
        <w:t xml:space="preserve">Lado Sur</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Partiendo en punto Suroriente en 1,215 (Mil doscientos quince metros) con vías del Ferrocarril y Bordo de Xochiaca), al </w:t>
      </w:r>
      <w:r w:rsidDel="00000000" w:rsidR="00000000" w:rsidRPr="00000000">
        <w:rPr>
          <w:rFonts w:ascii="Palatino Linotype" w:cs="Palatino Linotype" w:eastAsia="Palatino Linotype" w:hAnsi="Palatino Linotype"/>
          <w:b w:val="0"/>
          <w:i w:val="1"/>
          <w:smallCaps w:val="0"/>
          <w:strike w:val="0"/>
          <w:color w:val="000000"/>
          <w:sz w:val="22"/>
          <w:szCs w:val="22"/>
          <w:u w:val="single"/>
          <w:shd w:fill="auto" w:val="clear"/>
          <w:vertAlign w:val="baseline"/>
          <w:rtl w:val="0"/>
        </w:rPr>
        <w:t xml:space="preserve">Lado Poniente</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partiendo en punto Suroriente al Punto Norponiente en 2,100 mts (Dos mil cien metros) colinda con La Victoria o Las Islas.</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19.- que diga cuales son las funciones de la PROPAEM.</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20.- que diga que tipo de intervención ha tenido la PROPAEM en el predio conocido como “Alamontilla Orillal y Pantano”, ubicado en Av. Bordo de Xochiaca S/N entre los municipios de Nezahualcóyotl y Chimalhuacán, en el Estado de México, el cual tiene las siguientes medidas y colindancias;</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single"/>
          <w:shd w:fill="auto" w:val="clear"/>
          <w:vertAlign w:val="baseline"/>
          <w:rtl w:val="0"/>
        </w:rPr>
        <w:t xml:space="preserve">Lado Norte</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partiendo del punto Norponiente al Nororiente: en una extensión de 1,822 mts (mil ochocientos veintidós metros) con camino: el </w:t>
      </w:r>
      <w:r w:rsidDel="00000000" w:rsidR="00000000" w:rsidRPr="00000000">
        <w:rPr>
          <w:rFonts w:ascii="Palatino Linotype" w:cs="Palatino Linotype" w:eastAsia="Palatino Linotype" w:hAnsi="Palatino Linotype"/>
          <w:b w:val="0"/>
          <w:i w:val="1"/>
          <w:smallCaps w:val="0"/>
          <w:strike w:val="0"/>
          <w:color w:val="000000"/>
          <w:sz w:val="22"/>
          <w:szCs w:val="22"/>
          <w:u w:val="single"/>
          <w:shd w:fill="auto" w:val="clear"/>
          <w:vertAlign w:val="baseline"/>
          <w:rtl w:val="0"/>
        </w:rPr>
        <w:t xml:space="preserve">Lado Oriente</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partiendo del punto Nororiente hacia el lado Suroriente: tiene una distancia de 658 mts (Seiscientos cincuenta y ocho metros) colinda con propiedad del señor Inés Palmar, el cual corta hacia dentro del mismo predio en punto Suroriente; en una extensión de 800 Mts (ochocientos metros), siguiendo una trayectoria de Norte a Sur por el lado Oriente de 470 mts (Cuatrocientos setenta metros) al </w:t>
      </w:r>
      <w:r w:rsidDel="00000000" w:rsidR="00000000" w:rsidRPr="00000000">
        <w:rPr>
          <w:rFonts w:ascii="Palatino Linotype" w:cs="Palatino Linotype" w:eastAsia="Palatino Linotype" w:hAnsi="Palatino Linotype"/>
          <w:b w:val="0"/>
          <w:i w:val="1"/>
          <w:smallCaps w:val="0"/>
          <w:strike w:val="0"/>
          <w:color w:val="000000"/>
          <w:sz w:val="22"/>
          <w:szCs w:val="22"/>
          <w:u w:val="single"/>
          <w:shd w:fill="auto" w:val="clear"/>
          <w:vertAlign w:val="baseline"/>
          <w:rtl w:val="0"/>
        </w:rPr>
        <w:t xml:space="preserve">Lado Sur</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Partiendo en punto Suroriente en 1,215 (Mil doscientos quince metros) con vías del Ferrocarril y Bordo de Xochiaca), al </w:t>
      </w:r>
      <w:r w:rsidDel="00000000" w:rsidR="00000000" w:rsidRPr="00000000">
        <w:rPr>
          <w:rFonts w:ascii="Palatino Linotype" w:cs="Palatino Linotype" w:eastAsia="Palatino Linotype" w:hAnsi="Palatino Linotype"/>
          <w:b w:val="0"/>
          <w:i w:val="1"/>
          <w:smallCaps w:val="0"/>
          <w:strike w:val="0"/>
          <w:color w:val="000000"/>
          <w:sz w:val="22"/>
          <w:szCs w:val="22"/>
          <w:u w:val="single"/>
          <w:shd w:fill="auto" w:val="clear"/>
          <w:vertAlign w:val="baseline"/>
          <w:rtl w:val="0"/>
        </w:rPr>
        <w:t xml:space="preserve">Lado Poniente</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partiendo en punto Suroriente al Punto Norponiente en 2,100 mts (Dos mil cien metros) colinda con La Victoria o Las Islas.</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21.- que diga si la Procuraduría (hoy Fiscalía) General del Estado de México, ha iniciado alguna Averiguación Previa o Carpeta de Investigación, derivada de la intervención del Gobierno del Estado de México, derivada o posterior al desalojo de la zona conocida como “Las casitas” a que hace referencia el punto 1.” (Sic) </w:t>
      </w:r>
    </w:p>
    <w:p w:rsidR="00000000" w:rsidDel="00000000" w:rsidP="00000000" w:rsidRDefault="00000000" w:rsidRPr="00000000" w14:paraId="0000002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de Entrega:</w:t>
      </w:r>
      <w:r w:rsidDel="00000000" w:rsidR="00000000" w:rsidRPr="00000000">
        <w:rPr>
          <w:rFonts w:ascii="Palatino Linotype" w:cs="Palatino Linotype" w:eastAsia="Palatino Linotype" w:hAnsi="Palatino Linotype"/>
          <w:rtl w:val="0"/>
        </w:rPr>
        <w:t xml:space="preserve"> A través del SAIMEX. </w:t>
      </w:r>
    </w:p>
    <w:p w:rsidR="00000000" w:rsidDel="00000000" w:rsidP="00000000" w:rsidRDefault="00000000" w:rsidRPr="00000000" w14:paraId="0000002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2. Incompetencia del Sujeto Obligado.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diecisiete de marzo de dos mil veintitrés, EL SUJETO OBLIGADO </w:t>
      </w:r>
      <w:r w:rsidDel="00000000" w:rsidR="00000000" w:rsidRPr="00000000">
        <w:rPr>
          <w:rFonts w:ascii="Palatino Linotype" w:cs="Palatino Linotype" w:eastAsia="Palatino Linotype" w:hAnsi="Palatino Linotype"/>
          <w:rtl w:val="0"/>
        </w:rPr>
        <w:t xml:space="preserve">mediante el oficio </w:t>
      </w:r>
      <w:r w:rsidDel="00000000" w:rsidR="00000000" w:rsidRPr="00000000">
        <w:rPr>
          <w:rFonts w:ascii="Palatino Linotype" w:cs="Palatino Linotype" w:eastAsia="Palatino Linotype" w:hAnsi="Palatino Linotype"/>
          <w:i w:val="1"/>
          <w:rtl w:val="0"/>
        </w:rPr>
        <w:t xml:space="preserve">UTG/00072/2023</w:t>
      </w:r>
      <w:r w:rsidDel="00000000" w:rsidR="00000000" w:rsidRPr="00000000">
        <w:rPr>
          <w:rFonts w:ascii="Palatino Linotype" w:cs="Palatino Linotype" w:eastAsia="Palatino Linotype" w:hAnsi="Palatino Linotype"/>
          <w:rtl w:val="0"/>
        </w:rPr>
        <w:t xml:space="preserve"> de fecha diecisiete de marzo de dos mil veintitrés, signado por la Unidad de Transparencia de la Gubernatura del Estado de México informó a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que con fundamento en el artículo 167 de la Ley de Transparencia y Acceso a la Información Pública del Estado de México y Municipios es incompetente para proporcionar la información requerida, y en consecuencia sugirió dirigir la solicitud ante los Sujetos Obligados que pudieran ser competentes como la Secretaría General de Gobierno, la Secretaría de Seguridad, la Secretaría de Justicia y Derechos Humanos y la Fiscalía General de Justicia, todas dependencias del Estado de México. </w:t>
      </w:r>
    </w:p>
    <w:p w:rsidR="00000000" w:rsidDel="00000000" w:rsidP="00000000" w:rsidRDefault="00000000" w:rsidRPr="00000000" w14:paraId="00000030">
      <w:pPr>
        <w:spacing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1">
      <w:pPr>
        <w:spacing w:line="360" w:lineRule="auto"/>
        <w:jc w:val="both"/>
        <w:rPr>
          <w:rFonts w:ascii="Palatino Linotype" w:cs="Palatino Linotype" w:eastAsia="Palatino Linotype" w:hAnsi="Palatino Linotype"/>
        </w:rPr>
      </w:pPr>
      <w:bookmarkStart w:colFirst="0" w:colLast="0" w:name="_heading=h.2et92p0" w:id="1"/>
      <w:bookmarkEnd w:id="1"/>
      <w:r w:rsidDel="00000000" w:rsidR="00000000" w:rsidRPr="00000000">
        <w:rPr>
          <w:rFonts w:ascii="Palatino Linotype" w:cs="Palatino Linotype" w:eastAsia="Palatino Linotype" w:hAnsi="Palatino Linotype"/>
          <w:b w:val="1"/>
          <w:sz w:val="22"/>
          <w:szCs w:val="22"/>
          <w:rtl w:val="0"/>
        </w:rPr>
        <w:t xml:space="preserve">3.</w:t>
      </w:r>
      <w:r w:rsidDel="00000000" w:rsidR="00000000" w:rsidRPr="00000000">
        <w:rPr>
          <w:rFonts w:ascii="Palatino Linotype" w:cs="Palatino Linotype" w:eastAsia="Palatino Linotype" w:hAnsi="Palatino Linotype"/>
          <w:b w:val="1"/>
          <w:rtl w:val="0"/>
        </w:rPr>
        <w:t xml:space="preserve"> Interposición del recurso de revisión. </w:t>
      </w:r>
      <w:r w:rsidDel="00000000" w:rsidR="00000000" w:rsidRPr="00000000">
        <w:rPr>
          <w:rFonts w:ascii="Palatino Linotype" w:cs="Palatino Linotype" w:eastAsia="Palatino Linotype" w:hAnsi="Palatino Linotype"/>
          <w:rtl w:val="0"/>
        </w:rPr>
        <w:t xml:space="preserve">Inconforme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con la respuestadel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el día</w:t>
      </w:r>
      <w:r w:rsidDel="00000000" w:rsidR="00000000" w:rsidRPr="00000000">
        <w:rPr>
          <w:rFonts w:ascii="Palatino Linotype" w:cs="Palatino Linotype" w:eastAsia="Palatino Linotype" w:hAnsi="Palatino Linotype"/>
          <w:b w:val="1"/>
          <w:rtl w:val="0"/>
        </w:rPr>
        <w:t xml:space="preserve"> veintisiete de marzo de dos mil veintitrés,</w:t>
      </w:r>
      <w:r w:rsidDel="00000000" w:rsidR="00000000" w:rsidRPr="00000000">
        <w:rPr>
          <w:rFonts w:ascii="Palatino Linotype" w:cs="Palatino Linotype" w:eastAsia="Palatino Linotype" w:hAnsi="Palatino Linotype"/>
          <w:rtl w:val="0"/>
        </w:rPr>
        <w:t xml:space="preserve"> interpuso el recurso de revisión a través del SAIMEX,</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en donde se manifestó de la siguiente manera:</w:t>
      </w:r>
    </w:p>
    <w:p w:rsidR="00000000" w:rsidDel="00000000" w:rsidP="00000000" w:rsidRDefault="00000000" w:rsidRPr="00000000" w14:paraId="0000003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4">
      <w:pPr>
        <w:tabs>
          <w:tab w:val="left" w:leader="none" w:pos="2745"/>
        </w:tabs>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 </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“RESPUESTA OTORGADA A LA INFORMACION SOLICITADA” (Sic)</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spacing w:line="360" w:lineRule="auto"/>
        <w:jc w:val="both"/>
        <w:rPr>
          <w:rFonts w:ascii="Palatino Linotype" w:cs="Palatino Linotype" w:eastAsia="Palatino Linotype" w:hAnsi="Palatino Linotype"/>
        </w:rPr>
      </w:pPr>
      <w:bookmarkStart w:colFirst="0" w:colLast="0" w:name="_heading=h.30j0zll" w:id="2"/>
      <w:bookmarkEnd w:id="2"/>
      <w:r w:rsidDel="00000000" w:rsidR="00000000" w:rsidRPr="00000000">
        <w:rPr>
          <w:rFonts w:ascii="Palatino Linotype" w:cs="Palatino Linotype" w:eastAsia="Palatino Linotype" w:hAnsi="Palatino Linotype"/>
          <w:b w:val="1"/>
          <w:rtl w:val="0"/>
        </w:rPr>
        <w:t xml:space="preserve">Razones o motivos de inconformidad</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“SE ADJUNTA ARCHIVO ANEXO” (Sic)</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Y adjuntó a la interposición de este medio de impugnación el siguiente archivo </w:t>
      </w:r>
      <w:r w:rsidDel="00000000" w:rsidR="00000000" w:rsidRPr="00000000">
        <w:rPr>
          <w:rFonts w:ascii="Palatino Linotype" w:cs="Palatino Linotype" w:eastAsia="Palatino Linotype" w:hAnsi="Palatino Linotype"/>
          <w:i w:val="1"/>
          <w:rtl w:val="0"/>
        </w:rPr>
        <w:t xml:space="preserve">RECURSO REVISION ALAMONTITLA.pdf </w:t>
      </w:r>
      <w:r w:rsidDel="00000000" w:rsidR="00000000" w:rsidRPr="00000000">
        <w:rPr>
          <w:rFonts w:ascii="Palatino Linotype" w:cs="Palatino Linotype" w:eastAsia="Palatino Linotype" w:hAnsi="Palatino Linotype"/>
          <w:rtl w:val="0"/>
        </w:rPr>
        <w:t xml:space="preserve">que contiene lo siguiente: </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“INSTITUTO DE TRANSPARENCIA, ACCESO A LA INFORMACIÓN PUBLICA Y PROTECCIÓN DE DATOS PERSONALES DEL ESTADO DE MÉXICO Y MUNICIPIOS.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Que por medio del presente escrito, con fundamento legal en los artículos, 1, 8, 14, 16, 17, 115, 122, 123, de la Constitución Política Federal, 124 fracción IV, de Ley Orgánica Municipal del Estado de México así como 2 fracciones II, IV, VII, 3 fracciones XXII, XXXIV, XLII, 4, 7, 8 párrafo segundo, 11, 19 párrafo primero, 23 fracción IV, 48, 52, 55, 77, 78, 86 párrafo segundo, 91, 92 fracción XXIX, inciso a) numerales 2 y 3, b) numerales 1), 3), 5), XXXII, 104, 150, 173, 176, 179, 222 fracciones I, III, VII, X, XVI, XVIII, XIX, y demás relativos y aplicables de la Ley de Transparencia y Acceso a la Información Pública del Estado de México y Municipios, vengo a interponer en tiempo y forma RECURSO DE REVISIÓN, en contra de la respuesta otorgada por parte del GOBIERNO DEL ESTADO DE MÉXICO, a la contestación con numero de Número de Folio de la Solicitud 000059/GUBERNA/IP/2023, contestación dado al suscrito con fecha 13 de septiembre del presente año (2022), y que el mismo medio de impugnación tiene su origen y sustento en los siguientes: </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HECHOS: </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1.- Señalo de manera concreta, que la respuesta por parte del sujeto obligado, NO CUMPLE con los principios EN MATERIA DE TRANSPARENCIA, ya que la misma, es incompleta, no se encuentra debidamente fundada y motivada, en razón a que si bien es cierto, contiene manifestaciones y menciones a diferentes disposiciones legales, los mismos, no son exactamente aplicables al caso en concreto, no puede ser desconocido por el sujeto obligado, con lo cual se demuestra EL DOLO Y LA MALA FE, con la cual se está conduciendo, máxime que se trata de información pública de oficio, y que debe constar en el portal electrónico de cualquier manera, no siendo óbice el que no se proporcione la temporalidad, ya que es obvio que deberán proporcionar la información del Periodo de la actual administración, pues el nombre y datos de los funcionarios de los cuales se solicitó la información, son públicos, y que no se está cumpliendo con las obligaciones previstas a su cargo, en la Ley Transparencia y Acceso a la Información Pública del Estado de México y Municipios.</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2.- Otra cuestión que no debe pasar por alto este H. Instituto, es que, de conformidad con lo que señalan las disposiciones establecidas en el párrafo segundo del presente escrito, así como de manera expresa lo indica el Reglamento de Mercados de Chimalhuacán, en su artículo 1, que a la letra precisa; </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“ARTÍCULO 1.- El presente reglamento es de orden público e interés general, siendo de observancia obligatoria para todas aquellas personas que realicen una actividad comercial o de prestación de servicios dentro de un mercado público en el Municipio de Chimalhuacán, Estado de México, y tiene por objeto regular la prestación del servicio público de mercados.” </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Por su parte el sujeto obligado, indica que no es competente para conocer y responder la solicitud de información pública, pues señala que las atribuciones y competencias de esta dependencia no son generar información sobre el particular, ya que dice; “es para proporcionar Información Publica de Oficio contenida en los documentos que los sujetos obligados generen en el ejercicio de sus funciones y atribuciones,” lo anterior es impreciso e incorrecto, tomando en cuenta lo que señala la Ley Orgánica de la Administración Publica al respecto: </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Artículo 2.- El ejercicio del Poder Ejecutivo corresponde al Gobernador del Estado, quien tendrá las atribuciones, funciones y obligaciones que le señalen: la Constitución Política de los Estados Unidos Mexicanos, la Constitución Política del Estado de México, la presente Ley y las demás disposiciones jurídicas relativas vigentes en el Estado. El Sector paraestatal, se regirá por la presente Ley y demás disposiciones que le resulten aplicables. </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Artículo 3.- Para el despacho de los asuntos que competan al Poder Ejecutivo, el Gobernador del Estado se auxiliará de las dependencias, organismos y entidades que señalen la Constitución Política del Estado, la presente Ley, el presupuesto de egresos y las demás disposiciones jurídicas vigentes en el Estado. </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Artículo 6.- El Gobernador del Estado designará las dependencias del Ejecutivo Estatal que deberán coordinarse, tanto con las dependencias y entidades de la Administración Pública Federal, como con las administraciones municipales. </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Con lo anterior, no queda duda alguna, que todas las acciones Gubernamentales, son tomadas por el Titular del Poder Ejecutivo Local, y es quien autoriza, ordena, instruye su ejecución a las diversas dependencias a su cargo para la ejecución de las acciones ordenadas.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Es por ello que no puede alegar desconocimiento o incompetencia, ya que en todo caso y en base al principio de justicia pronta y expedita, es que debió canalizar dicha solicitud a las dependencias BAJO SU MANDO, ya que la incompetencia, se origina únicamente cuando se refiere a otra autoridad AUTÓNOMA Y DIFERENTE del sujeto obligado, sobre la cual no tiene coerción o mandato, y que entonces si se vería impedido para requerirles la entrega de la información solicitada, en ese tenor, no se dan los supuestos señalados en el articulo 167 de la ley de la materia.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Lo anterior se sostiene, ya que el sujeto obligado, debe demostrar que efectivamente, no le corresponde ninguna de las facultades que alega no contar, ya que entonces no se estaría hablando de una delegación de funciones, si no que estaríamos ante sujetos autónomos (de los que hace referencia en su contestación) que no dependen ni reciben ordenes o se les delega atribuciones por parte del Gobierno Estatal, por lo que la respuesta que proporciona, en si misma es incongruente;</w:t>
        <w:br w:type="textWrapping"/>
        <w:t xml:space="preserve">Registro digital: 2015181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Instancia: Tribunales Colegiados de Circuito </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Décima Época </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Materias(s): Común </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Tesis: XVI.1o.A. J/38 (10a.) </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Fuente: Gaceta del Semanario Judicial de la Federación. Libro 46, Septiembre de 2017, Tomo III, página 1738 </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Tipo: Jurisprudencia </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DERECHO DE PETICIÓN. EL EFECTO DE LA CONCESIÓN DEL AMPARO EN UN JUICIO EN EL QUE SE EXAMINÓ SU VIOLACIÓN, NO PUEDE QUEDAR EN LA SIMPLE EXIGENCIA DE UNA RESPUESTA, SINO QUE REQUIERE QUE ÉSTA SEA CONGRUENTE, COMPLETA, RÁPIDA Y, SOBRE TODO, FUNDADA Y MOTIVADA (LEGISLACIÓN VIGENTE A PARTIR DEL 3 DE ABRIL DE 2013).</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El derecho de petición, que es una prerrogativa gestada y promovida en el seno del Estado democrático -en el cual es concebible la posibilidad de participación activa de las personas en la vida pública-, se respeta sólo si la autoridad proporciona en su respuesta a la solicitud del particular la suficiente información para que éste pueda conocer plenamente su sentido y alcance, así como para manifestar su conformidad o inconformidad con ella y, en su caso, impugnarla. Por ende, si la información no existe o es insuficiente, el derecho de petición se quebranta, porque de nada sirve al particular que su planteamiento sea contestado, aun con pulcritud lógica, es decir, respondiendo con la debida congruencia formal a lo solicitado, pero sin proporcionarle la información que le permita conocer cabalmente el acto, decisión o resolución de la autoridad. Lo anterior, en virtud de que la congruencia formal de la respuesta a una petición no es suficiente para ser acorde con el actual sistema jurídico mexicano, porque no satisface las exigencias previstas en el artículo 8o., en relación con el numeral 1o., en sus primeros tres párrafos, ambos de la Constitución Política de los Estados Unidos Mexicanos, que manda el respeto del ejercicio del derecho de petición, siempre que ésta se formule por escrito, de manera pacífica, respetuosa y conforme al principio de progresividad, que evoca la necesidad de avance en la defensa de los derechos humanos en general. Por otra parte, la entrada en vigor de la Ley de Amparo, el 3 de abril de 2013, en aras de una justicia pronta y completa, tratándose de este derecho, pretende evitar prácticas dilatorias, como son la omisión de respuesta, lo incongruente, falso, equívoco o carente de fundamentos y motivos de ésta o su incorrección en cuanto al fondo, para lo cual proporciona herramientas que efectivizan el respeto a los derechos humanos a la seguridad jurídica y a la tutela judicial efectiva, para hacer posible que esos vicios se reparen en un mismo juicio; tal es el caso de la oportunidad de ampliar la demanda a que se refiere el numeral 111 del citado ordenamiento y de la exigencia para la responsable, tratándose de actos materialmente administrativos, de complementar en su informe justificado la falta o insuficiencia de fundamentación y motivación del acto reclamado cuando se aduzca en la demanda, contenida en el artículo 117, último párrafo, de la propia ley. Por tanto, el efecto de la concesión del amparo en un juicio en el que se examinó la transgresión al artículo 8o. constitucional no puede quedar en la simple exigencia de respuesta, sino que debe buscar que ésta sea congruente, completa, rápida y, sobre todo, fundada y motivada; de otro modo, no obstante el nuevo sistema jurídico, el juzgador obligaría al gobernado a una nueva instancia para obtener una solución de fondo, con el consiguiente retraso en la satisfacción de la reparación del derecho violado. </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PRIMER TRIBUNAL COLEGIADO EN MATERIA ADMINISTRATIVA DEL DÉCIMO SEXTO CIRCUITO.</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Por su parte la Constitución Política del Estado Libre y Soberano del Estado de México, contempla lo siguiente: </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CAPITULO TERCERO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Del Poder Ejecutivo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SECCIÓN PRIMERA Del Gobernador del Estado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Artículo 65.- El Poder Ejecutivo del Estado se deposita en un solo individuo que se denomina Gobernador del Estado de México. </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Artículo 66.- La elección de Gobernador o Gobernadora del Estado de México será mediante sufragio universal, libre, secreto y directo. Se preservará el principio de paridad de género y la alternancia en la postulación que realicen los partidos políticos. </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Artículo 67.- El Gobernador del Estado durará en su encargo seis años. Quien haya sido electo popularmente, nunca podrá serlo para otro período constitucional ni designado para cubrir ausencias absolutas o temporales del Ejecutivo. </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SECCIÓN SEGUNDA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De las Facultades y Obligaciones de la Gobernadora o del Gobernador del Estado </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Artículo 77.- Son facultades y obligaciones de la Gobernadora o del Gobernador del Estado: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 Cumplir y hacer cumplir la Constitución Federal, las leyes del Congreso de la Unión y los Tratados Internacionales en materia de derechos fundamentales de los que el Estado Mexicano sea parte; </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II. Cuidar el cumplimiento de la presente Constitución y de las leyes, reglamentos, acuerdos y demás disposiciones que de ella emanen, expidiendo al efecto las órdenes correspondientes;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III. Promulgar y publicar las leyes, decretos o acuerdos que expida la Legislatura del Estado, proveyendo en la esfera administrativa a su exacta observancia;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IV. Expedir los reglamentos necesarios para la ejecución y cumplimiento de las leyes y decretos expedidos por la Legislatura.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V. Presentar ante la Legislatura del Estado iniciativas de ley o decreto; </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VI. Planear y conducir el desarrollo integral del Estado; formular, aprobar, desarrollar, ejecutar, controlar y evaluar el Plan Estatal de Desarrollo, planes sectoriales, metropolitanos y regionales, y los programas que de éstos se deriven. En los procesos de planeación metropolitana y regional deberá consultarse a los ayuntamientos; </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VII. Convocar a la Legislatura a sesiones extraordinarias por conducto de la Diputación Permanente, expresando el objeto de ellas; </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VIII. Ejercitar todos los derechos que asigna a la Nación el artículo 27 de la Constitución Federal, siempre que por el texto mismo de ese artículo o por las disposiciones federales que de él se deriven no deban considerarse como reservados al Gobierno Federal o concedidos a los Cuerpos Municipales; </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IX. Conservar el orden público en todo el territorio del Estado; mandar personalmente las fuerzas de seguridad pública del Estado y coordinarse en esta materia con la Federación, otras entidades y los municipios en términos de ley;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 Cuidar de la instrucción de la Guardia Nacional en el Estado, conforme a las leyes y reglamentos federales y mandarla como jefe; </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XI. Formular observaciones, dentro de los treinta días naturales siguientes a su recepción, a las leyes o decretos aprobados por la Legislatura, en términos de lo dispuesto por el artículo 59 de esta Constitución. </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XII. Nombrar a las y los Magistrados del Tribunal de Justicia Administrativa del Estado de México, sometiendo los nombramientos a la aprobación de la Legislatura o de la Diputación Permanente, en su caso. En las designaciones respectivas, se favorecerá el principio de igualdad y equidad de género; </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XIII. Aceptar las renuncias de las Magistradas y los Magistrados del Tribunal de Justicia Administrativa del Estado de México, previo sometimiento a la aprobación de la Legislatura o de la Diputación Permanente, en su caso, así como acordar sus licencias cuando éstas excedan de tres meses, sometiéndolas a la aprobación de la Legislatura del Estado o la Diputación permanente en su caso; </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XIV. Nombrar y remover libremente a las personas servidoras públicas del Estado cuyo nombramiento o remoción no estén determinados en otra forma por esta Constitución y por las leyes. Los nombramientos que realice favorecerán el principio de igualdad y equidad de género;</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XV. Solicitar a la Legislatura Local, o en su caso, a la Diputación Permanente, la destitución por faltas graves, de las y los Magistrados del Tribunal de Justicia Administrativa del Estado de México. </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XVI. Hacer que las sentencias ejecutoriadas dictadas por los tribunales en materia penal sean debidamente ejecutadas; </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XVII. Conceder el indulto necesario y por gracia, con arreglo a la ley de la materia. </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XVIII. Rendir a la Legislatura del Estado, a través de la entrega, por sí mismo o por medio de un representante, de un documento impreso o de un archivo en medio magnético o electrónico, dentro del mes de septiembre de cada año, previo aviso a la Legislatura, por lo menos, con ocho días naturales de anticipación, el informe acerca del estado que guarde la administración pública, con excepción del último año del período constitucional de la Gobernadora o del Gobernador del Estado que deberá ser en los primeros quince días del mes de septiembre, en cuyo caso, el aviso deberá darse, por lo menos, con cinco días naturales de anticipación; </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XIX. Enviar cada año a la Legislatura, a más tardar el 21 de noviembre, los proyectos de ley de ingresos y presupuesto de egresos del Gobierno del Estado, que deberán regir en el año fiscal inmediato siguiente, o hasta el 20 de diciembre, cuando inicie su periodo Constitucional el Ejecutivo Federal, y presentar la cuenta pública del año inmediato anterior, a más tardar el 30 de abril del año siguiente. Dicho Presupuesto deberá incluir los tabuladores desglosados de las remuneraciones que se propone perciban sus servidores públicos conforme a lo previsto en el artículo 147 de esta Constitución. </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XX. Enviar cada año a la Legislatura a más tardar el 21 de noviembre o el 20 de diciembre, cuando inicie el periodo constitucional el Ejecutivo Federal, el proyecto de Ley de Ingresos de los Municipios, que considerará las propuestas que formulen los Ayuntamientos y que regirá en el año fiscal inmediato siguiente; </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XXI. Cuidar la recaudación y buena administración de la Hacienda Pública del Estado;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XXII. Informar a la Legislatura por escrito o verbalmente, por conducto del titular de la dependencia a que corresponda el asunto, sobre cualquier ramo de la administración, cuando la Legislatura lo solicite; </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XXIII. Convenir con la Federación la asunción del ejercicio de funciones, la ejecución y operación de obras y la prestación de servicios públicos cuando el desarrollo económico y social lo haga necesario; </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XXIV. Fomentar la organización de instituciones para difundir o inculcar entre los habitantes de Estado, hábitos, costumbres o actividades que les permitan mejorar su nivel de vida; </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XXV. Nombrar y remover a la o el titular del Centro de Conciliación Laboral de conformidad con la legislación aplicable; </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XXVI. Prestar apoyo a los poderes Legislativo y Judicial y a los ayuntamientos, cuando le sea solicitado, para el ejercicio de sus funciones; </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XXVII. Derogada. </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XXVIII. Conducir y administrar los ramos de la administración pública del gobierno del Estado, dictando y poniendo en ejecución las políticas correspondientes mediante las acciones públicas y los procedimientos necesarios para este fin; </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XXIX. Crear organismos auxiliares, cuya operación quedará sujeta a la ley reglamentaria; </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XXX. Determinar los casos en los que sea de utilidad pública la ocupación de la propiedad privada y decretar la expropiación en términos de la ley respectiva; </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XXXI. Asumir la representación política y jurídica del Municipio para tratar los asuntos que deban resolverse fuera del territorio estatal; </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XXXII. Proponer a la Legislatura del Estado las ternas correspondientes para la designación de ayuntamientos provisionales, concejos municipales y miembros de los cuerpos edilicios en los casos previstos por ésta Constitución y en la ley orgánica respectiva; </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XXXIII. Ser el conducto para cubrir a los Municipios las Participaciones Federales que les correspondan conforme a las bases, montos y plazos que fije la Legislatura; </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XXXIV. Enviar a la Legislatura, al término de cada período constitucional, una memoria sobre el estado de los asuntos públicos; </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XXXV. Formar la estadística del Estado y normar, con la participación de los municipios, la organización y funcionamiento del catastro y, en su caso, administrarlo conjuntamente con éstos, en la forma que establezca la ley; </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XXXVI. Celebrar convenios con los municipios para la asunción por éstos, del ejercicio de funciones, ejecución y operación de obras y prestación de servicios públicos federales que el Estado asuma, en términos de la fracción XXIII de este artículo; </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XXXVII. Otorgar el nombramiento de notario con arreglo a la ley de la materia; </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XXXVIII. Las que sean propias de la autoridad pública del Gobierno del Estado y que no estén expresamente asignadas por esta Constitución a los otros Poderes del mismo Gobierno o a las autoridades de los municipios; </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XXXIX. Convenir con los municipios, para que el Gobierno del Estado, de manera directa o a través del organismo correspondiente, se haga cargo en forma temporal del ejercicio de funciones o de la prestación de servicios públicos municipales, o bien se presten o ejerzan coordinadamente por el Estado y el propio municipio;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XL. Girar órdenes a la policía preventiva municipal en aquéllos casos en que juzgue como de fuerza mayor o alteración grave del orden público; </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XLI. Comunicar por escrito, con anticipación a su salida, a la Legislatura o a la Diputación Permanente, señalando los propósitos y objetivos del viaje e informar de las acciones realizadas dentro de los diez días siguientes de su regreso. </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XLII. Representar al Estado en las controversias constitucionales establecidas en la fracción I del artículo 105 de la Constitución Política de los Estados Unidos Mexicanos, ante la Suprema Corte de Justicia de la Nación; </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XLIII. Representar al Poder Ejecutivo en las controversias constitucionales previstas en el artículo 88 Bis de esta Constitución; </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XLIV. Representar al Estado ante cualquier autoridad judicial del ámbito Federal o del fuero común, así como ante autoridades administrativas Federales o Locales en los procedimientos legales en que sea parte, sin perjuicio de las facultades que otorga esta Constitución a los otros poderes; </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XLV. Asumir la representación política y jurídica del Estado en los conflictos sobre límites territoriales que prevé el artículo 46 de la Constitución Política de los Estados Unidos Mexicanos. </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XLVI. Solicitar a la Legislatura las consultas populares sobre los temas de trascendencia estatal, conforme a lo dispuesto en la presente Constitución y las leyes aplicables en la materia; </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XLVII. Objetar los nombramientos de las comisionadas o comisionados del organismo autónomo garante en materia de transparencia, acceso a la información pública y protección de datos personales hechos por la Legislatura, en los términos establecidos en esta Constitución y en la Ley; </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XLVIII. Optar en cualquier momento por un gobierno de coalición con uno o varios de los partidos políticos representados en la Legislatura del Estado. El gobierno de coalición se regulará por el convenio y el programa respectivos, los cuales deberán ser aprobados por mayoría de las Diputadas y los Diputados presentes en la sesión del pleno de la Legislatura donde se discuta. Si la Legislatura se encontrara en receso la Diputación Permanente convocará de inmediato a la Legislatura del Estado a un periodo extraordinario. El convenio establecerá las causas de la disolución del gobierno de coalición. </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XLIX. Garantizar la aplicación de las reglas y criterios de disciplina financiera, equilibrio presupuestario y responsabilidad hacendaria. </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 Celebrar el convenio correspondiente con la Secretaría de Hacienda y Crédito Público para adherirse al mecanismo de contratación de Deuda Estatal Garantizada. </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LI. Las demás que la Constitución General de la República, la presente Constitución, las leyes federales o las del Estado y sus respectivos reglamentos le atribuyen. </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En ese orden de ideas, el sujeto obligado, debe indicar cuales funciones no le competen o no las ha delegado a las diversas dependencias de su Gobierno, o requerirlas para que le envíen la información solicitada.</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Es por lo anterior que por este medio interpongo el presente recurso de revisión en contra de la respuesta otorgada por el sujeto obligado. </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ESTADO DE MÉXICO, A 27 DE MARZO DEL AÑO 2023. </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i w:val="1"/>
          <w:sz w:val="22"/>
          <w:szCs w:val="22"/>
          <w:rtl w:val="0"/>
        </w:rPr>
        <w:t xml:space="preserve">XXXXXXX</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i w:val="1"/>
          <w:sz w:val="22"/>
          <w:szCs w:val="22"/>
          <w:rtl w:val="0"/>
        </w:rPr>
        <w:t xml:space="preserve">XXXXXX</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i w:val="1"/>
          <w:sz w:val="22"/>
          <w:szCs w:val="22"/>
          <w:rtl w:val="0"/>
        </w:rPr>
        <w:t xml:space="preserve">XXXX</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(Sic)</w:t>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7">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el presente recurso de revisión se turnó por el sistema electrónico del Instituto de Transparencia, Acceso a la Información Pública y Protección de Datos Personales del Estado de México y Municipios, a la </w:t>
      </w:r>
      <w:r w:rsidDel="00000000" w:rsidR="00000000" w:rsidRPr="00000000">
        <w:rPr>
          <w:rFonts w:ascii="Palatino Linotype" w:cs="Palatino Linotype" w:eastAsia="Palatino Linotype" w:hAnsi="Palatino Linotype"/>
          <w:b w:val="1"/>
          <w:rtl w:val="0"/>
        </w:rPr>
        <w:t xml:space="preserve">Comisionada Guadalupe Ramírez Peña, </w:t>
      </w:r>
      <w:r w:rsidDel="00000000" w:rsidR="00000000" w:rsidRPr="00000000">
        <w:rPr>
          <w:rFonts w:ascii="Palatino Linotype" w:cs="Palatino Linotype" w:eastAsia="Palatino Linotype" w:hAnsi="Palatino Linotype"/>
          <w:rtl w:val="0"/>
        </w:rPr>
        <w:t xml:space="preserve">a efecto de que analizara sobre su admisión o su desechamiento.</w:t>
      </w:r>
    </w:p>
    <w:p w:rsidR="00000000" w:rsidDel="00000000" w:rsidP="00000000" w:rsidRDefault="00000000" w:rsidRPr="00000000" w14:paraId="00000098">
      <w:pPr>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Admisión del Recurso de revisión.</w:t>
      </w:r>
      <w:r w:rsidDel="00000000" w:rsidR="00000000" w:rsidRPr="00000000">
        <w:rPr>
          <w:rFonts w:ascii="Palatino Linotype" w:cs="Palatino Linotype" w:eastAsia="Palatino Linotype" w:hAnsi="Palatino Linotype"/>
          <w:rtl w:val="0"/>
        </w:rPr>
        <w:t xml:space="preserve"> El</w:t>
      </w:r>
      <w:r w:rsidDel="00000000" w:rsidR="00000000" w:rsidRPr="00000000">
        <w:rPr>
          <w:rFonts w:ascii="Palatino Linotype" w:cs="Palatino Linotype" w:eastAsia="Palatino Linotype" w:hAnsi="Palatino Linotype"/>
          <w:b w:val="1"/>
          <w:rtl w:val="0"/>
        </w:rPr>
        <w:t xml:space="preserve"> treinta de marzo de dos mil veintitrés, </w:t>
      </w:r>
      <w:r w:rsidDel="00000000" w:rsidR="00000000" w:rsidRPr="00000000">
        <w:rPr>
          <w:rFonts w:ascii="Palatino Linotype" w:cs="Palatino Linotype" w:eastAsia="Palatino Linotype" w:hAnsi="Palatino Linotype"/>
          <w:rtl w:val="0"/>
        </w:rPr>
        <w:t xml:space="preserve">este Instituto de Transparencia, admitió a trámite el recurso de revisión que ahora se resuelve, dando un plazo máximo de siete días hábiles para que las partes manifestaran lo que a su derecho resultara conveniente, ofrecieran pruebas, formularan alegatos y </w:t>
      </w:r>
      <w:r w:rsidDel="00000000" w:rsidR="00000000" w:rsidRPr="00000000">
        <w:rPr>
          <w:rFonts w:ascii="Palatino Linotype" w:cs="Palatino Linotype" w:eastAsia="Palatino Linotype" w:hAnsi="Palatino Linotype"/>
          <w:b w:val="1"/>
          <w:rtl w:val="0"/>
        </w:rPr>
        <w:t xml:space="preserve">EL SUJETO OBLIGADO </w:t>
      </w:r>
      <w:r w:rsidDel="00000000" w:rsidR="00000000" w:rsidRPr="00000000">
        <w:rPr>
          <w:rFonts w:ascii="Palatino Linotype" w:cs="Palatino Linotype" w:eastAsia="Palatino Linotype" w:hAnsi="Palatino Linotype"/>
          <w:rtl w:val="0"/>
        </w:rPr>
        <w:t xml:space="preserve">presentara su Informe Justificado.</w:t>
      </w:r>
    </w:p>
    <w:p w:rsidR="00000000" w:rsidDel="00000000" w:rsidP="00000000" w:rsidRDefault="00000000" w:rsidRPr="00000000" w14:paraId="0000009A">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9B">
      <w:pPr>
        <w:spacing w:line="360" w:lineRule="auto"/>
        <w:ind w:right="49"/>
        <w:jc w:val="both"/>
        <w:rPr>
          <w:rFonts w:ascii="Palatino Linotype" w:cs="Palatino Linotype" w:eastAsia="Palatino Linotype" w:hAnsi="Palatino Linotype"/>
        </w:rPr>
      </w:pPr>
      <w:bookmarkStart w:colFirst="0" w:colLast="0" w:name="_heading=h.2s8eyo1" w:id="3"/>
      <w:bookmarkEnd w:id="3"/>
      <w:r w:rsidDel="00000000" w:rsidR="00000000" w:rsidRPr="00000000">
        <w:rPr>
          <w:rFonts w:ascii="Palatino Linotype" w:cs="Palatino Linotype" w:eastAsia="Palatino Linotype" w:hAnsi="Palatino Linotype"/>
          <w:b w:val="1"/>
          <w:rtl w:val="0"/>
        </w:rPr>
        <w:t xml:space="preserve">6. Manifestaciones</w:t>
      </w:r>
      <w:r w:rsidDel="00000000" w:rsidR="00000000" w:rsidRPr="00000000">
        <w:rPr>
          <w:rFonts w:ascii="Palatino Linotype" w:cs="Palatino Linotype" w:eastAsia="Palatino Linotype" w:hAnsi="Palatino Linotype"/>
          <w:rtl w:val="0"/>
        </w:rPr>
        <w:t xml:space="preserve">. De las constancias que integran el expediente electrónico en que se actúa, se advierte que </w:t>
      </w:r>
      <w:r w:rsidDel="00000000" w:rsidR="00000000" w:rsidRPr="00000000">
        <w:rPr>
          <w:rFonts w:ascii="Palatino Linotype" w:cs="Palatino Linotype" w:eastAsia="Palatino Linotype" w:hAnsi="Palatino Linotype"/>
          <w:b w:val="1"/>
          <w:rtl w:val="0"/>
        </w:rPr>
        <w:t xml:space="preserve">EL SUJETO OBLIGADO </w:t>
      </w:r>
      <w:r w:rsidDel="00000000" w:rsidR="00000000" w:rsidRPr="00000000">
        <w:rPr>
          <w:rFonts w:ascii="Palatino Linotype" w:cs="Palatino Linotype" w:eastAsia="Palatino Linotype" w:hAnsi="Palatino Linotype"/>
          <w:rtl w:val="0"/>
        </w:rPr>
        <w:t xml:space="preserve">hizo uso de su derecho procesal remitiendo su Informe Justificado el pasado </w:t>
      </w:r>
      <w:r w:rsidDel="00000000" w:rsidR="00000000" w:rsidRPr="00000000">
        <w:rPr>
          <w:rFonts w:ascii="Palatino Linotype" w:cs="Palatino Linotype" w:eastAsia="Palatino Linotype" w:hAnsi="Palatino Linotype"/>
          <w:b w:val="1"/>
          <w:rtl w:val="0"/>
        </w:rPr>
        <w:t xml:space="preserve">diecisiete de abril de dos mil veintitrés,</w:t>
      </w:r>
      <w:r w:rsidDel="00000000" w:rsidR="00000000" w:rsidRPr="00000000">
        <w:rPr>
          <w:rFonts w:ascii="Palatino Linotype" w:cs="Palatino Linotype" w:eastAsia="Palatino Linotype" w:hAnsi="Palatino Linotype"/>
          <w:rtl w:val="0"/>
        </w:rPr>
        <w:t xml:space="preserve"> mismo que se hizo del conocimiento de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el dieciséis de mayo de dos mil veintitrés y que consta de lo siguiente:</w:t>
      </w:r>
    </w:p>
    <w:p w:rsidR="00000000" w:rsidDel="00000000" w:rsidP="00000000" w:rsidRDefault="00000000" w:rsidRPr="00000000" w14:paraId="0000009C">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D">
      <w:pPr>
        <w:spacing w:line="360" w:lineRule="auto"/>
        <w:ind w:right="49"/>
        <w:jc w:val="both"/>
        <w:rPr>
          <w:rFonts w:ascii="Palatino Linotype" w:cs="Palatino Linotype" w:eastAsia="Palatino Linotype" w:hAnsi="Palatino Linotype"/>
          <w:i w:val="1"/>
        </w:rPr>
      </w:pPr>
      <w:hyperlink r:id="rId11">
        <w:r w:rsidDel="00000000" w:rsidR="00000000" w:rsidRPr="00000000">
          <w:rPr>
            <w:rFonts w:ascii="Palatino Linotype" w:cs="Palatino Linotype" w:eastAsia="Palatino Linotype" w:hAnsi="Palatino Linotype"/>
            <w:b w:val="1"/>
            <w:i w:val="1"/>
            <w:color w:val="000000"/>
            <w:u w:val="none"/>
            <w:rtl w:val="0"/>
          </w:rPr>
          <w:t xml:space="preserve">informe de justificación 0059.PDF</w:t>
        </w:r>
      </w:hyperlink>
      <w:r w:rsidDel="00000000" w:rsidR="00000000" w:rsidRPr="00000000">
        <w:rPr>
          <w:rtl w:val="0"/>
        </w:rPr>
      </w:r>
    </w:p>
    <w:p w:rsidR="00000000" w:rsidDel="00000000" w:rsidP="00000000" w:rsidRDefault="00000000" w:rsidRPr="00000000" w14:paraId="0000009E">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Contiene el oficio </w:t>
      </w:r>
      <w:r w:rsidDel="00000000" w:rsidR="00000000" w:rsidRPr="00000000">
        <w:rPr>
          <w:rFonts w:ascii="Palatino Linotype" w:cs="Palatino Linotype" w:eastAsia="Palatino Linotype" w:hAnsi="Palatino Linotype"/>
          <w:i w:val="1"/>
          <w:rtl w:val="0"/>
        </w:rPr>
        <w:t xml:space="preserve">UTG/00113/2022</w:t>
      </w:r>
      <w:r w:rsidDel="00000000" w:rsidR="00000000" w:rsidRPr="00000000">
        <w:rPr>
          <w:rFonts w:ascii="Palatino Linotype" w:cs="Palatino Linotype" w:eastAsia="Palatino Linotype" w:hAnsi="Palatino Linotype"/>
          <w:rtl w:val="0"/>
        </w:rPr>
        <w:t xml:space="preserve"> de fecha diecisiete de abril de dos mil veintitrés, signado por la Unidad de Transparencia de la Gubernatura del Estado de México, y mediante el cual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hizo del conocimiento a la Comisionada Ponente el Informe Justificado donde señaló que luego de realizar una búsqueda exhaustiva en sus archivos no localizó la información requerida, y enunció el marco normativo del cual dedujo que no cuenta con las atribuciones y funciones para dotar de lo solicitado. </w:t>
      </w:r>
    </w:p>
    <w:p w:rsidR="00000000" w:rsidDel="00000000" w:rsidP="00000000" w:rsidRDefault="00000000" w:rsidRPr="00000000" w14:paraId="0000009F">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0">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señaló que cumplió a cabalidad con el plazo de ley para notificar la incompetencia combatida por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y en esa inteligencia ratificó su respuesta primigenia a la solicitud </w:t>
      </w:r>
      <w:r w:rsidDel="00000000" w:rsidR="00000000" w:rsidRPr="00000000">
        <w:rPr>
          <w:rFonts w:ascii="Palatino Linotype" w:cs="Palatino Linotype" w:eastAsia="Palatino Linotype" w:hAnsi="Palatino Linotype"/>
          <w:i w:val="1"/>
          <w:rtl w:val="0"/>
        </w:rPr>
        <w:t xml:space="preserve">00059/GUBERNA/IP/2023.</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A1">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2">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veintiuno de mayo de dos mil veintitrés,</w:t>
      </w:r>
      <w:r w:rsidDel="00000000" w:rsidR="00000000" w:rsidRPr="00000000">
        <w:rPr>
          <w:rFonts w:ascii="Palatino Linotype" w:cs="Palatino Linotype" w:eastAsia="Palatino Linotype" w:hAnsi="Palatino Linotype"/>
          <w:rtl w:val="0"/>
        </w:rPr>
        <w:t xml:space="preserve"> en uso de su derecho procesal,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remitió sus manifestaciones en forma de alegatos, a través del archivo </w:t>
      </w:r>
      <w:hyperlink r:id="rId12">
        <w:r w:rsidDel="00000000" w:rsidR="00000000" w:rsidRPr="00000000">
          <w:rPr>
            <w:rFonts w:ascii="Palatino Linotype" w:cs="Palatino Linotype" w:eastAsia="Palatino Linotype" w:hAnsi="Palatino Linotype"/>
            <w:i w:val="1"/>
            <w:color w:val="000000"/>
            <w:u w:val="none"/>
            <w:rtl w:val="0"/>
          </w:rPr>
          <w:t xml:space="preserve">CONTESTACION INFORME JUSTIFICADO SAIMEX.docx</w:t>
        </w:r>
      </w:hyperlink>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rtl w:val="0"/>
        </w:rPr>
        <w:t xml:space="preserve">el cual dice de manera siguiente: </w:t>
      </w:r>
    </w:p>
    <w:p w:rsidR="00000000" w:rsidDel="00000000" w:rsidP="00000000" w:rsidRDefault="00000000" w:rsidRPr="00000000" w14:paraId="000000A3">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“RECURSO DE REVISIÓN 01684/INFOEM/IP/RR/2023</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MAESTRA GUADALUPE RAMÍREZ PEÑA</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COMISIONADA DEL INFOEM.</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Conforme a lo señalado por el sujeto obligado, es claro que solo esta evadiendo su responsabilidad para dar cumplimiento a sus obligaciones en materia de transparencia, ya que no demuestra, ni siquiera de manera indiciaria, la forma en la cual dice, llevo a cabo la búsqueda “exhaustiva”, que dice haber practicado, no indica en que consistió esa búsqueda, en donde la realizo, ni el tiempo que abarca la misma, se limita a dar la contestación genérica que tiene establecida previamente en algún machote, en la cual se tiene prestablecidas dicho argumento.</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Si bien podría ser cierto, que no esta obligada a generarla, se presupone que la tiene en su poder o bien, podría solicitarlo a cualquier dependencia bajo su mando, a que remitiera la búsqueda, señalando con precisión, el funcionario que la llevo a cabo, el archivo donde realizo la búsqueda, así como el periodo de tiempo, que abarco esa búsqueda, para que su argumento, fuera más o menos creíble.</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Señalo que es falso que no cuenten con dicha información, ya que deriva de un HECHO NOTORIO, que no requiere mayores elementos para su comprobación, apoyando lo anterior en las siguientes notas y fotografías:</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hyperlink r:id="rId13">
        <w:r w:rsidDel="00000000" w:rsidR="00000000" w:rsidRPr="00000000">
          <w:rPr>
            <w:rFonts w:ascii="Palatino Linotype" w:cs="Palatino Linotype" w:eastAsia="Palatino Linotype" w:hAnsi="Palatino Linotype"/>
            <w:b w:val="0"/>
            <w:i w:val="1"/>
            <w:smallCaps w:val="0"/>
            <w:strike w:val="0"/>
            <w:color w:val="000000"/>
            <w:sz w:val="22"/>
            <w:szCs w:val="22"/>
            <w:u w:val="single"/>
            <w:shd w:fill="auto" w:val="clear"/>
            <w:vertAlign w:val="baseline"/>
            <w:rtl w:val="0"/>
          </w:rPr>
          <w:t xml:space="preserve">https://edomex.quadratin.com.mx/Desalojan-de-manera-pacifica-habitantes-del-predio-Las-Casitas/</w:t>
        </w:r>
      </w:hyperlink>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hyperlink r:id="rId14">
        <w:r w:rsidDel="00000000" w:rsidR="00000000" w:rsidRPr="00000000">
          <w:rPr>
            <w:rFonts w:ascii="Palatino Linotype" w:cs="Palatino Linotype" w:eastAsia="Palatino Linotype" w:hAnsi="Palatino Linotype"/>
            <w:b w:val="0"/>
            <w:i w:val="1"/>
            <w:smallCaps w:val="0"/>
            <w:strike w:val="0"/>
            <w:color w:val="000000"/>
            <w:sz w:val="22"/>
            <w:szCs w:val="22"/>
            <w:u w:val="single"/>
            <w:shd w:fill="auto" w:val="clear"/>
            <w:vertAlign w:val="baseline"/>
            <w:rtl w:val="0"/>
          </w:rPr>
          <w:t xml:space="preserve">https://www.jornada.com.mx/2014/08/03/estados/026n1est</w:t>
        </w:r>
      </w:hyperlink>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hyperlink r:id="rId15">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https://archivo.eluniversal.com.mx/ciudad-metropoli/2014/desalojo-predio-bordo-xochiaca-1027485.html</w:t>
        </w:r>
      </w:hyperlink>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Pr>
        <w:drawing>
          <wp:inline distB="0" distT="0" distL="0" distR="0">
            <wp:extent cx="2586908" cy="1718760"/>
            <wp:effectExtent b="0" l="0" r="0" t="0"/>
            <wp:docPr descr="El Universal - DF - Desalojan predio en el Bordo de Xochiaca" id="32" name="image2.jpg"/>
            <a:graphic>
              <a:graphicData uri="http://schemas.openxmlformats.org/drawingml/2006/picture">
                <pic:pic>
                  <pic:nvPicPr>
                    <pic:cNvPr descr="El Universal - DF - Desalojan predio en el Bordo de Xochiaca" id="0" name="image2.jpg"/>
                    <pic:cNvPicPr preferRelativeResize="0"/>
                  </pic:nvPicPr>
                  <pic:blipFill>
                    <a:blip r:embed="rId16"/>
                    <a:srcRect b="0" l="0" r="0" t="0"/>
                    <a:stretch>
                      <a:fillRect/>
                    </a:stretch>
                  </pic:blipFill>
                  <pic:spPr>
                    <a:xfrm>
                      <a:off x="0" y="0"/>
                      <a:ext cx="2586908" cy="171876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hyperlink r:id="rId17">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https://reporterosenmovimiento.com/2014/08/04/el-fraccionador-de-las-casitas-en-neza-no-fue-capturado-durante-operativo-de-desalojo/</w:t>
        </w:r>
      </w:hyperlink>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hyperlink r:id="rId18">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https://www.publimetro.com.mx/mx/noticias/2014/08/02/fotos-desalojan-predio-casitas-neza.html</w:t>
        </w:r>
      </w:hyperlink>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Pr>
        <w:drawing>
          <wp:inline distB="0" distT="0" distL="0" distR="0">
            <wp:extent cx="2527200" cy="1433192"/>
            <wp:effectExtent b="0" l="0" r="0" t="0"/>
            <wp:docPr descr="Más de 5,000 policías desalojan “Las Casitas”, predio invadido en el  tiradero del Bordo de Xochiaca | Radiografía Informativa" id="31" name="image4.jpg"/>
            <a:graphic>
              <a:graphicData uri="http://schemas.openxmlformats.org/drawingml/2006/picture">
                <pic:pic>
                  <pic:nvPicPr>
                    <pic:cNvPr descr="Más de 5,000 policías desalojan “Las Casitas”, predio invadido en el  tiradero del Bordo de Xochiaca | Radiografía Informativa" id="0" name="image4.jpg"/>
                    <pic:cNvPicPr preferRelativeResize="0"/>
                  </pic:nvPicPr>
                  <pic:blipFill>
                    <a:blip r:embed="rId19"/>
                    <a:srcRect b="0" l="0" r="0" t="0"/>
                    <a:stretch>
                      <a:fillRect/>
                    </a:stretch>
                  </pic:blipFill>
                  <pic:spPr>
                    <a:xfrm>
                      <a:off x="0" y="0"/>
                      <a:ext cx="2527200" cy="1433192"/>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Invocando las siguientes tesis de jurisprudencia a mi favor:</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Registro digital: 1012960, Instancia: Suprema Corte de Justicia de la Nación, </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Novena Época, Materia(s): Común, Tesis: 361, Fuente: Apéndice de 2011, Tipo: Tesis de Jurisprudencia</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HECHOS NOTORIOS. CONCEPTOS GENERAL Y JURÍDICO.</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Conforme al artículo 88 del Código Federal de Procedimientos Civiles los tribunales pueden invocar hechos notorios aunque no hayan sido alegados ni probados por las partes. Por hechos notorios deben entenderse, en general, aquellos que por el conocimiento humano se consideran ciertos e indiscutibles, ya sea que pertenezcan a la historia, a la ciencia, a la naturaleza, a las vicisitudes de la vida pública actual o a circunstancias comúnmente conocidas en un determinado lugar, de modo que toda persona de ese medio esté en condiciones de saberlo;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Controversia constitucional 24/2005. —Cámara de Diputados del Congreso de la Unión.—9 de marzo de 2006.—Once votos.—Ponente: José Ramón Cossío Díaz.—Secretarios: Raúl Manuel Mejía Garza y Laura Patricia Rojas Zamudio.</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El Tribunal Pleno, el dieciséis de mayo en curso, aprobó, con el número 74/2006, la tesis jurisprudencial que antecede.—México, Distrito Federal, a dieciséis de mayo de dos mil seis.</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Semanario Judicial de la Federación y su Gaceta, Novena Época, Tomo XXIII, junio de 2006, página 963, Pleno, tesis P./J. 74/2006; véase  ejecutoria en el Semanario Judicial de la Federación y su Gaceta, Novena Época, Tomo XXIII, abril de 2006, página 755.</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Registro digital: 2022122, Instancia: Tribunales Colegiados de Circuito, Décima Época, Materia(s): Común, Tesis: I.9o.P.16 K (10a.), Fuente: Gaceta del Semanario Judicial de la Federación, Tipo: Tesis Aislada</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HECHOS NOTORIOS. LA FACULTAD DEL JUZGADOR DE AMPARO PARA INVOCARLOS DEBE SER EJERCIDA CON RAZONABILIDAD Y LIMITARSE A CIRCUNSTANCIAS FÁCTICAS DE CONOCIMIENTO ACCESIBLE, INDUBITABLE Y SOBRE EL CUAL NO SE ADVIERTA DISCUSIÓN.</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De la interpretación conjunta del criterio jurisprudencial P./J. 74/2006, emitido por el Pleno de la Suprema Corte de Justicia de la Nación y el artículo 88 del Código Federal de Procedimientos Civiles, se observa la facultad de los Jueces para invocar como hechos notorios circunstancias –de hecho– cuyo conocimiento sea de dominio público o forme parte de la cultura normal de determinado grupo o sector. Al respecto, como consecuencia del ejercicio de su función jurisdiccional y con base en la diversa jurisprudencia P./J. 16/2018 (10a.), también emitida por el Pleno de la Suprema Corte citada, los Jueces de amparo están autorizados para invocar con ese carácter versiones electrónicas de resoluciones almacenadas y capturadas en el Sistema Integral de Seguimiento de Expedientes (SISE). Empero, en forma alguna dicha potestad autoriza al juzgador para indagar más allá de lo públicamente cognoscible y disponible con motivo de su función judicial, pues hacerlo implicaría que la información obtenida no constituya propiamente un hecho notorio, sino el fruto de una pesquisa injustificada. En ese contexto, en aras de privilegiar la prerrogativa de acceso a la jurisdicción contenida en el artículo 17 de la Constitución General de la República, cuando el Juez cite como hecho notorio determinaciones que obran en expedientes diversos sometidos a su jurisdicción –por ejemplo, para verificar la firma del quejoso en otra demanda de amparo–, dicho ejercicio debe regirse por el principio de razonabilidad y limitarse a circunstancias fácticas de conocimiento accesible, indubitable y sobre el cual no se advierta discusión; máxime cuando las constancias invocadas son de antigüedad considerable.</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NOVENO TRIBUNAL COLEGIADO EN MATERIA PENAL DEL PRIMER CIRCUITO.</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Queja 11/2020. 20 de febrero de 2020. Unanimidad de votos. Ponente: Ricardo Paredes Calderón. Secretario: Edwin Antony Pazol Rodríguez.</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Nota: Las tesis de jurisprudencia P./J. 74/2006, de rubro: "HECHOS NOTORIOS. CONCEPTOS GENERAL Y JURÍDICO." y P./J. 16/2018 (10a.), de título y subtítulo: "HECHOS NOTORIOS. TIENEN ESE CARÁCTER LAS VERSIONES ELECTRÓNICAS DE LAS SENTENCIAS ALMACENADAS Y CAPTURADAS EN EL SISTEMA INTEGRAL DE SEGUIMIENTO DE EXPEDIENTES (SISE)." citadas, aparecen publicadas en el Semanario Judicial de la Federación y su Gaceta, Novena Época, Tomo XXIII, junio de 2006, página 963; en el Semanario Judicial de la Federación del viernes 8 de junio de 2018 a las 10:14 horas y en la Gaceta del Semanario Judicial de la Federación, Décima Época, Libro 55, Tomo I, junio de 2018, página 10, con números de registro digital: 174899 y 2017123, respectivamente.</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Esta tesis se publicó el viernes 18 de septiembre de 2020 a las 10:27 horas en el Semanario Judicial de la Federación.</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El acceso a la información pública comprende el derecho fundamental a solicitar, investigar, difundir, buscar y recibir información, que se encuentre integrada en documentos que registren el ejercicio de las facultades, funciones y competencias de los sujetos obligados, lo que implica que las dependencias y entidades documenten todo lo relativo a éstas, y presume su existencia de conformidad a lo establecido por los artículos 3, fracción VII, 4, 18 y 19 de la Ley General de Transparencia.</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Con las evidencias señaladas, se actualiza las hipótesis que preveen el diverso articulo 138 de la Ley indicada, lo que vuelve inoperantes los argumentos esgrimidos por el sujeto obligado, y se presupone la negativa para entregar la información solicitada.</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De la normatividad de referencia se desprende lo siguiente: </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sdt>
        <w:sdtPr>
          <w:tag w:val="goog_rdk_0"/>
        </w:sdtPr>
        <w:sdtContent>
          <w:r w:rsidDel="00000000" w:rsidR="00000000" w:rsidRPr="00000000">
            <w:rPr>
              <w:rFonts w:ascii="Arial Unicode MS" w:cs="Arial Unicode MS" w:eastAsia="Arial Unicode MS" w:hAnsi="Arial Unicode MS"/>
              <w:b w:val="0"/>
              <w:i w:val="1"/>
              <w:smallCaps w:val="0"/>
              <w:strike w:val="0"/>
              <w:color w:val="000000"/>
              <w:sz w:val="22"/>
              <w:szCs w:val="22"/>
              <w:u w:val="none"/>
              <w:shd w:fill="auto" w:val="clear"/>
              <w:vertAlign w:val="baseline"/>
              <w:rtl w:val="0"/>
            </w:rPr>
            <w:t xml:space="preserve">➢</w:t>
          </w:r>
        </w:sdtContent>
      </w:sdt>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Que los sujetos obligados tienen el deber de otorgar el acceso a los documentos que se encuentren en sus archivos o que estén obligados a documentar. </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sdt>
        <w:sdtPr>
          <w:tag w:val="goog_rdk_1"/>
        </w:sdtPr>
        <w:sdtContent>
          <w:r w:rsidDel="00000000" w:rsidR="00000000" w:rsidRPr="00000000">
            <w:rPr>
              <w:rFonts w:ascii="Arial Unicode MS" w:cs="Arial Unicode MS" w:eastAsia="Arial Unicode MS" w:hAnsi="Arial Unicode MS"/>
              <w:b w:val="0"/>
              <w:i w:val="1"/>
              <w:smallCaps w:val="0"/>
              <w:strike w:val="0"/>
              <w:color w:val="000000"/>
              <w:sz w:val="22"/>
              <w:szCs w:val="22"/>
              <w:u w:val="none"/>
              <w:shd w:fill="auto" w:val="clear"/>
              <w:vertAlign w:val="baseline"/>
              <w:rtl w:val="0"/>
            </w:rPr>
            <w:t xml:space="preserve">➢</w:t>
          </w:r>
        </w:sdtContent>
      </w:sdt>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sdt>
        <w:sdtPr>
          <w:tag w:val="goog_rdk_2"/>
        </w:sdtPr>
        <w:sdtContent>
          <w:r w:rsidDel="00000000" w:rsidR="00000000" w:rsidRPr="00000000">
            <w:rPr>
              <w:rFonts w:ascii="Arial Unicode MS" w:cs="Arial Unicode MS" w:eastAsia="Arial Unicode MS" w:hAnsi="Arial Unicode MS"/>
              <w:b w:val="0"/>
              <w:i w:val="1"/>
              <w:smallCaps w:val="0"/>
              <w:strike w:val="0"/>
              <w:color w:val="000000"/>
              <w:sz w:val="22"/>
              <w:szCs w:val="22"/>
              <w:u w:val="none"/>
              <w:shd w:fill="auto" w:val="clear"/>
              <w:vertAlign w:val="baseline"/>
              <w:rtl w:val="0"/>
            </w:rPr>
            <w:t xml:space="preserve">➢</w:t>
          </w:r>
        </w:sdtContent>
      </w:sdt>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Que los sujetos obligados entregarán documentos que se encuentren en sus archivos, sin que dicha obligación comprenda el procesamiento de la misma, ni el presentarla conforme al interés particular del solicitante.  </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Por lo que le corresponde la carga de la prueba al sujeto obligado, respecto a que, efectivamente realizo una búsqueda exhaustiva, no solo de palabra, si no de hecho, habida cuenta que es su obligación documentar todas sus actuaciones, y las de sus subordinados, a quienes ha delegado facultades.” (Sic)</w:t>
      </w:r>
    </w:p>
    <w:p w:rsidR="00000000" w:rsidDel="00000000" w:rsidP="00000000" w:rsidRDefault="00000000" w:rsidRPr="00000000" w14:paraId="000000C9">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CA">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8. Ampliación de plazo.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veintidós de septiembre de dos mil veintitrés, </w:t>
      </w:r>
      <w:r w:rsidDel="00000000" w:rsidR="00000000" w:rsidRPr="00000000">
        <w:rPr>
          <w:rFonts w:ascii="Palatino Linotype" w:cs="Palatino Linotype" w:eastAsia="Palatino Linotype" w:hAnsi="Palatino Linotype"/>
          <w:rtl w:val="0"/>
        </w:rPr>
        <w:t xml:space="preserve">el Instituto de Transparencia, Acceso a la Información Pública y Protección de Datos Personales del Estado de México y Municipios, con fundamento en el artículo 181, párrafo tercero, de la Ley de Transparencia y Acceso a la Información Pública del Estado de México y Municipios, determinó ampliar el plazo para emitir la presente resolución.</w:t>
      </w:r>
    </w:p>
    <w:p w:rsidR="00000000" w:rsidDel="00000000" w:rsidP="00000000" w:rsidRDefault="00000000" w:rsidRPr="00000000" w14:paraId="000000CB">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C">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incrementó aproximadamente un 300%,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CD">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E">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CF">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0">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D1">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2">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D3">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4">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p>
    <w:p w:rsidR="00000000" w:rsidDel="00000000" w:rsidP="00000000" w:rsidRDefault="00000000" w:rsidRPr="00000000" w14:paraId="000000D5">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6">
      <w:pPr>
        <w:widowControl w:val="0"/>
        <w:numPr>
          <w:ilvl w:val="0"/>
          <w:numId w:val="2"/>
        </w:numPr>
        <w:spacing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Complejidad del Asunto: </w:t>
      </w:r>
      <w:r w:rsidDel="00000000" w:rsidR="00000000" w:rsidRPr="00000000">
        <w:rPr>
          <w:rFonts w:ascii="Palatino Linotype" w:cs="Palatino Linotype" w:eastAsia="Palatino Linotype" w:hAnsi="Palatino Linotype"/>
          <w:rtl w:val="0"/>
        </w:rPr>
        <w:t xml:space="preserve">La complejidad de la prueba, la pluralidad de sujetos procesales, el tiempo transcurrido, las características y contexto del recurso. </w:t>
      </w:r>
    </w:p>
    <w:p w:rsidR="00000000" w:rsidDel="00000000" w:rsidP="00000000" w:rsidRDefault="00000000" w:rsidRPr="00000000" w14:paraId="000000D7">
      <w:pPr>
        <w:widowControl w:val="0"/>
        <w:numPr>
          <w:ilvl w:val="0"/>
          <w:numId w:val="2"/>
        </w:numPr>
        <w:spacing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Actividad Procesal del interesado:</w:t>
      </w:r>
      <w:r w:rsidDel="00000000" w:rsidR="00000000" w:rsidRPr="00000000">
        <w:rPr>
          <w:rFonts w:ascii="Palatino Linotype" w:cs="Palatino Linotype" w:eastAsia="Palatino Linotype" w:hAnsi="Palatino Linotype"/>
          <w:rtl w:val="0"/>
        </w:rPr>
        <w:t xml:space="preserve"> Acciones u omisiones del interesado.</w:t>
      </w:r>
    </w:p>
    <w:p w:rsidR="00000000" w:rsidDel="00000000" w:rsidP="00000000" w:rsidRDefault="00000000" w:rsidRPr="00000000" w14:paraId="000000D8">
      <w:pPr>
        <w:widowControl w:val="0"/>
        <w:numPr>
          <w:ilvl w:val="0"/>
          <w:numId w:val="2"/>
        </w:numPr>
        <w:spacing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Conducta de la Autoridad:</w:t>
      </w:r>
      <w:r w:rsidDel="00000000" w:rsidR="00000000" w:rsidRPr="00000000">
        <w:rPr>
          <w:rFonts w:ascii="Palatino Linotype" w:cs="Palatino Linotype" w:eastAsia="Palatino Linotype" w:hAnsi="Palatino Linotype"/>
          <w:rtl w:val="0"/>
        </w:rPr>
        <w:t xml:space="preserve"> Las Acciones u omisiones realizadas en el procedimiento. Así como si la autoridad actuó con la debida diligencia.</w:t>
      </w:r>
      <w:r w:rsidDel="00000000" w:rsidR="00000000" w:rsidRPr="00000000">
        <w:rPr>
          <w:rFonts w:ascii="Palatino Linotype" w:cs="Palatino Linotype" w:eastAsia="Palatino Linotype" w:hAnsi="Palatino Linotype"/>
          <w:b w:val="1"/>
          <w:rtl w:val="0"/>
        </w:rPr>
        <w:t xml:space="preserve"> </w:t>
      </w:r>
      <w:r w:rsidDel="00000000" w:rsidR="00000000" w:rsidRPr="00000000">
        <w:rPr>
          <w:rtl w:val="0"/>
        </w:rPr>
      </w:r>
    </w:p>
    <w:p w:rsidR="00000000" w:rsidDel="00000000" w:rsidP="00000000" w:rsidRDefault="00000000" w:rsidRPr="00000000" w14:paraId="000000D9">
      <w:pPr>
        <w:widowControl w:val="0"/>
        <w:numPr>
          <w:ilvl w:val="0"/>
          <w:numId w:val="2"/>
        </w:numPr>
        <w:spacing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La afectación generada en la situación jurídica de la persona involucrada en el proceso:</w:t>
      </w:r>
      <w:r w:rsidDel="00000000" w:rsidR="00000000" w:rsidRPr="00000000">
        <w:rPr>
          <w:rFonts w:ascii="Palatino Linotype" w:cs="Palatino Linotype" w:eastAsia="Palatino Linotype" w:hAnsi="Palatino Linotype"/>
          <w:rtl w:val="0"/>
        </w:rPr>
        <w:t xml:space="preserve"> Violación a sus derechos humanos.</w:t>
      </w:r>
    </w:p>
    <w:p w:rsidR="00000000" w:rsidDel="00000000" w:rsidP="00000000" w:rsidRDefault="00000000" w:rsidRPr="00000000" w14:paraId="000000DA">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B">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DC">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D">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b w:val="1"/>
          <w:i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p>
    <w:p w:rsidR="00000000" w:rsidDel="00000000" w:rsidP="00000000" w:rsidRDefault="00000000" w:rsidRPr="00000000" w14:paraId="000000DE">
      <w:pPr>
        <w:widowControl w:val="0"/>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DF">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E0">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1">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E2">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3">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rtl w:val="0"/>
        </w:rPr>
        <w:t xml:space="preserve"> consultable en el Seminario Judicial de la Federación y su gaceta, con el registro digital 2002351.</w:t>
      </w:r>
    </w:p>
    <w:p w:rsidR="00000000" w:rsidDel="00000000" w:rsidP="00000000" w:rsidRDefault="00000000" w:rsidRPr="00000000" w14:paraId="000000E4">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rtl w:val="0"/>
        </w:rPr>
        <w:t xml:space="preserve"> visible en el Seminario Judicial de la Federación y su gaceta, con el registro digital 2002350.</w:t>
      </w:r>
    </w:p>
    <w:p w:rsidR="00000000" w:rsidDel="00000000" w:rsidP="00000000" w:rsidRDefault="00000000" w:rsidRPr="00000000" w14:paraId="000000E5">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6">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E7">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E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9. Cierre de instrucción. </w:t>
      </w:r>
      <w:r w:rsidDel="00000000" w:rsidR="00000000" w:rsidRPr="00000000">
        <w:rPr>
          <w:rFonts w:ascii="Palatino Linotype" w:cs="Palatino Linotype" w:eastAsia="Palatino Linotype" w:hAnsi="Palatino Linotype"/>
          <w:rtl w:val="0"/>
        </w:rPr>
        <w:t xml:space="preserve">Una vez transcurrido el periodo otorgado a las partes para realizar sus manifestaciones y no habiendo documentos que integrar al expediente, con fecha </w:t>
      </w:r>
      <w:r w:rsidDel="00000000" w:rsidR="00000000" w:rsidRPr="00000000">
        <w:rPr>
          <w:rFonts w:ascii="Palatino Linotype" w:cs="Palatino Linotype" w:eastAsia="Palatino Linotype" w:hAnsi="Palatino Linotype"/>
          <w:b w:val="1"/>
          <w:rtl w:val="0"/>
        </w:rPr>
        <w:t xml:space="preserve">veintidós de septiembre de dos mil veintitrés</w:t>
      </w:r>
      <w:r w:rsidDel="00000000" w:rsidR="00000000" w:rsidRPr="00000000">
        <w:rPr>
          <w:rFonts w:ascii="Palatino Linotype" w:cs="Palatino Linotype" w:eastAsia="Palatino Linotype" w:hAnsi="Palatino Linotype"/>
          <w:rtl w:val="0"/>
        </w:rPr>
        <w:t xml:space="preserve">, la </w:t>
      </w:r>
      <w:r w:rsidDel="00000000" w:rsidR="00000000" w:rsidRPr="00000000">
        <w:rPr>
          <w:rFonts w:ascii="Palatino Linotype" w:cs="Palatino Linotype" w:eastAsia="Palatino Linotype" w:hAnsi="Palatino Linotype"/>
          <w:b w:val="1"/>
          <w:rtl w:val="0"/>
        </w:rPr>
        <w:t xml:space="preserve">Comisionada Ponente</w:t>
      </w:r>
      <w:r w:rsidDel="00000000" w:rsidR="00000000" w:rsidRPr="00000000">
        <w:rPr>
          <w:rFonts w:ascii="Palatino Linotype" w:cs="Palatino Linotype" w:eastAsia="Palatino Linotype" w:hAnsi="Palatino Linotype"/>
          <w:rtl w:val="0"/>
        </w:rPr>
        <w:t xml:space="preserv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E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 debidamente sustanciado el expediente electrónico y no existe diligencia pendiente de desahogo, se emite la Resolución que conforme a Derecho proceda, y</w:t>
      </w:r>
    </w:p>
    <w:p w:rsidR="00000000" w:rsidDel="00000000" w:rsidP="00000000" w:rsidRDefault="00000000" w:rsidRPr="00000000" w14:paraId="000000E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C">
      <w:pPr>
        <w:widowControl w:val="0"/>
        <w:numPr>
          <w:ilvl w:val="0"/>
          <w:numId w:val="1"/>
        </w:numPr>
        <w:pBdr>
          <w:top w:space="0" w:sz="0" w:val="nil"/>
          <w:left w:space="0" w:sz="0" w:val="nil"/>
          <w:bottom w:space="0" w:sz="0" w:val="nil"/>
          <w:right w:space="0" w:sz="0" w:val="nil"/>
          <w:between w:space="0" w:sz="0" w:val="nil"/>
        </w:pBdr>
        <w:spacing w:line="360" w:lineRule="auto"/>
        <w:ind w:left="1080" w:hanging="72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 O N S I D E R A N D O:</w:t>
      </w:r>
    </w:p>
    <w:p w:rsidR="00000000" w:rsidDel="00000000" w:rsidP="00000000" w:rsidRDefault="00000000" w:rsidRPr="00000000" w14:paraId="000000ED">
      <w:pPr>
        <w:widowControl w:val="0"/>
        <w:pBdr>
          <w:top w:space="0" w:sz="0" w:val="nil"/>
          <w:left w:space="0" w:sz="0" w:val="nil"/>
          <w:bottom w:space="0" w:sz="0" w:val="nil"/>
          <w:right w:space="0" w:sz="0" w:val="nil"/>
          <w:between w:space="0" w:sz="0" w:val="nil"/>
        </w:pBdr>
        <w:spacing w:line="360" w:lineRule="auto"/>
        <w:ind w:left="1080" w:firstLine="0"/>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E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EF">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F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F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toda vez que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respondió a la solicitud de información el</w:t>
      </w:r>
      <w:r w:rsidDel="00000000" w:rsidR="00000000" w:rsidRPr="00000000">
        <w:rPr>
          <w:rFonts w:ascii="Palatino Linotype" w:cs="Palatino Linotype" w:eastAsia="Palatino Linotype" w:hAnsi="Palatino Linotype"/>
          <w:b w:val="1"/>
          <w:rtl w:val="0"/>
        </w:rPr>
        <w:t xml:space="preserve"> diecisiete de marzo de dos mil veintitrés, </w:t>
      </w:r>
      <w:r w:rsidDel="00000000" w:rsidR="00000000" w:rsidRPr="00000000">
        <w:rPr>
          <w:rFonts w:ascii="Palatino Linotype" w:cs="Palatino Linotype" w:eastAsia="Palatino Linotype" w:hAnsi="Palatino Linotype"/>
          <w:rtl w:val="0"/>
        </w:rPr>
        <w:t xml:space="preserve">mientras que el recurso de revisión se interpuso el </w:t>
      </w:r>
      <w:r w:rsidDel="00000000" w:rsidR="00000000" w:rsidRPr="00000000">
        <w:rPr>
          <w:rFonts w:ascii="Palatino Linotype" w:cs="Palatino Linotype" w:eastAsia="Palatino Linotype" w:hAnsi="Palatino Linotype"/>
          <w:b w:val="1"/>
          <w:rtl w:val="0"/>
        </w:rPr>
        <w:t xml:space="preserve">veintisiete de marzo dos mil veintitrés</w:t>
      </w:r>
      <w:r w:rsidDel="00000000" w:rsidR="00000000" w:rsidRPr="00000000">
        <w:rPr>
          <w:rFonts w:ascii="Palatino Linotype" w:cs="Palatino Linotype" w:eastAsia="Palatino Linotype" w:hAnsi="Palatino Linotype"/>
          <w:rtl w:val="0"/>
        </w:rPr>
        <w:t xml:space="preserve">, esto es, al </w:t>
      </w:r>
      <w:r w:rsidDel="00000000" w:rsidR="00000000" w:rsidRPr="00000000">
        <w:rPr>
          <w:rFonts w:ascii="Palatino Linotype" w:cs="Palatino Linotype" w:eastAsia="Palatino Linotype" w:hAnsi="Palatino Linotype"/>
          <w:b w:val="1"/>
          <w:rtl w:val="0"/>
        </w:rPr>
        <w:t xml:space="preserve">quinto día hábil</w:t>
      </w:r>
      <w:r w:rsidDel="00000000" w:rsidR="00000000" w:rsidRPr="00000000">
        <w:rPr>
          <w:rFonts w:ascii="Palatino Linotype" w:cs="Palatino Linotype" w:eastAsia="Palatino Linotype" w:hAnsi="Palatino Linotype"/>
          <w:rtl w:val="0"/>
        </w:rPr>
        <w:t xml:space="preserve"> en que tuvo conocimiento de la respuesta. </w:t>
      </w:r>
    </w:p>
    <w:p w:rsidR="00000000" w:rsidDel="00000000" w:rsidP="00000000" w:rsidRDefault="00000000" w:rsidRPr="00000000" w14:paraId="000000F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F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advierte que resulta procedente la interposición del recurso, según lo manifestado por </w:t>
      </w:r>
      <w:r w:rsidDel="00000000" w:rsidR="00000000" w:rsidRPr="00000000">
        <w:rPr>
          <w:rFonts w:ascii="Palatino Linotype" w:cs="Palatino Linotype" w:eastAsia="Palatino Linotype" w:hAnsi="Palatino Linotype"/>
          <w:b w:val="1"/>
          <w:rtl w:val="0"/>
        </w:rPr>
        <w:t xml:space="preserve">LA PARTE RECURRENTE </w:t>
      </w:r>
      <w:r w:rsidDel="00000000" w:rsidR="00000000" w:rsidRPr="00000000">
        <w:rPr>
          <w:rFonts w:ascii="Palatino Linotype" w:cs="Palatino Linotype" w:eastAsia="Palatino Linotype" w:hAnsi="Palatino Linotype"/>
          <w:rtl w:val="0"/>
        </w:rPr>
        <w:t xml:space="preserve">en sus motivos de inconformidad, de acuerdo a las fracciones IV y XIII del artículo 179 del ordenamiento legal citado, que a la letra dicen: </w:t>
      </w:r>
    </w:p>
    <w:p w:rsidR="00000000" w:rsidDel="00000000" w:rsidP="00000000" w:rsidRDefault="00000000" w:rsidRPr="00000000" w14:paraId="000000F7">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F9">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FA">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La declaración de incompetencia por el sujeto obligado; </w:t>
      </w:r>
    </w:p>
    <w:p w:rsidR="00000000" w:rsidDel="00000000" w:rsidP="00000000" w:rsidRDefault="00000000" w:rsidRPr="00000000" w14:paraId="000000FB">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FC">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XIII. La falta, deficiencia o insuficiencia de la fundamentación y/o motivación de la respuesta; ;</w:t>
      </w:r>
    </w:p>
    <w:p w:rsidR="00000000" w:rsidDel="00000000" w:rsidP="00000000" w:rsidRDefault="00000000" w:rsidRPr="00000000" w14:paraId="000000FD">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FE">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F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 revisión a las constancias y documentos que obran en el expediente electrónico se advierte, que el tema sobre el que este Organismo Garante se pronunciará será: </w:t>
      </w:r>
      <w:r w:rsidDel="00000000" w:rsidR="00000000" w:rsidRPr="00000000">
        <w:rPr>
          <w:rFonts w:ascii="Palatino Linotype" w:cs="Palatino Linotype" w:eastAsia="Palatino Linotype" w:hAnsi="Palatino Linotype"/>
          <w:b w:val="1"/>
          <w:rtl w:val="0"/>
        </w:rPr>
        <w:t xml:space="preserve">verificar si la respuesta otorgada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rtl w:val="0"/>
        </w:rPr>
        <w:t xml:space="preserve">de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o en su defecto, en caso de ser procedente, ordenar la entrega de información oportuna.</w:t>
      </w:r>
    </w:p>
    <w:p w:rsidR="00000000" w:rsidDel="00000000" w:rsidP="00000000" w:rsidRDefault="00000000" w:rsidRPr="00000000" w14:paraId="0000010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Antes de entrar al análisis de los pronunciamientos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102">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sz w:val="22"/>
          <w:szCs w:val="22"/>
          <w:rtl w:val="0"/>
        </w:rPr>
        <w:t xml:space="preserv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sz w:val="22"/>
          <w:szCs w:val="22"/>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sz w:val="22"/>
          <w:szCs w:val="22"/>
          <w:rtl w:val="0"/>
        </w:rPr>
        <w:t xml:space="preserve"> En consecuencia, el Estado deberá prevenir, investigar, sancionar y reparar las violaciones a los derechos humanos, en los términos que establezca la ley.</w:t>
      </w: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sz w:val="22"/>
          <w:szCs w:val="22"/>
          <w:rtl w:val="0"/>
        </w:rPr>
        <w:t xml:space="preserve">Artículo 6o.</w:t>
      </w: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i w:val="1"/>
          <w:sz w:val="22"/>
          <w:szCs w:val="22"/>
          <w:u w:val="single"/>
          <w:rtl w:val="0"/>
        </w:rPr>
        <w:t xml:space="preserve">las entidades federativas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en el ámbito de sus respectivas competencias, se regirán por los siguientes principios y bases:</w:t>
      </w:r>
    </w:p>
    <w:p w:rsidR="00000000" w:rsidDel="00000000" w:rsidP="00000000" w:rsidRDefault="00000000" w:rsidRPr="00000000" w14:paraId="0000010D">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b w:val="1"/>
          <w:i w:val="1"/>
          <w:sz w:val="22"/>
          <w:szCs w:val="22"/>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sz w:val="22"/>
          <w:szCs w:val="22"/>
          <w:rtl w:val="0"/>
        </w:rPr>
        <w:t xml:space="preserve"> Ejecutivo, Legislativo </w:t>
      </w:r>
      <w:r w:rsidDel="00000000" w:rsidR="00000000" w:rsidRPr="00000000">
        <w:rPr>
          <w:rFonts w:ascii="Palatino Linotype" w:cs="Palatino Linotype" w:eastAsia="Palatino Linotype" w:hAnsi="Palatino Linotype"/>
          <w:b w:val="1"/>
          <w:i w:val="1"/>
          <w:sz w:val="22"/>
          <w:szCs w:val="22"/>
          <w:u w:val="single"/>
          <w:rtl w:val="0"/>
        </w:rPr>
        <w:t xml:space="preserve">y Judicial</w:t>
      </w:r>
      <w:r w:rsidDel="00000000" w:rsidR="00000000" w:rsidRPr="00000000">
        <w:rPr>
          <w:rFonts w:ascii="Palatino Linotype" w:cs="Palatino Linotype" w:eastAsia="Palatino Linotype" w:hAnsi="Palatino Linotype"/>
          <w:i w:val="1"/>
          <w:sz w:val="22"/>
          <w:szCs w:val="22"/>
          <w:rtl w:val="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sz w:val="22"/>
          <w:szCs w:val="22"/>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sz w:val="22"/>
          <w:szCs w:val="22"/>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II. La información que se refiere a la vida privada y los datos personales será protegida en los términos y con las excepciones que fijen las leyes.</w:t>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b w:val="1"/>
          <w:i w:val="1"/>
          <w:sz w:val="22"/>
          <w:szCs w:val="22"/>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sz w:val="22"/>
          <w:szCs w:val="22"/>
          <w:rtl w:val="0"/>
        </w:rPr>
        <w:t xml:space="preserve"> a sus datos personales o a la rectificación de éstos.</w:t>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IV. </w:t>
      </w:r>
      <w:r w:rsidDel="00000000" w:rsidR="00000000" w:rsidRPr="00000000">
        <w:rPr>
          <w:rFonts w:ascii="Palatino Linotype" w:cs="Palatino Linotype" w:eastAsia="Palatino Linotype" w:hAnsi="Palatino Linotype"/>
          <w:i w:val="1"/>
          <w:sz w:val="22"/>
          <w:szCs w:val="22"/>
          <w:rtl w:val="0"/>
        </w:rPr>
        <w:t xml:space="preserve">Se establecerán mecanismos de acceso a la información y procedimientos de revisión expeditos que se sustanciarán ante los organismos autónomos especializados e imparciales que establece esta Constitución.</w:t>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Las leyes determinarán la manera en que los sujetos obligados deberán hacer pública la información relativa a los recursos públicos que entreguen a personas físicas o morales.</w:t>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inobservancia a las disposiciones en materia de acceso a la información pública será sancionada en los términos que dispongan las leyes. </w:t>
      </w:r>
    </w:p>
    <w:p w:rsidR="00000000" w:rsidDel="00000000" w:rsidP="00000000" w:rsidRDefault="00000000" w:rsidRPr="00000000" w14:paraId="0000011A">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11D">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000000" w:rsidDel="00000000" w:rsidP="00000000" w:rsidRDefault="00000000" w:rsidRPr="00000000" w14:paraId="00000125">
      <w:pPr>
        <w:pBdr>
          <w:top w:space="0" w:sz="0" w:val="nil"/>
          <w:left w:space="0" w:sz="0" w:val="nil"/>
          <w:bottom w:space="0" w:sz="0" w:val="nil"/>
          <w:right w:space="0" w:sz="0" w:val="nil"/>
          <w:between w:space="0" w:sz="0" w:val="nil"/>
        </w:pBdr>
        <w:ind w:left="864" w:right="864" w:firstLine="0"/>
        <w:jc w:val="both"/>
        <w:rPr>
          <w:i w:val="1"/>
        </w:rPr>
      </w:pP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000000" w:rsidDel="00000000" w:rsidP="00000000" w:rsidRDefault="00000000" w:rsidRPr="00000000" w14:paraId="00000129">
      <w:pPr>
        <w:pBdr>
          <w:top w:space="0" w:sz="0" w:val="nil"/>
          <w:left w:space="0" w:sz="0" w:val="nil"/>
          <w:bottom w:space="0" w:sz="0" w:val="nil"/>
          <w:right w:space="0" w:sz="0" w:val="nil"/>
          <w:between w:space="0" w:sz="0" w:val="nil"/>
        </w:pBdr>
        <w:ind w:left="864" w:right="864" w:firstLine="0"/>
        <w:jc w:val="both"/>
        <w:rPr>
          <w:i w:val="1"/>
        </w:rPr>
      </w:pP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que el Derecho de Acceso a la Información Pública se satisface en aquellos casos en que se entregue documento en que conste la información requerida, toda vez que, los Sujetos Obligados</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no tienen el deber de generar, poseer o administrar la información pública con el grado de detalle solicitado; esto es, que no tienen el deber de generar un documento </w:t>
      </w:r>
      <w:r w:rsidDel="00000000" w:rsidR="00000000" w:rsidRPr="00000000">
        <w:rPr>
          <w:rFonts w:ascii="Palatino Linotype" w:cs="Palatino Linotype" w:eastAsia="Palatino Linotype" w:hAnsi="Palatino Linotype"/>
          <w:i w:val="1"/>
          <w:rtl w:val="0"/>
        </w:rPr>
        <w:t xml:space="preserve">ad hoc</w:t>
      </w:r>
      <w:r w:rsidDel="00000000" w:rsidR="00000000" w:rsidRPr="00000000">
        <w:rPr>
          <w:rFonts w:ascii="Palatino Linotype" w:cs="Palatino Linotype" w:eastAsia="Palatino Linotype" w:hAnsi="Palatino Linotype"/>
          <w:rtl w:val="0"/>
        </w:rPr>
        <w:t xml:space="preserve">, para satisfacer el derecho de acceso a la información pública, como así lo establece el criterio 03/17 emitido por el Instituto Nacional de Transparencia, Acceso a la Información Pública y Protección de Datos Personales, el cual señala lo siguiente:</w:t>
      </w:r>
    </w:p>
    <w:p w:rsidR="00000000" w:rsidDel="00000000" w:rsidP="00000000" w:rsidRDefault="00000000" w:rsidRPr="00000000" w14:paraId="0000012B">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03/17</w:t>
      </w:r>
    </w:p>
    <w:p w:rsidR="00000000" w:rsidDel="00000000" w:rsidP="00000000" w:rsidRDefault="00000000" w:rsidRPr="00000000" w14:paraId="0000012D">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EXISTE OBLIGACIÓN DE ELABORAR DOCUMENTOS AD HOC PARA ATENDER LAS SOLICITUDES DE ACCESO A LA INFORMACIÓN.</w:t>
      </w:r>
    </w:p>
    <w:p w:rsidR="00000000" w:rsidDel="00000000" w:rsidP="00000000" w:rsidRDefault="00000000" w:rsidRPr="00000000" w14:paraId="0000012E">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00000" w:rsidDel="00000000" w:rsidP="00000000" w:rsidRDefault="00000000" w:rsidRPr="00000000" w14:paraId="0000012F">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135">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137">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38">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000000" w:rsidDel="00000000" w:rsidP="00000000" w:rsidRDefault="00000000" w:rsidRPr="00000000" w14:paraId="00000139">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line="360" w:lineRule="auto"/>
        <w:jc w:val="both"/>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0002-11</w:t>
      </w:r>
    </w:p>
    <w:p w:rsidR="00000000" w:rsidDel="00000000" w:rsidP="00000000" w:rsidRDefault="00000000" w:rsidRPr="00000000" w14:paraId="0000013D">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13E">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13F">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140">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141">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Que se trate de información registrada en cualquier soporte documental, que en ejercicio de las atribuciones conferidas, se encuentre en posesión de los Sujetos Obligados.</w:t>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line="360" w:lineRule="auto"/>
        <w:ind w:left="567" w:right="567" w:hanging="284"/>
        <w:jc w:val="both"/>
        <w:rPr/>
      </w:pP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ahí que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Apuntado lo anterior, este Órgano Garante centrará su atención en el estudio de fondo del agravio hecho valer por </w:t>
      </w:r>
      <w:r w:rsidDel="00000000" w:rsidR="00000000" w:rsidRPr="00000000">
        <w:rPr>
          <w:rFonts w:ascii="Palatino Linotype" w:cs="Palatino Linotype" w:eastAsia="Palatino Linotype" w:hAnsi="Palatino Linotype"/>
          <w:b w:val="1"/>
          <w:rtl w:val="0"/>
        </w:rPr>
        <w:t xml:space="preserve">LA PARTE RECURRENTE, </w:t>
      </w:r>
      <w:r w:rsidDel="00000000" w:rsidR="00000000" w:rsidRPr="00000000">
        <w:rPr>
          <w:rFonts w:ascii="Palatino Linotype" w:cs="Palatino Linotype" w:eastAsia="Palatino Linotype" w:hAnsi="Palatino Linotype"/>
          <w:rtl w:val="0"/>
        </w:rPr>
        <w:t xml:space="preserve">pues en la solicitud</w:t>
      </w:r>
      <w:r w:rsidDel="00000000" w:rsidR="00000000" w:rsidRPr="00000000">
        <w:rPr>
          <w:rFonts w:ascii="Verdana" w:cs="Verdana" w:eastAsia="Verdana" w:hAnsi="Verdana"/>
          <w:b w:val="1"/>
          <w:rtl w:val="0"/>
        </w:rPr>
        <w:t xml:space="preserve"> </w:t>
      </w:r>
      <w:r w:rsidDel="00000000" w:rsidR="00000000" w:rsidRPr="00000000">
        <w:rPr>
          <w:rFonts w:ascii="Palatino Linotype" w:cs="Palatino Linotype" w:eastAsia="Palatino Linotype" w:hAnsi="Palatino Linotype"/>
          <w:b w:val="1"/>
          <w:rtl w:val="0"/>
        </w:rPr>
        <w:t xml:space="preserve">00059/GUBERNA/IP/2023 </w:t>
      </w:r>
      <w:r w:rsidDel="00000000" w:rsidR="00000000" w:rsidRPr="00000000">
        <w:rPr>
          <w:rFonts w:ascii="Palatino Linotype" w:cs="Palatino Linotype" w:eastAsia="Palatino Linotype" w:hAnsi="Palatino Linotype"/>
          <w:rtl w:val="0"/>
        </w:rPr>
        <w:t xml:space="preserve">requirió información relativa al predio conocido como “Alamontilla Orillal y Pantano”, ubicado en la Avenida Bordo de Xochiaca, sin número, entre los municipios de Nezahualcóyotl y Chimalhuacán, consistente en: </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“1.- Que indique cual es la situación jurídica del predio conocido como “Alamontilla Orillal y Pantano (…)</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2.-  Que proporcione las medidas y colindancias, del predio a que se hace referencia en el punto anterior, identificado en la nota como “Las casitas”, donde fueron desalojados aproximadamente 300 casas.</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3.- Que indique las acciones legales que emprendió el Gobierno del Estado de México, o si ordeno o delego dicha función, a algún funcionario o dependencia de gobierno, derivado del desalojo del predio conocido como “las casitas” donde se llevo a cabo el desalojo de 300 personas aproximadamente.</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4.- Que indique si el Gobierno del Estado de México, inicio algún proceso o denuncia en contra del C. Manuel Solís Berber, quien fue el presunto fraccionador del predio “Las Casitas”.</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5.- Que la secretaria de Seguridad Ciudadana del Estado de México, indique el número de elementos policiacos que participaron en dicho operativo y si eran Municipales, Estatales o Ministeriales y cuantos elementos participaron de cada corporación, en su caso.</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6.- Que indique cual fue el motivo que origino su intervención y desalojo de las personas del predio conocido como “Las casitas”.</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7.- Que mencione si conoce cual es el nombre del propietario del predio desalojado, denominado “Alamontilla, Orillal y Pantano”, y como sabe lo anterior.</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8.- Que diga si alguna dependencia del Estado de México, a iniciado algún procedimiento, sobre el predio denominado “Alamontilla, Orillal y Pantano”, que tipo de procedimiento es, y el numero de expediente que se haya formado por tales motivos.</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9.- Que diga si ha notificado de algún procedimiento que se haya ejecutado sobre el predio denominado “Alamontilla, Orillal y Pantano”, a persona física o moral alguna, y cuando ocurrió ello.</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10.- Que refiera cuantos metros de predio fueron cercados por el Gobierno del Estado de México, una vez desalojados los ocupantes del predio señalado en el punto 1.</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11.- Que indique si ha transferido la posesión a persona física o moral, o alguna autoridad y bajo que título, una vez desalojados los ocupantes del predio señalado en el punto 1.</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12.- Que indique si existe algún procedimiento de expropiación sobre dicho predio, y cuando fue publicado en la Gaceta de Gobierno, proporcionando copia de la misma.</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13.- Cuando fue la última actuación de parte del Gobierno del Estado de México, por si o por cualquiera de las dependencias que lo conforman, en el predio señalado en el punto 1.</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14.- Que indique si, después del operativo de desalojo a que se hace referencia en el punto numero 1, tomo la posesión del mismo y en cuantos metros cuadrados</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15.- Si coloco sellos de clausura derivado del operativo señalado en el punto 1, sobre el predio que ocupaba la zona denominada “Las casitas”.</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16.- Que diga que fue lo que encontró en el operativo señalado en el punto 1.</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17.- cual era el uso que tenia el predio señalado en el punto numero 1, al momento del operativo de desalojo.</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18.- Que diga si alguna persona le ha presentado algún título de propiedad o se ha ostentado como propietario del inmueble conocido como “Alamontilla Orillal y Pantano”, (…)</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19.- que diga cuales son las funciones de la PROPAEM.</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20.- que diga que tipo de intervención ha tenido la PROPAEM en el predio conocido como “Alamontilla Orillal y Pantano”, (…)</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21.- que diga si la Procuraduría (hoy Fiscalía) General del Estado de México, ha iniciado alguna Averiguación Previa o Carpeta de Investigación, derivada de la intervención del Gobierno del Estado de México, derivada o posterior al desalojo de la zona conocida como “Las casitas” a que hace referencia el punto 1.” (Sic) </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Entonces,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a través de la Unidad de Transparencia, notificó a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dentro de los tres días hábiles que otorga la Ley de Transparencia y Acceso a la Información Pública en su artículo 167, la incompetencia para manifestarse en torno a la información que le fue requerida, y en aras de dar cumplimiento al referido precepto legal, notificó los Sujetos Obligados que pudieran contar con la información como lo son la Secretaría General de Gobierno, la Secretaría de Seguridad, la Secretaría de Justicia y Derechos Humanos y la Fiscalía General de Justicia, todas dependencias del Estado de México. </w:t>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quedó plasmado en el Antecedente número tres de este fallo,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accedió a la defensa de su Derecho Humano a la Información Pública interponiendo el presente recurso de revisión, y mediante el cual, combatió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por declararse incompetente y además por no  encontrarse debidamente fundada y motivada, según su propio escrito que dice:</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“Señalo de manera concreta, que la respuesta por parte del sujeto obligado, NO CUMPLE con los principios EN MATERIA DE TRANSPARENCIA, ya que la misma,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es incompleta, no se encuentra debidamente fundada y motivada,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razón a que si bien es cierto, contiene manifestaciones y menciones a diferentes disposiciones legales, los mismos, no son exactamente aplicables al caso en concreto, no puede ser desconocido por el sujeto obligado, con lo cual se demuestra EL DOLO Y LA MALA FE, con la cual se está conduciendo, máxime que se trata de información pública de oficio, y que debe constar en el portal electrónico de cualquier manera, no siendo óbice el que no se proporcione la temporalidad, ya que es obvio que deberán proporcionar la información del Periodo de la actual administración, pues el nombre y datos de los funcionarios de los cuales se solicitó la información, son públicos, y que no se está cumpliendo con las obligaciones previstas a su cargo, en la Ley Transparencia y Acceso a la Información Pública del Estado de México y Municipios.</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Es por ello que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no puede alegar</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desconocimiento o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incompetencia,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ya que en todo caso y en base al principio de justicia pronta y expedita, es que debió canalizar dicha solicitud a las dependencias BAJO SU MANDO, ya que la incompetencia, se origina únicamente cuando se refiere a otra autoridad AUTÓNOMA Y DIFERENTE del sujeto obligado, sobre la cual no tiene coerción o mandato, y que entonces si se vería impedido para requerirles la entrega de la información solicitada, en ese tenor</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 no se dan los supuestos señalados en el articulo 167 de la ley de la materia.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(Sic)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Énfasis añadido</w:t>
      </w:r>
    </w:p>
    <w:p w:rsidR="00000000" w:rsidDel="00000000" w:rsidP="00000000" w:rsidRDefault="00000000" w:rsidRPr="00000000" w14:paraId="0000016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Después,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en la Etapa de Instrucción de este medio de impugnación, remitió su Informe Justificado signado de nueva cuenta por la Unidad de Transparencia, actuación procesal en el que se ratificaron todos y cada uno de sus puntos la respuesta primigenia a la solicitud </w:t>
      </w:r>
      <w:r w:rsidDel="00000000" w:rsidR="00000000" w:rsidRPr="00000000">
        <w:rPr>
          <w:rFonts w:ascii="Palatino Linotype" w:cs="Palatino Linotype" w:eastAsia="Palatino Linotype" w:hAnsi="Palatino Linotype"/>
          <w:b w:val="1"/>
          <w:rtl w:val="0"/>
        </w:rPr>
        <w:t xml:space="preserve">00059/GUBERNA/IP/2023. </w:t>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6A">
      <w:pPr>
        <w:spacing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Y en uso de su derecho procesal,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en sus manifestaciones hizo saber a este Instituto de Transparencia su inconformidad con la incompetencia dictada por la Gubernatura del Estado de México y de manera toral señaló que </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6B">
      <w:pPr>
        <w:spacing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Si bien podría ser cierto, que no esta obligada a generarla, se presupone que la tiene en su poder o bien, podría solicitarlo a cualquier dependencia bajo su mando, a que remitiera la búsqueda, señalando con precisión, el funcionario que la llevo a cabo, el archivo donde realizo la búsqueda, así como el periodo de tiempo, que abarco esa búsqueda, para que su argumento, fuera más o menos creíble…” (Sic)</w:t>
      </w:r>
    </w:p>
    <w:p w:rsidR="00000000" w:rsidDel="00000000" w:rsidP="00000000" w:rsidRDefault="00000000" w:rsidRPr="00000000" w14:paraId="0000016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abundado en los detalles del expediente que integra este medio de inconformidad, para este Pleno es importante ilustrar la esfera de competencia con la que cuenta la Gubernatura del Estado de México como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y delimitar si efectivamente es incompetente o no para dotar de la información requerida. </w:t>
      </w:r>
    </w:p>
    <w:p w:rsidR="00000000" w:rsidDel="00000000" w:rsidP="00000000" w:rsidRDefault="00000000" w:rsidRPr="00000000" w14:paraId="0000016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En tal sentido, es necesario traer a contexto el Manual General de Organización de la Gubernatura que establece el objetivo y las funciones por Unidad Administrativa de la estructura orgánica del </w:t>
      </w:r>
      <w:r w:rsidDel="00000000" w:rsidR="00000000" w:rsidRPr="00000000">
        <w:rPr>
          <w:rFonts w:ascii="Palatino Linotype" w:cs="Palatino Linotype" w:eastAsia="Palatino Linotype" w:hAnsi="Palatino Linotype"/>
          <w:b w:val="1"/>
          <w:rtl w:val="0"/>
        </w:rPr>
        <w:t xml:space="preserve">SUJETO OBLIGADO:</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V. Objetivo y Funciones por Unidad Administrativa </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201100000 SECRETARÍA PARTICULAR </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OBJETIVO: </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Contribuir al eficiente desarrollo de las funciones del titular del Ejecutivo Estatal, mediante la organización y coordinación de las actividades propias de su cargo, así como mantenerlo informado sobre los compromisos oficiales contraídos. </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FUNCIONES: </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Programar, previo acuerdo con el titular del Ejecutivo Estatal, lo referente a las solicitudes de audiencias, acuerdos, reuniones de trabajo, visitas, giras, entrevistas y demás eventos en los que el C. Gobernador deba participar, a fin de calendarizar y coordinar la realización de sus actividades. </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Atender las solicitudes de audiencia personales y por escrito, que los ciudadanos formulen al titular del Ejecutivo Estatal. </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Registrar en la agenda del titular del Ejecutivo Estatal, los compromisos derivados de sus funciones. </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Acordar periódicamente con el C. Gobernador, a fin de enterarlo de los asuntos que le sean planteados en forma verbal o por escrito. </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Preparar las reuniones de trabajo del C. Gobernador con el C. Presidente de la República y con funcionarios de las dependencias de las diferentes instancias de Gobierno, proporcionándole la información necesaria para apoyar la adecuada toma de decisiones. </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Coordinar, dirigir y controlar las actividades de las diferentes unidades administrativas adscritas a la Secretaria Particular.</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Coordinar los mecanismos de seguimiento a las instrucciones giradas por el C. Gobernador, tanto en las giras y eventos, como en la documentación que le sea presentada en audiencias y acuerdos. </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Coordinar la elaboración de los programas de actividades y supervisar que todo evento en el que participe el C. Gobernador se realice conforme a lo previsto. </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Supervisar, con base en el programa de giras del C. Gobernador, la oportuna atención de los requerimientos para cada una de ellas, y coordinarse con las áreas correspondientes. </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Recibir y turnar las instrucciones del C. Gobernador a los titulares de las dependencias, realizando su seguimiento a fin de verificar su cumplimiento. </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Establecer comunicación y coordinarse con los funcionarios designados por el C. Gobernador para que asistan en su representación a diversos actos y/o eventos. </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Apoyar con oportunidad, eficacia y eficiencia los asuntos que atienda directamente el titular del Ejecutivo Estatal, garantizando el cumplimiento de los acuerdos y decisiones que dicte en cada caso. </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Establecer coordinación con autoridades federales, estatales y municipales, cuando las funciones propias del C. Gobernador así lo requieran. </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Controlar y tramitar la correspondencia dirigida al C. Gobernador, así como analizar la información y llevar el control de la gestión de los compromisos del mismo. </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Desarrollar las demás funciones inherentes al área de su competencia y las que le encomiende el C. Gobernador.</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201200000 SECRETARÍA PARTICULAR ADJUNTA </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OBJETIVO: </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Apoyar al Secretario Particular del C. Gobernador del Estado, en la atención y tramitación de los asuntos que le confiere. </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FUNCIONES: </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Coordinar y atender los asuntos, así como desempeñar las comisiones que el Secretario Particular del C. Gobernador le encomiende. </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Apoyar al Secretario Particular del C. Gobernador en la planeación, coordinación, organización y supervisión de los programas para la celebración de los actos públicos y privados, que preside el titular del Poder Ejecutivo. </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Coadyuvar en el desarrollo de las audiencias que le sean delegadas por el Secretario Particular. </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Efectuar el seguimiento e informar al Secretario Particular del C. Gobernador, sobre el cumplimiento de los acuerdos y asuntos turnados a las diversas instancias gubernamentales, así como a los diferentes sectores de la sociedad. </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Supervisar la adecuada y oportuna atención de demandas y solicitudes planteadas al C. Gobernador. </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Supervisar que los apoyos que se requieran para el desarrollo de los actos, eventos y ceremonias en que participe el C. Gobernador, se proporcionen de manera eficiente oportuna y en los términos requeridos. </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Vigilar la recepción, trámite y control de la correspondencia dirigida al titular del Ejecutivo Estatal. </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Supervisar que las audiencias públicas se desarrollen conforme a las normas y lineamientos que determine el titular del Ejecutivo Estatal, garantizando óptimos resultados. </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Suplir al Secretario Particular del C. Gobernador en sus ausencias para la atención del despacho de los asuntos a su cargo. </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Desarrollar las demás funciones inherentes al área de su competencia y las que le encomiende el Secretario Particular del C. Gobernador. </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201101000 SECRETARÍA PRIVADA </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OBJETIVO: </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Brindar atención directa al C. Gobernador en las actividades de carácter privado, supervisando su desarrollo y realizando su seguimiento.</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FUNCIONES: </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Atender los asuntos privados que le encomiende el C. Gobernador. Procurar atención a las personas que asisten a audiencia con el titular del Ejecutivo Estatal. </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Supervisar que las actividades oficiales que presida el C. Gobernador, se realicen conforme al protocolo que para el efecto corresponda. </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Asistir al C. Gobernador en las reuniones de trabajo que se realicen en recintos oficiales. </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Supervisar el estado que guardan las oficinas del C. Gobernador y gestionar ante las instancias correspondientes la dotación de los suministros y servicios que requieran. </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Coordinar las actividades que se realizan en la oficina de Casa Estado de México, confirmando que la dotación de los recursos humanos y materiales, sea la óptima para el desarrollo de las mismas. </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Formular oportunamente las misivas de respuesta a las atenciones recibidas por el C. Gobernador y los integrantes de su familia. </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Mantener el registro y control sobre la correspondencia privada del C. Gobernador y, en su caso, canalizarla a las instancias correspondientes para su atención. </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Actualizar los directorios de consulta permanente del titular del Ejecutivo Estatal. </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Coordinar el protocolo de compromisos con carácter institucional y personales del C. Gobernador en los recintos oficiales. </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Atender las instrucciones y responsabilidades que le encomiende el titular del Ejecutivo Estatal. </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Desarrollar las demás funciones inherentes al área de su competencia. </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201120000 SECRETARÍA AUXILIAR </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OBJETIVO: </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Coadyuvar en las actividades que realiza el C. Gobernador en giras, eventos, reuniones u otras, mediante el otorgamiento oportuno de apoyos informativos, de comunicación y de atención directa, así como instruir el seguimiento de los asuntos que le sean turnados por el titular del Ejecutivo. </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FUNCIONES: </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Asistir al C. Gobernador en sus giras, reuniones y demás eventos en los que participe. </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Integrar la información y documentos que requiera el C. Gobernador en las actividades que realiza. </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Atender y canalizar a las instancias correspondientes, a las personas que instruya el C. Gobernador. </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Tramitar los asuntos que el C. Gobernador le encomiende y realizar el seguimiento en su atención. </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Revisar, analizar y resumir la información emitida en los medios de comunicación y órganos institucionales del Gobierno Estatal y Federal, para hacerla del conocimiento del titular del Ejecutivo y de la Secretaría Particular. </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Mantener comunicación permanente con las áreas competentes para coordinarse en el desarrollo de giras de trabajo y eventos, puntualizando la forma y los tiempos de éstas, y las necesidades de información o de apoyos materiales que se requieran. </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Remitir a las instancias correspondientes las solicitudes y demandas de la población, recibidas por el C. Gobernador en los actos en que participa. </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Desarrollar las demás funciones inherentes al área de su competencia y las que determine el titular del Ejecutivo y el Secretario Particular del C. Gobernador.</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Es así que, del manual previamente citado se tiene la Gubernatura no cuenta con atribuciones para genera, administrar o poseer la información solicitada. </w:t>
      </w:r>
    </w:p>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otro lado, es oportuno citar lo dispuesto por  el artículo 2 de la Ley Orgánica de la Administración Pública del Estado de México, que es del tenor literal siguiente:  </w:t>
      </w:r>
    </w:p>
    <w:p w:rsidR="00000000" w:rsidDel="00000000" w:rsidP="00000000" w:rsidRDefault="00000000" w:rsidRPr="00000000" w14:paraId="000001B7">
      <w:pPr>
        <w:spacing w:line="360" w:lineRule="auto"/>
        <w:ind w:right="49"/>
        <w:rPr/>
      </w:pP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64" w:right="864"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LEY ORGÁNICA DE LA ADMINISTRACIÓN PÚBLICA DEL ESTADO DE MÉXICO </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64" w:right="864"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CAPÍTULO PRIMERO DISPOSICIONES GENERALES</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ejercicio del Poder Ejecutivo corresponde a la persona titular de la Gubernatura del Estado, quien tendrá las atribuciones, funciones y obligaciones que le señalen la Constitución Política de los Estados Unidos Mexicanos, la Constitución Política del Estado Libre y Soberano de México, esta Ley y las demás disposiciones jurídicas relativas vigentes en el Estado.</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Efectivamente, como bien señala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el Poder Ejecutivo recae en una sola persona denominada Gobernador o Gobernadora del Estado de México, sin embargo, resalta la importancia del artículo 4 de la ley en cita que establece: </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Artículo 4.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Para el despacho de los asuntos de su competencia, la persona titular del Poder Ejecutivo del Estado se auxiliará de las dependencias,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unidades administrativas y organismos auxiliares que señalen la Constitución, esta Ley, el Presupuesto de Egresos y las demás disposiciones jurídicas vigentes en el Estado.</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el artículo anterior se vislumbra que la Persona Titular del Poder Ejecutivo en el Estado de México, para el ejercicio de los asuntos de la Administración Pública tendrá a su cargo las siguientes dependencias: </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CAPÍTULO TERCERO DE LA COMPETENCIA DE LAS DEPENDENCIAS DEL EJECUTIVO </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Artículo 23. Para el estudio, planeación y despacho de los asuntos, en los diversos ramos de la Administración Pública, auxiliarán a la persona titular del Poder Ejecutivo del Estado, las siguientes dependencias: </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I. Secretaría General de Gobierno; </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II. Secretaría de Seguridad; </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III. Secretaría de Finanzas; </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IV. Secretaría de Salud; </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V. Secretaría del Trabajo; </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VI. Secretaría de Educación, Ciencia, Tecnología e Innovación; </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VII. Secretaría de Bienestar; </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VIII. Secretaría de Desarrollo Urbano e Infraestructura; </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IX. Secretaría del Campo; </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 Secretaría de Desarrollo Económico; </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XI. Secretaría de Cultura y Turismo; </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XII. Secretaría de la Contraloría;</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XIII. Secretaría del Medio Ambiente y Desarrollo Sostenible; </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XIV. Secretaría del Agua; </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XV. Secretaría de las Mujeres; </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XVI. Secretaría de Movilidad; </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XVII. Consejería Jurídica; y </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XVIII. Oficialía Mayor.</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otras palabras, dentro de la Administración Pública existe una distribución de competencias de las cuales la Ley Orgánica referida es clara en dividir para el despacho de los asuntos que son competencia de la Persona Titular del Poder Ejecutivo del Estado de México, mismas que recaen en una persona que es denominado como Secretario o Secretaria, que a su vez se apoyará en personas titulares de las subsecretarías, direcciones, subdirecciones, jefaturas de unidad, jefaturas de departamento y demás personas servidoras públicas que establezcan los reglamentos y otras disposiciones legales.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este sentido los artículos 9, 20, 21, 24, 25 fracciones IV, VII, VIII y XXIV; 26, 27 fracción XVIII; 56 y 57 fracciones I, XXIII y XXIV de la Ley Orgánica de la Administración Pública del Estado de México establecen: </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Artículo 9. La persona titular del Poder Ejecutivo del Estado podrá celebrar y firmar contratos y convenios con entidades públicas o privadas, así como emitir actos administrativos y resoluciones, previa revisión y rúbrica por parte de la persona titular de la Consejería Jurídica.</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Artículo 20. Para la eficaz atención y eficiente despacho de los asuntos de su competencia,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las dependencias del Ejecutivo podrán contar con órganos administrativos desconcentrados que les estarán jerárquicamente subordinados y tendrán facultades específicas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para resolver sobre la materia 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dentro del ámbito territorial que se determine en cada caso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Artículo 21. Las personas titulares de las dependencias del Ejecutivo formularán proyectos de ley, reglamentos, decretos y acuerdos de las materias que correspondan a su competencia y las remitirán a la persona titular del Poder Ejecutivo del Estado a través de la persona titular de la Consejería Jurídica.</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Artículo 24. La Secretaría General de Gobierno es el Órgano encargado de conducir, por delegación de la persona titular del Poder Ejecutivo del Estado, la política interior del Estado y la coordinación y supervisión del despacho de los asuntos encomendados a las demás dependencias a que se refiere el artículo anterior. </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Artículo 25. La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Secretaría General de Gobierno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contará con las siguientes atribuciones:</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IV. Conducir las relaciones del Poder Ejecutivo con los demás poderes, así como con los ayuntamientos del Estado, autoridades de otras Entidades Federativas, los órganos constitucionales autónomos, partidos y/o agrupaciones políticas nacionales o estatales, así como con las organizaciones sociales;</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VII. Cumplir y hacer cumplir las políticas, los acuerdos, las órdenes, las circulares y demás disposiciones del Poder Ejecutivo del Estado;</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VIII. Analizar los problemas y conflictos sociales que surjan en el Estado para inducir la conciliación y mejorar la gobernanza democrática que de sustento a la legitimidad política y la unidad social en el Estado de México; </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XXIV. Ejecutar, en coordinación con la Consejería Jurídica,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los decretos de expropiación de conformidad con la legislación aplicable</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Artículo 26.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La Secretaría de Seguridad</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es la dependencia encargada de planear, formular, conducir, coordinar, ejecutar, supervisar y evaluar las políticas, programas y acciones en materia de seguridad pública.</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Artículo 27. La Secretaría de Seguridad contará con las siguientes atribuciones:</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XVIII.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Coordinar y prestar los servicios en las tareas de la recuperación de espacios públicos ocupados ilegalmente dentro del territorio estatal</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beneficio de la población para su movilidad, recreación y tránsito libre;</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F5">
      <w:pPr>
        <w:rPr/>
      </w:pP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56.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La Consejería Jurídica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es la dependencia encargada de diseñar y coordinar la política jurídica y de acceso a la justicia del Poder Ejecutivo, de planear, programar, dirigir, resolver, controlar y evaluar las funciones del registro civil, del notariado, las relativas a la demarcación y conservación de los límites del Estado y sus municipios, en coordinación con las autoridades competentes, de la función registral, legalizaciones y apostillamiento, de la defensoría pública, administración de la publicación del Periódico Oficial "Gaceta del Gobierno", las relativas al reconocimiento, promoción, atención y defensa de los derechos humanos desde el Poder Ejecutivo, de proporcionar información de los ordenamientos legales, coordinarse con los responsables de las unidades de asuntos jurídicos de cada dependencia de la Administración Pública, en materia jurídica de las dependencias y demás disposiciones de observancia general en el Estado. </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Artículo 57.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 la Consejería Jurídica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le corresponde el despacho de los siguientes asuntos:</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 Representar a la persona titular del Poder Ejecutivo del Estado, de la Secretaría General de Gobierno, y de la Subsecretaría General de Gobierno, en los juicios y procedimientos de carácter jurisdiccional en los que sean parte; así como intervenir en aquellos actos jurídicos que la persona titular del Poder Ejecutivo del Estado le indique; pudiendo delegar esta representación en terceros o personas subalternas para que la ejerzan individual o conjuntamente, de conformidad con las disposiciones reglamentarias;</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XXIII. Realizar los actos jurídicos necesarios para reivindicar la propiedad del Estado;</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XXIV. Substanciar el trámite de expropiación y solicitar a las dependencias u organismos auxiliares competentes los informes, dictámenes, peritajes y demás elementos para acreditar la idoneidad material y técnica del bien de que se trate o la existencia del valor histórico, artístico o cultural, así como la causa de utilidad pública en que se sustente en términos de las disposiciones jurídicas aplicables;</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FE">
      <w:pPr>
        <w:spacing w:line="360" w:lineRule="auto"/>
        <w:ind w:right="19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anterior, las dependencias del Poder Ejecutivo con atribuciones para generar, administrar o poseer la información pública solicitada de manera enunciativa más no limitativa son la Secretaría General de Gobierno, la Secretaría de Seguridad y la Consejería Jurídica. </w:t>
      </w:r>
    </w:p>
    <w:p w:rsidR="00000000" w:rsidDel="00000000" w:rsidP="00000000" w:rsidRDefault="00000000" w:rsidRPr="00000000" w14:paraId="000001FF">
      <w:pPr>
        <w:spacing w:line="360" w:lineRule="auto"/>
        <w:ind w:right="19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00">
      <w:pPr>
        <w:spacing w:line="360" w:lineRule="auto"/>
        <w:ind w:right="19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lo anterior y derivado de la naturaleza de la información solicitada, resulta la importancia para este Pleno de vislumbrar la posible competencia de otro Sujeto Obligado de naturaleza autónoma que podría dar trámite a lo solicitado por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es decir, la Fiscalía General de Justicia del Estado de México, cuyo marco normativo refiere que: </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LEY DE LA FISCALÍA GENERAL DE JUSTICIA DEL ESTADO DE MÉXICO </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CAPÍTULO PRIMERO DE LAS DISPOSICIONES GENERALES </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Artículo 1. La presente Ley es de orden público e interés general y tiene por objeto establecer las atribuciones, organización y funciones de la Fiscalía General de Justicia del Estado de México, como órgano público autónomo, dotado de personalidad jurídica y patrimonio propio con autonomía presupuestal, técnica y de gestión, con capacidad para decidir sobre el ejercicio de su presupuesto, así como de los órganos que la integran, para el despacho de los asuntos que al Ministerio Público, la Policía de Investigación y a los Servicios Periciales le confieren la Constitución Política de los Estados Unidos Mexicanos, la Constitución Política del Estado Libre y Soberano de México, el Código Nacional de Procedimientos Penales la presente Ley y las demás disposiciones jurídicas aplicables.</w:t>
      </w:r>
    </w:p>
    <w:p w:rsidR="00000000" w:rsidDel="00000000" w:rsidP="00000000" w:rsidRDefault="00000000" w:rsidRPr="00000000" w14:paraId="00000205">
      <w:pPr>
        <w:rPr/>
      </w:pP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SECCIÓN SEGUNDA DE LAS ATRIBUCIONES DE LA FISCALÍA GENERAL DE JUSTICIA DEL ESTADO DE MÉXICO </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Artículo 10. La Fiscalía contará con las atribuciones siguientes: </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 Ejercer las facultades que la Constitución Federal, la Constitución del Estado y las demás disposiciones jurídicas aplicables le confieren al Ministerio Público, a la Policía de Investigación y a los Servicios Periciales, así como en materia de Justicia Restaurativa, en el ámbito de su competencia.</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IV. Coadyuvar con las instituciones de Procuración de Justicia de la Federación y de las entidades federativas, en la investigación de los delitos y en la persecución de los imputados, en los términos de su normatividad y de los convenios correspondientes y demás instrumentos jurídicos que se formalicen al respecto.</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CAPÍTULO TERCERO DE LA O EL FISCAL GENERAL DE JUSTICIA DEL ESTADO DE MÉXICO </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SECCIÓN PRIMERA DE LAS ATRIBUCIONES DE LA O EL FISCAL GENERAL DE JUSTICIA DEL ESTADO DE MÉXICO </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Artículo 21. Al frente de la Fiscalía estará la o el Fiscal General cuya autoridad se extiende a todas y todos sus servidores públicos. </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Las funciones de Ministerio Público en el Estado las ejerce la o el Fiscal General por sí o por conducto de las y los agentes que al efecto designe conforme a las disposiciones de la presente Ley. </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Artículo 22. A la o el Fiscal General le corresponden las atribuciones siguientes: </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 Dirigir, organizar, administrar, controlar y supervisar el funcionamiento de la Fiscalía. </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II. Representar a la Fiscalía, para todos los efectos legales, de conformidad con la normatividad aplicable. </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III. Ejercer, por sí o por conducto de sus subalternos, las atribuciones que confiere a la Fiscalía la presente Ley y demás ordenamientos jurídicos aplicables.</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IV. Velar por la exacta observancia de la Constitución Federal, los tratados internacionales de los que México sea parte, la Constitución del Estado y las leyes que de ellas emanen, en el ámbito de su competencia.</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8">
      <w:pPr>
        <w:spacing w:line="360" w:lineRule="auto"/>
        <w:ind w:right="19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la Ley de la Fiscalía General de Justicia del Estado de México se pretende determinar la competencia como Sujeto Obligado de remitir la información solicitada, esto a expensas de que la misma cumpla con los requisitos de procedibilidad enmarcados por la Ley de Transparencia y Acceso a la Información Pública del Estado de México y Municipios para su entrega, situación que en su momento, se deberá determinar por el referido Órgano Público Autónomo. </w:t>
      </w:r>
    </w:p>
    <w:p w:rsidR="00000000" w:rsidDel="00000000" w:rsidP="00000000" w:rsidRDefault="00000000" w:rsidRPr="00000000" w14:paraId="00000219">
      <w:pPr>
        <w:spacing w:line="360" w:lineRule="auto"/>
        <w:ind w:right="19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616"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Ahora bien, el artículo 167 de la Ley de Transparencia y Acceso a la Información Pública del Estado de México y Municipios, establece que cuando las unidades de transparencia determinen la notoria incompetencia por parte del Sujeto Obligado, dentro del ámbito de aplicación, deberán comunicarlo al solicitante y en su caso orientarlo, dentro de los tres días posteriores a las recepciones de la solicitud de acceso a la información:</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 </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32"/>
          <w:szCs w:val="3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Así de la interpretación sistemática de la disposición antes citada, se obtiene que en aquellos casos en que la información pública solicitada, no sea de la competencia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ante quien se presentó aquélla, éste tiene el deber de comunicarlo a la persona solicitante, y en su caso orientarla sobre la dependencia pública ante quien debe presentar su solicitud, por ser la que genera, posee o administra la información pública que pretende obtener. De tal forma que el plazo, para orientarle a efecto de que dirija su solicitud ante el Sujeto Obligado que genera, posee o administra la información pública, es de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tres días hábiles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siguientes al que se presenta la solicitud.</w:t>
      </w:r>
      <w:r w:rsidDel="00000000" w:rsidR="00000000" w:rsidRPr="00000000">
        <w:rPr>
          <w:rtl w:val="0"/>
        </w:rPr>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este caso, es oportuno señalar que la declinación de competencia se realizó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en tiempo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toda vez que se aprecia la solicitud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00059/GUBERNA/IP/2023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 presentó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catorce de marzo de dos mil veintitrés,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y la cual se respondió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diecisiete de marzo del mismo año,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esta razón la declinación de competencia se realizó con apego al plazo señalado en la legislación; asimismo, es de señalar que en la respuesta, el orientó al particular para dirigir su solicitud de información ante los Sujetos Obligados competentes al señalar:</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inline distB="0" distT="0" distL="0" distR="0">
            <wp:extent cx="4385801" cy="2443999"/>
            <wp:effectExtent b="0" l="0" r="0" t="0"/>
            <wp:docPr id="33"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4385801" cy="2443999"/>
                    </a:xfrm>
                    <a:prstGeom prst="rect"/>
                    <a:ln/>
                  </pic:spPr>
                </pic:pic>
              </a:graphicData>
            </a:graphic>
          </wp:inline>
        </w:drawing>
      </w:r>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lo tanto se concluye que la declinación de competencia realizada por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 SUJETO OBLIGADO,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 hizo en tiempo y forma, conforme al artículo 167 contenido en la Ley de Transparencia y Acceso a la Información Pública del Estado de México y Municipios.</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ese tenor, se dejan a salvo los derechos de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LA PARTE RECURRENTE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para que presente la solicitud de información ante el o los Sujetos Obligados competentes. </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both"/>
        <w:rPr>
          <w:rFonts w:ascii="Palatino Linotype" w:cs="Palatino Linotype" w:eastAsia="Palatino Linotype" w:hAnsi="Palatino Linotype"/>
          <w:b w:val="1"/>
          <w:i w:val="0"/>
          <w:smallCaps w:val="0"/>
          <w:strike w:val="0"/>
          <w:color w:val="000000"/>
          <w:sz w:val="32"/>
          <w:szCs w:val="3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lo anteriormente expuesto, resulta evidente que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 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proporcionó respuesta a la solicitud de información que le fue presentada. En esta tesitura se entiende que no se vulneró el Derecho de Acceso a la Información de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LA PARTE RECURRENTE.</w:t>
      </w:r>
      <w:r w:rsidDel="00000000" w:rsidR="00000000" w:rsidRPr="00000000">
        <w:rPr>
          <w:rtl w:val="0"/>
        </w:rPr>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48" w:firstLine="0"/>
        <w:jc w:val="both"/>
        <w:rPr>
          <w:rFonts w:ascii="Palatino Linotype" w:cs="Palatino Linotype" w:eastAsia="Palatino Linotype" w:hAnsi="Palatino Linotype"/>
          <w:b w:val="0"/>
          <w:i w:val="0"/>
          <w:smallCaps w:val="0"/>
          <w:strike w:val="0"/>
          <w:color w:val="000000"/>
          <w:sz w:val="32"/>
          <w:szCs w:val="3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 lo anterior, resultan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INFUNDADAS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las razones o motivos de inconformidad hechos valer por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LA PARTE RECURRENTE y</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en términos del artículo 186 fracción II, este Pleno determina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CONFIRMAR</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la respuesta a la solicitud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00059/GUBERNA/IP/2023</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toda vez que no hubo afectación al Derecho Humano de Acceso a la Información establecido constitucionalmente a favor de la persona solicitante. </w:t>
      </w:r>
      <w:r w:rsidDel="00000000" w:rsidR="00000000" w:rsidRPr="00000000">
        <w:rPr>
          <w:rtl w:val="0"/>
        </w:rPr>
      </w:r>
    </w:p>
    <w:p w:rsidR="00000000" w:rsidDel="00000000" w:rsidP="00000000" w:rsidRDefault="00000000" w:rsidRPr="00000000" w14:paraId="0000022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22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2F">
      <w:pPr>
        <w:numPr>
          <w:ilvl w:val="0"/>
          <w:numId w:val="3"/>
        </w:numPr>
        <w:pBdr>
          <w:top w:space="0" w:sz="0" w:val="nil"/>
          <w:left w:space="0" w:sz="0" w:val="nil"/>
          <w:bottom w:space="0" w:sz="0" w:val="nil"/>
          <w:right w:space="0" w:sz="0" w:val="nil"/>
          <w:between w:space="0" w:sz="0" w:val="nil"/>
        </w:pBdr>
        <w:spacing w:line="360" w:lineRule="auto"/>
        <w:ind w:left="1080" w:hanging="72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 E S U E L V E:</w:t>
      </w:r>
    </w:p>
    <w:p w:rsidR="00000000" w:rsidDel="00000000" w:rsidP="00000000" w:rsidRDefault="00000000" w:rsidRPr="00000000" w14:paraId="00000230">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231">
      <w:pPr>
        <w:spacing w:line="360" w:lineRule="auto"/>
        <w:ind w:right="51"/>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Resultan </w:t>
      </w:r>
      <w:r w:rsidDel="00000000" w:rsidR="00000000" w:rsidRPr="00000000">
        <w:rPr>
          <w:rFonts w:ascii="Palatino Linotype" w:cs="Palatino Linotype" w:eastAsia="Palatino Linotype" w:hAnsi="Palatino Linotype"/>
          <w:b w:val="1"/>
          <w:rtl w:val="0"/>
        </w:rPr>
        <w:t xml:space="preserve">INFUNDADOS </w:t>
      </w:r>
      <w:r w:rsidDel="00000000" w:rsidR="00000000" w:rsidRPr="00000000">
        <w:rPr>
          <w:rFonts w:ascii="Palatino Linotype" w:cs="Palatino Linotype" w:eastAsia="Palatino Linotype" w:hAnsi="Palatino Linotype"/>
          <w:rtl w:val="0"/>
        </w:rPr>
        <w:t xml:space="preserve">los motivos de inconformidad aducidos por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en el recurso de revisión </w:t>
      </w:r>
      <w:r w:rsidDel="00000000" w:rsidR="00000000" w:rsidRPr="00000000">
        <w:rPr>
          <w:rFonts w:ascii="Palatino Linotype" w:cs="Palatino Linotype" w:eastAsia="Palatino Linotype" w:hAnsi="Palatino Linotype"/>
          <w:b w:val="1"/>
          <w:rtl w:val="0"/>
        </w:rPr>
        <w:t xml:space="preserve">01684/INFOEM/IP/RR/2023 </w:t>
      </w:r>
      <w:r w:rsidDel="00000000" w:rsidR="00000000" w:rsidRPr="00000000">
        <w:rPr>
          <w:rFonts w:ascii="Palatino Linotype" w:cs="Palatino Linotype" w:eastAsia="Palatino Linotype" w:hAnsi="Palatino Linotype"/>
          <w:rtl w:val="0"/>
        </w:rPr>
        <w:t xml:space="preserve">por lo que, en términos del </w:t>
      </w:r>
      <w:r w:rsidDel="00000000" w:rsidR="00000000" w:rsidRPr="00000000">
        <w:rPr>
          <w:rFonts w:ascii="Palatino Linotype" w:cs="Palatino Linotype" w:eastAsia="Palatino Linotype" w:hAnsi="Palatino Linotype"/>
          <w:b w:val="1"/>
          <w:rtl w:val="0"/>
        </w:rPr>
        <w:t xml:space="preserve">CONSIDERANDO CUARTO</w:t>
      </w:r>
      <w:r w:rsidDel="00000000" w:rsidR="00000000" w:rsidRPr="00000000">
        <w:rPr>
          <w:rFonts w:ascii="Palatino Linotype" w:cs="Palatino Linotype" w:eastAsia="Palatino Linotype" w:hAnsi="Palatino Linotype"/>
          <w:rtl w:val="0"/>
        </w:rPr>
        <w:t xml:space="preserve"> de esta resolución, se </w:t>
      </w:r>
      <w:r w:rsidDel="00000000" w:rsidR="00000000" w:rsidRPr="00000000">
        <w:rPr>
          <w:rFonts w:ascii="Palatino Linotype" w:cs="Palatino Linotype" w:eastAsia="Palatino Linotype" w:hAnsi="Palatino Linotype"/>
          <w:b w:val="1"/>
          <w:rtl w:val="0"/>
        </w:rPr>
        <w:t xml:space="preserve">CONFIRMA</w:t>
      </w:r>
      <w:r w:rsidDel="00000000" w:rsidR="00000000" w:rsidRPr="00000000">
        <w:rPr>
          <w:rFonts w:ascii="Palatino Linotype" w:cs="Palatino Linotype" w:eastAsia="Palatino Linotype" w:hAnsi="Palatino Linotype"/>
          <w:rtl w:val="0"/>
        </w:rPr>
        <w:t xml:space="preserve"> la respuesta del </w:t>
      </w:r>
      <w:r w:rsidDel="00000000" w:rsidR="00000000" w:rsidRPr="00000000">
        <w:rPr>
          <w:rFonts w:ascii="Palatino Linotype" w:cs="Palatino Linotype" w:eastAsia="Palatino Linotype" w:hAnsi="Palatino Linotype"/>
          <w:b w:val="1"/>
          <w:rtl w:val="0"/>
        </w:rPr>
        <w:t xml:space="preserve">SUJETO OBLIGADO.</w:t>
      </w:r>
    </w:p>
    <w:p w:rsidR="00000000" w:rsidDel="00000000" w:rsidP="00000000" w:rsidRDefault="00000000" w:rsidRPr="00000000" w14:paraId="0000023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233">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NOTIFÍQUESE </w:t>
      </w:r>
      <w:r w:rsidDel="00000000" w:rsidR="00000000" w:rsidRPr="00000000">
        <w:rPr>
          <w:rFonts w:ascii="Palatino Linotype" w:cs="Palatino Linotype" w:eastAsia="Palatino Linotype" w:hAnsi="Palatino Linotype"/>
          <w:rtl w:val="0"/>
        </w:rPr>
        <w:t xml:space="preserve">vía SAIMEX la presente resolución a la Persona Titular de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su conocimiento.</w:t>
      </w:r>
    </w:p>
    <w:p w:rsidR="00000000" w:rsidDel="00000000" w:rsidP="00000000" w:rsidRDefault="00000000" w:rsidRPr="00000000" w14:paraId="00000234">
      <w:pPr>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35">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NOTIFÍQUESE </w:t>
      </w:r>
      <w:r w:rsidDel="00000000" w:rsidR="00000000" w:rsidRPr="00000000">
        <w:rPr>
          <w:rFonts w:ascii="Palatino Linotype" w:cs="Palatino Linotype" w:eastAsia="Palatino Linotype" w:hAnsi="Palatino Linotype"/>
          <w:rtl w:val="0"/>
        </w:rPr>
        <w:t xml:space="preserve">vía SAIMEX a</w:t>
      </w:r>
      <w:r w:rsidDel="00000000" w:rsidR="00000000" w:rsidRPr="00000000">
        <w:rPr>
          <w:rFonts w:ascii="Palatino Linotype" w:cs="Palatino Linotype" w:eastAsia="Palatino Linotype" w:hAnsi="Palatino Linotype"/>
          <w:b w:val="1"/>
          <w:rtl w:val="0"/>
        </w:rPr>
        <w:t xml:space="preserve"> LA PARTE RECURRENTE</w:t>
      </w:r>
      <w:r w:rsidDel="00000000" w:rsidR="00000000" w:rsidRPr="00000000">
        <w:rPr>
          <w:rFonts w:ascii="Palatino Linotype" w:cs="Palatino Linotype" w:eastAsia="Palatino Linotype" w:hAnsi="Palatino Linotype"/>
          <w:rtl w:val="0"/>
        </w:rPr>
        <w:t xml:space="preserve">, la presente resolución, además que de conformidad con lo establecido en el artículo 196 de la Ley de Transparencia y Acceso a la Información Pública del Estado de México y Municipios, podrá impugnarla vía Juicio de Amparo en los términos de las leyes aplicables.</w:t>
      </w:r>
    </w:p>
    <w:p w:rsidR="00000000" w:rsidDel="00000000" w:rsidP="00000000" w:rsidRDefault="00000000" w:rsidRPr="00000000" w14:paraId="00000236">
      <w:pPr>
        <w:pBdr>
          <w:top w:space="0" w:sz="0" w:val="nil"/>
          <w:left w:space="0" w:sz="0" w:val="nil"/>
          <w:bottom w:space="0" w:sz="0" w:val="nil"/>
          <w:right w:space="0" w:sz="0" w:val="nil"/>
          <w:between w:space="0" w:sz="0" w:val="nil"/>
        </w:pBdr>
        <w:tabs>
          <w:tab w:val="left" w:leader="none" w:pos="3585"/>
        </w:tabs>
        <w:spacing w:line="360" w:lineRule="auto"/>
        <w:jc w:val="both"/>
        <w:rPr/>
      </w:pPr>
      <w:r w:rsidDel="00000000" w:rsidR="00000000" w:rsidRPr="00000000">
        <w:rPr>
          <w:rtl w:val="0"/>
        </w:rPr>
        <w:tab/>
      </w:r>
    </w:p>
    <w:p w:rsidR="00000000" w:rsidDel="00000000" w:rsidP="00000000" w:rsidRDefault="00000000" w:rsidRPr="00000000" w14:paraId="0000023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SEXTA SESIÓN ORDINARIA CELEBRADA EL TRES DE OCTUBRE DE DOS MIL VEINTITRÉS, ANTE EL SECRETARIO TÉCNICO DEL PLENO ALEXIS TAPIA RAMÍREZ.</w:t>
      </w:r>
    </w:p>
    <w:p w:rsidR="00000000" w:rsidDel="00000000" w:rsidP="00000000" w:rsidRDefault="00000000" w:rsidRPr="00000000" w14:paraId="0000023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3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3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3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3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3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3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3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4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4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4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4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4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4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46">
      <w:pPr>
        <w:spacing w:line="360" w:lineRule="auto"/>
        <w:jc w:val="both"/>
        <w:rPr>
          <w:rFonts w:ascii="Palatino Linotype" w:cs="Palatino Linotype" w:eastAsia="Palatino Linotype" w:hAnsi="Palatino Linotype"/>
        </w:rPr>
      </w:pPr>
      <w:r w:rsidDel="00000000" w:rsidR="00000000" w:rsidRPr="00000000">
        <w:rPr>
          <w:rtl w:val="0"/>
        </w:rPr>
      </w:r>
    </w:p>
    <w:sectPr>
      <w:headerReference r:id="rId21" w:type="default"/>
      <w:headerReference r:id="rId22" w:type="first"/>
      <w:footerReference r:id="rId23" w:type="default"/>
      <w:footerReference r:id="rId24"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Arial"/>
  <w:font w:name="Arial Unicode MS"/>
  <w:font w:name="Verdana"/>
  <w:font w:name="Times New Roman"/>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B">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5C">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D">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5E">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7">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-1089024</wp:posOffset>
          </wp:positionH>
          <wp:positionV relativeFrom="paragraph">
            <wp:posOffset>-442593</wp:posOffset>
          </wp:positionV>
          <wp:extent cx="7809865" cy="10165715"/>
          <wp:effectExtent b="0" l="0" r="0" t="0"/>
          <wp:wrapNone/>
          <wp:docPr id="2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1"/>
      <w:tblW w:w="5670.0" w:type="dxa"/>
      <w:jc w:val="left"/>
      <w:tblInd w:w="3261.0" w:type="dxa"/>
      <w:tblLayout w:type="fixed"/>
      <w:tblLook w:val="0400"/>
    </w:tblPr>
    <w:tblGrid>
      <w:gridCol w:w="2551"/>
      <w:gridCol w:w="3119"/>
      <w:tblGridChange w:id="0">
        <w:tblGrid>
          <w:gridCol w:w="2551"/>
          <w:gridCol w:w="3119"/>
        </w:tblGrid>
      </w:tblGridChange>
    </w:tblGrid>
    <w:tr>
      <w:trPr>
        <w:cantSplit w:val="0"/>
        <w:tblHeader w:val="0"/>
      </w:trPr>
      <w:tc>
        <w:tcPr>
          <w:shd w:fill="auto" w:val="clear"/>
          <w:vAlign w:val="center"/>
        </w:tcPr>
        <w:p w:rsidR="00000000" w:rsidDel="00000000" w:rsidP="00000000" w:rsidRDefault="00000000" w:rsidRPr="00000000" w14:paraId="00000248">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249">
          <w:pPr>
            <w:tabs>
              <w:tab w:val="left" w:leader="none" w:pos="3153"/>
            </w:tabs>
            <w:ind w:left="-45" w:firstLine="0"/>
            <w:jc w:val="both"/>
            <w:rPr>
              <w:rFonts w:ascii="Palatino Linotype" w:cs="Palatino Linotype" w:eastAsia="Palatino Linotype" w:hAnsi="Palatino Linotype"/>
              <w:b w:val="1"/>
              <w:sz w:val="22"/>
              <w:szCs w:val="22"/>
              <w:highlight w:val="yellow"/>
            </w:rPr>
          </w:pPr>
          <w:r w:rsidDel="00000000" w:rsidR="00000000" w:rsidRPr="00000000">
            <w:rPr>
              <w:rFonts w:ascii="Palatino Linotype" w:cs="Palatino Linotype" w:eastAsia="Palatino Linotype" w:hAnsi="Palatino Linotype"/>
              <w:b w:val="1"/>
              <w:sz w:val="22"/>
              <w:szCs w:val="22"/>
              <w:rtl w:val="0"/>
            </w:rPr>
            <w:t xml:space="preserve">01684/INFOEM/IP/RR/2023</w:t>
          </w:r>
          <w:r w:rsidDel="00000000" w:rsidR="00000000" w:rsidRPr="00000000">
            <w:rPr>
              <w:rtl w:val="0"/>
            </w:rPr>
          </w:r>
        </w:p>
      </w:tc>
    </w:tr>
    <w:tr>
      <w:trPr>
        <w:cantSplit w:val="0"/>
        <w:trHeight w:val="130" w:hRule="atLeast"/>
        <w:tblHeader w:val="0"/>
      </w:trPr>
      <w:tc>
        <w:tcPr>
          <w:shd w:fill="auto" w:val="clear"/>
          <w:vAlign w:val="center"/>
        </w:tcPr>
        <w:p w:rsidR="00000000" w:rsidDel="00000000" w:rsidP="00000000" w:rsidRDefault="00000000" w:rsidRPr="00000000" w14:paraId="0000024A">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24B">
          <w:pPr>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XXXXXXX XXXXXX XXXX</w:t>
          </w:r>
        </w:p>
      </w:tc>
    </w:tr>
    <w:tr>
      <w:trPr>
        <w:cantSplit w:val="0"/>
        <w:trHeight w:val="228" w:hRule="atLeast"/>
        <w:tblHeader w:val="0"/>
      </w:trPr>
      <w:tc>
        <w:tcPr>
          <w:shd w:fill="auto" w:val="clear"/>
          <w:vAlign w:val="center"/>
        </w:tcPr>
        <w:p w:rsidR="00000000" w:rsidDel="00000000" w:rsidP="00000000" w:rsidRDefault="00000000" w:rsidRPr="00000000" w14:paraId="0000024C">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24D">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Gubernatura</w:t>
          </w:r>
        </w:p>
      </w:tc>
    </w:tr>
    <w:tr>
      <w:trPr>
        <w:cantSplit w:val="0"/>
        <w:tblHeader w:val="0"/>
      </w:trPr>
      <w:tc>
        <w:tcPr>
          <w:shd w:fill="auto" w:val="clear"/>
          <w:vAlign w:val="center"/>
        </w:tcPr>
        <w:p w:rsidR="00000000" w:rsidDel="00000000" w:rsidP="00000000" w:rsidRDefault="00000000" w:rsidRPr="00000000" w14:paraId="0000024E">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24F">
          <w:pPr>
            <w:ind w:left="-45"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250">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1">
    <w:pPr>
      <w:rPr>
        <w:rFonts w:ascii="Cambria" w:cs="Cambria" w:eastAsia="Cambria" w:hAnsi="Cambria"/>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-1079499</wp:posOffset>
          </wp:positionH>
          <wp:positionV relativeFrom="paragraph">
            <wp:posOffset>-487679</wp:posOffset>
          </wp:positionV>
          <wp:extent cx="7809865" cy="10165715"/>
          <wp:effectExtent b="0" l="0" r="0" t="0"/>
          <wp:wrapNone/>
          <wp:docPr id="2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5670.0" w:type="dxa"/>
      <w:jc w:val="left"/>
      <w:tblInd w:w="3114.0" w:type="dxa"/>
      <w:tblLayout w:type="fixed"/>
      <w:tblLook w:val="0400"/>
    </w:tblPr>
    <w:tblGrid>
      <w:gridCol w:w="2551"/>
      <w:gridCol w:w="3119"/>
      <w:tblGridChange w:id="0">
        <w:tblGrid>
          <w:gridCol w:w="2551"/>
          <w:gridCol w:w="3119"/>
        </w:tblGrid>
      </w:tblGridChange>
    </w:tblGrid>
    <w:tr>
      <w:trPr>
        <w:cantSplit w:val="0"/>
        <w:tblHeader w:val="0"/>
      </w:trPr>
      <w:tc>
        <w:tcPr>
          <w:shd w:fill="auto" w:val="clear"/>
        </w:tcPr>
        <w:p w:rsidR="00000000" w:rsidDel="00000000" w:rsidP="00000000" w:rsidRDefault="00000000" w:rsidRPr="00000000" w14:paraId="0000025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253">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01684/INFOEM/IP/RR/2023</w:t>
          </w:r>
        </w:p>
      </w:tc>
    </w:tr>
    <w:tr>
      <w:trPr>
        <w:cantSplit w:val="0"/>
        <w:trHeight w:val="228" w:hRule="atLeast"/>
        <w:tblHeader w:val="0"/>
      </w:trPr>
      <w:tc>
        <w:tcPr>
          <w:shd w:fill="auto" w:val="clear"/>
          <w:vAlign w:val="center"/>
        </w:tcPr>
        <w:p w:rsidR="00000000" w:rsidDel="00000000" w:rsidP="00000000" w:rsidRDefault="00000000" w:rsidRPr="00000000" w14:paraId="0000025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255">
          <w:pPr>
            <w:ind w:right="176"/>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Gubernatura</w:t>
          </w:r>
        </w:p>
      </w:tc>
    </w:tr>
    <w:tr>
      <w:trPr>
        <w:cantSplit w:val="0"/>
        <w:tblHeader w:val="0"/>
      </w:trPr>
      <w:tc>
        <w:tcPr>
          <w:shd w:fill="auto" w:val="clear"/>
          <w:vAlign w:val="center"/>
        </w:tcPr>
        <w:p w:rsidR="00000000" w:rsidDel="00000000" w:rsidP="00000000" w:rsidRDefault="00000000" w:rsidRPr="00000000" w14:paraId="00000256">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257">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r>
      <w:trPr>
        <w:cantSplit w:val="0"/>
        <w:tblHeader w:val="0"/>
      </w:trPr>
      <w:tc>
        <w:tcPr>
          <w:shd w:fill="auto" w:val="clear"/>
          <w:vAlign w:val="center"/>
        </w:tcPr>
        <w:p w:rsidR="00000000" w:rsidDel="00000000" w:rsidP="00000000" w:rsidRDefault="00000000" w:rsidRPr="00000000" w14:paraId="00000258">
          <w:pPr>
            <w:ind w:right="-108"/>
            <w:rPr>
              <w:rFonts w:ascii="Palatino Linotype" w:cs="Palatino Linotype" w:eastAsia="Palatino Linotype" w:hAnsi="Palatino Linotype"/>
              <w:b w:val="1"/>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259">
          <w:pPr>
            <w:ind w:right="175"/>
            <w:jc w:val="both"/>
            <w:rPr>
              <w:rFonts w:ascii="Palatino Linotype" w:cs="Palatino Linotype" w:eastAsia="Palatino Linotype" w:hAnsi="Palatino Linotype"/>
              <w:b w:val="1"/>
              <w:sz w:val="22"/>
              <w:szCs w:val="22"/>
            </w:rPr>
          </w:pPr>
          <w:r w:rsidDel="00000000" w:rsidR="00000000" w:rsidRPr="00000000">
            <w:rPr>
              <w:rtl w:val="0"/>
            </w:rPr>
          </w:r>
        </w:p>
      </w:tc>
    </w:tr>
  </w:tbl>
  <w:p w:rsidR="00000000" w:rsidDel="00000000" w:rsidP="00000000" w:rsidRDefault="00000000" w:rsidRPr="00000000" w14:paraId="0000025A">
    <w:pPr>
      <w:rPr>
        <w:rFonts w:ascii="Cambria" w:cs="Cambria" w:eastAsia="Cambria" w:hAnsi="Cambria"/>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927" w:hanging="360"/>
      </w:pPr>
      <w:rPr>
        <w:b w:val="1"/>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3">
    <w:lvl w:ilvl="0">
      <w:start w:val="3"/>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11CAF"/>
  </w:style>
  <w:style w:type="paragraph" w:styleId="Ttulo1">
    <w:name w:val="heading 1"/>
    <w:basedOn w:val="Normal"/>
    <w:next w:val="Normal"/>
    <w:link w:val="Ttulo1Car"/>
    <w:uiPriority w:val="9"/>
    <w:qFormat w:val="1"/>
    <w:rsid w:val="00603D72"/>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paragraph" w:styleId="Ttulo2">
    <w:name w:val="heading 2"/>
    <w:basedOn w:val="Normal"/>
    <w:next w:val="Normal"/>
    <w:link w:val="Ttulo2Car"/>
    <w:uiPriority w:val="9"/>
    <w:semiHidden w:val="1"/>
    <w:unhideWhenUsed w:val="1"/>
    <w:qFormat w:val="1"/>
    <w:rsid w:val="00603D72"/>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paragraph" w:styleId="Ttulo3">
    <w:name w:val="heading 3"/>
    <w:basedOn w:val="Normal"/>
    <w:next w:val="Normal"/>
    <w:link w:val="Ttulo3Car"/>
    <w:uiPriority w:val="9"/>
    <w:semiHidden w:val="1"/>
    <w:unhideWhenUsed w:val="1"/>
    <w:qFormat w:val="1"/>
    <w:rsid w:val="003B73CD"/>
    <w:pPr>
      <w:keepNext w:val="1"/>
      <w:tabs>
        <w:tab w:val="num" w:pos="2160"/>
      </w:tabs>
      <w:spacing w:after="60" w:before="240"/>
      <w:ind w:left="2160" w:hanging="720"/>
      <w:outlineLvl w:val="2"/>
    </w:pPr>
    <w:rPr>
      <w:rFonts w:asciiTheme="majorHAnsi" w:cstheme="majorBidi" w:eastAsiaTheme="majorEastAsia" w:hAnsiTheme="majorHAnsi"/>
      <w:b w:val="1"/>
      <w:bCs w:val="1"/>
      <w:sz w:val="26"/>
      <w:szCs w:val="26"/>
      <w:lang w:eastAsia="en-US" w:val="en-US"/>
    </w:rPr>
  </w:style>
  <w:style w:type="paragraph" w:styleId="Ttulo4">
    <w:name w:val="heading 4"/>
    <w:basedOn w:val="Normal"/>
    <w:next w:val="Normal"/>
    <w:link w:val="Ttulo4Car"/>
    <w:uiPriority w:val="9"/>
    <w:semiHidden w:val="1"/>
    <w:unhideWhenUsed w:val="1"/>
    <w:qFormat w:val="1"/>
    <w:rsid w:val="003B73CD"/>
    <w:pPr>
      <w:keepNext w:val="1"/>
      <w:tabs>
        <w:tab w:val="num" w:pos="2880"/>
      </w:tabs>
      <w:spacing w:after="60" w:before="240"/>
      <w:ind w:left="2880" w:hanging="720"/>
      <w:outlineLvl w:val="3"/>
    </w:pPr>
    <w:rPr>
      <w:rFonts w:asciiTheme="minorHAnsi" w:cstheme="minorBidi" w:eastAsiaTheme="minorEastAsia" w:hAnsiTheme="minorHAnsi"/>
      <w:b w:val="1"/>
      <w:bCs w:val="1"/>
      <w:sz w:val="28"/>
      <w:szCs w:val="28"/>
      <w:lang w:eastAsia="en-US" w:val="en-US"/>
    </w:rPr>
  </w:style>
  <w:style w:type="paragraph" w:styleId="Ttulo5">
    <w:name w:val="heading 5"/>
    <w:basedOn w:val="Normal"/>
    <w:next w:val="Normal"/>
    <w:link w:val="Ttulo5Car"/>
    <w:uiPriority w:val="9"/>
    <w:semiHidden w:val="1"/>
    <w:unhideWhenUsed w:val="1"/>
    <w:qFormat w:val="1"/>
    <w:rsid w:val="003B73CD"/>
    <w:pPr>
      <w:tabs>
        <w:tab w:val="num" w:pos="3600"/>
      </w:tabs>
      <w:spacing w:after="60" w:before="240"/>
      <w:ind w:left="3600" w:hanging="720"/>
      <w:outlineLvl w:val="4"/>
    </w:pPr>
    <w:rPr>
      <w:rFonts w:asciiTheme="minorHAnsi" w:cstheme="minorBidi" w:eastAsiaTheme="minorEastAsia" w:hAnsiTheme="minorHAnsi"/>
      <w:b w:val="1"/>
      <w:bCs w:val="1"/>
      <w:i w:val="1"/>
      <w:iCs w:val="1"/>
      <w:sz w:val="26"/>
      <w:szCs w:val="26"/>
      <w:lang w:eastAsia="en-US" w:val="en-US"/>
    </w:rPr>
  </w:style>
  <w:style w:type="paragraph" w:styleId="Ttulo6">
    <w:name w:val="heading 6"/>
    <w:basedOn w:val="Normal"/>
    <w:next w:val="Normal"/>
    <w:link w:val="Ttulo6Car"/>
    <w:uiPriority w:val="9"/>
    <w:semiHidden w:val="1"/>
    <w:unhideWhenUsed w:val="1"/>
    <w:qFormat w:val="1"/>
    <w:rsid w:val="003B73CD"/>
    <w:pPr>
      <w:tabs>
        <w:tab w:val="num" w:pos="4320"/>
      </w:tabs>
      <w:spacing w:after="60" w:before="240"/>
      <w:ind w:left="4320" w:hanging="720"/>
      <w:outlineLvl w:val="5"/>
    </w:pPr>
    <w:rPr>
      <w:b w:val="1"/>
      <w:bCs w:val="1"/>
      <w:sz w:val="22"/>
      <w:szCs w:val="22"/>
      <w:lang w:eastAsia="en-US" w:val="en-US"/>
    </w:rPr>
  </w:style>
  <w:style w:type="paragraph" w:styleId="Ttulo7">
    <w:name w:val="heading 7"/>
    <w:basedOn w:val="Normal"/>
    <w:next w:val="Normal"/>
    <w:link w:val="Ttulo7Car"/>
    <w:uiPriority w:val="9"/>
    <w:semiHidden w:val="1"/>
    <w:unhideWhenUsed w:val="1"/>
    <w:qFormat w:val="1"/>
    <w:rsid w:val="003B73CD"/>
    <w:pPr>
      <w:tabs>
        <w:tab w:val="num" w:pos="5040"/>
      </w:tabs>
      <w:spacing w:after="60" w:before="240"/>
      <w:ind w:left="5040" w:hanging="720"/>
      <w:outlineLvl w:val="6"/>
    </w:pPr>
    <w:rPr>
      <w:rFonts w:asciiTheme="minorHAnsi" w:cstheme="minorBidi" w:eastAsiaTheme="minorEastAsia" w:hAnsiTheme="minorHAnsi"/>
      <w:lang w:eastAsia="en-US" w:val="en-US"/>
    </w:rPr>
  </w:style>
  <w:style w:type="paragraph" w:styleId="Ttulo8">
    <w:name w:val="heading 8"/>
    <w:basedOn w:val="Normal"/>
    <w:next w:val="Normal"/>
    <w:link w:val="Ttulo8Car"/>
    <w:uiPriority w:val="9"/>
    <w:semiHidden w:val="1"/>
    <w:unhideWhenUsed w:val="1"/>
    <w:qFormat w:val="1"/>
    <w:rsid w:val="003B73CD"/>
    <w:pPr>
      <w:tabs>
        <w:tab w:val="num" w:pos="5760"/>
      </w:tabs>
      <w:spacing w:after="60" w:before="240"/>
      <w:ind w:left="5760" w:hanging="720"/>
      <w:outlineLvl w:val="7"/>
    </w:pPr>
    <w:rPr>
      <w:rFonts w:asciiTheme="minorHAnsi" w:cstheme="minorBidi" w:eastAsiaTheme="minorEastAsia" w:hAnsiTheme="minorHAnsi"/>
      <w:i w:val="1"/>
      <w:iCs w:val="1"/>
      <w:lang w:eastAsia="en-US" w:val="en-US"/>
    </w:rPr>
  </w:style>
  <w:style w:type="paragraph" w:styleId="Ttulo9">
    <w:name w:val="heading 9"/>
    <w:basedOn w:val="Normal"/>
    <w:next w:val="Normal"/>
    <w:link w:val="Ttulo9Car"/>
    <w:uiPriority w:val="9"/>
    <w:semiHidden w:val="1"/>
    <w:unhideWhenUsed w:val="1"/>
    <w:qFormat w:val="1"/>
    <w:rsid w:val="003B73CD"/>
    <w:pPr>
      <w:tabs>
        <w:tab w:val="num" w:pos="6480"/>
      </w:tabs>
      <w:spacing w:after="60" w:before="240"/>
      <w:ind w:left="6480" w:hanging="720"/>
      <w:outlineLvl w:val="8"/>
    </w:pPr>
    <w:rPr>
      <w:rFonts w:asciiTheme="majorHAnsi" w:cstheme="majorBidi" w:eastAsiaTheme="majorEastAsia" w:hAnsiTheme="majorHAnsi"/>
      <w:sz w:val="22"/>
      <w:szCs w:val="22"/>
      <w:lang w:eastAsia="en-US"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10" w:customStyle="1">
    <w:name w:val="Table Normal10"/>
    <w:tblPr>
      <w:tblCellMar>
        <w:top w:w="0.0" w:type="dxa"/>
        <w:left w:w="0.0" w:type="dxa"/>
        <w:bottom w:w="0.0" w:type="dxa"/>
        <w:right w:w="0.0" w:type="dxa"/>
      </w:tblCellMar>
    </w:tblPr>
  </w:style>
  <w:style w:type="table" w:styleId="TableNormal9" w:customStyle="1">
    <w:name w:val="Table Normal9"/>
    <w:tblPr>
      <w:tblCellMar>
        <w:top w:w="0.0" w:type="dxa"/>
        <w:left w:w="0.0" w:type="dxa"/>
        <w:bottom w:w="0.0" w:type="dxa"/>
        <w:right w:w="0.0" w:type="dxa"/>
      </w:tblCellMar>
    </w:tblPr>
  </w:style>
  <w:style w:type="table" w:styleId="TableNormal8" w:customStyle="1">
    <w:name w:val="Table Normal8"/>
    <w:tblPr>
      <w:tblCellMar>
        <w:top w:w="0.0" w:type="dxa"/>
        <w:left w:w="0.0" w:type="dxa"/>
        <w:bottom w:w="0.0" w:type="dxa"/>
        <w:right w:w="0.0" w:type="dxa"/>
      </w:tblCellMar>
    </w:tblPr>
  </w:style>
  <w:style w:type="table" w:styleId="TableNormal7" w:customStyle="1">
    <w:name w:val="Table Normal7"/>
    <w:tblPr>
      <w:tblCellMar>
        <w:top w:w="0.0" w:type="dxa"/>
        <w:left w:w="0.0" w:type="dxa"/>
        <w:bottom w:w="0.0" w:type="dxa"/>
        <w:right w:w="0.0" w:type="dxa"/>
      </w:tblCellMar>
    </w:tblPr>
  </w:style>
  <w:style w:type="table" w:styleId="TableNormal6" w:customStyle="1">
    <w:name w:val="Table Normal6"/>
    <w:tblPr>
      <w:tblCellMar>
        <w:top w:w="0.0" w:type="dxa"/>
        <w:left w:w="0.0" w:type="dxa"/>
        <w:bottom w:w="0.0" w:type="dxa"/>
        <w:right w:w="0.0" w:type="dxa"/>
      </w:tblCellMar>
    </w:tblPr>
  </w:style>
  <w:style w:type="table" w:styleId="TableNormal5" w:customStyle="1">
    <w:name w:val="Table Normal5"/>
    <w:tblPr>
      <w:tblCellMar>
        <w:top w:w="0.0" w:type="dxa"/>
        <w:left w:w="0.0" w:type="dxa"/>
        <w:bottom w:w="0.0" w:type="dxa"/>
        <w:right w:w="0.0" w:type="dxa"/>
      </w:tblCellMar>
    </w:tblPr>
  </w:style>
  <w:style w:type="table" w:styleId="TableNormal4" w:customStyle="1">
    <w:name w:val="Table Normal4"/>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table" w:styleId="TableNormal20" w:customStyle="1">
    <w:name w:val="Table Normal2"/>
    <w:tblPr>
      <w:tblCellMar>
        <w:top w:w="0.0" w:type="dxa"/>
        <w:left w:w="0.0" w:type="dxa"/>
        <w:bottom w:w="0.0" w:type="dxa"/>
        <w:right w:w="0.0" w:type="dxa"/>
      </w:tblCellMar>
    </w:tblPr>
  </w:style>
  <w:style w:type="table" w:styleId="TableNormal11" w:customStyle="1">
    <w:name w:val="Table Norm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70703E"/>
    <w:pPr>
      <w:ind w:left="720"/>
      <w:contextualSpacing w:val="1"/>
    </w:pPr>
  </w:style>
  <w:style w:type="character" w:styleId="Hipervnculo">
    <w:name w:val="Hyperlink"/>
    <w:basedOn w:val="Fuentedeprrafopredeter"/>
    <w:uiPriority w:val="99"/>
    <w:unhideWhenUsed w:val="1"/>
    <w:rsid w:val="00FD7589"/>
    <w:rPr>
      <w:color w:val="0000ff"/>
      <w:u w:val="single"/>
    </w:rPr>
  </w:style>
  <w:style w:type="character" w:styleId="apple-converted-space" w:customStyle="1">
    <w:name w:val="apple-converted-space"/>
    <w:basedOn w:val="Fuentedeprrafopredeter"/>
    <w:rsid w:val="00FD7589"/>
  </w:style>
  <w:style w:type="paragraph" w:styleId="Listavistosa-nfasis11" w:customStyle="1">
    <w:name w:val="Lista vistosa - Énfasis 11"/>
    <w:basedOn w:val="Normal"/>
    <w:link w:val="Listavistosa-nfasis1Car"/>
    <w:uiPriority w:val="34"/>
    <w:qFormat w:val="1"/>
    <w:rsid w:val="000D2D89"/>
    <w:pPr>
      <w:ind w:left="708"/>
    </w:pPr>
  </w:style>
  <w:style w:type="character" w:styleId="Listavistosa-nfasis1Car" w:customStyle="1">
    <w:name w:val="Lista vistosa - Énfasis 1 Car"/>
    <w:link w:val="Listavistosa-nfasis11"/>
    <w:uiPriority w:val="34"/>
    <w:locked w:val="1"/>
    <w:rsid w:val="000D2D89"/>
    <w:rPr>
      <w:rFonts w:ascii="Times New Roman" w:cs="Times New Roman" w:eastAsia="Times New Roman" w:hAnsi="Times New Roman"/>
      <w:lang w:val="es-ES"/>
    </w:rPr>
  </w:style>
  <w:style w:type="paragraph" w:styleId="Texto" w:customStyle="1">
    <w:name w:val="Texto"/>
    <w:basedOn w:val="Normal"/>
    <w:link w:val="TextoCar"/>
    <w:rsid w:val="000470FE"/>
    <w:pPr>
      <w:spacing w:after="101" w:line="216" w:lineRule="exact"/>
      <w:ind w:firstLine="288"/>
      <w:jc w:val="both"/>
    </w:pPr>
    <w:rPr>
      <w:rFonts w:ascii="Arial" w:cs="Arial" w:hAnsi="Arial"/>
      <w:sz w:val="18"/>
      <w:szCs w:val="18"/>
    </w:rPr>
  </w:style>
  <w:style w:type="paragraph" w:styleId="NormalWeb">
    <w:name w:val="Normal (Web)"/>
    <w:basedOn w:val="Normal"/>
    <w:uiPriority w:val="99"/>
    <w:rsid w:val="000470FE"/>
    <w:pPr>
      <w:spacing w:after="100" w:afterAutospacing="1" w:before="100" w:beforeAutospacing="1"/>
    </w:pPr>
  </w:style>
  <w:style w:type="character" w:styleId="apple-style-span" w:customStyle="1">
    <w:name w:val="apple-style-span"/>
    <w:rsid w:val="008846E7"/>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7E1FF4"/>
    <w:rPr>
      <w:rFonts w:ascii="Times New Roman" w:cs="Times New Roman" w:eastAsia="Times New Roman" w:hAnsi="Times New Roman"/>
      <w:lang w:val="es-ES"/>
    </w:rPr>
  </w:style>
  <w:style w:type="character" w:styleId="Textoennegrita">
    <w:name w:val="Strong"/>
    <w:uiPriority w:val="22"/>
    <w:qFormat w:val="1"/>
    <w:rsid w:val="003D1B5F"/>
    <w:rPr>
      <w:b w:val="1"/>
      <w:bCs w:val="1"/>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2944C8"/>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eastAsia="en-US"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val="1"/>
    <w:qFormat w:val="1"/>
    <w:rsid w:val="002944C8"/>
    <w:rPr>
      <w:vertAlign w:val="superscript"/>
    </w:rPr>
  </w:style>
  <w:style w:type="paragraph" w:styleId="Sinespaciado">
    <w:name w:val="No Spacing"/>
    <w:aliases w:val="Francesa"/>
    <w:link w:val="SinespaciadoCar"/>
    <w:uiPriority w:val="1"/>
    <w:qFormat w:val="1"/>
    <w:rsid w:val="002944C8"/>
  </w:style>
  <w:style w:type="paragraph" w:styleId="Textoindependiente2">
    <w:name w:val="Body Text 2"/>
    <w:basedOn w:val="Normal"/>
    <w:link w:val="Textoindependiente2Car"/>
    <w:uiPriority w:val="99"/>
    <w:unhideWhenUsed w:val="1"/>
    <w:rsid w:val="002944C8"/>
    <w:pPr>
      <w:spacing w:after="120" w:line="480" w:lineRule="auto"/>
    </w:pPr>
  </w:style>
  <w:style w:type="character" w:styleId="Textoindependiente2Car" w:customStyle="1">
    <w:name w:val="Texto independiente 2 Car"/>
    <w:basedOn w:val="Fuentedeprrafopredeter"/>
    <w:link w:val="Textoindependiente2"/>
    <w:uiPriority w:val="99"/>
    <w:rsid w:val="002944C8"/>
    <w:rPr>
      <w:rFonts w:ascii="Times New Roman" w:cs="Times New Roman" w:eastAsia="Times New Roman" w:hAnsi="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styleId="TextosinformatoCar" w:customStyle="1">
    <w:name w:val="Texto sin formato Car"/>
    <w:basedOn w:val="Fuentedeprrafopredeter"/>
    <w:link w:val="Textosinformato"/>
    <w:rsid w:val="002944C8"/>
    <w:rPr>
      <w:rFonts w:ascii="Courier New" w:cs="Times New Roman" w:eastAsia="Times New Roman" w:hAnsi="Courier New"/>
      <w:sz w:val="20"/>
      <w:szCs w:val="20"/>
      <w:lang w:val="es-ES"/>
    </w:rPr>
  </w:style>
  <w:style w:type="paragraph" w:styleId="Standard" w:customStyle="1">
    <w:name w:val="Standard"/>
    <w:rsid w:val="002944C8"/>
    <w:pPr>
      <w:widowControl w:val="0"/>
      <w:suppressAutoHyphens w:val="1"/>
      <w:autoSpaceDN w:val="0"/>
      <w:textAlignment w:val="baseline"/>
    </w:pPr>
    <w:rPr>
      <w:rFonts w:ascii="Liberation Serif" w:cs="Lohit Hindi" w:eastAsia="DejaVu Sans" w:hAnsi="Liberation Serif"/>
      <w:kern w:val="3"/>
      <w:lang w:bidi="hi-IN" w:eastAsia="zh-CN"/>
    </w:rPr>
  </w:style>
  <w:style w:type="character" w:styleId="negritas1" w:customStyle="1">
    <w:name w:val="negritas1"/>
    <w:rsid w:val="002944C8"/>
    <w:rPr>
      <w:rFonts w:ascii="Arial" w:cs="Arial" w:hAnsi="Arial" w:hint="default"/>
      <w:b w:val="1"/>
      <w:bCs w:val="1"/>
      <w:sz w:val="18"/>
      <w:szCs w:val="18"/>
    </w:rPr>
  </w:style>
  <w:style w:type="paragraph" w:styleId="Pa2" w:customStyle="1">
    <w:name w:val="Pa2"/>
    <w:basedOn w:val="Normal"/>
    <w:next w:val="Normal"/>
    <w:uiPriority w:val="99"/>
    <w:rsid w:val="002944C8"/>
    <w:pPr>
      <w:autoSpaceDE w:val="0"/>
      <w:autoSpaceDN w:val="0"/>
      <w:adjustRightInd w:val="0"/>
      <w:spacing w:line="240" w:lineRule="atLeast"/>
    </w:pPr>
    <w:rPr>
      <w:rFonts w:ascii="Helvetica" w:hAnsi="Helvetica"/>
      <w:lang w:eastAsia="es-ES_tradnl" w:val="es-ES_tradnl"/>
    </w:rPr>
  </w:style>
  <w:style w:type="paragraph" w:styleId="Default" w:customStyle="1">
    <w:name w:val="Default"/>
    <w:rsid w:val="002944C8"/>
    <w:pPr>
      <w:autoSpaceDE w:val="0"/>
      <w:autoSpaceDN w:val="0"/>
      <w:adjustRightInd w:val="0"/>
    </w:pPr>
    <w:rPr>
      <w:rFonts w:ascii="Arial" w:cs="Arial" w:hAnsi="Arial" w:eastAsiaTheme="minorHAnsi"/>
      <w:color w:val="000000"/>
      <w:lang w:eastAsia="en-US"/>
    </w:rPr>
  </w:style>
  <w:style w:type="character" w:styleId="f" w:customStyle="1">
    <w:name w:val="f"/>
    <w:basedOn w:val="Fuentedeprrafopredeter"/>
    <w:rsid w:val="002944C8"/>
  </w:style>
  <w:style w:type="paragraph" w:styleId="q" w:customStyle="1">
    <w:name w:val="q"/>
    <w:basedOn w:val="Normal"/>
    <w:rsid w:val="002944C8"/>
    <w:pPr>
      <w:spacing w:after="100" w:afterAutospacing="1" w:before="100" w:beforeAutospacing="1"/>
    </w:pPr>
  </w:style>
  <w:style w:type="character" w:styleId="d" w:customStyle="1">
    <w:name w:val="d"/>
    <w:basedOn w:val="Fuentedeprrafopredeter"/>
    <w:rsid w:val="002944C8"/>
  </w:style>
  <w:style w:type="character" w:styleId="b" w:customStyle="1">
    <w:name w:val="b"/>
    <w:basedOn w:val="Fuentedeprrafopredeter"/>
    <w:rsid w:val="002944C8"/>
  </w:style>
  <w:style w:type="character" w:styleId="k" w:customStyle="1">
    <w:name w:val="k"/>
    <w:basedOn w:val="Fuentedeprrafopredeter"/>
    <w:rsid w:val="002944C8"/>
  </w:style>
  <w:style w:type="character" w:styleId="h" w:customStyle="1">
    <w:name w:val="h"/>
    <w:basedOn w:val="Fuentedeprrafopredeter"/>
    <w:rsid w:val="002944C8"/>
  </w:style>
  <w:style w:type="character" w:styleId="Hipervnculovisitado">
    <w:name w:val="FollowedHyperlink"/>
    <w:basedOn w:val="Fuentedeprrafopredeter"/>
    <w:uiPriority w:val="99"/>
    <w:semiHidden w:val="1"/>
    <w:unhideWhenUsed w:val="1"/>
    <w:rsid w:val="002944C8"/>
    <w:rPr>
      <w:color w:val="800080" w:themeColor="followedHyperlink"/>
      <w:u w:val="single"/>
    </w:rPr>
  </w:style>
  <w:style w:type="character" w:styleId="CitaHTML">
    <w:name w:val="HTML Cite"/>
    <w:uiPriority w:val="99"/>
    <w:semiHidden w:val="1"/>
    <w:unhideWhenUsed w:val="1"/>
    <w:rsid w:val="00B85C7C"/>
    <w:rPr>
      <w:i w:val="1"/>
      <w:iCs w:val="1"/>
    </w:rPr>
  </w:style>
  <w:style w:type="character" w:styleId="SinespaciadoCar" w:customStyle="1">
    <w:name w:val="Sin espaciado Car"/>
    <w:aliases w:val="Francesa Car"/>
    <w:link w:val="Sinespaciado"/>
    <w:uiPriority w:val="1"/>
    <w:locked w:val="1"/>
    <w:rsid w:val="00270539"/>
    <w:rPr>
      <w:rFonts w:ascii="Times New Roman" w:cs="Times New Roman" w:eastAsia="Times New Roman" w:hAnsi="Times New Roman"/>
      <w:lang w:val="es-MX"/>
    </w:rPr>
  </w:style>
  <w:style w:type="character" w:styleId="medium" w:customStyle="1">
    <w:name w:val="medium"/>
    <w:basedOn w:val="Fuentedeprrafopredeter"/>
    <w:rsid w:val="00354DB7"/>
  </w:style>
  <w:style w:type="table" w:styleId="Tablaconcuadrcula">
    <w:name w:val="Table Grid"/>
    <w:basedOn w:val="Tablanormal"/>
    <w:uiPriority w:val="59"/>
    <w:rsid w:val="00BB3AE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umeroconsecutivo" w:customStyle="1">
    <w:name w:val="numeroconsecutivo"/>
    <w:basedOn w:val="Fuentedeprrafopredeter"/>
    <w:rsid w:val="00615060"/>
  </w:style>
  <w:style w:type="character" w:styleId="titulorubrolgt" w:customStyle="1">
    <w:name w:val="titulorubrolgt"/>
    <w:basedOn w:val="Fuentedeprrafopredeter"/>
    <w:rsid w:val="00615060"/>
  </w:style>
  <w:style w:type="character" w:styleId="ctr" w:customStyle="1">
    <w:name w:val="ctr"/>
    <w:basedOn w:val="Fuentedeprrafopredeter"/>
    <w:rsid w:val="00615060"/>
  </w:style>
  <w:style w:type="paragraph" w:styleId="Textonotaalfinal">
    <w:name w:val="endnote text"/>
    <w:basedOn w:val="Normal"/>
    <w:link w:val="TextonotaalfinalCar"/>
    <w:uiPriority w:val="99"/>
    <w:semiHidden w:val="1"/>
    <w:unhideWhenUsed w:val="1"/>
    <w:rsid w:val="00D25E88"/>
    <w:rPr>
      <w:sz w:val="20"/>
      <w:szCs w:val="20"/>
    </w:rPr>
  </w:style>
  <w:style w:type="character" w:styleId="TextonotaalfinalCar" w:customStyle="1">
    <w:name w:val="Texto nota al final Car"/>
    <w:basedOn w:val="Fuentedeprrafopredeter"/>
    <w:link w:val="Textonotaalfinal"/>
    <w:uiPriority w:val="99"/>
    <w:semiHidden w:val="1"/>
    <w:rsid w:val="00D25E88"/>
    <w:rPr>
      <w:rFonts w:ascii="Times New Roman" w:cs="Times New Roman" w:eastAsia="Times New Roman" w:hAnsi="Times New Roman"/>
      <w:sz w:val="20"/>
      <w:szCs w:val="20"/>
      <w:lang w:val="es-ES"/>
    </w:rPr>
  </w:style>
  <w:style w:type="character" w:styleId="Refdenotaalfinal">
    <w:name w:val="endnote reference"/>
    <w:basedOn w:val="Fuentedeprrafopredeter"/>
    <w:uiPriority w:val="99"/>
    <w:semiHidden w:val="1"/>
    <w:unhideWhenUsed w:val="1"/>
    <w:rsid w:val="00D25E88"/>
    <w:rPr>
      <w:vertAlign w:val="superscript"/>
    </w:rPr>
  </w:style>
  <w:style w:type="character" w:styleId="A1" w:customStyle="1">
    <w:name w:val="A1"/>
    <w:uiPriority w:val="99"/>
    <w:rsid w:val="00EC4ECD"/>
    <w:rPr>
      <w:rFonts w:ascii="Myriad Pro" w:cs="Myriad Pro" w:hAnsi="Myriad Pro" w:hint="default"/>
      <w:color w:val="000000"/>
      <w:sz w:val="22"/>
      <w:szCs w:val="22"/>
    </w:rPr>
  </w:style>
  <w:style w:type="paragraph" w:styleId="Pa9" w:customStyle="1">
    <w:name w:val="Pa9"/>
    <w:basedOn w:val="Normal"/>
    <w:next w:val="Normal"/>
    <w:uiPriority w:val="99"/>
    <w:rsid w:val="00EC4ECD"/>
    <w:pPr>
      <w:autoSpaceDE w:val="0"/>
      <w:autoSpaceDN w:val="0"/>
      <w:adjustRightInd w:val="0"/>
      <w:spacing w:line="241" w:lineRule="atLeast"/>
    </w:pPr>
    <w:rPr>
      <w:rFonts w:ascii="Myriad Pro" w:hAnsi="Myriad Pro" w:cstheme="minorBidi" w:eastAsiaTheme="minorHAnsi"/>
      <w:lang w:eastAsia="en-US"/>
    </w:rPr>
  </w:style>
  <w:style w:type="paragraph" w:styleId="Pa5" w:customStyle="1">
    <w:name w:val="Pa5"/>
    <w:basedOn w:val="Normal"/>
    <w:next w:val="Normal"/>
    <w:uiPriority w:val="99"/>
    <w:rsid w:val="00EC4ECD"/>
    <w:pPr>
      <w:autoSpaceDE w:val="0"/>
      <w:autoSpaceDN w:val="0"/>
      <w:adjustRightInd w:val="0"/>
      <w:spacing w:line="201" w:lineRule="atLeast"/>
    </w:pPr>
    <w:rPr>
      <w:rFonts w:ascii="Myriad Pro" w:hAnsi="Myriad Pro" w:cstheme="minorBidi" w:eastAsiaTheme="minorHAnsi"/>
      <w:lang w:eastAsia="en-US"/>
    </w:rPr>
  </w:style>
  <w:style w:type="paragraph" w:styleId="m5127500252372250437gmail-paragraph" w:customStyle="1">
    <w:name w:val="m_5127500252372250437gmail-paragraph"/>
    <w:basedOn w:val="Normal"/>
    <w:rsid w:val="00980B7E"/>
    <w:pPr>
      <w:spacing w:after="100" w:afterAutospacing="1" w:before="100" w:beforeAutospacing="1"/>
    </w:pPr>
  </w:style>
  <w:style w:type="character" w:styleId="nombrefraccder" w:customStyle="1">
    <w:name w:val="nombrefraccder"/>
    <w:basedOn w:val="Fuentedeprrafopredeter"/>
    <w:rsid w:val="009B4A68"/>
  </w:style>
  <w:style w:type="character" w:styleId="numberfraccder" w:customStyle="1">
    <w:name w:val="numberfraccder"/>
    <w:basedOn w:val="Fuentedeprrafopredeter"/>
    <w:rsid w:val="009B4A68"/>
  </w:style>
  <w:style w:type="character" w:styleId="TextoCar" w:customStyle="1">
    <w:name w:val="Texto Car"/>
    <w:link w:val="Texto"/>
    <w:locked w:val="1"/>
    <w:rsid w:val="002B0963"/>
    <w:rPr>
      <w:rFonts w:ascii="Arial" w:cs="Arial" w:eastAsia="Times New Roman" w:hAnsi="Arial"/>
      <w:sz w:val="18"/>
      <w:szCs w:val="18"/>
      <w:lang w:val="es-MX"/>
    </w:rPr>
  </w:style>
  <w:style w:type="character" w:styleId="nfasis">
    <w:name w:val="Emphasis"/>
    <w:basedOn w:val="Fuentedeprrafopredeter"/>
    <w:uiPriority w:val="20"/>
    <w:qFormat w:val="1"/>
    <w:rsid w:val="00C536F2"/>
    <w:rPr>
      <w:i w:val="1"/>
      <w:iCs w:val="1"/>
    </w:rPr>
  </w:style>
  <w:style w:type="character" w:styleId="normaltextrun" w:customStyle="1">
    <w:name w:val="normaltextrun"/>
    <w:basedOn w:val="Fuentedeprrafopredeter"/>
    <w:rsid w:val="0011437B"/>
  </w:style>
  <w:style w:type="character" w:styleId="m5127500252372250437gmail-normaltextrun" w:customStyle="1">
    <w:name w:val="m_5127500252372250437gmail-normaltextrun"/>
    <w:basedOn w:val="Fuentedeprrafopredeter"/>
    <w:rsid w:val="0011437B"/>
  </w:style>
  <w:style w:type="paragraph" w:styleId="m-60081275284358516gmail-msolistparagraph" w:customStyle="1">
    <w:name w:val="m_-60081275284358516gmail-msolistparagraph"/>
    <w:basedOn w:val="Normal"/>
    <w:rsid w:val="00207C90"/>
    <w:pPr>
      <w:spacing w:after="100" w:afterAutospacing="1" w:before="100" w:beforeAutospacing="1"/>
    </w:pPr>
  </w:style>
  <w:style w:type="paragraph" w:styleId="ANOTACION" w:customStyle="1">
    <w:name w:val="ANOTACION"/>
    <w:basedOn w:val="Normal"/>
    <w:link w:val="ANOTACIONCar"/>
    <w:rsid w:val="001B5A73"/>
    <w:pPr>
      <w:spacing w:after="101" w:before="101" w:line="216" w:lineRule="atLeast"/>
      <w:jc w:val="center"/>
    </w:pPr>
    <w:rPr>
      <w:b w:val="1"/>
      <w:sz w:val="18"/>
      <w:szCs w:val="20"/>
      <w:lang w:val="es-ES_tradnl"/>
    </w:rPr>
  </w:style>
  <w:style w:type="character" w:styleId="ANOTACIONCar" w:customStyle="1">
    <w:name w:val="ANOTACION Car"/>
    <w:link w:val="ANOTACION"/>
    <w:locked w:val="1"/>
    <w:rsid w:val="001B5A73"/>
    <w:rPr>
      <w:rFonts w:ascii="Times New Roman" w:cs="Times New Roman" w:eastAsia="Times New Roman" w:hAnsi="Times New Roman"/>
      <w:b w:val="1"/>
      <w:sz w:val="18"/>
      <w:szCs w:val="20"/>
    </w:rPr>
  </w:style>
  <w:style w:type="paragraph" w:styleId="j" w:customStyle="1">
    <w:name w:val="j"/>
    <w:basedOn w:val="Normal"/>
    <w:rsid w:val="007B00BD"/>
    <w:pPr>
      <w:spacing w:after="100" w:afterAutospacing="1" w:before="100" w:beforeAutospacing="1"/>
    </w:pPr>
  </w:style>
  <w:style w:type="character" w:styleId="nacep" w:customStyle="1">
    <w:name w:val="n_acep"/>
    <w:basedOn w:val="Fuentedeprrafopredeter"/>
    <w:rsid w:val="007B00BD"/>
  </w:style>
  <w:style w:type="paragraph" w:styleId="k5" w:customStyle="1">
    <w:name w:val="k5"/>
    <w:basedOn w:val="Normal"/>
    <w:rsid w:val="007B00BD"/>
    <w:pPr>
      <w:spacing w:after="100" w:afterAutospacing="1" w:before="100" w:beforeAutospacing="1"/>
    </w:pPr>
  </w:style>
  <w:style w:type="paragraph" w:styleId="m" w:customStyle="1">
    <w:name w:val="m"/>
    <w:basedOn w:val="Normal"/>
    <w:rsid w:val="007B00BD"/>
    <w:pPr>
      <w:spacing w:after="100" w:afterAutospacing="1" w:before="100" w:beforeAutospacing="1"/>
    </w:pPr>
  </w:style>
  <w:style w:type="character" w:styleId="Refdecomentario">
    <w:name w:val="annotation reference"/>
    <w:basedOn w:val="Fuentedeprrafopredeter"/>
    <w:uiPriority w:val="99"/>
    <w:semiHidden w:val="1"/>
    <w:unhideWhenUsed w:val="1"/>
    <w:rsid w:val="003219FE"/>
    <w:rPr>
      <w:sz w:val="16"/>
      <w:szCs w:val="16"/>
    </w:rPr>
  </w:style>
  <w:style w:type="paragraph" w:styleId="Textocomentario">
    <w:name w:val="annotation text"/>
    <w:basedOn w:val="Normal"/>
    <w:link w:val="TextocomentarioCar"/>
    <w:uiPriority w:val="99"/>
    <w:semiHidden w:val="1"/>
    <w:unhideWhenUsed w:val="1"/>
    <w:rsid w:val="003219FE"/>
    <w:rPr>
      <w:sz w:val="20"/>
      <w:szCs w:val="20"/>
    </w:rPr>
  </w:style>
  <w:style w:type="character" w:styleId="TextocomentarioCar" w:customStyle="1">
    <w:name w:val="Texto comentario Car"/>
    <w:basedOn w:val="Fuentedeprrafopredeter"/>
    <w:link w:val="Textocomentario"/>
    <w:uiPriority w:val="99"/>
    <w:semiHidden w:val="1"/>
    <w:rsid w:val="003219FE"/>
    <w:rPr>
      <w:rFonts w:ascii="Times New Roman" w:cs="Times New Roman" w:eastAsia="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3219FE"/>
    <w:rPr>
      <w:b w:val="1"/>
      <w:bCs w:val="1"/>
    </w:rPr>
  </w:style>
  <w:style w:type="character" w:styleId="AsuntodelcomentarioCar" w:customStyle="1">
    <w:name w:val="Asunto del comentario Car"/>
    <w:basedOn w:val="TextocomentarioCar"/>
    <w:link w:val="Asuntodelcomentario"/>
    <w:uiPriority w:val="99"/>
    <w:semiHidden w:val="1"/>
    <w:rsid w:val="003219FE"/>
    <w:rPr>
      <w:rFonts w:ascii="Times New Roman" w:cs="Times New Roman" w:eastAsia="Times New Roman" w:hAnsi="Times New Roman"/>
      <w:b w:val="1"/>
      <w:bCs w:val="1"/>
      <w:sz w:val="20"/>
      <w:szCs w:val="20"/>
      <w:lang w:val="es-ES"/>
    </w:rPr>
  </w:style>
  <w:style w:type="paragraph" w:styleId="FAFunotente1" w:customStyle="1">
    <w:name w:val="FA Fu?notente1"/>
    <w:basedOn w:val="Normal"/>
    <w:next w:val="Textonotapie"/>
    <w:uiPriority w:val="99"/>
    <w:unhideWhenUsed w:val="1"/>
    <w:rsid w:val="00A403D3"/>
    <w:rPr>
      <w:rFonts w:eastAsia="Cambria" w:asciiTheme="minorHAnsi" w:cstheme="minorBidi" w:hAnsiTheme="minorHAnsi"/>
      <w:sz w:val="20"/>
      <w:szCs w:val="20"/>
      <w:lang w:eastAsia="en-US"/>
    </w:rPr>
  </w:style>
  <w:style w:type="character" w:styleId="Ttulo1Car" w:customStyle="1">
    <w:name w:val="Título 1 Car"/>
    <w:basedOn w:val="Fuentedeprrafopredeter"/>
    <w:link w:val="Ttulo1"/>
    <w:uiPriority w:val="9"/>
    <w:rsid w:val="00603D72"/>
    <w:rPr>
      <w:rFonts w:asciiTheme="majorHAnsi" w:cstheme="majorBidi" w:eastAsiaTheme="majorEastAsia" w:hAnsiTheme="majorHAnsi"/>
      <w:color w:val="365f91" w:themeColor="accent1" w:themeShade="0000BF"/>
      <w:sz w:val="32"/>
      <w:szCs w:val="32"/>
      <w:lang w:val="es-ES"/>
    </w:rPr>
  </w:style>
  <w:style w:type="character" w:styleId="Ttulo2Car" w:customStyle="1">
    <w:name w:val="Título 2 Car"/>
    <w:basedOn w:val="Fuentedeprrafopredeter"/>
    <w:link w:val="Ttulo2"/>
    <w:uiPriority w:val="9"/>
    <w:rsid w:val="00603D72"/>
    <w:rPr>
      <w:rFonts w:asciiTheme="majorHAnsi" w:cstheme="majorBidi" w:eastAsiaTheme="majorEastAsia" w:hAnsiTheme="majorHAnsi"/>
      <w:color w:val="365f91" w:themeColor="accent1" w:themeShade="0000BF"/>
      <w:sz w:val="26"/>
      <w:szCs w:val="26"/>
      <w:lang w:val="es-ES"/>
    </w:rPr>
  </w:style>
  <w:style w:type="paragraph" w:styleId="Lista">
    <w:name w:val="List"/>
    <w:basedOn w:val="Normal"/>
    <w:uiPriority w:val="99"/>
    <w:unhideWhenUsed w:val="1"/>
    <w:rsid w:val="00603D72"/>
    <w:pPr>
      <w:ind w:left="283" w:hanging="283"/>
      <w:contextualSpacing w:val="1"/>
    </w:pPr>
  </w:style>
  <w:style w:type="paragraph" w:styleId="Lista2">
    <w:name w:val="List 2"/>
    <w:basedOn w:val="Normal"/>
    <w:uiPriority w:val="99"/>
    <w:unhideWhenUsed w:val="1"/>
    <w:rsid w:val="00603D72"/>
    <w:pPr>
      <w:ind w:left="566" w:hanging="283"/>
      <w:contextualSpacing w:val="1"/>
    </w:pPr>
  </w:style>
  <w:style w:type="paragraph" w:styleId="Lista3">
    <w:name w:val="List 3"/>
    <w:basedOn w:val="Normal"/>
    <w:uiPriority w:val="99"/>
    <w:unhideWhenUsed w:val="1"/>
    <w:rsid w:val="00603D72"/>
    <w:pPr>
      <w:ind w:left="849" w:hanging="283"/>
      <w:contextualSpacing w:val="1"/>
    </w:pPr>
  </w:style>
  <w:style w:type="paragraph" w:styleId="Listaconvietas3">
    <w:name w:val="List Bullet 3"/>
    <w:basedOn w:val="Normal"/>
    <w:uiPriority w:val="99"/>
    <w:unhideWhenUsed w:val="1"/>
    <w:rsid w:val="00603D72"/>
    <w:pPr>
      <w:numPr>
        <w:numId w:val="2"/>
      </w:numPr>
      <w:contextualSpacing w:val="1"/>
    </w:pPr>
  </w:style>
  <w:style w:type="paragraph" w:styleId="Continuarlista">
    <w:name w:val="List Continue"/>
    <w:basedOn w:val="Normal"/>
    <w:uiPriority w:val="99"/>
    <w:unhideWhenUsed w:val="1"/>
    <w:rsid w:val="00603D72"/>
    <w:pPr>
      <w:spacing w:after="120"/>
      <w:ind w:left="283"/>
      <w:contextualSpacing w:val="1"/>
    </w:pPr>
  </w:style>
  <w:style w:type="paragraph" w:styleId="Continuarlista2">
    <w:name w:val="List Continue 2"/>
    <w:basedOn w:val="Normal"/>
    <w:uiPriority w:val="99"/>
    <w:unhideWhenUsed w:val="1"/>
    <w:rsid w:val="00603D72"/>
    <w:pPr>
      <w:spacing w:after="120"/>
      <w:ind w:left="566"/>
      <w:contextualSpacing w:val="1"/>
    </w:pPr>
  </w:style>
  <w:style w:type="paragraph" w:styleId="Textoindependiente">
    <w:name w:val="Body Text"/>
    <w:basedOn w:val="Normal"/>
    <w:link w:val="TextoindependienteCar"/>
    <w:uiPriority w:val="99"/>
    <w:unhideWhenUsed w:val="1"/>
    <w:rsid w:val="00603D72"/>
    <w:pPr>
      <w:spacing w:after="120"/>
    </w:pPr>
  </w:style>
  <w:style w:type="character" w:styleId="TextoindependienteCar" w:customStyle="1">
    <w:name w:val="Texto independiente Car"/>
    <w:basedOn w:val="Fuentedeprrafopredeter"/>
    <w:link w:val="Textoindependiente"/>
    <w:uiPriority w:val="99"/>
    <w:rsid w:val="00603D72"/>
    <w:rPr>
      <w:rFonts w:ascii="Times New Roman" w:cs="Times New Roman" w:eastAsia="Times New Roman" w:hAnsi="Times New Roman"/>
      <w:lang w:val="es-ES"/>
    </w:rPr>
  </w:style>
  <w:style w:type="paragraph" w:styleId="Sangradetextonormal">
    <w:name w:val="Body Text Indent"/>
    <w:basedOn w:val="Normal"/>
    <w:link w:val="SangradetextonormalCar"/>
    <w:uiPriority w:val="99"/>
    <w:unhideWhenUsed w:val="1"/>
    <w:rsid w:val="00603D72"/>
    <w:pPr>
      <w:spacing w:after="120"/>
      <w:ind w:left="283"/>
    </w:pPr>
  </w:style>
  <w:style w:type="character" w:styleId="SangradetextonormalCar" w:customStyle="1">
    <w:name w:val="Sangría de texto normal Car"/>
    <w:basedOn w:val="Fuentedeprrafopredeter"/>
    <w:link w:val="Sangradetextonormal"/>
    <w:uiPriority w:val="99"/>
    <w:rsid w:val="00603D72"/>
    <w:rPr>
      <w:rFonts w:ascii="Times New Roman" w:cs="Times New Roman" w:eastAsia="Times New Roman" w:hAnsi="Times New Roman"/>
      <w:lang w:val="es-ES"/>
    </w:rPr>
  </w:style>
  <w:style w:type="paragraph" w:styleId="Textoindependienteprimerasangra2">
    <w:name w:val="Body Text First Indent 2"/>
    <w:basedOn w:val="Sangradetextonormal"/>
    <w:link w:val="Textoindependienteprimerasangra2Car"/>
    <w:uiPriority w:val="99"/>
    <w:unhideWhenUsed w:val="1"/>
    <w:rsid w:val="00603D7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603D72"/>
    <w:rPr>
      <w:rFonts w:ascii="Times New Roman" w:cs="Times New Roman" w:eastAsia="Times New Roman" w:hAnsi="Times New Roman"/>
      <w:lang w:val="es-ES"/>
    </w:rPr>
  </w:style>
  <w:style w:type="paragraph" w:styleId="paragraph" w:customStyle="1">
    <w:name w:val="paragraph"/>
    <w:basedOn w:val="Normal"/>
    <w:rsid w:val="00E34821"/>
    <w:pPr>
      <w:spacing w:after="100" w:afterAutospacing="1" w:before="100" w:beforeAutospacing="1"/>
    </w:pPr>
  </w:style>
  <w:style w:type="paragraph" w:styleId="n2" w:customStyle="1">
    <w:name w:val="n2"/>
    <w:basedOn w:val="Normal"/>
    <w:rsid w:val="009D307C"/>
    <w:pPr>
      <w:spacing w:after="100" w:afterAutospacing="1" w:before="100" w:beforeAutospacing="1"/>
    </w:pPr>
  </w:style>
  <w:style w:type="character" w:styleId="u" w:customStyle="1">
    <w:name w:val="u"/>
    <w:basedOn w:val="Fuentedeprrafopredeter"/>
    <w:rsid w:val="009D307C"/>
  </w:style>
  <w:style w:type="paragraph" w:styleId="j1" w:customStyle="1">
    <w:name w:val="j1"/>
    <w:basedOn w:val="Normal"/>
    <w:rsid w:val="009D307C"/>
    <w:pPr>
      <w:spacing w:after="100" w:afterAutospacing="1" w:before="100" w:beforeAutospacing="1"/>
    </w:pPr>
  </w:style>
  <w:style w:type="paragraph" w:styleId="j2" w:customStyle="1">
    <w:name w:val="j2"/>
    <w:basedOn w:val="Normal"/>
    <w:rsid w:val="009D307C"/>
    <w:pPr>
      <w:spacing w:after="100" w:afterAutospacing="1" w:before="100" w:before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val="1"/>
        <w:bCs w:val="1"/>
      </w:rPr>
      <w:tblPr/>
      <w:tcPr>
        <w:tcBorders>
          <w:bottom w:color="95b3d7" w:space="0" w:sz="4" w:themeColor="accent1" w:themeTint="000099" w:val="single"/>
        </w:tcBorders>
      </w:tcPr>
    </w:tblStylePr>
    <w:tblStylePr w:type="lastRow">
      <w:rPr>
        <w:b w:val="1"/>
        <w:bCs w:val="1"/>
      </w:rPr>
      <w:tblPr/>
      <w:tcPr>
        <w:tcBorders>
          <w:top w:color="95b3d7"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Mencinsinresolver1" w:customStyle="1">
    <w:name w:val="Mención sin resolver1"/>
    <w:basedOn w:val="Fuentedeprrafopredeter"/>
    <w:uiPriority w:val="99"/>
    <w:semiHidden w:val="1"/>
    <w:unhideWhenUsed w:val="1"/>
    <w:rsid w:val="00457753"/>
    <w:rPr>
      <w:color w:val="605e5c"/>
      <w:shd w:color="auto" w:fill="e1dfdd" w:val="clear"/>
    </w:rPr>
  </w:style>
  <w:style w:type="character" w:styleId="Mencinsinresolver2" w:customStyle="1">
    <w:name w:val="Mención sin resolver2"/>
    <w:basedOn w:val="Fuentedeprrafopredeter"/>
    <w:uiPriority w:val="99"/>
    <w:semiHidden w:val="1"/>
    <w:unhideWhenUsed w:val="1"/>
    <w:rsid w:val="00CE48D4"/>
    <w:rPr>
      <w:color w:val="605e5c"/>
      <w:shd w:color="auto" w:fill="e1dfdd" w:val="clear"/>
    </w:rPr>
  </w:style>
  <w:style w:type="table" w:styleId="Tabladelista1clara-nfasis11" w:customStyle="1">
    <w:name w:val="Tabla de lista 1 clara - Énfasis 11"/>
    <w:basedOn w:val="Tablanormal"/>
    <w:uiPriority w:val="46"/>
    <w:rsid w:val="008F79FD"/>
    <w:rPr>
      <w:rFonts w:eastAsia="MS Mincho"/>
    </w:rPr>
    <w:tblPr>
      <w:tblStyleRowBandSize w:val="1"/>
      <w:tblStyleColBandSize w:val="1"/>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character" w:styleId="Ttulo3Car" w:customStyle="1">
    <w:name w:val="Título 3 Car"/>
    <w:basedOn w:val="Fuentedeprrafopredeter"/>
    <w:link w:val="Ttulo3"/>
    <w:uiPriority w:val="9"/>
    <w:semiHidden w:val="1"/>
    <w:rsid w:val="003B73CD"/>
    <w:rPr>
      <w:rFonts w:asciiTheme="majorHAnsi" w:cstheme="majorBidi" w:eastAsiaTheme="majorEastAsia" w:hAnsiTheme="majorHAnsi"/>
      <w:b w:val="1"/>
      <w:bCs w:val="1"/>
      <w:sz w:val="26"/>
      <w:szCs w:val="26"/>
      <w:lang w:eastAsia="en-US" w:val="en-US"/>
    </w:rPr>
  </w:style>
  <w:style w:type="character" w:styleId="Ttulo4Car" w:customStyle="1">
    <w:name w:val="Título 4 Car"/>
    <w:basedOn w:val="Fuentedeprrafopredeter"/>
    <w:link w:val="Ttulo4"/>
    <w:uiPriority w:val="9"/>
    <w:semiHidden w:val="1"/>
    <w:rsid w:val="003B73CD"/>
    <w:rPr>
      <w:b w:val="1"/>
      <w:bCs w:val="1"/>
      <w:sz w:val="28"/>
      <w:szCs w:val="28"/>
      <w:lang w:eastAsia="en-US" w:val="en-US"/>
    </w:rPr>
  </w:style>
  <w:style w:type="character" w:styleId="Ttulo5Car" w:customStyle="1">
    <w:name w:val="Título 5 Car"/>
    <w:basedOn w:val="Fuentedeprrafopredeter"/>
    <w:link w:val="Ttulo5"/>
    <w:uiPriority w:val="9"/>
    <w:semiHidden w:val="1"/>
    <w:rsid w:val="003B73CD"/>
    <w:rPr>
      <w:b w:val="1"/>
      <w:bCs w:val="1"/>
      <w:i w:val="1"/>
      <w:iCs w:val="1"/>
      <w:sz w:val="26"/>
      <w:szCs w:val="26"/>
      <w:lang w:eastAsia="en-US" w:val="en-US"/>
    </w:rPr>
  </w:style>
  <w:style w:type="character" w:styleId="Ttulo6Car" w:customStyle="1">
    <w:name w:val="Título 6 Car"/>
    <w:basedOn w:val="Fuentedeprrafopredeter"/>
    <w:link w:val="Ttulo6"/>
    <w:semiHidden w:val="1"/>
    <w:rsid w:val="003B73CD"/>
    <w:rPr>
      <w:rFonts w:ascii="Times New Roman" w:cs="Times New Roman" w:eastAsia="Times New Roman" w:hAnsi="Times New Roman"/>
      <w:b w:val="1"/>
      <w:bCs w:val="1"/>
      <w:sz w:val="22"/>
      <w:szCs w:val="22"/>
      <w:lang w:eastAsia="en-US" w:val="en-US"/>
    </w:rPr>
  </w:style>
  <w:style w:type="character" w:styleId="Ttulo7Car" w:customStyle="1">
    <w:name w:val="Título 7 Car"/>
    <w:basedOn w:val="Fuentedeprrafopredeter"/>
    <w:link w:val="Ttulo7"/>
    <w:uiPriority w:val="9"/>
    <w:semiHidden w:val="1"/>
    <w:rsid w:val="003B73CD"/>
    <w:rPr>
      <w:lang w:eastAsia="en-US" w:val="en-US"/>
    </w:rPr>
  </w:style>
  <w:style w:type="character" w:styleId="Ttulo8Car" w:customStyle="1">
    <w:name w:val="Título 8 Car"/>
    <w:basedOn w:val="Fuentedeprrafopredeter"/>
    <w:link w:val="Ttulo8"/>
    <w:uiPriority w:val="9"/>
    <w:semiHidden w:val="1"/>
    <w:rsid w:val="003B73CD"/>
    <w:rPr>
      <w:i w:val="1"/>
      <w:iCs w:val="1"/>
      <w:lang w:eastAsia="en-US" w:val="en-US"/>
    </w:rPr>
  </w:style>
  <w:style w:type="character" w:styleId="Ttulo9Car" w:customStyle="1">
    <w:name w:val="Título 9 Car"/>
    <w:basedOn w:val="Fuentedeprrafopredeter"/>
    <w:link w:val="Ttulo9"/>
    <w:uiPriority w:val="9"/>
    <w:semiHidden w:val="1"/>
    <w:rsid w:val="003B73CD"/>
    <w:rPr>
      <w:rFonts w:asciiTheme="majorHAnsi" w:cstheme="majorBidi" w:eastAsiaTheme="majorEastAsia" w:hAnsiTheme="majorHAnsi"/>
      <w:sz w:val="22"/>
      <w:szCs w:val="22"/>
      <w:lang w:eastAsia="en-US" w:val="en-US"/>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11" w:customStyle="1">
    <w:name w:val="11"/>
    <w:basedOn w:val="TableNormal11"/>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10" w:customStyle="1">
    <w:name w:val="10"/>
    <w:basedOn w:val="TableNormal11"/>
    <w:tblPr>
      <w:tblStyleRowBandSize w:val="1"/>
      <w:tblStyleColBandSize w:val="1"/>
      <w:tblCellMar>
        <w:left w:w="115.0" w:type="dxa"/>
        <w:right w:w="115.0" w:type="dxa"/>
      </w:tblCellMar>
    </w:tblPr>
  </w:style>
  <w:style w:type="table" w:styleId="9" w:customStyle="1">
    <w:name w:val="9"/>
    <w:basedOn w:val="TableNormal11"/>
    <w:tblPr>
      <w:tblStyleRowBandSize w:val="1"/>
      <w:tblStyleColBandSize w:val="1"/>
      <w:tblCellMar>
        <w:left w:w="115.0" w:type="dxa"/>
        <w:right w:w="115.0" w:type="dxa"/>
      </w:tblCellMar>
    </w:tblPr>
  </w:style>
  <w:style w:type="character" w:styleId="Mencinsinresolver3" w:customStyle="1">
    <w:name w:val="Mención sin resolver3"/>
    <w:basedOn w:val="Fuentedeprrafopredeter"/>
    <w:uiPriority w:val="99"/>
    <w:semiHidden w:val="1"/>
    <w:unhideWhenUsed w:val="1"/>
    <w:rsid w:val="0094565C"/>
    <w:rPr>
      <w:color w:val="605e5c"/>
      <w:shd w:color="auto" w:fill="e1dfdd" w:val="clear"/>
    </w:rPr>
  </w:style>
  <w:style w:type="table" w:styleId="8" w:customStyle="1">
    <w:name w:val="8"/>
    <w:basedOn w:val="TableNormal11"/>
    <w:tblPr>
      <w:tblStyleRowBandSize w:val="1"/>
      <w:tblStyleColBandSize w:val="1"/>
      <w:tblCellMar>
        <w:left w:w="115.0" w:type="dxa"/>
        <w:right w:w="115.0" w:type="dxa"/>
      </w:tblCellMar>
    </w:tblPr>
  </w:style>
  <w:style w:type="table" w:styleId="7" w:customStyle="1">
    <w:name w:val="7"/>
    <w:basedOn w:val="TableNormal11"/>
    <w:tblPr>
      <w:tblStyleRowBandSize w:val="1"/>
      <w:tblStyleColBandSize w:val="1"/>
      <w:tblCellMar>
        <w:left w:w="115.0" w:type="dxa"/>
        <w:right w:w="115.0" w:type="dxa"/>
      </w:tblCellMar>
    </w:tblPr>
  </w:style>
  <w:style w:type="table" w:styleId="6" w:customStyle="1">
    <w:name w:val="6"/>
    <w:basedOn w:val="TableNormal20"/>
    <w:tblPr>
      <w:tblStyleRowBandSize w:val="1"/>
      <w:tblStyleColBandSize w:val="1"/>
      <w:tblCellMar>
        <w:left w:w="115.0" w:type="dxa"/>
        <w:right w:w="115.0" w:type="dxa"/>
      </w:tblCellMar>
    </w:tblPr>
  </w:style>
  <w:style w:type="table" w:styleId="5" w:customStyle="1">
    <w:name w:val="5"/>
    <w:basedOn w:val="TableNormal20"/>
    <w:tblPr>
      <w:tblStyleRowBandSize w:val="1"/>
      <w:tblStyleColBandSize w:val="1"/>
      <w:tblCellMar>
        <w:left w:w="115.0" w:type="dxa"/>
        <w:right w:w="115.0" w:type="dxa"/>
      </w:tblCellMar>
    </w:tblPr>
  </w:style>
  <w:style w:type="table" w:styleId="4" w:customStyle="1">
    <w:name w:val="4"/>
    <w:basedOn w:val="TableNormal3"/>
    <w:tblPr>
      <w:tblStyleRowBandSize w:val="1"/>
      <w:tblStyleColBandSize w:val="1"/>
      <w:tblCellMar>
        <w:left w:w="115.0" w:type="dxa"/>
        <w:right w:w="115.0" w:type="dxa"/>
      </w:tblCellMar>
    </w:tblPr>
  </w:style>
  <w:style w:type="table" w:styleId="3" w:customStyle="1">
    <w:name w:val="3"/>
    <w:basedOn w:val="TableNormal3"/>
    <w:tblPr>
      <w:tblStyleRowBandSize w:val="1"/>
      <w:tblStyleColBandSize w:val="1"/>
      <w:tblCellMar>
        <w:left w:w="115.0" w:type="dxa"/>
        <w:right w:w="115.0" w:type="dxa"/>
      </w:tblCellMar>
    </w:tblPr>
  </w:style>
  <w:style w:type="paragraph" w:styleId="Saludo">
    <w:name w:val="Salutation"/>
    <w:basedOn w:val="Normal"/>
    <w:next w:val="Normal"/>
    <w:link w:val="SaludoCar"/>
    <w:uiPriority w:val="99"/>
    <w:unhideWhenUsed w:val="1"/>
    <w:rsid w:val="00A34A66"/>
  </w:style>
  <w:style w:type="character" w:styleId="SaludoCar" w:customStyle="1">
    <w:name w:val="Saludo Car"/>
    <w:basedOn w:val="Fuentedeprrafopredeter"/>
    <w:link w:val="Saludo"/>
    <w:uiPriority w:val="99"/>
    <w:rsid w:val="00A34A66"/>
  </w:style>
  <w:style w:type="paragraph" w:styleId="Listaconvietas2">
    <w:name w:val="List Bullet 2"/>
    <w:basedOn w:val="Normal"/>
    <w:uiPriority w:val="99"/>
    <w:unhideWhenUsed w:val="1"/>
    <w:rsid w:val="00A34A66"/>
    <w:pPr>
      <w:tabs>
        <w:tab w:val="num" w:pos="720"/>
      </w:tabs>
      <w:ind w:left="720" w:hanging="720"/>
      <w:contextualSpacing w:val="1"/>
    </w:pPr>
  </w:style>
  <w:style w:type="table" w:styleId="2" w:customStyle="1">
    <w:name w:val="2"/>
    <w:basedOn w:val="TableNormal4"/>
    <w:tblPr>
      <w:tblStyleRowBandSize w:val="1"/>
      <w:tblStyleColBandSize w:val="1"/>
      <w:tblCellMar>
        <w:left w:w="115.0" w:type="dxa"/>
        <w:right w:w="115.0" w:type="dxa"/>
      </w:tblCellMar>
    </w:tblPr>
  </w:style>
  <w:style w:type="table" w:styleId="1" w:customStyle="1">
    <w:name w:val="1"/>
    <w:basedOn w:val="TableNormal4"/>
    <w:tblPr>
      <w:tblStyleRowBandSize w:val="1"/>
      <w:tblStyleColBandSize w:val="1"/>
      <w:tblCellMar>
        <w:left w:w="115.0" w:type="dxa"/>
        <w:right w:w="115.0" w:type="dxa"/>
      </w:tblCellMar>
    </w:tblPr>
  </w:style>
  <w:style w:type="table" w:styleId="23" w:customStyle="1">
    <w:name w:val="23"/>
    <w:basedOn w:val="TableNormal5"/>
    <w:tblPr>
      <w:tblStyleRowBandSize w:val="1"/>
      <w:tblStyleColBandSize w:val="1"/>
      <w:tblCellMar>
        <w:left w:w="115.0" w:type="dxa"/>
        <w:right w:w="115.0" w:type="dxa"/>
      </w:tblCellMar>
    </w:tblPr>
  </w:style>
  <w:style w:type="table" w:styleId="22" w:customStyle="1">
    <w:name w:val="22"/>
    <w:basedOn w:val="TableNormal5"/>
    <w:tblPr>
      <w:tblStyleRowBandSize w:val="1"/>
      <w:tblStyleColBandSize w:val="1"/>
      <w:tblCellMar>
        <w:left w:w="115.0" w:type="dxa"/>
        <w:right w:w="115.0" w:type="dxa"/>
      </w:tblCellMar>
    </w:tblPr>
  </w:style>
  <w:style w:type="table" w:styleId="21" w:customStyle="1">
    <w:name w:val="21"/>
    <w:basedOn w:val="TableNormal6"/>
    <w:tblPr>
      <w:tblStyleRowBandSize w:val="1"/>
      <w:tblStyleColBandSize w:val="1"/>
      <w:tblCellMar>
        <w:left w:w="115.0" w:type="dxa"/>
        <w:right w:w="115.0" w:type="dxa"/>
      </w:tblCellMar>
    </w:tblPr>
  </w:style>
  <w:style w:type="table" w:styleId="20" w:customStyle="1">
    <w:name w:val="20"/>
    <w:basedOn w:val="TableNormal6"/>
    <w:tblPr>
      <w:tblStyleRowBandSize w:val="1"/>
      <w:tblStyleColBandSize w:val="1"/>
      <w:tblCellMar>
        <w:left w:w="115.0" w:type="dxa"/>
        <w:right w:w="115.0" w:type="dxa"/>
      </w:tblCellMar>
    </w:tblPr>
  </w:style>
  <w:style w:type="table" w:styleId="19" w:customStyle="1">
    <w:name w:val="19"/>
    <w:basedOn w:val="TableNormal7"/>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18" w:customStyle="1">
    <w:name w:val="18"/>
    <w:basedOn w:val="TableNormal7"/>
    <w:tblPr>
      <w:tblStyleRowBandSize w:val="1"/>
      <w:tblStyleColBandSize w:val="1"/>
      <w:tblCellMar>
        <w:left w:w="115.0" w:type="dxa"/>
        <w:right w:w="115.0" w:type="dxa"/>
      </w:tblCellMar>
    </w:tblPr>
  </w:style>
  <w:style w:type="table" w:styleId="17" w:customStyle="1">
    <w:name w:val="17"/>
    <w:basedOn w:val="TableNormal7"/>
    <w:tblPr>
      <w:tblStyleRowBandSize w:val="1"/>
      <w:tblStyleColBandSize w:val="1"/>
      <w:tblCellMar>
        <w:left w:w="115.0" w:type="dxa"/>
        <w:right w:w="115.0" w:type="dxa"/>
      </w:tblCellMar>
    </w:tblPr>
  </w:style>
  <w:style w:type="table" w:styleId="16" w:customStyle="1">
    <w:name w:val="16"/>
    <w:basedOn w:val="TableNormal8"/>
    <w:tblPr>
      <w:tblStyleRowBandSize w:val="1"/>
      <w:tblStyleColBandSize w:val="1"/>
      <w:tblCellMar>
        <w:left w:w="115.0" w:type="dxa"/>
        <w:right w:w="115.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15" w:customStyle="1">
    <w:name w:val="15"/>
    <w:basedOn w:val="TableNormal8"/>
    <w:tblPr>
      <w:tblStyleRowBandSize w:val="1"/>
      <w:tblStyleColBandSize w:val="1"/>
      <w:tblCellMar>
        <w:left w:w="115.0" w:type="dxa"/>
        <w:right w:w="115.0" w:type="dxa"/>
      </w:tblCellMar>
    </w:tblPr>
  </w:style>
  <w:style w:type="table" w:styleId="14" w:customStyle="1">
    <w:name w:val="14"/>
    <w:basedOn w:val="TableNormal8"/>
    <w:tblPr>
      <w:tblStyleRowBandSize w:val="1"/>
      <w:tblStyleColBandSize w:val="1"/>
      <w:tblCellMar>
        <w:left w:w="115.0" w:type="dxa"/>
        <w:right w:w="115.0" w:type="dxa"/>
      </w:tblCellMar>
    </w:tblPr>
  </w:style>
  <w:style w:type="table" w:styleId="13" w:customStyle="1">
    <w:name w:val="13"/>
    <w:basedOn w:val="TableNormal9"/>
    <w:tblPr>
      <w:tblStyleRowBandSize w:val="1"/>
      <w:tblStyleColBandSize w:val="1"/>
      <w:tblCellMar>
        <w:left w:w="115.0" w:type="dxa"/>
        <w:right w:w="115.0" w:type="dxa"/>
      </w:tblCellMar>
    </w:tblPr>
  </w:style>
  <w:style w:type="table" w:styleId="12" w:customStyle="1">
    <w:name w:val="12"/>
    <w:basedOn w:val="TableNormal9"/>
    <w:tblPr>
      <w:tblStyleRowBandSize w:val="1"/>
      <w:tblStyleColBandSize w:val="1"/>
      <w:tblCellMar>
        <w:left w:w="115.0" w:type="dxa"/>
        <w:right w:w="115.0" w:type="dxa"/>
      </w:tblCellMar>
    </w:tblPr>
  </w:style>
  <w:style w:type="table" w:styleId="26" w:customStyle="1">
    <w:name w:val="26"/>
    <w:basedOn w:val="TableNormal10"/>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25" w:customStyle="1">
    <w:name w:val="25"/>
    <w:basedOn w:val="TableNormal10"/>
    <w:tblPr>
      <w:tblStyleRowBandSize w:val="1"/>
      <w:tblStyleColBandSize w:val="1"/>
      <w:tblCellMar>
        <w:left w:w="115.0" w:type="dxa"/>
        <w:right w:w="115.0" w:type="dxa"/>
      </w:tblCellMar>
    </w:tblPr>
  </w:style>
  <w:style w:type="table" w:styleId="24" w:customStyle="1">
    <w:name w:val="24"/>
    <w:basedOn w:val="TableNormal10"/>
    <w:tblPr>
      <w:tblStyleRowBandSize w:val="1"/>
      <w:tblStyleColBandSize w:val="1"/>
      <w:tblCellMar>
        <w:left w:w="115.0" w:type="dxa"/>
        <w:right w:w="115.0" w:type="dxa"/>
      </w:tblCellMar>
    </w:tblPr>
  </w:style>
  <w:style w:type="table" w:styleId="Tabladelista1clara-nfasis111" w:customStyle="1">
    <w:name w:val="Tabla de lista 1 clara - Énfasis 111"/>
    <w:basedOn w:val="Tablanormal"/>
    <w:uiPriority w:val="46"/>
    <w:rsid w:val="0096387C"/>
    <w:rPr>
      <w:rFonts w:eastAsia="MS Mincho"/>
    </w:rPr>
    <w:tblPr>
      <w:tblStyleRowBandSize w:val="1"/>
      <w:tblStyleColBandSize w:val="1"/>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paragraph" w:styleId="Cita">
    <w:name w:val="Quote"/>
    <w:basedOn w:val="Normal"/>
    <w:next w:val="Normal"/>
    <w:link w:val="CitaCar"/>
    <w:uiPriority w:val="29"/>
    <w:qFormat w:val="1"/>
    <w:rsid w:val="008A3C56"/>
    <w:pPr>
      <w:spacing w:after="160" w:before="200"/>
      <w:ind w:left="864" w:right="864"/>
      <w:jc w:val="center"/>
    </w:pPr>
    <w:rPr>
      <w:i w:val="1"/>
      <w:iCs w:val="1"/>
      <w:color w:val="404040" w:themeColor="text1" w:themeTint="0000BF"/>
    </w:rPr>
  </w:style>
  <w:style w:type="character" w:styleId="CitaCar" w:customStyle="1">
    <w:name w:val="Cita Car"/>
    <w:basedOn w:val="Fuentedeprrafopredeter"/>
    <w:link w:val="Cita"/>
    <w:uiPriority w:val="29"/>
    <w:rsid w:val="008A3C56"/>
    <w:rPr>
      <w:i w:val="1"/>
      <w:iCs w:val="1"/>
      <w:color w:val="404040" w:themeColor="text1" w:themeTint="0000BF"/>
    </w:rPr>
  </w:style>
  <w:style w:type="table" w:styleId="a" w:customStyle="1">
    <w:basedOn w:val="TableNormal2"/>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0" w:customStyle="1">
    <w:basedOn w:val="TableNormal2"/>
    <w:tblPr>
      <w:tblStyleRowBandSize w:val="1"/>
      <w:tblStyleColBandSize w:val="1"/>
      <w:tblCellMar>
        <w:left w:w="115.0" w:type="dxa"/>
        <w:right w:w="115.0" w:type="dxa"/>
      </w:tblCellMar>
    </w:tblPr>
  </w:style>
  <w:style w:type="table" w:styleId="a2" w:customStyle="1">
    <w:basedOn w:val="TableNormal2"/>
    <w:tblPr>
      <w:tblStyleRowBandSize w:val="1"/>
      <w:tblStyleColBandSize w:val="1"/>
      <w:tblCellMar>
        <w:left w:w="115.0" w:type="dxa"/>
        <w:right w:w="115.0" w:type="dxa"/>
      </w:tblCellMar>
    </w:tblPr>
  </w:style>
  <w:style w:type="table" w:styleId="a3" w:customStyle="1">
    <w:basedOn w:val="TableNormal1"/>
    <w:tblPr>
      <w:tblStyleRowBandSize w:val="1"/>
      <w:tblStyleColBandSize w:val="1"/>
      <w:tblCellMar>
        <w:left w:w="115.0" w:type="dxa"/>
        <w:right w:w="115.0" w:type="dxa"/>
      </w:tblCellMar>
    </w:tblPr>
  </w:style>
  <w:style w:type="table" w:styleId="a4" w:customStyle="1">
    <w:basedOn w:val="TableNormal1"/>
    <w:tblPr>
      <w:tblStyleRowBandSize w:val="1"/>
      <w:tblStyleColBandSize w:val="1"/>
      <w:tblCellMar>
        <w:left w:w="115.0" w:type="dxa"/>
        <w:right w:w="115.0" w:type="dxa"/>
      </w:tblCellMar>
    </w:tblPr>
  </w:style>
  <w:style w:type="table" w:styleId="a5" w:customStyle="1">
    <w:basedOn w:val="TableNormal1"/>
    <w:tblPr>
      <w:tblStyleRowBandSize w:val="1"/>
      <w:tblStyleColBandSize w:val="1"/>
      <w:tblCellMar>
        <w:left w:w="115.0" w:type="dxa"/>
        <w:right w:w="115.0" w:type="dxa"/>
      </w:tblCellMar>
    </w:tblPr>
  </w:style>
  <w:style w:type="table" w:styleId="a6" w:customStyle="1">
    <w:basedOn w:val="TableNormal0"/>
    <w:tblPr>
      <w:tblStyleRowBandSize w:val="1"/>
      <w:tblStyleColBandSize w:val="1"/>
      <w:tblCellMar>
        <w:left w:w="115.0" w:type="dxa"/>
        <w:right w:w="115.0" w:type="dxa"/>
      </w:tblCellMar>
    </w:tblPr>
  </w:style>
  <w:style w:type="table" w:styleId="a7" w:customStyle="1">
    <w:basedOn w:val="TableNormal0"/>
    <w:tblPr>
      <w:tblStyleRowBandSize w:val="1"/>
      <w:tblStyleColBandSize w:val="1"/>
      <w:tblCellMar>
        <w:left w:w="115.0" w:type="dxa"/>
        <w:right w:w="115.0" w:type="dxa"/>
      </w:tblCellMar>
    </w:tblPr>
  </w:style>
  <w:style w:type="table" w:styleId="a8"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11" Type="http://schemas.openxmlformats.org/officeDocument/2006/relationships/hyperlink" Target="https://saimex.org.mx/saimex/solicitud/downloadAttach/1760964.page" TargetMode="External"/><Relationship Id="rId22" Type="http://schemas.openxmlformats.org/officeDocument/2006/relationships/header" Target="header1.xml"/><Relationship Id="rId10" Type="http://schemas.openxmlformats.org/officeDocument/2006/relationships/hyperlink" Target="https://www.jornada.com.mx/2014/08/03/estados/026n1est" TargetMode="External"/><Relationship Id="rId21" Type="http://schemas.openxmlformats.org/officeDocument/2006/relationships/header" Target="header2.xml"/><Relationship Id="rId13" Type="http://schemas.openxmlformats.org/officeDocument/2006/relationships/hyperlink" Target="https://edomex.quadratin.com.mx/Desalojan-de-manera-pacifica-habitantes-del-predio-Las-Casitas/" TargetMode="External"/><Relationship Id="rId24" Type="http://schemas.openxmlformats.org/officeDocument/2006/relationships/footer" Target="footer1.xml"/><Relationship Id="rId12" Type="http://schemas.openxmlformats.org/officeDocument/2006/relationships/hyperlink" Target="https://saimex.org.mx/saimex/solicitud/downloadAttach/1789241.page" TargetMode="External"/><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lanamayor.com.mx/desaloja-policia-del-edomex-a-dos-mil-personas-de-predio-de-neza-por-invasion/" TargetMode="External"/><Relationship Id="rId15" Type="http://schemas.openxmlformats.org/officeDocument/2006/relationships/hyperlink" Target="https://archivo.eluniversal.com.mx/ciudad-metropoli/2014/desalojo-predio-bordo-xochiaca-1027485.html" TargetMode="External"/><Relationship Id="rId14" Type="http://schemas.openxmlformats.org/officeDocument/2006/relationships/hyperlink" Target="https://www.jornada.com.mx/2014/08/03/estados/026n1est" TargetMode="External"/><Relationship Id="rId17" Type="http://schemas.openxmlformats.org/officeDocument/2006/relationships/hyperlink" Target="https://reporterosenmovimiento.com/2014/08/04/el-fraccionador-de-las-casitas-en-neza-no-fue-capturado-durante-operativo-de-desalojo/" TargetMode="External"/><Relationship Id="rId16" Type="http://schemas.openxmlformats.org/officeDocument/2006/relationships/image" Target="media/image2.jpg"/><Relationship Id="rId5" Type="http://schemas.openxmlformats.org/officeDocument/2006/relationships/styles" Target="styles.xml"/><Relationship Id="rId19" Type="http://schemas.openxmlformats.org/officeDocument/2006/relationships/image" Target="media/image4.jpg"/><Relationship Id="rId6" Type="http://schemas.openxmlformats.org/officeDocument/2006/relationships/customXml" Target="../customXML/item1.xml"/><Relationship Id="rId18" Type="http://schemas.openxmlformats.org/officeDocument/2006/relationships/hyperlink" Target="https://www.publimetro.com.mx/mx/noticias/2014/08/02/fotos-desalojan-predio-casitas-neza.html" TargetMode="External"/><Relationship Id="rId7" Type="http://schemas.openxmlformats.org/officeDocument/2006/relationships/image" Target="media/image5.png"/><Relationship Id="rId8" Type="http://schemas.openxmlformats.org/officeDocument/2006/relationships/hyperlink" Target="https://edomex.quadratin.com.mx/Desalojan-de-manera-pacifica-habitantes-del-predio-Las-Casita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8FA7cYyPagoZA1zlQg8vX3Ed7g==">CgMxLjAaMAoBMBIrCikIB0IlChFRdWF0dHJvY2VudG8gU2FucxIQQXJpYWwgVW5pY29kZSBNUxowCgExEisKKQgHQiUKEVF1YXR0cm9jZW50byBTYW5zEhBBcmlhbCBVbmljb2RlIE1TGjAKATISKwopCAdCJQoRUXVhdHRyb2NlbnRvIFNhbnMSEEFyaWFsIFVuaWNvZGUgTVMyCGguZ2pkZ3hzMgloLjJldDkycDAyCWguMzBqMHpsbDIJaC4yczhleW8xOAByITE0ZGdQV2VsS3REWVJvUXctSnozMlEyQ2JkNk1BQ3ZF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2023-10-26T22:48:00Z</dcterms:created>
  <dc:creator>iMac</dc:creator>
</cp:coreProperties>
</file>