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C28A" w14:textId="77777777" w:rsidR="00D87554" w:rsidRPr="00BA37C2" w:rsidRDefault="00D87554" w:rsidP="00D87554">
      <w:pPr>
        <w:spacing w:before="120" w:after="0" w:line="360" w:lineRule="auto"/>
        <w:ind w:right="49"/>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doce de abril de dos mil veintitrés.</w:t>
      </w:r>
    </w:p>
    <w:p w14:paraId="385E1395" w14:textId="77777777" w:rsidR="00D87554" w:rsidRPr="00BA37C2" w:rsidRDefault="00D87554" w:rsidP="00D87554"/>
    <w:p w14:paraId="0C2200BE" w14:textId="56E59677" w:rsidR="00D87554" w:rsidRPr="00BA37C2" w:rsidRDefault="00D87554" w:rsidP="00D87554">
      <w:pPr>
        <w:spacing w:before="120"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Visto </w:t>
      </w:r>
      <w:r w:rsidRPr="00BA37C2">
        <w:rPr>
          <w:rFonts w:ascii="Palatino Linotype" w:eastAsia="Palatino Linotype" w:hAnsi="Palatino Linotype" w:cs="Palatino Linotype"/>
          <w:sz w:val="24"/>
          <w:szCs w:val="24"/>
        </w:rPr>
        <w:t xml:space="preserve">el expediente relativo al recurso de revisión </w:t>
      </w:r>
      <w:r w:rsidRPr="00BA37C2">
        <w:rPr>
          <w:rFonts w:ascii="Palatino Linotype" w:eastAsia="Palatino Linotype" w:hAnsi="Palatino Linotype" w:cs="Palatino Linotype"/>
          <w:b/>
          <w:sz w:val="24"/>
          <w:szCs w:val="24"/>
        </w:rPr>
        <w:t>15594/INFOEM/IP/RR/2022</w:t>
      </w:r>
      <w:r w:rsidRPr="00BA37C2">
        <w:rPr>
          <w:rFonts w:ascii="Palatino Linotype" w:eastAsia="Palatino Linotype" w:hAnsi="Palatino Linotype" w:cs="Palatino Linotype"/>
          <w:sz w:val="24"/>
          <w:szCs w:val="24"/>
        </w:rPr>
        <w:t>, interpuesto por</w:t>
      </w:r>
      <w:r w:rsidRPr="00BA37C2">
        <w:rPr>
          <w:rFonts w:ascii="Palatino Linotype" w:eastAsia="Palatino Linotype" w:hAnsi="Palatino Linotype" w:cs="Palatino Linotype"/>
          <w:b/>
          <w:sz w:val="24"/>
          <w:szCs w:val="24"/>
        </w:rPr>
        <w:t xml:space="preserve"> </w:t>
      </w:r>
      <w:r w:rsidR="00146FD0">
        <w:rPr>
          <w:rFonts w:ascii="Palatino Linotype" w:eastAsia="Palatino Linotype" w:hAnsi="Palatino Linotype" w:cs="Palatino Linotype"/>
          <w:b/>
          <w:sz w:val="24"/>
          <w:szCs w:val="24"/>
        </w:rPr>
        <w:t>XXXXXX XXX XXXXXXXXXX</w:t>
      </w:r>
      <w:r w:rsidRPr="00BA37C2">
        <w:rPr>
          <w:rFonts w:ascii="Palatino Linotype" w:eastAsia="Palatino Linotype" w:hAnsi="Palatino Linotype" w:cs="Palatino Linotype"/>
          <w:sz w:val="24"/>
          <w:szCs w:val="24"/>
        </w:rPr>
        <w:t xml:space="preserve">, en lo sucesivo se le denominara </w:t>
      </w:r>
      <w:r w:rsidRPr="00BA37C2">
        <w:rPr>
          <w:rFonts w:ascii="Palatino Linotype" w:eastAsia="Palatino Linotype" w:hAnsi="Palatino Linotype" w:cs="Palatino Linotype"/>
          <w:b/>
          <w:sz w:val="24"/>
          <w:szCs w:val="24"/>
        </w:rPr>
        <w:t>EL RECURRENTE</w:t>
      </w:r>
      <w:r w:rsidRPr="00BA37C2">
        <w:rPr>
          <w:rFonts w:ascii="Palatino Linotype" w:eastAsia="Palatino Linotype" w:hAnsi="Palatino Linotype" w:cs="Palatino Linotype"/>
          <w:sz w:val="24"/>
          <w:szCs w:val="24"/>
        </w:rPr>
        <w:t xml:space="preserve">, en contra de la respuesta a la solicitud de información con número de folio </w:t>
      </w:r>
      <w:r w:rsidRPr="00BA37C2">
        <w:rPr>
          <w:rFonts w:ascii="Palatino Linotype" w:eastAsia="Palatino Linotype" w:hAnsi="Palatino Linotype" w:cs="Palatino Linotype"/>
          <w:b/>
          <w:sz w:val="24"/>
          <w:szCs w:val="24"/>
        </w:rPr>
        <w:t>00388/SEDESEM/IP/2022,</w:t>
      </w:r>
      <w:r w:rsidRPr="00BA37C2">
        <w:rPr>
          <w:rFonts w:ascii="Palatino Linotype" w:eastAsia="Palatino Linotype" w:hAnsi="Palatino Linotype" w:cs="Palatino Linotype"/>
          <w:sz w:val="24"/>
          <w:szCs w:val="24"/>
        </w:rPr>
        <w:t xml:space="preserve"> por parte de la</w:t>
      </w:r>
      <w:r w:rsidRPr="00BA37C2">
        <w:rPr>
          <w:rFonts w:ascii="Palatino Linotype" w:eastAsia="Palatino Linotype" w:hAnsi="Palatino Linotype" w:cs="Palatino Linotype"/>
          <w:b/>
          <w:sz w:val="24"/>
          <w:szCs w:val="24"/>
        </w:rPr>
        <w:t xml:space="preserve"> Secretaría de Desarrollo Social</w:t>
      </w:r>
      <w:r w:rsidRPr="00BA37C2">
        <w:rPr>
          <w:rFonts w:ascii="Palatino Linotype" w:eastAsia="Palatino Linotype" w:hAnsi="Palatino Linotype" w:cs="Palatino Linotype"/>
          <w:sz w:val="24"/>
          <w:szCs w:val="24"/>
        </w:rPr>
        <w:t>, en lo sucesivo</w:t>
      </w:r>
      <w:r w:rsidRPr="00BA37C2">
        <w:rPr>
          <w:rFonts w:ascii="Palatino Linotype" w:eastAsia="Palatino Linotype" w:hAnsi="Palatino Linotype" w:cs="Palatino Linotype"/>
          <w:b/>
          <w:sz w:val="24"/>
          <w:szCs w:val="24"/>
        </w:rPr>
        <w:t xml:space="preserve"> EL SUJETO OBLIGADO; </w:t>
      </w:r>
      <w:r w:rsidRPr="00BA37C2">
        <w:rPr>
          <w:rFonts w:ascii="Palatino Linotype" w:eastAsia="Palatino Linotype" w:hAnsi="Palatino Linotype" w:cs="Palatino Linotype"/>
          <w:sz w:val="24"/>
          <w:szCs w:val="24"/>
        </w:rPr>
        <w:t xml:space="preserve">se procede a dictar la presente resolución, con base en lo siguiente. </w:t>
      </w:r>
    </w:p>
    <w:p w14:paraId="0F8322B0" w14:textId="77777777" w:rsidR="00D87554" w:rsidRPr="00BA37C2" w:rsidRDefault="00D87554" w:rsidP="00D87554">
      <w:pPr>
        <w:spacing w:after="0" w:line="360" w:lineRule="auto"/>
        <w:jc w:val="both"/>
        <w:rPr>
          <w:rFonts w:ascii="Palatino Linotype" w:eastAsia="Palatino Linotype" w:hAnsi="Palatino Linotype" w:cs="Palatino Linotype"/>
          <w:sz w:val="24"/>
          <w:szCs w:val="24"/>
        </w:rPr>
      </w:pPr>
    </w:p>
    <w:p w14:paraId="34D66D1D" w14:textId="77777777" w:rsidR="00D87554" w:rsidRPr="00BA37C2" w:rsidRDefault="00D87554" w:rsidP="00D87554">
      <w:pPr>
        <w:spacing w:after="0" w:line="360" w:lineRule="auto"/>
        <w:ind w:right="49"/>
        <w:jc w:val="center"/>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A N T E C E D E N T E S</w:t>
      </w:r>
    </w:p>
    <w:p w14:paraId="2124CDB3" w14:textId="77777777" w:rsidR="00D87554" w:rsidRPr="00BA37C2" w:rsidRDefault="00D87554" w:rsidP="00D87554">
      <w:pPr>
        <w:spacing w:after="0" w:line="360" w:lineRule="auto"/>
        <w:jc w:val="both"/>
        <w:rPr>
          <w:rFonts w:ascii="Palatino Linotype" w:eastAsia="Palatino Linotype" w:hAnsi="Palatino Linotype" w:cs="Palatino Linotype"/>
          <w:sz w:val="24"/>
          <w:szCs w:val="24"/>
        </w:rPr>
      </w:pPr>
    </w:p>
    <w:p w14:paraId="1BF40F8A" w14:textId="77777777" w:rsidR="00D87554" w:rsidRPr="00BA37C2" w:rsidRDefault="00D87554" w:rsidP="00D87554">
      <w:pPr>
        <w:spacing w:after="0" w:line="360" w:lineRule="auto"/>
        <w:ind w:right="49"/>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1.</w:t>
      </w:r>
      <w:r w:rsidRPr="00BA37C2">
        <w:rPr>
          <w:rFonts w:ascii="Palatino Linotype" w:eastAsia="Palatino Linotype" w:hAnsi="Palatino Linotype" w:cs="Palatino Linotype"/>
          <w:sz w:val="24"/>
          <w:szCs w:val="24"/>
        </w:rPr>
        <w:t xml:space="preserve"> </w:t>
      </w:r>
      <w:r w:rsidRPr="00BA37C2">
        <w:rPr>
          <w:rFonts w:ascii="Palatino Linotype" w:eastAsia="Palatino Linotype" w:hAnsi="Palatino Linotype" w:cs="Palatino Linotype"/>
          <w:b/>
          <w:sz w:val="24"/>
          <w:szCs w:val="24"/>
        </w:rPr>
        <w:t xml:space="preserve">SOLICITUD DE INFORMACIÓN. </w:t>
      </w:r>
      <w:r w:rsidRPr="00BA37C2">
        <w:rPr>
          <w:rFonts w:ascii="Palatino Linotype" w:eastAsia="Palatino Linotype" w:hAnsi="Palatino Linotype" w:cs="Palatino Linotype"/>
          <w:sz w:val="24"/>
          <w:szCs w:val="24"/>
        </w:rPr>
        <w:t xml:space="preserve">Con fecha diez de octubre de dos mil veintidós, </w:t>
      </w:r>
      <w:r w:rsidRPr="00BA37C2">
        <w:rPr>
          <w:rFonts w:ascii="Palatino Linotype" w:eastAsia="Palatino Linotype" w:hAnsi="Palatino Linotype" w:cs="Palatino Linotype"/>
          <w:b/>
          <w:sz w:val="24"/>
          <w:szCs w:val="24"/>
        </w:rPr>
        <w:t>EL RECURRENTE</w:t>
      </w:r>
      <w:r w:rsidRPr="00BA37C2">
        <w:rPr>
          <w:rFonts w:ascii="Palatino Linotype" w:eastAsia="Palatino Linotype" w:hAnsi="Palatino Linotype" w:cs="Palatino Linotype"/>
          <w:sz w:val="24"/>
          <w:szCs w:val="24"/>
        </w:rPr>
        <w:t>, presentó a través del Sistema de Acceso a la Información Mexiquense (</w:t>
      </w:r>
      <w:r w:rsidRPr="00BA37C2">
        <w:rPr>
          <w:rFonts w:ascii="Palatino Linotype" w:eastAsia="Palatino Linotype" w:hAnsi="Palatino Linotype" w:cs="Palatino Linotype"/>
          <w:b/>
          <w:sz w:val="24"/>
          <w:szCs w:val="24"/>
        </w:rPr>
        <w:t>SAIMEX)</w:t>
      </w:r>
      <w:r w:rsidRPr="00BA37C2">
        <w:rPr>
          <w:rFonts w:ascii="Palatino Linotype" w:eastAsia="Palatino Linotype" w:hAnsi="Palatino Linotype" w:cs="Palatino Linotype"/>
          <w:sz w:val="24"/>
          <w:szCs w:val="24"/>
        </w:rPr>
        <w:t xml:space="preserve"> ante </w:t>
      </w:r>
      <w:r w:rsidRPr="00BA37C2">
        <w:rPr>
          <w:rFonts w:ascii="Palatino Linotype" w:eastAsia="Palatino Linotype" w:hAnsi="Palatino Linotype" w:cs="Palatino Linotype"/>
          <w:b/>
          <w:sz w:val="24"/>
          <w:szCs w:val="24"/>
        </w:rPr>
        <w:t>EL SUJETO OBLIGADO</w:t>
      </w:r>
      <w:r w:rsidRPr="00BA37C2">
        <w:rPr>
          <w:rFonts w:ascii="Palatino Linotype" w:eastAsia="Palatino Linotype" w:hAnsi="Palatino Linotype" w:cs="Palatino Linotype"/>
          <w:sz w:val="24"/>
          <w:szCs w:val="24"/>
        </w:rPr>
        <w:t>, solicitud de acceso a la información pública, registrada bajo el número de expediente</w:t>
      </w:r>
      <w:r w:rsidRPr="00BA37C2">
        <w:rPr>
          <w:rFonts w:ascii="Verdana" w:eastAsia="Verdana" w:hAnsi="Verdana" w:cs="Verdana"/>
          <w:b/>
        </w:rPr>
        <w:t> </w:t>
      </w:r>
      <w:r w:rsidRPr="00BA37C2">
        <w:rPr>
          <w:rFonts w:ascii="Palatino Linotype" w:eastAsia="Palatino Linotype" w:hAnsi="Palatino Linotype" w:cs="Palatino Linotype"/>
          <w:b/>
          <w:sz w:val="24"/>
          <w:szCs w:val="24"/>
        </w:rPr>
        <w:t>00388/SEDESEM/IP/2022</w:t>
      </w:r>
      <w:r w:rsidRPr="00BA37C2">
        <w:rPr>
          <w:rFonts w:ascii="Palatino Linotype" w:eastAsia="Palatino Linotype" w:hAnsi="Palatino Linotype" w:cs="Palatino Linotype"/>
          <w:sz w:val="24"/>
          <w:szCs w:val="24"/>
        </w:rPr>
        <w:t>,</w:t>
      </w:r>
      <w:r w:rsidRPr="00BA37C2">
        <w:rPr>
          <w:rFonts w:ascii="Palatino Linotype" w:eastAsia="Palatino Linotype" w:hAnsi="Palatino Linotype" w:cs="Palatino Linotype"/>
          <w:b/>
          <w:sz w:val="24"/>
          <w:szCs w:val="24"/>
        </w:rPr>
        <w:t xml:space="preserve"> </w:t>
      </w:r>
      <w:r w:rsidRPr="00BA37C2">
        <w:rPr>
          <w:rFonts w:ascii="Palatino Linotype" w:eastAsia="Palatino Linotype" w:hAnsi="Palatino Linotype" w:cs="Palatino Linotype"/>
          <w:sz w:val="24"/>
          <w:szCs w:val="24"/>
        </w:rPr>
        <w:t>mediante la cual solicitó la siguiente información:</w:t>
      </w:r>
    </w:p>
    <w:p w14:paraId="7D04EDDB" w14:textId="77777777" w:rsidR="00D87554" w:rsidRPr="00BA37C2" w:rsidRDefault="00D87554" w:rsidP="00D87554">
      <w:pPr>
        <w:spacing w:after="0" w:line="276" w:lineRule="auto"/>
        <w:ind w:left="709" w:right="758"/>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“Por seguir con la incompetente coordinadora municipal Yuriko </w:t>
      </w:r>
      <w:proofErr w:type="spellStart"/>
      <w:r w:rsidRPr="00BA37C2">
        <w:rPr>
          <w:rFonts w:ascii="Palatino Linotype" w:eastAsia="Palatino Linotype" w:hAnsi="Palatino Linotype" w:cs="Palatino Linotype"/>
          <w:i/>
        </w:rPr>
        <w:t>Jimenez</w:t>
      </w:r>
      <w:proofErr w:type="spellEnd"/>
      <w:r w:rsidRPr="00BA37C2">
        <w:rPr>
          <w:rFonts w:ascii="Palatino Linotype" w:eastAsia="Palatino Linotype" w:hAnsi="Palatino Linotype" w:cs="Palatino Linotype"/>
          <w:i/>
        </w:rPr>
        <w:t xml:space="preserve"> Real, solicito </w:t>
      </w:r>
      <w:r w:rsidRPr="00BA37C2">
        <w:rPr>
          <w:rFonts w:ascii="Palatino Linotype" w:eastAsia="Palatino Linotype" w:hAnsi="Palatino Linotype" w:cs="Palatino Linotype"/>
          <w:b/>
          <w:i/>
          <w:u w:val="single"/>
        </w:rPr>
        <w:t xml:space="preserve">que la secretaria Alejandra </w:t>
      </w:r>
      <w:proofErr w:type="gramStart"/>
      <w:r w:rsidRPr="00BA37C2">
        <w:rPr>
          <w:rFonts w:ascii="Palatino Linotype" w:eastAsia="Palatino Linotype" w:hAnsi="Palatino Linotype" w:cs="Palatino Linotype"/>
          <w:b/>
          <w:i/>
          <w:u w:val="single"/>
        </w:rPr>
        <w:t>del moral</w:t>
      </w:r>
      <w:proofErr w:type="gramEnd"/>
      <w:r w:rsidRPr="00BA37C2">
        <w:rPr>
          <w:rFonts w:ascii="Palatino Linotype" w:eastAsia="Palatino Linotype" w:hAnsi="Palatino Linotype" w:cs="Palatino Linotype"/>
          <w:b/>
          <w:i/>
          <w:u w:val="single"/>
        </w:rPr>
        <w:t xml:space="preserve"> vela informe porque su familiar Arturo del moral regidor de </w:t>
      </w:r>
      <w:proofErr w:type="spellStart"/>
      <w:r w:rsidRPr="00BA37C2">
        <w:rPr>
          <w:rFonts w:ascii="Palatino Linotype" w:eastAsia="Palatino Linotype" w:hAnsi="Palatino Linotype" w:cs="Palatino Linotype"/>
          <w:b/>
          <w:i/>
          <w:u w:val="single"/>
        </w:rPr>
        <w:t>cuautitlan</w:t>
      </w:r>
      <w:proofErr w:type="spellEnd"/>
      <w:r w:rsidRPr="00BA37C2">
        <w:rPr>
          <w:rFonts w:ascii="Palatino Linotype" w:eastAsia="Palatino Linotype" w:hAnsi="Palatino Linotype" w:cs="Palatino Linotype"/>
          <w:b/>
          <w:i/>
          <w:u w:val="single"/>
        </w:rPr>
        <w:t xml:space="preserve"> Izcalli, llegó a ese puesto sin que fuera considerado tráfico de influencias,</w:t>
      </w:r>
      <w:r w:rsidRPr="00BA37C2">
        <w:rPr>
          <w:rFonts w:ascii="Palatino Linotype" w:eastAsia="Palatino Linotype" w:hAnsi="Palatino Linotype" w:cs="Palatino Linotype"/>
          <w:i/>
        </w:rPr>
        <w:t xml:space="preserve"> y eso sin contar que beneficia a los Esquivel, Monroy entre otros” (Sic).</w:t>
      </w:r>
    </w:p>
    <w:p w14:paraId="4125EAC3" w14:textId="77777777" w:rsidR="00D87554" w:rsidRPr="00BA37C2" w:rsidRDefault="00D87554" w:rsidP="00D87554">
      <w:pPr>
        <w:spacing w:after="0" w:line="276" w:lineRule="auto"/>
        <w:ind w:left="709" w:right="758"/>
        <w:jc w:val="both"/>
        <w:rPr>
          <w:rFonts w:ascii="Palatino Linotype" w:eastAsia="Palatino Linotype" w:hAnsi="Palatino Linotype" w:cs="Palatino Linotype"/>
          <w:i/>
        </w:rPr>
      </w:pPr>
    </w:p>
    <w:p w14:paraId="66AC0C96" w14:textId="77777777" w:rsidR="00D87554" w:rsidRPr="00BA37C2" w:rsidRDefault="00D87554" w:rsidP="00D87554">
      <w:pPr>
        <w:spacing w:after="0" w:line="360" w:lineRule="auto"/>
        <w:ind w:right="49"/>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Modalidad de entrega: A través del </w:t>
      </w:r>
      <w:r w:rsidRPr="00BA37C2">
        <w:rPr>
          <w:rFonts w:ascii="Palatino Linotype" w:eastAsia="Palatino Linotype" w:hAnsi="Palatino Linotype" w:cs="Palatino Linotype"/>
          <w:b/>
          <w:sz w:val="24"/>
          <w:szCs w:val="24"/>
        </w:rPr>
        <w:t>SAIMEX</w:t>
      </w:r>
      <w:r w:rsidRPr="00BA37C2">
        <w:rPr>
          <w:rFonts w:ascii="Palatino Linotype" w:eastAsia="Palatino Linotype" w:hAnsi="Palatino Linotype" w:cs="Palatino Linotype"/>
          <w:sz w:val="24"/>
          <w:szCs w:val="24"/>
        </w:rPr>
        <w:t>.</w:t>
      </w:r>
    </w:p>
    <w:p w14:paraId="716BB6D9" w14:textId="77777777" w:rsidR="00D87554" w:rsidRPr="00BA37C2" w:rsidRDefault="00D87554" w:rsidP="00D87554">
      <w:pPr>
        <w:spacing w:after="0" w:line="360" w:lineRule="auto"/>
        <w:jc w:val="both"/>
      </w:pPr>
      <w:r w:rsidRPr="00BA37C2">
        <w:rPr>
          <w:rFonts w:ascii="Palatino Linotype" w:eastAsia="Palatino Linotype" w:hAnsi="Palatino Linotype" w:cs="Palatino Linotype"/>
          <w:b/>
          <w:sz w:val="24"/>
          <w:szCs w:val="24"/>
        </w:rPr>
        <w:lastRenderedPageBreak/>
        <w:t xml:space="preserve">2. RESPUESTA.  </w:t>
      </w:r>
      <w:r w:rsidRPr="00BA37C2">
        <w:rPr>
          <w:rFonts w:ascii="Palatino Linotype" w:eastAsia="Palatino Linotype" w:hAnsi="Palatino Linotype" w:cs="Palatino Linotype"/>
          <w:sz w:val="24"/>
          <w:szCs w:val="24"/>
        </w:rPr>
        <w:t xml:space="preserve">Con fecha trece de octubre del dos mil veintidós, </w:t>
      </w:r>
      <w:r w:rsidRPr="00BA37C2">
        <w:rPr>
          <w:rFonts w:ascii="Palatino Linotype" w:eastAsia="Palatino Linotype" w:hAnsi="Palatino Linotype" w:cs="Palatino Linotype"/>
          <w:b/>
          <w:sz w:val="24"/>
          <w:szCs w:val="24"/>
        </w:rPr>
        <w:t>EL SUJETO OBLIGADO</w:t>
      </w:r>
      <w:r w:rsidRPr="00BA37C2">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A37C2">
        <w:t xml:space="preserve"> </w:t>
      </w:r>
    </w:p>
    <w:p w14:paraId="4C52934D" w14:textId="77777777" w:rsidR="00D87554" w:rsidRPr="00BA37C2" w:rsidRDefault="00D87554" w:rsidP="00D87554">
      <w:pPr>
        <w:spacing w:after="0" w:line="360" w:lineRule="auto"/>
        <w:jc w:val="both"/>
      </w:pPr>
    </w:p>
    <w:p w14:paraId="16E9BD2D" w14:textId="77777777" w:rsidR="00D87554" w:rsidRPr="00BA37C2" w:rsidRDefault="00D87554" w:rsidP="00D87554">
      <w:pPr>
        <w:spacing w:after="0" w:line="276" w:lineRule="auto"/>
        <w:ind w:left="851" w:right="900"/>
        <w:jc w:val="both"/>
        <w:rPr>
          <w:rFonts w:ascii="Palatino Linotype" w:eastAsia="Palatino Linotype" w:hAnsi="Palatino Linotype" w:cs="Palatino Linotype"/>
          <w:i/>
        </w:rPr>
      </w:pPr>
      <w:r w:rsidRPr="00BA37C2">
        <w:rPr>
          <w:rFonts w:ascii="Palatino Linotype" w:eastAsia="Palatino Linotype" w:hAnsi="Palatino Linotype" w:cs="Palatino Linotype"/>
          <w:i/>
        </w:rPr>
        <w:t>“Se anexa oficio de respuesta número SEDESEM/UT/388/2022, de fecha 13 de octubre de 2022.</w:t>
      </w:r>
    </w:p>
    <w:p w14:paraId="200B36C6" w14:textId="77777777" w:rsidR="00D87554" w:rsidRPr="00BA37C2" w:rsidRDefault="00D87554" w:rsidP="00D87554">
      <w:pPr>
        <w:spacing w:after="0" w:line="276" w:lineRule="auto"/>
        <w:ind w:left="851" w:right="900"/>
        <w:jc w:val="both"/>
        <w:rPr>
          <w:rFonts w:ascii="Palatino Linotype" w:eastAsia="Palatino Linotype" w:hAnsi="Palatino Linotype" w:cs="Palatino Linotype"/>
          <w:i/>
        </w:rPr>
      </w:pPr>
      <w:r w:rsidRPr="00BA37C2">
        <w:rPr>
          <w:rFonts w:ascii="Palatino Linotype" w:eastAsia="Palatino Linotype" w:hAnsi="Palatino Linotype" w:cs="Palatino Linotype"/>
          <w:i/>
        </w:rPr>
        <w:t>ATENTAMENTE”</w:t>
      </w:r>
    </w:p>
    <w:p w14:paraId="69411215" w14:textId="77777777" w:rsidR="00D87554" w:rsidRPr="00BA37C2" w:rsidRDefault="00D87554" w:rsidP="00D87554">
      <w:pPr>
        <w:spacing w:after="0" w:line="360" w:lineRule="auto"/>
        <w:jc w:val="both"/>
        <w:rPr>
          <w:rFonts w:ascii="Palatino Linotype" w:eastAsia="Palatino Linotype" w:hAnsi="Palatino Linotype" w:cs="Palatino Linotype"/>
          <w:b/>
          <w:sz w:val="24"/>
          <w:szCs w:val="24"/>
        </w:rPr>
      </w:pPr>
    </w:p>
    <w:p w14:paraId="005FACC3" w14:textId="77777777" w:rsidR="00D87554" w:rsidRPr="00BA37C2" w:rsidRDefault="00D87554" w:rsidP="00C838A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Adjuntando para tal efecto el archivo electrónico:</w:t>
      </w:r>
    </w:p>
    <w:p w14:paraId="7173755A" w14:textId="77777777" w:rsidR="00D87554" w:rsidRPr="00BA37C2" w:rsidRDefault="00D87554" w:rsidP="00C838AC">
      <w:pPr>
        <w:spacing w:after="0" w:line="360" w:lineRule="auto"/>
        <w:jc w:val="both"/>
        <w:rPr>
          <w:rFonts w:ascii="Palatino Linotype" w:eastAsia="Palatino Linotype" w:hAnsi="Palatino Linotype" w:cs="Palatino Linotype"/>
          <w:sz w:val="24"/>
          <w:szCs w:val="24"/>
        </w:rPr>
      </w:pPr>
    </w:p>
    <w:p w14:paraId="7569E698" w14:textId="76E9D5DB" w:rsidR="00C838AC" w:rsidRPr="00BA37C2" w:rsidRDefault="00D87554" w:rsidP="00C838AC">
      <w:pPr>
        <w:spacing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i/>
          <w:sz w:val="24"/>
          <w:szCs w:val="24"/>
          <w:u w:val="single"/>
        </w:rPr>
        <w:t xml:space="preserve">388 </w:t>
      </w:r>
      <w:r w:rsidR="00146FD0">
        <w:rPr>
          <w:rFonts w:ascii="Palatino Linotype" w:eastAsia="Palatino Linotype" w:hAnsi="Palatino Linotype" w:cs="Palatino Linotype"/>
          <w:b/>
          <w:i/>
          <w:sz w:val="24"/>
          <w:szCs w:val="24"/>
          <w:u w:val="single"/>
        </w:rPr>
        <w:t>–</w:t>
      </w:r>
      <w:r w:rsidRPr="00BA37C2">
        <w:rPr>
          <w:rFonts w:ascii="Palatino Linotype" w:eastAsia="Palatino Linotype" w:hAnsi="Palatino Linotype" w:cs="Palatino Linotype"/>
          <w:b/>
          <w:i/>
          <w:sz w:val="24"/>
          <w:szCs w:val="24"/>
          <w:u w:val="single"/>
        </w:rPr>
        <w:t xml:space="preserve"> </w:t>
      </w:r>
      <w:r w:rsidR="00146FD0">
        <w:rPr>
          <w:rFonts w:ascii="Palatino Linotype" w:eastAsia="Palatino Linotype" w:hAnsi="Palatino Linotype" w:cs="Palatino Linotype"/>
          <w:b/>
          <w:i/>
          <w:sz w:val="24"/>
          <w:szCs w:val="24"/>
          <w:u w:val="single"/>
        </w:rPr>
        <w:t>XX XXXXXX XXX XXXXXXXXXX</w:t>
      </w:r>
      <w:r w:rsidRPr="00BA37C2">
        <w:rPr>
          <w:rFonts w:ascii="Palatino Linotype" w:eastAsia="Palatino Linotype" w:hAnsi="Palatino Linotype" w:cs="Palatino Linotype"/>
          <w:b/>
          <w:i/>
          <w:sz w:val="24"/>
          <w:szCs w:val="24"/>
          <w:u w:val="single"/>
        </w:rPr>
        <w:t xml:space="preserve"> - Unidad de Transparencia - En Poder de Otro Sujeto Obligado - 0388.pdf:</w:t>
      </w:r>
      <w:r w:rsidRPr="00BA37C2">
        <w:rPr>
          <w:rFonts w:ascii="Palatino Linotype" w:eastAsia="Palatino Linotype" w:hAnsi="Palatino Linotype" w:cs="Palatino Linotype"/>
          <w:sz w:val="24"/>
          <w:szCs w:val="24"/>
        </w:rPr>
        <w:t xml:space="preserve"> Oficio de fecha trece de octubre de dos mil veintidós, signado por el Titular de la Unidad de Transparencia, mediante el cual refiere que la normatividad aplicable al </w:t>
      </w:r>
      <w:r w:rsidR="00C838AC" w:rsidRPr="00BA37C2">
        <w:rPr>
          <w:rFonts w:ascii="Palatino Linotype" w:eastAsia="Palatino Linotype" w:hAnsi="Palatino Linotype" w:cs="Palatino Linotype"/>
          <w:b/>
          <w:sz w:val="24"/>
          <w:szCs w:val="24"/>
        </w:rPr>
        <w:t>SUJETO OBLIGADO</w:t>
      </w:r>
      <w:r w:rsidR="00C838AC" w:rsidRPr="00BA37C2">
        <w:rPr>
          <w:rFonts w:ascii="Palatino Linotype" w:eastAsia="Palatino Linotype" w:hAnsi="Palatino Linotype" w:cs="Palatino Linotype"/>
          <w:sz w:val="24"/>
          <w:szCs w:val="24"/>
        </w:rPr>
        <w:t xml:space="preserve">, no tiene funciones y atribuciones en los cuales establezca elegir candidatos a puestos de elección popular en los 125 Ayuntamientos de la entidad por lo que no es posible entregar la información solicitada, siendo incompetente para otorgar respuesta a la solicitud. </w:t>
      </w:r>
    </w:p>
    <w:p w14:paraId="7AC048D4" w14:textId="77777777" w:rsidR="00C838AC" w:rsidRPr="00BA37C2" w:rsidRDefault="00C838AC" w:rsidP="00C838AC">
      <w:pPr>
        <w:spacing w:line="360" w:lineRule="auto"/>
        <w:contextualSpacing/>
        <w:jc w:val="both"/>
        <w:rPr>
          <w:rFonts w:ascii="Palatino Linotype" w:eastAsia="Palatino Linotype" w:hAnsi="Palatino Linotype" w:cs="Palatino Linotype"/>
          <w:sz w:val="24"/>
          <w:szCs w:val="24"/>
        </w:rPr>
      </w:pPr>
    </w:p>
    <w:p w14:paraId="3DB6F7B5" w14:textId="77777777" w:rsidR="00C838AC" w:rsidRPr="00BA37C2" w:rsidRDefault="00C838AC" w:rsidP="00C838AC">
      <w:pPr>
        <w:spacing w:after="240" w:line="360" w:lineRule="auto"/>
        <w:ind w:right="-234"/>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3. DEL RECURSO DE REVISIÓN. </w:t>
      </w:r>
      <w:r w:rsidRPr="00BA37C2">
        <w:rPr>
          <w:rFonts w:ascii="Palatino Linotype" w:eastAsia="Palatino Linotype" w:hAnsi="Palatino Linotype" w:cs="Palatino Linotype"/>
          <w:sz w:val="24"/>
          <w:szCs w:val="24"/>
        </w:rPr>
        <w:t>Inconforme con la respuesta del</w:t>
      </w:r>
      <w:r w:rsidRPr="00BA37C2">
        <w:rPr>
          <w:rFonts w:ascii="Palatino Linotype" w:eastAsia="Palatino Linotype" w:hAnsi="Palatino Linotype" w:cs="Palatino Linotype"/>
          <w:b/>
          <w:sz w:val="24"/>
          <w:szCs w:val="24"/>
        </w:rPr>
        <w:t xml:space="preserve"> SUJETO OBLIGADO, </w:t>
      </w:r>
      <w:r w:rsidRPr="00BA37C2">
        <w:rPr>
          <w:rFonts w:ascii="Palatino Linotype" w:eastAsia="Palatino Linotype" w:hAnsi="Palatino Linotype" w:cs="Palatino Linotype"/>
          <w:sz w:val="24"/>
          <w:szCs w:val="24"/>
        </w:rPr>
        <w:t>en fecha catorce de octubre de dos mil veintidós</w:t>
      </w:r>
      <w:r w:rsidRPr="00BA37C2">
        <w:rPr>
          <w:rFonts w:ascii="Palatino Linotype" w:eastAsia="Palatino Linotype" w:hAnsi="Palatino Linotype" w:cs="Palatino Linotype"/>
          <w:b/>
          <w:sz w:val="24"/>
          <w:szCs w:val="24"/>
        </w:rPr>
        <w:t xml:space="preserve">, EL RECURRENTE </w:t>
      </w:r>
      <w:r w:rsidRPr="00BA37C2">
        <w:rPr>
          <w:rFonts w:ascii="Palatino Linotype" w:eastAsia="Palatino Linotype" w:hAnsi="Palatino Linotype" w:cs="Palatino Linotype"/>
          <w:sz w:val="24"/>
          <w:szCs w:val="24"/>
        </w:rPr>
        <w:t>interpuso el recurso de revisión, el cual fue registrado</w:t>
      </w:r>
      <w:r w:rsidRPr="00BA37C2">
        <w:rPr>
          <w:rFonts w:ascii="Palatino Linotype" w:eastAsia="Palatino Linotype" w:hAnsi="Palatino Linotype" w:cs="Palatino Linotype"/>
          <w:b/>
          <w:sz w:val="24"/>
          <w:szCs w:val="24"/>
        </w:rPr>
        <w:t xml:space="preserve"> </w:t>
      </w:r>
      <w:r w:rsidRPr="00BA37C2">
        <w:rPr>
          <w:rFonts w:ascii="Palatino Linotype" w:eastAsia="Palatino Linotype" w:hAnsi="Palatino Linotype" w:cs="Palatino Linotype"/>
          <w:sz w:val="24"/>
          <w:szCs w:val="24"/>
        </w:rPr>
        <w:t xml:space="preserve">en el sistema electrónico con el expediente número </w:t>
      </w:r>
      <w:r w:rsidRPr="00BA37C2">
        <w:rPr>
          <w:rFonts w:ascii="Palatino Linotype" w:eastAsia="Palatino Linotype" w:hAnsi="Palatino Linotype" w:cs="Palatino Linotype"/>
          <w:b/>
          <w:sz w:val="24"/>
          <w:szCs w:val="24"/>
        </w:rPr>
        <w:t>15594/INFOEM/IP/RR/2022</w:t>
      </w:r>
      <w:r w:rsidRPr="00BA37C2">
        <w:rPr>
          <w:rFonts w:ascii="Palatino Linotype" w:eastAsia="Palatino Linotype" w:hAnsi="Palatino Linotype" w:cs="Palatino Linotype"/>
          <w:sz w:val="24"/>
          <w:szCs w:val="24"/>
        </w:rPr>
        <w:t>, en el cual manifestó, lo siguiente:</w:t>
      </w:r>
    </w:p>
    <w:p w14:paraId="2F49BCFC" w14:textId="77777777" w:rsidR="00844341" w:rsidRPr="00BA37C2" w:rsidRDefault="00844341" w:rsidP="00C838AC">
      <w:pPr>
        <w:spacing w:after="240" w:line="360" w:lineRule="auto"/>
        <w:ind w:right="-234"/>
        <w:contextualSpacing/>
        <w:jc w:val="both"/>
        <w:rPr>
          <w:rFonts w:ascii="Palatino Linotype" w:eastAsia="Palatino Linotype" w:hAnsi="Palatino Linotype" w:cs="Palatino Linotype"/>
          <w:sz w:val="24"/>
          <w:szCs w:val="24"/>
        </w:rPr>
      </w:pPr>
    </w:p>
    <w:p w14:paraId="3AE3EE68" w14:textId="77777777" w:rsidR="00C838AC" w:rsidRPr="00BA37C2" w:rsidRDefault="00C838AC" w:rsidP="00C838AC">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BA37C2">
        <w:rPr>
          <w:rFonts w:ascii="Palatino Linotype" w:eastAsia="Palatino Linotype" w:hAnsi="Palatino Linotype" w:cs="Palatino Linotype"/>
          <w:b/>
          <w:i/>
          <w:sz w:val="24"/>
          <w:szCs w:val="24"/>
        </w:rPr>
        <w:t>Acto Impugnado:</w:t>
      </w:r>
    </w:p>
    <w:p w14:paraId="553DE3F9" w14:textId="77777777" w:rsidR="00C838AC" w:rsidRPr="00BA37C2" w:rsidRDefault="00C838AC" w:rsidP="00C838AC">
      <w:pPr>
        <w:spacing w:before="240" w:after="240" w:line="276" w:lineRule="auto"/>
        <w:ind w:left="851"/>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“Niegan la </w:t>
      </w:r>
      <w:proofErr w:type="spellStart"/>
      <w:r w:rsidRPr="00BA37C2">
        <w:rPr>
          <w:rFonts w:ascii="Palatino Linotype" w:eastAsia="Palatino Linotype" w:hAnsi="Palatino Linotype" w:cs="Palatino Linotype"/>
          <w:i/>
        </w:rPr>
        <w:t>informacion</w:t>
      </w:r>
      <w:proofErr w:type="spellEnd"/>
      <w:r w:rsidRPr="00BA37C2">
        <w:rPr>
          <w:rFonts w:ascii="Palatino Linotype" w:eastAsia="Palatino Linotype" w:hAnsi="Palatino Linotype" w:cs="Palatino Linotype"/>
          <w:i/>
        </w:rPr>
        <w:t>” [sic]</w:t>
      </w:r>
    </w:p>
    <w:p w14:paraId="425F9947" w14:textId="77777777" w:rsidR="00C838AC" w:rsidRPr="00BA37C2" w:rsidRDefault="00C838AC" w:rsidP="00C838AC">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A37C2">
        <w:rPr>
          <w:rFonts w:ascii="Palatino Linotype" w:eastAsia="Palatino Linotype" w:hAnsi="Palatino Linotype" w:cs="Palatino Linotype"/>
          <w:b/>
          <w:i/>
          <w:sz w:val="24"/>
          <w:szCs w:val="24"/>
        </w:rPr>
        <w:lastRenderedPageBreak/>
        <w:t>Razones o Motivos de Inconformidad</w:t>
      </w:r>
      <w:r w:rsidRPr="00BA37C2">
        <w:rPr>
          <w:rFonts w:ascii="Palatino Linotype" w:eastAsia="Palatino Linotype" w:hAnsi="Palatino Linotype" w:cs="Palatino Linotype"/>
          <w:i/>
          <w:sz w:val="24"/>
          <w:szCs w:val="24"/>
        </w:rPr>
        <w:t>:</w:t>
      </w:r>
    </w:p>
    <w:p w14:paraId="6888201E" w14:textId="77777777" w:rsidR="00C838AC" w:rsidRPr="00BA37C2" w:rsidRDefault="00C838AC" w:rsidP="00C838AC">
      <w:pPr>
        <w:spacing w:before="240" w:after="0" w:line="276" w:lineRule="auto"/>
        <w:ind w:left="851"/>
        <w:jc w:val="both"/>
        <w:rPr>
          <w:rFonts w:ascii="Palatino Linotype" w:eastAsia="Palatino Linotype" w:hAnsi="Palatino Linotype" w:cs="Palatino Linotype"/>
          <w:i/>
        </w:rPr>
      </w:pPr>
      <w:r w:rsidRPr="00BA37C2">
        <w:rPr>
          <w:rFonts w:ascii="Palatino Linotype" w:eastAsia="Palatino Linotype" w:hAnsi="Palatino Linotype" w:cs="Palatino Linotype"/>
          <w:i/>
          <w:sz w:val="24"/>
          <w:szCs w:val="24"/>
        </w:rPr>
        <w:t>“</w:t>
      </w:r>
      <w:r w:rsidRPr="00BA37C2">
        <w:rPr>
          <w:rFonts w:ascii="Palatino Linotype" w:eastAsia="Palatino Linotype" w:hAnsi="Palatino Linotype" w:cs="Palatino Linotype"/>
          <w:i/>
        </w:rPr>
        <w:t xml:space="preserve">no realizan una </w:t>
      </w:r>
      <w:proofErr w:type="spellStart"/>
      <w:r w:rsidRPr="00BA37C2">
        <w:rPr>
          <w:rFonts w:ascii="Palatino Linotype" w:eastAsia="Palatino Linotype" w:hAnsi="Palatino Linotype" w:cs="Palatino Linotype"/>
          <w:i/>
        </w:rPr>
        <w:t>busqueda</w:t>
      </w:r>
      <w:proofErr w:type="spellEnd"/>
      <w:r w:rsidRPr="00BA37C2">
        <w:rPr>
          <w:rFonts w:ascii="Palatino Linotype" w:eastAsia="Palatino Linotype" w:hAnsi="Palatino Linotype" w:cs="Palatino Linotype"/>
          <w:i/>
        </w:rPr>
        <w:t xml:space="preserve"> exhaustiva de la misma.” [sic]</w:t>
      </w:r>
    </w:p>
    <w:p w14:paraId="49450B3F" w14:textId="77777777" w:rsidR="00C838AC" w:rsidRPr="00BA37C2" w:rsidRDefault="00C838AC" w:rsidP="00C838AC">
      <w:pPr>
        <w:spacing w:after="0" w:line="360" w:lineRule="auto"/>
        <w:jc w:val="both"/>
        <w:rPr>
          <w:rFonts w:ascii="Palatino Linotype" w:eastAsia="Palatino Linotype" w:hAnsi="Palatino Linotype" w:cs="Palatino Linotype"/>
          <w:sz w:val="24"/>
          <w:szCs w:val="24"/>
        </w:rPr>
      </w:pPr>
    </w:p>
    <w:p w14:paraId="78CD3C63" w14:textId="77777777" w:rsidR="00C838AC" w:rsidRPr="00BA37C2" w:rsidRDefault="00C838AC" w:rsidP="00C838AC">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4. TURNO. </w:t>
      </w:r>
      <w:r w:rsidRPr="00BA37C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A37C2">
        <w:rPr>
          <w:rFonts w:ascii="Palatino Linotype" w:eastAsia="Palatino Linotype" w:hAnsi="Palatino Linotype" w:cs="Palatino Linotype"/>
          <w:b/>
          <w:sz w:val="24"/>
          <w:szCs w:val="24"/>
        </w:rPr>
        <w:t xml:space="preserve">Guadalupe Ramírez Peña, </w:t>
      </w:r>
      <w:r w:rsidRPr="00BA37C2">
        <w:rPr>
          <w:rFonts w:ascii="Palatino Linotype" w:eastAsia="Palatino Linotype" w:hAnsi="Palatino Linotype" w:cs="Palatino Linotype"/>
          <w:sz w:val="24"/>
          <w:szCs w:val="24"/>
        </w:rPr>
        <w:t xml:space="preserve">a efecto de que analizara sobre su admisión o su </w:t>
      </w:r>
      <w:proofErr w:type="spellStart"/>
      <w:r w:rsidRPr="00BA37C2">
        <w:rPr>
          <w:rFonts w:ascii="Palatino Linotype" w:eastAsia="Palatino Linotype" w:hAnsi="Palatino Linotype" w:cs="Palatino Linotype"/>
          <w:sz w:val="24"/>
          <w:szCs w:val="24"/>
        </w:rPr>
        <w:t>desechamiento</w:t>
      </w:r>
      <w:proofErr w:type="spellEnd"/>
      <w:r w:rsidRPr="00BA37C2">
        <w:rPr>
          <w:rFonts w:ascii="Palatino Linotype" w:eastAsia="Palatino Linotype" w:hAnsi="Palatino Linotype" w:cs="Palatino Linotype"/>
          <w:sz w:val="24"/>
          <w:szCs w:val="24"/>
        </w:rPr>
        <w:t>.</w:t>
      </w:r>
    </w:p>
    <w:p w14:paraId="74928D42" w14:textId="77777777" w:rsidR="00C838AC" w:rsidRPr="00BA37C2" w:rsidRDefault="00C838AC" w:rsidP="00C838AC">
      <w:pPr>
        <w:spacing w:after="0" w:line="360" w:lineRule="auto"/>
        <w:contextualSpacing/>
        <w:jc w:val="both"/>
        <w:rPr>
          <w:rFonts w:ascii="Palatino Linotype" w:eastAsia="Palatino Linotype" w:hAnsi="Palatino Linotype" w:cs="Palatino Linotype"/>
          <w:sz w:val="24"/>
          <w:szCs w:val="24"/>
        </w:rPr>
      </w:pPr>
    </w:p>
    <w:p w14:paraId="35422160" w14:textId="77777777" w:rsidR="00C838AC" w:rsidRPr="00BA37C2" w:rsidRDefault="00C838AC" w:rsidP="005A01A3">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5. ADMISIÓN DEL RECURSO DE REVISIÓN.</w:t>
      </w:r>
      <w:r w:rsidRPr="00BA37C2">
        <w:rPr>
          <w:rFonts w:ascii="Palatino Linotype" w:eastAsia="Palatino Linotype" w:hAnsi="Palatino Linotype" w:cs="Palatino Linotype"/>
          <w:sz w:val="24"/>
          <w:szCs w:val="24"/>
        </w:rPr>
        <w:t xml:space="preserve"> Con fecha</w:t>
      </w:r>
      <w:r w:rsidRPr="00BA37C2">
        <w:rPr>
          <w:rFonts w:ascii="Palatino Linotype" w:eastAsia="Palatino Linotype" w:hAnsi="Palatino Linotype" w:cs="Palatino Linotype"/>
          <w:b/>
          <w:sz w:val="24"/>
          <w:szCs w:val="24"/>
        </w:rPr>
        <w:t xml:space="preserve"> diecinueve de octubre de dos mil veintidós, </w:t>
      </w:r>
      <w:r w:rsidRPr="00BA37C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A37C2">
        <w:rPr>
          <w:rFonts w:ascii="Palatino Linotype" w:eastAsia="Palatino Linotype" w:hAnsi="Palatino Linotype" w:cs="Palatino Linotype"/>
          <w:b/>
          <w:sz w:val="24"/>
          <w:szCs w:val="24"/>
        </w:rPr>
        <w:t xml:space="preserve">SUJETO OBLIGADO </w:t>
      </w:r>
      <w:r w:rsidRPr="00BA37C2">
        <w:rPr>
          <w:rFonts w:ascii="Palatino Linotype" w:eastAsia="Palatino Linotype" w:hAnsi="Palatino Linotype" w:cs="Palatino Linotype"/>
          <w:sz w:val="24"/>
          <w:szCs w:val="24"/>
        </w:rPr>
        <w:t>presentará su informe justificado.</w:t>
      </w:r>
    </w:p>
    <w:p w14:paraId="45073837" w14:textId="77777777" w:rsidR="00844341" w:rsidRPr="00BA37C2" w:rsidRDefault="00844341" w:rsidP="005A01A3">
      <w:pPr>
        <w:spacing w:after="0" w:line="360" w:lineRule="auto"/>
        <w:contextualSpacing/>
        <w:jc w:val="both"/>
        <w:rPr>
          <w:rFonts w:ascii="Palatino Linotype" w:eastAsia="Palatino Linotype" w:hAnsi="Palatino Linotype" w:cs="Palatino Linotype"/>
          <w:sz w:val="24"/>
          <w:szCs w:val="24"/>
        </w:rPr>
      </w:pPr>
    </w:p>
    <w:p w14:paraId="410475BD" w14:textId="77777777" w:rsidR="00C838AC" w:rsidRPr="00BA37C2" w:rsidRDefault="00C838AC" w:rsidP="00C838AC">
      <w:pPr>
        <w:spacing w:after="0" w:line="360" w:lineRule="auto"/>
        <w:ind w:right="49"/>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6. MANIFESTACIONES.</w:t>
      </w:r>
      <w:r w:rsidRPr="00BA37C2">
        <w:rPr>
          <w:rFonts w:ascii="Palatino Linotype" w:eastAsia="Palatino Linotype" w:hAnsi="Palatino Linotype" w:cs="Palatino Linotype"/>
          <w:sz w:val="24"/>
          <w:szCs w:val="24"/>
        </w:rPr>
        <w:t xml:space="preserve"> El veintisiete de octubre de dos mil veintidós se recibió, a través del Sistema de Acceso a la Información Mexiquense (SAIMEX), el Informe Justificado del </w:t>
      </w:r>
      <w:r w:rsidRPr="00BA37C2">
        <w:rPr>
          <w:rFonts w:ascii="Palatino Linotype" w:eastAsia="Palatino Linotype" w:hAnsi="Palatino Linotype" w:cs="Palatino Linotype"/>
          <w:b/>
          <w:sz w:val="24"/>
          <w:szCs w:val="24"/>
        </w:rPr>
        <w:t>SUJETO OBLIGADO</w:t>
      </w:r>
      <w:r w:rsidRPr="00BA37C2">
        <w:rPr>
          <w:rFonts w:ascii="Palatino Linotype" w:eastAsia="Palatino Linotype" w:hAnsi="Palatino Linotype" w:cs="Palatino Linotype"/>
          <w:sz w:val="24"/>
          <w:szCs w:val="24"/>
        </w:rPr>
        <w:t>,</w:t>
      </w:r>
      <w:r w:rsidRPr="00BA37C2">
        <w:rPr>
          <w:rFonts w:ascii="Palatino Linotype" w:eastAsia="Palatino Linotype" w:hAnsi="Palatino Linotype" w:cs="Palatino Linotype"/>
          <w:b/>
          <w:sz w:val="24"/>
          <w:szCs w:val="24"/>
        </w:rPr>
        <w:t xml:space="preserve"> </w:t>
      </w:r>
      <w:r w:rsidRPr="00BA37C2">
        <w:rPr>
          <w:rFonts w:ascii="Palatino Linotype" w:eastAsia="Palatino Linotype" w:hAnsi="Palatino Linotype" w:cs="Palatino Linotype"/>
          <w:sz w:val="24"/>
          <w:szCs w:val="24"/>
        </w:rPr>
        <w:t xml:space="preserve">a través del siguiente archivo electrónico: </w:t>
      </w:r>
    </w:p>
    <w:p w14:paraId="6325B2BE" w14:textId="77777777" w:rsidR="00C838AC" w:rsidRPr="00BA37C2" w:rsidRDefault="00C838AC" w:rsidP="00C838AC">
      <w:pPr>
        <w:spacing w:line="360" w:lineRule="auto"/>
        <w:jc w:val="both"/>
        <w:rPr>
          <w:rFonts w:ascii="Palatino Linotype" w:eastAsia="Palatino Linotype" w:hAnsi="Palatino Linotype" w:cs="Palatino Linotype"/>
          <w:sz w:val="24"/>
          <w:szCs w:val="24"/>
        </w:rPr>
      </w:pPr>
    </w:p>
    <w:p w14:paraId="3847101F" w14:textId="1DECDAF8" w:rsidR="0002669C" w:rsidRPr="00BA37C2" w:rsidRDefault="00C838AC" w:rsidP="0002669C">
      <w:pPr>
        <w:spacing w:line="360" w:lineRule="auto"/>
        <w:contextualSpacing/>
        <w:jc w:val="both"/>
        <w:rPr>
          <w:rFonts w:ascii="Palatino Linotype" w:hAnsi="Palatino Linotype"/>
          <w:sz w:val="24"/>
        </w:rPr>
      </w:pPr>
      <w:r w:rsidRPr="00BA37C2">
        <w:rPr>
          <w:rFonts w:ascii="Palatino Linotype" w:hAnsi="Palatino Linotype"/>
          <w:b/>
          <w:i/>
          <w:sz w:val="24"/>
          <w:u w:val="single"/>
        </w:rPr>
        <w:lastRenderedPageBreak/>
        <w:t xml:space="preserve">“388 </w:t>
      </w:r>
      <w:r w:rsidR="00146FD0">
        <w:rPr>
          <w:rFonts w:ascii="Palatino Linotype" w:hAnsi="Palatino Linotype"/>
          <w:b/>
          <w:i/>
          <w:sz w:val="24"/>
          <w:u w:val="single"/>
        </w:rPr>
        <w:t>–</w:t>
      </w:r>
      <w:r w:rsidRPr="00BA37C2">
        <w:rPr>
          <w:rFonts w:ascii="Palatino Linotype" w:hAnsi="Palatino Linotype"/>
          <w:b/>
          <w:i/>
          <w:sz w:val="24"/>
          <w:u w:val="single"/>
        </w:rPr>
        <w:t xml:space="preserve"> </w:t>
      </w:r>
      <w:r w:rsidR="00146FD0">
        <w:rPr>
          <w:rFonts w:ascii="Palatino Linotype" w:hAnsi="Palatino Linotype"/>
          <w:b/>
          <w:i/>
          <w:sz w:val="24"/>
          <w:u w:val="single"/>
        </w:rPr>
        <w:t>XX XXXXXX XXX XXXXXXXXXX</w:t>
      </w:r>
      <w:r w:rsidRPr="00BA37C2">
        <w:rPr>
          <w:rFonts w:ascii="Palatino Linotype" w:hAnsi="Palatino Linotype"/>
          <w:b/>
          <w:i/>
          <w:sz w:val="24"/>
          <w:u w:val="single"/>
        </w:rPr>
        <w:t xml:space="preserve"> - Unidad de Transparencia - Informe Justificado - 0388.pdf”</w:t>
      </w:r>
      <w:r w:rsidRPr="00BA37C2">
        <w:t xml:space="preserve">: </w:t>
      </w:r>
      <w:r w:rsidRPr="00BA37C2">
        <w:rPr>
          <w:rFonts w:ascii="Palatino Linotype" w:hAnsi="Palatino Linotype"/>
          <w:sz w:val="24"/>
        </w:rPr>
        <w:t xml:space="preserve">Oficio signado por el Titular de la Unidad de Transparencia mediante el cual describen las constancias que obran en el SAIMEX, </w:t>
      </w:r>
      <w:r w:rsidR="0002669C" w:rsidRPr="00BA37C2">
        <w:rPr>
          <w:rFonts w:ascii="Palatino Linotype" w:hAnsi="Palatino Linotype"/>
          <w:sz w:val="24"/>
        </w:rPr>
        <w:t>además de mencionar que no se actualiza una de las causales que afecte el derecho de acceso a la información pública, motivo por el que solicita se confirme su respuesta.</w:t>
      </w:r>
    </w:p>
    <w:p w14:paraId="19423AB9" w14:textId="77777777" w:rsidR="0002669C" w:rsidRPr="00BA37C2" w:rsidRDefault="0002669C" w:rsidP="0002669C">
      <w:pPr>
        <w:spacing w:line="360" w:lineRule="auto"/>
        <w:contextualSpacing/>
        <w:jc w:val="both"/>
        <w:rPr>
          <w:rFonts w:ascii="Palatino Linotype" w:hAnsi="Palatino Linotype"/>
          <w:sz w:val="24"/>
        </w:rPr>
      </w:pPr>
    </w:p>
    <w:p w14:paraId="1CD38D4C" w14:textId="77777777" w:rsidR="0002669C" w:rsidRPr="00BA37C2" w:rsidRDefault="0002669C" w:rsidP="0002669C">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Mismo que se puso a la vista del </w:t>
      </w:r>
      <w:r w:rsidRPr="00BA37C2">
        <w:rPr>
          <w:rFonts w:ascii="Palatino Linotype" w:eastAsia="Palatino Linotype" w:hAnsi="Palatino Linotype" w:cs="Palatino Linotype"/>
          <w:b/>
          <w:sz w:val="24"/>
          <w:szCs w:val="24"/>
        </w:rPr>
        <w:t xml:space="preserve">RECURRENTE </w:t>
      </w:r>
      <w:r w:rsidRPr="00BA37C2">
        <w:rPr>
          <w:rFonts w:ascii="Palatino Linotype" w:eastAsia="Palatino Linotype" w:hAnsi="Palatino Linotype" w:cs="Palatino Linotype"/>
          <w:sz w:val="24"/>
          <w:szCs w:val="24"/>
        </w:rPr>
        <w:t xml:space="preserve">en fecha veintitrés de marzo de dos mil veintitrés. </w:t>
      </w:r>
    </w:p>
    <w:p w14:paraId="7AE05806" w14:textId="77777777" w:rsidR="0002669C" w:rsidRPr="00BA37C2" w:rsidRDefault="0002669C" w:rsidP="0002669C">
      <w:pPr>
        <w:spacing w:after="0" w:line="360" w:lineRule="auto"/>
        <w:contextualSpacing/>
        <w:jc w:val="both"/>
        <w:rPr>
          <w:rFonts w:ascii="Palatino Linotype" w:eastAsia="Palatino Linotype" w:hAnsi="Palatino Linotype" w:cs="Palatino Linotype"/>
          <w:sz w:val="24"/>
          <w:szCs w:val="24"/>
        </w:rPr>
      </w:pPr>
    </w:p>
    <w:p w14:paraId="0B9DDFF6" w14:textId="77777777" w:rsidR="0002669C" w:rsidRPr="00BA37C2" w:rsidRDefault="0002669C" w:rsidP="0002669C">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Por lo que corresponde a la parte </w:t>
      </w:r>
      <w:r w:rsidRPr="00BA37C2">
        <w:rPr>
          <w:rFonts w:ascii="Palatino Linotype" w:eastAsia="Palatino Linotype" w:hAnsi="Palatino Linotype" w:cs="Palatino Linotype"/>
          <w:b/>
          <w:sz w:val="24"/>
          <w:szCs w:val="24"/>
        </w:rPr>
        <w:t>RECURRENTE</w:t>
      </w:r>
      <w:r w:rsidR="00844341" w:rsidRPr="00BA37C2">
        <w:rPr>
          <w:rFonts w:ascii="Palatino Linotype" w:eastAsia="Palatino Linotype" w:hAnsi="Palatino Linotype" w:cs="Palatino Linotype"/>
          <w:sz w:val="24"/>
          <w:szCs w:val="24"/>
        </w:rPr>
        <w:t>, esta resulto omisa</w:t>
      </w:r>
      <w:r w:rsidRPr="00BA37C2">
        <w:rPr>
          <w:rFonts w:ascii="Palatino Linotype" w:eastAsia="Palatino Linotype" w:hAnsi="Palatino Linotype" w:cs="Palatino Linotype"/>
          <w:sz w:val="24"/>
          <w:szCs w:val="24"/>
        </w:rPr>
        <w:t xml:space="preserve"> de emitir sus manifestaciones conforme a derecho le corresponde. </w:t>
      </w:r>
    </w:p>
    <w:p w14:paraId="42A5848F" w14:textId="77777777" w:rsidR="00C838AC" w:rsidRPr="00BA37C2" w:rsidRDefault="0002669C" w:rsidP="00C838AC">
      <w:pPr>
        <w:spacing w:line="360" w:lineRule="auto"/>
        <w:jc w:val="both"/>
        <w:rPr>
          <w:rFonts w:ascii="Palatino Linotype" w:hAnsi="Palatino Linotype"/>
          <w:sz w:val="24"/>
        </w:rPr>
      </w:pPr>
      <w:r w:rsidRPr="00BA37C2">
        <w:rPr>
          <w:rFonts w:ascii="Palatino Linotype" w:hAnsi="Palatino Linotype"/>
          <w:sz w:val="24"/>
        </w:rPr>
        <w:t xml:space="preserve"> </w:t>
      </w:r>
    </w:p>
    <w:p w14:paraId="62DB3185" w14:textId="77777777" w:rsidR="0002669C" w:rsidRPr="00BA37C2" w:rsidRDefault="0002669C" w:rsidP="0002669C">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7. AMPLIACIÓN DEL TÉRMINO PARA RESOLVER</w:t>
      </w:r>
      <w:r w:rsidRPr="00BA37C2">
        <w:rPr>
          <w:rFonts w:ascii="Palatino Linotype" w:eastAsia="Palatino Linotype" w:hAnsi="Palatino Linotype" w:cs="Palatino Linotype"/>
          <w:sz w:val="24"/>
          <w:szCs w:val="24"/>
        </w:rPr>
        <w:t>.</w:t>
      </w:r>
      <w:r w:rsidRPr="00BA37C2">
        <w:rPr>
          <w:rFonts w:ascii="Palatino Linotype" w:eastAsia="Palatino Linotype" w:hAnsi="Palatino Linotype" w:cs="Palatino Linotype"/>
        </w:rPr>
        <w:t xml:space="preserve"> </w:t>
      </w:r>
      <w:r w:rsidRPr="00BA37C2">
        <w:rPr>
          <w:rFonts w:ascii="Palatino Linotype" w:eastAsia="Palatino Linotype" w:hAnsi="Palatino Linotype" w:cs="Palatino Linotype"/>
          <w:sz w:val="24"/>
          <w:szCs w:val="24"/>
        </w:rPr>
        <w:t>En fecha veinti</w:t>
      </w:r>
      <w:r w:rsidR="00A000D5" w:rsidRPr="00BA37C2">
        <w:rPr>
          <w:rFonts w:ascii="Palatino Linotype" w:eastAsia="Palatino Linotype" w:hAnsi="Palatino Linotype" w:cs="Palatino Linotype"/>
          <w:sz w:val="24"/>
          <w:szCs w:val="24"/>
        </w:rPr>
        <w:t>ocho</w:t>
      </w:r>
      <w:r w:rsidRPr="00BA37C2">
        <w:rPr>
          <w:rFonts w:ascii="Palatino Linotype" w:eastAsia="Palatino Linotype" w:hAnsi="Palatino Linotype" w:cs="Palatino Linotype"/>
          <w:sz w:val="24"/>
          <w:szCs w:val="24"/>
        </w:rPr>
        <w:t xml:space="preserve"> de marzo</w:t>
      </w:r>
      <w:r w:rsidR="0029449F" w:rsidRPr="00BA37C2">
        <w:rPr>
          <w:rFonts w:ascii="Palatino Linotype" w:eastAsia="Palatino Linotype" w:hAnsi="Palatino Linotype" w:cs="Palatino Linotype"/>
          <w:sz w:val="24"/>
          <w:szCs w:val="24"/>
        </w:rPr>
        <w:t xml:space="preserve"> de dos mil veintitrés</w:t>
      </w:r>
      <w:r w:rsidRPr="00BA37C2">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0E07B7C7" w14:textId="77777777" w:rsidR="0002669C" w:rsidRPr="00BA37C2" w:rsidRDefault="0002669C" w:rsidP="00C838AC">
      <w:pPr>
        <w:spacing w:line="360" w:lineRule="auto"/>
        <w:contextualSpacing/>
        <w:jc w:val="both"/>
        <w:rPr>
          <w:rFonts w:ascii="Palatino Linotype" w:hAnsi="Palatino Linotype"/>
          <w:sz w:val="24"/>
        </w:rPr>
      </w:pPr>
    </w:p>
    <w:p w14:paraId="5921F574" w14:textId="77777777" w:rsidR="0002669C" w:rsidRPr="00BA37C2" w:rsidRDefault="0002669C" w:rsidP="0002669C">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6D24AC5"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 xml:space="preserve">Por ello, es menester precisar </w:t>
      </w:r>
      <w:proofErr w:type="gramStart"/>
      <w:r w:rsidRPr="00BA37C2">
        <w:rPr>
          <w:rFonts w:ascii="Palatino Linotype" w:eastAsia="Palatino Linotype" w:hAnsi="Palatino Linotype" w:cs="Palatino Linotype"/>
          <w:sz w:val="24"/>
          <w:szCs w:val="24"/>
        </w:rPr>
        <w:t>que</w:t>
      </w:r>
      <w:proofErr w:type="gramEnd"/>
      <w:r w:rsidRPr="00BA37C2">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C8B230F"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10CCD8D5"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A729D0"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30FBE083"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9E0D429"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5138092D" w14:textId="77777777" w:rsidR="0002669C" w:rsidRPr="00BA37C2" w:rsidRDefault="0002669C" w:rsidP="0002669C">
      <w:pPr>
        <w:spacing w:after="0" w:line="360" w:lineRule="auto"/>
        <w:jc w:val="both"/>
        <w:rPr>
          <w:rFonts w:ascii="Palatino Linotype" w:eastAsia="Palatino Linotype" w:hAnsi="Palatino Linotype" w:cs="Palatino Linotype"/>
          <w:strike/>
          <w:sz w:val="24"/>
          <w:szCs w:val="24"/>
        </w:rPr>
      </w:pPr>
      <w:r w:rsidRPr="00BA37C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DC4ECD8"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36BF1115" w14:textId="77777777" w:rsidR="0002669C" w:rsidRPr="00BA37C2" w:rsidRDefault="0002669C" w:rsidP="0002669C">
      <w:pPr>
        <w:numPr>
          <w:ilvl w:val="0"/>
          <w:numId w:val="2"/>
        </w:num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AFF1AC9" w14:textId="77777777" w:rsidR="0002669C" w:rsidRPr="00BA37C2" w:rsidRDefault="0002669C" w:rsidP="0002669C">
      <w:pPr>
        <w:numPr>
          <w:ilvl w:val="0"/>
          <w:numId w:val="2"/>
        </w:num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Actividad Procesal del interesado. Acciones u omisiones del interesado.</w:t>
      </w:r>
    </w:p>
    <w:p w14:paraId="07B367CA"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08A170E6" w14:textId="77777777" w:rsidR="0002669C" w:rsidRPr="00BA37C2" w:rsidRDefault="0002669C" w:rsidP="0002669C">
      <w:pPr>
        <w:numPr>
          <w:ilvl w:val="0"/>
          <w:numId w:val="2"/>
        </w:num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474EA18" w14:textId="77777777" w:rsidR="0002669C" w:rsidRPr="00BA37C2" w:rsidRDefault="0002669C" w:rsidP="0002669C">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04455996" w14:textId="77777777" w:rsidR="0002669C" w:rsidRPr="00BA37C2" w:rsidRDefault="0002669C" w:rsidP="0002669C">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738A922D"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6BB84"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51247179"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A37C2">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A37C2">
        <w:rPr>
          <w:rFonts w:ascii="Palatino Linotype" w:eastAsia="Palatino Linotype" w:hAnsi="Palatino Linotype" w:cs="Palatino Linotype"/>
          <w:sz w:val="24"/>
          <w:szCs w:val="24"/>
        </w:rPr>
        <w:t>, visible en la Gaceta del Seminario Judicial de la Federación con el registro digital 205635.</w:t>
      </w:r>
    </w:p>
    <w:p w14:paraId="7E220379" w14:textId="77777777" w:rsidR="005A01A3" w:rsidRPr="00BA37C2" w:rsidRDefault="005A01A3" w:rsidP="0002669C">
      <w:pPr>
        <w:spacing w:after="0" w:line="360" w:lineRule="auto"/>
        <w:jc w:val="both"/>
        <w:rPr>
          <w:rFonts w:ascii="Palatino Linotype" w:eastAsia="Palatino Linotype" w:hAnsi="Palatino Linotype" w:cs="Palatino Linotype"/>
          <w:b/>
          <w:sz w:val="24"/>
          <w:szCs w:val="24"/>
        </w:rPr>
      </w:pPr>
    </w:p>
    <w:p w14:paraId="79EC34F6"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BA37C2">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8B2E1"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49B36922"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2D51FE3"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4534F579"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 </w:t>
      </w:r>
      <w:r w:rsidRPr="00BA37C2">
        <w:rPr>
          <w:rFonts w:ascii="Palatino Linotype" w:eastAsia="Palatino Linotype" w:hAnsi="Palatino Linotype" w:cs="Palatino Linotype"/>
          <w:i/>
          <w:sz w:val="24"/>
          <w:szCs w:val="24"/>
        </w:rPr>
        <w:t>“PLAZO RAZONABLE PARA RESOLVER. DIMENSIÓN Y EFECTOS DE ESTE CONCEPTO CUANDO SE ADUCE EXCESIVA CARGA DE TRABAJO.”</w:t>
      </w:r>
      <w:r w:rsidRPr="00BA37C2">
        <w:rPr>
          <w:rFonts w:ascii="Palatino Linotype" w:eastAsia="Palatino Linotype" w:hAnsi="Palatino Linotype" w:cs="Palatino Linotype"/>
          <w:sz w:val="24"/>
          <w:szCs w:val="24"/>
        </w:rPr>
        <w:t xml:space="preserve"> consultable en el Seminario Judicial de la Federación y su gaceta, con el registro digital 2002351.</w:t>
      </w:r>
    </w:p>
    <w:p w14:paraId="1BB9EAAB"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466C6615"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A37C2">
        <w:rPr>
          <w:rFonts w:ascii="Palatino Linotype" w:eastAsia="Palatino Linotype" w:hAnsi="Palatino Linotype" w:cs="Palatino Linotype"/>
          <w:sz w:val="24"/>
          <w:szCs w:val="24"/>
        </w:rPr>
        <w:t>, visible en el Seminario Judicial de la Federación y su gaceta, con el registro digital 2002350.</w:t>
      </w:r>
    </w:p>
    <w:p w14:paraId="479503CD" w14:textId="77777777" w:rsidR="00A000D5" w:rsidRPr="00BA37C2" w:rsidRDefault="00A000D5" w:rsidP="0002669C">
      <w:pPr>
        <w:spacing w:after="0" w:line="360" w:lineRule="auto"/>
        <w:jc w:val="both"/>
        <w:rPr>
          <w:rFonts w:ascii="Palatino Linotype" w:eastAsia="Palatino Linotype" w:hAnsi="Palatino Linotype" w:cs="Palatino Linotype"/>
          <w:sz w:val="24"/>
          <w:szCs w:val="24"/>
        </w:rPr>
      </w:pPr>
    </w:p>
    <w:p w14:paraId="3ABFB6F3"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67DA5C32"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p>
    <w:p w14:paraId="3F0FD4CA"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8. CIERRE DE INSTRUCCIÓN. </w:t>
      </w:r>
      <w:r w:rsidRPr="00BA37C2">
        <w:rPr>
          <w:rFonts w:ascii="Palatino Linotype" w:eastAsia="Palatino Linotype" w:hAnsi="Palatino Linotype" w:cs="Palatino Linotype"/>
          <w:sz w:val="24"/>
          <w:szCs w:val="24"/>
        </w:rPr>
        <w:t xml:space="preserve">El veintinueve de marzo </w:t>
      </w:r>
      <w:r w:rsidR="0029449F" w:rsidRPr="00BA37C2">
        <w:rPr>
          <w:rFonts w:ascii="Palatino Linotype" w:eastAsia="Palatino Linotype" w:hAnsi="Palatino Linotype" w:cs="Palatino Linotype"/>
          <w:sz w:val="24"/>
          <w:szCs w:val="24"/>
        </w:rPr>
        <w:t>de dos mil veintitrés</w:t>
      </w:r>
      <w:r w:rsidRPr="00BA37C2">
        <w:rPr>
          <w:rFonts w:ascii="Palatino Linotype" w:eastAsia="Palatino Linotype" w:hAnsi="Palatino Linotype" w:cs="Palatino Linotype"/>
          <w:sz w:val="24"/>
          <w:szCs w:val="24"/>
        </w:rPr>
        <w:t>,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D630F11" w14:textId="77777777" w:rsidR="00844341" w:rsidRPr="00BA37C2" w:rsidRDefault="00844341" w:rsidP="0002669C">
      <w:pPr>
        <w:spacing w:after="0" w:line="360" w:lineRule="auto"/>
        <w:jc w:val="both"/>
        <w:rPr>
          <w:rFonts w:ascii="Palatino Linotype" w:eastAsia="Palatino Linotype" w:hAnsi="Palatino Linotype" w:cs="Palatino Linotype"/>
          <w:sz w:val="24"/>
          <w:szCs w:val="24"/>
        </w:rPr>
      </w:pPr>
    </w:p>
    <w:p w14:paraId="3C45D62B" w14:textId="77777777" w:rsidR="0002669C" w:rsidRPr="00BA37C2" w:rsidRDefault="0002669C" w:rsidP="001E2FFA">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E36050A" w14:textId="77777777" w:rsidR="001E2FFA" w:rsidRPr="00BA37C2" w:rsidRDefault="001E2FFA" w:rsidP="001E2FFA">
      <w:pPr>
        <w:spacing w:after="0" w:line="360" w:lineRule="auto"/>
        <w:jc w:val="both"/>
        <w:rPr>
          <w:rFonts w:ascii="Palatino Linotype" w:eastAsia="Palatino Linotype" w:hAnsi="Palatino Linotype" w:cs="Palatino Linotype"/>
          <w:sz w:val="24"/>
          <w:szCs w:val="24"/>
        </w:rPr>
      </w:pPr>
    </w:p>
    <w:p w14:paraId="596C2D2B" w14:textId="77777777" w:rsidR="0002669C" w:rsidRPr="00BA37C2" w:rsidRDefault="0002669C" w:rsidP="0002669C">
      <w:pPr>
        <w:widowControl w:val="0"/>
        <w:spacing w:after="0" w:line="360" w:lineRule="auto"/>
        <w:jc w:val="center"/>
        <w:rPr>
          <w:rFonts w:ascii="Palatino Linotype" w:eastAsia="Palatino Linotype" w:hAnsi="Palatino Linotype" w:cs="Palatino Linotype"/>
          <w:b/>
          <w:sz w:val="24"/>
          <w:szCs w:val="24"/>
        </w:rPr>
      </w:pPr>
      <w:r w:rsidRPr="00BA37C2">
        <w:rPr>
          <w:rFonts w:ascii="Palatino Linotype" w:eastAsia="Palatino Linotype" w:hAnsi="Palatino Linotype" w:cs="Palatino Linotype"/>
          <w:b/>
          <w:sz w:val="24"/>
          <w:szCs w:val="24"/>
        </w:rPr>
        <w:t>C O N S I D E R A N D O S</w:t>
      </w:r>
    </w:p>
    <w:p w14:paraId="260DB0FA" w14:textId="77777777" w:rsidR="0002669C" w:rsidRPr="00BA37C2" w:rsidRDefault="0002669C" w:rsidP="0002669C">
      <w:pPr>
        <w:spacing w:after="0" w:line="360" w:lineRule="auto"/>
        <w:jc w:val="both"/>
        <w:rPr>
          <w:rFonts w:ascii="Palatino Linotype" w:eastAsia="Palatino Linotype" w:hAnsi="Palatino Linotype" w:cs="Palatino Linotype"/>
          <w:b/>
          <w:sz w:val="24"/>
          <w:szCs w:val="24"/>
        </w:rPr>
      </w:pPr>
    </w:p>
    <w:p w14:paraId="764B1EF0" w14:textId="77777777" w:rsidR="0002669C" w:rsidRPr="00BA37C2" w:rsidRDefault="0002669C" w:rsidP="0002669C">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PRIMERO. COMPETENCIA.</w:t>
      </w:r>
      <w:r w:rsidRPr="00BA37C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BA37C2">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AEEDF43" w14:textId="77777777" w:rsidR="0002669C" w:rsidRPr="00BA37C2" w:rsidRDefault="0002669C" w:rsidP="00C838AC">
      <w:pPr>
        <w:spacing w:line="360" w:lineRule="auto"/>
        <w:jc w:val="both"/>
        <w:rPr>
          <w:rFonts w:ascii="Palatino Linotype" w:hAnsi="Palatino Linotype"/>
          <w:sz w:val="24"/>
        </w:rPr>
      </w:pPr>
    </w:p>
    <w:p w14:paraId="78F7F3C3" w14:textId="77777777" w:rsidR="001E2FFA" w:rsidRPr="00BA37C2" w:rsidRDefault="001E2FFA" w:rsidP="001E2FFA">
      <w:pPr>
        <w:spacing w:before="160" w:after="0" w:line="360" w:lineRule="auto"/>
        <w:ind w:right="-234"/>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SEGUNDO. OPORTUNIDAD Y PROCEDIBILIDAD DEL RECURSO DE REVISIÓN.  </w:t>
      </w:r>
      <w:r w:rsidRPr="00BA37C2">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B4F8BA8" w14:textId="77777777" w:rsidR="001E2FFA" w:rsidRPr="00BA37C2" w:rsidRDefault="001E2FFA" w:rsidP="001E2FFA">
      <w:pPr>
        <w:spacing w:before="160" w:after="0" w:line="360" w:lineRule="auto"/>
        <w:ind w:right="-234"/>
        <w:contextualSpacing/>
        <w:jc w:val="both"/>
        <w:rPr>
          <w:rFonts w:ascii="Palatino Linotype" w:eastAsia="Palatino Linotype" w:hAnsi="Palatino Linotype" w:cs="Palatino Linotype"/>
          <w:sz w:val="24"/>
          <w:szCs w:val="24"/>
        </w:rPr>
      </w:pPr>
    </w:p>
    <w:p w14:paraId="15AD83C6" w14:textId="77777777" w:rsidR="001E2FFA" w:rsidRPr="00BA37C2" w:rsidRDefault="001E2FFA" w:rsidP="001E2FFA">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A37C2">
        <w:rPr>
          <w:rFonts w:ascii="Palatino Linotype" w:eastAsia="Palatino Linotype" w:hAnsi="Palatino Linotype" w:cs="Palatino Linotype"/>
          <w:b/>
          <w:sz w:val="24"/>
          <w:szCs w:val="24"/>
        </w:rPr>
        <w:t xml:space="preserve"> EL SUJETO OBLIGADO </w:t>
      </w:r>
      <w:r w:rsidRPr="00BA37C2">
        <w:rPr>
          <w:rFonts w:ascii="Palatino Linotype" w:eastAsia="Palatino Linotype" w:hAnsi="Palatino Linotype" w:cs="Palatino Linotype"/>
          <w:sz w:val="24"/>
          <w:szCs w:val="24"/>
        </w:rPr>
        <w:t>emi</w:t>
      </w:r>
      <w:r w:rsidR="00844341" w:rsidRPr="00BA37C2">
        <w:rPr>
          <w:rFonts w:ascii="Palatino Linotype" w:eastAsia="Palatino Linotype" w:hAnsi="Palatino Linotype" w:cs="Palatino Linotype"/>
          <w:sz w:val="24"/>
          <w:szCs w:val="24"/>
        </w:rPr>
        <w:t>tió la respuesta, toda vez que e</w:t>
      </w:r>
      <w:r w:rsidRPr="00BA37C2">
        <w:rPr>
          <w:rFonts w:ascii="Palatino Linotype" w:eastAsia="Palatino Linotype" w:hAnsi="Palatino Linotype" w:cs="Palatino Linotype"/>
          <w:sz w:val="24"/>
          <w:szCs w:val="24"/>
        </w:rPr>
        <w:t xml:space="preserve">sta fue pronunciada el día </w:t>
      </w:r>
      <w:r w:rsidR="0029449F" w:rsidRPr="00BA37C2">
        <w:rPr>
          <w:rFonts w:ascii="Palatino Linotype" w:eastAsia="Palatino Linotype" w:hAnsi="Palatino Linotype" w:cs="Palatino Linotype"/>
          <w:sz w:val="24"/>
          <w:szCs w:val="24"/>
        </w:rPr>
        <w:t xml:space="preserve">trece </w:t>
      </w:r>
      <w:r w:rsidRPr="00BA37C2">
        <w:rPr>
          <w:rFonts w:ascii="Palatino Linotype" w:eastAsia="Palatino Linotype" w:hAnsi="Palatino Linotype" w:cs="Palatino Linotype"/>
          <w:sz w:val="24"/>
          <w:szCs w:val="24"/>
        </w:rPr>
        <w:t xml:space="preserve">de </w:t>
      </w:r>
      <w:r w:rsidR="0029449F" w:rsidRPr="00BA37C2">
        <w:rPr>
          <w:rFonts w:ascii="Palatino Linotype" w:eastAsia="Palatino Linotype" w:hAnsi="Palatino Linotype" w:cs="Palatino Linotype"/>
          <w:sz w:val="24"/>
          <w:szCs w:val="24"/>
        </w:rPr>
        <w:t xml:space="preserve">octubre </w:t>
      </w:r>
      <w:r w:rsidRPr="00BA37C2">
        <w:rPr>
          <w:rFonts w:ascii="Palatino Linotype" w:eastAsia="Palatino Linotype" w:hAnsi="Palatino Linotype" w:cs="Palatino Linotype"/>
          <w:sz w:val="24"/>
          <w:szCs w:val="24"/>
        </w:rPr>
        <w:t xml:space="preserve">del año dos mil veintidós, mientras que la </w:t>
      </w:r>
      <w:r w:rsidRPr="00BA37C2">
        <w:rPr>
          <w:rFonts w:ascii="Palatino Linotype" w:eastAsia="Palatino Linotype" w:hAnsi="Palatino Linotype" w:cs="Palatino Linotype"/>
          <w:b/>
          <w:sz w:val="24"/>
          <w:szCs w:val="24"/>
        </w:rPr>
        <w:t>RECURRENTE</w:t>
      </w:r>
      <w:r w:rsidRPr="00BA37C2">
        <w:rPr>
          <w:rFonts w:ascii="Palatino Linotype" w:eastAsia="Palatino Linotype" w:hAnsi="Palatino Linotype" w:cs="Palatino Linotype"/>
          <w:sz w:val="24"/>
          <w:szCs w:val="24"/>
        </w:rPr>
        <w:t xml:space="preserve"> interpuso </w:t>
      </w:r>
      <w:r w:rsidR="0029449F" w:rsidRPr="00BA37C2">
        <w:rPr>
          <w:rFonts w:ascii="Palatino Linotype" w:eastAsia="Palatino Linotype" w:hAnsi="Palatino Linotype" w:cs="Palatino Linotype"/>
          <w:sz w:val="24"/>
          <w:szCs w:val="24"/>
        </w:rPr>
        <w:t xml:space="preserve">el recurso de revisión en fecha catorce de octubre </w:t>
      </w:r>
      <w:r w:rsidRPr="00BA37C2">
        <w:rPr>
          <w:rFonts w:ascii="Palatino Linotype" w:eastAsia="Palatino Linotype" w:hAnsi="Palatino Linotype" w:cs="Palatino Linotype"/>
          <w:sz w:val="24"/>
          <w:szCs w:val="24"/>
        </w:rPr>
        <w:t xml:space="preserve">de dos mil veintidós, esto es al </w:t>
      </w:r>
      <w:r w:rsidR="0029449F" w:rsidRPr="00BA37C2">
        <w:rPr>
          <w:rFonts w:ascii="Palatino Linotype" w:eastAsia="Palatino Linotype" w:hAnsi="Palatino Linotype" w:cs="Palatino Linotype"/>
          <w:sz w:val="24"/>
          <w:szCs w:val="24"/>
        </w:rPr>
        <w:t>siguiente</w:t>
      </w:r>
      <w:r w:rsidRPr="00BA37C2">
        <w:rPr>
          <w:rFonts w:ascii="Palatino Linotype" w:eastAsia="Palatino Linotype" w:hAnsi="Palatino Linotype" w:cs="Palatino Linotype"/>
          <w:sz w:val="24"/>
          <w:szCs w:val="24"/>
        </w:rPr>
        <w:t xml:space="preserve"> día hábil de haber recibido la respuesta.</w:t>
      </w:r>
    </w:p>
    <w:p w14:paraId="3CA5114E" w14:textId="77777777" w:rsidR="001E2FFA" w:rsidRPr="00BA37C2" w:rsidRDefault="001E2FFA" w:rsidP="001E2FFA">
      <w:pPr>
        <w:spacing w:after="0" w:line="360" w:lineRule="auto"/>
        <w:contextualSpacing/>
        <w:jc w:val="both"/>
        <w:rPr>
          <w:rFonts w:ascii="Palatino Linotype" w:eastAsia="Palatino Linotype" w:hAnsi="Palatino Linotype" w:cs="Palatino Linotype"/>
          <w:sz w:val="24"/>
          <w:szCs w:val="24"/>
        </w:rPr>
      </w:pPr>
    </w:p>
    <w:p w14:paraId="2395B707" w14:textId="77777777" w:rsidR="001E2FFA" w:rsidRPr="00BA37C2" w:rsidRDefault="001E2FFA" w:rsidP="001E2FFA">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En ese sentido, al considerar la fecha en que se formuló la solicitud y la fecha en la que respondió a estas el </w:t>
      </w:r>
      <w:r w:rsidRPr="00BA37C2">
        <w:rPr>
          <w:rFonts w:ascii="Palatino Linotype" w:eastAsia="Palatino Linotype" w:hAnsi="Palatino Linotype" w:cs="Palatino Linotype"/>
          <w:b/>
          <w:sz w:val="24"/>
          <w:szCs w:val="24"/>
        </w:rPr>
        <w:t>SUJETO OBLIGADO</w:t>
      </w:r>
      <w:r w:rsidRPr="00BA37C2">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419B4B47" w14:textId="77777777" w:rsidR="001E2FFA" w:rsidRPr="00BA37C2" w:rsidRDefault="001E2FFA" w:rsidP="001E2FFA">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la parte </w:t>
      </w:r>
      <w:r w:rsidRPr="00BA37C2">
        <w:rPr>
          <w:rFonts w:ascii="Palatino Linotype" w:eastAsia="Palatino Linotype" w:hAnsi="Palatino Linotype" w:cs="Palatino Linotype"/>
          <w:b/>
          <w:sz w:val="24"/>
          <w:szCs w:val="24"/>
        </w:rPr>
        <w:t>RECURRENTE</w:t>
      </w:r>
      <w:r w:rsidRPr="00BA37C2">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A3C46C" w14:textId="77777777" w:rsidR="001E2FFA" w:rsidRPr="00BA37C2" w:rsidRDefault="001E2FFA" w:rsidP="001E2FFA">
      <w:pPr>
        <w:spacing w:after="0" w:line="360" w:lineRule="auto"/>
        <w:jc w:val="both"/>
        <w:rPr>
          <w:rFonts w:ascii="Palatino Linotype" w:eastAsia="Palatino Linotype" w:hAnsi="Palatino Linotype" w:cs="Palatino Linotype"/>
          <w:sz w:val="24"/>
          <w:szCs w:val="24"/>
        </w:rPr>
      </w:pPr>
    </w:p>
    <w:p w14:paraId="0EB35714" w14:textId="77777777" w:rsidR="001E2FFA" w:rsidRPr="00BA37C2" w:rsidRDefault="001E2FFA" w:rsidP="001E2FFA">
      <w:pPr>
        <w:spacing w:after="0" w:line="240"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"Las solicitudes anónimas, con nombre incompleto </w:t>
      </w:r>
      <w:r w:rsidRPr="00BA37C2">
        <w:rPr>
          <w:rFonts w:ascii="Palatino Linotype" w:eastAsia="Palatino Linotype" w:hAnsi="Palatino Linotype" w:cs="Palatino Linotype"/>
          <w:b/>
          <w:i/>
        </w:rPr>
        <w:t>o seudónimo</w:t>
      </w:r>
      <w:r w:rsidRPr="00BA37C2">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12046DA" w14:textId="77777777" w:rsidR="001E2FFA" w:rsidRPr="00BA37C2" w:rsidRDefault="001E2FFA" w:rsidP="001E2FFA">
      <w:pPr>
        <w:spacing w:after="0" w:line="360" w:lineRule="auto"/>
        <w:ind w:left="851" w:right="902"/>
        <w:jc w:val="both"/>
        <w:rPr>
          <w:rFonts w:ascii="Palatino Linotype" w:eastAsia="Palatino Linotype" w:hAnsi="Palatino Linotype" w:cs="Palatino Linotype"/>
          <w:sz w:val="24"/>
        </w:rPr>
      </w:pPr>
    </w:p>
    <w:p w14:paraId="1E4ACF98" w14:textId="77777777" w:rsidR="001E2FFA" w:rsidRPr="00BA37C2" w:rsidRDefault="001E2FFA" w:rsidP="001E2FFA">
      <w:pPr>
        <w:spacing w:after="0" w:line="360" w:lineRule="auto"/>
        <w:jc w:val="both"/>
        <w:rPr>
          <w:rFonts w:ascii="Palatino Linotype" w:eastAsia="Palatino Linotype" w:hAnsi="Palatino Linotype" w:cs="Palatino Linotype"/>
          <w:b/>
          <w:sz w:val="24"/>
          <w:szCs w:val="24"/>
        </w:rPr>
      </w:pPr>
      <w:r w:rsidRPr="00BA37C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A37C2">
        <w:rPr>
          <w:rFonts w:ascii="Palatino Linotype" w:eastAsia="Palatino Linotype" w:hAnsi="Palatino Linotype" w:cs="Palatino Linotype"/>
          <w:b/>
          <w:sz w:val="24"/>
          <w:szCs w:val="24"/>
        </w:rPr>
        <w:t xml:space="preserve">EL SAIMEX.  </w:t>
      </w:r>
    </w:p>
    <w:p w14:paraId="370ACF1D" w14:textId="77777777" w:rsidR="001E2FFA" w:rsidRPr="00BA37C2" w:rsidRDefault="001E2FFA" w:rsidP="001E2FFA">
      <w:pPr>
        <w:rPr>
          <w:rFonts w:ascii="Palatino Linotype" w:hAnsi="Palatino Linotype"/>
          <w:sz w:val="24"/>
        </w:rPr>
      </w:pPr>
    </w:p>
    <w:p w14:paraId="34B85DA8" w14:textId="77777777" w:rsidR="001E2FFA" w:rsidRPr="00BA37C2" w:rsidRDefault="001E2FFA" w:rsidP="001E2FFA">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Finalmente, resulta procedente la interposición del recurso, según lo aducido por </w:t>
      </w:r>
      <w:r w:rsidRPr="00BA37C2">
        <w:rPr>
          <w:rFonts w:ascii="Palatino Linotype" w:eastAsia="Palatino Linotype" w:hAnsi="Palatino Linotype" w:cs="Palatino Linotype"/>
          <w:b/>
          <w:sz w:val="24"/>
          <w:szCs w:val="24"/>
        </w:rPr>
        <w:t>la parte RECURRENTE</w:t>
      </w:r>
      <w:r w:rsidRPr="00BA37C2">
        <w:rPr>
          <w:rFonts w:ascii="Palatino Linotype" w:eastAsia="Palatino Linotype" w:hAnsi="Palatino Linotype" w:cs="Palatino Linotype"/>
          <w:sz w:val="24"/>
          <w:szCs w:val="24"/>
        </w:rPr>
        <w:t xml:space="preserve"> en sus razones o motivos de inconformidad, de acuerdo al artículo 179, fracción I</w:t>
      </w:r>
      <w:r w:rsidRPr="00BA37C2">
        <w:rPr>
          <w:rFonts w:ascii="Palatino Linotype" w:eastAsia="Palatino Linotype" w:hAnsi="Palatino Linotype" w:cs="Palatino Linotype"/>
          <w:sz w:val="32"/>
          <w:szCs w:val="24"/>
        </w:rPr>
        <w:t xml:space="preserve"> </w:t>
      </w:r>
      <w:r w:rsidRPr="00BA37C2">
        <w:rPr>
          <w:rFonts w:ascii="Palatino Linotype" w:eastAsia="Palatino Linotype" w:hAnsi="Palatino Linotype" w:cs="Palatino Linotype"/>
          <w:sz w:val="24"/>
          <w:szCs w:val="24"/>
        </w:rPr>
        <w:t>de la Ley de Transparencia y Acceso a la Información Pública del Estado de México y Municipios; que a la letra dice:</w:t>
      </w:r>
    </w:p>
    <w:p w14:paraId="1FEDD2DF" w14:textId="77777777" w:rsidR="001E2FFA" w:rsidRPr="00BA37C2" w:rsidRDefault="001E2FFA" w:rsidP="001E2FFA">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14:paraId="01BF6A84" w14:textId="77777777" w:rsidR="001E2FFA" w:rsidRPr="00BA37C2" w:rsidRDefault="001E2FFA" w:rsidP="001E2FF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BA37C2">
        <w:rPr>
          <w:rFonts w:ascii="Palatino Linotype" w:eastAsia="Palatino Linotype" w:hAnsi="Palatino Linotype" w:cs="Palatino Linotype"/>
          <w:b/>
          <w:i/>
        </w:rPr>
        <w:lastRenderedPageBreak/>
        <w:t>“Artículo 179</w:t>
      </w:r>
      <w:r w:rsidRPr="00BA37C2">
        <w:rPr>
          <w:rFonts w:ascii="Palatino Linotype" w:eastAsia="Palatino Linotype" w:hAnsi="Palatino Linotype" w:cs="Palatino Linotype"/>
          <w:i/>
        </w:rPr>
        <w:t xml:space="preserve">. </w:t>
      </w:r>
      <w:r w:rsidRPr="00BA37C2">
        <w:rPr>
          <w:rFonts w:ascii="Palatino Linotype" w:eastAsia="Palatino Linotype" w:hAnsi="Palatino Linotype" w:cs="Palatino Linotype"/>
          <w:b/>
          <w:i/>
        </w:rPr>
        <w:t>El recurso de revisión</w:t>
      </w:r>
      <w:r w:rsidRPr="00BA37C2">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A37C2">
        <w:rPr>
          <w:rFonts w:ascii="Palatino Linotype" w:eastAsia="Palatino Linotype" w:hAnsi="Palatino Linotype" w:cs="Palatino Linotype"/>
          <w:b/>
          <w:i/>
        </w:rPr>
        <w:t>, y procederá en contra de las siguientes causas</w:t>
      </w:r>
      <w:r w:rsidRPr="00BA37C2">
        <w:rPr>
          <w:rFonts w:ascii="Palatino Linotype" w:eastAsia="Palatino Linotype" w:hAnsi="Palatino Linotype" w:cs="Palatino Linotype"/>
          <w:i/>
        </w:rPr>
        <w:t>:</w:t>
      </w:r>
    </w:p>
    <w:p w14:paraId="2765F198" w14:textId="77777777" w:rsidR="001E2FFA" w:rsidRPr="00BA37C2" w:rsidRDefault="001E2FFA" w:rsidP="00930FA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BA37C2">
        <w:rPr>
          <w:rFonts w:ascii="Palatino Linotype" w:eastAsia="Palatino Linotype" w:hAnsi="Palatino Linotype" w:cs="Palatino Linotype"/>
          <w:i/>
        </w:rPr>
        <w:t>I. La negativa a la información solicitada;”</w:t>
      </w:r>
    </w:p>
    <w:p w14:paraId="0CF20B12" w14:textId="77777777" w:rsidR="00930FA4" w:rsidRPr="00BA37C2" w:rsidRDefault="00930FA4" w:rsidP="005A01A3">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sz w:val="24"/>
        </w:rPr>
      </w:pPr>
    </w:p>
    <w:p w14:paraId="3C9F7A85" w14:textId="77777777" w:rsidR="00930FA4" w:rsidRPr="00BA37C2" w:rsidRDefault="00930FA4" w:rsidP="00930FA4">
      <w:pPr>
        <w:spacing w:before="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b/>
          <w:sz w:val="24"/>
        </w:rPr>
        <w:t>TERCERO. ANÁLISIS DE LAS CAUSALES DE SOBRESEIMIENTO.</w:t>
      </w:r>
      <w:r w:rsidRPr="00BA37C2">
        <w:rPr>
          <w:sz w:val="24"/>
        </w:rPr>
        <w:t xml:space="preserve"> </w:t>
      </w:r>
      <w:r w:rsidRPr="00BA37C2">
        <w:rPr>
          <w:rFonts w:ascii="Palatino Linotype" w:eastAsia="Palatino Linotype" w:hAnsi="Palatino Linotype" w:cs="Palatino Linotype"/>
          <w:sz w:val="24"/>
        </w:rPr>
        <w:t xml:space="preserve">Previo al análisis de las actuaciones que integran el expediente en el Sistema de Acceso a la Información Mexiquense, en importante primeramente enfatizar que el Derecho de Acceso a la Información Pública consiste en que la </w:t>
      </w:r>
      <w:r w:rsidRPr="00BA37C2">
        <w:rPr>
          <w:rFonts w:ascii="Palatino Linotype" w:eastAsia="Palatino Linotype" w:hAnsi="Palatino Linotype" w:cs="Palatino Linotype"/>
          <w:b/>
          <w:sz w:val="24"/>
          <w:u w:val="single"/>
        </w:rPr>
        <w:t>información solicitada conste en un soporte documental</w:t>
      </w:r>
      <w:r w:rsidRPr="00BA37C2">
        <w:rPr>
          <w:rFonts w:ascii="Palatino Linotype" w:eastAsia="Palatino Linotype" w:hAnsi="Palatino Linotype" w:cs="Palatino Linotype"/>
          <w:sz w:val="24"/>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Pr="00BA37C2">
        <w:rPr>
          <w:rFonts w:ascii="Palatino Linotype" w:eastAsia="Palatino Linotype" w:hAnsi="Palatino Linotype" w:cs="Palatino Linotype"/>
          <w:b/>
          <w:sz w:val="24"/>
          <w:u w:val="single"/>
        </w:rPr>
        <w:t>que documente el ejercicio de las facultades, funciones y competencias de los Sujetos Obligados</w:t>
      </w:r>
      <w:r w:rsidRPr="00BA37C2">
        <w:rPr>
          <w:rFonts w:ascii="Palatino Linotype" w:eastAsia="Palatino Linotype" w:hAnsi="Palatino Linotype" w:cs="Palatino Linotype"/>
          <w:sz w:val="24"/>
        </w:rPr>
        <w:t xml:space="preserve">; los que, podrán estar en cualquier medio, sea escrito, impreso, sonoro, visual, electrónico, informático u holográfico, de conformidad con el artículo 3, fracción XI de la Ley de la materia, el cual dispone lo siguiente: </w:t>
      </w:r>
    </w:p>
    <w:p w14:paraId="4D2C1702" w14:textId="77777777" w:rsidR="00930FA4" w:rsidRPr="00BA37C2" w:rsidRDefault="00930FA4" w:rsidP="00930FA4">
      <w:pPr>
        <w:spacing w:before="240" w:line="360" w:lineRule="auto"/>
        <w:contextualSpacing/>
        <w:jc w:val="both"/>
        <w:rPr>
          <w:rFonts w:ascii="Palatino Linotype" w:eastAsia="Palatino Linotype" w:hAnsi="Palatino Linotype" w:cs="Palatino Linotype"/>
          <w:sz w:val="24"/>
        </w:rPr>
      </w:pPr>
    </w:p>
    <w:p w14:paraId="2F7B87A3" w14:textId="77777777" w:rsidR="00930FA4" w:rsidRPr="00BA37C2" w:rsidRDefault="00930FA4" w:rsidP="00930FA4">
      <w:pPr>
        <w:spacing w:line="360" w:lineRule="auto"/>
        <w:ind w:left="851" w:right="901"/>
        <w:contextualSpacing/>
        <w:jc w:val="both"/>
        <w:rPr>
          <w:rFonts w:ascii="Palatino Linotype" w:eastAsia="Palatino Linotype" w:hAnsi="Palatino Linotype" w:cs="Palatino Linotype"/>
          <w:i/>
        </w:rPr>
      </w:pPr>
      <w:r w:rsidRPr="00BA37C2">
        <w:rPr>
          <w:rFonts w:ascii="Palatino Linotype" w:eastAsia="Palatino Linotype" w:hAnsi="Palatino Linotype" w:cs="Palatino Linotype"/>
          <w:i/>
        </w:rPr>
        <w:t>“</w:t>
      </w:r>
      <w:r w:rsidRPr="00BA37C2">
        <w:rPr>
          <w:rFonts w:ascii="Palatino Linotype" w:eastAsia="Palatino Linotype" w:hAnsi="Palatino Linotype" w:cs="Palatino Linotype"/>
          <w:b/>
          <w:i/>
        </w:rPr>
        <w:t xml:space="preserve">Artículo 3. </w:t>
      </w:r>
      <w:r w:rsidRPr="00BA37C2">
        <w:rPr>
          <w:rFonts w:ascii="Palatino Linotype" w:eastAsia="Palatino Linotype" w:hAnsi="Palatino Linotype" w:cs="Palatino Linotype"/>
          <w:i/>
        </w:rPr>
        <w:t>Para los efectos de la presente Ley se entenderá por:</w:t>
      </w:r>
    </w:p>
    <w:p w14:paraId="310F3EE0" w14:textId="77777777" w:rsidR="00930FA4" w:rsidRPr="00BA37C2" w:rsidRDefault="00930FA4" w:rsidP="005A01A3">
      <w:pPr>
        <w:spacing w:line="276" w:lineRule="auto"/>
        <w:ind w:left="1134" w:right="850"/>
        <w:jc w:val="both"/>
        <w:rPr>
          <w:rFonts w:ascii="Palatino Linotype" w:eastAsia="Palatino Linotype" w:hAnsi="Palatino Linotype" w:cs="Palatino Linotype"/>
          <w:i/>
        </w:rPr>
      </w:pPr>
      <w:r w:rsidRPr="00BA37C2">
        <w:rPr>
          <w:rFonts w:ascii="Palatino Linotype" w:eastAsia="Palatino Linotype" w:hAnsi="Palatino Linotype" w:cs="Palatino Linotype"/>
          <w:i/>
        </w:rPr>
        <w:t>…</w:t>
      </w:r>
    </w:p>
    <w:p w14:paraId="30EBD5DE" w14:textId="77777777" w:rsidR="00930FA4" w:rsidRPr="00BA37C2" w:rsidRDefault="00930FA4" w:rsidP="005A01A3">
      <w:pPr>
        <w:spacing w:line="276" w:lineRule="auto"/>
        <w:ind w:left="1134" w:right="901"/>
        <w:contextualSpacing/>
        <w:jc w:val="both"/>
        <w:rPr>
          <w:rFonts w:ascii="Palatino Linotype" w:eastAsia="Palatino Linotype" w:hAnsi="Palatino Linotype" w:cs="Palatino Linotype"/>
          <w:i/>
        </w:rPr>
      </w:pPr>
      <w:r w:rsidRPr="00BA37C2">
        <w:rPr>
          <w:rFonts w:ascii="Palatino Linotype" w:eastAsia="Palatino Linotype" w:hAnsi="Palatino Linotype" w:cs="Palatino Linotype"/>
          <w:b/>
          <w:i/>
        </w:rPr>
        <w:t>XI. Documento:</w:t>
      </w:r>
      <w:r w:rsidRPr="00BA37C2">
        <w:rPr>
          <w:rFonts w:ascii="Palatino Linotype" w:eastAsia="Palatino Linotype" w:hAnsi="Palatino Linotype" w:cs="Palatino Linotype"/>
          <w:i/>
        </w:rPr>
        <w:t xml:space="preserve"> Los expedientes, reportes, estudios, actas, resoluciones,</w:t>
      </w:r>
      <w:r w:rsidRPr="00BA37C2">
        <w:rPr>
          <w:rFonts w:ascii="Palatino Linotype" w:eastAsia="Palatino Linotype" w:hAnsi="Palatino Linotype" w:cs="Palatino Linotype"/>
          <w:b/>
          <w:i/>
        </w:rPr>
        <w:t xml:space="preserve"> </w:t>
      </w:r>
      <w:r w:rsidRPr="00BA37C2">
        <w:rPr>
          <w:rFonts w:ascii="Palatino Linotype" w:eastAsia="Palatino Linotype" w:hAnsi="Palatino Linotype" w:cs="Palatino Linotype"/>
          <w:i/>
        </w:rPr>
        <w:t xml:space="preserve">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BA37C2">
        <w:rPr>
          <w:rFonts w:ascii="Palatino Linotype" w:eastAsia="Palatino Linotype" w:hAnsi="Palatino Linotype" w:cs="Palatino Linotype"/>
          <w:i/>
        </w:rPr>
        <w:lastRenderedPageBreak/>
        <w:t>cualquier medio, sea escrito, impreso, sonoro, visual, electrónico, informático u holográfico</w:t>
      </w:r>
      <w:r w:rsidRPr="00BA37C2">
        <w:rPr>
          <w:rFonts w:ascii="Palatino Linotype" w:eastAsia="Palatino Linotype" w:hAnsi="Palatino Linotype" w:cs="Palatino Linotype"/>
          <w:b/>
          <w:i/>
        </w:rPr>
        <w:t>…</w:t>
      </w:r>
      <w:r w:rsidRPr="00BA37C2">
        <w:rPr>
          <w:rFonts w:ascii="Palatino Linotype" w:eastAsia="Palatino Linotype" w:hAnsi="Palatino Linotype" w:cs="Palatino Linotype"/>
          <w:i/>
        </w:rPr>
        <w:t>”</w:t>
      </w:r>
    </w:p>
    <w:p w14:paraId="62786BDB" w14:textId="77777777" w:rsidR="005A01A3" w:rsidRPr="00BA37C2" w:rsidRDefault="005A01A3" w:rsidP="005A01A3">
      <w:pPr>
        <w:spacing w:line="276" w:lineRule="auto"/>
        <w:ind w:left="1134" w:right="901"/>
        <w:contextualSpacing/>
        <w:jc w:val="both"/>
        <w:rPr>
          <w:rFonts w:ascii="Palatino Linotype" w:eastAsia="Palatino Linotype" w:hAnsi="Palatino Linotype" w:cs="Palatino Linotype"/>
          <w:i/>
        </w:rPr>
      </w:pPr>
    </w:p>
    <w:p w14:paraId="40CE91F7" w14:textId="77777777" w:rsidR="00930FA4" w:rsidRPr="00BA37C2" w:rsidRDefault="00930FA4" w:rsidP="005A01A3">
      <w:pPr>
        <w:spacing w:before="240" w:after="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FC28FAA" w14:textId="77777777" w:rsidR="00930FA4" w:rsidRPr="00BA37C2" w:rsidRDefault="00930FA4" w:rsidP="00930FA4">
      <w:pPr>
        <w:spacing w:before="240" w:after="240" w:line="360" w:lineRule="auto"/>
        <w:contextualSpacing/>
        <w:jc w:val="both"/>
        <w:rPr>
          <w:rFonts w:ascii="Palatino Linotype" w:eastAsia="Palatino Linotype" w:hAnsi="Palatino Linotype" w:cs="Palatino Linotype"/>
          <w:sz w:val="24"/>
        </w:rPr>
      </w:pPr>
    </w:p>
    <w:p w14:paraId="760E4BEA" w14:textId="77777777" w:rsidR="00930FA4" w:rsidRPr="00BA37C2" w:rsidRDefault="00930FA4" w:rsidP="00930FA4">
      <w:pPr>
        <w:spacing w:before="120" w:after="120" w:line="276" w:lineRule="auto"/>
        <w:ind w:left="851" w:right="901"/>
        <w:contextualSpacing/>
        <w:jc w:val="both"/>
        <w:rPr>
          <w:rFonts w:ascii="Palatino Linotype" w:eastAsia="Palatino Linotype" w:hAnsi="Palatino Linotype" w:cs="Palatino Linotype"/>
          <w:i/>
        </w:rPr>
      </w:pPr>
      <w:r w:rsidRPr="00BA37C2">
        <w:rPr>
          <w:rFonts w:ascii="Palatino Linotype" w:eastAsia="Palatino Linotype" w:hAnsi="Palatino Linotype" w:cs="Palatino Linotype"/>
          <w:b/>
        </w:rPr>
        <w:t>“</w:t>
      </w:r>
      <w:r w:rsidRPr="00BA37C2">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BA37C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34413" w14:textId="77777777" w:rsidR="00930FA4" w:rsidRPr="00BA37C2" w:rsidRDefault="00930FA4" w:rsidP="00930FA4">
      <w:pPr>
        <w:spacing w:before="120" w:after="120" w:line="276" w:lineRule="auto"/>
        <w:ind w:left="851" w:right="850"/>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En </w:t>
      </w:r>
      <w:proofErr w:type="gramStart"/>
      <w:r w:rsidRPr="00BA37C2">
        <w:rPr>
          <w:rFonts w:ascii="Palatino Linotype" w:eastAsia="Palatino Linotype" w:hAnsi="Palatino Linotype" w:cs="Palatino Linotype"/>
          <w:i/>
        </w:rPr>
        <w:t>consecuencia</w:t>
      </w:r>
      <w:proofErr w:type="gramEnd"/>
      <w:r w:rsidRPr="00BA37C2">
        <w:rPr>
          <w:rFonts w:ascii="Palatino Linotype" w:eastAsia="Palatino Linotype" w:hAnsi="Palatino Linotype" w:cs="Palatino Linotype"/>
          <w:i/>
        </w:rPr>
        <w:t xml:space="preserve"> el acceso a la información se refiere a que se cumplan cualquiera de los siguientes tres supuestos:</w:t>
      </w:r>
    </w:p>
    <w:p w14:paraId="4FD74E50" w14:textId="77777777" w:rsidR="00930FA4" w:rsidRPr="00BA37C2" w:rsidRDefault="00930FA4" w:rsidP="00930FA4">
      <w:pPr>
        <w:spacing w:before="120" w:after="120" w:line="276" w:lineRule="auto"/>
        <w:ind w:left="851" w:right="901"/>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1) Que se trate de información </w:t>
      </w:r>
      <w:r w:rsidRPr="00BA37C2">
        <w:rPr>
          <w:rFonts w:ascii="Palatino Linotype" w:eastAsia="Palatino Linotype" w:hAnsi="Palatino Linotype" w:cs="Palatino Linotype"/>
          <w:b/>
          <w:i/>
          <w:u w:val="single"/>
        </w:rPr>
        <w:t>registrada en cualquier soporte documental</w:t>
      </w:r>
      <w:r w:rsidRPr="00BA37C2">
        <w:rPr>
          <w:rFonts w:ascii="Palatino Linotype" w:eastAsia="Palatino Linotype" w:hAnsi="Palatino Linotype" w:cs="Palatino Linotype"/>
          <w:i/>
        </w:rPr>
        <w:t xml:space="preserve">, </w:t>
      </w:r>
      <w:proofErr w:type="gramStart"/>
      <w:r w:rsidRPr="00BA37C2">
        <w:rPr>
          <w:rFonts w:ascii="Palatino Linotype" w:eastAsia="Palatino Linotype" w:hAnsi="Palatino Linotype" w:cs="Palatino Linotype"/>
          <w:i/>
        </w:rPr>
        <w:t>que</w:t>
      </w:r>
      <w:proofErr w:type="gramEnd"/>
      <w:r w:rsidRPr="00BA37C2">
        <w:rPr>
          <w:rFonts w:ascii="Palatino Linotype" w:eastAsia="Palatino Linotype" w:hAnsi="Palatino Linotype" w:cs="Palatino Linotype"/>
          <w:i/>
        </w:rPr>
        <w:t xml:space="preserve"> en ejercicio de las atribuciones conferidas, sea generada por los Sujetos Obligados;</w:t>
      </w:r>
    </w:p>
    <w:p w14:paraId="11E442DC" w14:textId="77777777" w:rsidR="00930FA4" w:rsidRPr="00BA37C2" w:rsidRDefault="00930FA4" w:rsidP="00930FA4">
      <w:pPr>
        <w:spacing w:before="120" w:after="120" w:line="276" w:lineRule="auto"/>
        <w:ind w:left="851" w:right="901"/>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2) Que se trate de información </w:t>
      </w:r>
      <w:r w:rsidRPr="00BA37C2">
        <w:rPr>
          <w:rFonts w:ascii="Palatino Linotype" w:eastAsia="Palatino Linotype" w:hAnsi="Palatino Linotype" w:cs="Palatino Linotype"/>
          <w:b/>
          <w:i/>
          <w:u w:val="single"/>
        </w:rPr>
        <w:t>registrada en cualquier soporte documental</w:t>
      </w:r>
      <w:r w:rsidRPr="00BA37C2">
        <w:rPr>
          <w:rFonts w:ascii="Palatino Linotype" w:eastAsia="Palatino Linotype" w:hAnsi="Palatino Linotype" w:cs="Palatino Linotype"/>
          <w:i/>
        </w:rPr>
        <w:t xml:space="preserve">, </w:t>
      </w:r>
      <w:proofErr w:type="gramStart"/>
      <w:r w:rsidRPr="00BA37C2">
        <w:rPr>
          <w:rFonts w:ascii="Palatino Linotype" w:eastAsia="Palatino Linotype" w:hAnsi="Palatino Linotype" w:cs="Palatino Linotype"/>
          <w:i/>
        </w:rPr>
        <w:t>que</w:t>
      </w:r>
      <w:proofErr w:type="gramEnd"/>
      <w:r w:rsidRPr="00BA37C2">
        <w:rPr>
          <w:rFonts w:ascii="Palatino Linotype" w:eastAsia="Palatino Linotype" w:hAnsi="Palatino Linotype" w:cs="Palatino Linotype"/>
          <w:i/>
        </w:rPr>
        <w:t xml:space="preserve"> en ejercicio de las atribuciones conferidas, sea administrada por los Sujetos Obligados, y</w:t>
      </w:r>
    </w:p>
    <w:p w14:paraId="7CE5A5B2" w14:textId="77777777" w:rsidR="00930FA4" w:rsidRPr="00BA37C2" w:rsidRDefault="00930FA4" w:rsidP="00930FA4">
      <w:pPr>
        <w:spacing w:before="120" w:after="120" w:line="276" w:lineRule="auto"/>
        <w:ind w:left="851" w:right="901"/>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3) Que se trate de información </w:t>
      </w:r>
      <w:r w:rsidRPr="00BA37C2">
        <w:rPr>
          <w:rFonts w:ascii="Palatino Linotype" w:eastAsia="Palatino Linotype" w:hAnsi="Palatino Linotype" w:cs="Palatino Linotype"/>
          <w:b/>
          <w:i/>
          <w:u w:val="single"/>
        </w:rPr>
        <w:t>registrada en cualquier soporte documental</w:t>
      </w:r>
      <w:r w:rsidRPr="00BA37C2">
        <w:rPr>
          <w:rFonts w:ascii="Palatino Linotype" w:eastAsia="Palatino Linotype" w:hAnsi="Palatino Linotype" w:cs="Palatino Linotype"/>
          <w:i/>
        </w:rPr>
        <w:t xml:space="preserve">, </w:t>
      </w:r>
      <w:proofErr w:type="gramStart"/>
      <w:r w:rsidRPr="00BA37C2">
        <w:rPr>
          <w:rFonts w:ascii="Palatino Linotype" w:eastAsia="Palatino Linotype" w:hAnsi="Palatino Linotype" w:cs="Palatino Linotype"/>
          <w:i/>
        </w:rPr>
        <w:t>que</w:t>
      </w:r>
      <w:proofErr w:type="gramEnd"/>
      <w:r w:rsidRPr="00BA37C2">
        <w:rPr>
          <w:rFonts w:ascii="Palatino Linotype" w:eastAsia="Palatino Linotype" w:hAnsi="Palatino Linotype" w:cs="Palatino Linotype"/>
          <w:i/>
        </w:rPr>
        <w:t xml:space="preserve"> en ejercicio de las atribuciones conferidas, se encuentre en posesión de los Sujetos Obligados.” (Sic)</w:t>
      </w:r>
    </w:p>
    <w:p w14:paraId="11128B36" w14:textId="77777777" w:rsidR="00930FA4" w:rsidRPr="00BA37C2" w:rsidRDefault="00930FA4" w:rsidP="00930FA4">
      <w:pPr>
        <w:spacing w:line="276" w:lineRule="auto"/>
        <w:ind w:left="851" w:right="901"/>
        <w:jc w:val="both"/>
        <w:rPr>
          <w:rFonts w:ascii="Palatino Linotype" w:eastAsia="Palatino Linotype" w:hAnsi="Palatino Linotype" w:cs="Palatino Linotype"/>
          <w:i/>
        </w:rPr>
      </w:pPr>
    </w:p>
    <w:p w14:paraId="0F735FAD" w14:textId="77777777" w:rsidR="00930FA4" w:rsidRPr="00BA37C2" w:rsidRDefault="00930FA4" w:rsidP="00930FA4">
      <w:pPr>
        <w:spacing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lastRenderedPageBreak/>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w:t>
      </w:r>
      <w:proofErr w:type="gramStart"/>
      <w:r w:rsidRPr="00BA37C2">
        <w:rPr>
          <w:rFonts w:ascii="Palatino Linotype" w:eastAsia="Palatino Linotype" w:hAnsi="Palatino Linotype" w:cs="Palatino Linotype"/>
          <w:sz w:val="24"/>
        </w:rPr>
        <w:t>y</w:t>
      </w:r>
      <w:proofErr w:type="gramEnd"/>
      <w:r w:rsidRPr="00BA37C2">
        <w:rPr>
          <w:rFonts w:ascii="Palatino Linotype" w:eastAsia="Palatino Linotype" w:hAnsi="Palatino Linotype" w:cs="Palatino Linotype"/>
          <w:sz w:val="24"/>
        </w:rPr>
        <w:t xml:space="preserve"> por consiguiente, la administra y posee. </w:t>
      </w:r>
    </w:p>
    <w:p w14:paraId="582A2725" w14:textId="77777777" w:rsidR="00930FA4" w:rsidRPr="00BA37C2" w:rsidRDefault="00930FA4" w:rsidP="00930FA4">
      <w:pPr>
        <w:spacing w:before="280" w:after="280" w:line="360" w:lineRule="auto"/>
        <w:contextualSpacing/>
        <w:jc w:val="both"/>
        <w:rPr>
          <w:rFonts w:ascii="Palatino Linotype" w:hAnsi="Palatino Linotype"/>
          <w:sz w:val="24"/>
        </w:rPr>
      </w:pPr>
    </w:p>
    <w:p w14:paraId="642C923A" w14:textId="77777777" w:rsidR="002415CB" w:rsidRPr="00BA37C2" w:rsidRDefault="00930FA4" w:rsidP="002415CB">
      <w:pPr>
        <w:spacing w:before="240" w:after="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En este orden de ideas,</w:t>
      </w:r>
      <w:r w:rsidRPr="00BA37C2">
        <w:rPr>
          <w:rFonts w:ascii="Palatino Linotype" w:hAnsi="Palatino Linotype"/>
          <w:sz w:val="24"/>
        </w:rPr>
        <w:t xml:space="preserve"> de</w:t>
      </w:r>
      <w:r w:rsidRPr="00BA37C2">
        <w:rPr>
          <w:rFonts w:ascii="Palatino Linotype" w:eastAsia="Palatino Linotype" w:hAnsi="Palatino Linotype" w:cs="Palatino Linotype"/>
          <w:sz w:val="24"/>
        </w:rPr>
        <w:t xml:space="preserve">l análisis de la solicitud de información, motivo del recurso de revisión que ahora se resuelve se advierte que </w:t>
      </w:r>
      <w:r w:rsidRPr="00BA37C2">
        <w:rPr>
          <w:rFonts w:ascii="Palatino Linotype" w:eastAsia="Palatino Linotype" w:hAnsi="Palatino Linotype" w:cs="Palatino Linotype"/>
          <w:b/>
          <w:sz w:val="24"/>
        </w:rPr>
        <w:t>la parte</w:t>
      </w:r>
      <w:r w:rsidRPr="00BA37C2">
        <w:rPr>
          <w:rFonts w:ascii="Palatino Linotype" w:eastAsia="Palatino Linotype" w:hAnsi="Palatino Linotype" w:cs="Palatino Linotype"/>
          <w:sz w:val="24"/>
        </w:rPr>
        <w:t xml:space="preserve"> </w:t>
      </w:r>
      <w:r w:rsidRPr="00BA37C2">
        <w:rPr>
          <w:rFonts w:ascii="Palatino Linotype" w:eastAsia="Palatino Linotype" w:hAnsi="Palatino Linotype" w:cs="Palatino Linotype"/>
          <w:b/>
          <w:sz w:val="24"/>
        </w:rPr>
        <w:t>RECURRENTE</w:t>
      </w:r>
      <w:r w:rsidRPr="00BA37C2">
        <w:rPr>
          <w:rFonts w:ascii="Palatino Linotype" w:eastAsia="Palatino Linotype" w:hAnsi="Palatino Linotype" w:cs="Palatino Linotype"/>
          <w:sz w:val="24"/>
        </w:rPr>
        <w:t xml:space="preserve"> requirió al </w:t>
      </w:r>
      <w:r w:rsidRPr="00BA37C2">
        <w:rPr>
          <w:rFonts w:ascii="Palatino Linotype" w:eastAsia="Palatino Linotype" w:hAnsi="Palatino Linotype" w:cs="Palatino Linotype"/>
          <w:b/>
          <w:sz w:val="24"/>
        </w:rPr>
        <w:t xml:space="preserve">SUJETO OBLIGADO </w:t>
      </w:r>
      <w:r w:rsidRPr="00BA37C2">
        <w:rPr>
          <w:rFonts w:ascii="Palatino Linotype" w:eastAsia="Palatino Linotype" w:hAnsi="Palatino Linotype" w:cs="Palatino Linotype"/>
          <w:sz w:val="24"/>
        </w:rPr>
        <w:t>le proporcione, información consistente en lo siguiente:</w:t>
      </w:r>
    </w:p>
    <w:p w14:paraId="1CF2A878" w14:textId="77777777" w:rsidR="002415CB" w:rsidRPr="00BA37C2" w:rsidRDefault="00603F36" w:rsidP="002415CB">
      <w:pPr>
        <w:pStyle w:val="Prrafodelista"/>
        <w:numPr>
          <w:ilvl w:val="0"/>
          <w:numId w:val="3"/>
        </w:numPr>
        <w:spacing w:before="240" w:after="240" w:line="360" w:lineRule="auto"/>
        <w:ind w:right="900"/>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 xml:space="preserve">Que la </w:t>
      </w:r>
      <w:proofErr w:type="gramStart"/>
      <w:r w:rsidRPr="00BA37C2">
        <w:rPr>
          <w:rFonts w:ascii="Palatino Linotype" w:eastAsia="Palatino Linotype" w:hAnsi="Palatino Linotype" w:cs="Palatino Linotype"/>
          <w:sz w:val="24"/>
        </w:rPr>
        <w:t>S</w:t>
      </w:r>
      <w:r w:rsidR="00930FA4" w:rsidRPr="00BA37C2">
        <w:rPr>
          <w:rFonts w:ascii="Palatino Linotype" w:eastAsia="Palatino Linotype" w:hAnsi="Palatino Linotype" w:cs="Palatino Linotype"/>
          <w:sz w:val="24"/>
        </w:rPr>
        <w:t>ecretaria</w:t>
      </w:r>
      <w:proofErr w:type="gramEnd"/>
      <w:r w:rsidR="00930FA4" w:rsidRPr="00BA37C2">
        <w:rPr>
          <w:rFonts w:ascii="Palatino Linotype" w:eastAsia="Palatino Linotype" w:hAnsi="Palatino Linotype" w:cs="Palatino Linotype"/>
          <w:sz w:val="24"/>
        </w:rPr>
        <w:t xml:space="preserve"> Alejandra del </w:t>
      </w:r>
      <w:r w:rsidR="001E689D" w:rsidRPr="00BA37C2">
        <w:rPr>
          <w:rFonts w:ascii="Palatino Linotype" w:eastAsia="Palatino Linotype" w:hAnsi="Palatino Linotype" w:cs="Palatino Linotype"/>
          <w:sz w:val="24"/>
        </w:rPr>
        <w:t>M</w:t>
      </w:r>
      <w:r w:rsidR="00930FA4" w:rsidRPr="00BA37C2">
        <w:rPr>
          <w:rFonts w:ascii="Palatino Linotype" w:eastAsia="Palatino Linotype" w:hAnsi="Palatino Linotype" w:cs="Palatino Linotype"/>
          <w:sz w:val="24"/>
        </w:rPr>
        <w:t xml:space="preserve">oral </w:t>
      </w:r>
      <w:r w:rsidR="001E689D" w:rsidRPr="00BA37C2">
        <w:rPr>
          <w:rFonts w:ascii="Palatino Linotype" w:eastAsia="Palatino Linotype" w:hAnsi="Palatino Linotype" w:cs="Palatino Linotype"/>
          <w:sz w:val="24"/>
        </w:rPr>
        <w:t>V</w:t>
      </w:r>
      <w:r w:rsidR="00930FA4" w:rsidRPr="00BA37C2">
        <w:rPr>
          <w:rFonts w:ascii="Palatino Linotype" w:eastAsia="Palatino Linotype" w:hAnsi="Palatino Linotype" w:cs="Palatino Linotype"/>
          <w:sz w:val="24"/>
        </w:rPr>
        <w:t xml:space="preserve">ela </w:t>
      </w:r>
      <w:r w:rsidR="00930FA4" w:rsidRPr="00BA37C2">
        <w:rPr>
          <w:rFonts w:ascii="Palatino Linotype" w:eastAsia="Palatino Linotype" w:hAnsi="Palatino Linotype" w:cs="Palatino Linotype"/>
          <w:b/>
          <w:sz w:val="24"/>
          <w:u w:val="single"/>
        </w:rPr>
        <w:t>informe porque</w:t>
      </w:r>
      <w:r w:rsidR="00930FA4" w:rsidRPr="00BA37C2">
        <w:rPr>
          <w:rFonts w:ascii="Palatino Linotype" w:eastAsia="Palatino Linotype" w:hAnsi="Palatino Linotype" w:cs="Palatino Linotype"/>
          <w:sz w:val="24"/>
        </w:rPr>
        <w:t xml:space="preserve"> su familiar Arturo del </w:t>
      </w:r>
      <w:r w:rsidR="001E689D" w:rsidRPr="00BA37C2">
        <w:rPr>
          <w:rFonts w:ascii="Palatino Linotype" w:eastAsia="Palatino Linotype" w:hAnsi="Palatino Linotype" w:cs="Palatino Linotype"/>
          <w:sz w:val="24"/>
        </w:rPr>
        <w:t>M</w:t>
      </w:r>
      <w:r w:rsidR="00930FA4" w:rsidRPr="00BA37C2">
        <w:rPr>
          <w:rFonts w:ascii="Palatino Linotype" w:eastAsia="Palatino Linotype" w:hAnsi="Palatino Linotype" w:cs="Palatino Linotype"/>
          <w:sz w:val="24"/>
        </w:rPr>
        <w:t xml:space="preserve">oral regidor de </w:t>
      </w:r>
      <w:r w:rsidR="002415CB" w:rsidRPr="00BA37C2">
        <w:rPr>
          <w:rFonts w:ascii="Palatino Linotype" w:eastAsia="Palatino Linotype" w:hAnsi="Palatino Linotype" w:cs="Palatino Linotype"/>
          <w:sz w:val="24"/>
        </w:rPr>
        <w:t>Cuautitlán</w:t>
      </w:r>
      <w:r w:rsidR="00930FA4" w:rsidRPr="00BA37C2">
        <w:rPr>
          <w:rFonts w:ascii="Palatino Linotype" w:eastAsia="Palatino Linotype" w:hAnsi="Palatino Linotype" w:cs="Palatino Linotype"/>
          <w:sz w:val="24"/>
        </w:rPr>
        <w:t xml:space="preserve"> Izcalli, llegó a ese puesto sin que fuera considerado tráfico de influencias</w:t>
      </w:r>
      <w:r w:rsidR="002415CB" w:rsidRPr="00BA37C2">
        <w:rPr>
          <w:rFonts w:ascii="Palatino Linotype" w:eastAsia="Palatino Linotype" w:hAnsi="Palatino Linotype" w:cs="Palatino Linotype"/>
          <w:sz w:val="24"/>
        </w:rPr>
        <w:t>.</w:t>
      </w:r>
    </w:p>
    <w:p w14:paraId="2435BE90" w14:textId="77777777" w:rsidR="002415CB" w:rsidRPr="00BA37C2" w:rsidRDefault="002415CB" w:rsidP="002415CB">
      <w:pPr>
        <w:spacing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En respuesta, </w:t>
      </w:r>
      <w:r w:rsidRPr="00BA37C2">
        <w:rPr>
          <w:rFonts w:ascii="Palatino Linotype" w:eastAsia="Palatino Linotype" w:hAnsi="Palatino Linotype" w:cs="Palatino Linotype"/>
          <w:b/>
          <w:sz w:val="24"/>
          <w:szCs w:val="24"/>
        </w:rPr>
        <w:t>EL SUJETO OBLIGADO</w:t>
      </w:r>
      <w:r w:rsidRPr="00BA37C2">
        <w:rPr>
          <w:rFonts w:ascii="Palatino Linotype" w:eastAsia="Palatino Linotype" w:hAnsi="Palatino Linotype" w:cs="Palatino Linotype"/>
          <w:sz w:val="24"/>
          <w:szCs w:val="24"/>
        </w:rPr>
        <w:t xml:space="preserve"> informó por conducto del Titular de la Unidad de Transparencia que la normatividad aplicable al </w:t>
      </w:r>
      <w:r w:rsidRPr="00BA37C2">
        <w:rPr>
          <w:rFonts w:ascii="Palatino Linotype" w:eastAsia="Palatino Linotype" w:hAnsi="Palatino Linotype" w:cs="Palatino Linotype"/>
          <w:b/>
          <w:sz w:val="24"/>
          <w:szCs w:val="24"/>
        </w:rPr>
        <w:t>SUJETO OBLIGADO</w:t>
      </w:r>
      <w:r w:rsidRPr="00BA37C2">
        <w:rPr>
          <w:rFonts w:ascii="Palatino Linotype" w:eastAsia="Palatino Linotype" w:hAnsi="Palatino Linotype" w:cs="Palatino Linotype"/>
          <w:sz w:val="24"/>
          <w:szCs w:val="24"/>
        </w:rPr>
        <w:t xml:space="preserve">, no tiene funciones y atribuciones en los cuales establezca elegir candidatos a puestos de elección popular en los 125 Ayuntamientos de la entidad por lo que no es posible entregar la información solicitada, siendo incompetente para otorgar respuesta a la solicitud. </w:t>
      </w:r>
    </w:p>
    <w:p w14:paraId="3CDC7247" w14:textId="77777777" w:rsidR="00930FA4" w:rsidRPr="00BA37C2" w:rsidRDefault="00930FA4" w:rsidP="002415CB">
      <w:pPr>
        <w:spacing w:after="0" w:line="360" w:lineRule="auto"/>
        <w:contextualSpacing/>
        <w:jc w:val="both"/>
        <w:rPr>
          <w:rFonts w:ascii="Palatino Linotype" w:hAnsi="Palatino Linotype"/>
          <w:sz w:val="24"/>
        </w:rPr>
      </w:pPr>
    </w:p>
    <w:p w14:paraId="7018F112" w14:textId="77777777" w:rsidR="002415CB" w:rsidRPr="00BA37C2" w:rsidRDefault="002415CB" w:rsidP="002415CB">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 la negativa de la entrega de la información. </w:t>
      </w:r>
    </w:p>
    <w:p w14:paraId="07E5333B" w14:textId="77777777" w:rsidR="002415CB" w:rsidRPr="00BA37C2" w:rsidRDefault="002415CB" w:rsidP="002415CB">
      <w:pPr>
        <w:spacing w:after="0" w:line="360" w:lineRule="auto"/>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Admitido el presente recurso de revisión, en términos del artículo 185 fracción II</w:t>
      </w:r>
      <w:r w:rsidRPr="00BA37C2">
        <w:rPr>
          <w:rFonts w:ascii="Palatino Linotype" w:eastAsia="Palatino Linotype" w:hAnsi="Palatino Linotype" w:cs="Palatino Linotype"/>
          <w:sz w:val="24"/>
          <w:szCs w:val="24"/>
          <w:vertAlign w:val="superscript"/>
        </w:rPr>
        <w:footnoteReference w:id="1"/>
      </w:r>
      <w:r w:rsidRPr="00BA37C2">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EEB234A" w14:textId="77777777" w:rsidR="002415CB" w:rsidRPr="00BA37C2" w:rsidRDefault="002415CB" w:rsidP="002415CB">
      <w:pPr>
        <w:spacing w:after="0" w:line="360" w:lineRule="auto"/>
        <w:jc w:val="both"/>
        <w:rPr>
          <w:rFonts w:ascii="Palatino Linotype" w:eastAsia="Palatino Linotype" w:hAnsi="Palatino Linotype" w:cs="Palatino Linotype"/>
          <w:sz w:val="24"/>
          <w:szCs w:val="24"/>
        </w:rPr>
      </w:pPr>
    </w:p>
    <w:p w14:paraId="1DB5CB51" w14:textId="77777777" w:rsidR="002415CB" w:rsidRPr="00BA37C2" w:rsidRDefault="002415CB" w:rsidP="002415CB">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Cabe resaltar que durante la etapa de manifestaciones </w:t>
      </w:r>
      <w:r w:rsidRPr="00BA37C2">
        <w:rPr>
          <w:rFonts w:ascii="Palatino Linotype" w:eastAsia="Palatino Linotype" w:hAnsi="Palatino Linotype" w:cs="Palatino Linotype"/>
          <w:b/>
          <w:sz w:val="24"/>
          <w:szCs w:val="24"/>
        </w:rPr>
        <w:t>EL RECURRENTE</w:t>
      </w:r>
      <w:r w:rsidRPr="00BA37C2">
        <w:rPr>
          <w:rFonts w:ascii="Palatino Linotype" w:eastAsia="Palatino Linotype" w:hAnsi="Palatino Linotype" w:cs="Palatino Linotype"/>
          <w:sz w:val="24"/>
          <w:szCs w:val="24"/>
        </w:rPr>
        <w:t xml:space="preserve"> fue omiso de rendir alegatos, por lo que respecta al</w:t>
      </w:r>
      <w:r w:rsidRPr="00BA37C2">
        <w:rPr>
          <w:rFonts w:ascii="Palatino Linotype" w:eastAsia="Palatino Linotype" w:hAnsi="Palatino Linotype" w:cs="Palatino Linotype"/>
          <w:b/>
          <w:sz w:val="24"/>
          <w:szCs w:val="24"/>
        </w:rPr>
        <w:t xml:space="preserve"> SUJETO OBLIGADO </w:t>
      </w:r>
      <w:r w:rsidRPr="00BA37C2">
        <w:rPr>
          <w:rFonts w:ascii="Palatino Linotype" w:eastAsia="Palatino Linotype" w:hAnsi="Palatino Linotype" w:cs="Palatino Linotype"/>
          <w:sz w:val="24"/>
          <w:szCs w:val="24"/>
        </w:rPr>
        <w:t xml:space="preserve">ratifica en términos generales su respuesta inicial. </w:t>
      </w:r>
    </w:p>
    <w:p w14:paraId="62459899" w14:textId="77777777" w:rsidR="002415CB" w:rsidRPr="00BA37C2" w:rsidRDefault="002415CB" w:rsidP="002415CB">
      <w:pPr>
        <w:spacing w:after="0" w:line="360" w:lineRule="auto"/>
        <w:contextualSpacing/>
        <w:jc w:val="both"/>
        <w:rPr>
          <w:rFonts w:ascii="Palatino Linotype" w:eastAsia="Palatino Linotype" w:hAnsi="Palatino Linotype" w:cs="Palatino Linotype"/>
          <w:sz w:val="24"/>
          <w:szCs w:val="24"/>
        </w:rPr>
      </w:pPr>
    </w:p>
    <w:p w14:paraId="22FC0BF0" w14:textId="77777777" w:rsidR="002415CB" w:rsidRPr="00BA37C2" w:rsidRDefault="002415CB" w:rsidP="002415CB">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rPr>
        <w:t xml:space="preserve">En tal contexto, del análisis de las constancias que integran el expediente en que se actúa, así como de la materia sobre la que versa la solicitud de acceso a la información pública, se advierten las consideraciones de derecho que a continuación se </w:t>
      </w:r>
      <w:r w:rsidRPr="00BA37C2">
        <w:rPr>
          <w:rFonts w:ascii="Palatino Linotype" w:eastAsia="Palatino Linotype" w:hAnsi="Palatino Linotype" w:cs="Palatino Linotype"/>
          <w:sz w:val="24"/>
          <w:szCs w:val="24"/>
        </w:rPr>
        <w:t>exponen:</w:t>
      </w:r>
    </w:p>
    <w:p w14:paraId="3A62AE4F" w14:textId="77777777" w:rsidR="00603F36" w:rsidRPr="00BA37C2" w:rsidRDefault="00603F36" w:rsidP="002415CB">
      <w:pPr>
        <w:spacing w:after="0" w:line="360" w:lineRule="auto"/>
        <w:contextualSpacing/>
        <w:jc w:val="both"/>
        <w:rPr>
          <w:rFonts w:ascii="Palatino Linotype" w:eastAsia="Palatino Linotype" w:hAnsi="Palatino Linotype" w:cs="Palatino Linotype"/>
          <w:sz w:val="24"/>
          <w:szCs w:val="24"/>
        </w:rPr>
      </w:pPr>
    </w:p>
    <w:p w14:paraId="76C5E869" w14:textId="77777777" w:rsidR="002415CB" w:rsidRPr="00BA37C2" w:rsidRDefault="002415CB" w:rsidP="001E689D">
      <w:pPr>
        <w:spacing w:after="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En primera instancia debe apuntarse que el particular planteó cuestiones con las que pretendió </w:t>
      </w:r>
      <w:r w:rsidR="001E689D" w:rsidRPr="00BA37C2">
        <w:rPr>
          <w:rFonts w:ascii="Palatino Linotype" w:eastAsia="Palatino Linotype" w:hAnsi="Palatino Linotype" w:cs="Palatino Linotype"/>
          <w:sz w:val="24"/>
          <w:szCs w:val="24"/>
        </w:rPr>
        <w:t xml:space="preserve">que la </w:t>
      </w:r>
      <w:proofErr w:type="gramStart"/>
      <w:r w:rsidR="001E689D" w:rsidRPr="00BA37C2">
        <w:rPr>
          <w:rFonts w:ascii="Palatino Linotype" w:eastAsia="Palatino Linotype" w:hAnsi="Palatino Linotype" w:cs="Palatino Linotype"/>
          <w:sz w:val="24"/>
          <w:szCs w:val="24"/>
        </w:rPr>
        <w:t>Secretaria</w:t>
      </w:r>
      <w:proofErr w:type="gramEnd"/>
      <w:r w:rsidR="001E689D" w:rsidRPr="00BA37C2">
        <w:rPr>
          <w:rFonts w:ascii="Palatino Linotype" w:eastAsia="Palatino Linotype" w:hAnsi="Palatino Linotype" w:cs="Palatino Linotype"/>
          <w:sz w:val="24"/>
          <w:szCs w:val="24"/>
        </w:rPr>
        <w:t xml:space="preserve"> Alejandra del Moral Vela informe porque su familiar Arturo del Moral regidor de Cuautitlán Izcalli, llegó a ese puesto sin que fuera considerado tráfico de influencias.</w:t>
      </w:r>
    </w:p>
    <w:p w14:paraId="2171EA93" w14:textId="77777777" w:rsidR="001E689D" w:rsidRPr="00BA37C2" w:rsidRDefault="001E689D" w:rsidP="001E689D">
      <w:pPr>
        <w:spacing w:after="0" w:line="360" w:lineRule="auto"/>
        <w:contextualSpacing/>
        <w:jc w:val="both"/>
        <w:rPr>
          <w:rFonts w:ascii="Palatino Linotype" w:eastAsia="Palatino Linotype" w:hAnsi="Palatino Linotype" w:cs="Palatino Linotype"/>
          <w:sz w:val="24"/>
          <w:szCs w:val="24"/>
        </w:rPr>
      </w:pPr>
    </w:p>
    <w:p w14:paraId="2A40C892" w14:textId="77777777" w:rsidR="002415CB"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i/>
          <w:sz w:val="24"/>
          <w:szCs w:val="24"/>
        </w:rPr>
        <w:lastRenderedPageBreak/>
        <w:t>S</w:t>
      </w:r>
      <w:r w:rsidR="002415CB" w:rsidRPr="00BA37C2">
        <w:rPr>
          <w:rFonts w:ascii="Palatino Linotype" w:eastAsia="Palatino Linotype" w:hAnsi="Palatino Linotype" w:cs="Palatino Linotype"/>
          <w:sz w:val="24"/>
          <w:szCs w:val="24"/>
        </w:rPr>
        <w:t xml:space="preserve">ituaciones que conllevan a precisar que con tales pronunciamientos el particular no pretendió ejercer su derecho de acceso a la información pública; sino que por este medio presentó una serie de interrogantes cuya finalidad es obligar a la autoridad a que actúe en el sentido de contestar lo solicitado, lo cual no es factible atenderse vía acceso a la información pública, toda vez, que la atención a dichos cuestionamientos no se pueden colmar con documentos que obren en los archivos del </w:t>
      </w:r>
      <w:r w:rsidRPr="00BA37C2">
        <w:rPr>
          <w:rFonts w:ascii="Palatino Linotype" w:eastAsia="Palatino Linotype" w:hAnsi="Palatino Linotype" w:cs="Palatino Linotype"/>
          <w:b/>
          <w:sz w:val="24"/>
          <w:szCs w:val="24"/>
        </w:rPr>
        <w:t>SUJETO OBLIGADO</w:t>
      </w:r>
      <w:r w:rsidRPr="00BA37C2">
        <w:rPr>
          <w:rFonts w:ascii="Palatino Linotype" w:eastAsia="Palatino Linotype" w:hAnsi="Palatino Linotype" w:cs="Palatino Linotype"/>
          <w:sz w:val="24"/>
          <w:szCs w:val="24"/>
        </w:rPr>
        <w:t xml:space="preserve">. </w:t>
      </w:r>
    </w:p>
    <w:p w14:paraId="125B413D"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p>
    <w:p w14:paraId="51E27D7A"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w:t>
      </w:r>
      <w:r w:rsidR="00603F36" w:rsidRPr="00BA37C2">
        <w:rPr>
          <w:rFonts w:ascii="Palatino Linotype" w:eastAsia="Palatino Linotype" w:hAnsi="Palatino Linotype" w:cs="Palatino Linotype"/>
          <w:sz w:val="24"/>
          <w:szCs w:val="24"/>
        </w:rPr>
        <w:t xml:space="preserve">interrogantes planteadas </w:t>
      </w:r>
      <w:r w:rsidRPr="00BA37C2">
        <w:rPr>
          <w:rFonts w:ascii="Palatino Linotype" w:eastAsia="Palatino Linotype" w:hAnsi="Palatino Linotype" w:cs="Palatino Linotype"/>
          <w:sz w:val="24"/>
          <w:szCs w:val="24"/>
        </w:rPr>
        <w:t xml:space="preserve">por el particular, interrogantes, situación que conlleva a afirmar que se está en presencia del ejercicio del derecho a la libre expresión y en todo caso a un derecho de petición. </w:t>
      </w:r>
    </w:p>
    <w:p w14:paraId="78F493A0"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p>
    <w:p w14:paraId="59D046F4"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i/>
          <w:sz w:val="24"/>
          <w:szCs w:val="24"/>
        </w:rPr>
      </w:pPr>
      <w:r w:rsidRPr="00BA37C2">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BA37C2">
        <w:rPr>
          <w:rFonts w:ascii="Palatino Linotype" w:eastAsia="Palatino Linotype" w:hAnsi="Palatino Linotype" w:cs="Palatino Linotype"/>
          <w:i/>
          <w:sz w:val="24"/>
          <w:szCs w:val="24"/>
        </w:rPr>
        <w:t>“</w:t>
      </w:r>
      <w:r w:rsidRPr="00BA37C2">
        <w:rPr>
          <w:rFonts w:ascii="Palatino Linotype" w:eastAsia="Palatino Linotype" w:hAnsi="Palatino Linotype" w:cs="Palatino Linotype"/>
          <w:b/>
          <w:i/>
          <w:sz w:val="24"/>
          <w:szCs w:val="24"/>
          <w:u w:val="single"/>
        </w:rPr>
        <w:t>el derecho de toda persona a ser escuchado por quienes ejercen el poder públic</w:t>
      </w:r>
      <w:r w:rsidRPr="00BA37C2">
        <w:rPr>
          <w:rFonts w:ascii="Palatino Linotype" w:eastAsia="Palatino Linotype" w:hAnsi="Palatino Linotype" w:cs="Palatino Linotype"/>
          <w:i/>
          <w:sz w:val="24"/>
          <w:szCs w:val="24"/>
        </w:rPr>
        <w:t>o.</w:t>
      </w:r>
      <w:r w:rsidRPr="00BA37C2">
        <w:rPr>
          <w:rFonts w:ascii="Palatino Linotype" w:eastAsia="Palatino Linotype" w:hAnsi="Palatino Linotype" w:cs="Palatino Linotype"/>
          <w:i/>
          <w:sz w:val="24"/>
          <w:szCs w:val="24"/>
          <w:vertAlign w:val="superscript"/>
        </w:rPr>
        <w:t xml:space="preserve"> </w:t>
      </w:r>
      <w:r w:rsidRPr="00BA37C2">
        <w:rPr>
          <w:rFonts w:ascii="Palatino Linotype" w:eastAsia="Palatino Linotype" w:hAnsi="Palatino Linotype" w:cs="Palatino Linotype"/>
          <w:i/>
          <w:sz w:val="24"/>
          <w:szCs w:val="24"/>
          <w:vertAlign w:val="superscript"/>
        </w:rPr>
        <w:footnoteReference w:id="2"/>
      </w:r>
      <w:r w:rsidRPr="00BA37C2">
        <w:rPr>
          <w:rFonts w:ascii="Palatino Linotype" w:eastAsia="Palatino Linotype" w:hAnsi="Palatino Linotype" w:cs="Palatino Linotype"/>
          <w:i/>
          <w:sz w:val="24"/>
          <w:szCs w:val="24"/>
        </w:rPr>
        <w:t xml:space="preserve">” (Sic) </w:t>
      </w:r>
    </w:p>
    <w:p w14:paraId="263ED2C9"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p>
    <w:p w14:paraId="5329422F"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De la misma manera, Miguel Carbonell en su libro “Los derechos fundamentales” refiere que el </w:t>
      </w:r>
      <w:r w:rsidRPr="00BA37C2">
        <w:rPr>
          <w:rFonts w:ascii="Palatino Linotype" w:eastAsia="Palatino Linotype" w:hAnsi="Palatino Linotype" w:cs="Palatino Linotype"/>
          <w:sz w:val="24"/>
          <w:szCs w:val="24"/>
          <w:u w:val="single"/>
        </w:rPr>
        <w:t>derecho de petición se ha entendido de dos distintitas maneras</w:t>
      </w:r>
      <w:r w:rsidRPr="00BA37C2">
        <w:rPr>
          <w:rFonts w:ascii="Palatino Linotype" w:eastAsia="Palatino Linotype" w:hAnsi="Palatino Linotype" w:cs="Palatino Linotype"/>
          <w:sz w:val="24"/>
          <w:szCs w:val="24"/>
        </w:rPr>
        <w:t xml:space="preserve">, a saber: como un derecho fundamental de participación política ya que </w:t>
      </w:r>
      <w:r w:rsidRPr="00BA37C2">
        <w:rPr>
          <w:rFonts w:ascii="Palatino Linotype" w:eastAsia="Palatino Linotype" w:hAnsi="Palatino Linotype" w:cs="Palatino Linotype"/>
          <w:sz w:val="24"/>
          <w:szCs w:val="24"/>
          <w:u w:val="single"/>
        </w:rPr>
        <w:t xml:space="preserve">permite a los </w:t>
      </w:r>
      <w:r w:rsidRPr="00BA37C2">
        <w:rPr>
          <w:rFonts w:ascii="Palatino Linotype" w:eastAsia="Palatino Linotype" w:hAnsi="Palatino Linotype" w:cs="Palatino Linotype"/>
          <w:sz w:val="24"/>
          <w:szCs w:val="24"/>
          <w:u w:val="single"/>
        </w:rPr>
        <w:lastRenderedPageBreak/>
        <w:t xml:space="preserve">particulares trasladar a las autoridades sus </w:t>
      </w:r>
      <w:r w:rsidRPr="00BA37C2">
        <w:rPr>
          <w:rFonts w:ascii="Palatino Linotype" w:eastAsia="Palatino Linotype" w:hAnsi="Palatino Linotype" w:cs="Palatino Linotype"/>
          <w:b/>
          <w:sz w:val="24"/>
          <w:szCs w:val="24"/>
          <w:u w:val="single"/>
        </w:rPr>
        <w:t>inquietudes, quejas</w:t>
      </w:r>
      <w:r w:rsidRPr="00BA37C2">
        <w:rPr>
          <w:rFonts w:ascii="Palatino Linotype" w:eastAsia="Palatino Linotype" w:hAnsi="Palatino Linotype" w:cs="Palatino Linotype"/>
          <w:sz w:val="24"/>
          <w:szCs w:val="24"/>
          <w:u w:val="single"/>
        </w:rPr>
        <w:t>, sugerencias</w:t>
      </w:r>
      <w:r w:rsidRPr="00BA37C2">
        <w:rPr>
          <w:rFonts w:ascii="Palatino Linotype" w:eastAsia="Palatino Linotype" w:hAnsi="Palatino Linotype" w:cs="Palatino Linotype"/>
          <w:sz w:val="24"/>
          <w:szCs w:val="24"/>
        </w:rPr>
        <w:t xml:space="preserve"> y requerimientos en cualquier materia o asunto; y como una </w:t>
      </w:r>
      <w:r w:rsidRPr="00BA37C2">
        <w:rPr>
          <w:rFonts w:ascii="Palatino Linotype" w:eastAsia="Palatino Linotype" w:hAnsi="Palatino Linotype" w:cs="Palatino Linotype"/>
          <w:b/>
          <w:sz w:val="24"/>
          <w:szCs w:val="24"/>
        </w:rPr>
        <w:t>forma específica de la libertad de expresión</w:t>
      </w:r>
      <w:r w:rsidRPr="00BA37C2">
        <w:rPr>
          <w:rFonts w:ascii="Palatino Linotype" w:eastAsia="Palatino Linotype" w:hAnsi="Palatino Linotype" w:cs="Palatino Linotype"/>
          <w:sz w:val="24"/>
          <w:szCs w:val="24"/>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BA37C2">
        <w:rPr>
          <w:rFonts w:ascii="Palatino Linotype" w:eastAsia="Palatino Linotype" w:hAnsi="Palatino Linotype" w:cs="Palatino Linotype"/>
          <w:sz w:val="24"/>
          <w:szCs w:val="24"/>
          <w:vertAlign w:val="superscript"/>
        </w:rPr>
        <w:footnoteReference w:id="3"/>
      </w:r>
    </w:p>
    <w:p w14:paraId="70DCE4C1"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p>
    <w:p w14:paraId="6540BE97" w14:textId="77777777" w:rsidR="001E689D" w:rsidRPr="00BA37C2" w:rsidRDefault="001E689D" w:rsidP="001E689D">
      <w:pPr>
        <w:spacing w:before="240" w:after="240" w:line="360" w:lineRule="auto"/>
        <w:ind w:right="99"/>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Por otro lado, el autor anteriormente citado, indica que el </w:t>
      </w:r>
      <w:r w:rsidRPr="00BA37C2">
        <w:rPr>
          <w:rFonts w:ascii="Palatino Linotype" w:eastAsia="Palatino Linotype" w:hAnsi="Palatino Linotype" w:cs="Palatino Linotype"/>
          <w:b/>
          <w:sz w:val="24"/>
          <w:szCs w:val="24"/>
          <w:u w:val="single"/>
        </w:rPr>
        <w:t>derecho de acceso a la información pública</w:t>
      </w:r>
      <w:r w:rsidRPr="00BA37C2">
        <w:rPr>
          <w:rFonts w:ascii="Palatino Linotype" w:eastAsia="Palatino Linotype" w:hAnsi="Palatino Linotype" w:cs="Palatino Linotype"/>
          <w:sz w:val="24"/>
          <w:szCs w:val="24"/>
        </w:rPr>
        <w:t xml:space="preserve"> es el derecho de conocer la </w:t>
      </w:r>
      <w:r w:rsidRPr="00BA37C2">
        <w:rPr>
          <w:rFonts w:ascii="Palatino Linotype" w:eastAsia="Palatino Linotype" w:hAnsi="Palatino Linotype" w:cs="Palatino Linotype"/>
          <w:sz w:val="24"/>
          <w:szCs w:val="24"/>
          <w:u w:val="single"/>
        </w:rPr>
        <w:t>información de carácter público que se genera o está en posesión de los órganos del poder público</w:t>
      </w:r>
      <w:r w:rsidRPr="00BA37C2">
        <w:rPr>
          <w:rFonts w:ascii="Palatino Linotype" w:eastAsia="Palatino Linotype" w:hAnsi="Palatino Linotype" w:cs="Palatino Linotype"/>
          <w:sz w:val="24"/>
          <w:szCs w:val="24"/>
        </w:rPr>
        <w:t xml:space="preserve"> o de los sujetos que utilizan o se benefician con recursos provenientes del Estado, es el derecho que tienen los ciudadanos para acceder a documentos y datos que obren en el poder del gobierno.</w:t>
      </w:r>
    </w:p>
    <w:p w14:paraId="7FDC9812" w14:textId="77777777" w:rsidR="001E689D" w:rsidRPr="00BA37C2" w:rsidRDefault="001E689D" w:rsidP="001E689D">
      <w:pPr>
        <w:spacing w:before="240" w:after="240" w:line="360" w:lineRule="auto"/>
        <w:ind w:right="99"/>
        <w:contextualSpacing/>
        <w:jc w:val="both"/>
        <w:rPr>
          <w:rFonts w:ascii="Palatino Linotype" w:eastAsia="Palatino Linotype" w:hAnsi="Palatino Linotype" w:cs="Palatino Linotype"/>
          <w:sz w:val="24"/>
          <w:szCs w:val="24"/>
        </w:rPr>
      </w:pPr>
    </w:p>
    <w:p w14:paraId="4CC2D5FC" w14:textId="77777777" w:rsidR="001E689D" w:rsidRPr="00BA37C2" w:rsidRDefault="001E689D" w:rsidP="001E689D">
      <w:pPr>
        <w:spacing w:before="240" w:after="240" w:line="360" w:lineRule="auto"/>
        <w:ind w:right="99"/>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BA37C2">
        <w:rPr>
          <w:rFonts w:ascii="Palatino Linotype" w:eastAsia="Palatino Linotype" w:hAnsi="Palatino Linotype" w:cs="Palatino Linotype"/>
          <w:sz w:val="24"/>
          <w:szCs w:val="24"/>
          <w:vertAlign w:val="superscript"/>
        </w:rPr>
        <w:footnoteReference w:id="4"/>
      </w:r>
    </w:p>
    <w:p w14:paraId="699810AB" w14:textId="77777777" w:rsidR="005A01A3" w:rsidRPr="00BA37C2" w:rsidRDefault="005A01A3" w:rsidP="001E689D">
      <w:pPr>
        <w:spacing w:before="240" w:after="240" w:line="360" w:lineRule="auto"/>
        <w:ind w:right="99"/>
        <w:contextualSpacing/>
        <w:jc w:val="both"/>
        <w:rPr>
          <w:rFonts w:ascii="Palatino Linotype" w:eastAsia="Palatino Linotype" w:hAnsi="Palatino Linotype" w:cs="Palatino Linotype"/>
          <w:sz w:val="24"/>
          <w:szCs w:val="24"/>
        </w:rPr>
      </w:pPr>
    </w:p>
    <w:p w14:paraId="09C44E16" w14:textId="77777777" w:rsidR="001E689D" w:rsidRPr="00BA37C2" w:rsidRDefault="001E689D" w:rsidP="001E689D">
      <w:pPr>
        <w:spacing w:before="240" w:after="240" w:line="360" w:lineRule="auto"/>
        <w:ind w:right="99"/>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lastRenderedPageBreak/>
        <w:t xml:space="preserve">De lo anterior se puede concluir que la distinción entre el </w:t>
      </w:r>
      <w:r w:rsidRPr="00BA37C2">
        <w:rPr>
          <w:rFonts w:ascii="Palatino Linotype" w:eastAsia="Palatino Linotype" w:hAnsi="Palatino Linotype" w:cs="Palatino Linotype"/>
          <w:b/>
          <w:sz w:val="24"/>
          <w:szCs w:val="24"/>
        </w:rPr>
        <w:t>derecho de petición</w:t>
      </w:r>
      <w:r w:rsidRPr="00BA37C2">
        <w:rPr>
          <w:rFonts w:ascii="Palatino Linotype" w:eastAsia="Palatino Linotype" w:hAnsi="Palatino Linotype" w:cs="Palatino Linotype"/>
          <w:sz w:val="24"/>
          <w:szCs w:val="24"/>
        </w:rPr>
        <w:t xml:space="preserve"> y el derecho de acceso a la información descansa, principalmente, en que </w:t>
      </w:r>
      <w:r w:rsidRPr="00BA37C2">
        <w:rPr>
          <w:rFonts w:ascii="Palatino Linotype" w:eastAsia="Palatino Linotype" w:hAnsi="Palatino Linotype" w:cs="Palatino Linotype"/>
          <w:sz w:val="24"/>
          <w:szCs w:val="24"/>
          <w:u w:val="single"/>
        </w:rPr>
        <w:t xml:space="preserve">la pretensión del peticionario consiste generalmente en obligar a la autoridad responsable a que actúe </w:t>
      </w:r>
      <w:r w:rsidRPr="00BA37C2">
        <w:rPr>
          <w:rFonts w:ascii="Palatino Linotype" w:eastAsia="Palatino Linotype" w:hAnsi="Palatino Linotype" w:cs="Palatino Linotype"/>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4AF44CED"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rPr>
      </w:pPr>
    </w:p>
    <w:p w14:paraId="1937FD03" w14:textId="77777777" w:rsidR="001E689D" w:rsidRPr="00BA37C2" w:rsidRDefault="001E689D" w:rsidP="001E689D">
      <w:pPr>
        <w:spacing w:before="240" w:after="240" w:line="360" w:lineRule="auto"/>
        <w:ind w:right="96"/>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rPr>
        <w:t xml:space="preserve">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BA37C2">
        <w:rPr>
          <w:rFonts w:ascii="Palatino Linotype" w:eastAsia="Palatino Linotype" w:hAnsi="Palatino Linotype" w:cs="Palatino Linotype"/>
          <w:b/>
          <w:sz w:val="24"/>
          <w:u w:val="single"/>
        </w:rPr>
        <w:t>interrogantes, inquietudes, quejas y manifestaciones</w:t>
      </w:r>
      <w:r w:rsidRPr="00BA37C2">
        <w:rPr>
          <w:rFonts w:ascii="Palatino Linotype" w:eastAsia="Palatino Linotype" w:hAnsi="Palatino Linotype" w:cs="Palatino Linotype"/>
          <w:sz w:val="24"/>
        </w:rPr>
        <w:t xml:space="preserve"> resultan estar encaminadas a ser satisfechas en ejercicio del </w:t>
      </w:r>
      <w:r w:rsidRPr="00BA37C2">
        <w:rPr>
          <w:rFonts w:ascii="Palatino Linotype" w:eastAsia="Palatino Linotype" w:hAnsi="Palatino Linotype" w:cs="Palatino Linotype"/>
          <w:sz w:val="24"/>
          <w:szCs w:val="24"/>
        </w:rPr>
        <w:t>derecho de petición.</w:t>
      </w:r>
    </w:p>
    <w:p w14:paraId="13F2188F" w14:textId="77777777" w:rsidR="001E689D" w:rsidRPr="00BA37C2" w:rsidRDefault="001E689D" w:rsidP="001E689D">
      <w:pPr>
        <w:spacing w:before="240" w:after="240" w:line="360" w:lineRule="auto"/>
        <w:ind w:right="96"/>
        <w:contextualSpacing/>
        <w:jc w:val="both"/>
        <w:rPr>
          <w:rFonts w:ascii="Palatino Linotype" w:eastAsia="Palatino Linotype" w:hAnsi="Palatino Linotype" w:cs="Palatino Linotype"/>
          <w:sz w:val="24"/>
          <w:szCs w:val="24"/>
        </w:rPr>
      </w:pPr>
    </w:p>
    <w:p w14:paraId="49A4EFD4" w14:textId="77777777" w:rsidR="001E689D" w:rsidRPr="00BA37C2" w:rsidRDefault="001E689D" w:rsidP="001E689D">
      <w:pPr>
        <w:spacing w:before="240" w:after="240" w:line="360" w:lineRule="auto"/>
        <w:ind w:right="96"/>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sidRPr="00BA37C2">
        <w:rPr>
          <w:rFonts w:ascii="Palatino Linotype" w:eastAsia="Palatino Linotype" w:hAnsi="Palatino Linotype" w:cs="Palatino Linotype"/>
          <w:sz w:val="24"/>
          <w:szCs w:val="24"/>
        </w:rPr>
        <w:lastRenderedPageBreak/>
        <w:t xml:space="preserve">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w:t>
      </w:r>
      <w:r w:rsidR="00AC1C41" w:rsidRPr="00BA37C2">
        <w:rPr>
          <w:rFonts w:ascii="Palatino Linotype" w:eastAsia="Palatino Linotype" w:hAnsi="Palatino Linotype" w:cs="Palatino Linotype"/>
          <w:sz w:val="24"/>
          <w:szCs w:val="24"/>
        </w:rPr>
        <w:t xml:space="preserve">o interrogantes </w:t>
      </w:r>
      <w:r w:rsidRPr="00BA37C2">
        <w:rPr>
          <w:rFonts w:ascii="Palatino Linotype" w:eastAsia="Palatino Linotype" w:hAnsi="Palatino Linotype" w:cs="Palatino Linotype"/>
          <w:sz w:val="24"/>
          <w:szCs w:val="24"/>
        </w:rPr>
        <w:t xml:space="preserve">expuestas por </w:t>
      </w:r>
      <w:r w:rsidRPr="00BA37C2">
        <w:rPr>
          <w:rFonts w:ascii="Palatino Linotype" w:eastAsia="Palatino Linotype" w:hAnsi="Palatino Linotype" w:cs="Palatino Linotype"/>
          <w:b/>
          <w:sz w:val="24"/>
          <w:szCs w:val="24"/>
        </w:rPr>
        <w:t>EL  RECURRENTE,</w:t>
      </w:r>
      <w:r w:rsidRPr="00BA37C2">
        <w:rPr>
          <w:rFonts w:ascii="Palatino Linotype" w:eastAsia="Palatino Linotype" w:hAnsi="Palatino Linotype" w:cs="Palatino Linotype"/>
          <w:sz w:val="24"/>
          <w:szCs w:val="24"/>
        </w:rPr>
        <w:t xml:space="preserve"> </w:t>
      </w:r>
      <w:r w:rsidR="00AC1C41" w:rsidRPr="00BA37C2">
        <w:rPr>
          <w:rFonts w:ascii="Palatino Linotype" w:eastAsia="Palatino Linotype" w:hAnsi="Palatino Linotype" w:cs="Palatino Linotype"/>
          <w:sz w:val="24"/>
          <w:szCs w:val="24"/>
        </w:rPr>
        <w:t>en virtud de que</w:t>
      </w:r>
      <w:r w:rsidRPr="00BA37C2">
        <w:rPr>
          <w:rFonts w:ascii="Palatino Linotype" w:eastAsia="Palatino Linotype" w:hAnsi="Palatino Linotype" w:cs="Palatino Linotype"/>
          <w:sz w:val="24"/>
          <w:szCs w:val="24"/>
        </w:rPr>
        <w:t xml:space="preserve"> la solicitud de la persona solicitante es tendente a que EL </w:t>
      </w:r>
      <w:r w:rsidRPr="00BA37C2">
        <w:rPr>
          <w:rFonts w:ascii="Palatino Linotype" w:eastAsia="Palatino Linotype" w:hAnsi="Palatino Linotype" w:cs="Palatino Linotype"/>
          <w:b/>
          <w:sz w:val="24"/>
          <w:szCs w:val="24"/>
        </w:rPr>
        <w:t>SUJETO OBLIGADO</w:t>
      </w:r>
      <w:r w:rsidRPr="00BA37C2">
        <w:rPr>
          <w:rFonts w:ascii="Palatino Linotype" w:eastAsia="Palatino Linotype" w:hAnsi="Palatino Linotype" w:cs="Palatino Linotype"/>
          <w:sz w:val="24"/>
          <w:szCs w:val="24"/>
        </w:rPr>
        <w:t xml:space="preserve"> aclare o actué sobre una inquietud.</w:t>
      </w:r>
    </w:p>
    <w:p w14:paraId="5791759A" w14:textId="77777777" w:rsidR="001E689D" w:rsidRPr="00BA37C2" w:rsidRDefault="001E689D" w:rsidP="001E689D">
      <w:pPr>
        <w:spacing w:before="240" w:after="240" w:line="360" w:lineRule="auto"/>
        <w:ind w:right="96"/>
        <w:contextualSpacing/>
        <w:jc w:val="both"/>
        <w:rPr>
          <w:rFonts w:ascii="Palatino Linotype" w:eastAsia="Palatino Linotype" w:hAnsi="Palatino Linotype" w:cs="Palatino Linotype"/>
          <w:sz w:val="24"/>
          <w:szCs w:val="24"/>
        </w:rPr>
      </w:pPr>
    </w:p>
    <w:p w14:paraId="025969C5" w14:textId="77777777" w:rsidR="001E689D" w:rsidRPr="00BA37C2" w:rsidRDefault="001E689D" w:rsidP="001E689D">
      <w:pPr>
        <w:spacing w:before="240" w:after="240" w:line="360" w:lineRule="auto"/>
        <w:ind w:right="96"/>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3B3B4F5B" w14:textId="77777777" w:rsidR="005A01A3" w:rsidRPr="00BA37C2" w:rsidRDefault="005A01A3" w:rsidP="001E689D">
      <w:pPr>
        <w:spacing w:before="240" w:after="240" w:line="360" w:lineRule="auto"/>
        <w:ind w:right="96"/>
        <w:contextualSpacing/>
        <w:jc w:val="both"/>
        <w:rPr>
          <w:rFonts w:ascii="Palatino Linotype" w:eastAsia="Palatino Linotype" w:hAnsi="Palatino Linotype" w:cs="Palatino Linotype"/>
          <w:sz w:val="28"/>
          <w:szCs w:val="24"/>
        </w:rPr>
      </w:pPr>
    </w:p>
    <w:p w14:paraId="6D603704" w14:textId="77777777" w:rsidR="001E689D" w:rsidRPr="00BA37C2" w:rsidRDefault="001E689D" w:rsidP="001E689D">
      <w:pPr>
        <w:tabs>
          <w:tab w:val="left" w:pos="7938"/>
        </w:tabs>
        <w:spacing w:before="120" w:after="120" w:line="276"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w:t>
      </w:r>
      <w:r w:rsidRPr="00BA37C2">
        <w:rPr>
          <w:rFonts w:ascii="Palatino Linotype" w:eastAsia="Palatino Linotype" w:hAnsi="Palatino Linotype" w:cs="Palatino Linotype"/>
          <w:b/>
          <w:i/>
        </w:rPr>
        <w:t>Artículo 191</w:t>
      </w:r>
      <w:r w:rsidRPr="00BA37C2">
        <w:rPr>
          <w:rFonts w:ascii="Palatino Linotype" w:eastAsia="Palatino Linotype" w:hAnsi="Palatino Linotype" w:cs="Palatino Linotype"/>
          <w:i/>
        </w:rPr>
        <w:t xml:space="preserve">. </w:t>
      </w:r>
      <w:r w:rsidRPr="00BA37C2">
        <w:rPr>
          <w:rFonts w:ascii="Palatino Linotype" w:eastAsia="Palatino Linotype" w:hAnsi="Palatino Linotype" w:cs="Palatino Linotype"/>
          <w:b/>
          <w:i/>
        </w:rPr>
        <w:t>El recurso</w:t>
      </w:r>
      <w:r w:rsidRPr="00BA37C2">
        <w:rPr>
          <w:rFonts w:ascii="Palatino Linotype" w:eastAsia="Palatino Linotype" w:hAnsi="Palatino Linotype" w:cs="Palatino Linotype"/>
          <w:i/>
        </w:rPr>
        <w:t xml:space="preserve"> </w:t>
      </w:r>
      <w:r w:rsidRPr="00BA37C2">
        <w:rPr>
          <w:rFonts w:ascii="Palatino Linotype" w:eastAsia="Palatino Linotype" w:hAnsi="Palatino Linotype" w:cs="Palatino Linotype"/>
          <w:b/>
          <w:i/>
        </w:rPr>
        <w:t xml:space="preserve">será </w:t>
      </w:r>
      <w:r w:rsidRPr="00BA37C2">
        <w:rPr>
          <w:rFonts w:ascii="Palatino Linotype" w:eastAsia="Palatino Linotype" w:hAnsi="Palatino Linotype" w:cs="Palatino Linotype"/>
          <w:i/>
        </w:rPr>
        <w:t xml:space="preserve">desechado por </w:t>
      </w:r>
      <w:r w:rsidRPr="00BA37C2">
        <w:rPr>
          <w:rFonts w:ascii="Palatino Linotype" w:eastAsia="Palatino Linotype" w:hAnsi="Palatino Linotype" w:cs="Palatino Linotype"/>
          <w:b/>
          <w:i/>
        </w:rPr>
        <w:t>improcedente cuando</w:t>
      </w:r>
      <w:r w:rsidRPr="00BA37C2">
        <w:rPr>
          <w:rFonts w:ascii="Palatino Linotype" w:eastAsia="Palatino Linotype" w:hAnsi="Palatino Linotype" w:cs="Palatino Linotype"/>
          <w:i/>
        </w:rPr>
        <w:t>:</w:t>
      </w:r>
    </w:p>
    <w:p w14:paraId="1F2B86F2" w14:textId="77777777" w:rsidR="001E689D" w:rsidRPr="00BA37C2" w:rsidRDefault="001E689D" w:rsidP="001E689D">
      <w:pPr>
        <w:tabs>
          <w:tab w:val="left" w:pos="7938"/>
        </w:tabs>
        <w:spacing w:before="120" w:after="120" w:line="276" w:lineRule="auto"/>
        <w:ind w:left="1134"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lastRenderedPageBreak/>
        <w:t>…</w:t>
      </w:r>
    </w:p>
    <w:p w14:paraId="63E4BA5E" w14:textId="77777777" w:rsidR="001E689D" w:rsidRPr="00BA37C2" w:rsidRDefault="001E689D" w:rsidP="001E689D">
      <w:pPr>
        <w:tabs>
          <w:tab w:val="left" w:pos="7938"/>
        </w:tabs>
        <w:spacing w:before="120" w:line="276" w:lineRule="auto"/>
        <w:ind w:left="1134" w:right="902"/>
        <w:jc w:val="both"/>
        <w:rPr>
          <w:rFonts w:ascii="Palatino Linotype" w:eastAsia="Palatino Linotype" w:hAnsi="Palatino Linotype" w:cs="Palatino Linotype"/>
          <w:b/>
          <w:i/>
        </w:rPr>
      </w:pPr>
      <w:r w:rsidRPr="00BA37C2">
        <w:rPr>
          <w:rFonts w:ascii="Palatino Linotype" w:eastAsia="Palatino Linotype" w:hAnsi="Palatino Linotype" w:cs="Palatino Linotype"/>
          <w:b/>
          <w:i/>
        </w:rPr>
        <w:t>VI. Se trate de una consulta</w:t>
      </w:r>
      <w:r w:rsidRPr="00BA37C2">
        <w:rPr>
          <w:rFonts w:ascii="Palatino Linotype" w:eastAsia="Palatino Linotype" w:hAnsi="Palatino Linotype" w:cs="Palatino Linotype"/>
          <w:i/>
        </w:rPr>
        <w:t>, o trámite en específico</w:t>
      </w:r>
      <w:r w:rsidRPr="00BA37C2">
        <w:rPr>
          <w:rFonts w:ascii="Palatino Linotype" w:eastAsia="Palatino Linotype" w:hAnsi="Palatino Linotype" w:cs="Palatino Linotype"/>
          <w:b/>
          <w:i/>
        </w:rPr>
        <w:t xml:space="preserve">; </w:t>
      </w:r>
    </w:p>
    <w:p w14:paraId="58CE9ACA" w14:textId="77777777" w:rsidR="001E689D" w:rsidRPr="00BA37C2" w:rsidRDefault="001E689D" w:rsidP="001E689D">
      <w:pPr>
        <w:tabs>
          <w:tab w:val="left" w:pos="7938"/>
        </w:tabs>
        <w:spacing w:before="120" w:after="120" w:line="276"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w:t>
      </w:r>
    </w:p>
    <w:p w14:paraId="09150DC7" w14:textId="77777777" w:rsidR="001E689D" w:rsidRPr="00BA37C2" w:rsidRDefault="001E689D" w:rsidP="001E689D">
      <w:pPr>
        <w:tabs>
          <w:tab w:val="left" w:pos="7938"/>
        </w:tabs>
        <w:spacing w:before="120" w:after="120" w:line="276"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b/>
          <w:i/>
        </w:rPr>
        <w:t>Artículo 192.</w:t>
      </w:r>
      <w:r w:rsidRPr="00BA37C2">
        <w:rPr>
          <w:rFonts w:ascii="Palatino Linotype" w:eastAsia="Palatino Linotype" w:hAnsi="Palatino Linotype" w:cs="Palatino Linotype"/>
          <w:i/>
        </w:rPr>
        <w:t xml:space="preserve"> El recurso será sobreseído, en todo o en parte, cuando una vez admitido, se actualicen alguno de los siguientes supuestos:</w:t>
      </w:r>
    </w:p>
    <w:p w14:paraId="07BE4F55" w14:textId="77777777" w:rsidR="001E689D" w:rsidRPr="00BA37C2" w:rsidRDefault="001E689D" w:rsidP="001E689D">
      <w:pPr>
        <w:tabs>
          <w:tab w:val="left" w:pos="7938"/>
        </w:tabs>
        <w:spacing w:before="120" w:after="120" w:line="276" w:lineRule="auto"/>
        <w:ind w:left="1134"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w:t>
      </w:r>
    </w:p>
    <w:p w14:paraId="2AF620A9" w14:textId="77777777" w:rsidR="001E689D" w:rsidRPr="00BA37C2" w:rsidRDefault="001E689D" w:rsidP="001E689D">
      <w:pPr>
        <w:tabs>
          <w:tab w:val="left" w:pos="7938"/>
        </w:tabs>
        <w:spacing w:before="120" w:after="120" w:line="360" w:lineRule="auto"/>
        <w:ind w:left="1134" w:right="902"/>
        <w:contextualSpacing/>
        <w:jc w:val="both"/>
        <w:rPr>
          <w:rFonts w:ascii="Palatino Linotype" w:eastAsia="Palatino Linotype" w:hAnsi="Palatino Linotype" w:cs="Palatino Linotype"/>
          <w:i/>
        </w:rPr>
      </w:pPr>
      <w:r w:rsidRPr="00BA37C2">
        <w:rPr>
          <w:rFonts w:ascii="Palatino Linotype" w:eastAsia="Palatino Linotype" w:hAnsi="Palatino Linotype" w:cs="Palatino Linotype"/>
          <w:b/>
          <w:i/>
        </w:rPr>
        <w:t>IV</w:t>
      </w:r>
      <w:r w:rsidRPr="00BA37C2">
        <w:rPr>
          <w:rFonts w:ascii="Palatino Linotype" w:eastAsia="Palatino Linotype" w:hAnsi="Palatino Linotype" w:cs="Palatino Linotype"/>
          <w:i/>
        </w:rPr>
        <w:t xml:space="preserve">. Admitido el recurso de revisión, </w:t>
      </w:r>
      <w:r w:rsidRPr="00BA37C2">
        <w:rPr>
          <w:rFonts w:ascii="Palatino Linotype" w:eastAsia="Palatino Linotype" w:hAnsi="Palatino Linotype" w:cs="Palatino Linotype"/>
          <w:b/>
          <w:i/>
        </w:rPr>
        <w:t>aparezca alguna causal de improcedencia</w:t>
      </w:r>
      <w:r w:rsidRPr="00BA37C2">
        <w:rPr>
          <w:rFonts w:ascii="Palatino Linotype" w:eastAsia="Palatino Linotype" w:hAnsi="Palatino Linotype" w:cs="Palatino Linotype"/>
          <w:i/>
        </w:rPr>
        <w:t xml:space="preserve"> en los términos de la presente Ley. “</w:t>
      </w:r>
    </w:p>
    <w:p w14:paraId="3F4FB063" w14:textId="77777777" w:rsidR="001E689D" w:rsidRPr="00BA37C2" w:rsidRDefault="001E689D" w:rsidP="001E689D">
      <w:pPr>
        <w:tabs>
          <w:tab w:val="left" w:pos="7938"/>
        </w:tabs>
        <w:spacing w:before="120" w:after="120" w:line="360" w:lineRule="auto"/>
        <w:ind w:left="1134" w:right="902"/>
        <w:contextualSpacing/>
        <w:jc w:val="both"/>
        <w:rPr>
          <w:rFonts w:ascii="Palatino Linotype" w:eastAsia="Palatino Linotype" w:hAnsi="Palatino Linotype" w:cs="Palatino Linotype"/>
          <w:i/>
        </w:rPr>
      </w:pPr>
    </w:p>
    <w:p w14:paraId="6F2E9A42" w14:textId="77777777" w:rsidR="001E689D" w:rsidRPr="00BA37C2" w:rsidRDefault="001E689D" w:rsidP="001E689D">
      <w:pPr>
        <w:spacing w:before="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 xml:space="preserve">Siendo el </w:t>
      </w:r>
      <w:r w:rsidRPr="00BA37C2">
        <w:rPr>
          <w:rFonts w:ascii="Palatino Linotype" w:eastAsia="Palatino Linotype" w:hAnsi="Palatino Linotype" w:cs="Palatino Linotype"/>
          <w:i/>
          <w:sz w:val="24"/>
        </w:rPr>
        <w:t>sobreseimiento</w:t>
      </w:r>
      <w:r w:rsidRPr="00BA37C2">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9E0BD13" w14:textId="77777777" w:rsidR="001E689D" w:rsidRPr="00BA37C2" w:rsidRDefault="001E689D" w:rsidP="001E689D">
      <w:pPr>
        <w:spacing w:before="240" w:line="360" w:lineRule="auto"/>
        <w:contextualSpacing/>
        <w:jc w:val="both"/>
        <w:rPr>
          <w:rFonts w:ascii="Palatino Linotype" w:eastAsia="Palatino Linotype" w:hAnsi="Palatino Linotype" w:cs="Palatino Linotype"/>
        </w:rPr>
      </w:pPr>
    </w:p>
    <w:p w14:paraId="6DC27FB4" w14:textId="77777777" w:rsidR="001E689D" w:rsidRPr="00BA37C2" w:rsidRDefault="001E689D" w:rsidP="001E689D">
      <w:pPr>
        <w:spacing w:after="120" w:line="276" w:lineRule="auto"/>
        <w:ind w:left="851" w:right="902"/>
        <w:jc w:val="both"/>
        <w:rPr>
          <w:rFonts w:ascii="Palatino Linotype" w:eastAsia="Palatino Linotype" w:hAnsi="Palatino Linotype" w:cs="Palatino Linotype"/>
          <w:b/>
          <w:i/>
        </w:rPr>
      </w:pPr>
      <w:r w:rsidRPr="00BA37C2">
        <w:rPr>
          <w:rFonts w:ascii="Palatino Linotype" w:eastAsia="Palatino Linotype" w:hAnsi="Palatino Linotype" w:cs="Palatino Linotype"/>
          <w:i/>
        </w:rPr>
        <w:t>“</w:t>
      </w:r>
      <w:r w:rsidRPr="00BA37C2">
        <w:rPr>
          <w:rFonts w:ascii="Palatino Linotype" w:eastAsia="Palatino Linotype" w:hAnsi="Palatino Linotype" w:cs="Palatino Linotype"/>
          <w:b/>
          <w:i/>
        </w:rPr>
        <w:t>SOBRESEIMIENTO, NO PERMITE ENTRAR AL ESTUDIO DE LAS CUESTIONES DE FONDO</w:t>
      </w:r>
    </w:p>
    <w:p w14:paraId="59AA1B9E" w14:textId="77777777" w:rsidR="001E689D" w:rsidRPr="00BA37C2" w:rsidRDefault="001E689D" w:rsidP="001E689D">
      <w:pPr>
        <w:spacing w:before="120" w:after="120" w:line="276"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BA37C2">
        <w:rPr>
          <w:rFonts w:ascii="Palatino Linotype" w:eastAsia="Palatino Linotype" w:hAnsi="Palatino Linotype" w:cs="Palatino Linotype"/>
          <w:i/>
        </w:rPr>
        <w:t>Febrero</w:t>
      </w:r>
      <w:proofErr w:type="gramEnd"/>
      <w:r w:rsidRPr="00BA37C2">
        <w:rPr>
          <w:rFonts w:ascii="Palatino Linotype" w:eastAsia="Palatino Linotype" w:hAnsi="Palatino Linotype" w:cs="Palatino Linotype"/>
          <w:i/>
        </w:rPr>
        <w:t xml:space="preserve"> de 1994, Pág. 420</w:t>
      </w:r>
    </w:p>
    <w:p w14:paraId="6DF266B8" w14:textId="77777777" w:rsidR="001E689D" w:rsidRPr="00BA37C2" w:rsidRDefault="001E689D" w:rsidP="001E689D">
      <w:pPr>
        <w:spacing w:before="120" w:after="120" w:line="276" w:lineRule="auto"/>
        <w:ind w:left="851" w:right="902"/>
        <w:jc w:val="both"/>
        <w:rPr>
          <w:rFonts w:ascii="Palatino Linotype" w:eastAsia="Palatino Linotype" w:hAnsi="Palatino Linotype" w:cs="Palatino Linotype"/>
          <w:i/>
        </w:rPr>
      </w:pPr>
      <w:r w:rsidRPr="00BA37C2">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075B9762" w14:textId="77777777" w:rsidR="005A01A3" w:rsidRPr="00BA37C2" w:rsidRDefault="005A01A3" w:rsidP="001E689D">
      <w:pPr>
        <w:spacing w:before="120" w:after="120" w:line="276" w:lineRule="auto"/>
        <w:ind w:left="851" w:right="902"/>
        <w:jc w:val="both"/>
        <w:rPr>
          <w:rFonts w:ascii="Palatino Linotype" w:eastAsia="Palatino Linotype" w:hAnsi="Palatino Linotype" w:cs="Palatino Linotype"/>
          <w:i/>
        </w:rPr>
      </w:pPr>
    </w:p>
    <w:p w14:paraId="5FCB4BDD"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52A3F25"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rPr>
      </w:pPr>
    </w:p>
    <w:p w14:paraId="10C52A76" w14:textId="77777777" w:rsidR="001E689D" w:rsidRPr="00BA37C2" w:rsidRDefault="001E689D" w:rsidP="001E689D">
      <w:pPr>
        <w:spacing w:before="120" w:after="120" w:line="276" w:lineRule="auto"/>
        <w:ind w:left="851" w:right="902"/>
        <w:contextualSpacing/>
        <w:jc w:val="both"/>
        <w:rPr>
          <w:rFonts w:ascii="Palatino Linotype" w:eastAsia="Palatino Linotype" w:hAnsi="Palatino Linotype" w:cs="Palatino Linotype"/>
          <w:b/>
          <w:i/>
        </w:rPr>
      </w:pPr>
      <w:r w:rsidRPr="00BA37C2">
        <w:rPr>
          <w:rFonts w:ascii="Palatino Linotype" w:eastAsia="Palatino Linotype" w:hAnsi="Palatino Linotype" w:cs="Palatino Linotype"/>
          <w:b/>
          <w:i/>
        </w:rPr>
        <w:t>“DESECHAMIENTO O SOBRESEIMIENTO EN EL JUICIO DE AMPARO. NO IMPLICA DENEGACIÓN DE JUSTICIA NI GENERA INSEGURIDAD JURÍDICA”</w:t>
      </w:r>
    </w:p>
    <w:p w14:paraId="76FAB74C" w14:textId="77777777" w:rsidR="001E689D" w:rsidRPr="00BA37C2" w:rsidRDefault="001E689D" w:rsidP="001E689D">
      <w:pPr>
        <w:spacing w:before="120" w:after="120" w:line="276" w:lineRule="auto"/>
        <w:ind w:left="851" w:right="902"/>
        <w:contextualSpacing/>
        <w:jc w:val="both"/>
        <w:rPr>
          <w:rFonts w:ascii="Palatino Linotype" w:eastAsia="Palatino Linotype" w:hAnsi="Palatino Linotype" w:cs="Palatino Linotype"/>
          <w:b/>
          <w:i/>
        </w:rPr>
      </w:pPr>
    </w:p>
    <w:p w14:paraId="0B56D4ED" w14:textId="77777777" w:rsidR="001E689D" w:rsidRPr="00BA37C2" w:rsidRDefault="001E689D" w:rsidP="001E689D">
      <w:pPr>
        <w:spacing w:before="120" w:after="120" w:line="360" w:lineRule="auto"/>
        <w:ind w:left="851" w:right="902"/>
        <w:contextualSpacing/>
        <w:jc w:val="both"/>
        <w:rPr>
          <w:rFonts w:ascii="Palatino Linotype" w:eastAsia="Palatino Linotype" w:hAnsi="Palatino Linotype" w:cs="Palatino Linotype"/>
        </w:rPr>
      </w:pPr>
      <w:r w:rsidRPr="00BA37C2">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BA37C2">
        <w:rPr>
          <w:rFonts w:ascii="Palatino Linotype" w:eastAsia="Palatino Linotype" w:hAnsi="Palatino Linotype" w:cs="Palatino Linotype"/>
        </w:rPr>
        <w:tab/>
      </w:r>
    </w:p>
    <w:p w14:paraId="1D333462" w14:textId="77777777" w:rsidR="001E689D" w:rsidRPr="00BA37C2" w:rsidRDefault="001E689D" w:rsidP="001E689D">
      <w:pPr>
        <w:spacing w:before="120" w:after="120" w:line="360" w:lineRule="auto"/>
        <w:ind w:left="851" w:right="902"/>
        <w:contextualSpacing/>
        <w:jc w:val="both"/>
        <w:rPr>
          <w:rFonts w:ascii="Palatino Linotype" w:eastAsia="Palatino Linotype" w:hAnsi="Palatino Linotype" w:cs="Palatino Linotype"/>
          <w:i/>
        </w:rPr>
      </w:pPr>
    </w:p>
    <w:p w14:paraId="506D547D"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rPr>
      </w:pPr>
      <w:r w:rsidRPr="00BA37C2">
        <w:rPr>
          <w:rFonts w:ascii="Palatino Linotype" w:eastAsia="Palatino Linotype" w:hAnsi="Palatino Linotype" w:cs="Palatino Linotype"/>
          <w:sz w:val="24"/>
        </w:rPr>
        <w:t xml:space="preserve">Así, con fundamento en lo prescrito en los artículos 5 párrafos trigésimo, trigésimo primero y trigésimo segundo de la Constitución Política del Estado Libre y Soberano </w:t>
      </w:r>
      <w:r w:rsidRPr="00BA37C2">
        <w:rPr>
          <w:rFonts w:ascii="Palatino Linotype" w:eastAsia="Palatino Linotype" w:hAnsi="Palatino Linotype" w:cs="Palatino Linotype"/>
          <w:sz w:val="24"/>
        </w:rPr>
        <w:lastRenderedPageBreak/>
        <w:t>de México; 2, fracción II; 29, 36 fracciones I y II; 176, 178, 181, 185 y 186 fracción II de la Ley de Transparencia y Acceso a la Información Pública del Estado de México y Municipios, este Pleno:</w:t>
      </w:r>
    </w:p>
    <w:p w14:paraId="0D4F24CB" w14:textId="77777777" w:rsidR="001E689D" w:rsidRPr="00BA37C2" w:rsidRDefault="001E689D" w:rsidP="001E689D">
      <w:pPr>
        <w:spacing w:before="240" w:after="240" w:line="360" w:lineRule="auto"/>
        <w:contextualSpacing/>
        <w:jc w:val="center"/>
        <w:rPr>
          <w:rFonts w:ascii="Palatino Linotype" w:eastAsia="Palatino Linotype" w:hAnsi="Palatino Linotype" w:cs="Palatino Linotype"/>
          <w:b/>
          <w:sz w:val="24"/>
        </w:rPr>
      </w:pPr>
      <w:r w:rsidRPr="00BA37C2">
        <w:rPr>
          <w:rFonts w:ascii="Palatino Linotype" w:eastAsia="Palatino Linotype" w:hAnsi="Palatino Linotype" w:cs="Palatino Linotype"/>
          <w:b/>
          <w:sz w:val="24"/>
        </w:rPr>
        <w:t>R E S U E L V E</w:t>
      </w:r>
    </w:p>
    <w:p w14:paraId="30432A02" w14:textId="77777777" w:rsidR="001E689D" w:rsidRPr="00BA37C2" w:rsidRDefault="001E689D" w:rsidP="001E689D">
      <w:pPr>
        <w:spacing w:before="240" w:after="240" w:line="360" w:lineRule="auto"/>
        <w:contextualSpacing/>
        <w:jc w:val="center"/>
        <w:rPr>
          <w:rFonts w:ascii="Palatino Linotype" w:eastAsia="Palatino Linotype" w:hAnsi="Palatino Linotype" w:cs="Palatino Linotype"/>
        </w:rPr>
      </w:pPr>
    </w:p>
    <w:p w14:paraId="1BAF534A" w14:textId="77777777" w:rsidR="001E689D" w:rsidRPr="00BA37C2" w:rsidRDefault="001E689D" w:rsidP="001E689D">
      <w:pPr>
        <w:tabs>
          <w:tab w:val="left" w:pos="7936"/>
        </w:tabs>
        <w:spacing w:before="240" w:after="24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PRIMERO. </w:t>
      </w:r>
      <w:r w:rsidRPr="00BA37C2">
        <w:rPr>
          <w:rFonts w:ascii="Palatino Linotype" w:eastAsia="Palatino Linotype" w:hAnsi="Palatino Linotype" w:cs="Palatino Linotype"/>
          <w:sz w:val="24"/>
          <w:szCs w:val="24"/>
        </w:rPr>
        <w:t>Se</w:t>
      </w:r>
      <w:r w:rsidRPr="00BA37C2">
        <w:rPr>
          <w:rFonts w:ascii="Palatino Linotype" w:eastAsia="Palatino Linotype" w:hAnsi="Palatino Linotype" w:cs="Palatino Linotype"/>
          <w:b/>
          <w:sz w:val="24"/>
          <w:szCs w:val="24"/>
        </w:rPr>
        <w:t xml:space="preserve"> SOBRESEE </w:t>
      </w:r>
      <w:r w:rsidRPr="00BA37C2">
        <w:rPr>
          <w:rFonts w:ascii="Palatino Linotype" w:eastAsia="Palatino Linotype" w:hAnsi="Palatino Linotype" w:cs="Palatino Linotype"/>
          <w:sz w:val="24"/>
          <w:szCs w:val="24"/>
        </w:rPr>
        <w:t xml:space="preserve">el recurso de revisión número </w:t>
      </w:r>
      <w:r w:rsidRPr="00BA37C2">
        <w:rPr>
          <w:rFonts w:ascii="Palatino Linotype" w:eastAsia="Palatino Linotype" w:hAnsi="Palatino Linotype" w:cs="Palatino Linotype"/>
          <w:b/>
          <w:sz w:val="24"/>
          <w:szCs w:val="24"/>
        </w:rPr>
        <w:t xml:space="preserve">15594/INFOEM/IP/RR/2022, </w:t>
      </w:r>
      <w:r w:rsidRPr="00BA37C2">
        <w:rPr>
          <w:rFonts w:ascii="Palatino Linotype" w:eastAsia="Palatino Linotype" w:hAnsi="Palatino Linotype" w:cs="Palatino Linotype"/>
          <w:sz w:val="24"/>
          <w:szCs w:val="24"/>
        </w:rPr>
        <w:t>porque una vez admitido se actualizó la causal de improcedencia prevista en artículo 192 fracción IV, en relación con la fracción VI del artículo 191, de la Ley de Transparencia y Acceso a la Información Pública del Estado de México y Municipios, en términos del Considerando</w:t>
      </w:r>
      <w:r w:rsidRPr="00BA37C2">
        <w:rPr>
          <w:rFonts w:ascii="Palatino Linotype" w:eastAsia="Palatino Linotype" w:hAnsi="Palatino Linotype" w:cs="Palatino Linotype"/>
          <w:b/>
          <w:sz w:val="24"/>
          <w:szCs w:val="24"/>
        </w:rPr>
        <w:t xml:space="preserve"> Tercero </w:t>
      </w:r>
      <w:r w:rsidRPr="00BA37C2">
        <w:rPr>
          <w:rFonts w:ascii="Palatino Linotype" w:eastAsia="Palatino Linotype" w:hAnsi="Palatino Linotype" w:cs="Palatino Linotype"/>
          <w:sz w:val="24"/>
          <w:szCs w:val="24"/>
        </w:rPr>
        <w:t>de la presente resolución.</w:t>
      </w:r>
    </w:p>
    <w:p w14:paraId="301AF914" w14:textId="77777777" w:rsidR="001E689D" w:rsidRPr="00BA37C2" w:rsidRDefault="001E689D" w:rsidP="001E689D">
      <w:pPr>
        <w:tabs>
          <w:tab w:val="left" w:pos="7936"/>
        </w:tabs>
        <w:spacing w:before="240" w:after="240" w:line="360" w:lineRule="auto"/>
        <w:contextualSpacing/>
        <w:jc w:val="both"/>
        <w:rPr>
          <w:rFonts w:ascii="Palatino Linotype" w:eastAsia="Palatino Linotype" w:hAnsi="Palatino Linotype" w:cs="Palatino Linotype"/>
          <w:sz w:val="24"/>
          <w:szCs w:val="24"/>
        </w:rPr>
      </w:pPr>
    </w:p>
    <w:p w14:paraId="15D23AC7" w14:textId="77777777" w:rsidR="001E689D" w:rsidRPr="00BA37C2" w:rsidRDefault="001E689D" w:rsidP="001E689D">
      <w:pPr>
        <w:tabs>
          <w:tab w:val="left" w:pos="7936"/>
        </w:tabs>
        <w:spacing w:before="240" w:after="240" w:line="360" w:lineRule="auto"/>
        <w:contextualSpacing/>
        <w:jc w:val="both"/>
        <w:rPr>
          <w:rFonts w:ascii="Palatino Linotype" w:eastAsia="Palatino Linotype" w:hAnsi="Palatino Linotype" w:cs="Palatino Linotype"/>
          <w:sz w:val="24"/>
          <w:szCs w:val="24"/>
        </w:rPr>
      </w:pPr>
      <w:r w:rsidRPr="00BA37C2">
        <w:rPr>
          <w:rFonts w:ascii="Palatino Linotype" w:eastAsia="Palatino Linotype" w:hAnsi="Palatino Linotype" w:cs="Palatino Linotype"/>
          <w:b/>
          <w:sz w:val="24"/>
          <w:szCs w:val="24"/>
        </w:rPr>
        <w:t xml:space="preserve">SEGUNDO. </w:t>
      </w:r>
      <w:r w:rsidRPr="00BA37C2">
        <w:rPr>
          <w:rFonts w:ascii="Palatino Linotype" w:eastAsia="Palatino Linotype" w:hAnsi="Palatino Linotype" w:cs="Palatino Linotype"/>
          <w:sz w:val="24"/>
          <w:szCs w:val="24"/>
        </w:rPr>
        <w:t>Notifíquese al Titular de la Unidad de Transparencia, vía Sistema de Acceso a la Información Mexiquense (SAIMEX)</w:t>
      </w:r>
      <w:r w:rsidRPr="00BA37C2">
        <w:rPr>
          <w:rFonts w:ascii="Palatino Linotype" w:eastAsia="Palatino Linotype" w:hAnsi="Palatino Linotype" w:cs="Palatino Linotype"/>
          <w:b/>
          <w:sz w:val="24"/>
          <w:szCs w:val="24"/>
        </w:rPr>
        <w:t>,</w:t>
      </w:r>
      <w:r w:rsidRPr="00BA37C2">
        <w:rPr>
          <w:rFonts w:ascii="Palatino Linotype" w:eastAsia="Palatino Linotype" w:hAnsi="Palatino Linotype" w:cs="Palatino Linotype"/>
          <w:sz w:val="24"/>
          <w:szCs w:val="24"/>
        </w:rPr>
        <w:t xml:space="preserve"> para su conocimiento.</w:t>
      </w:r>
    </w:p>
    <w:p w14:paraId="3D2594D9"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p>
    <w:p w14:paraId="65CC1748"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sz w:val="24"/>
          <w:szCs w:val="24"/>
        </w:rPr>
      </w:pPr>
      <w:bookmarkStart w:id="0" w:name="_heading=h.gjdgxs" w:colFirst="0" w:colLast="0"/>
      <w:bookmarkEnd w:id="0"/>
      <w:r w:rsidRPr="00BA37C2">
        <w:rPr>
          <w:rFonts w:ascii="Palatino Linotype" w:eastAsia="Palatino Linotype" w:hAnsi="Palatino Linotype" w:cs="Palatino Linotype"/>
          <w:b/>
          <w:sz w:val="24"/>
          <w:szCs w:val="24"/>
        </w:rPr>
        <w:t xml:space="preserve">TERCERO. </w:t>
      </w:r>
      <w:r w:rsidRPr="00BA37C2">
        <w:rPr>
          <w:rFonts w:ascii="Palatino Linotype" w:eastAsia="Palatino Linotype" w:hAnsi="Palatino Linotype" w:cs="Palatino Linotype"/>
          <w:sz w:val="24"/>
          <w:szCs w:val="24"/>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BA37C2">
        <w:rPr>
          <w:rFonts w:ascii="Palatino Linotype" w:eastAsia="Palatino Linotype" w:hAnsi="Palatino Linotype" w:cs="Palatino Linotype"/>
          <w:b/>
          <w:sz w:val="24"/>
          <w:szCs w:val="24"/>
        </w:rPr>
        <w:t>Juicio de Amparo</w:t>
      </w:r>
      <w:r w:rsidRPr="00BA37C2">
        <w:rPr>
          <w:rFonts w:ascii="Palatino Linotype" w:eastAsia="Palatino Linotype" w:hAnsi="Palatino Linotype" w:cs="Palatino Linotype"/>
          <w:sz w:val="24"/>
          <w:szCs w:val="24"/>
        </w:rPr>
        <w:t xml:space="preserve"> en los términos de las leyes aplicables.</w:t>
      </w:r>
    </w:p>
    <w:p w14:paraId="61A605D0" w14:textId="77777777" w:rsidR="001E689D" w:rsidRPr="00BA37C2" w:rsidRDefault="001E689D" w:rsidP="001E689D">
      <w:pPr>
        <w:spacing w:before="240" w:after="240" w:line="360" w:lineRule="auto"/>
        <w:contextualSpacing/>
        <w:jc w:val="both"/>
        <w:rPr>
          <w:rFonts w:ascii="Palatino Linotype" w:eastAsia="Palatino Linotype" w:hAnsi="Palatino Linotype" w:cs="Palatino Linotype"/>
          <w:b/>
          <w:sz w:val="24"/>
          <w:szCs w:val="24"/>
        </w:rPr>
      </w:pPr>
    </w:p>
    <w:p w14:paraId="3939E28A" w14:textId="77777777" w:rsidR="001E689D" w:rsidRDefault="001E689D" w:rsidP="001E689D">
      <w:pPr>
        <w:spacing w:before="240" w:after="240" w:line="360" w:lineRule="auto"/>
        <w:contextualSpacing/>
        <w:jc w:val="both"/>
        <w:rPr>
          <w:rFonts w:ascii="Palatino Linotype" w:eastAsia="Palatino Linotype" w:hAnsi="Palatino Linotype" w:cs="Palatino Linotype"/>
          <w:sz w:val="24"/>
          <w:szCs w:val="24"/>
        </w:rPr>
      </w:pPr>
      <w:bookmarkStart w:id="1" w:name="_heading=h.30j0zll" w:colFirst="0" w:colLast="0"/>
      <w:bookmarkEnd w:id="1"/>
      <w:r w:rsidRPr="00BA37C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w:t>
      </w:r>
      <w:r w:rsidRPr="00BA37C2">
        <w:rPr>
          <w:rFonts w:ascii="Palatino Linotype" w:eastAsia="Palatino Linotype" w:hAnsi="Palatino Linotype" w:cs="Palatino Linotype"/>
          <w:sz w:val="24"/>
          <w:szCs w:val="24"/>
        </w:rPr>
        <w:lastRenderedPageBreak/>
        <w:t xml:space="preserve">MUNICIPIOS, CONFORMADO POR LOS COMISIONADOS JOSÉ MARTÍNEZ VILCHIS; MARÍA DEL ROSARIO MEJÍA AYALA; </w:t>
      </w:r>
      <w:r w:rsidR="002C2D70" w:rsidRPr="00BA37C2">
        <w:rPr>
          <w:rFonts w:ascii="Palatino Linotype" w:eastAsia="Palatino Linotype" w:hAnsi="Palatino Linotype" w:cs="Palatino Linotype"/>
          <w:sz w:val="24"/>
          <w:szCs w:val="24"/>
        </w:rPr>
        <w:t xml:space="preserve">SHARON CRISTINA MORALES MARTÍNEZ,  </w:t>
      </w:r>
      <w:r w:rsidRPr="00BA37C2">
        <w:rPr>
          <w:rFonts w:ascii="Palatino Linotype" w:eastAsia="Palatino Linotype" w:hAnsi="Palatino Linotype" w:cs="Palatino Linotype"/>
          <w:sz w:val="24"/>
          <w:szCs w:val="24"/>
        </w:rPr>
        <w:t xml:space="preserve">LUIS GUSTAVO PARRA NORIEGA Y GUADALUPE RAMÍREZ PEÑA; EN LA </w:t>
      </w:r>
      <w:r w:rsidR="005A01A3" w:rsidRPr="00BA37C2">
        <w:rPr>
          <w:rFonts w:ascii="Palatino Linotype" w:eastAsia="Palatino Linotype" w:hAnsi="Palatino Linotype" w:cs="Palatino Linotype"/>
          <w:sz w:val="24"/>
          <w:szCs w:val="24"/>
        </w:rPr>
        <w:t>DÉCIMA TERCERA</w:t>
      </w:r>
      <w:r w:rsidRPr="00BA37C2">
        <w:rPr>
          <w:rFonts w:ascii="Palatino Linotype" w:eastAsia="Palatino Linotype" w:hAnsi="Palatino Linotype" w:cs="Palatino Linotype"/>
          <w:sz w:val="24"/>
          <w:szCs w:val="24"/>
        </w:rPr>
        <w:t xml:space="preserve"> SESIÓN ORDINARIA CELEBRADA EL </w:t>
      </w:r>
      <w:r w:rsidR="00AC1C41" w:rsidRPr="00BA37C2">
        <w:rPr>
          <w:rFonts w:ascii="Palatino Linotype" w:eastAsia="Palatino Linotype" w:hAnsi="Palatino Linotype" w:cs="Palatino Linotype"/>
          <w:sz w:val="24"/>
          <w:szCs w:val="24"/>
        </w:rPr>
        <w:t>DO</w:t>
      </w:r>
      <w:r w:rsidRPr="00BA37C2">
        <w:rPr>
          <w:rFonts w:ascii="Palatino Linotype" w:eastAsia="Palatino Linotype" w:hAnsi="Palatino Linotype" w:cs="Palatino Linotype"/>
          <w:sz w:val="24"/>
          <w:szCs w:val="24"/>
        </w:rPr>
        <w:t xml:space="preserve">CE DE </w:t>
      </w:r>
      <w:r w:rsidR="005A01A3" w:rsidRPr="00BA37C2">
        <w:rPr>
          <w:rFonts w:ascii="Palatino Linotype" w:eastAsia="Palatino Linotype" w:hAnsi="Palatino Linotype" w:cs="Palatino Linotype"/>
          <w:sz w:val="24"/>
          <w:szCs w:val="24"/>
        </w:rPr>
        <w:t>ABRIL</w:t>
      </w:r>
      <w:r w:rsidRPr="00BA37C2">
        <w:rPr>
          <w:rFonts w:ascii="Palatino Linotype" w:eastAsia="Palatino Linotype" w:hAnsi="Palatino Linotype" w:cs="Palatino Linotype"/>
          <w:sz w:val="24"/>
          <w:szCs w:val="24"/>
        </w:rPr>
        <w:t xml:space="preserve"> DEL DOS MIL VEINTITRÉS, ANTE EL SECRETARIO TÉCNICO </w:t>
      </w:r>
      <w:r w:rsidR="005A01A3" w:rsidRPr="00BA37C2">
        <w:rPr>
          <w:rFonts w:ascii="Palatino Linotype" w:eastAsia="Palatino Linotype" w:hAnsi="Palatino Linotype" w:cs="Palatino Linotype"/>
          <w:sz w:val="24"/>
          <w:szCs w:val="24"/>
        </w:rPr>
        <w:t>DEL PLENO, ALEXIS TAPIA RAMÍREZ.</w:t>
      </w:r>
      <w:r w:rsidR="002C2D70">
        <w:rPr>
          <w:rFonts w:ascii="Palatino Linotype" w:eastAsia="Palatino Linotype" w:hAnsi="Palatino Linotype" w:cs="Palatino Linotype"/>
          <w:sz w:val="24"/>
          <w:szCs w:val="24"/>
        </w:rPr>
        <w:t xml:space="preserve"> </w:t>
      </w:r>
    </w:p>
    <w:p w14:paraId="7CB4AA23"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39EFF108"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3274FDE1" wp14:editId="4D3C5DBB">
                <wp:simplePos x="0" y="0"/>
                <wp:positionH relativeFrom="column">
                  <wp:posOffset>234314</wp:posOffset>
                </wp:positionH>
                <wp:positionV relativeFrom="paragraph">
                  <wp:posOffset>153035</wp:posOffset>
                </wp:positionV>
                <wp:extent cx="5019675" cy="50292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019675" cy="502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4698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12.05pt" to="413.7pt,4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" strokecolor="#5b9bd5 [3204]" strokeweight=".5pt">
                <v:stroke joinstyle="miter"/>
              </v:line>
            </w:pict>
          </mc:Fallback>
        </mc:AlternateContent>
      </w:r>
    </w:p>
    <w:p w14:paraId="44FEA489"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77FAF36F"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7159D717"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1E9D919B"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1DE7B1B7"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5C997B1E"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07150C3D"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4D832792"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3B91FAB5"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6A4BD675"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7A6F2523"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14F0995E"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6D38631E"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273F6A0A"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46D3CA17"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45FCA0A2" w14:textId="77777777" w:rsidR="002C2D70"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07AB3D3F" w14:textId="77777777" w:rsidR="002C2D70" w:rsidRPr="00BA37C2" w:rsidRDefault="002C2D70" w:rsidP="001E689D">
      <w:pPr>
        <w:spacing w:before="240" w:after="240" w:line="360" w:lineRule="auto"/>
        <w:contextualSpacing/>
        <w:jc w:val="both"/>
        <w:rPr>
          <w:rFonts w:ascii="Palatino Linotype" w:eastAsia="Palatino Linotype" w:hAnsi="Palatino Linotype" w:cs="Palatino Linotype"/>
          <w:sz w:val="24"/>
          <w:szCs w:val="24"/>
        </w:rPr>
      </w:pPr>
    </w:p>
    <w:p w14:paraId="4F595DEC" w14:textId="77777777" w:rsidR="002415CB" w:rsidRPr="00BA37C2" w:rsidRDefault="002415CB" w:rsidP="005A01A3">
      <w:pPr>
        <w:spacing w:after="0" w:line="360" w:lineRule="auto"/>
        <w:contextualSpacing/>
        <w:jc w:val="both"/>
        <w:rPr>
          <w:rFonts w:ascii="Palatino Linotype" w:hAnsi="Palatino Linotype"/>
          <w:sz w:val="28"/>
        </w:rPr>
      </w:pPr>
    </w:p>
    <w:sectPr w:rsidR="002415CB" w:rsidRPr="00BA37C2" w:rsidSect="00D87554">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810A" w14:textId="77777777" w:rsidR="00C53694" w:rsidRDefault="00C53694" w:rsidP="00D87554">
      <w:pPr>
        <w:spacing w:after="0" w:line="240" w:lineRule="auto"/>
      </w:pPr>
      <w:r>
        <w:separator/>
      </w:r>
    </w:p>
  </w:endnote>
  <w:endnote w:type="continuationSeparator" w:id="0">
    <w:p w14:paraId="7526D826" w14:textId="77777777" w:rsidR="00C53694" w:rsidRDefault="00C53694" w:rsidP="00D8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FE38" w14:textId="77777777" w:rsidR="0002669C" w:rsidRDefault="0002669C" w:rsidP="0002669C">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40AB">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40AB">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6BA25DE4" w14:textId="77777777" w:rsidR="0002669C" w:rsidRDefault="000266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39A8" w14:textId="77777777" w:rsidR="0002669C" w:rsidRDefault="0002669C" w:rsidP="0002669C">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40A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40AB">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0337E3A9" w14:textId="77777777" w:rsidR="0002669C" w:rsidRDefault="000266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A33B" w14:textId="77777777" w:rsidR="00C53694" w:rsidRDefault="00C53694" w:rsidP="00D87554">
      <w:pPr>
        <w:spacing w:after="0" w:line="240" w:lineRule="auto"/>
      </w:pPr>
      <w:r>
        <w:separator/>
      </w:r>
    </w:p>
  </w:footnote>
  <w:footnote w:type="continuationSeparator" w:id="0">
    <w:p w14:paraId="1A56A26E" w14:textId="77777777" w:rsidR="00C53694" w:rsidRDefault="00C53694" w:rsidP="00D87554">
      <w:pPr>
        <w:spacing w:after="0" w:line="240" w:lineRule="auto"/>
      </w:pPr>
      <w:r>
        <w:continuationSeparator/>
      </w:r>
    </w:p>
  </w:footnote>
  <w:footnote w:id="1">
    <w:p w14:paraId="7FD24658" w14:textId="77777777" w:rsidR="002415CB" w:rsidRDefault="002415CB" w:rsidP="002415C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0E1A0A5" w14:textId="77777777" w:rsidR="002415CB" w:rsidRDefault="002415CB" w:rsidP="002415C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ADCAB64" w14:textId="77777777" w:rsidR="001E689D" w:rsidRDefault="001E689D" w:rsidP="001E689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6EA7DFCF" w14:textId="77777777" w:rsidR="001E689D" w:rsidRDefault="001E689D" w:rsidP="001E689D">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39420927" w14:textId="77777777" w:rsidR="001E689D" w:rsidRDefault="001E689D" w:rsidP="001E689D">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D87554" w14:paraId="44E86F3F" w14:textId="77777777" w:rsidTr="00696B57">
      <w:trPr>
        <w:trHeight w:val="260"/>
      </w:trPr>
      <w:tc>
        <w:tcPr>
          <w:tcW w:w="5660" w:type="dxa"/>
        </w:tcPr>
        <w:p w14:paraId="073B8C10" w14:textId="77777777" w:rsidR="00D87554" w:rsidRDefault="00D87554" w:rsidP="00D8755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1278F1FF" w14:textId="77777777" w:rsidR="00D87554" w:rsidRDefault="00D87554" w:rsidP="00D8755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15594/INFOEM/IP/RR/2022.</w:t>
          </w:r>
        </w:p>
      </w:tc>
    </w:tr>
    <w:tr w:rsidR="00D87554" w14:paraId="7A6051DF" w14:textId="77777777" w:rsidTr="00696B57">
      <w:trPr>
        <w:trHeight w:val="224"/>
      </w:trPr>
      <w:tc>
        <w:tcPr>
          <w:tcW w:w="5660" w:type="dxa"/>
        </w:tcPr>
        <w:p w14:paraId="240092CA" w14:textId="77777777" w:rsidR="00D87554" w:rsidRDefault="00D87554" w:rsidP="00D8755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450C0D20" w14:textId="77777777" w:rsidR="00D87554" w:rsidRDefault="00D87554" w:rsidP="00D87554">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87554" w14:paraId="49E2299A" w14:textId="77777777" w:rsidTr="00696B57">
      <w:trPr>
        <w:trHeight w:val="278"/>
      </w:trPr>
      <w:tc>
        <w:tcPr>
          <w:tcW w:w="5660" w:type="dxa"/>
        </w:tcPr>
        <w:p w14:paraId="5C31E2A1" w14:textId="77777777" w:rsidR="00D87554" w:rsidRDefault="00D87554" w:rsidP="00D8755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00D015D4" w14:textId="77777777" w:rsidR="00D87554" w:rsidRDefault="00D87554" w:rsidP="00D87554">
          <w:pPr>
            <w:spacing w:after="0"/>
            <w:ind w:left="-495" w:right="214" w:firstLine="567"/>
            <w:jc w:val="right"/>
            <w:rPr>
              <w:rFonts w:ascii="Palatino Linotype" w:eastAsia="Palatino Linotype" w:hAnsi="Palatino Linotype" w:cs="Palatino Linotype"/>
              <w:sz w:val="24"/>
              <w:szCs w:val="24"/>
            </w:rPr>
          </w:pPr>
          <w:r w:rsidRPr="00D87554">
            <w:rPr>
              <w:rFonts w:ascii="Palatino Linotype" w:eastAsia="Palatino Linotype" w:hAnsi="Palatino Linotype" w:cs="Palatino Linotype"/>
            </w:rPr>
            <w:t>Secretaría de Desarrollo Social</w:t>
          </w:r>
          <w:r>
            <w:rPr>
              <w:rFonts w:ascii="Palatino Linotype" w:eastAsia="Palatino Linotype" w:hAnsi="Palatino Linotype" w:cs="Palatino Linotype"/>
            </w:rPr>
            <w:t>.</w:t>
          </w:r>
        </w:p>
      </w:tc>
    </w:tr>
    <w:tr w:rsidR="00D87554" w14:paraId="1D2B52DF" w14:textId="77777777" w:rsidTr="00696B57">
      <w:trPr>
        <w:trHeight w:val="393"/>
      </w:trPr>
      <w:tc>
        <w:tcPr>
          <w:tcW w:w="5660" w:type="dxa"/>
        </w:tcPr>
        <w:p w14:paraId="0462CCA5" w14:textId="77777777" w:rsidR="00D87554" w:rsidRDefault="00D87554" w:rsidP="00D8755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5D5190C2" w14:textId="77777777" w:rsidR="00D87554" w:rsidRDefault="00D87554" w:rsidP="00D8755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216FA2C" w14:textId="77777777" w:rsidR="00D87554" w:rsidRDefault="0002669C">
    <w:pPr>
      <w:pStyle w:val="Encabezado"/>
    </w:pPr>
    <w:r>
      <w:rPr>
        <w:noProof/>
      </w:rPr>
      <w:drawing>
        <wp:anchor distT="0" distB="0" distL="0" distR="0" simplePos="0" relativeHeight="251661312" behindDoc="1" locked="0" layoutInCell="1" hidden="0" allowOverlap="1" wp14:anchorId="71AE6568" wp14:editId="4A753A65">
          <wp:simplePos x="0" y="0"/>
          <wp:positionH relativeFrom="column">
            <wp:posOffset>-798195</wp:posOffset>
          </wp:positionH>
          <wp:positionV relativeFrom="paragraph">
            <wp:posOffset>-1492885</wp:posOffset>
          </wp:positionV>
          <wp:extent cx="7753350" cy="9942731"/>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D87554" w14:paraId="1BC9A668" w14:textId="77777777" w:rsidTr="00696B57">
      <w:trPr>
        <w:trHeight w:val="260"/>
      </w:trPr>
      <w:tc>
        <w:tcPr>
          <w:tcW w:w="5660" w:type="dxa"/>
        </w:tcPr>
        <w:p w14:paraId="3F88AAB9" w14:textId="77777777" w:rsidR="00D87554" w:rsidRDefault="00D87554" w:rsidP="00D8755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790A50C6" w14:textId="77777777" w:rsidR="00D87554" w:rsidRDefault="00D87554" w:rsidP="00D87554">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15594/INFOEM/IP/RR/2022.</w:t>
          </w:r>
        </w:p>
      </w:tc>
    </w:tr>
    <w:tr w:rsidR="00D87554" w14:paraId="55F2075A" w14:textId="77777777" w:rsidTr="00696B57">
      <w:trPr>
        <w:trHeight w:val="224"/>
      </w:trPr>
      <w:tc>
        <w:tcPr>
          <w:tcW w:w="5660" w:type="dxa"/>
        </w:tcPr>
        <w:p w14:paraId="22019B9B" w14:textId="77777777" w:rsidR="00D87554" w:rsidRDefault="00D87554" w:rsidP="00D87554">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32BB4926" w14:textId="7E88C90C" w:rsidR="00D87554" w:rsidRDefault="00146FD0" w:rsidP="00D87554">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 XXX XXXXXXXXXX</w:t>
          </w:r>
        </w:p>
      </w:tc>
    </w:tr>
    <w:tr w:rsidR="00D87554" w14:paraId="7BF09DAD" w14:textId="77777777" w:rsidTr="00696B57">
      <w:trPr>
        <w:trHeight w:val="278"/>
      </w:trPr>
      <w:tc>
        <w:tcPr>
          <w:tcW w:w="5660" w:type="dxa"/>
        </w:tcPr>
        <w:p w14:paraId="4110EBA6" w14:textId="77777777" w:rsidR="00D87554" w:rsidRDefault="00D87554" w:rsidP="00D87554">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412D24FC" w14:textId="77777777" w:rsidR="00D87554" w:rsidRDefault="00D87554" w:rsidP="00D87554">
          <w:pPr>
            <w:spacing w:after="0"/>
            <w:ind w:left="-495" w:right="214" w:firstLine="567"/>
            <w:jc w:val="right"/>
            <w:rPr>
              <w:rFonts w:ascii="Palatino Linotype" w:eastAsia="Palatino Linotype" w:hAnsi="Palatino Linotype" w:cs="Palatino Linotype"/>
              <w:sz w:val="24"/>
              <w:szCs w:val="24"/>
            </w:rPr>
          </w:pPr>
          <w:r w:rsidRPr="00D87554">
            <w:rPr>
              <w:rFonts w:ascii="Palatino Linotype" w:eastAsia="Palatino Linotype" w:hAnsi="Palatino Linotype" w:cs="Palatino Linotype"/>
            </w:rPr>
            <w:t>Secretaría de Desarrollo Social</w:t>
          </w:r>
          <w:r>
            <w:rPr>
              <w:rFonts w:ascii="Palatino Linotype" w:eastAsia="Palatino Linotype" w:hAnsi="Palatino Linotype" w:cs="Palatino Linotype"/>
            </w:rPr>
            <w:t>.</w:t>
          </w:r>
        </w:p>
      </w:tc>
    </w:tr>
    <w:tr w:rsidR="00D87554" w14:paraId="41AB8514" w14:textId="77777777" w:rsidTr="00696B57">
      <w:trPr>
        <w:trHeight w:val="393"/>
      </w:trPr>
      <w:tc>
        <w:tcPr>
          <w:tcW w:w="5660" w:type="dxa"/>
        </w:tcPr>
        <w:p w14:paraId="58DDF6A6" w14:textId="77777777" w:rsidR="00D87554" w:rsidRDefault="00D87554" w:rsidP="00D87554">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564C216F" w14:textId="77777777" w:rsidR="00D87554" w:rsidRDefault="00D87554" w:rsidP="00D87554">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C1D1D5D" w14:textId="77777777" w:rsidR="00D87554" w:rsidRDefault="0002669C">
    <w:pPr>
      <w:pStyle w:val="Encabezado"/>
    </w:pPr>
    <w:r>
      <w:rPr>
        <w:noProof/>
      </w:rPr>
      <w:drawing>
        <wp:anchor distT="0" distB="0" distL="0" distR="0" simplePos="0" relativeHeight="251659264" behindDoc="1" locked="0" layoutInCell="1" hidden="0" allowOverlap="1" wp14:anchorId="0E4E1906" wp14:editId="6522B6F8">
          <wp:simplePos x="0" y="0"/>
          <wp:positionH relativeFrom="column">
            <wp:posOffset>-788670</wp:posOffset>
          </wp:positionH>
          <wp:positionV relativeFrom="paragraph">
            <wp:posOffset>-1464310</wp:posOffset>
          </wp:positionV>
          <wp:extent cx="7753350" cy="994273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69BB"/>
    <w:multiLevelType w:val="hybridMultilevel"/>
    <w:tmpl w:val="D2E429BC"/>
    <w:lvl w:ilvl="0" w:tplc="6CFC5888">
      <w:start w:val="1"/>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62E70D3A"/>
    <w:multiLevelType w:val="multilevel"/>
    <w:tmpl w:val="441C5A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48C0333"/>
    <w:multiLevelType w:val="multilevel"/>
    <w:tmpl w:val="B308B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54"/>
    <w:rsid w:val="0002669C"/>
    <w:rsid w:val="000C7E48"/>
    <w:rsid w:val="00146FD0"/>
    <w:rsid w:val="001E2FFA"/>
    <w:rsid w:val="001E689D"/>
    <w:rsid w:val="001F5C2E"/>
    <w:rsid w:val="002415CB"/>
    <w:rsid w:val="0025673F"/>
    <w:rsid w:val="0029449F"/>
    <w:rsid w:val="002C2D70"/>
    <w:rsid w:val="002D039B"/>
    <w:rsid w:val="005A01A3"/>
    <w:rsid w:val="00603F36"/>
    <w:rsid w:val="007B40AB"/>
    <w:rsid w:val="00844341"/>
    <w:rsid w:val="008C6CC5"/>
    <w:rsid w:val="00930FA4"/>
    <w:rsid w:val="00A000D5"/>
    <w:rsid w:val="00A60D96"/>
    <w:rsid w:val="00A672EE"/>
    <w:rsid w:val="00AC1C41"/>
    <w:rsid w:val="00AF4665"/>
    <w:rsid w:val="00BA37C2"/>
    <w:rsid w:val="00C53694"/>
    <w:rsid w:val="00C838AC"/>
    <w:rsid w:val="00D87554"/>
    <w:rsid w:val="00E24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E6987"/>
  <w15:chartTrackingRefBased/>
  <w15:docId w15:val="{F3B039A6-11EC-430A-9496-EC441976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5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5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554"/>
  </w:style>
  <w:style w:type="paragraph" w:styleId="Piedepgina">
    <w:name w:val="footer"/>
    <w:basedOn w:val="Normal"/>
    <w:link w:val="PiedepginaCar"/>
    <w:uiPriority w:val="99"/>
    <w:unhideWhenUsed/>
    <w:rsid w:val="00D875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7554"/>
  </w:style>
  <w:style w:type="paragraph" w:styleId="Prrafodelista">
    <w:name w:val="List Paragraph"/>
    <w:basedOn w:val="Normal"/>
    <w:uiPriority w:val="34"/>
    <w:qFormat/>
    <w:rsid w:val="00930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4726</Words>
  <Characters>25996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2023-04-14T16:51:00Z</cp:lastPrinted>
  <dcterms:created xsi:type="dcterms:W3CDTF">2023-04-24T21:43:00Z</dcterms:created>
  <dcterms:modified xsi:type="dcterms:W3CDTF">2023-04-24T21:43:00Z</dcterms:modified>
</cp:coreProperties>
</file>