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F1" w:rsidRDefault="009465F1" w:rsidP="009465F1">
      <w:pPr>
        <w:shd w:val="clear" w:color="auto" w:fill="FFFFFF"/>
        <w:spacing w:line="360" w:lineRule="auto"/>
        <w:jc w:val="both"/>
        <w:rPr>
          <w:rFonts w:ascii="Palatino Linotype" w:hAnsi="Palatino Linotype" w:cs="Arial"/>
          <w:color w:val="000000"/>
          <w:lang w:val="es-MX" w:eastAsia="es-MX"/>
        </w:rPr>
      </w:pPr>
    </w:p>
    <w:p w:rsidR="009465F1" w:rsidRPr="00FA03EC" w:rsidRDefault="009465F1" w:rsidP="009465F1">
      <w:pPr>
        <w:shd w:val="clear" w:color="auto" w:fill="FFFFFF"/>
        <w:spacing w:line="360" w:lineRule="auto"/>
        <w:jc w:val="both"/>
        <w:rPr>
          <w:rFonts w:ascii="Palatino Linotype" w:hAnsi="Palatino Linotype" w:cs="Arial"/>
          <w:color w:val="000000"/>
          <w:lang w:val="es-MX" w:eastAsia="es-MX"/>
        </w:rPr>
      </w:pPr>
      <w:r w:rsidRPr="00FA03EC">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 dos de agosto de dos mil veintitrés.</w:t>
      </w:r>
    </w:p>
    <w:p w:rsidR="009465F1" w:rsidRPr="00FA03EC" w:rsidRDefault="009465F1" w:rsidP="009465F1">
      <w:pPr>
        <w:shd w:val="clear" w:color="auto" w:fill="FFFFFF"/>
        <w:spacing w:line="360" w:lineRule="auto"/>
        <w:jc w:val="both"/>
        <w:rPr>
          <w:rFonts w:ascii="Palatino Linotype" w:hAnsi="Palatino Linotype" w:cs="Arial"/>
          <w:color w:val="000000"/>
          <w:lang w:val="es-MX" w:eastAsia="es-MX"/>
        </w:rPr>
      </w:pPr>
    </w:p>
    <w:p w:rsidR="009465F1" w:rsidRPr="00FA03EC" w:rsidRDefault="009465F1" w:rsidP="009465F1">
      <w:pPr>
        <w:tabs>
          <w:tab w:val="left" w:pos="1701"/>
        </w:tabs>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b/>
          <w:lang w:val="es-MX" w:eastAsia="en-US"/>
        </w:rPr>
        <w:t>VISTO</w:t>
      </w:r>
      <w:r w:rsidRPr="00FA03EC">
        <w:rPr>
          <w:rFonts w:ascii="Palatino Linotype" w:eastAsiaTheme="minorHAnsi" w:hAnsi="Palatino Linotype" w:cs="Arial"/>
          <w:lang w:val="es-MX" w:eastAsia="en-US"/>
        </w:rPr>
        <w:t xml:space="preserve"> el expediente electrónico formado con motivo del recurso de revisión número </w:t>
      </w:r>
      <w:r w:rsidRPr="00FA03EC">
        <w:rPr>
          <w:rFonts w:ascii="Palatino Linotype" w:eastAsiaTheme="minorHAnsi" w:hAnsi="Palatino Linotype" w:cs="Arial"/>
          <w:b/>
          <w:lang w:val="es-MX" w:eastAsia="en-US"/>
        </w:rPr>
        <w:t>16335/INFOEM/IP/RR/2022</w:t>
      </w:r>
      <w:r w:rsidRPr="00FA03EC">
        <w:rPr>
          <w:rFonts w:ascii="Palatino Linotype" w:eastAsiaTheme="minorHAnsi" w:hAnsi="Palatino Linotype" w:cs="Arial"/>
          <w:lang w:val="es-MX" w:eastAsia="en-US"/>
        </w:rPr>
        <w:t xml:space="preserve">, </w:t>
      </w:r>
      <w:r w:rsidRPr="00FA03EC">
        <w:rPr>
          <w:rFonts w:ascii="Palatino Linotype" w:eastAsiaTheme="minorHAnsi" w:hAnsi="Palatino Linotype" w:cs="Arial"/>
          <w:bCs/>
          <w:lang w:val="es-MX" w:eastAsia="en-US"/>
        </w:rPr>
        <w:t xml:space="preserve">interpuesto por un particular que al momento de ingresar la solicitud e interponer el recurso de revisión no señalo nombre o seudónimo con el cual desee ser identificado, quien en lo sucesivo y para efectos prácticos se le denominara </w:t>
      </w:r>
      <w:r w:rsidRPr="00FA03EC">
        <w:rPr>
          <w:rFonts w:ascii="Palatino Linotype" w:eastAsiaTheme="minorHAnsi" w:hAnsi="Palatino Linotype" w:cs="Arial"/>
          <w:b/>
          <w:lang w:val="es-MX" w:eastAsia="en-US"/>
        </w:rPr>
        <w:t xml:space="preserve">El Recurrente, </w:t>
      </w:r>
      <w:r w:rsidRPr="00FA03EC">
        <w:rPr>
          <w:rFonts w:ascii="Palatino Linotype" w:hAnsi="Palatino Linotype"/>
        </w:rPr>
        <w:t xml:space="preserve">en contra de la respuesta </w:t>
      </w:r>
      <w:r w:rsidRPr="00FA03EC">
        <w:rPr>
          <w:rFonts w:ascii="Palatino Linotype" w:hAnsi="Palatino Linotype" w:cs="Arial"/>
        </w:rPr>
        <w:t xml:space="preserve">proporcionada por el </w:t>
      </w:r>
      <w:r w:rsidRPr="00FA03EC">
        <w:rPr>
          <w:rFonts w:ascii="Palatino Linotype" w:hAnsi="Palatino Linotype"/>
          <w:b/>
          <w:lang w:val="es-419"/>
        </w:rPr>
        <w:t>Ayuntamiento de Villa de Allende</w:t>
      </w:r>
      <w:r w:rsidRPr="00FA03EC">
        <w:rPr>
          <w:rFonts w:ascii="Palatino Linotype" w:hAnsi="Palatino Linotype" w:cs="Arial"/>
          <w:b/>
        </w:rPr>
        <w:t xml:space="preserve">, </w:t>
      </w:r>
      <w:r w:rsidRPr="00FA03EC">
        <w:rPr>
          <w:rFonts w:ascii="Palatino Linotype" w:hAnsi="Palatino Linotype" w:cs="Arial"/>
        </w:rPr>
        <w:t>en lo subsecuente</w:t>
      </w:r>
      <w:r w:rsidRPr="00FA03EC">
        <w:rPr>
          <w:rFonts w:ascii="Palatino Linotype" w:hAnsi="Palatino Linotype" w:cs="Arial"/>
          <w:b/>
        </w:rPr>
        <w:t xml:space="preserve"> el Sujeto Obligado, </w:t>
      </w:r>
      <w:r w:rsidRPr="00FA03EC">
        <w:rPr>
          <w:rFonts w:ascii="Palatino Linotype" w:hAnsi="Palatino Linotype" w:cs="Arial"/>
        </w:rPr>
        <w:t>se procede a dictar la presente resolución.</w:t>
      </w:r>
    </w:p>
    <w:p w:rsidR="009465F1" w:rsidRPr="00FA03EC" w:rsidRDefault="009465F1" w:rsidP="009465F1">
      <w:pPr>
        <w:tabs>
          <w:tab w:val="left" w:pos="1701"/>
        </w:tabs>
        <w:spacing w:line="360" w:lineRule="auto"/>
        <w:jc w:val="both"/>
        <w:rPr>
          <w:rFonts w:ascii="Palatino Linotype" w:eastAsiaTheme="minorHAnsi" w:hAnsi="Palatino Linotype" w:cs="Arial"/>
          <w:b/>
          <w:lang w:val="es-MX" w:eastAsia="en-US"/>
        </w:rPr>
      </w:pPr>
    </w:p>
    <w:p w:rsidR="009465F1" w:rsidRPr="00FA03EC" w:rsidRDefault="009465F1" w:rsidP="009465F1">
      <w:pPr>
        <w:spacing w:line="360" w:lineRule="auto"/>
        <w:jc w:val="center"/>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A N T E C E D E N T E S</w:t>
      </w:r>
    </w:p>
    <w:p w:rsidR="009465F1" w:rsidRPr="00FA03EC" w:rsidRDefault="009465F1" w:rsidP="009465F1">
      <w:pPr>
        <w:pStyle w:val="Sinespaciado"/>
        <w:rPr>
          <w:rFonts w:ascii="Palatino Linotype" w:eastAsiaTheme="minorHAnsi" w:hAnsi="Palatino Linotype"/>
          <w:lang w:eastAsia="en-US"/>
        </w:rPr>
      </w:pPr>
    </w:p>
    <w:p w:rsidR="009465F1" w:rsidRPr="00FA03EC" w:rsidRDefault="009465F1" w:rsidP="009465F1">
      <w:pPr>
        <w:spacing w:line="360" w:lineRule="auto"/>
        <w:jc w:val="both"/>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PRIMERO. De la solicitud de información.</w:t>
      </w:r>
    </w:p>
    <w:p w:rsidR="009465F1" w:rsidRPr="00FA03EC" w:rsidRDefault="009465F1" w:rsidP="009465F1">
      <w:pPr>
        <w:spacing w:line="360" w:lineRule="auto"/>
        <w:jc w:val="both"/>
        <w:rPr>
          <w:rFonts w:ascii="Palatino Linotype" w:eastAsiaTheme="minorHAnsi" w:hAnsi="Palatino Linotype" w:cs="Arial"/>
          <w:szCs w:val="22"/>
          <w:lang w:val="es-MX" w:eastAsia="en-US"/>
        </w:rPr>
      </w:pPr>
      <w:r w:rsidRPr="00FA03EC">
        <w:rPr>
          <w:rFonts w:ascii="Palatino Linotype" w:eastAsiaTheme="minorHAnsi" w:hAnsi="Palatino Linotype" w:cs="Arial"/>
          <w:szCs w:val="22"/>
          <w:lang w:val="es-MX" w:eastAsia="en-US"/>
        </w:rPr>
        <w:t xml:space="preserve">En fecha </w:t>
      </w:r>
      <w:r w:rsidRPr="00FA03EC">
        <w:rPr>
          <w:rFonts w:ascii="Palatino Linotype" w:eastAsiaTheme="minorHAnsi" w:hAnsi="Palatino Linotype" w:cs="Arial"/>
          <w:szCs w:val="22"/>
          <w:lang w:val="es-419" w:eastAsia="en-US"/>
        </w:rPr>
        <w:t>dieciocho de octubre</w:t>
      </w:r>
      <w:r w:rsidRPr="00FA03EC">
        <w:rPr>
          <w:rFonts w:ascii="Palatino Linotype" w:eastAsiaTheme="minorHAnsi" w:hAnsi="Palatino Linotype" w:cs="Arial"/>
          <w:szCs w:val="22"/>
          <w:lang w:val="es-MX" w:eastAsia="en-US"/>
        </w:rPr>
        <w:t xml:space="preserve"> de dos mil veintidós, el </w:t>
      </w:r>
      <w:r w:rsidRPr="00FA03EC">
        <w:rPr>
          <w:rFonts w:ascii="Palatino Linotype" w:eastAsiaTheme="minorHAnsi" w:hAnsi="Palatino Linotype" w:cs="Arial"/>
          <w:b/>
          <w:szCs w:val="22"/>
          <w:lang w:val="es-MX" w:eastAsia="en-US"/>
        </w:rPr>
        <w:t>Recurrente</w:t>
      </w:r>
      <w:r w:rsidRPr="00FA03EC">
        <w:rPr>
          <w:rFonts w:ascii="Palatino Linotype" w:eastAsiaTheme="minorHAnsi" w:hAnsi="Palatino Linotype" w:cs="Arial"/>
          <w:szCs w:val="22"/>
          <w:lang w:val="es-MX" w:eastAsia="en-US"/>
        </w:rPr>
        <w:t xml:space="preserve">, presentó a través </w:t>
      </w:r>
      <w:r w:rsidRPr="00FA03EC">
        <w:rPr>
          <w:rFonts w:ascii="Palatino Linotype" w:eastAsiaTheme="minorHAnsi" w:hAnsi="Palatino Linotype" w:cs="Arial"/>
          <w:szCs w:val="22"/>
          <w:lang w:val="es-419" w:eastAsia="en-US"/>
        </w:rPr>
        <w:t>de</w:t>
      </w:r>
      <w:r w:rsidRPr="00FA03EC">
        <w:rPr>
          <w:rFonts w:ascii="Palatino Linotype" w:eastAsiaTheme="minorHAnsi" w:hAnsi="Palatino Linotype" w:cs="Arial"/>
          <w:szCs w:val="22"/>
          <w:lang w:val="es-MX" w:eastAsia="en-US"/>
        </w:rPr>
        <w:t xml:space="preserve">l Sistema de Acceso a la Información Mexiquense </w:t>
      </w:r>
      <w:r w:rsidRPr="00FA03EC">
        <w:rPr>
          <w:rFonts w:ascii="Palatino Linotype" w:eastAsiaTheme="minorHAnsi" w:hAnsi="Palatino Linotype" w:cs="Arial"/>
          <w:b/>
          <w:szCs w:val="22"/>
          <w:lang w:val="es-MX" w:eastAsia="en-US"/>
        </w:rPr>
        <w:t>(SAIMEX),</w:t>
      </w:r>
      <w:r w:rsidRPr="00FA03EC">
        <w:rPr>
          <w:rFonts w:ascii="Palatino Linotype" w:eastAsiaTheme="minorHAnsi" w:hAnsi="Palatino Linotype" w:cs="Arial"/>
          <w:szCs w:val="22"/>
          <w:lang w:val="es-MX" w:eastAsia="en-US"/>
        </w:rPr>
        <w:t xml:space="preserve"> ante el </w:t>
      </w:r>
      <w:r w:rsidRPr="00FA03EC">
        <w:rPr>
          <w:rFonts w:ascii="Palatino Linotype" w:eastAsiaTheme="minorHAnsi" w:hAnsi="Palatino Linotype" w:cs="Arial"/>
          <w:b/>
          <w:szCs w:val="22"/>
          <w:lang w:val="es-MX" w:eastAsia="en-US"/>
        </w:rPr>
        <w:t>Sujeto Obligado</w:t>
      </w:r>
      <w:r w:rsidRPr="00FA03EC">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FA03EC">
        <w:rPr>
          <w:rFonts w:ascii="Palatino Linotype" w:hAnsi="Palatino Linotype"/>
          <w:b/>
          <w:bCs/>
        </w:rPr>
        <w:t>00113/VIALLEN/IP/2022</w:t>
      </w:r>
      <w:r w:rsidRPr="00FA03EC">
        <w:rPr>
          <w:rFonts w:ascii="Palatino Linotype" w:eastAsiaTheme="minorHAnsi" w:hAnsi="Palatino Linotype" w:cs="Arial"/>
          <w:lang w:val="es-MX" w:eastAsia="en-US"/>
        </w:rPr>
        <w:t>,</w:t>
      </w:r>
      <w:r w:rsidRPr="00FA03EC">
        <w:rPr>
          <w:rFonts w:ascii="Palatino Linotype" w:eastAsiaTheme="minorHAnsi" w:hAnsi="Palatino Linotype" w:cs="Arial"/>
          <w:szCs w:val="22"/>
          <w:lang w:val="es-MX" w:eastAsia="en-US"/>
        </w:rPr>
        <w:t xml:space="preserve"> mediante la cual solicitó lo siguiente:</w:t>
      </w:r>
    </w:p>
    <w:p w:rsidR="009465F1" w:rsidRPr="00FA03EC" w:rsidRDefault="009465F1" w:rsidP="009465F1">
      <w:pPr>
        <w:spacing w:line="360" w:lineRule="auto"/>
        <w:jc w:val="both"/>
        <w:rPr>
          <w:rFonts w:ascii="Palatino Linotype" w:eastAsiaTheme="minorHAnsi" w:hAnsi="Palatino Linotype" w:cs="Arial"/>
          <w:szCs w:val="22"/>
          <w:lang w:val="es-MX" w:eastAsia="en-US"/>
        </w:rPr>
      </w:pPr>
    </w:p>
    <w:p w:rsidR="009465F1" w:rsidRPr="00FA03EC" w:rsidRDefault="009465F1" w:rsidP="009465F1">
      <w:pPr>
        <w:spacing w:line="360" w:lineRule="auto"/>
        <w:ind w:left="567" w:right="567"/>
        <w:jc w:val="both"/>
        <w:rPr>
          <w:rFonts w:ascii="Palatino Linotype" w:hAnsi="Palatino Linotype"/>
          <w:i/>
          <w:lang w:val="es-MX" w:eastAsia="es-MX"/>
        </w:rPr>
      </w:pPr>
      <w:r w:rsidRPr="00FA03EC">
        <w:rPr>
          <w:rFonts w:ascii="Palatino Linotype" w:hAnsi="Palatino Linotype"/>
          <w:i/>
          <w:lang w:val="es-MX" w:eastAsia="es-MX"/>
        </w:rPr>
        <w:t>“</w:t>
      </w:r>
      <w:r w:rsidRPr="00FA03EC">
        <w:rPr>
          <w:rFonts w:ascii="Palatino Linotype" w:hAnsi="Palatino Linotype"/>
          <w:i/>
          <w:color w:val="000000"/>
        </w:rPr>
        <w:t>Por este medio, quisiera solicitarle a quien corresponda los gastos en viáticos que ha realizado el gobierno del municipio de Villa de Allende en en el año 2022</w:t>
      </w:r>
      <w:r w:rsidRPr="00FA03EC">
        <w:rPr>
          <w:rFonts w:ascii="Palatino Linotype" w:hAnsi="Palatino Linotype"/>
          <w:i/>
          <w:lang w:val="es-MX" w:eastAsia="es-MX"/>
        </w:rPr>
        <w:t>.” (Sic).</w:t>
      </w:r>
    </w:p>
    <w:p w:rsidR="009465F1" w:rsidRPr="00FA03EC" w:rsidRDefault="009465F1" w:rsidP="009465F1">
      <w:pPr>
        <w:spacing w:line="360" w:lineRule="auto"/>
        <w:rPr>
          <w:rFonts w:ascii="Palatino Linotype" w:hAnsi="Palatino Linotype"/>
          <w:lang w:val="es-MX"/>
        </w:rPr>
      </w:pPr>
    </w:p>
    <w:p w:rsidR="009465F1" w:rsidRPr="00FA03EC" w:rsidRDefault="009465F1" w:rsidP="009465F1">
      <w:pPr>
        <w:spacing w:line="360" w:lineRule="auto"/>
        <w:rPr>
          <w:rFonts w:ascii="Palatino Linotype" w:hAnsi="Palatino Linotype"/>
          <w:lang w:val="es-419"/>
        </w:rPr>
      </w:pPr>
    </w:p>
    <w:p w:rsidR="009465F1" w:rsidRPr="00FA03EC" w:rsidRDefault="009465F1" w:rsidP="009465F1">
      <w:pPr>
        <w:spacing w:line="360" w:lineRule="auto"/>
        <w:rPr>
          <w:rFonts w:ascii="Palatino Linotype" w:hAnsi="Palatino Linotype"/>
          <w:lang w:val="es-419"/>
        </w:rPr>
      </w:pPr>
    </w:p>
    <w:p w:rsidR="009465F1" w:rsidRPr="00FA03EC" w:rsidRDefault="009465F1" w:rsidP="009465F1">
      <w:pPr>
        <w:spacing w:line="360" w:lineRule="auto"/>
        <w:rPr>
          <w:rFonts w:ascii="Palatino Linotype" w:hAnsi="Palatino Linotype"/>
          <w:bCs/>
          <w:lang w:val="es-419"/>
        </w:rPr>
      </w:pPr>
      <w:r w:rsidRPr="00FA03EC">
        <w:rPr>
          <w:rFonts w:ascii="Palatino Linotype" w:hAnsi="Palatino Linotype"/>
          <w:b/>
          <w:bCs/>
          <w:lang w:val="es-419"/>
        </w:rPr>
        <w:t>Modalidad de entrega: “</w:t>
      </w:r>
      <w:r w:rsidRPr="00FA03EC">
        <w:rPr>
          <w:rFonts w:ascii="Palatino Linotype" w:hAnsi="Palatino Linotype"/>
          <w:bCs/>
          <w:lang w:val="es-419"/>
        </w:rPr>
        <w:t>A través del SAIMEX.”</w:t>
      </w:r>
    </w:p>
    <w:p w:rsidR="009465F1" w:rsidRPr="00FA03EC" w:rsidRDefault="009465F1" w:rsidP="009465F1">
      <w:pPr>
        <w:spacing w:line="360" w:lineRule="auto"/>
        <w:rPr>
          <w:rFonts w:ascii="Palatino Linotype" w:hAnsi="Palatino Linotype"/>
          <w:lang w:val="es-419"/>
        </w:rPr>
      </w:pPr>
    </w:p>
    <w:p w:rsidR="009465F1" w:rsidRPr="00FA03EC" w:rsidRDefault="009465F1" w:rsidP="009465F1">
      <w:pPr>
        <w:spacing w:line="360" w:lineRule="auto"/>
        <w:jc w:val="both"/>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 xml:space="preserve">SEGUNDO. De la respuesta del Sujeto Obligado. </w:t>
      </w: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De las constancias que obran en el sistema SAIMEX, se advierte que en fecha </w:t>
      </w:r>
      <w:r w:rsidRPr="00FA03EC">
        <w:rPr>
          <w:rFonts w:ascii="Palatino Linotype" w:eastAsiaTheme="minorHAnsi" w:hAnsi="Palatino Linotype" w:cs="Arial"/>
          <w:bCs/>
          <w:lang w:val="es-419" w:eastAsia="en-US"/>
        </w:rPr>
        <w:t>veintiséis de octubre</w:t>
      </w:r>
      <w:r w:rsidRPr="00FA03EC">
        <w:rPr>
          <w:rFonts w:ascii="Palatino Linotype" w:eastAsiaTheme="minorHAnsi" w:hAnsi="Palatino Linotype" w:cs="Arial"/>
          <w:bCs/>
          <w:lang w:val="es-MX" w:eastAsia="en-US"/>
        </w:rPr>
        <w:t xml:space="preserve"> de dos mil veintidós, </w:t>
      </w:r>
      <w:r w:rsidRPr="00FA03EC">
        <w:rPr>
          <w:rFonts w:ascii="Palatino Linotype" w:eastAsiaTheme="minorHAnsi" w:hAnsi="Palatino Linotype" w:cs="Arial"/>
          <w:b/>
          <w:lang w:val="es-MX" w:eastAsia="en-US"/>
        </w:rPr>
        <w:t>El Sujeto Obligado</w:t>
      </w:r>
      <w:r w:rsidRPr="00FA03EC">
        <w:rPr>
          <w:rFonts w:ascii="Palatino Linotype" w:eastAsiaTheme="minorHAnsi" w:hAnsi="Palatino Linotype" w:cs="Arial"/>
          <w:lang w:val="es-MX" w:eastAsia="en-US"/>
        </w:rPr>
        <w:t xml:space="preserve"> emitió la respuesta en los siguientes términos:</w:t>
      </w:r>
    </w:p>
    <w:p w:rsidR="009465F1" w:rsidRPr="00FA03EC" w:rsidRDefault="009465F1" w:rsidP="009465F1">
      <w:pPr>
        <w:spacing w:line="360" w:lineRule="auto"/>
        <w:jc w:val="right"/>
        <w:rPr>
          <w:rFonts w:ascii="Palatino Linotype" w:eastAsiaTheme="minorHAnsi" w:hAnsi="Palatino Linotype" w:cs="Arial"/>
          <w:i/>
          <w:iCs/>
          <w:lang w:val="es-MX" w:eastAsia="en-US"/>
        </w:rPr>
      </w:pPr>
    </w:p>
    <w:p w:rsidR="009465F1" w:rsidRPr="00FA03EC" w:rsidRDefault="009465F1" w:rsidP="009465F1">
      <w:pPr>
        <w:spacing w:line="360" w:lineRule="auto"/>
        <w:jc w:val="right"/>
        <w:rPr>
          <w:rFonts w:ascii="Palatino Linotype" w:eastAsiaTheme="minorHAnsi" w:hAnsi="Palatino Linotype" w:cs="Arial"/>
          <w:i/>
          <w:iCs/>
          <w:lang w:val="es-MX" w:eastAsia="en-US"/>
        </w:rPr>
      </w:pPr>
      <w:r w:rsidRPr="00FA03EC">
        <w:rPr>
          <w:rFonts w:ascii="Palatino Linotype" w:eastAsiaTheme="minorHAnsi" w:hAnsi="Palatino Linotype" w:cs="Arial"/>
          <w:i/>
          <w:iCs/>
          <w:lang w:val="es-MX" w:eastAsia="en-US"/>
        </w:rPr>
        <w:t>Villa de Allende, México a 26 de Octubre de 2022</w:t>
      </w:r>
    </w:p>
    <w:p w:rsidR="009465F1" w:rsidRPr="00FA03EC" w:rsidRDefault="009465F1" w:rsidP="009465F1">
      <w:pPr>
        <w:spacing w:line="360" w:lineRule="auto"/>
        <w:jc w:val="right"/>
        <w:rPr>
          <w:rFonts w:ascii="Palatino Linotype" w:eastAsiaTheme="minorHAnsi" w:hAnsi="Palatino Linotype" w:cs="Arial"/>
          <w:i/>
          <w:iCs/>
          <w:lang w:val="es-MX" w:eastAsia="en-US"/>
        </w:rPr>
      </w:pPr>
      <w:r w:rsidRPr="00FA03EC">
        <w:rPr>
          <w:rFonts w:ascii="Palatino Linotype" w:eastAsiaTheme="minorHAnsi" w:hAnsi="Palatino Linotype" w:cs="Arial"/>
          <w:i/>
          <w:iCs/>
          <w:lang w:val="es-MX" w:eastAsia="en-US"/>
        </w:rPr>
        <w:t>Nombre del solicitante: C. Solicitante</w:t>
      </w:r>
    </w:p>
    <w:p w:rsidR="009465F1" w:rsidRPr="00FA03EC" w:rsidRDefault="009465F1" w:rsidP="009465F1">
      <w:pPr>
        <w:spacing w:line="360" w:lineRule="auto"/>
        <w:jc w:val="right"/>
        <w:rPr>
          <w:rFonts w:ascii="Palatino Linotype" w:eastAsiaTheme="minorHAnsi" w:hAnsi="Palatino Linotype" w:cs="Arial"/>
          <w:i/>
          <w:iCs/>
          <w:lang w:val="es-MX" w:eastAsia="en-US"/>
        </w:rPr>
      </w:pPr>
      <w:r w:rsidRPr="00FA03EC">
        <w:rPr>
          <w:rFonts w:ascii="Palatino Linotype" w:eastAsiaTheme="minorHAnsi" w:hAnsi="Palatino Linotype" w:cs="Arial"/>
          <w:i/>
          <w:iCs/>
          <w:lang w:val="es-MX" w:eastAsia="en-US"/>
        </w:rPr>
        <w:t>Folio de la solicitud: 00113/VIALLEN/IP/2022</w:t>
      </w:r>
    </w:p>
    <w:p w:rsidR="009465F1" w:rsidRPr="00FA03EC" w:rsidRDefault="009465F1" w:rsidP="009465F1">
      <w:pPr>
        <w:spacing w:line="360" w:lineRule="auto"/>
        <w:jc w:val="both"/>
        <w:rPr>
          <w:rFonts w:ascii="Palatino Linotype" w:eastAsiaTheme="minorHAnsi" w:hAnsi="Palatino Linotype" w:cs="Arial"/>
          <w:i/>
          <w:iCs/>
          <w:lang w:val="es-MX" w:eastAsia="en-US"/>
        </w:rPr>
      </w:pPr>
      <w:r w:rsidRPr="00FA03EC">
        <w:rPr>
          <w:rFonts w:ascii="Palatino Linotype" w:eastAsiaTheme="minorHAnsi" w:hAnsi="Palatino Linotype" w:cs="Arial"/>
          <w:i/>
          <w:iCs/>
          <w:lang w:val="es-MX" w:eastAsia="en-US"/>
        </w:rPr>
        <w:t>Se envía la respuesta emitida por el área de tesorería.</w:t>
      </w:r>
    </w:p>
    <w:p w:rsidR="009465F1" w:rsidRPr="00FA03EC" w:rsidRDefault="009465F1" w:rsidP="009465F1">
      <w:pPr>
        <w:spacing w:line="360" w:lineRule="auto"/>
        <w:jc w:val="both"/>
        <w:rPr>
          <w:rFonts w:ascii="Palatino Linotype" w:eastAsiaTheme="minorHAnsi" w:hAnsi="Palatino Linotype" w:cs="Arial"/>
          <w:i/>
          <w:iCs/>
          <w:lang w:val="es-MX" w:eastAsia="en-US"/>
        </w:rPr>
      </w:pPr>
      <w:r w:rsidRPr="00FA03EC">
        <w:rPr>
          <w:rFonts w:ascii="Palatino Linotype" w:eastAsiaTheme="minorHAnsi" w:hAnsi="Palatino Linotype" w:cs="Arial"/>
          <w:i/>
          <w:iCs/>
          <w:lang w:val="es-MX" w:eastAsia="en-US"/>
        </w:rPr>
        <w:t>ATENTAMENTE</w:t>
      </w:r>
    </w:p>
    <w:p w:rsidR="009465F1" w:rsidRPr="00FA03EC" w:rsidRDefault="009465F1" w:rsidP="009465F1">
      <w:pPr>
        <w:spacing w:line="360" w:lineRule="auto"/>
        <w:jc w:val="both"/>
        <w:rPr>
          <w:rFonts w:ascii="Palatino Linotype" w:eastAsiaTheme="minorHAnsi" w:hAnsi="Palatino Linotype" w:cs="Arial"/>
          <w:i/>
          <w:iCs/>
          <w:lang w:val="es-MX" w:eastAsia="en-US"/>
        </w:rPr>
      </w:pPr>
      <w:r w:rsidRPr="00FA03EC">
        <w:rPr>
          <w:rFonts w:ascii="Palatino Linotype" w:eastAsiaTheme="minorHAnsi" w:hAnsi="Palatino Linotype" w:cs="Arial"/>
          <w:i/>
          <w:iCs/>
          <w:lang w:val="es-MX" w:eastAsia="en-US"/>
        </w:rPr>
        <w:t>Lic. En P. Carolina Gutiérrez García</w:t>
      </w:r>
    </w:p>
    <w:p w:rsidR="009465F1" w:rsidRPr="00FA03EC" w:rsidRDefault="009465F1" w:rsidP="009465F1">
      <w:pPr>
        <w:spacing w:line="360" w:lineRule="auto"/>
        <w:jc w:val="both"/>
        <w:rPr>
          <w:rFonts w:ascii="Palatino Linotype" w:eastAsiaTheme="minorHAnsi" w:hAnsi="Palatino Linotype" w:cs="Arial"/>
          <w:lang w:val="es-MX" w:eastAsia="en-US"/>
        </w:rPr>
      </w:pPr>
    </w:p>
    <w:p w:rsidR="004F5105" w:rsidRPr="00FA03EC" w:rsidRDefault="004F5105" w:rsidP="004F5105">
      <w:pPr>
        <w:pStyle w:val="Sinespaciado"/>
        <w:spacing w:before="240" w:line="360" w:lineRule="auto"/>
        <w:jc w:val="both"/>
        <w:rPr>
          <w:rFonts w:ascii="Palatino Linotype" w:hAnsi="Palatino Linotype" w:cs="Arial"/>
        </w:rPr>
      </w:pPr>
      <w:r w:rsidRPr="00FA03EC">
        <w:rPr>
          <w:rFonts w:ascii="Palatino Linotype" w:hAnsi="Palatino Linotype" w:cs="Arial"/>
        </w:rPr>
        <w:t>Adicionalmente el Sujeto Obligado adjunto el archivo electrónico denominado:</w:t>
      </w:r>
    </w:p>
    <w:p w:rsidR="004F5105" w:rsidRPr="00FA03EC" w:rsidRDefault="004F5105" w:rsidP="004F5105">
      <w:pPr>
        <w:pStyle w:val="Prrafodelista"/>
        <w:numPr>
          <w:ilvl w:val="0"/>
          <w:numId w:val="6"/>
        </w:numPr>
        <w:autoSpaceDE w:val="0"/>
        <w:autoSpaceDN w:val="0"/>
        <w:adjustRightInd w:val="0"/>
        <w:spacing w:line="360" w:lineRule="auto"/>
        <w:jc w:val="both"/>
        <w:rPr>
          <w:rFonts w:ascii="Palatino Linotype" w:hAnsi="Palatino Linotype" w:cs="Arial"/>
          <w:b/>
          <w:lang w:val="es-419"/>
        </w:rPr>
      </w:pPr>
      <w:r w:rsidRPr="00FA03EC">
        <w:rPr>
          <w:rFonts w:ascii="Palatino Linotype" w:hAnsi="Palatino Linotype" w:cs="Arial"/>
          <w:b/>
          <w:lang w:val="es-419"/>
        </w:rPr>
        <w:t xml:space="preserve">00113.pdf: </w:t>
      </w:r>
      <w:r w:rsidRPr="00FA03EC">
        <w:rPr>
          <w:rFonts w:ascii="Palatino Linotype" w:hAnsi="Palatino Linotype" w:cs="Arial"/>
          <w:lang w:val="es-419"/>
        </w:rPr>
        <w:t xml:space="preserve">constante de dos fojas, en formato, </w:t>
      </w:r>
      <w:proofErr w:type="spellStart"/>
      <w:r w:rsidRPr="00FA03EC">
        <w:rPr>
          <w:rFonts w:ascii="Palatino Linotype" w:hAnsi="Palatino Linotype" w:cs="Arial"/>
          <w:lang w:val="es-419"/>
        </w:rPr>
        <w:t>pdf</w:t>
      </w:r>
      <w:proofErr w:type="spellEnd"/>
      <w:r w:rsidRPr="00FA03EC">
        <w:rPr>
          <w:rFonts w:ascii="Palatino Linotype" w:hAnsi="Palatino Linotype" w:cs="Arial"/>
          <w:lang w:val="es-419"/>
        </w:rPr>
        <w:t>, que contiene el oficio número TMVA/238/X/2022, de fecha veintiséis de octubre de dos mil veintidós, firmado por el Tesorero Municipal, dirigido a la Titular de la Unidad de Transparencia y Acceso a la Información Pública, en el que manifiesta lo siguiente:</w:t>
      </w:r>
    </w:p>
    <w:p w:rsidR="004F5105" w:rsidRPr="00FA03EC" w:rsidRDefault="004F5105" w:rsidP="004F5105">
      <w:pPr>
        <w:spacing w:line="360" w:lineRule="auto"/>
        <w:ind w:left="851" w:right="851"/>
        <w:jc w:val="both"/>
        <w:rPr>
          <w:rFonts w:ascii="Palatino Linotype" w:hAnsi="Palatino Linotype" w:cs="Arial"/>
          <w:i/>
          <w:iCs/>
          <w:color w:val="222222"/>
        </w:rPr>
      </w:pPr>
      <w:r w:rsidRPr="00FA03EC">
        <w:rPr>
          <w:rFonts w:ascii="Palatino Linotype" w:hAnsi="Palatino Linotype" w:cs="Arial"/>
          <w:i/>
          <w:iCs/>
          <w:color w:val="222222"/>
        </w:rPr>
        <w:t>“(…)</w:t>
      </w:r>
    </w:p>
    <w:p w:rsidR="004F5105" w:rsidRPr="00FA03EC" w:rsidRDefault="004F5105" w:rsidP="004F5105">
      <w:pPr>
        <w:spacing w:line="360" w:lineRule="auto"/>
        <w:ind w:left="851" w:right="851"/>
        <w:jc w:val="both"/>
        <w:rPr>
          <w:rFonts w:ascii="Palatino Linotype" w:hAnsi="Palatino Linotype" w:cs="Arial"/>
          <w:i/>
          <w:iCs/>
          <w:color w:val="222222"/>
        </w:rPr>
      </w:pPr>
      <w:r w:rsidRPr="00FA03EC">
        <w:rPr>
          <w:rFonts w:ascii="Palatino Linotype" w:hAnsi="Palatino Linotype" w:cs="Arial"/>
          <w:b/>
          <w:i/>
          <w:iCs/>
          <w:color w:val="222222"/>
        </w:rPr>
        <w:t>La información que obra en los archivos de la Tesorería Municipal, es la correspondiente al ejercicio fiscal 2022</w:t>
      </w:r>
      <w:r w:rsidRPr="00FA03EC">
        <w:rPr>
          <w:rFonts w:ascii="Palatino Linotype" w:hAnsi="Palatino Linotype" w:cs="Arial"/>
          <w:i/>
          <w:iCs/>
          <w:color w:val="222222"/>
        </w:rPr>
        <w:t xml:space="preserve">, pero atendiendo el sentido de la solicitud requerimos aclarar y precisar, los conceptos, datos o documentos </w:t>
      </w:r>
      <w:r w:rsidRPr="00FA03EC">
        <w:rPr>
          <w:rFonts w:ascii="Palatino Linotype" w:hAnsi="Palatino Linotype" w:cs="Arial"/>
          <w:i/>
          <w:iCs/>
          <w:color w:val="222222"/>
        </w:rPr>
        <w:lastRenderedPageBreak/>
        <w:t>de la información solicitad, por las consideraciones que a continuación exponemos.</w:t>
      </w:r>
    </w:p>
    <w:p w:rsidR="004F5105" w:rsidRPr="00FA03EC" w:rsidRDefault="004F5105" w:rsidP="004F5105">
      <w:pPr>
        <w:spacing w:line="360" w:lineRule="auto"/>
        <w:ind w:left="851" w:right="851"/>
        <w:jc w:val="both"/>
        <w:rPr>
          <w:rFonts w:ascii="Palatino Linotype" w:hAnsi="Palatino Linotype" w:cs="Arial"/>
          <w:i/>
          <w:iCs/>
          <w:color w:val="222222"/>
        </w:rPr>
      </w:pPr>
      <w:r w:rsidRPr="00FA03EC">
        <w:rPr>
          <w:rFonts w:ascii="Palatino Linotype" w:hAnsi="Palatino Linotype" w:cs="Arial"/>
          <w:i/>
          <w:iCs/>
          <w:color w:val="222222"/>
        </w:rPr>
        <w:t xml:space="preserve">1.- La acumulación, concentración y sistematización de la información financiera del pasto público, en términos de las leyes y disposiciones normativas aplicables, le corresponde a la Tesorería Municipal, para los efectos de integrar los informes trimestrales y la Cuenta pública anual, que se entrega para su fiscalización al OSFEM </w:t>
      </w:r>
      <w:r w:rsidRPr="00FA03EC">
        <w:rPr>
          <w:rFonts w:ascii="Palatino Linotype" w:hAnsi="Palatino Linotype" w:cs="Arial"/>
          <w:i/>
          <w:iCs/>
          <w:color w:val="222222"/>
        </w:rPr>
        <w:tab/>
        <w:t>Órgano Superior de Fiscalización del Estado de México, pero el ejercicio de los recursos financieros corresponde a diferentes entidades y dependencias municipales.</w:t>
      </w:r>
    </w:p>
    <w:p w:rsidR="004F5105" w:rsidRPr="00FA03EC" w:rsidRDefault="004F5105" w:rsidP="004F5105">
      <w:pPr>
        <w:spacing w:line="360" w:lineRule="auto"/>
        <w:ind w:left="851" w:right="851"/>
        <w:jc w:val="both"/>
        <w:rPr>
          <w:rFonts w:ascii="Palatino Linotype" w:hAnsi="Palatino Linotype" w:cs="Arial"/>
          <w:b/>
          <w:i/>
          <w:iCs/>
          <w:color w:val="222222"/>
          <w:u w:val="single"/>
        </w:rPr>
      </w:pPr>
      <w:r w:rsidRPr="00FA03EC">
        <w:rPr>
          <w:rFonts w:ascii="Palatino Linotype" w:hAnsi="Palatino Linotype" w:cs="Arial"/>
          <w:i/>
          <w:iCs/>
          <w:color w:val="222222"/>
        </w:rPr>
        <w:t xml:space="preserve">2. Para los efectos de atender la solicitud de informar respecto de gastos específicos del presupuesto de Egresos del ejercicio 2022, </w:t>
      </w:r>
      <w:r w:rsidRPr="00FA03EC">
        <w:rPr>
          <w:rFonts w:ascii="Palatino Linotype" w:hAnsi="Palatino Linotype" w:cs="Arial"/>
          <w:b/>
          <w:i/>
          <w:iCs/>
          <w:color w:val="222222"/>
          <w:u w:val="single"/>
        </w:rPr>
        <w:t>debemos conocer en forma precisa cuál es el concepto de gasto o documento y a que ejercicio corresponde, para identificarlo en la información trimestral consolidada e integrada al informe financiero respectivo.</w:t>
      </w:r>
    </w:p>
    <w:p w:rsidR="004F5105" w:rsidRPr="00FA03EC" w:rsidRDefault="004F5105" w:rsidP="004F5105">
      <w:pPr>
        <w:spacing w:line="360" w:lineRule="auto"/>
        <w:ind w:left="851" w:right="851"/>
        <w:jc w:val="both"/>
        <w:rPr>
          <w:rFonts w:ascii="Palatino Linotype" w:hAnsi="Palatino Linotype" w:cs="Arial"/>
          <w:i/>
          <w:iCs/>
          <w:color w:val="222222"/>
        </w:rPr>
      </w:pPr>
    </w:p>
    <w:p w:rsidR="004F5105" w:rsidRPr="00FA03EC" w:rsidRDefault="004F5105" w:rsidP="004F5105">
      <w:pPr>
        <w:spacing w:line="360" w:lineRule="auto"/>
        <w:ind w:left="851" w:right="851"/>
        <w:jc w:val="both"/>
        <w:rPr>
          <w:rFonts w:ascii="Palatino Linotype" w:hAnsi="Palatino Linotype" w:cs="Arial"/>
          <w:i/>
          <w:iCs/>
          <w:color w:val="222222"/>
        </w:rPr>
      </w:pPr>
      <w:r w:rsidRPr="00FA03EC">
        <w:rPr>
          <w:rFonts w:ascii="Palatino Linotype" w:hAnsi="Palatino Linotype" w:cs="Arial"/>
          <w:i/>
          <w:iCs/>
          <w:color w:val="222222"/>
        </w:rPr>
        <w:t>Porque en la forma en que se encuentra planteada la solicitud de información se requiere realizar una investigación, por mes y por trimestre de los ejercicios concluidos e integrados en los informes trimestrales, así como en cada una de las dependencias de la administración municipal centralizada y descentralizada, para identificar los gastos de viáticos y formular el resumen que nos permita la información requerida, acciones que son contrarias a lo dispuesto por el artículo 12 de la Ley de Transparencia y Acceso a la Información Pública del Estado de México y municipios.</w:t>
      </w:r>
    </w:p>
    <w:p w:rsidR="004F5105" w:rsidRPr="00FA03EC" w:rsidRDefault="004F5105" w:rsidP="004F5105">
      <w:pPr>
        <w:spacing w:line="360" w:lineRule="auto"/>
        <w:ind w:left="851" w:right="851"/>
        <w:jc w:val="both"/>
        <w:rPr>
          <w:rFonts w:ascii="Palatino Linotype" w:hAnsi="Palatino Linotype" w:cs="Arial"/>
          <w:i/>
          <w:iCs/>
          <w:color w:val="222222"/>
        </w:rPr>
      </w:pPr>
    </w:p>
    <w:p w:rsidR="004F5105" w:rsidRPr="00FA03EC" w:rsidRDefault="004F5105" w:rsidP="004F5105">
      <w:pPr>
        <w:spacing w:line="360" w:lineRule="auto"/>
        <w:ind w:left="851" w:right="851"/>
        <w:jc w:val="both"/>
        <w:rPr>
          <w:rFonts w:ascii="Palatino Linotype" w:hAnsi="Palatino Linotype" w:cs="Arial"/>
          <w:i/>
          <w:iCs/>
          <w:color w:val="222222"/>
        </w:rPr>
      </w:pPr>
      <w:r w:rsidRPr="00FA03EC">
        <w:rPr>
          <w:rFonts w:ascii="Palatino Linotype" w:hAnsi="Palatino Linotype" w:cs="Arial"/>
          <w:i/>
          <w:iCs/>
          <w:color w:val="222222"/>
        </w:rPr>
        <w:lastRenderedPageBreak/>
        <w:t>Art 12. Quienes generen, recopilen, administren, manejen, procesen, archiven o conserven información pública serán responsables de la misma en los términos de las disposiciones jurídicas aplicables.</w:t>
      </w:r>
    </w:p>
    <w:p w:rsidR="004F5105" w:rsidRPr="00FA03EC" w:rsidRDefault="004F5105" w:rsidP="004F5105">
      <w:pPr>
        <w:spacing w:line="360" w:lineRule="auto"/>
        <w:ind w:left="851" w:right="851"/>
        <w:jc w:val="both"/>
        <w:rPr>
          <w:rFonts w:ascii="Palatino Linotype" w:hAnsi="Palatino Linotype" w:cs="Arial"/>
          <w:i/>
          <w:iCs/>
          <w:color w:val="222222"/>
        </w:rPr>
      </w:pPr>
      <w:r w:rsidRPr="00FA03EC">
        <w:rPr>
          <w:rFonts w:ascii="Palatino Linotype" w:hAnsi="Palatino Linotype" w:cs="Arial"/>
          <w:i/>
          <w:iCs/>
          <w:color w:val="222222"/>
        </w:rPr>
        <w:t>Los sujetos obligados sólo proporcionarán la información pública que se les requiera y que obren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F5105" w:rsidRPr="00FA03EC" w:rsidRDefault="004F5105" w:rsidP="004F5105">
      <w:pPr>
        <w:spacing w:line="360" w:lineRule="auto"/>
        <w:ind w:left="851" w:right="851"/>
        <w:jc w:val="both"/>
        <w:rPr>
          <w:rFonts w:ascii="Palatino Linotype" w:hAnsi="Palatino Linotype" w:cs="Arial"/>
          <w:i/>
          <w:iCs/>
          <w:color w:val="222222"/>
        </w:rPr>
      </w:pPr>
    </w:p>
    <w:p w:rsidR="009465F1" w:rsidRPr="00FA03EC" w:rsidRDefault="009465F1" w:rsidP="009465F1">
      <w:pPr>
        <w:spacing w:line="360" w:lineRule="auto"/>
        <w:jc w:val="both"/>
        <w:rPr>
          <w:rFonts w:ascii="Palatino Linotype" w:eastAsiaTheme="minorHAnsi" w:hAnsi="Palatino Linotype"/>
          <w:lang w:val="es-419" w:eastAsia="en-US"/>
        </w:rPr>
      </w:pPr>
    </w:p>
    <w:p w:rsidR="009465F1" w:rsidRPr="00FA03EC" w:rsidRDefault="009465F1" w:rsidP="009465F1">
      <w:pPr>
        <w:spacing w:line="360" w:lineRule="auto"/>
        <w:jc w:val="both"/>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TERCERO. Del recurso de revisión.</w:t>
      </w: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Inconforme con la respuesta por parte del </w:t>
      </w:r>
      <w:r w:rsidRPr="00FA03EC">
        <w:rPr>
          <w:rFonts w:ascii="Palatino Linotype" w:eastAsiaTheme="minorHAnsi" w:hAnsi="Palatino Linotype" w:cs="Arial"/>
          <w:b/>
          <w:lang w:val="es-MX" w:eastAsia="en-US"/>
        </w:rPr>
        <w:t>Sujeto Obligado</w:t>
      </w:r>
      <w:r w:rsidRPr="00FA03EC">
        <w:rPr>
          <w:rFonts w:ascii="Palatino Linotype" w:eastAsiaTheme="minorHAnsi" w:hAnsi="Palatino Linotype" w:cs="Arial"/>
          <w:lang w:val="es-MX" w:eastAsia="en-US"/>
        </w:rPr>
        <w:t xml:space="preserve">, el ahora </w:t>
      </w:r>
      <w:r w:rsidRPr="00FA03EC">
        <w:rPr>
          <w:rFonts w:ascii="Palatino Linotype" w:eastAsiaTheme="minorHAnsi" w:hAnsi="Palatino Linotype" w:cs="Arial"/>
          <w:b/>
          <w:lang w:val="es-MX" w:eastAsia="en-US"/>
        </w:rPr>
        <w:t>Recurrente</w:t>
      </w:r>
      <w:r w:rsidRPr="00FA03EC">
        <w:rPr>
          <w:rFonts w:ascii="Palatino Linotype" w:eastAsiaTheme="minorHAnsi" w:hAnsi="Palatino Linotype" w:cs="Arial"/>
          <w:lang w:val="es-MX" w:eastAsia="en-US"/>
        </w:rPr>
        <w:t xml:space="preserve"> interpuso el presente recurso de revisión en fecha nueve de noviembre </w:t>
      </w:r>
      <w:r w:rsidRPr="00FA03EC">
        <w:rPr>
          <w:rFonts w:ascii="Palatino Linotype" w:eastAsiaTheme="minorHAnsi" w:hAnsi="Palatino Linotype" w:cs="Arial"/>
          <w:bCs/>
          <w:lang w:val="es-MX" w:eastAsia="en-US"/>
        </w:rPr>
        <w:t>de dos mil veintidós,</w:t>
      </w:r>
      <w:r w:rsidRPr="00FA03EC">
        <w:rPr>
          <w:rFonts w:ascii="Palatino Linotype" w:eastAsiaTheme="minorHAnsi" w:hAnsi="Palatino Linotype" w:cs="Arial"/>
          <w:lang w:val="es-MX" w:eastAsia="en-US"/>
        </w:rPr>
        <w:t xml:space="preserve"> el cual fue registrado</w:t>
      </w:r>
      <w:r w:rsidRPr="00FA03EC">
        <w:rPr>
          <w:rFonts w:ascii="Palatino Linotype" w:eastAsiaTheme="minorHAnsi" w:hAnsi="Palatino Linotype" w:cs="Arial"/>
          <w:b/>
          <w:lang w:val="es-MX" w:eastAsia="en-US"/>
        </w:rPr>
        <w:t xml:space="preserve"> </w:t>
      </w:r>
      <w:r w:rsidRPr="00FA03EC">
        <w:rPr>
          <w:rFonts w:ascii="Palatino Linotype" w:eastAsiaTheme="minorHAnsi" w:hAnsi="Palatino Linotype" w:cs="Arial"/>
          <w:lang w:val="es-MX" w:eastAsia="en-US"/>
        </w:rPr>
        <w:t xml:space="preserve">en el sistema electrónico con el expediente número </w:t>
      </w:r>
      <w:r w:rsidRPr="00FA03EC">
        <w:rPr>
          <w:rFonts w:ascii="Palatino Linotype" w:hAnsi="Palatino Linotype"/>
          <w:b/>
          <w:bCs/>
          <w:lang w:val="es-ES_tradnl"/>
        </w:rPr>
        <w:t>16335/INFOEM/IP/RR/2022</w:t>
      </w:r>
      <w:r w:rsidRPr="00FA03EC">
        <w:rPr>
          <w:rFonts w:ascii="Palatino Linotype" w:eastAsiaTheme="minorHAnsi" w:hAnsi="Palatino Linotype" w:cs="Arial"/>
          <w:b/>
          <w:bCs/>
          <w:lang w:val="es-MX" w:eastAsia="en-US"/>
        </w:rPr>
        <w:t xml:space="preserve"> , </w:t>
      </w:r>
      <w:r w:rsidRPr="00FA03EC">
        <w:rPr>
          <w:rFonts w:ascii="Palatino Linotype" w:eastAsiaTheme="minorHAnsi" w:hAnsi="Palatino Linotype" w:cs="Arial"/>
          <w:lang w:val="es-MX" w:eastAsia="en-US"/>
        </w:rPr>
        <w:t>en el cual aduce, las siguientes manifestaciones:</w:t>
      </w:r>
    </w:p>
    <w:p w:rsidR="009465F1" w:rsidRPr="00FA03EC" w:rsidRDefault="009465F1" w:rsidP="009465F1">
      <w:pPr>
        <w:spacing w:line="360" w:lineRule="auto"/>
        <w:rPr>
          <w:rFonts w:ascii="Palatino Linotype" w:hAnsi="Palatino Linotype"/>
          <w:lang w:val="es-MX"/>
        </w:rPr>
      </w:pPr>
    </w:p>
    <w:p w:rsidR="009465F1" w:rsidRPr="00FA03EC" w:rsidRDefault="009465F1" w:rsidP="009465F1">
      <w:pPr>
        <w:numPr>
          <w:ilvl w:val="0"/>
          <w:numId w:val="2"/>
        </w:numPr>
        <w:spacing w:line="360" w:lineRule="auto"/>
        <w:jc w:val="both"/>
        <w:rPr>
          <w:rFonts w:ascii="Palatino Linotype" w:hAnsi="Palatino Linotype" w:cs="Arial"/>
          <w:b/>
        </w:rPr>
      </w:pPr>
      <w:r w:rsidRPr="00FA03EC">
        <w:rPr>
          <w:rFonts w:ascii="Palatino Linotype" w:hAnsi="Palatino Linotype" w:cs="Arial"/>
          <w:b/>
        </w:rPr>
        <w:t>Acto Impugnado:</w:t>
      </w:r>
    </w:p>
    <w:p w:rsidR="009465F1" w:rsidRPr="00FA03EC" w:rsidRDefault="009465F1" w:rsidP="009465F1">
      <w:pPr>
        <w:spacing w:line="360" w:lineRule="auto"/>
        <w:ind w:left="720"/>
        <w:jc w:val="both"/>
        <w:rPr>
          <w:rFonts w:ascii="Palatino Linotype" w:hAnsi="Palatino Linotype" w:cs="Arial"/>
          <w:b/>
        </w:rPr>
      </w:pPr>
    </w:p>
    <w:p w:rsidR="009465F1" w:rsidRPr="00FA03EC" w:rsidRDefault="009465F1" w:rsidP="009465F1">
      <w:pPr>
        <w:spacing w:line="360" w:lineRule="auto"/>
        <w:ind w:left="567" w:right="567"/>
        <w:jc w:val="both"/>
        <w:rPr>
          <w:rFonts w:ascii="Palatino Linotype" w:hAnsi="Palatino Linotype"/>
          <w:i/>
          <w:lang w:val="es-MX" w:eastAsia="es-MX"/>
        </w:rPr>
      </w:pPr>
      <w:r w:rsidRPr="00FA03EC">
        <w:rPr>
          <w:rFonts w:ascii="Palatino Linotype" w:hAnsi="Palatino Linotype"/>
          <w:i/>
          <w:lang w:val="es-MX" w:eastAsia="es-MX"/>
        </w:rPr>
        <w:t>“n</w:t>
      </w:r>
      <w:r w:rsidRPr="00FA03EC">
        <w:rPr>
          <w:rFonts w:ascii="Palatino Linotype" w:hAnsi="Palatino Linotype"/>
          <w:i/>
          <w:color w:val="000000"/>
        </w:rPr>
        <w:t xml:space="preserve">o se me entrego </w:t>
      </w:r>
      <w:proofErr w:type="spellStart"/>
      <w:r w:rsidRPr="00FA03EC">
        <w:rPr>
          <w:rFonts w:ascii="Palatino Linotype" w:hAnsi="Palatino Linotype"/>
          <w:i/>
          <w:color w:val="000000"/>
        </w:rPr>
        <w:t>informacion</w:t>
      </w:r>
      <w:proofErr w:type="spellEnd"/>
      <w:r w:rsidRPr="00FA03EC">
        <w:rPr>
          <w:rFonts w:ascii="Palatino Linotype" w:hAnsi="Palatino Linotype"/>
          <w:i/>
          <w:lang w:val="es-MX" w:eastAsia="es-MX"/>
        </w:rPr>
        <w:t>” (Sic).</w:t>
      </w: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numPr>
          <w:ilvl w:val="0"/>
          <w:numId w:val="2"/>
        </w:numPr>
        <w:spacing w:line="360" w:lineRule="auto"/>
        <w:jc w:val="both"/>
        <w:rPr>
          <w:rFonts w:ascii="Palatino Linotype" w:hAnsi="Palatino Linotype" w:cs="Arial"/>
          <w:b/>
        </w:rPr>
      </w:pPr>
      <w:r w:rsidRPr="00FA03EC">
        <w:rPr>
          <w:rFonts w:ascii="Palatino Linotype" w:hAnsi="Palatino Linotype" w:cs="Arial"/>
          <w:b/>
          <w:lang w:val="es-419"/>
        </w:rPr>
        <w:t>Razones o motivos de inconformidad</w:t>
      </w:r>
      <w:r w:rsidRPr="00FA03EC">
        <w:rPr>
          <w:rFonts w:ascii="Palatino Linotype" w:hAnsi="Palatino Linotype" w:cs="Arial"/>
          <w:b/>
        </w:rPr>
        <w:t>:</w:t>
      </w:r>
    </w:p>
    <w:p w:rsidR="009465F1" w:rsidRPr="00FA03EC" w:rsidRDefault="009465F1" w:rsidP="009465F1">
      <w:pPr>
        <w:spacing w:line="360" w:lineRule="auto"/>
        <w:ind w:left="567" w:right="567"/>
        <w:jc w:val="both"/>
        <w:rPr>
          <w:rFonts w:ascii="Palatino Linotype" w:hAnsi="Palatino Linotype"/>
          <w:i/>
          <w:lang w:val="es-419" w:eastAsia="es-MX"/>
        </w:rPr>
      </w:pPr>
      <w:r w:rsidRPr="00FA03EC">
        <w:rPr>
          <w:rFonts w:ascii="Palatino Linotype" w:hAnsi="Palatino Linotype"/>
          <w:i/>
          <w:lang w:val="es-MX" w:eastAsia="es-MX"/>
        </w:rPr>
        <w:t>“</w:t>
      </w:r>
      <w:r w:rsidRPr="00FA03EC">
        <w:rPr>
          <w:rFonts w:ascii="Palatino Linotype" w:hAnsi="Palatino Linotype"/>
          <w:i/>
          <w:color w:val="000000"/>
        </w:rPr>
        <w:t xml:space="preserve">la solicitud es clara : los gastos en viáticos que ha realizado el gobierno del municipio de Villa de </w:t>
      </w:r>
      <w:proofErr w:type="spellStart"/>
      <w:r w:rsidRPr="00FA03EC">
        <w:rPr>
          <w:rFonts w:ascii="Palatino Linotype" w:hAnsi="Palatino Linotype"/>
          <w:i/>
          <w:color w:val="000000"/>
        </w:rPr>
        <w:t>Allendeen</w:t>
      </w:r>
      <w:proofErr w:type="spellEnd"/>
      <w:r w:rsidRPr="00FA03EC">
        <w:rPr>
          <w:rFonts w:ascii="Palatino Linotype" w:hAnsi="Palatino Linotype"/>
          <w:i/>
          <w:color w:val="000000"/>
        </w:rPr>
        <w:t xml:space="preserve"> en el año 2022, es obvio que es desde que inicia el año a la fecha que se </w:t>
      </w:r>
      <w:proofErr w:type="spellStart"/>
      <w:r w:rsidRPr="00FA03EC">
        <w:rPr>
          <w:rFonts w:ascii="Palatino Linotype" w:hAnsi="Palatino Linotype"/>
          <w:i/>
          <w:color w:val="000000"/>
        </w:rPr>
        <w:t>solicto</w:t>
      </w:r>
      <w:proofErr w:type="spellEnd"/>
      <w:r w:rsidRPr="00FA03EC">
        <w:rPr>
          <w:rFonts w:ascii="Palatino Linotype" w:hAnsi="Palatino Linotype"/>
          <w:i/>
          <w:color w:val="000000"/>
        </w:rPr>
        <w:t xml:space="preserve"> la </w:t>
      </w:r>
      <w:proofErr w:type="spellStart"/>
      <w:r w:rsidRPr="00FA03EC">
        <w:rPr>
          <w:rFonts w:ascii="Palatino Linotype" w:hAnsi="Palatino Linotype"/>
          <w:i/>
          <w:color w:val="000000"/>
        </w:rPr>
        <w:t>onformacion</w:t>
      </w:r>
      <w:proofErr w:type="spellEnd"/>
      <w:r w:rsidRPr="00FA03EC">
        <w:rPr>
          <w:rFonts w:ascii="Palatino Linotype" w:hAnsi="Palatino Linotype"/>
          <w:i/>
          <w:color w:val="000000"/>
        </w:rPr>
        <w:t>.”</w:t>
      </w:r>
    </w:p>
    <w:p w:rsidR="009465F1" w:rsidRPr="00FA03EC" w:rsidRDefault="009465F1" w:rsidP="009465F1">
      <w:pPr>
        <w:spacing w:line="360" w:lineRule="auto"/>
        <w:jc w:val="both"/>
        <w:rPr>
          <w:rFonts w:ascii="Palatino Linotype" w:eastAsiaTheme="minorHAnsi" w:hAnsi="Palatino Linotype" w:cs="Arial"/>
          <w:lang w:val="es-419" w:eastAsia="en-US"/>
        </w:rPr>
      </w:pPr>
    </w:p>
    <w:p w:rsidR="009465F1" w:rsidRPr="00FA03EC" w:rsidRDefault="009465F1" w:rsidP="009465F1">
      <w:pPr>
        <w:spacing w:line="360" w:lineRule="auto"/>
        <w:jc w:val="both"/>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CUARTO. Del turno y admisión del recurso de revisión.</w:t>
      </w: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Medio de impugnación que le fue turnado al </w:t>
      </w:r>
      <w:r w:rsidRPr="00FA03EC">
        <w:rPr>
          <w:rFonts w:ascii="Palatino Linotype" w:eastAsiaTheme="minorHAnsi" w:hAnsi="Palatino Linotype" w:cs="Arial"/>
          <w:b/>
          <w:bCs/>
          <w:lang w:val="es-MX" w:eastAsia="en-US"/>
        </w:rPr>
        <w:t>Comisionado Presidente</w:t>
      </w:r>
      <w:r w:rsidRPr="00FA03EC">
        <w:rPr>
          <w:rFonts w:ascii="Palatino Linotype" w:eastAsiaTheme="minorHAnsi" w:hAnsi="Palatino Linotype" w:cs="Arial"/>
          <w:lang w:val="es-MX" w:eastAsia="en-US"/>
        </w:rPr>
        <w:t xml:space="preserve"> </w:t>
      </w:r>
      <w:r w:rsidRPr="00FA03EC">
        <w:rPr>
          <w:rFonts w:ascii="Palatino Linotype" w:eastAsiaTheme="minorHAnsi" w:hAnsi="Palatino Linotype" w:cs="Arial"/>
          <w:b/>
          <w:lang w:val="es-MX" w:eastAsia="en-US"/>
        </w:rPr>
        <w:t>José Martínez Vilchis</w:t>
      </w:r>
      <w:r w:rsidRPr="00FA03E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FA03EC">
        <w:rPr>
          <w:rFonts w:ascii="Palatino Linotype" w:eastAsiaTheme="minorHAnsi" w:hAnsi="Palatino Linotype" w:cs="Arial"/>
          <w:b/>
          <w:lang w:val="es-MX" w:eastAsia="en-US"/>
        </w:rPr>
        <w:t xml:space="preserve">acuerdo de admisión en fecha </w:t>
      </w:r>
      <w:r w:rsidRPr="00FA03EC">
        <w:rPr>
          <w:rFonts w:ascii="Palatino Linotype" w:eastAsiaTheme="minorHAnsi" w:hAnsi="Palatino Linotype" w:cs="Arial"/>
          <w:b/>
          <w:lang w:val="es-419" w:eastAsia="en-US"/>
        </w:rPr>
        <w:t>diez de noviembre</w:t>
      </w:r>
      <w:r w:rsidRPr="00FA03EC">
        <w:rPr>
          <w:rFonts w:ascii="Palatino Linotype" w:eastAsiaTheme="minorHAnsi" w:hAnsi="Palatino Linotype" w:cs="Arial"/>
          <w:b/>
          <w:lang w:val="es-MX" w:eastAsia="en-US"/>
        </w:rPr>
        <w:t xml:space="preserve"> del año </w:t>
      </w:r>
      <w:r w:rsidRPr="00FA03EC">
        <w:rPr>
          <w:rFonts w:ascii="Palatino Linotype" w:eastAsiaTheme="minorHAnsi" w:hAnsi="Palatino Linotype" w:cs="Arial"/>
          <w:b/>
          <w:lang w:val="es-419" w:eastAsia="en-US"/>
        </w:rPr>
        <w:t>dos mil veintidós</w:t>
      </w:r>
      <w:r w:rsidRPr="00FA03E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spacing w:line="360" w:lineRule="auto"/>
        <w:jc w:val="both"/>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QUINTO. De la etapa de manifestaciones y/o alegatos.</w:t>
      </w: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FA03EC">
        <w:rPr>
          <w:rFonts w:ascii="Palatino Linotype" w:eastAsiaTheme="minorHAnsi" w:hAnsi="Palatino Linotype" w:cs="Arial"/>
          <w:b/>
          <w:bCs/>
          <w:lang w:val="es-MX" w:eastAsia="en-US"/>
        </w:rPr>
        <w:t>el Sujeto Obligado</w:t>
      </w:r>
      <w:r w:rsidRPr="00FA03EC">
        <w:rPr>
          <w:rFonts w:ascii="Palatino Linotype" w:eastAsiaTheme="minorHAnsi" w:hAnsi="Palatino Linotype" w:cs="Arial"/>
          <w:lang w:val="es-MX" w:eastAsia="en-US"/>
        </w:rPr>
        <w:t xml:space="preserve"> </w:t>
      </w:r>
      <w:r w:rsidRPr="00FA03EC">
        <w:rPr>
          <w:rFonts w:ascii="Palatino Linotype" w:eastAsiaTheme="minorHAnsi" w:hAnsi="Palatino Linotype" w:cs="Arial"/>
          <w:lang w:val="es-419" w:eastAsia="en-US"/>
        </w:rPr>
        <w:t xml:space="preserve">omitió rendir su informe justificado, también se hizo constar que </w:t>
      </w:r>
      <w:r w:rsidRPr="00FA03EC">
        <w:rPr>
          <w:rFonts w:ascii="Palatino Linotype" w:eastAsiaTheme="minorHAnsi" w:hAnsi="Palatino Linotype" w:cs="Arial"/>
          <w:b/>
          <w:bCs/>
          <w:lang w:val="es-MX" w:eastAsia="en-US"/>
        </w:rPr>
        <w:t>el Recurrente</w:t>
      </w:r>
      <w:r w:rsidRPr="00FA03EC">
        <w:rPr>
          <w:rFonts w:ascii="Palatino Linotype" w:eastAsiaTheme="minorHAnsi" w:hAnsi="Palatino Linotype" w:cs="Arial"/>
          <w:lang w:val="es-MX" w:eastAsia="en-US"/>
        </w:rPr>
        <w:t xml:space="preserve"> fue</w:t>
      </w:r>
      <w:r w:rsidRPr="00FA03EC">
        <w:rPr>
          <w:rFonts w:ascii="Palatino Linotype" w:eastAsiaTheme="minorHAnsi" w:hAnsi="Palatino Linotype" w:cs="Arial"/>
          <w:lang w:val="es-419" w:eastAsia="en-US"/>
        </w:rPr>
        <w:t xml:space="preserve"> </w:t>
      </w:r>
      <w:r w:rsidRPr="00FA03EC">
        <w:rPr>
          <w:rFonts w:ascii="Palatino Linotype" w:eastAsiaTheme="minorHAnsi" w:hAnsi="Palatino Linotype" w:cs="Arial"/>
          <w:lang w:val="es-MX" w:eastAsia="en-US"/>
        </w:rPr>
        <w:t xml:space="preserve">omiso en rendir </w:t>
      </w:r>
      <w:r w:rsidRPr="00FA03EC">
        <w:rPr>
          <w:rFonts w:ascii="Palatino Linotype" w:eastAsiaTheme="minorHAnsi" w:hAnsi="Palatino Linotype" w:cs="Arial"/>
          <w:lang w:val="es-419" w:eastAsia="en-US"/>
        </w:rPr>
        <w:t>sus</w:t>
      </w:r>
      <w:r w:rsidRPr="00FA03EC">
        <w:rPr>
          <w:rFonts w:ascii="Palatino Linotype" w:eastAsiaTheme="minorHAnsi" w:hAnsi="Palatino Linotype" w:cs="Arial"/>
          <w:lang w:val="es-MX" w:eastAsia="en-US"/>
        </w:rPr>
        <w:t xml:space="preserve"> manifestaciones que a su interés conviniera.</w:t>
      </w: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rsidR="009465F1" w:rsidRPr="00FA03EC" w:rsidRDefault="009465F1" w:rsidP="009465F1">
      <w:pPr>
        <w:spacing w:line="360" w:lineRule="auto"/>
        <w:jc w:val="both"/>
        <w:rPr>
          <w:rFonts w:ascii="Palatino Linotype" w:eastAsiaTheme="minorHAnsi" w:hAnsi="Palatino Linotype" w:cs="Arial"/>
          <w:noProof/>
          <w:lang w:val="es-MX" w:eastAsia="es-MX"/>
        </w:rPr>
      </w:pPr>
    </w:p>
    <w:p w:rsidR="009465F1" w:rsidRPr="00FA03EC" w:rsidRDefault="009465F1" w:rsidP="009465F1">
      <w:pPr>
        <w:tabs>
          <w:tab w:val="left" w:pos="3206"/>
        </w:tabs>
        <w:spacing w:line="360" w:lineRule="auto"/>
        <w:jc w:val="both"/>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SEXTO. Del cierre de instrucción.</w:t>
      </w: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Así, una vez transcurrido el término legal, se decretó el cierre de instrucción en fecha </w:t>
      </w:r>
      <w:r w:rsidRPr="00FA03EC">
        <w:rPr>
          <w:rFonts w:ascii="Palatino Linotype" w:eastAsiaTheme="minorHAnsi" w:hAnsi="Palatino Linotype" w:cs="Arial"/>
          <w:b/>
          <w:lang w:val="es-419" w:eastAsia="en-US"/>
        </w:rPr>
        <w:t>veinticuatro de noviembre</w:t>
      </w:r>
      <w:r w:rsidRPr="00FA03EC">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resolución definitiva del asunto.</w:t>
      </w:r>
    </w:p>
    <w:p w:rsidR="009465F1" w:rsidRPr="00FA03EC" w:rsidRDefault="009465F1" w:rsidP="009465F1">
      <w:pPr>
        <w:spacing w:line="360" w:lineRule="auto"/>
        <w:rPr>
          <w:rFonts w:ascii="Palatino Linotype" w:hAnsi="Palatino Linotype"/>
          <w:b/>
          <w:sz w:val="28"/>
          <w:szCs w:val="28"/>
        </w:rPr>
      </w:pPr>
    </w:p>
    <w:p w:rsidR="009465F1" w:rsidRPr="00FA03EC" w:rsidRDefault="009465F1" w:rsidP="009465F1">
      <w:pPr>
        <w:spacing w:line="360" w:lineRule="auto"/>
        <w:rPr>
          <w:rFonts w:ascii="Palatino Linotype" w:eastAsiaTheme="minorHAnsi" w:hAnsi="Palatino Linotype" w:cs="Arial"/>
          <w:b/>
          <w:sz w:val="28"/>
          <w:lang w:val="es-MX" w:eastAsia="en-US"/>
        </w:rPr>
      </w:pPr>
      <w:r w:rsidRPr="00FA03EC">
        <w:rPr>
          <w:rFonts w:ascii="Palatino Linotype" w:hAnsi="Palatino Linotype"/>
          <w:b/>
          <w:sz w:val="28"/>
          <w:szCs w:val="28"/>
        </w:rPr>
        <w:t xml:space="preserve">SÉPTIMO. </w:t>
      </w:r>
      <w:r w:rsidRPr="00FA03EC">
        <w:rPr>
          <w:rFonts w:ascii="Palatino Linotype" w:eastAsiaTheme="minorHAnsi" w:hAnsi="Palatino Linotype" w:cs="Arial"/>
          <w:b/>
          <w:sz w:val="28"/>
          <w:lang w:val="es-MX" w:eastAsia="en-US"/>
        </w:rPr>
        <w:t>Del Desistimiento.</w:t>
      </w:r>
    </w:p>
    <w:p w:rsidR="009465F1" w:rsidRPr="00FA03EC" w:rsidRDefault="009465F1" w:rsidP="009465F1">
      <w:pPr>
        <w:pStyle w:val="Prrafodelista"/>
        <w:spacing w:line="360" w:lineRule="auto"/>
        <w:ind w:left="0"/>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De las constancias que integran el expediente en que se actúa, se advierte que el día </w:t>
      </w:r>
      <w:r w:rsidRPr="00FA03EC">
        <w:rPr>
          <w:rFonts w:ascii="Palatino Linotype" w:hAnsi="Palatino Linotype"/>
          <w:b/>
        </w:rPr>
        <w:t xml:space="preserve">veintisiete de julio de </w:t>
      </w:r>
      <w:r w:rsidRPr="00FA03EC">
        <w:rPr>
          <w:rFonts w:ascii="Palatino Linotype" w:eastAsiaTheme="minorHAnsi" w:hAnsi="Palatino Linotype" w:cs="Arial"/>
          <w:lang w:val="es-MX" w:eastAsia="en-US"/>
        </w:rPr>
        <w:t xml:space="preserve">dos mil veintitrés, en el detalle de seguimiento de solicitud, se aprecia que el </w:t>
      </w:r>
      <w:r w:rsidRPr="00FA03EC">
        <w:rPr>
          <w:rFonts w:ascii="Palatino Linotype" w:eastAsiaTheme="minorHAnsi" w:hAnsi="Palatino Linotype" w:cs="Arial"/>
          <w:b/>
          <w:lang w:val="es-MX" w:eastAsia="en-US"/>
        </w:rPr>
        <w:t>Recurrente</w:t>
      </w:r>
      <w:r w:rsidRPr="00FA03EC">
        <w:rPr>
          <w:rFonts w:ascii="Palatino Linotype" w:eastAsiaTheme="minorHAnsi" w:hAnsi="Palatino Linotype" w:cs="Arial"/>
          <w:lang w:val="es-MX" w:eastAsia="en-US"/>
        </w:rPr>
        <w:t xml:space="preserve"> se desistió del recurso de revisión que nos ocupa, mismo que se tuvo por presentado al día hábil siguiente. </w:t>
      </w: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spacing w:line="360" w:lineRule="auto"/>
        <w:jc w:val="both"/>
        <w:rPr>
          <w:rFonts w:ascii="Palatino Linotype" w:hAnsi="Palatino Linotype" w:cs="Arial"/>
          <w:b/>
          <w:bCs/>
          <w:sz w:val="28"/>
          <w:szCs w:val="28"/>
        </w:rPr>
      </w:pPr>
      <w:r w:rsidRPr="00FA03EC">
        <w:rPr>
          <w:rFonts w:ascii="Palatino Linotype" w:hAnsi="Palatino Linotype" w:cs="Arial"/>
          <w:b/>
          <w:bCs/>
          <w:sz w:val="28"/>
          <w:szCs w:val="28"/>
        </w:rPr>
        <w:t>OCTAVO.</w:t>
      </w:r>
      <w:r w:rsidRPr="00FA03EC">
        <w:rPr>
          <w:rFonts w:ascii="Palatino Linotype" w:hAnsi="Palatino Linotype" w:cs="Arial"/>
          <w:b/>
          <w:bCs/>
        </w:rPr>
        <w:t xml:space="preserve"> </w:t>
      </w:r>
      <w:r w:rsidRPr="00FA03EC">
        <w:rPr>
          <w:rFonts w:ascii="Palatino Linotype" w:hAnsi="Palatino Linotype" w:cs="Arial"/>
          <w:b/>
          <w:bCs/>
          <w:sz w:val="28"/>
          <w:szCs w:val="28"/>
        </w:rPr>
        <w:t>De la ampliación del término para resolver.</w:t>
      </w: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 xml:space="preserve">En fecha </w:t>
      </w:r>
      <w:r w:rsidRPr="00FA03EC">
        <w:rPr>
          <w:rFonts w:ascii="Palatino Linotype" w:hAnsi="Palatino Linotype" w:cs="Arial"/>
          <w:b/>
        </w:rPr>
        <w:t>trece de enero de dos mil veintitrés</w:t>
      </w:r>
      <w:r w:rsidRPr="00FA03EC">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FA03EC">
        <w:rPr>
          <w:rFonts w:ascii="Palatino Linotype" w:hAnsi="Palatino Linotype" w:cs="Arial"/>
        </w:rPr>
        <w:lastRenderedPageBreak/>
        <w:t>jurisdiccionales federales, aplicables también en procedimientos análogos, como el que nos ocupa.</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b/>
        </w:rPr>
        <w:t>a)</w:t>
      </w:r>
      <w:r w:rsidRPr="00FA03EC">
        <w:rPr>
          <w:rFonts w:ascii="Palatino Linotype" w:hAnsi="Palatino Linotype" w:cs="Arial"/>
        </w:rPr>
        <w:tab/>
      </w:r>
      <w:r w:rsidRPr="00FA03EC">
        <w:rPr>
          <w:rFonts w:ascii="Palatino Linotype" w:hAnsi="Palatino Linotype" w:cs="Arial"/>
          <w:b/>
        </w:rPr>
        <w:t>Complejidad del asunto:</w:t>
      </w:r>
      <w:r w:rsidRPr="00FA03EC">
        <w:rPr>
          <w:rFonts w:ascii="Palatino Linotype" w:hAnsi="Palatino Linotype" w:cs="Arial"/>
        </w:rPr>
        <w:t xml:space="preserve"> La complejidad de la prueba, la pluralidad de sujetos procesales, el tiempo transcurrido, las características y contexto del recurso.</w:t>
      </w: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b/>
        </w:rPr>
        <w:t>b)</w:t>
      </w:r>
      <w:r w:rsidRPr="00FA03EC">
        <w:rPr>
          <w:rFonts w:ascii="Palatino Linotype" w:hAnsi="Palatino Linotype" w:cs="Arial"/>
        </w:rPr>
        <w:tab/>
      </w:r>
      <w:r w:rsidRPr="00FA03EC">
        <w:rPr>
          <w:rFonts w:ascii="Palatino Linotype" w:hAnsi="Palatino Linotype" w:cs="Arial"/>
          <w:b/>
        </w:rPr>
        <w:t>Actividad Procesal del interesado:</w:t>
      </w:r>
      <w:r w:rsidRPr="00FA03EC">
        <w:rPr>
          <w:rFonts w:ascii="Palatino Linotype" w:hAnsi="Palatino Linotype" w:cs="Arial"/>
        </w:rPr>
        <w:t xml:space="preserve"> Acciones u omisiones del interesado.</w:t>
      </w: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b/>
        </w:rPr>
        <w:t>c)</w:t>
      </w:r>
      <w:r w:rsidRPr="00FA03EC">
        <w:rPr>
          <w:rFonts w:ascii="Palatino Linotype" w:hAnsi="Palatino Linotype" w:cs="Arial"/>
        </w:rPr>
        <w:tab/>
      </w:r>
      <w:r w:rsidRPr="00FA03EC">
        <w:rPr>
          <w:rFonts w:ascii="Palatino Linotype" w:hAnsi="Palatino Linotype" w:cs="Arial"/>
          <w:b/>
        </w:rPr>
        <w:t>Conducta de la Autoridad:</w:t>
      </w:r>
      <w:r w:rsidRPr="00FA03EC">
        <w:rPr>
          <w:rFonts w:ascii="Palatino Linotype" w:hAnsi="Palatino Linotype" w:cs="Arial"/>
        </w:rPr>
        <w:t xml:space="preserve"> Las Acciones u omisiones realizadas en el procedimiento. Así como si la autoridad actuó con la debida diligencia.</w:t>
      </w: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b/>
        </w:rPr>
        <w:t>d)</w:t>
      </w:r>
      <w:r w:rsidRPr="00FA03EC">
        <w:rPr>
          <w:rFonts w:ascii="Palatino Linotype" w:hAnsi="Palatino Linotype" w:cs="Arial"/>
        </w:rPr>
        <w:tab/>
      </w:r>
      <w:r w:rsidRPr="00FA03EC">
        <w:rPr>
          <w:rFonts w:ascii="Palatino Linotype" w:hAnsi="Palatino Linotype" w:cs="Arial"/>
          <w:b/>
        </w:rPr>
        <w:t xml:space="preserve">La afectación generada en la situación jurídica de la persona involucrada en el proceso: </w:t>
      </w:r>
      <w:r w:rsidRPr="00FA03EC">
        <w:rPr>
          <w:rFonts w:ascii="Palatino Linotype" w:hAnsi="Palatino Linotype" w:cs="Arial"/>
        </w:rPr>
        <w:t>Violación a sus derechos humanos.</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Argumento que encuentra sustento en la jurisprudencia P</w:t>
      </w:r>
      <w:proofErr w:type="gramStart"/>
      <w:r w:rsidRPr="00FA03EC">
        <w:rPr>
          <w:rFonts w:ascii="Palatino Linotype" w:hAnsi="Palatino Linotype" w:cs="Arial"/>
        </w:rPr>
        <w:t>./</w:t>
      </w:r>
      <w:proofErr w:type="gramEnd"/>
      <w:r w:rsidRPr="00FA03EC">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rsidR="009465F1" w:rsidRPr="00FA03EC" w:rsidRDefault="009465F1" w:rsidP="009465F1">
      <w:pPr>
        <w:spacing w:line="360" w:lineRule="auto"/>
        <w:jc w:val="both"/>
        <w:rPr>
          <w:rFonts w:ascii="Palatino Linotype" w:eastAsiaTheme="minorHAnsi" w:hAnsi="Palatino Linotype" w:cs="Arial"/>
          <w:lang w:eastAsia="en-US"/>
        </w:rPr>
      </w:pPr>
    </w:p>
    <w:p w:rsidR="009465F1" w:rsidRPr="00FA03EC" w:rsidRDefault="009465F1" w:rsidP="009465F1">
      <w:pPr>
        <w:spacing w:line="360" w:lineRule="auto"/>
        <w:jc w:val="center"/>
        <w:rPr>
          <w:rFonts w:ascii="Palatino Linotype" w:eastAsiaTheme="minorHAnsi" w:hAnsi="Palatino Linotype" w:cs="Arial"/>
          <w:b/>
          <w:sz w:val="28"/>
          <w:lang w:val="es-MX" w:eastAsia="en-US"/>
        </w:rPr>
      </w:pPr>
      <w:r w:rsidRPr="00FA03EC">
        <w:rPr>
          <w:rFonts w:ascii="Palatino Linotype" w:eastAsiaTheme="minorHAnsi" w:hAnsi="Palatino Linotype" w:cs="Arial"/>
          <w:b/>
          <w:sz w:val="28"/>
          <w:lang w:val="es-MX" w:eastAsia="en-US"/>
        </w:rPr>
        <w:t xml:space="preserve">C O N S I D E R A N D O </w:t>
      </w:r>
    </w:p>
    <w:p w:rsidR="009465F1" w:rsidRPr="00FA03EC" w:rsidRDefault="009465F1" w:rsidP="009465F1">
      <w:pPr>
        <w:pStyle w:val="Sinespaciado"/>
        <w:rPr>
          <w:rFonts w:ascii="Palatino Linotype" w:eastAsiaTheme="minorHAnsi" w:hAnsi="Palatino Linotype"/>
          <w:lang w:eastAsia="en-US"/>
        </w:rPr>
      </w:pPr>
    </w:p>
    <w:p w:rsidR="009465F1" w:rsidRPr="00FA03EC" w:rsidRDefault="009465F1" w:rsidP="009465F1">
      <w:pPr>
        <w:spacing w:line="360" w:lineRule="auto"/>
        <w:jc w:val="both"/>
        <w:rPr>
          <w:rFonts w:ascii="Palatino Linotype" w:eastAsiaTheme="minorHAnsi" w:hAnsi="Palatino Linotype" w:cs="Arial"/>
          <w:sz w:val="26"/>
          <w:szCs w:val="26"/>
          <w:lang w:val="es-MX" w:eastAsia="en-US"/>
        </w:rPr>
      </w:pPr>
      <w:r w:rsidRPr="00FA03EC">
        <w:rPr>
          <w:rFonts w:ascii="Palatino Linotype" w:eastAsiaTheme="minorHAnsi" w:hAnsi="Palatino Linotype" w:cs="Arial"/>
          <w:b/>
          <w:sz w:val="28"/>
          <w:lang w:val="es-MX" w:eastAsia="en-US"/>
        </w:rPr>
        <w:t xml:space="preserve">PRIMERO. </w:t>
      </w:r>
      <w:r w:rsidRPr="00FA03EC">
        <w:rPr>
          <w:rFonts w:ascii="Palatino Linotype" w:eastAsiaTheme="minorHAnsi" w:hAnsi="Palatino Linotype" w:cs="Arial"/>
          <w:b/>
          <w:sz w:val="26"/>
          <w:szCs w:val="26"/>
          <w:lang w:val="es-MX" w:eastAsia="en-US"/>
        </w:rPr>
        <w:t>De la competencia</w:t>
      </w:r>
      <w:r w:rsidRPr="00FA03EC">
        <w:rPr>
          <w:rFonts w:ascii="Palatino Linotype" w:eastAsiaTheme="minorHAnsi" w:hAnsi="Palatino Linotype" w:cs="Arial"/>
          <w:sz w:val="26"/>
          <w:szCs w:val="26"/>
          <w:lang w:val="es-MX" w:eastAsia="en-US"/>
        </w:rPr>
        <w:t>.</w:t>
      </w:r>
    </w:p>
    <w:p w:rsidR="009465F1" w:rsidRPr="00FA03EC" w:rsidRDefault="009465F1" w:rsidP="009465F1">
      <w:pPr>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FA03EC">
        <w:rPr>
          <w:rFonts w:ascii="Palatino Linotype" w:eastAsia="Calibri" w:hAnsi="Palatino Linotype" w:cs="Arial"/>
          <w:color w:val="000000" w:themeColor="text1"/>
        </w:rPr>
        <w:t xml:space="preserve">6, 9 fracciones I </w:t>
      </w:r>
      <w:r w:rsidRPr="00FA03EC">
        <w:rPr>
          <w:rFonts w:ascii="Palatino Linotype" w:eastAsia="Calibri" w:hAnsi="Palatino Linotype" w:cs="Arial"/>
          <w:color w:val="000000" w:themeColor="text1"/>
        </w:rPr>
        <w:lastRenderedPageBreak/>
        <w:t>y XXIII</w:t>
      </w:r>
      <w:r w:rsidRPr="00FA03EC">
        <w:rPr>
          <w:rFonts w:ascii="Palatino Linotype" w:eastAsiaTheme="minorHAnsi" w:hAnsi="Palatino Linotype" w:cs="Arial"/>
          <w:lang w:val="es-MX" w:eastAsia="en-US"/>
        </w:rPr>
        <w:t>, y 11 del Reglamento Interior del Instituto de Transparencia, Acceso a la Información Pública y Protección de Datos Personales del Estado de México y Municipios.</w:t>
      </w: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autoSpaceDE w:val="0"/>
        <w:autoSpaceDN w:val="0"/>
        <w:adjustRightInd w:val="0"/>
        <w:spacing w:line="360" w:lineRule="auto"/>
        <w:jc w:val="both"/>
        <w:rPr>
          <w:rFonts w:ascii="Palatino Linotype" w:eastAsiaTheme="minorHAnsi" w:hAnsi="Palatino Linotype" w:cs="Arial"/>
          <w:b/>
          <w:sz w:val="26"/>
          <w:szCs w:val="26"/>
          <w:lang w:val="es-MX" w:eastAsia="en-US"/>
        </w:rPr>
      </w:pPr>
      <w:r w:rsidRPr="00FA03EC">
        <w:rPr>
          <w:rFonts w:ascii="Palatino Linotype" w:eastAsiaTheme="minorHAnsi" w:hAnsi="Palatino Linotype" w:cs="Arial"/>
          <w:b/>
          <w:sz w:val="28"/>
          <w:lang w:val="es-MX" w:eastAsia="en-US"/>
        </w:rPr>
        <w:t xml:space="preserve">SEGUNDO. </w:t>
      </w:r>
      <w:r w:rsidRPr="00FA03EC">
        <w:rPr>
          <w:rFonts w:ascii="Palatino Linotype" w:eastAsiaTheme="minorHAnsi" w:hAnsi="Palatino Linotype" w:cs="Arial"/>
          <w:b/>
          <w:sz w:val="26"/>
          <w:szCs w:val="26"/>
          <w:lang w:val="es-MX" w:eastAsia="en-US"/>
        </w:rPr>
        <w:t xml:space="preserve">De los alcances del Recurso de Revisión. </w:t>
      </w:r>
    </w:p>
    <w:p w:rsidR="009465F1" w:rsidRPr="00FA03EC" w:rsidRDefault="009465F1" w:rsidP="009465F1">
      <w:pPr>
        <w:autoSpaceDE w:val="0"/>
        <w:autoSpaceDN w:val="0"/>
        <w:adjustRightInd w:val="0"/>
        <w:spacing w:line="360" w:lineRule="auto"/>
        <w:jc w:val="both"/>
        <w:rPr>
          <w:rFonts w:ascii="Palatino Linotype" w:eastAsiaTheme="minorHAnsi" w:hAnsi="Palatino Linotype" w:cs="Arial"/>
          <w:lang w:val="es-MX" w:eastAsia="en-US"/>
        </w:rPr>
      </w:pPr>
      <w:r w:rsidRPr="00FA03E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465F1" w:rsidRPr="00FA03EC" w:rsidRDefault="009465F1" w:rsidP="009465F1">
      <w:pPr>
        <w:autoSpaceDE w:val="0"/>
        <w:autoSpaceDN w:val="0"/>
        <w:adjustRightInd w:val="0"/>
        <w:spacing w:line="360" w:lineRule="auto"/>
        <w:jc w:val="both"/>
        <w:rPr>
          <w:rFonts w:ascii="Palatino Linotype" w:hAnsi="Palatino Linotype" w:cs="Arial"/>
          <w:b/>
          <w:sz w:val="26"/>
          <w:szCs w:val="26"/>
        </w:rPr>
      </w:pPr>
    </w:p>
    <w:p w:rsidR="009465F1" w:rsidRPr="00FA03EC" w:rsidRDefault="009465F1" w:rsidP="009465F1">
      <w:pPr>
        <w:spacing w:line="360" w:lineRule="auto"/>
        <w:jc w:val="both"/>
        <w:rPr>
          <w:rFonts w:ascii="Palatino Linotype" w:hAnsi="Palatino Linotype" w:cs="Arial"/>
        </w:rPr>
      </w:pPr>
      <w:r w:rsidRPr="00FA03EC">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A03EC">
        <w:rPr>
          <w:rFonts w:ascii="Palatino Linotype" w:hAnsi="Palatino Linotype"/>
          <w:b/>
        </w:rPr>
        <w:t>Recurrente,</w:t>
      </w:r>
      <w:r w:rsidRPr="00FA03EC">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FA03EC">
        <w:rPr>
          <w:rFonts w:ascii="Palatino Linotype" w:hAnsi="Palatino Linotype" w:cs="Arial"/>
        </w:rPr>
        <w:t xml:space="preserve"> o seudónimo con el cual identificarse.</w:t>
      </w:r>
    </w:p>
    <w:p w:rsidR="009465F1" w:rsidRPr="00FA03EC" w:rsidRDefault="009465F1" w:rsidP="009465F1">
      <w:pPr>
        <w:spacing w:line="360" w:lineRule="auto"/>
        <w:jc w:val="both"/>
        <w:rPr>
          <w:rFonts w:ascii="Palatino Linotype" w:hAnsi="Palatino Linotype" w:cs="Arial"/>
        </w:rPr>
      </w:pP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cs="Arial"/>
        </w:rPr>
      </w:pPr>
      <w:r w:rsidRPr="00FA03EC">
        <w:rPr>
          <w:rFonts w:ascii="Palatino Linotype" w:hAnsi="Palatino Linotype" w:cs="Arial"/>
        </w:rPr>
        <w:t xml:space="preserve">Esta Ponencia considera importante abordar el análisis de los requisitos de </w:t>
      </w:r>
      <w:r w:rsidRPr="00FA03EC">
        <w:rPr>
          <w:rFonts w:ascii="Palatino Linotype" w:hAnsi="Palatino Linotype" w:cs="Arial"/>
        </w:rPr>
        <w:lastRenderedPageBreak/>
        <w:t>procedibilidad de los recursos de revisión, así el artículo 180 de la Ley de Transparencia y Acceso a la Información Pública del Estado de México y Municipios, que establece lo siguiente:</w:t>
      </w: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cs="Arial"/>
        </w:rPr>
      </w:pPr>
    </w:p>
    <w:p w:rsidR="009465F1" w:rsidRPr="00FA03EC" w:rsidRDefault="009465F1" w:rsidP="009465F1">
      <w:pPr>
        <w:spacing w:line="360" w:lineRule="auto"/>
        <w:ind w:left="851" w:right="851"/>
        <w:jc w:val="both"/>
        <w:rPr>
          <w:rFonts w:ascii="Palatino Linotype" w:hAnsi="Palatino Linotype"/>
          <w:b/>
          <w:i/>
        </w:rPr>
      </w:pPr>
      <w:r w:rsidRPr="00FA03EC">
        <w:rPr>
          <w:rFonts w:ascii="Palatino Linotype" w:hAnsi="Palatino Linotype"/>
          <w:i/>
        </w:rPr>
        <w:t>“</w:t>
      </w:r>
      <w:r w:rsidRPr="00FA03EC">
        <w:rPr>
          <w:rFonts w:ascii="Palatino Linotype" w:hAnsi="Palatino Linotype"/>
          <w:b/>
          <w:i/>
        </w:rPr>
        <w:t xml:space="preserve">Artículo 180. </w:t>
      </w:r>
      <w:r w:rsidRPr="00FA03EC">
        <w:rPr>
          <w:rFonts w:ascii="Palatino Linotype" w:hAnsi="Palatino Linotype"/>
          <w:i/>
        </w:rPr>
        <w:t xml:space="preserve">El </w:t>
      </w:r>
      <w:r w:rsidRPr="00FA03EC">
        <w:rPr>
          <w:rFonts w:ascii="Palatino Linotype" w:hAnsi="Palatino Linotype" w:cs="Arial"/>
          <w:i/>
        </w:rPr>
        <w:t>recurso</w:t>
      </w:r>
      <w:r w:rsidRPr="00FA03EC">
        <w:rPr>
          <w:rFonts w:ascii="Palatino Linotype" w:hAnsi="Palatino Linotype"/>
          <w:i/>
        </w:rPr>
        <w:t xml:space="preserve"> </w:t>
      </w:r>
      <w:r w:rsidRPr="00FA03EC">
        <w:rPr>
          <w:rFonts w:ascii="Palatino Linotype" w:hAnsi="Palatino Linotype" w:cs="Arial"/>
          <w:i/>
        </w:rPr>
        <w:t>de</w:t>
      </w:r>
      <w:r w:rsidRPr="00FA03EC">
        <w:rPr>
          <w:rFonts w:ascii="Palatino Linotype" w:hAnsi="Palatino Linotype"/>
          <w:i/>
        </w:rPr>
        <w:t xml:space="preserve"> revisión contendrá:</w:t>
      </w:r>
      <w:r w:rsidRPr="00FA03EC">
        <w:rPr>
          <w:rFonts w:ascii="Palatino Linotype" w:hAnsi="Palatino Linotype"/>
          <w:b/>
          <w:i/>
        </w:rPr>
        <w:t xml:space="preserve"> </w:t>
      </w:r>
    </w:p>
    <w:p w:rsidR="009465F1" w:rsidRPr="00FA03EC" w:rsidRDefault="009465F1" w:rsidP="009465F1">
      <w:pPr>
        <w:spacing w:line="360" w:lineRule="auto"/>
        <w:ind w:left="851" w:right="851"/>
        <w:jc w:val="both"/>
        <w:rPr>
          <w:rFonts w:ascii="Palatino Linotype" w:hAnsi="Palatino Linotype"/>
          <w:b/>
          <w:i/>
        </w:rPr>
      </w:pPr>
      <w:r w:rsidRPr="00FA03EC">
        <w:rPr>
          <w:rFonts w:ascii="Palatino Linotype" w:hAnsi="Palatino Linotype"/>
          <w:b/>
          <w:i/>
        </w:rPr>
        <w:t xml:space="preserve">I. </w:t>
      </w:r>
      <w:r w:rsidRPr="00FA03EC">
        <w:rPr>
          <w:rFonts w:ascii="Palatino Linotype" w:hAnsi="Palatino Linotype"/>
          <w:i/>
        </w:rPr>
        <w:t xml:space="preserve">El sujeto obligado ante </w:t>
      </w:r>
      <w:r w:rsidRPr="00FA03EC">
        <w:rPr>
          <w:rFonts w:ascii="Palatino Linotype" w:hAnsi="Palatino Linotype" w:cs="Arial"/>
          <w:i/>
        </w:rPr>
        <w:t>la</w:t>
      </w:r>
      <w:r w:rsidRPr="00FA03EC">
        <w:rPr>
          <w:rFonts w:ascii="Palatino Linotype" w:hAnsi="Palatino Linotype"/>
          <w:i/>
        </w:rPr>
        <w:t xml:space="preserve"> cual </w:t>
      </w:r>
      <w:r w:rsidRPr="00FA03EC">
        <w:rPr>
          <w:rFonts w:ascii="Palatino Linotype" w:hAnsi="Palatino Linotype" w:cs="Arial"/>
          <w:i/>
        </w:rPr>
        <w:t>se</w:t>
      </w:r>
      <w:r w:rsidRPr="00FA03EC">
        <w:rPr>
          <w:rFonts w:ascii="Palatino Linotype" w:hAnsi="Palatino Linotype"/>
          <w:i/>
        </w:rPr>
        <w:t xml:space="preserve"> presentó la solicitud;</w:t>
      </w:r>
      <w:r w:rsidRPr="00FA03EC">
        <w:rPr>
          <w:rFonts w:ascii="Palatino Linotype" w:hAnsi="Palatino Linotype"/>
          <w:b/>
          <w:i/>
        </w:rPr>
        <w:t xml:space="preserve"> </w:t>
      </w:r>
    </w:p>
    <w:p w:rsidR="009465F1" w:rsidRPr="00FA03EC" w:rsidRDefault="009465F1" w:rsidP="009465F1">
      <w:pPr>
        <w:spacing w:line="360" w:lineRule="auto"/>
        <w:ind w:left="851" w:right="851"/>
        <w:jc w:val="both"/>
        <w:rPr>
          <w:rFonts w:ascii="Palatino Linotype" w:hAnsi="Palatino Linotype"/>
          <w:b/>
          <w:i/>
        </w:rPr>
      </w:pPr>
      <w:r w:rsidRPr="00FA03EC">
        <w:rPr>
          <w:rFonts w:ascii="Palatino Linotype" w:hAnsi="Palatino Linotype"/>
          <w:b/>
          <w:i/>
        </w:rPr>
        <w:t xml:space="preserve">II. </w:t>
      </w:r>
      <w:r w:rsidRPr="00FA03EC">
        <w:rPr>
          <w:rFonts w:ascii="Palatino Linotype" w:hAnsi="Palatino Linotype"/>
          <w:b/>
          <w:i/>
          <w:u w:val="single"/>
        </w:rPr>
        <w:t xml:space="preserve">El nombre del solicitante </w:t>
      </w:r>
      <w:r w:rsidRPr="00FA03EC">
        <w:rPr>
          <w:rFonts w:ascii="Palatino Linotype" w:hAnsi="Palatino Linotype" w:cs="Arial"/>
          <w:b/>
          <w:i/>
          <w:u w:val="single"/>
        </w:rPr>
        <w:t>que</w:t>
      </w:r>
      <w:r w:rsidRPr="00FA03EC">
        <w:rPr>
          <w:rFonts w:ascii="Palatino Linotype" w:hAnsi="Palatino Linotype"/>
          <w:b/>
          <w:i/>
          <w:u w:val="single"/>
        </w:rPr>
        <w:t xml:space="preserve"> recurre</w:t>
      </w:r>
      <w:r w:rsidRPr="00FA03EC">
        <w:rPr>
          <w:rFonts w:ascii="Palatino Linotype" w:hAnsi="Palatino Linotype"/>
          <w:b/>
          <w:i/>
        </w:rPr>
        <w:t xml:space="preserve"> </w:t>
      </w:r>
      <w:r w:rsidRPr="00FA03EC">
        <w:rPr>
          <w:rFonts w:ascii="Palatino Linotype" w:hAnsi="Palatino Linotype"/>
          <w:i/>
        </w:rPr>
        <w:t>o de su representante y, en su caso, del tercero interesado, así como la dirección o medio que señale para recibir notificaciones;</w:t>
      </w:r>
      <w:r w:rsidRPr="00FA03EC">
        <w:rPr>
          <w:rFonts w:ascii="Palatino Linotype" w:hAnsi="Palatino Linotype"/>
          <w:b/>
          <w:i/>
        </w:rPr>
        <w:t xml:space="preserve"> </w:t>
      </w:r>
    </w:p>
    <w:p w:rsidR="009465F1" w:rsidRPr="00FA03EC" w:rsidRDefault="009465F1" w:rsidP="009465F1">
      <w:pPr>
        <w:spacing w:line="360" w:lineRule="auto"/>
        <w:ind w:left="851" w:right="851"/>
        <w:rPr>
          <w:rFonts w:ascii="Palatino Linotype" w:hAnsi="Palatino Linotype"/>
          <w:i/>
        </w:rPr>
      </w:pPr>
      <w:r w:rsidRPr="00FA03EC">
        <w:rPr>
          <w:rFonts w:ascii="Palatino Linotype" w:hAnsi="Palatino Linotype"/>
          <w:b/>
          <w:i/>
        </w:rPr>
        <w:t>(…)” [Sic]</w:t>
      </w: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rPr>
      </w:pP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rPr>
      </w:pPr>
      <w:r w:rsidRPr="00FA03EC">
        <w:rPr>
          <w:rFonts w:ascii="Palatino Linotype" w:hAnsi="Palatino Linotype"/>
        </w:rPr>
        <w:t xml:space="preserve">En principio, de una interpretación del artículo transcrito se observan los requisitos que </w:t>
      </w:r>
      <w:r w:rsidRPr="00FA03EC">
        <w:rPr>
          <w:rFonts w:ascii="Palatino Linotype" w:hAnsi="Palatino Linotype" w:cs="Arial"/>
        </w:rPr>
        <w:t>deberán</w:t>
      </w:r>
      <w:r w:rsidRPr="00FA03EC">
        <w:rPr>
          <w:rFonts w:ascii="Palatino Linotype" w:hAnsi="Palatino Linotype"/>
        </w:rPr>
        <w:t xml:space="preserve"> contener los recursos de revisión; sobre el particular, de la revisión del expediente electrónico del </w:t>
      </w:r>
      <w:r w:rsidRPr="00FA03EC">
        <w:rPr>
          <w:rFonts w:ascii="Palatino Linotype" w:hAnsi="Palatino Linotype"/>
          <w:b/>
        </w:rPr>
        <w:t>SAIMEX</w:t>
      </w:r>
      <w:r w:rsidRPr="00FA03EC">
        <w:rPr>
          <w:rFonts w:ascii="Palatino Linotype" w:hAnsi="Palatino Linotype"/>
        </w:rPr>
        <w:t xml:space="preserve"> se desprende que el solicitante y ahora Recurrente, en ejercicio de su derecho de acceso a la información pública, no proporcionó un nombre para que </w:t>
      </w:r>
      <w:r w:rsidRPr="00FA03EC">
        <w:rPr>
          <w:rFonts w:ascii="Palatino Linotype" w:hAnsi="Palatino Linotype" w:cs="Arial"/>
        </w:rPr>
        <w:t>sea</w:t>
      </w:r>
      <w:r w:rsidRPr="00FA03EC">
        <w:rPr>
          <w:rFonts w:ascii="Palatino Linotype" w:hAnsi="Palatino Linotype"/>
        </w:rPr>
        <w:t xml:space="preserve"> identificado, ya que no indicó en el apartado de </w:t>
      </w:r>
      <w:r w:rsidRPr="00FA03EC">
        <w:rPr>
          <w:rFonts w:ascii="Palatino Linotype" w:hAnsi="Palatino Linotype"/>
          <w:b/>
        </w:rPr>
        <w:t>“DATOS DEL SOLICITANTE”,</w:t>
      </w:r>
      <w:r w:rsidRPr="00FA03EC">
        <w:rPr>
          <w:rFonts w:ascii="Palatino Linotype" w:hAnsi="Palatino Linotype"/>
        </w:rPr>
        <w:t xml:space="preserve"> </w:t>
      </w:r>
      <w:r w:rsidRPr="00FA03EC">
        <w:rPr>
          <w:rFonts w:ascii="Palatino Linotype" w:hAnsi="Palatino Linotype" w:cs="Arial"/>
        </w:rPr>
        <w:t>nombre o seudónimo con el cual identificarse</w:t>
      </w:r>
      <w:r w:rsidRPr="00FA03EC">
        <w:rPr>
          <w:rFonts w:ascii="Palatino Linotype" w:hAnsi="Palatino Linotype"/>
          <w:b/>
        </w:rPr>
        <w:t>;</w:t>
      </w:r>
      <w:r w:rsidRPr="00FA03EC">
        <w:rPr>
          <w:rFonts w:ascii="Palatino Linotype" w:hAnsi="Palatino Linotype"/>
        </w:rPr>
        <w:t xml:space="preserve"> por lo que no tiene certeza sobre su identidad, lo que en estricto sentido, no se colmarían los requisitos establecidos en el citado artículo 180 de la Ley de Transparencia.</w:t>
      </w: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rPr>
      </w:pP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cs="Arial"/>
        </w:rPr>
      </w:pPr>
      <w:r w:rsidRPr="00FA03EC">
        <w:rPr>
          <w:rFonts w:ascii="Palatino Linotype" w:hAnsi="Palatino Linotype"/>
        </w:rPr>
        <w:t xml:space="preserve">No obstante lo anterior, debe destacarse que el artículo 15 de </w:t>
      </w:r>
      <w:r w:rsidRPr="00FA03EC">
        <w:rPr>
          <w:rFonts w:ascii="Palatino Linotype" w:hAnsi="Palatino Linotype" w:cs="Arial"/>
        </w:rPr>
        <w:t xml:space="preserve">Ley de Transparencia y Acceso a la Información Pública del Estado de México y Municipios </w:t>
      </w:r>
      <w:r w:rsidRPr="00FA03EC">
        <w:rPr>
          <w:rFonts w:ascii="Palatino Linotype" w:hAnsi="Palatino Linotype" w:cs="Arial"/>
          <w:iCs/>
        </w:rPr>
        <w:t xml:space="preserve">prevé que, </w:t>
      </w:r>
      <w:r w:rsidRPr="00FA03EC">
        <w:rPr>
          <w:rFonts w:ascii="Palatino Linotype" w:hAnsi="Palatino Linotype"/>
        </w:rPr>
        <w:t xml:space="preserve">toda persona tendrá acceso a la información </w:t>
      </w:r>
      <w:r w:rsidRPr="00FA03EC">
        <w:rPr>
          <w:rFonts w:ascii="Palatino Linotype" w:hAnsi="Palatino Linotype" w:cs="Arial"/>
        </w:rPr>
        <w:t xml:space="preserve">sin necesidad de acreditar interés alguno o justificar su utilización, de lo que se infiere que para el </w:t>
      </w:r>
      <w:r w:rsidRPr="00FA03EC">
        <w:rPr>
          <w:rFonts w:ascii="Palatino Linotype" w:hAnsi="Palatino Linotype"/>
        </w:rPr>
        <w:t>ejercicio</w:t>
      </w:r>
      <w:r w:rsidRPr="00FA03EC">
        <w:rPr>
          <w:rFonts w:ascii="Palatino Linotype" w:hAnsi="Palatino Linotype" w:cs="Arial"/>
        </w:rPr>
        <w:t xml:space="preserve"> del derecho de acceso a la información pública, el nombre no es un requisito </w:t>
      </w:r>
      <w:r w:rsidRPr="00FA03EC">
        <w:rPr>
          <w:rFonts w:ascii="Palatino Linotype" w:hAnsi="Palatino Linotype" w:cs="Arial"/>
          <w:i/>
        </w:rPr>
        <w:t>sine qua non</w:t>
      </w:r>
      <w:r w:rsidRPr="00FA03EC">
        <w:rPr>
          <w:rFonts w:ascii="Palatino Linotype" w:hAnsi="Palatino Linotype" w:cs="Arial"/>
        </w:rPr>
        <w:t xml:space="preserve"> que los particulares </w:t>
      </w:r>
      <w:r w:rsidRPr="00FA03EC">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9465F1" w:rsidRPr="00FA03EC" w:rsidRDefault="009465F1" w:rsidP="009465F1">
      <w:pPr>
        <w:pStyle w:val="Prrafodelista"/>
        <w:widowControl w:val="0"/>
        <w:autoSpaceDE w:val="0"/>
        <w:autoSpaceDN w:val="0"/>
        <w:adjustRightInd w:val="0"/>
        <w:spacing w:line="360" w:lineRule="auto"/>
        <w:ind w:left="0"/>
        <w:jc w:val="both"/>
        <w:rPr>
          <w:rFonts w:ascii="Palatino Linotype" w:hAnsi="Palatino Linotype"/>
        </w:rPr>
      </w:pPr>
    </w:p>
    <w:p w:rsidR="009465F1" w:rsidRPr="00FA03EC" w:rsidRDefault="009465F1" w:rsidP="009465F1">
      <w:pPr>
        <w:autoSpaceDE w:val="0"/>
        <w:autoSpaceDN w:val="0"/>
        <w:adjustRightInd w:val="0"/>
        <w:spacing w:line="360" w:lineRule="auto"/>
        <w:jc w:val="both"/>
        <w:rPr>
          <w:rFonts w:ascii="Palatino Linotype" w:eastAsiaTheme="minorHAnsi" w:hAnsi="Palatino Linotype" w:cs="Arial"/>
          <w:lang w:val="es-MX" w:eastAsia="en-US"/>
        </w:rPr>
      </w:pPr>
      <w:r w:rsidRPr="00FA03EC">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A03EC">
        <w:rPr>
          <w:rFonts w:ascii="Palatino Linotype" w:hAnsi="Palatino Linotype" w:cs="Arial"/>
        </w:rPr>
        <w:t>derecho</w:t>
      </w:r>
      <w:r w:rsidRPr="00FA03EC">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465F1" w:rsidRPr="00FA03EC" w:rsidRDefault="009465F1" w:rsidP="009465F1">
      <w:pPr>
        <w:autoSpaceDE w:val="0"/>
        <w:autoSpaceDN w:val="0"/>
        <w:adjustRightInd w:val="0"/>
        <w:spacing w:line="360" w:lineRule="auto"/>
        <w:jc w:val="both"/>
        <w:rPr>
          <w:rFonts w:ascii="Palatino Linotype" w:eastAsiaTheme="minorHAnsi" w:hAnsi="Palatino Linotype" w:cs="Arial"/>
          <w:lang w:val="es-MX" w:eastAsia="en-US"/>
        </w:rPr>
      </w:pPr>
    </w:p>
    <w:p w:rsidR="00680B89" w:rsidRPr="00FA03EC" w:rsidRDefault="00680B89" w:rsidP="00680B89">
      <w:pPr>
        <w:spacing w:line="360" w:lineRule="auto"/>
        <w:jc w:val="both"/>
        <w:rPr>
          <w:rFonts w:ascii="Palatino Linotype" w:eastAsiaTheme="minorEastAsia" w:hAnsi="Palatino Linotype" w:cs="Arial"/>
          <w:b/>
          <w:sz w:val="28"/>
          <w:szCs w:val="28"/>
          <w:lang w:val="es-ES_tradnl"/>
        </w:rPr>
      </w:pPr>
      <w:r w:rsidRPr="00FA03EC">
        <w:rPr>
          <w:rFonts w:ascii="Palatino Linotype" w:eastAsiaTheme="minorEastAsia" w:hAnsi="Palatino Linotype" w:cs="Arial"/>
          <w:b/>
          <w:sz w:val="28"/>
          <w:szCs w:val="28"/>
          <w:lang w:val="es-ES_tradnl"/>
        </w:rPr>
        <w:t>TERCERO. Del estudio de las causas de improcedencia y sobreseimiento.</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w:t>
      </w:r>
      <w:r w:rsidRPr="00FA03EC">
        <w:rPr>
          <w:rFonts w:ascii="Palatino Linotype" w:eastAsiaTheme="minorEastAsia" w:hAnsi="Palatino Linotype" w:cs="Arial"/>
          <w:lang w:val="es-ES_tradnl"/>
        </w:rPr>
        <w:lastRenderedPageBreak/>
        <w:t>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ind w:left="567" w:right="616"/>
        <w:jc w:val="both"/>
        <w:rPr>
          <w:rFonts w:ascii="Palatino Linotype" w:eastAsiaTheme="minorEastAsia" w:hAnsi="Palatino Linotype" w:cs="Arial"/>
          <w:i/>
          <w:sz w:val="22"/>
          <w:lang w:val="es-ES_tradnl"/>
        </w:rPr>
      </w:pPr>
      <w:r w:rsidRPr="00FA03EC">
        <w:rPr>
          <w:rFonts w:ascii="Palatino Linotype" w:eastAsiaTheme="minorEastAsia" w:hAnsi="Palatino Linotype" w:cs="Arial"/>
          <w:i/>
          <w:sz w:val="22"/>
          <w:lang w:val="es-ES_tradnl"/>
        </w:rPr>
        <w:t>“</w:t>
      </w:r>
      <w:r w:rsidRPr="00FA03EC">
        <w:rPr>
          <w:rFonts w:ascii="Palatino Linotype" w:eastAsiaTheme="minorEastAsia" w:hAnsi="Palatino Linotype" w:cs="Arial"/>
          <w:b/>
          <w:i/>
          <w:sz w:val="22"/>
          <w:lang w:val="es-ES_tradnl"/>
        </w:rPr>
        <w:t>Artículo 192.</w:t>
      </w:r>
      <w:r w:rsidRPr="00FA03EC">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680B89" w:rsidRPr="00FA03EC" w:rsidRDefault="00680B89" w:rsidP="00680B89">
      <w:pPr>
        <w:ind w:left="567" w:right="616"/>
        <w:jc w:val="both"/>
        <w:rPr>
          <w:rFonts w:ascii="Palatino Linotype" w:eastAsiaTheme="minorEastAsia" w:hAnsi="Palatino Linotype" w:cs="Arial"/>
          <w:i/>
          <w:sz w:val="22"/>
          <w:lang w:val="es-ES_tradnl"/>
        </w:rPr>
      </w:pPr>
      <w:r w:rsidRPr="00FA03EC">
        <w:rPr>
          <w:rFonts w:ascii="Palatino Linotype" w:eastAsiaTheme="minorEastAsia" w:hAnsi="Palatino Linotype" w:cs="Arial"/>
          <w:b/>
          <w:i/>
          <w:sz w:val="22"/>
          <w:lang w:val="es-ES_tradnl"/>
        </w:rPr>
        <w:t>I. El Recurrente</w:t>
      </w:r>
      <w:r w:rsidRPr="00FA03EC">
        <w:rPr>
          <w:rFonts w:ascii="Palatino Linotype" w:eastAsiaTheme="minorEastAsia" w:hAnsi="Palatino Linotype" w:cs="Arial"/>
          <w:b/>
          <w:i/>
          <w:sz w:val="22"/>
          <w:u w:val="single"/>
          <w:lang w:val="es-ES_tradnl"/>
        </w:rPr>
        <w:t xml:space="preserve"> se desista expresamente del recurso</w:t>
      </w:r>
      <w:r w:rsidRPr="00FA03EC">
        <w:rPr>
          <w:rFonts w:ascii="Palatino Linotype" w:eastAsiaTheme="minorEastAsia" w:hAnsi="Palatino Linotype" w:cs="Arial"/>
          <w:b/>
          <w:i/>
          <w:sz w:val="22"/>
          <w:lang w:val="es-ES_tradnl"/>
        </w:rPr>
        <w:t>;</w:t>
      </w:r>
    </w:p>
    <w:p w:rsidR="00680B89" w:rsidRPr="00FA03EC" w:rsidRDefault="00680B89" w:rsidP="00680B89">
      <w:pPr>
        <w:ind w:left="567" w:right="616"/>
        <w:jc w:val="both"/>
        <w:rPr>
          <w:rFonts w:ascii="Palatino Linotype" w:eastAsiaTheme="minorEastAsia" w:hAnsi="Palatino Linotype" w:cs="Arial"/>
          <w:i/>
          <w:sz w:val="22"/>
          <w:lang w:val="es-ES_tradnl"/>
        </w:rPr>
      </w:pPr>
      <w:r w:rsidRPr="00FA03EC">
        <w:rPr>
          <w:rFonts w:ascii="Palatino Linotype" w:eastAsiaTheme="minorEastAsia" w:hAnsi="Palatino Linotype" w:cs="Arial"/>
          <w:i/>
          <w:sz w:val="22"/>
          <w:lang w:val="es-ES_tradnl"/>
        </w:rPr>
        <w:t>II. El Recurrente fallezca o, tratándose de personas jurídicas colectivas, se disuelva;</w:t>
      </w:r>
    </w:p>
    <w:p w:rsidR="00680B89" w:rsidRPr="00FA03EC" w:rsidRDefault="00680B89" w:rsidP="00680B89">
      <w:pPr>
        <w:ind w:left="567" w:right="616"/>
        <w:jc w:val="both"/>
        <w:rPr>
          <w:rFonts w:ascii="Palatino Linotype" w:eastAsiaTheme="minorEastAsia" w:hAnsi="Palatino Linotype" w:cs="Arial"/>
          <w:i/>
          <w:sz w:val="22"/>
          <w:lang w:val="es-ES_tradnl"/>
        </w:rPr>
      </w:pPr>
      <w:r w:rsidRPr="00FA03EC">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680B89" w:rsidRPr="00FA03EC" w:rsidRDefault="00680B89" w:rsidP="00680B89">
      <w:pPr>
        <w:ind w:left="567" w:right="616"/>
        <w:jc w:val="both"/>
        <w:rPr>
          <w:rFonts w:ascii="Palatino Linotype" w:eastAsiaTheme="minorEastAsia" w:hAnsi="Palatino Linotype" w:cs="Arial"/>
          <w:i/>
          <w:sz w:val="22"/>
          <w:lang w:val="es-ES_tradnl"/>
        </w:rPr>
      </w:pPr>
      <w:r w:rsidRPr="00FA03EC">
        <w:rPr>
          <w:rFonts w:ascii="Palatino Linotype" w:eastAsiaTheme="minorEastAsia" w:hAnsi="Palatino Linotype" w:cs="Arial"/>
          <w:i/>
          <w:sz w:val="22"/>
          <w:lang w:val="es-ES_tradnl"/>
        </w:rPr>
        <w:t>IV. Admitido el recurso de revisión, aparezca alguna causal de improcedencia en los términos de la presente Ley; y</w:t>
      </w:r>
    </w:p>
    <w:p w:rsidR="00680B89" w:rsidRPr="00FA03EC" w:rsidRDefault="00680B89" w:rsidP="00680B89">
      <w:pPr>
        <w:ind w:left="567" w:right="616"/>
        <w:jc w:val="both"/>
        <w:rPr>
          <w:rFonts w:ascii="Palatino Linotype" w:eastAsiaTheme="minorEastAsia" w:hAnsi="Palatino Linotype" w:cs="Arial"/>
          <w:sz w:val="22"/>
          <w:lang w:val="es-ES_tradnl"/>
        </w:rPr>
      </w:pPr>
      <w:r w:rsidRPr="00FA03EC">
        <w:rPr>
          <w:rFonts w:ascii="Palatino Linotype" w:eastAsiaTheme="minorEastAsia" w:hAnsi="Palatino Linotype" w:cs="Arial"/>
          <w:i/>
          <w:sz w:val="22"/>
          <w:lang w:val="es-ES_tradnl"/>
        </w:rPr>
        <w:t>V. Cuando por cualquier motivo quede sin materia el recurso.”</w:t>
      </w:r>
    </w:p>
    <w:p w:rsidR="00680B89" w:rsidRPr="00FA03EC" w:rsidRDefault="00680B89" w:rsidP="00680B89">
      <w:pPr>
        <w:ind w:left="567" w:right="616"/>
        <w:jc w:val="both"/>
        <w:rPr>
          <w:rFonts w:ascii="Palatino Linotype" w:eastAsiaTheme="minorEastAsia" w:hAnsi="Palatino Linotype" w:cs="Arial"/>
          <w:sz w:val="22"/>
          <w:lang w:val="es-ES_tradnl"/>
        </w:rPr>
      </w:pPr>
    </w:p>
    <w:p w:rsidR="00680B89" w:rsidRPr="00FA03EC" w:rsidRDefault="00680B89" w:rsidP="00680B89">
      <w:pPr>
        <w:ind w:left="567" w:right="616"/>
        <w:jc w:val="right"/>
        <w:rPr>
          <w:rFonts w:ascii="Palatino Linotype" w:eastAsiaTheme="minorEastAsia" w:hAnsi="Palatino Linotype" w:cs="Arial"/>
          <w:sz w:val="22"/>
          <w:lang w:val="es-ES_tradnl"/>
        </w:rPr>
      </w:pPr>
      <w:r w:rsidRPr="00FA03EC">
        <w:rPr>
          <w:rFonts w:ascii="Palatino Linotype" w:eastAsiaTheme="minorEastAsia" w:hAnsi="Palatino Linotype" w:cs="Arial"/>
          <w:sz w:val="22"/>
          <w:lang w:val="es-ES_tradnl"/>
        </w:rPr>
        <w:t>(Énfasis añadido)</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 xml:space="preserve">Así, para que se tenga por desistido bastará con que la parte </w:t>
      </w:r>
      <w:r w:rsidRPr="00FA03EC">
        <w:rPr>
          <w:rFonts w:ascii="Palatino Linotype" w:eastAsiaTheme="minorEastAsia" w:hAnsi="Palatino Linotype" w:cs="Arial"/>
          <w:b/>
          <w:lang w:val="es-ES_tradnl"/>
        </w:rPr>
        <w:t>Recurrente</w:t>
      </w:r>
      <w:r w:rsidRPr="00FA03EC">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FA03EC">
        <w:rPr>
          <w:rFonts w:ascii="Palatino Linotype" w:eastAsiaTheme="minorEastAsia" w:hAnsi="Palatino Linotype" w:cs="Arial"/>
          <w:b/>
          <w:lang w:val="es-ES_tradnl"/>
        </w:rPr>
        <w:t>el Recurrente</w:t>
      </w:r>
      <w:r w:rsidRPr="00FA03EC">
        <w:rPr>
          <w:rFonts w:ascii="Palatino Linotype" w:eastAsiaTheme="minorEastAsia" w:hAnsi="Palatino Linotype" w:cs="Arial"/>
          <w:lang w:val="es-ES_tradnl"/>
        </w:rPr>
        <w:t>, expresó su voluntad de desistirse del recurso, manifestando lo siguiente:</w:t>
      </w:r>
    </w:p>
    <w:p w:rsidR="00680B89" w:rsidRPr="00FA03EC" w:rsidRDefault="00680B89" w:rsidP="00680B89">
      <w:pPr>
        <w:spacing w:line="360" w:lineRule="auto"/>
        <w:jc w:val="both"/>
        <w:rPr>
          <w:rFonts w:ascii="Palatino Linotype" w:eastAsiaTheme="minorEastAsia" w:hAnsi="Palatino Linotype" w:cs="Arial"/>
          <w:i/>
          <w:lang w:val="es-ES_tradnl"/>
        </w:rPr>
      </w:pPr>
    </w:p>
    <w:p w:rsidR="00680B89" w:rsidRPr="00FA03EC" w:rsidRDefault="00680B89" w:rsidP="00680B89">
      <w:pPr>
        <w:spacing w:line="360" w:lineRule="auto"/>
        <w:jc w:val="both"/>
        <w:rPr>
          <w:rFonts w:ascii="Palatino Linotype" w:eastAsiaTheme="minorEastAsia" w:hAnsi="Palatino Linotype" w:cs="Arial"/>
          <w:b/>
          <w:i/>
          <w:lang w:val="es-ES_tradnl"/>
        </w:rPr>
      </w:pPr>
      <w:r w:rsidRPr="00FA03EC">
        <w:rPr>
          <w:rFonts w:ascii="Palatino Linotype" w:eastAsiaTheme="minorEastAsia" w:hAnsi="Palatino Linotype" w:cs="Arial"/>
          <w:b/>
          <w:i/>
          <w:lang w:val="es-ES_tradnl"/>
        </w:rPr>
        <w:lastRenderedPageBreak/>
        <w:t>“Ninguno en particular.”</w:t>
      </w:r>
    </w:p>
    <w:p w:rsidR="00680B89" w:rsidRPr="00FA03EC" w:rsidRDefault="00680B89" w:rsidP="00680B89">
      <w:pPr>
        <w:spacing w:line="360" w:lineRule="auto"/>
        <w:rPr>
          <w:rFonts w:ascii="Palatino Linotype" w:eastAsiaTheme="minorEastAsia" w:hAnsi="Palatino Linotype" w:cs="Arial"/>
          <w:i/>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 xml:space="preserve">En ese orden de ideas, se entiende que </w:t>
      </w:r>
      <w:r w:rsidRPr="00FA03EC">
        <w:rPr>
          <w:rFonts w:ascii="Palatino Linotype" w:eastAsiaTheme="minorEastAsia" w:hAnsi="Palatino Linotype" w:cs="Arial"/>
          <w:b/>
          <w:lang w:val="es-ES_tradnl"/>
        </w:rPr>
        <w:t>el Recurrente</w:t>
      </w:r>
      <w:r w:rsidRPr="00FA03EC">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 xml:space="preserve">En ese tenor de ideas, la parte </w:t>
      </w:r>
      <w:r w:rsidRPr="00FA03EC">
        <w:rPr>
          <w:rFonts w:ascii="Palatino Linotype" w:eastAsiaTheme="minorEastAsia" w:hAnsi="Palatino Linotype" w:cs="Arial"/>
          <w:b/>
          <w:lang w:val="es-ES_tradnl"/>
        </w:rPr>
        <w:t>Recurrente</w:t>
      </w:r>
      <w:r w:rsidRPr="00FA03EC">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w:t>
      </w:r>
      <w:r w:rsidRPr="00FA03EC">
        <w:rPr>
          <w:rFonts w:ascii="Verdana" w:hAnsi="Verdana"/>
          <w:b/>
          <w:bCs/>
          <w:color w:val="FF0000"/>
        </w:rPr>
        <w:t xml:space="preserve"> </w:t>
      </w:r>
      <w:r w:rsidRPr="00FA03EC">
        <w:rPr>
          <w:rFonts w:ascii="Palatino Linotype" w:hAnsi="Palatino Linotype"/>
          <w:b/>
          <w:bCs/>
        </w:rPr>
        <w:t>00113/VIALLEN/IP/2022</w:t>
      </w:r>
      <w:r w:rsidRPr="00FA03EC">
        <w:rPr>
          <w:rFonts w:ascii="Palatino Linotype" w:eastAsiaTheme="minorEastAsia" w:hAnsi="Palatino Linotype" w:cs="Arial"/>
          <w:lang w:val="es-ES_tradnl"/>
        </w:rPr>
        <w:t xml:space="preserve">, y quien, posteriormente interpuso el presente recurso de revisión número </w:t>
      </w:r>
      <w:r w:rsidRPr="00FA03EC">
        <w:rPr>
          <w:rFonts w:ascii="Palatino Linotype" w:eastAsiaTheme="minorEastAsia" w:hAnsi="Palatino Linotype" w:cs="Arial"/>
          <w:b/>
          <w:lang w:val="es-ES_tradnl"/>
        </w:rPr>
        <w:t>16335/INFOEM/IP/RR/2022,</w:t>
      </w:r>
      <w:r w:rsidRPr="00FA03EC">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 xml:space="preserve">Por lo anterior, es dable enfatizar que la figura del desistimiento tiene como finalidad la interrupción y terminación del procedimiento sin entrar al estudio, derivado de la existencia de la renuncia del Recurrente a la sustanciación y resolución del </w:t>
      </w:r>
      <w:r w:rsidRPr="00FA03EC">
        <w:rPr>
          <w:rFonts w:ascii="Palatino Linotype" w:eastAsiaTheme="minorEastAsia" w:hAnsi="Palatino Linotype" w:cs="Arial"/>
          <w:lang w:val="es-ES_tradnl"/>
        </w:rPr>
        <w:lastRenderedPageBreak/>
        <w:t>procedimiento; por lo que, con efectos vinculantes a la presente Resolución, dicho desistimiento debe quedar firme.</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lang w:val="es-ES_tradnl"/>
        </w:rPr>
        <w:t>Por lo antes expuesto y fundado es de resolverse y,</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center"/>
        <w:rPr>
          <w:rFonts w:ascii="Palatino Linotype" w:eastAsiaTheme="minorEastAsia" w:hAnsi="Palatino Linotype" w:cs="Arial"/>
          <w:b/>
          <w:sz w:val="28"/>
          <w:szCs w:val="28"/>
          <w:lang w:val="es-ES_tradnl"/>
        </w:rPr>
      </w:pPr>
      <w:r w:rsidRPr="00FA03EC">
        <w:rPr>
          <w:rFonts w:ascii="Palatino Linotype" w:eastAsiaTheme="minorEastAsia" w:hAnsi="Palatino Linotype" w:cs="Arial"/>
          <w:b/>
          <w:sz w:val="28"/>
          <w:szCs w:val="28"/>
          <w:lang w:val="es-ES_tradnl"/>
        </w:rPr>
        <w:t>SE    RESUELVE</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ind w:left="-142" w:firstLine="1"/>
        <w:jc w:val="both"/>
        <w:rPr>
          <w:rFonts w:ascii="Palatino Linotype" w:eastAsiaTheme="minorEastAsia" w:hAnsi="Palatino Linotype" w:cs="Arial"/>
          <w:i/>
          <w:sz w:val="22"/>
          <w:lang w:val="es-ES_tradnl"/>
        </w:rPr>
      </w:pPr>
      <w:r w:rsidRPr="00FA03EC">
        <w:rPr>
          <w:rFonts w:ascii="Palatino Linotype" w:eastAsiaTheme="minorEastAsia" w:hAnsi="Palatino Linotype" w:cs="Arial"/>
          <w:b/>
          <w:sz w:val="28"/>
          <w:szCs w:val="28"/>
          <w:lang w:val="es-ES_tradnl"/>
        </w:rPr>
        <w:t>PRIMERO</w:t>
      </w:r>
      <w:r w:rsidRPr="00FA03EC">
        <w:rPr>
          <w:rFonts w:ascii="Palatino Linotype" w:eastAsiaTheme="minorEastAsia" w:hAnsi="Palatino Linotype" w:cs="Arial"/>
          <w:lang w:val="es-ES_tradnl"/>
        </w:rPr>
        <w:t xml:space="preserve">. Se </w:t>
      </w:r>
      <w:r w:rsidRPr="00FA03EC">
        <w:rPr>
          <w:rFonts w:ascii="Palatino Linotype" w:eastAsiaTheme="minorEastAsia" w:hAnsi="Palatino Linotype" w:cs="Arial"/>
          <w:b/>
          <w:lang w:val="es-ES_tradnl"/>
        </w:rPr>
        <w:t>SOBRESEE</w:t>
      </w:r>
      <w:r w:rsidRPr="00FA03EC">
        <w:rPr>
          <w:rFonts w:ascii="Palatino Linotype" w:eastAsiaTheme="minorEastAsia" w:hAnsi="Palatino Linotype" w:cs="Arial"/>
          <w:lang w:val="es-ES_tradnl"/>
        </w:rPr>
        <w:t xml:space="preserve"> el recurso de revisión número </w:t>
      </w:r>
      <w:r w:rsidRPr="00FA03EC">
        <w:rPr>
          <w:rFonts w:ascii="Palatino Linotype" w:eastAsiaTheme="minorEastAsia" w:hAnsi="Palatino Linotype" w:cs="Arial"/>
          <w:b/>
          <w:lang w:val="es-ES_tradnl"/>
        </w:rPr>
        <w:t>16335/INFOEM/IP/RR/2022</w:t>
      </w:r>
      <w:r w:rsidRPr="00FA03EC">
        <w:rPr>
          <w:rFonts w:ascii="Palatino Linotype" w:eastAsiaTheme="minorEastAsia" w:hAnsi="Palatino Linotype" w:cs="Arial"/>
          <w:lang w:val="es-ES_tradnl"/>
        </w:rPr>
        <w:t xml:space="preserve">, por haberse desistido expresamente la parte </w:t>
      </w:r>
      <w:r w:rsidRPr="00FA03EC">
        <w:rPr>
          <w:rFonts w:ascii="Palatino Linotype" w:eastAsiaTheme="minorEastAsia" w:hAnsi="Palatino Linotype" w:cs="Arial"/>
          <w:b/>
          <w:lang w:val="es-ES_tradnl"/>
        </w:rPr>
        <w:t>Recurrente</w:t>
      </w:r>
      <w:r w:rsidRPr="00FA03EC">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EastAsia" w:hAnsi="Palatino Linotype" w:cs="Arial"/>
          <w:lang w:val="es-ES_tradnl"/>
        </w:rPr>
      </w:pPr>
      <w:r w:rsidRPr="00FA03EC">
        <w:rPr>
          <w:rFonts w:ascii="Palatino Linotype" w:eastAsiaTheme="minorEastAsia" w:hAnsi="Palatino Linotype" w:cs="Arial"/>
          <w:b/>
          <w:sz w:val="28"/>
          <w:szCs w:val="28"/>
          <w:lang w:val="es-ES_tradnl"/>
        </w:rPr>
        <w:t>SEGUNDO</w:t>
      </w:r>
      <w:r w:rsidRPr="00FA03EC">
        <w:rPr>
          <w:rFonts w:ascii="Palatino Linotype" w:eastAsiaTheme="minorEastAsia" w:hAnsi="Palatino Linotype" w:cs="Arial"/>
          <w:lang w:val="es-ES_tradnl"/>
        </w:rPr>
        <w:t xml:space="preserve">. </w:t>
      </w:r>
      <w:r w:rsidRPr="00FA03EC">
        <w:rPr>
          <w:rFonts w:ascii="Palatino Linotype" w:eastAsiaTheme="minorEastAsia" w:hAnsi="Palatino Linotype" w:cs="Arial"/>
          <w:b/>
          <w:lang w:val="es-ES_tradnl"/>
        </w:rPr>
        <w:t>Notifíquese</w:t>
      </w:r>
      <w:r w:rsidRPr="00FA03EC">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rsidR="00680B89" w:rsidRPr="00FA03EC" w:rsidRDefault="00680B89" w:rsidP="00680B89">
      <w:pPr>
        <w:spacing w:line="360" w:lineRule="auto"/>
        <w:jc w:val="both"/>
        <w:rPr>
          <w:rFonts w:ascii="Palatino Linotype" w:eastAsiaTheme="minorEastAsia" w:hAnsi="Palatino Linotype" w:cs="Arial"/>
          <w:lang w:val="es-ES_tradnl"/>
        </w:rPr>
      </w:pPr>
    </w:p>
    <w:p w:rsidR="00680B89" w:rsidRPr="00FA03EC" w:rsidRDefault="00680B89" w:rsidP="00680B89">
      <w:pPr>
        <w:spacing w:line="360" w:lineRule="auto"/>
        <w:jc w:val="both"/>
        <w:rPr>
          <w:rFonts w:ascii="Palatino Linotype" w:eastAsiaTheme="minorHAnsi" w:hAnsi="Palatino Linotype" w:cstheme="minorBidi"/>
          <w:lang w:eastAsia="es-ES_tradnl"/>
        </w:rPr>
      </w:pPr>
      <w:r w:rsidRPr="00FA03EC">
        <w:rPr>
          <w:rFonts w:ascii="Palatino Linotype" w:eastAsiaTheme="minorEastAsia" w:hAnsi="Palatino Linotype" w:cs="Arial"/>
          <w:b/>
          <w:sz w:val="28"/>
          <w:szCs w:val="28"/>
          <w:lang w:val="es-ES_tradnl"/>
        </w:rPr>
        <w:lastRenderedPageBreak/>
        <w:t>TERCERO</w:t>
      </w:r>
      <w:r w:rsidRPr="00FA03EC">
        <w:rPr>
          <w:rFonts w:ascii="Palatino Linotype" w:eastAsiaTheme="minorEastAsia" w:hAnsi="Palatino Linotype" w:cs="Arial"/>
          <w:lang w:val="es-ES_tradnl"/>
        </w:rPr>
        <w:t xml:space="preserve">. </w:t>
      </w:r>
      <w:r w:rsidRPr="00FA03EC">
        <w:rPr>
          <w:rFonts w:ascii="Palatino Linotype" w:eastAsiaTheme="minorEastAsia" w:hAnsi="Palatino Linotype" w:cs="Arial"/>
          <w:b/>
          <w:lang w:val="es-ES_tradnl"/>
        </w:rPr>
        <w:t>Notifíquese</w:t>
      </w:r>
      <w:r w:rsidRPr="00FA03EC">
        <w:rPr>
          <w:rFonts w:ascii="Palatino Linotype" w:eastAsiaTheme="minorEastAsia" w:hAnsi="Palatino Linotype" w:cs="Arial"/>
          <w:lang w:val="es-ES_tradnl"/>
        </w:rPr>
        <w:t xml:space="preserve"> la presente resolución a la parte </w:t>
      </w:r>
      <w:r w:rsidRPr="00FA03EC">
        <w:rPr>
          <w:rFonts w:ascii="Palatino Linotype" w:eastAsiaTheme="minorEastAsia" w:hAnsi="Palatino Linotype" w:cs="Arial"/>
          <w:b/>
          <w:lang w:val="es-ES_tradnl"/>
        </w:rPr>
        <w:t>Recurrente</w:t>
      </w:r>
      <w:r w:rsidRPr="00FA03EC">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9465F1" w:rsidRPr="00FA03EC" w:rsidRDefault="009465F1" w:rsidP="009465F1">
      <w:pPr>
        <w:spacing w:line="360" w:lineRule="auto"/>
        <w:jc w:val="both"/>
        <w:rPr>
          <w:rFonts w:ascii="Palatino Linotype" w:eastAsiaTheme="minorHAnsi" w:hAnsi="Palatino Linotype" w:cs="Arial"/>
          <w:lang w:val="es-MX" w:eastAsia="en-US"/>
        </w:rPr>
      </w:pPr>
    </w:p>
    <w:p w:rsidR="009465F1" w:rsidRPr="00FA03EC" w:rsidRDefault="009465F1" w:rsidP="009465F1">
      <w:pPr>
        <w:spacing w:line="360" w:lineRule="auto"/>
        <w:jc w:val="both"/>
        <w:rPr>
          <w:rFonts w:ascii="Palatino Linotype" w:eastAsiaTheme="minorHAnsi" w:hAnsi="Palatino Linotype" w:cs="Arial"/>
          <w:sz w:val="18"/>
          <w:lang w:val="es-419" w:eastAsia="en-US"/>
        </w:rPr>
      </w:pPr>
      <w:r w:rsidRPr="00FA03EC">
        <w:rPr>
          <w:rFonts w:ascii="Palatino Linotype" w:eastAsiaTheme="minorHAnsi" w:hAnsi="Palatino Linotype" w:cs="Arial"/>
          <w:lang w:val="es-MX" w:eastAsia="en-US"/>
        </w:rPr>
        <w:t>ASÍ LO RESUELVE, POR UNANIMIDAD DE VOTOS, EL PLENO DEL</w:t>
      </w:r>
      <w:r w:rsidRPr="00FA03E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A03EC">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VIGÉSIMA SÉPTIMA SESIÓN ORDINARIA CELEBRADA EL </w:t>
      </w:r>
      <w:r w:rsidRPr="00FA03EC">
        <w:rPr>
          <w:rFonts w:ascii="Palatino Linotype" w:hAnsi="Palatino Linotype" w:cs="Arial"/>
          <w:color w:val="000000"/>
          <w:lang w:val="es-419" w:eastAsia="es-MX"/>
        </w:rPr>
        <w:t>DOS DE AGOSTO</w:t>
      </w:r>
      <w:r w:rsidRPr="00FA03EC">
        <w:rPr>
          <w:rFonts w:ascii="Palatino Linotype" w:hAnsi="Palatino Linotype" w:cs="Arial"/>
          <w:color w:val="000000"/>
          <w:lang w:val="es-MX" w:eastAsia="es-MX"/>
        </w:rPr>
        <w:t xml:space="preserve"> DE</w:t>
      </w:r>
      <w:r w:rsidRPr="00FA03EC">
        <w:rPr>
          <w:rFonts w:ascii="Palatino Linotype" w:eastAsiaTheme="minorHAnsi" w:hAnsi="Palatino Linotype" w:cs="Arial"/>
          <w:lang w:val="es-MX" w:eastAsia="en-US"/>
        </w:rPr>
        <w:t xml:space="preserve"> DOS MIL VEINTITRÉS, ANTE EL SECRETARIO TÉCNICO, ALEXIS TAPIA RAMÍREZ</w:t>
      </w:r>
      <w:r w:rsidRPr="00FA03EC">
        <w:rPr>
          <w:rFonts w:ascii="Palatino Linotype" w:eastAsiaTheme="minorHAnsi" w:hAnsi="Palatino Linotype" w:cs="Arial"/>
          <w:lang w:val="es-419" w:eastAsia="en-US"/>
        </w:rPr>
        <w:t>.----------</w:t>
      </w:r>
    </w:p>
    <w:p w:rsidR="009465F1" w:rsidRPr="00FA03EC" w:rsidRDefault="009465F1" w:rsidP="009465F1">
      <w:pPr>
        <w:spacing w:line="360" w:lineRule="auto"/>
        <w:jc w:val="both"/>
        <w:rPr>
          <w:rFonts w:ascii="Palatino Linotype" w:eastAsiaTheme="minorHAnsi" w:hAnsi="Palatino Linotype" w:cs="Arial"/>
          <w:sz w:val="18"/>
          <w:lang w:val="es-MX" w:eastAsia="en-US"/>
        </w:rPr>
      </w:pPr>
      <w:r w:rsidRPr="00FA03EC">
        <w:rPr>
          <w:rFonts w:ascii="Palatino Linotype" w:eastAsiaTheme="minorHAnsi" w:hAnsi="Palatino Linotype" w:cs="Arial"/>
          <w:lang w:val="es-MX" w:eastAsia="en-US"/>
        </w:rPr>
        <w:t>------------------------------------------------------------------------------------------------------------------</w:t>
      </w:r>
    </w:p>
    <w:p w:rsidR="009465F1" w:rsidRPr="00FA03EC" w:rsidRDefault="009465F1" w:rsidP="009465F1">
      <w:pPr>
        <w:spacing w:line="360" w:lineRule="auto"/>
        <w:jc w:val="both"/>
        <w:rPr>
          <w:rFonts w:ascii="Palatino Linotype" w:eastAsiaTheme="minorHAnsi" w:hAnsi="Palatino Linotype" w:cs="Arial"/>
          <w:sz w:val="18"/>
          <w:lang w:val="es-MX" w:eastAsia="en-US"/>
        </w:rPr>
      </w:pPr>
      <w:r w:rsidRPr="00FA03EC">
        <w:rPr>
          <w:rFonts w:ascii="Palatino Linotype" w:eastAsiaTheme="minorHAnsi" w:hAnsi="Palatino Linotype" w:cs="Arial"/>
          <w:lang w:val="es-MX" w:eastAsia="en-US"/>
        </w:rPr>
        <w:t>------------------------------------------------------------------------------------------------------------------</w:t>
      </w:r>
    </w:p>
    <w:p w:rsidR="009465F1" w:rsidRPr="00FA03EC" w:rsidRDefault="009465F1" w:rsidP="009465F1">
      <w:pPr>
        <w:spacing w:line="360" w:lineRule="auto"/>
        <w:jc w:val="both"/>
        <w:rPr>
          <w:rFonts w:ascii="Palatino Linotype" w:eastAsiaTheme="minorHAnsi" w:hAnsi="Palatino Linotype" w:cs="Arial"/>
          <w:sz w:val="18"/>
          <w:lang w:val="es-MX" w:eastAsia="en-US"/>
        </w:rPr>
      </w:pPr>
      <w:r w:rsidRPr="00FA03EC">
        <w:rPr>
          <w:rFonts w:ascii="Palatino Linotype" w:eastAsiaTheme="minorHAnsi" w:hAnsi="Palatino Linotype" w:cs="Arial"/>
          <w:lang w:val="es-MX" w:eastAsia="en-US"/>
        </w:rPr>
        <w:t>------------------------------------------------------------------------------------------------------------------</w:t>
      </w:r>
    </w:p>
    <w:p w:rsidR="009465F1" w:rsidRPr="00FA03EC" w:rsidRDefault="009465F1" w:rsidP="009465F1">
      <w:pPr>
        <w:spacing w:line="360" w:lineRule="auto"/>
        <w:jc w:val="both"/>
        <w:rPr>
          <w:rFonts w:ascii="Palatino Linotype" w:eastAsiaTheme="minorHAnsi" w:hAnsi="Palatino Linotype" w:cs="Arial"/>
          <w:sz w:val="18"/>
          <w:lang w:val="es-MX" w:eastAsia="en-US"/>
        </w:rPr>
      </w:pPr>
      <w:r w:rsidRPr="00FA03EC">
        <w:rPr>
          <w:rFonts w:ascii="Palatino Linotype" w:eastAsiaTheme="minorHAnsi" w:hAnsi="Palatino Linotype" w:cs="Arial"/>
          <w:lang w:val="es-MX" w:eastAsia="en-US"/>
        </w:rPr>
        <w:t>------------------------------------------------------------------------------------------------------------------</w:t>
      </w:r>
    </w:p>
    <w:p w:rsidR="009465F1" w:rsidRPr="00FA03EC" w:rsidRDefault="009465F1" w:rsidP="009465F1">
      <w:pPr>
        <w:spacing w:line="360" w:lineRule="auto"/>
        <w:jc w:val="both"/>
        <w:rPr>
          <w:rFonts w:ascii="Palatino Linotype" w:eastAsiaTheme="minorHAnsi" w:hAnsi="Palatino Linotype" w:cs="Arial"/>
          <w:sz w:val="18"/>
          <w:lang w:val="es-MX" w:eastAsia="en-US"/>
        </w:rPr>
      </w:pPr>
      <w:r w:rsidRPr="00FA03EC">
        <w:rPr>
          <w:rFonts w:ascii="Palatino Linotype" w:eastAsiaTheme="minorHAnsi" w:hAnsi="Palatino Linotype" w:cs="Arial"/>
          <w:lang w:val="es-MX" w:eastAsia="en-US"/>
        </w:rPr>
        <w:t>------------------------------------------------------------------------------------------------------------------</w:t>
      </w:r>
    </w:p>
    <w:p w:rsidR="009465F1" w:rsidRPr="00FA03EC" w:rsidRDefault="009465F1" w:rsidP="009465F1">
      <w:pPr>
        <w:spacing w:line="360" w:lineRule="auto"/>
        <w:jc w:val="both"/>
        <w:rPr>
          <w:rFonts w:ascii="Palatino Linotype" w:eastAsiaTheme="minorHAnsi" w:hAnsi="Palatino Linotype" w:cs="Arial"/>
          <w:sz w:val="18"/>
          <w:lang w:val="es-MX" w:eastAsia="en-US"/>
        </w:rPr>
      </w:pPr>
      <w:r w:rsidRPr="00FA03EC">
        <w:rPr>
          <w:rFonts w:ascii="Palatino Linotype" w:eastAsiaTheme="minorHAnsi" w:hAnsi="Palatino Linotype" w:cs="Arial"/>
          <w:lang w:val="es-MX" w:eastAsia="en-US"/>
        </w:rPr>
        <w:t>------------------------------------------------------------------------------------------------------------------</w:t>
      </w:r>
      <w:r w:rsidRPr="00FA03EC">
        <w:rPr>
          <w:rFonts w:ascii="Palatino Linotype" w:hAnsi="Palatino Linotype" w:cs="Arial"/>
        </w:rPr>
        <w:t>------------------------------------------------------------------------------------------------------------------------------------------------------------------------------------------------------------------------------------------------------------------------------------------------------------------------------------------------------------------------------------------------------------------------------------------------------------------------</w:t>
      </w:r>
    </w:p>
    <w:p w:rsidR="009465F1" w:rsidRPr="00525CD7" w:rsidRDefault="009465F1" w:rsidP="009465F1">
      <w:pPr>
        <w:spacing w:line="360" w:lineRule="auto"/>
        <w:jc w:val="both"/>
        <w:rPr>
          <w:rFonts w:ascii="Palatino Linotype" w:eastAsiaTheme="minorHAnsi" w:hAnsi="Palatino Linotype" w:cs="Arial"/>
          <w:sz w:val="20"/>
          <w:szCs w:val="20"/>
          <w:lang w:val="es-419" w:eastAsia="en-US"/>
        </w:rPr>
      </w:pPr>
      <w:r w:rsidRPr="00FA03EC">
        <w:rPr>
          <w:rFonts w:ascii="Palatino Linotype" w:eastAsiaTheme="minorHAnsi" w:hAnsi="Palatino Linotype" w:cs="Arial"/>
          <w:sz w:val="20"/>
          <w:szCs w:val="20"/>
          <w:lang w:val="es-MX" w:eastAsia="en-US"/>
        </w:rPr>
        <w:t>JMV/CCR/</w:t>
      </w:r>
      <w:r w:rsidRPr="00FA03EC">
        <w:rPr>
          <w:rFonts w:ascii="Palatino Linotype" w:eastAsiaTheme="minorHAnsi" w:hAnsi="Palatino Linotype" w:cs="Arial"/>
          <w:sz w:val="20"/>
          <w:szCs w:val="20"/>
          <w:lang w:val="es-419" w:eastAsia="en-US"/>
        </w:rPr>
        <w:t>LMST</w:t>
      </w:r>
      <w:bookmarkStart w:id="0" w:name="_GoBack"/>
      <w:bookmarkEnd w:id="0"/>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Default="009465F1" w:rsidP="009465F1">
      <w:pPr>
        <w:spacing w:line="360" w:lineRule="auto"/>
        <w:jc w:val="both"/>
        <w:rPr>
          <w:rFonts w:ascii="Palatino Linotype" w:eastAsiaTheme="minorHAnsi" w:hAnsi="Palatino Linotype" w:cs="Arial"/>
          <w:sz w:val="20"/>
          <w:szCs w:val="20"/>
          <w:lang w:val="es-MX" w:eastAsia="en-US"/>
        </w:rPr>
      </w:pPr>
    </w:p>
    <w:p w:rsidR="009465F1" w:rsidRPr="00C47A02" w:rsidRDefault="009465F1" w:rsidP="009465F1">
      <w:pPr>
        <w:spacing w:line="360" w:lineRule="auto"/>
        <w:jc w:val="both"/>
        <w:rPr>
          <w:rFonts w:ascii="Palatino Linotype" w:eastAsiaTheme="minorHAnsi" w:hAnsi="Palatino Linotype" w:cs="Arial"/>
          <w:sz w:val="20"/>
          <w:szCs w:val="20"/>
          <w:lang w:val="es-MX" w:eastAsia="en-US"/>
        </w:rPr>
      </w:pPr>
    </w:p>
    <w:p w:rsidR="00FA26A4" w:rsidRDefault="00FA26A4"/>
    <w:sectPr w:rsidR="00FA26A4" w:rsidSect="0043515A">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5F1" w:rsidRDefault="009465F1" w:rsidP="009465F1">
      <w:r>
        <w:separator/>
      </w:r>
    </w:p>
  </w:endnote>
  <w:endnote w:type="continuationSeparator" w:id="0">
    <w:p w:rsidR="009465F1" w:rsidRDefault="009465F1" w:rsidP="0094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8B" w:rsidRPr="000D3AD4" w:rsidRDefault="00680B8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A03EC">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A03EC">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8B" w:rsidRPr="000D3AD4" w:rsidRDefault="00680B8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A03E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A03EC">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5F1" w:rsidRDefault="009465F1" w:rsidP="009465F1">
      <w:r>
        <w:separator/>
      </w:r>
    </w:p>
  </w:footnote>
  <w:footnote w:type="continuationSeparator" w:id="0">
    <w:p w:rsidR="009465F1" w:rsidRDefault="009465F1" w:rsidP="00946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8B" w:rsidRDefault="00FA03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693"/>
      <w:gridCol w:w="3832"/>
    </w:tblGrid>
    <w:tr w:rsidR="002A4D8B" w:rsidRPr="008F2CCC" w:rsidTr="00B333DC">
      <w:tc>
        <w:tcPr>
          <w:tcW w:w="2693" w:type="dxa"/>
          <w:shd w:val="clear" w:color="auto" w:fill="auto"/>
        </w:tcPr>
        <w:p w:rsidR="002A4D8B" w:rsidRPr="00807CDA" w:rsidRDefault="00680B89"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rsidR="002A4D8B" w:rsidRPr="0029071C" w:rsidRDefault="00680B89" w:rsidP="002F6AB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16335</w:t>
          </w:r>
          <w:r w:rsidRPr="00971FFC">
            <w:rPr>
              <w:rFonts w:ascii="Palatino Linotype" w:hAnsi="Palatino Linotype"/>
              <w:sz w:val="22"/>
              <w:szCs w:val="22"/>
              <w:lang w:val="es-ES_tradnl"/>
            </w:rPr>
            <w:t>/INFOEM/IP/RR/2022</w:t>
          </w:r>
        </w:p>
      </w:tc>
    </w:tr>
    <w:tr w:rsidR="002A4D8B" w:rsidRPr="008F2CCC" w:rsidTr="00B333DC">
      <w:tc>
        <w:tcPr>
          <w:tcW w:w="2693" w:type="dxa"/>
          <w:shd w:val="clear" w:color="auto" w:fill="auto"/>
        </w:tcPr>
        <w:p w:rsidR="002A4D8B" w:rsidRPr="00807CDA" w:rsidRDefault="00680B89"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rsidR="002A4D8B" w:rsidRPr="00675D99" w:rsidRDefault="00680B89" w:rsidP="00E519CB">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Villa de Allende</w:t>
          </w:r>
        </w:p>
      </w:tc>
    </w:tr>
    <w:tr w:rsidR="002A4D8B" w:rsidRPr="008F2CCC" w:rsidTr="00B333DC">
      <w:trPr>
        <w:trHeight w:val="228"/>
      </w:trPr>
      <w:tc>
        <w:tcPr>
          <w:tcW w:w="2693" w:type="dxa"/>
          <w:shd w:val="clear" w:color="auto" w:fill="auto"/>
        </w:tcPr>
        <w:p w:rsidR="002A4D8B" w:rsidRPr="00807CDA" w:rsidRDefault="00680B89"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rsidR="002A4D8B" w:rsidRPr="0029071C" w:rsidRDefault="00680B89"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2A4D8B" w:rsidRPr="001779E0" w:rsidRDefault="00FA03E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688"/>
      <w:gridCol w:w="3832"/>
    </w:tblGrid>
    <w:tr w:rsidR="002A4D8B" w:rsidRPr="008F2CCC" w:rsidTr="00B333DC">
      <w:tc>
        <w:tcPr>
          <w:tcW w:w="2688" w:type="dxa"/>
          <w:shd w:val="clear" w:color="auto" w:fill="auto"/>
        </w:tcPr>
        <w:p w:rsidR="002A4D8B" w:rsidRPr="00807CDA" w:rsidRDefault="00680B89"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rsidR="002A4D8B" w:rsidRPr="0029071C" w:rsidRDefault="00680B89" w:rsidP="00225FD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16335</w:t>
          </w:r>
          <w:r w:rsidRPr="00971FFC">
            <w:rPr>
              <w:rFonts w:ascii="Palatino Linotype" w:hAnsi="Palatino Linotype"/>
              <w:sz w:val="22"/>
              <w:szCs w:val="22"/>
              <w:lang w:val="es-ES_tradnl"/>
            </w:rPr>
            <w:t>/INFOEM/IP/RR/2022</w:t>
          </w:r>
        </w:p>
      </w:tc>
    </w:tr>
    <w:tr w:rsidR="002A4D8B" w:rsidRPr="008F2CCC" w:rsidTr="00B333DC">
      <w:tc>
        <w:tcPr>
          <w:tcW w:w="2688" w:type="dxa"/>
          <w:shd w:val="clear" w:color="auto" w:fill="auto"/>
          <w:vAlign w:val="center"/>
        </w:tcPr>
        <w:p w:rsidR="002A4D8B" w:rsidRPr="00807CDA" w:rsidRDefault="00680B89"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rsidR="002A4D8B" w:rsidRPr="00864970" w:rsidRDefault="00864970" w:rsidP="00AF061E">
          <w:pPr>
            <w:spacing w:line="276" w:lineRule="auto"/>
            <w:jc w:val="right"/>
            <w:rPr>
              <w:rFonts w:ascii="Palatino Linotype" w:hAnsi="Palatino Linotype"/>
              <w:sz w:val="22"/>
              <w:szCs w:val="22"/>
              <w:lang w:val="es-MX"/>
            </w:rPr>
          </w:pPr>
          <w:r>
            <w:rPr>
              <w:rFonts w:ascii="Palatino Linotype" w:hAnsi="Palatino Linotype"/>
              <w:sz w:val="22"/>
              <w:szCs w:val="22"/>
              <w:lang w:val="es-MX"/>
            </w:rPr>
            <w:t>XXXX</w:t>
          </w:r>
        </w:p>
      </w:tc>
    </w:tr>
    <w:tr w:rsidR="002A4D8B" w:rsidRPr="00D81FF3" w:rsidTr="00B333DC">
      <w:trPr>
        <w:trHeight w:val="228"/>
      </w:trPr>
      <w:tc>
        <w:tcPr>
          <w:tcW w:w="2688" w:type="dxa"/>
          <w:shd w:val="clear" w:color="auto" w:fill="auto"/>
        </w:tcPr>
        <w:p w:rsidR="002A4D8B" w:rsidRPr="00807CDA" w:rsidRDefault="00680B89"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rsidR="002A4D8B" w:rsidRPr="00675D99" w:rsidRDefault="00680B89" w:rsidP="00E519CB">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Villa de Allende</w:t>
          </w:r>
        </w:p>
      </w:tc>
    </w:tr>
    <w:tr w:rsidR="002A4D8B" w:rsidRPr="008F2CCC" w:rsidTr="00B333DC">
      <w:tc>
        <w:tcPr>
          <w:tcW w:w="2688" w:type="dxa"/>
          <w:shd w:val="clear" w:color="auto" w:fill="auto"/>
        </w:tcPr>
        <w:p w:rsidR="002A4D8B" w:rsidRPr="00807CDA" w:rsidRDefault="00680B89"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rsidR="002A4D8B" w:rsidRPr="0029071C" w:rsidRDefault="00680B89"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2A4D8B" w:rsidRPr="009F1AB6" w:rsidRDefault="00FA03EC">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73DEA"/>
    <w:multiLevelType w:val="hybridMultilevel"/>
    <w:tmpl w:val="1A1AD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F61CA5"/>
    <w:multiLevelType w:val="hybridMultilevel"/>
    <w:tmpl w:val="FAF2AE1E"/>
    <w:lvl w:ilvl="0" w:tplc="16B20416">
      <w:start w:val="1"/>
      <w:numFmt w:val="decimal"/>
      <w:lvlText w:val="%1."/>
      <w:lvlJc w:val="left"/>
      <w:pPr>
        <w:ind w:left="927" w:hanging="360"/>
      </w:pPr>
      <w:rPr>
        <w:rFonts w:hint="default"/>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5EA07B9D"/>
    <w:multiLevelType w:val="hybridMultilevel"/>
    <w:tmpl w:val="3CE44E3A"/>
    <w:lvl w:ilvl="0" w:tplc="4E9C2E14">
      <w:start w:val="1"/>
      <w:numFmt w:val="decimal"/>
      <w:lvlText w:val="%1."/>
      <w:lvlJc w:val="left"/>
      <w:pPr>
        <w:ind w:left="927" w:hanging="360"/>
      </w:pPr>
      <w:rPr>
        <w:rFonts w:hint="default"/>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F1"/>
    <w:rsid w:val="00225BD8"/>
    <w:rsid w:val="004F5105"/>
    <w:rsid w:val="00680B89"/>
    <w:rsid w:val="00864970"/>
    <w:rsid w:val="008D48B8"/>
    <w:rsid w:val="009465F1"/>
    <w:rsid w:val="00F524E7"/>
    <w:rsid w:val="00FA03EC"/>
    <w:rsid w:val="00FA26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C886387-C46F-4349-8B1F-2FD75508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5F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65F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465F1"/>
    <w:rPr>
      <w:rFonts w:eastAsiaTheme="minorEastAsia"/>
      <w:sz w:val="24"/>
      <w:szCs w:val="24"/>
      <w:lang w:val="es-ES_tradnl" w:eastAsia="es-ES"/>
    </w:rPr>
  </w:style>
  <w:style w:type="paragraph" w:styleId="Piedepgina">
    <w:name w:val="footer"/>
    <w:basedOn w:val="Normal"/>
    <w:link w:val="PiedepginaCar"/>
    <w:uiPriority w:val="99"/>
    <w:unhideWhenUsed/>
    <w:rsid w:val="009465F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465F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65F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65F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65F1"/>
    <w:rPr>
      <w:vertAlign w:val="superscript"/>
    </w:rPr>
  </w:style>
  <w:style w:type="character" w:styleId="Hipervnculo">
    <w:name w:val="Hyperlink"/>
    <w:basedOn w:val="Fuentedeprrafopredeter"/>
    <w:uiPriority w:val="99"/>
    <w:unhideWhenUsed/>
    <w:rsid w:val="009465F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65F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465F1"/>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9465F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465F1"/>
    <w:rPr>
      <w:rFonts w:ascii="Times New Roman" w:eastAsia="Times New Roman" w:hAnsi="Times New Roman" w:cs="Times New Roman"/>
      <w:sz w:val="24"/>
      <w:szCs w:val="24"/>
      <w:lang w:eastAsia="es-ES"/>
    </w:rPr>
  </w:style>
  <w:style w:type="paragraph" w:customStyle="1" w:styleId="Default">
    <w:name w:val="Default"/>
    <w:rsid w:val="009465F1"/>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99"/>
    <w:unhideWhenUsed/>
    <w:rsid w:val="009465F1"/>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65F1"/>
  </w:style>
  <w:style w:type="paragraph" w:customStyle="1" w:styleId="Citas">
    <w:name w:val="Citas"/>
    <w:basedOn w:val="Normal"/>
    <w:qFormat/>
    <w:rsid w:val="009465F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9465F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3713</Words>
  <Characters>20422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7</cp:revision>
  <dcterms:created xsi:type="dcterms:W3CDTF">2023-07-30T14:51:00Z</dcterms:created>
  <dcterms:modified xsi:type="dcterms:W3CDTF">2023-10-17T18:01:00Z</dcterms:modified>
</cp:coreProperties>
</file>