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22712B" w:rsidRDefault="009F09BC" w:rsidP="0022712B">
      <w:pPr>
        <w:tabs>
          <w:tab w:val="left" w:pos="3465"/>
        </w:tabs>
        <w:spacing w:before="240" w:after="360" w:line="360" w:lineRule="auto"/>
        <w:jc w:val="both"/>
        <w:rPr>
          <w:rFonts w:ascii="Palatino Linotype" w:hAnsi="Palatino Linotype"/>
        </w:rPr>
      </w:pPr>
      <w:r w:rsidRPr="0022712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00157" w:rsidRPr="00F67EDE">
        <w:rPr>
          <w:rFonts w:ascii="Palatino Linotype" w:hAnsi="Palatino Linotype"/>
        </w:rPr>
        <w:t>veinti</w:t>
      </w:r>
      <w:r w:rsidR="00F67EDE" w:rsidRPr="00F67EDE">
        <w:rPr>
          <w:rFonts w:ascii="Palatino Linotype" w:hAnsi="Palatino Linotype"/>
        </w:rPr>
        <w:t>nueve (29)</w:t>
      </w:r>
      <w:r w:rsidRPr="00F67EDE">
        <w:rPr>
          <w:rFonts w:ascii="Palatino Linotype" w:hAnsi="Palatino Linotype"/>
        </w:rPr>
        <w:t xml:space="preserve"> de </w:t>
      </w:r>
      <w:r w:rsidR="002D4A6F" w:rsidRPr="00F67EDE">
        <w:rPr>
          <w:rFonts w:ascii="Palatino Linotype" w:hAnsi="Palatino Linotype"/>
        </w:rPr>
        <w:t>marzo</w:t>
      </w:r>
      <w:r w:rsidR="00E61C13" w:rsidRPr="00F67EDE">
        <w:rPr>
          <w:rFonts w:ascii="Palatino Linotype" w:hAnsi="Palatino Linotype"/>
        </w:rPr>
        <w:t xml:space="preserve"> de dos mil veinti</w:t>
      </w:r>
      <w:r w:rsidR="00377D00" w:rsidRPr="00F67EDE">
        <w:rPr>
          <w:rFonts w:ascii="Palatino Linotype" w:hAnsi="Palatino Linotype"/>
        </w:rPr>
        <w:t>trés</w:t>
      </w:r>
      <w:r w:rsidRPr="00F67EDE">
        <w:rPr>
          <w:rFonts w:ascii="Palatino Linotype" w:hAnsi="Palatino Linotype"/>
        </w:rPr>
        <w:t>.</w:t>
      </w:r>
    </w:p>
    <w:p w:rsidR="009F09BC" w:rsidRPr="0022712B" w:rsidRDefault="009F09BC" w:rsidP="005D7F9B">
      <w:pPr>
        <w:spacing w:line="360" w:lineRule="auto"/>
        <w:jc w:val="both"/>
        <w:rPr>
          <w:rFonts w:ascii="Palatino Linotype" w:hAnsi="Palatino Linotype"/>
          <w:b/>
        </w:rPr>
      </w:pPr>
      <w:r w:rsidRPr="0022712B">
        <w:rPr>
          <w:rFonts w:ascii="Palatino Linotype" w:hAnsi="Palatino Linotype"/>
          <w:b/>
        </w:rPr>
        <w:t>VISTO</w:t>
      </w:r>
      <w:r w:rsidRPr="0022712B">
        <w:rPr>
          <w:rFonts w:ascii="Palatino Linotype" w:hAnsi="Palatino Linotype"/>
        </w:rPr>
        <w:t xml:space="preserve"> </w:t>
      </w:r>
      <w:r w:rsidR="008A699B" w:rsidRPr="0022712B">
        <w:rPr>
          <w:rFonts w:ascii="Palatino Linotype" w:hAnsi="Palatino Linotype"/>
        </w:rPr>
        <w:t>e</w:t>
      </w:r>
      <w:r w:rsidRPr="0022712B">
        <w:rPr>
          <w:rFonts w:ascii="Palatino Linotype" w:hAnsi="Palatino Linotype"/>
        </w:rPr>
        <w:t>l expediente electrónico formado con motivo de</w:t>
      </w:r>
      <w:r w:rsidR="005D7F9B">
        <w:rPr>
          <w:rFonts w:ascii="Palatino Linotype" w:hAnsi="Palatino Linotype"/>
        </w:rPr>
        <w:t xml:space="preserve"> </w:t>
      </w:r>
      <w:r w:rsidRPr="0022712B">
        <w:rPr>
          <w:rFonts w:ascii="Palatino Linotype" w:hAnsi="Palatino Linotype"/>
        </w:rPr>
        <w:t>l</w:t>
      </w:r>
      <w:r w:rsidR="005D7F9B">
        <w:rPr>
          <w:rFonts w:ascii="Palatino Linotype" w:hAnsi="Palatino Linotype"/>
        </w:rPr>
        <w:t>os</w:t>
      </w:r>
      <w:r w:rsidRPr="0022712B">
        <w:rPr>
          <w:rFonts w:ascii="Palatino Linotype" w:hAnsi="Palatino Linotype"/>
        </w:rPr>
        <w:t xml:space="preserve"> recurso</w:t>
      </w:r>
      <w:r w:rsidR="005D7F9B">
        <w:rPr>
          <w:rFonts w:ascii="Palatino Linotype" w:hAnsi="Palatino Linotype"/>
        </w:rPr>
        <w:t>s</w:t>
      </w:r>
      <w:r w:rsidRPr="0022712B">
        <w:rPr>
          <w:rFonts w:ascii="Palatino Linotype" w:hAnsi="Palatino Linotype"/>
        </w:rPr>
        <w:t xml:space="preserve"> de revisión </w:t>
      </w:r>
      <w:r w:rsidR="005D7F9B" w:rsidRPr="005D7F9B">
        <w:rPr>
          <w:rFonts w:ascii="Palatino Linotype" w:hAnsi="Palatino Linotype"/>
          <w:b/>
        </w:rPr>
        <w:t xml:space="preserve">00433/INFOEM/IP/RR/2023 </w:t>
      </w:r>
      <w:r w:rsidR="005D7F9B" w:rsidRPr="005D7F9B">
        <w:rPr>
          <w:rFonts w:ascii="Palatino Linotype" w:hAnsi="Palatino Linotype"/>
        </w:rPr>
        <w:t xml:space="preserve">y </w:t>
      </w:r>
      <w:r w:rsidR="005D7F9B" w:rsidRPr="005D7F9B">
        <w:rPr>
          <w:rFonts w:ascii="Palatino Linotype" w:hAnsi="Palatino Linotype"/>
          <w:b/>
        </w:rPr>
        <w:t>00680/INFOEM/IP/RR/2023 acumulados</w:t>
      </w:r>
      <w:r w:rsidRPr="0022712B">
        <w:rPr>
          <w:rFonts w:ascii="Palatino Linotype" w:hAnsi="Palatino Linotype"/>
        </w:rPr>
        <w:t>,</w:t>
      </w:r>
      <w:r w:rsidR="005D7F9B">
        <w:rPr>
          <w:rFonts w:ascii="Palatino Linotype" w:hAnsi="Palatino Linotype"/>
        </w:rPr>
        <w:t xml:space="preserve"> </w:t>
      </w:r>
      <w:r w:rsidRPr="0022712B">
        <w:rPr>
          <w:rFonts w:ascii="Palatino Linotype" w:hAnsi="Palatino Linotype"/>
        </w:rPr>
        <w:t>promovido</w:t>
      </w:r>
      <w:r w:rsidR="005D7F9B">
        <w:rPr>
          <w:rFonts w:ascii="Palatino Linotype" w:hAnsi="Palatino Linotype"/>
        </w:rPr>
        <w:t>s</w:t>
      </w:r>
      <w:r w:rsidRPr="0022712B">
        <w:rPr>
          <w:rFonts w:ascii="Palatino Linotype" w:hAnsi="Palatino Linotype"/>
        </w:rPr>
        <w:t xml:space="preserve"> por </w:t>
      </w:r>
      <w:r w:rsidR="000A69FA">
        <w:rPr>
          <w:rFonts w:ascii="Palatino Linotype" w:hAnsi="Palatino Linotype"/>
          <w:b/>
        </w:rPr>
        <w:t>XXXXXXX</w:t>
      </w:r>
      <w:bookmarkStart w:id="0" w:name="_GoBack"/>
      <w:bookmarkEnd w:id="0"/>
      <w:r w:rsidRPr="0022712B">
        <w:rPr>
          <w:rFonts w:ascii="Palatino Linotype" w:hAnsi="Palatino Linotype"/>
        </w:rPr>
        <w:t xml:space="preserve">, a quien en lo sucesivo se le identificará como </w:t>
      </w:r>
      <w:r w:rsidRPr="0022712B">
        <w:rPr>
          <w:rFonts w:ascii="Palatino Linotype" w:hAnsi="Palatino Linotype"/>
          <w:b/>
        </w:rPr>
        <w:t>EL RECURRENTE</w:t>
      </w:r>
      <w:r w:rsidRPr="0022712B">
        <w:rPr>
          <w:rFonts w:ascii="Palatino Linotype" w:hAnsi="Palatino Linotype" w:cs="Arial"/>
        </w:rPr>
        <w:t xml:space="preserve">, en contra de la respuesta </w:t>
      </w:r>
      <w:r w:rsidR="00652937" w:rsidRPr="0022712B">
        <w:rPr>
          <w:rFonts w:ascii="Palatino Linotype" w:hAnsi="Palatino Linotype" w:cs="Arial"/>
        </w:rPr>
        <w:t xml:space="preserve">del </w:t>
      </w:r>
      <w:r w:rsidR="002D4A6F">
        <w:rPr>
          <w:rFonts w:ascii="Palatino Linotype" w:hAnsi="Palatino Linotype" w:cs="Arial"/>
          <w:b/>
        </w:rPr>
        <w:t xml:space="preserve">Ayuntamiento de </w:t>
      </w:r>
      <w:r w:rsidR="004042B0">
        <w:rPr>
          <w:rFonts w:ascii="Palatino Linotype" w:hAnsi="Palatino Linotype" w:cs="Arial"/>
          <w:b/>
        </w:rPr>
        <w:t>Atenco</w:t>
      </w:r>
      <w:r w:rsidRPr="0022712B">
        <w:rPr>
          <w:rFonts w:ascii="Palatino Linotype" w:hAnsi="Palatino Linotype" w:cs="Arial"/>
          <w:b/>
        </w:rPr>
        <w:t>,</w:t>
      </w:r>
      <w:r w:rsidRPr="0022712B">
        <w:rPr>
          <w:rFonts w:ascii="Palatino Linotype" w:hAnsi="Palatino Linotype"/>
          <w:b/>
        </w:rPr>
        <w:t xml:space="preserve"> </w:t>
      </w:r>
      <w:r w:rsidRPr="0022712B">
        <w:rPr>
          <w:rFonts w:ascii="Palatino Linotype" w:hAnsi="Palatino Linotype"/>
        </w:rPr>
        <w:t>en lo sucesivo el</w:t>
      </w:r>
      <w:r w:rsidRPr="0022712B">
        <w:rPr>
          <w:rFonts w:ascii="Palatino Linotype" w:hAnsi="Palatino Linotype"/>
          <w:b/>
        </w:rPr>
        <w:t xml:space="preserve"> SUJETO OBLIGADO</w:t>
      </w:r>
      <w:r w:rsidRPr="0022712B">
        <w:rPr>
          <w:rFonts w:ascii="Palatino Linotype" w:hAnsi="Palatino Linotype"/>
        </w:rPr>
        <w:t>, se procede a dictar la presente resolución, con base en los siguientes:</w:t>
      </w:r>
    </w:p>
    <w:p w:rsidR="009F09BC" w:rsidRPr="0022712B" w:rsidRDefault="009F09BC" w:rsidP="0022712B">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22712B">
        <w:rPr>
          <w:rFonts w:ascii="Palatino Linotype" w:hAnsi="Palatino Linotype"/>
          <w:b/>
          <w:color w:val="000000" w:themeColor="text1"/>
          <w:sz w:val="24"/>
          <w:szCs w:val="24"/>
        </w:rPr>
        <w:t>ANTECEDENTES</w:t>
      </w:r>
      <w:bookmarkEnd w:id="1"/>
      <w:bookmarkEnd w:id="2"/>
      <w:bookmarkEnd w:id="3"/>
    </w:p>
    <w:p w:rsidR="009F09BC" w:rsidRPr="0022712B" w:rsidRDefault="005D7F9B" w:rsidP="005D7F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Los</w:t>
      </w:r>
      <w:r w:rsidR="009F09BC" w:rsidRPr="0022712B">
        <w:rPr>
          <w:rFonts w:ascii="Palatino Linotype" w:eastAsia="Calibri" w:hAnsi="Palatino Linotype" w:cs="Arial"/>
          <w:lang w:val="es-ES"/>
        </w:rPr>
        <w:t xml:space="preserve"> día</w:t>
      </w:r>
      <w:r>
        <w:rPr>
          <w:rFonts w:ascii="Palatino Linotype" w:eastAsia="Calibri" w:hAnsi="Palatino Linotype" w:cs="Arial"/>
          <w:lang w:val="es-ES"/>
        </w:rPr>
        <w:t>s</w:t>
      </w:r>
      <w:r w:rsidR="009F09BC" w:rsidRPr="0022712B">
        <w:rPr>
          <w:rFonts w:ascii="Palatino Linotype" w:eastAsia="Calibri" w:hAnsi="Palatino Linotype" w:cs="Arial"/>
          <w:lang w:val="es-ES"/>
        </w:rPr>
        <w:t xml:space="preserve"> </w:t>
      </w:r>
      <w:r w:rsidR="002D4A6F" w:rsidRPr="002D4A6F">
        <w:rPr>
          <w:rFonts w:ascii="Palatino Linotype" w:eastAsia="Calibri" w:hAnsi="Palatino Linotype" w:cs="Arial"/>
          <w:b/>
          <w:lang w:val="es-ES"/>
        </w:rPr>
        <w:t>trece</w:t>
      </w:r>
      <w:r w:rsidR="009F09BC" w:rsidRPr="0022712B">
        <w:rPr>
          <w:rFonts w:ascii="Palatino Linotype" w:eastAsia="Calibri" w:hAnsi="Palatino Linotype" w:cs="Arial"/>
          <w:b/>
          <w:lang w:val="es-ES"/>
        </w:rPr>
        <w:t xml:space="preserve"> de </w:t>
      </w:r>
      <w:r w:rsidR="002D4A6F">
        <w:rPr>
          <w:rFonts w:ascii="Palatino Linotype" w:eastAsia="Calibri" w:hAnsi="Palatino Linotype" w:cs="Arial"/>
          <w:b/>
          <w:lang w:val="es-ES"/>
        </w:rPr>
        <w:t>diciembre</w:t>
      </w:r>
      <w:r w:rsidR="00E61C13" w:rsidRPr="0022712B">
        <w:rPr>
          <w:rFonts w:ascii="Palatino Linotype" w:eastAsia="Calibri" w:hAnsi="Palatino Linotype" w:cs="Arial"/>
          <w:b/>
          <w:lang w:val="es-ES"/>
        </w:rPr>
        <w:t xml:space="preserve"> de dos mil veintidós</w:t>
      </w:r>
      <w:r>
        <w:rPr>
          <w:rFonts w:ascii="Palatino Linotype" w:eastAsia="Calibri" w:hAnsi="Palatino Linotype" w:cs="Arial"/>
          <w:b/>
          <w:lang w:val="es-ES"/>
        </w:rPr>
        <w:t xml:space="preserve"> y once de enero de dos mil veintitrés</w:t>
      </w:r>
      <w:r w:rsidR="009F09BC" w:rsidRPr="0022712B">
        <w:rPr>
          <w:rFonts w:ascii="Palatino Linotype" w:hAnsi="Palatino Linotype"/>
          <w:b/>
        </w:rPr>
        <w:t xml:space="preserve">, </w:t>
      </w:r>
      <w:r w:rsidR="009F09BC" w:rsidRPr="0022712B">
        <w:rPr>
          <w:rFonts w:ascii="Palatino Linotype" w:eastAsia="Calibri" w:hAnsi="Palatino Linotype" w:cs="Arial"/>
          <w:lang w:val="es-ES"/>
        </w:rPr>
        <w:t xml:space="preserve">se presentó ante el </w:t>
      </w:r>
      <w:r w:rsidR="009F09BC" w:rsidRPr="0022712B">
        <w:rPr>
          <w:rFonts w:ascii="Palatino Linotype" w:eastAsia="Calibri" w:hAnsi="Palatino Linotype" w:cs="Arial"/>
          <w:b/>
          <w:lang w:val="es-ES"/>
        </w:rPr>
        <w:t>SUJETO OBLIGADO</w:t>
      </w:r>
      <w:r w:rsidR="009F09BC" w:rsidRPr="0022712B">
        <w:rPr>
          <w:rFonts w:ascii="Palatino Linotype" w:eastAsia="Calibri" w:hAnsi="Palatino Linotype" w:cs="Arial"/>
        </w:rPr>
        <w:t xml:space="preserve"> vía </w:t>
      </w:r>
      <w:r w:rsidR="008A699B" w:rsidRPr="0022712B">
        <w:rPr>
          <w:rFonts w:ascii="Palatino Linotype" w:eastAsia="Calibri" w:hAnsi="Palatino Linotype" w:cs="Arial"/>
          <w:lang w:val="es-ES"/>
        </w:rPr>
        <w:t>SAIMEX, la</w:t>
      </w:r>
      <w:r>
        <w:rPr>
          <w:rFonts w:ascii="Palatino Linotype" w:eastAsia="Calibri" w:hAnsi="Palatino Linotype" w:cs="Arial"/>
          <w:lang w:val="es-ES"/>
        </w:rPr>
        <w:t>s</w:t>
      </w:r>
      <w:r w:rsidR="008A699B" w:rsidRPr="0022712B">
        <w:rPr>
          <w:rFonts w:ascii="Palatino Linotype" w:eastAsia="Calibri" w:hAnsi="Palatino Linotype" w:cs="Arial"/>
          <w:lang w:val="es-ES"/>
        </w:rPr>
        <w:t xml:space="preserve"> solicitud</w:t>
      </w:r>
      <w:r>
        <w:rPr>
          <w:rFonts w:ascii="Palatino Linotype" w:eastAsia="Calibri" w:hAnsi="Palatino Linotype" w:cs="Arial"/>
          <w:lang w:val="es-ES"/>
        </w:rPr>
        <w:t>es</w:t>
      </w:r>
      <w:r w:rsidR="009F09BC" w:rsidRPr="0022712B">
        <w:rPr>
          <w:rFonts w:ascii="Palatino Linotype" w:eastAsia="Calibri" w:hAnsi="Palatino Linotype" w:cs="Arial"/>
          <w:lang w:val="es-ES"/>
        </w:rPr>
        <w:t xml:space="preserve"> de información pública</w:t>
      </w:r>
      <w:r w:rsidR="008A699B" w:rsidRPr="0022712B">
        <w:rPr>
          <w:rFonts w:ascii="Palatino Linotype" w:eastAsia="Calibri" w:hAnsi="Palatino Linotype" w:cs="Arial"/>
          <w:lang w:val="es-ES"/>
        </w:rPr>
        <w:t xml:space="preserve"> registrada</w:t>
      </w:r>
      <w:r>
        <w:rPr>
          <w:rFonts w:ascii="Palatino Linotype" w:eastAsia="Calibri" w:hAnsi="Palatino Linotype" w:cs="Arial"/>
          <w:lang w:val="es-ES"/>
        </w:rPr>
        <w:t>s</w:t>
      </w:r>
      <w:r w:rsidR="009F09BC" w:rsidRPr="0022712B">
        <w:rPr>
          <w:rFonts w:ascii="Palatino Linotype" w:eastAsia="Calibri" w:hAnsi="Palatino Linotype" w:cs="Arial"/>
          <w:lang w:val="es-ES"/>
        </w:rPr>
        <w:t xml:space="preserve"> con </w:t>
      </w:r>
      <w:r w:rsidR="008A699B" w:rsidRPr="0022712B">
        <w:rPr>
          <w:rFonts w:ascii="Palatino Linotype" w:eastAsia="Calibri" w:hAnsi="Palatino Linotype" w:cs="Arial"/>
          <w:lang w:val="es-ES"/>
        </w:rPr>
        <w:t>l</w:t>
      </w:r>
      <w:r>
        <w:rPr>
          <w:rFonts w:ascii="Palatino Linotype" w:eastAsia="Calibri" w:hAnsi="Palatino Linotype" w:cs="Arial"/>
          <w:lang w:val="es-ES"/>
        </w:rPr>
        <w:t>os</w:t>
      </w:r>
      <w:r w:rsidR="008A699B" w:rsidRPr="0022712B">
        <w:rPr>
          <w:rFonts w:ascii="Palatino Linotype" w:eastAsia="Calibri" w:hAnsi="Palatino Linotype" w:cs="Arial"/>
          <w:lang w:val="es-ES"/>
        </w:rPr>
        <w:t xml:space="preserve"> </w:t>
      </w:r>
      <w:r w:rsidR="009F09BC" w:rsidRPr="0022712B">
        <w:rPr>
          <w:rFonts w:ascii="Palatino Linotype" w:eastAsia="Calibri" w:hAnsi="Palatino Linotype" w:cs="Arial"/>
          <w:lang w:val="es-ES"/>
        </w:rPr>
        <w:t>número</w:t>
      </w:r>
      <w:r>
        <w:rPr>
          <w:rFonts w:ascii="Palatino Linotype" w:eastAsia="Calibri" w:hAnsi="Palatino Linotype" w:cs="Arial"/>
          <w:lang w:val="es-ES"/>
        </w:rPr>
        <w:t>s</w:t>
      </w:r>
      <w:r w:rsidR="009F09BC" w:rsidRPr="0022712B">
        <w:rPr>
          <w:rFonts w:ascii="Palatino Linotype" w:hAnsi="Palatino Linotype"/>
          <w:b/>
          <w:bCs/>
          <w:color w:val="000000" w:themeColor="text1"/>
        </w:rPr>
        <w:t xml:space="preserve"> </w:t>
      </w:r>
      <w:r w:rsidR="002D4A6F">
        <w:rPr>
          <w:rFonts w:ascii="Palatino Linotype" w:hAnsi="Palatino Linotype"/>
          <w:b/>
          <w:bCs/>
          <w:color w:val="000000" w:themeColor="text1"/>
        </w:rPr>
        <w:t>00442/ATENCO/IP/2022</w:t>
      </w:r>
      <w:r>
        <w:rPr>
          <w:rFonts w:ascii="Palatino Linotype" w:hAnsi="Palatino Linotype"/>
          <w:b/>
          <w:bCs/>
          <w:color w:val="000000" w:themeColor="text1"/>
        </w:rPr>
        <w:t xml:space="preserve"> y </w:t>
      </w:r>
      <w:r w:rsidRPr="005D7F9B">
        <w:rPr>
          <w:rFonts w:ascii="Palatino Linotype" w:hAnsi="Palatino Linotype"/>
          <w:b/>
          <w:bCs/>
          <w:color w:val="000000" w:themeColor="text1"/>
        </w:rPr>
        <w:t>00006/ATENCO/IP/2023</w:t>
      </w:r>
      <w:r w:rsidR="009F09BC" w:rsidRPr="0022712B">
        <w:rPr>
          <w:rFonts w:ascii="Palatino Linotype" w:hAnsi="Palatino Linotype"/>
          <w:b/>
          <w:bCs/>
          <w:color w:val="000000" w:themeColor="text1"/>
        </w:rPr>
        <w:t xml:space="preserve">; </w:t>
      </w:r>
      <w:r w:rsidR="009F09BC" w:rsidRPr="0022712B">
        <w:rPr>
          <w:rFonts w:ascii="Palatino Linotype" w:eastAsia="Calibri" w:hAnsi="Palatino Linotype" w:cs="Arial"/>
          <w:lang w:val="es-ES"/>
        </w:rPr>
        <w:t>mediante la</w:t>
      </w:r>
      <w:r>
        <w:rPr>
          <w:rFonts w:ascii="Palatino Linotype" w:eastAsia="Calibri" w:hAnsi="Palatino Linotype" w:cs="Arial"/>
          <w:lang w:val="es-ES"/>
        </w:rPr>
        <w:t>s</w:t>
      </w:r>
      <w:r w:rsidR="009F09BC" w:rsidRPr="0022712B">
        <w:rPr>
          <w:rFonts w:ascii="Palatino Linotype" w:eastAsia="Calibri" w:hAnsi="Palatino Linotype" w:cs="Arial"/>
          <w:lang w:val="es-ES"/>
        </w:rPr>
        <w:t xml:space="preserve"> cual</w:t>
      </w:r>
      <w:r>
        <w:rPr>
          <w:rFonts w:ascii="Palatino Linotype" w:eastAsia="Calibri" w:hAnsi="Palatino Linotype" w:cs="Arial"/>
          <w:lang w:val="es-ES"/>
        </w:rPr>
        <w:t>es</w:t>
      </w:r>
      <w:r w:rsidR="009F09BC" w:rsidRPr="0022712B">
        <w:rPr>
          <w:rFonts w:ascii="Palatino Linotype" w:eastAsia="Calibri" w:hAnsi="Palatino Linotype" w:cs="Arial"/>
          <w:lang w:val="es-ES"/>
        </w:rPr>
        <w:t xml:space="preserve"> se solicitó la siguiente información:</w:t>
      </w:r>
    </w:p>
    <w:p w:rsidR="008A699B" w:rsidRPr="0022712B" w:rsidRDefault="008A699B" w:rsidP="0022712B">
      <w:pPr>
        <w:pStyle w:val="Prrafodelista"/>
        <w:spacing w:before="240" w:after="240" w:line="360" w:lineRule="auto"/>
        <w:ind w:left="0"/>
        <w:jc w:val="both"/>
        <w:rPr>
          <w:rFonts w:ascii="Palatino Linotype" w:eastAsia="Calibri" w:hAnsi="Palatino Linotype" w:cs="Arial"/>
          <w:lang w:val="es-ES"/>
        </w:rPr>
      </w:pPr>
    </w:p>
    <w:p w:rsidR="005D7F9B" w:rsidRDefault="008A699B" w:rsidP="0022712B">
      <w:pPr>
        <w:pStyle w:val="Prrafodelista"/>
        <w:ind w:left="426" w:right="476"/>
        <w:jc w:val="both"/>
        <w:rPr>
          <w:rFonts w:ascii="Palatino Linotype" w:hAnsi="Palatino Linotype"/>
          <w:i/>
        </w:rPr>
      </w:pPr>
      <w:r w:rsidRPr="0022712B">
        <w:rPr>
          <w:rFonts w:ascii="Palatino Linotype" w:hAnsi="Palatino Linotype"/>
          <w:i/>
        </w:rPr>
        <w:t>“</w:t>
      </w:r>
      <w:r w:rsidR="002D4A6F" w:rsidRPr="002D4A6F">
        <w:rPr>
          <w:rFonts w:ascii="Palatino Linotype" w:hAnsi="Palatino Linotype"/>
          <w:i/>
        </w:rPr>
        <w:t xml:space="preserve">De acuerdo a lo establecido en nuestra Constitución Política de los Estados Unidos Mexicanos en su </w:t>
      </w:r>
      <w:proofErr w:type="spellStart"/>
      <w:r w:rsidR="002D4A6F" w:rsidRPr="002D4A6F">
        <w:rPr>
          <w:rFonts w:ascii="Palatino Linotype" w:hAnsi="Palatino Linotype"/>
          <w:i/>
        </w:rPr>
        <w:t>articulo</w:t>
      </w:r>
      <w:proofErr w:type="spellEnd"/>
      <w:r w:rsidR="002D4A6F" w:rsidRPr="002D4A6F">
        <w:rPr>
          <w:rFonts w:ascii="Palatino Linotype" w:hAnsi="Palatino Linotype"/>
          <w:i/>
        </w:rPr>
        <w:t xml:space="preserve"> 6to, así como la Ley de Transparencia y Acceso a la Información </w:t>
      </w:r>
      <w:proofErr w:type="spellStart"/>
      <w:r w:rsidR="002D4A6F" w:rsidRPr="002D4A6F">
        <w:rPr>
          <w:rFonts w:ascii="Palatino Linotype" w:hAnsi="Palatino Linotype"/>
          <w:i/>
        </w:rPr>
        <w:t>Publica</w:t>
      </w:r>
      <w:proofErr w:type="spellEnd"/>
      <w:r w:rsidR="002D4A6F" w:rsidRPr="002D4A6F">
        <w:rPr>
          <w:rFonts w:ascii="Palatino Linotype" w:hAnsi="Palatino Linotype"/>
          <w:i/>
        </w:rPr>
        <w:t xml:space="preserve"> del Estado de México y Municipios dentro sus numerales 51, 52, 155, 160, 163, 166, 173, y 175, solicito todos y cada uno de los recibos de </w:t>
      </w:r>
      <w:proofErr w:type="spellStart"/>
      <w:r w:rsidR="002D4A6F" w:rsidRPr="002D4A6F">
        <w:rPr>
          <w:rFonts w:ascii="Palatino Linotype" w:hAnsi="Palatino Linotype"/>
          <w:i/>
        </w:rPr>
        <w:t>nomina</w:t>
      </w:r>
      <w:proofErr w:type="spellEnd"/>
      <w:r w:rsidR="002D4A6F" w:rsidRPr="002D4A6F">
        <w:rPr>
          <w:rFonts w:ascii="Palatino Linotype" w:hAnsi="Palatino Linotype"/>
          <w:i/>
        </w:rPr>
        <w:t xml:space="preserve"> de todo el Ayuntamiento de Atenco así como de Organismos Descentralizados correspondientes </w:t>
      </w:r>
      <w:proofErr w:type="spellStart"/>
      <w:r w:rsidR="002D4A6F" w:rsidRPr="002D4A6F">
        <w:rPr>
          <w:rFonts w:ascii="Palatino Linotype" w:hAnsi="Palatino Linotype"/>
          <w:i/>
        </w:rPr>
        <w:t>al</w:t>
      </w:r>
      <w:proofErr w:type="spellEnd"/>
      <w:r w:rsidR="002D4A6F" w:rsidRPr="002D4A6F">
        <w:rPr>
          <w:rFonts w:ascii="Palatino Linotype" w:hAnsi="Palatino Linotype"/>
          <w:i/>
        </w:rPr>
        <w:t xml:space="preserve"> los meses de octubre, noviembre y diciembre, así como la décima sesión extraordinaria de cabildo</w:t>
      </w:r>
      <w:r w:rsidRPr="0022712B">
        <w:rPr>
          <w:rFonts w:ascii="Palatino Linotype" w:hAnsi="Palatino Linotype"/>
          <w:i/>
        </w:rPr>
        <w:t>”</w:t>
      </w:r>
    </w:p>
    <w:p w:rsidR="005D7F9B" w:rsidRPr="00107D97" w:rsidRDefault="005D7F9B" w:rsidP="0022712B">
      <w:pPr>
        <w:pStyle w:val="Prrafodelista"/>
        <w:ind w:left="426" w:right="476"/>
        <w:jc w:val="both"/>
        <w:rPr>
          <w:rFonts w:ascii="Palatino Linotype" w:hAnsi="Palatino Linotype"/>
        </w:rPr>
      </w:pPr>
    </w:p>
    <w:p w:rsidR="005D7F9B" w:rsidRDefault="005D7F9B" w:rsidP="0022712B">
      <w:pPr>
        <w:pStyle w:val="Prrafodelista"/>
        <w:ind w:left="426" w:right="476"/>
        <w:jc w:val="both"/>
        <w:rPr>
          <w:rFonts w:ascii="Palatino Linotype" w:hAnsi="Palatino Linotype"/>
          <w:i/>
        </w:rPr>
      </w:pPr>
      <w:r>
        <w:rPr>
          <w:rFonts w:ascii="Palatino Linotype" w:hAnsi="Palatino Linotype"/>
          <w:i/>
        </w:rPr>
        <w:lastRenderedPageBreak/>
        <w:t>“</w:t>
      </w:r>
      <w:r w:rsidRPr="005D7F9B">
        <w:rPr>
          <w:rFonts w:ascii="Palatino Linotype" w:hAnsi="Palatino Linotype"/>
          <w:i/>
        </w:rPr>
        <w:t>De acuerdo a lo establecido en el artículo 6to de nuestra Constitución Política de los Estados Unidos Mexicanos, artículo 5to de la Constitución Política del Estado Libre y Soberano de México, así como la Ley de Transparencia y Acceso a la Información Pública del Estado de México y Municipios dentro sus numerales 51, 52, 155, 160, 163, 166, 173, y 175, solicito al área de recursos humanos o su similar, al área de Tesorería o su similar, así como a la Secretaria de Ayuntamiento lo siguiente: Recibos de Nomina de todos y cada uno de los servidores públicos del H. Ayuntamiento de Atenco correspondientes a la primera y segunda quincena del mes de diciembre del 2022 Recibos de prima vacacional y aguinaldo de todos y cada uno de los servidores públicos del H. Ayuntamiento de Atenco correspondientes al mes de diciembre del 2022 Acta de cabildo correspondiente a la 10ma sesión extraordinaria En caso de que no se haya distribuido la prima vacacional y el aguinaldo de acuerdo a lo aprobado en la 10ma sesión extraordinaria de cabildo, solicito la motivación y fundamentación del incumplimiento a esta aprobación</w:t>
      </w:r>
      <w:r>
        <w:rPr>
          <w:rFonts w:ascii="Palatino Linotype" w:hAnsi="Palatino Linotype"/>
          <w:i/>
        </w:rPr>
        <w:t>”</w:t>
      </w:r>
    </w:p>
    <w:p w:rsidR="009F09BC" w:rsidRPr="0022712B" w:rsidRDefault="00C00157" w:rsidP="0022712B">
      <w:pPr>
        <w:pStyle w:val="Prrafodelista"/>
        <w:ind w:left="426" w:right="476"/>
        <w:jc w:val="both"/>
        <w:rPr>
          <w:rFonts w:ascii="Palatino Linotype" w:hAnsi="Palatino Linotype"/>
        </w:rPr>
      </w:pPr>
      <w:r w:rsidRPr="0022712B">
        <w:rPr>
          <w:rFonts w:ascii="Palatino Linotype" w:hAnsi="Palatino Linotype"/>
          <w:i/>
        </w:rPr>
        <w:t xml:space="preserve"> </w:t>
      </w:r>
      <w:r w:rsidRPr="0022712B">
        <w:rPr>
          <w:rFonts w:ascii="Palatino Linotype" w:hAnsi="Palatino Linotype"/>
        </w:rPr>
        <w:t>(Sic)</w:t>
      </w:r>
    </w:p>
    <w:p w:rsidR="008A699B" w:rsidRPr="0022712B" w:rsidRDefault="008A699B" w:rsidP="0022712B">
      <w:pPr>
        <w:pStyle w:val="Prrafodelista"/>
        <w:spacing w:line="360" w:lineRule="auto"/>
        <w:ind w:left="0" w:right="34"/>
        <w:jc w:val="both"/>
        <w:rPr>
          <w:rFonts w:ascii="Palatino Linotype" w:hAnsi="Palatino Linotype"/>
        </w:rPr>
      </w:pPr>
    </w:p>
    <w:p w:rsidR="009F09BC" w:rsidRPr="005D7F9B" w:rsidRDefault="009F09BC" w:rsidP="0022712B">
      <w:pPr>
        <w:pStyle w:val="Prrafodelista"/>
        <w:numPr>
          <w:ilvl w:val="0"/>
          <w:numId w:val="23"/>
        </w:numPr>
        <w:spacing w:line="360" w:lineRule="auto"/>
        <w:ind w:left="851" w:right="34"/>
        <w:jc w:val="both"/>
        <w:rPr>
          <w:rFonts w:ascii="Palatino Linotype" w:hAnsi="Palatino Linotype"/>
        </w:rPr>
      </w:pPr>
      <w:r w:rsidRPr="0022712B">
        <w:rPr>
          <w:rFonts w:ascii="Palatino Linotype" w:eastAsia="Times New Roman" w:hAnsi="Palatino Linotype" w:cs="Arial"/>
          <w:lang w:val="es-ES"/>
        </w:rPr>
        <w:t>Se eligió como modalidad de entrega de la información</w:t>
      </w:r>
      <w:r w:rsidRPr="0022712B">
        <w:rPr>
          <w:rFonts w:ascii="Palatino Linotype" w:hAnsi="Palatino Linotype"/>
        </w:rPr>
        <w:t xml:space="preserve">: A través del </w:t>
      </w:r>
      <w:r w:rsidRPr="0022712B">
        <w:rPr>
          <w:rFonts w:ascii="Palatino Linotype" w:hAnsi="Palatino Linotype"/>
          <w:b/>
        </w:rPr>
        <w:t>SAIMEX</w:t>
      </w:r>
      <w:r w:rsidR="00377D00" w:rsidRPr="0022712B">
        <w:rPr>
          <w:rFonts w:ascii="Palatino Linotype" w:hAnsi="Palatino Linotype"/>
          <w:b/>
        </w:rPr>
        <w:t>.</w:t>
      </w:r>
    </w:p>
    <w:p w:rsidR="005D7F9B" w:rsidRPr="0022712B" w:rsidRDefault="005D7F9B" w:rsidP="005D7F9B">
      <w:pPr>
        <w:pStyle w:val="Prrafodelista"/>
        <w:spacing w:line="360" w:lineRule="auto"/>
        <w:ind w:left="851" w:right="34"/>
        <w:jc w:val="both"/>
        <w:rPr>
          <w:rFonts w:ascii="Palatino Linotype" w:hAnsi="Palatino Linotype"/>
        </w:rPr>
      </w:pPr>
    </w:p>
    <w:p w:rsidR="00BE2A9D" w:rsidRPr="005F799C" w:rsidRDefault="005D7F9B" w:rsidP="005D7F9B">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1955800</wp:posOffset>
                </wp:positionV>
                <wp:extent cx="5588000" cy="1644650"/>
                <wp:effectExtent l="0" t="0" r="31750" b="31750"/>
                <wp:wrapNone/>
                <wp:docPr id="1" name="Conector recto 1"/>
                <wp:cNvGraphicFramePr/>
                <a:graphic xmlns:a="http://schemas.openxmlformats.org/drawingml/2006/main">
                  <a:graphicData uri="http://schemas.microsoft.com/office/word/2010/wordprocessingShape">
                    <wps:wsp>
                      <wps:cNvCnPr/>
                      <wps:spPr>
                        <a:xfrm>
                          <a:off x="0" y="0"/>
                          <a:ext cx="5588000" cy="1644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3141D" id="Conector recto 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154pt" to="828.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" strokecolor="black [3200]" strokeweight="1.5pt">
                <v:stroke joinstyle="miter"/>
                <w10:wrap anchorx="margin"/>
              </v:line>
            </w:pict>
          </mc:Fallback>
        </mc:AlternateContent>
      </w:r>
      <w:r w:rsidR="00BE2A9D" w:rsidRPr="0022712B">
        <w:rPr>
          <w:rFonts w:ascii="Palatino Linotype" w:hAnsi="Palatino Linotype" w:cs="Arial"/>
          <w:color w:val="000000" w:themeColor="text1"/>
        </w:rPr>
        <w:t xml:space="preserve">El </w:t>
      </w:r>
      <w:r w:rsidR="005F799C">
        <w:rPr>
          <w:rFonts w:ascii="Palatino Linotype" w:hAnsi="Palatino Linotype" w:cs="Arial"/>
          <w:b/>
          <w:color w:val="000000" w:themeColor="text1"/>
        </w:rPr>
        <w:t>diecisiete</w:t>
      </w:r>
      <w:r w:rsidR="00C00157" w:rsidRPr="0022712B">
        <w:rPr>
          <w:rFonts w:ascii="Palatino Linotype" w:hAnsi="Palatino Linotype" w:cs="Arial"/>
          <w:b/>
          <w:color w:val="000000" w:themeColor="text1"/>
        </w:rPr>
        <w:t xml:space="preserve"> de </w:t>
      </w:r>
      <w:r w:rsidR="005F799C">
        <w:rPr>
          <w:rFonts w:ascii="Palatino Linotype" w:hAnsi="Palatino Linotype" w:cs="Arial"/>
          <w:b/>
          <w:color w:val="000000" w:themeColor="text1"/>
        </w:rPr>
        <w:t>ener</w:t>
      </w:r>
      <w:r w:rsidR="000F3482">
        <w:rPr>
          <w:rFonts w:ascii="Palatino Linotype" w:hAnsi="Palatino Linotype" w:cs="Arial"/>
          <w:b/>
          <w:color w:val="000000" w:themeColor="text1"/>
        </w:rPr>
        <w:t>o</w:t>
      </w:r>
      <w:r w:rsidR="005F799C">
        <w:rPr>
          <w:rFonts w:ascii="Palatino Linotype" w:hAnsi="Palatino Linotype" w:cs="Arial"/>
          <w:b/>
          <w:color w:val="000000" w:themeColor="text1"/>
        </w:rPr>
        <w:t xml:space="preserve"> </w:t>
      </w:r>
      <w:r>
        <w:rPr>
          <w:rFonts w:ascii="Palatino Linotype" w:hAnsi="Palatino Linotype" w:cs="Arial"/>
          <w:b/>
          <w:color w:val="000000" w:themeColor="text1"/>
        </w:rPr>
        <w:t>y uno de febrero</w:t>
      </w:r>
      <w:r w:rsidRPr="005D7F9B">
        <w:rPr>
          <w:rFonts w:ascii="Palatino Linotype" w:hAnsi="Palatino Linotype" w:cs="Arial"/>
          <w:b/>
          <w:color w:val="000000" w:themeColor="text1"/>
        </w:rPr>
        <w:t xml:space="preserve"> </w:t>
      </w:r>
      <w:r>
        <w:rPr>
          <w:rFonts w:ascii="Palatino Linotype" w:hAnsi="Palatino Linotype" w:cs="Arial"/>
          <w:b/>
          <w:color w:val="000000" w:themeColor="text1"/>
        </w:rPr>
        <w:t>de dos mil veintitré</w:t>
      </w:r>
      <w:r w:rsidRPr="0022712B">
        <w:rPr>
          <w:rFonts w:ascii="Palatino Linotype" w:hAnsi="Palatino Linotype" w:cs="Arial"/>
          <w:b/>
          <w:color w:val="000000" w:themeColor="text1"/>
        </w:rPr>
        <w:t>s</w:t>
      </w:r>
      <w:r w:rsidR="009F09BC" w:rsidRPr="0022712B">
        <w:rPr>
          <w:rFonts w:ascii="Palatino Linotype" w:hAnsi="Palatino Linotype" w:cs="Arial"/>
          <w:color w:val="000000" w:themeColor="text1"/>
        </w:rPr>
        <w:t xml:space="preserve">, el </w:t>
      </w:r>
      <w:r w:rsidR="009F09BC" w:rsidRPr="0022712B">
        <w:rPr>
          <w:rFonts w:ascii="Palatino Linotype" w:hAnsi="Palatino Linotype" w:cs="Arial"/>
          <w:b/>
          <w:color w:val="000000" w:themeColor="text1"/>
        </w:rPr>
        <w:t>SUJETO OBLIGADO,</w:t>
      </w:r>
      <w:r w:rsidR="009F09BC" w:rsidRPr="0022712B">
        <w:rPr>
          <w:rFonts w:ascii="Palatino Linotype" w:hAnsi="Palatino Linotype" w:cs="Arial"/>
          <w:color w:val="000000" w:themeColor="text1"/>
        </w:rPr>
        <w:t xml:space="preserve"> dio respuesta </w:t>
      </w:r>
      <w:r>
        <w:rPr>
          <w:rFonts w:ascii="Palatino Linotype" w:hAnsi="Palatino Linotype" w:cs="Arial"/>
          <w:color w:val="000000" w:themeColor="text1"/>
        </w:rPr>
        <w:t xml:space="preserve">respectivamente </w:t>
      </w:r>
      <w:r w:rsidR="00D87A9D" w:rsidRPr="0022712B">
        <w:rPr>
          <w:rFonts w:ascii="Palatino Linotype" w:hAnsi="Palatino Linotype" w:cs="Arial"/>
          <w:color w:val="000000" w:themeColor="text1"/>
        </w:rPr>
        <w:t xml:space="preserve">a través </w:t>
      </w:r>
      <w:r w:rsidR="005936F0" w:rsidRPr="0022712B">
        <w:rPr>
          <w:rFonts w:ascii="Palatino Linotype" w:hAnsi="Palatino Linotype" w:cs="Arial"/>
          <w:color w:val="000000" w:themeColor="text1"/>
        </w:rPr>
        <w:t>de</w:t>
      </w:r>
      <w:r w:rsidR="000F3482">
        <w:rPr>
          <w:rFonts w:ascii="Palatino Linotype" w:hAnsi="Palatino Linotype" w:cs="Arial"/>
          <w:color w:val="000000" w:themeColor="text1"/>
        </w:rPr>
        <w:t xml:space="preserve"> </w:t>
      </w:r>
      <w:r w:rsidR="00C00157" w:rsidRPr="0022712B">
        <w:rPr>
          <w:rFonts w:ascii="Palatino Linotype" w:hAnsi="Palatino Linotype" w:cs="Arial"/>
          <w:color w:val="000000" w:themeColor="text1"/>
        </w:rPr>
        <w:t>l</w:t>
      </w:r>
      <w:r w:rsidR="000F3482">
        <w:rPr>
          <w:rFonts w:ascii="Palatino Linotype" w:hAnsi="Palatino Linotype" w:cs="Arial"/>
          <w:color w:val="000000" w:themeColor="text1"/>
        </w:rPr>
        <w:t>os</w:t>
      </w:r>
      <w:r w:rsidR="005936F0" w:rsidRPr="0022712B">
        <w:rPr>
          <w:rFonts w:ascii="Palatino Linotype" w:hAnsi="Palatino Linotype" w:cs="Arial"/>
          <w:color w:val="000000" w:themeColor="text1"/>
        </w:rPr>
        <w:t xml:space="preserve"> archivo</w:t>
      </w:r>
      <w:r w:rsidR="000F3482">
        <w:rPr>
          <w:rFonts w:ascii="Palatino Linotype" w:hAnsi="Palatino Linotype" w:cs="Arial"/>
          <w:color w:val="000000" w:themeColor="text1"/>
        </w:rPr>
        <w:t>s</w:t>
      </w:r>
      <w:r w:rsidR="005936F0" w:rsidRPr="0022712B">
        <w:rPr>
          <w:rFonts w:ascii="Palatino Linotype" w:hAnsi="Palatino Linotype" w:cs="Arial"/>
          <w:color w:val="000000" w:themeColor="text1"/>
        </w:rPr>
        <w:t xml:space="preserve"> electrónico</w:t>
      </w:r>
      <w:r w:rsidR="000F3482">
        <w:rPr>
          <w:rFonts w:ascii="Palatino Linotype" w:hAnsi="Palatino Linotype" w:cs="Arial"/>
          <w:color w:val="000000" w:themeColor="text1"/>
        </w:rPr>
        <w:t>s</w:t>
      </w:r>
      <w:r w:rsidR="00C00157" w:rsidRPr="0022712B">
        <w:rPr>
          <w:rFonts w:ascii="Palatino Linotype" w:hAnsi="Palatino Linotype" w:cs="Arial"/>
          <w:color w:val="000000" w:themeColor="text1"/>
        </w:rPr>
        <w:t xml:space="preserve"> denominado</w:t>
      </w:r>
      <w:r w:rsidR="000F3482">
        <w:rPr>
          <w:rFonts w:ascii="Palatino Linotype" w:hAnsi="Palatino Linotype" w:cs="Arial"/>
          <w:color w:val="000000" w:themeColor="text1"/>
        </w:rPr>
        <w:t>s</w:t>
      </w:r>
      <w:r w:rsidR="005936F0" w:rsidRPr="0022712B">
        <w:rPr>
          <w:rFonts w:ascii="Palatino Linotype" w:hAnsi="Palatino Linotype" w:cs="Arial"/>
          <w:color w:val="000000" w:themeColor="text1"/>
        </w:rPr>
        <w:t xml:space="preserve"> </w:t>
      </w:r>
      <w:r w:rsidR="005F799C" w:rsidRPr="005F799C">
        <w:rPr>
          <w:rFonts w:ascii="Palatino Linotype" w:hAnsi="Palatino Linotype" w:cs="Arial"/>
          <w:b/>
          <w:i/>
          <w:color w:val="000000" w:themeColor="text1"/>
        </w:rPr>
        <w:t xml:space="preserve">Sol. </w:t>
      </w:r>
      <w:proofErr w:type="spellStart"/>
      <w:r w:rsidR="005F799C" w:rsidRPr="005F799C">
        <w:rPr>
          <w:rFonts w:ascii="Palatino Linotype" w:hAnsi="Palatino Linotype" w:cs="Arial"/>
          <w:b/>
          <w:i/>
          <w:color w:val="000000" w:themeColor="text1"/>
        </w:rPr>
        <w:t>Info</w:t>
      </w:r>
      <w:proofErr w:type="spellEnd"/>
      <w:r w:rsidR="005F799C" w:rsidRPr="005F799C">
        <w:rPr>
          <w:rFonts w:ascii="Palatino Linotype" w:hAnsi="Palatino Linotype" w:cs="Arial"/>
          <w:b/>
          <w:i/>
          <w:color w:val="000000" w:themeColor="text1"/>
        </w:rPr>
        <w:t xml:space="preserve"> 442.pdf, </w:t>
      </w:r>
      <w:proofErr w:type="spellStart"/>
      <w:r w:rsidR="005F799C" w:rsidRPr="005F799C">
        <w:rPr>
          <w:rFonts w:ascii="Palatino Linotype" w:hAnsi="Palatino Linotype" w:cs="Arial"/>
          <w:b/>
          <w:i/>
          <w:color w:val="000000" w:themeColor="text1"/>
        </w:rPr>
        <w:t>Resp</w:t>
      </w:r>
      <w:proofErr w:type="spellEnd"/>
      <w:r w:rsidR="005F799C" w:rsidRPr="005F799C">
        <w:rPr>
          <w:rFonts w:ascii="Palatino Linotype" w:hAnsi="Palatino Linotype" w:cs="Arial"/>
          <w:b/>
          <w:i/>
          <w:color w:val="000000" w:themeColor="text1"/>
        </w:rPr>
        <w:t xml:space="preserve">. Sol. 442 DIF.pdf, </w:t>
      </w:r>
      <w:proofErr w:type="spellStart"/>
      <w:r w:rsidR="005F799C" w:rsidRPr="005F799C">
        <w:rPr>
          <w:rFonts w:ascii="Palatino Linotype" w:hAnsi="Palatino Linotype" w:cs="Arial"/>
          <w:b/>
          <w:i/>
          <w:color w:val="000000" w:themeColor="text1"/>
        </w:rPr>
        <w:t>Resp</w:t>
      </w:r>
      <w:proofErr w:type="spellEnd"/>
      <w:r w:rsidR="005F799C" w:rsidRPr="005F799C">
        <w:rPr>
          <w:rFonts w:ascii="Palatino Linotype" w:hAnsi="Palatino Linotype" w:cs="Arial"/>
          <w:b/>
          <w:i/>
          <w:color w:val="000000" w:themeColor="text1"/>
        </w:rPr>
        <w:t>. S</w:t>
      </w:r>
      <w:r>
        <w:rPr>
          <w:rFonts w:ascii="Palatino Linotype" w:hAnsi="Palatino Linotype" w:cs="Arial"/>
          <w:b/>
          <w:i/>
          <w:color w:val="000000" w:themeColor="text1"/>
        </w:rPr>
        <w:t>ol. 442 RH.pdf, Acta 3 2023.pdf,</w:t>
      </w:r>
      <w:r w:rsidR="005F799C" w:rsidRPr="005F799C">
        <w:rPr>
          <w:rFonts w:ascii="Palatino Linotype" w:hAnsi="Palatino Linotype" w:cs="Arial"/>
          <w:b/>
          <w:i/>
          <w:color w:val="000000" w:themeColor="text1"/>
        </w:rPr>
        <w:t xml:space="preserve"> </w:t>
      </w:r>
      <w:proofErr w:type="spellStart"/>
      <w:r w:rsidR="005F799C" w:rsidRPr="005F799C">
        <w:rPr>
          <w:rFonts w:ascii="Palatino Linotype" w:hAnsi="Palatino Linotype" w:cs="Arial"/>
          <w:b/>
          <w:i/>
          <w:color w:val="000000" w:themeColor="text1"/>
        </w:rPr>
        <w:t>Resp</w:t>
      </w:r>
      <w:proofErr w:type="spellEnd"/>
      <w:r w:rsidR="005F799C" w:rsidRPr="005F799C">
        <w:rPr>
          <w:rFonts w:ascii="Palatino Linotype" w:hAnsi="Palatino Linotype" w:cs="Arial"/>
          <w:b/>
          <w:i/>
          <w:color w:val="000000" w:themeColor="text1"/>
        </w:rPr>
        <w:t>. Sol. 442 Secretaria.pdf</w:t>
      </w:r>
      <w:r w:rsidR="005936F0" w:rsidRPr="0022712B">
        <w:rPr>
          <w:rFonts w:ascii="Palatino Linotype" w:hAnsi="Palatino Linotype" w:cs="Arial"/>
          <w:b/>
          <w:i/>
          <w:color w:val="000000" w:themeColor="text1"/>
        </w:rPr>
        <w:t>,</w:t>
      </w:r>
      <w:r w:rsidR="005936F0" w:rsidRPr="0022712B">
        <w:rPr>
          <w:rFonts w:ascii="Palatino Linotype" w:hAnsi="Palatino Linotype" w:cs="Arial"/>
          <w:i/>
          <w:color w:val="000000" w:themeColor="text1"/>
        </w:rPr>
        <w:t xml:space="preserve"> </w:t>
      </w:r>
      <w:proofErr w:type="spellStart"/>
      <w:r w:rsidRPr="005D7F9B">
        <w:rPr>
          <w:rFonts w:ascii="Palatino Linotype" w:hAnsi="Palatino Linotype" w:cs="Arial"/>
          <w:b/>
          <w:i/>
          <w:color w:val="000000" w:themeColor="text1"/>
        </w:rPr>
        <w:t>Resp</w:t>
      </w:r>
      <w:proofErr w:type="spellEnd"/>
      <w:r w:rsidRPr="005D7F9B">
        <w:rPr>
          <w:rFonts w:ascii="Palatino Linotype" w:hAnsi="Palatino Linotype" w:cs="Arial"/>
          <w:b/>
          <w:i/>
          <w:color w:val="000000" w:themeColor="text1"/>
        </w:rPr>
        <w:t>. R.H. Sol. 00006</w:t>
      </w:r>
      <w:proofErr w:type="gramStart"/>
      <w:r w:rsidRPr="005D7F9B">
        <w:rPr>
          <w:rFonts w:ascii="Palatino Linotype" w:hAnsi="Palatino Linotype" w:cs="Arial"/>
          <w:b/>
          <w:i/>
          <w:color w:val="000000" w:themeColor="text1"/>
        </w:rPr>
        <w:t>.pdf</w:t>
      </w:r>
      <w:proofErr w:type="gramEnd"/>
      <w:r w:rsidRPr="005D7F9B">
        <w:rPr>
          <w:rFonts w:ascii="Palatino Linotype" w:hAnsi="Palatino Linotype" w:cs="Arial"/>
          <w:b/>
          <w:i/>
          <w:color w:val="000000" w:themeColor="text1"/>
        </w:rPr>
        <w:t xml:space="preserve">, 1aQ.DIC.pdf, PRIM VAC.pdf, AGUINALDO.pdf, </w:t>
      </w:r>
      <w:proofErr w:type="spellStart"/>
      <w:r w:rsidRPr="005D7F9B">
        <w:rPr>
          <w:rFonts w:ascii="Palatino Linotype" w:hAnsi="Palatino Linotype" w:cs="Arial"/>
          <w:b/>
          <w:i/>
          <w:color w:val="000000" w:themeColor="text1"/>
        </w:rPr>
        <w:t>Resp</w:t>
      </w:r>
      <w:proofErr w:type="spellEnd"/>
      <w:r w:rsidRPr="005D7F9B">
        <w:rPr>
          <w:rFonts w:ascii="Palatino Linotype" w:hAnsi="Palatino Linotype" w:cs="Arial"/>
          <w:b/>
          <w:i/>
          <w:color w:val="000000" w:themeColor="text1"/>
        </w:rPr>
        <w:t>. Sec. Sol. 00006</w:t>
      </w:r>
      <w:proofErr w:type="gramStart"/>
      <w:r w:rsidRPr="005D7F9B">
        <w:rPr>
          <w:rFonts w:ascii="Palatino Linotype" w:hAnsi="Palatino Linotype" w:cs="Arial"/>
          <w:b/>
          <w:i/>
          <w:color w:val="000000" w:themeColor="text1"/>
        </w:rPr>
        <w:t>.pdf</w:t>
      </w:r>
      <w:proofErr w:type="gramEnd"/>
      <w:r w:rsidRPr="005D7F9B">
        <w:rPr>
          <w:rFonts w:ascii="Palatino Linotype" w:hAnsi="Palatino Linotype" w:cs="Arial"/>
          <w:b/>
          <w:i/>
          <w:color w:val="000000" w:themeColor="text1"/>
        </w:rPr>
        <w:t>, 2aQ.DIC.pdf, Acta 4ta Sol. 00006</w:t>
      </w:r>
      <w:proofErr w:type="gramStart"/>
      <w:r w:rsidRPr="005D7F9B">
        <w:rPr>
          <w:rFonts w:ascii="Palatino Linotype" w:hAnsi="Palatino Linotype" w:cs="Arial"/>
          <w:b/>
          <w:i/>
          <w:color w:val="000000" w:themeColor="text1"/>
        </w:rPr>
        <w:t>.pdf</w:t>
      </w:r>
      <w:proofErr w:type="gramEnd"/>
      <w:r w:rsidRPr="005D7F9B">
        <w:rPr>
          <w:rFonts w:ascii="Palatino Linotype" w:hAnsi="Palatino Linotype" w:cs="Arial"/>
          <w:b/>
          <w:i/>
          <w:color w:val="000000" w:themeColor="text1"/>
        </w:rPr>
        <w:t xml:space="preserve">, Sol. 00006.pdf </w:t>
      </w:r>
      <w:r w:rsidR="005936F0" w:rsidRPr="0022712B">
        <w:rPr>
          <w:rFonts w:ascii="Palatino Linotype" w:hAnsi="Palatino Linotype" w:cs="Arial"/>
          <w:color w:val="000000" w:themeColor="text1"/>
        </w:rPr>
        <w:t xml:space="preserve">cuyo contenido </w:t>
      </w:r>
      <w:r w:rsidR="005936F0" w:rsidRPr="0022712B">
        <w:rPr>
          <w:rFonts w:ascii="Palatino Linotype" w:hAnsi="Palatino Linotype" w:cs="Arial"/>
          <w:i/>
          <w:color w:val="000000" w:themeColor="text1"/>
        </w:rPr>
        <w:t>grosso modo</w:t>
      </w:r>
      <w:r w:rsidR="005936F0" w:rsidRPr="0022712B">
        <w:rPr>
          <w:rFonts w:ascii="Palatino Linotype" w:hAnsi="Palatino Linotype" w:cs="Arial"/>
          <w:color w:val="000000" w:themeColor="text1"/>
        </w:rPr>
        <w:t xml:space="preserve"> </w:t>
      </w:r>
      <w:r w:rsidR="000F3482">
        <w:rPr>
          <w:rFonts w:ascii="Palatino Linotype" w:hAnsi="Palatino Linotype" w:cs="Arial"/>
          <w:color w:val="000000" w:themeColor="text1"/>
        </w:rPr>
        <w:t xml:space="preserve">corresponde a </w:t>
      </w:r>
      <w:r w:rsidR="005F799C">
        <w:rPr>
          <w:rFonts w:ascii="Palatino Linotype" w:hAnsi="Palatino Linotype" w:cs="Arial"/>
          <w:color w:val="000000" w:themeColor="text1"/>
        </w:rPr>
        <w:t>lo siguiente:</w:t>
      </w:r>
    </w:p>
    <w:p w:rsidR="005F799C" w:rsidRDefault="005F799C" w:rsidP="005F799C">
      <w:pPr>
        <w:pStyle w:val="Prrafodelista"/>
        <w:tabs>
          <w:tab w:val="left" w:pos="0"/>
        </w:tabs>
        <w:spacing w:line="360" w:lineRule="auto"/>
        <w:ind w:left="0" w:right="51"/>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extent cx="5308600" cy="6048076"/>
            <wp:effectExtent l="19050" t="19050" r="2540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45" cy="6055304"/>
                    </a:xfrm>
                    <a:prstGeom prst="rect">
                      <a:avLst/>
                    </a:prstGeom>
                    <a:noFill/>
                    <a:ln>
                      <a:solidFill>
                        <a:schemeClr val="tx1"/>
                      </a:solidFill>
                    </a:ln>
                  </pic:spPr>
                </pic:pic>
              </a:graphicData>
            </a:graphic>
          </wp:inline>
        </w:drawing>
      </w:r>
    </w:p>
    <w:p w:rsidR="005F799C" w:rsidRDefault="005F799C" w:rsidP="005F799C">
      <w:pPr>
        <w:pStyle w:val="Prrafodelista"/>
        <w:tabs>
          <w:tab w:val="left" w:pos="0"/>
        </w:tabs>
        <w:spacing w:line="360" w:lineRule="auto"/>
        <w:ind w:left="0" w:right="51"/>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extent cx="5327650" cy="6261797"/>
            <wp:effectExtent l="19050" t="19050" r="25400" b="247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1671" cy="6266523"/>
                    </a:xfrm>
                    <a:prstGeom prst="rect">
                      <a:avLst/>
                    </a:prstGeom>
                    <a:noFill/>
                    <a:ln>
                      <a:solidFill>
                        <a:schemeClr val="tx1"/>
                      </a:solidFill>
                    </a:ln>
                  </pic:spPr>
                </pic:pic>
              </a:graphicData>
            </a:graphic>
          </wp:inline>
        </w:drawing>
      </w:r>
    </w:p>
    <w:p w:rsidR="005F799C" w:rsidRDefault="005F799C" w:rsidP="005F799C">
      <w:pPr>
        <w:pStyle w:val="Prrafodelista"/>
        <w:tabs>
          <w:tab w:val="left" w:pos="0"/>
        </w:tabs>
        <w:spacing w:line="360" w:lineRule="auto"/>
        <w:ind w:left="0" w:right="51"/>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extent cx="5118100" cy="5813652"/>
            <wp:effectExtent l="19050" t="19050" r="25400"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716" cy="5817759"/>
                    </a:xfrm>
                    <a:prstGeom prst="rect">
                      <a:avLst/>
                    </a:prstGeom>
                    <a:noFill/>
                    <a:ln>
                      <a:solidFill>
                        <a:schemeClr val="tx1"/>
                      </a:solidFill>
                    </a:ln>
                  </pic:spPr>
                </pic:pic>
              </a:graphicData>
            </a:graphic>
          </wp:inline>
        </w:drawing>
      </w:r>
    </w:p>
    <w:p w:rsidR="005F799C" w:rsidRPr="0022712B" w:rsidRDefault="005F799C" w:rsidP="005F799C">
      <w:pPr>
        <w:pStyle w:val="Prrafodelista"/>
        <w:tabs>
          <w:tab w:val="left" w:pos="0"/>
        </w:tabs>
        <w:spacing w:line="360" w:lineRule="auto"/>
        <w:ind w:left="0" w:right="51"/>
        <w:jc w:val="center"/>
        <w:rPr>
          <w:rFonts w:ascii="Palatino Linotype" w:hAnsi="Palatino Linotype" w:cs="Arial"/>
          <w:i/>
          <w:color w:val="000000" w:themeColor="text1"/>
        </w:rPr>
      </w:pPr>
    </w:p>
    <w:p w:rsidR="009F09BC" w:rsidRPr="0022712B" w:rsidRDefault="009F09BC" w:rsidP="0022712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22712B">
        <w:rPr>
          <w:rFonts w:ascii="Palatino Linotype" w:eastAsia="Times New Roman" w:hAnsi="Palatino Linotype" w:cs="Arial"/>
          <w:color w:val="000000" w:themeColor="text1"/>
          <w:lang w:val="es-ES"/>
        </w:rPr>
        <w:t>E</w:t>
      </w:r>
      <w:r w:rsidR="002C4997" w:rsidRPr="0022712B">
        <w:rPr>
          <w:rFonts w:ascii="Palatino Linotype" w:eastAsia="Times New Roman" w:hAnsi="Palatino Linotype" w:cs="Arial"/>
          <w:color w:val="000000" w:themeColor="text1"/>
          <w:lang w:val="es-ES"/>
        </w:rPr>
        <w:t xml:space="preserve">l </w:t>
      </w:r>
      <w:r w:rsidR="00D262BF">
        <w:rPr>
          <w:rFonts w:ascii="Palatino Linotype" w:eastAsia="Times New Roman" w:hAnsi="Palatino Linotype" w:cs="Arial"/>
          <w:b/>
          <w:color w:val="000000" w:themeColor="text1"/>
          <w:lang w:val="es-ES"/>
        </w:rPr>
        <w:t>veinticinco de enero</w:t>
      </w:r>
      <w:r w:rsidR="00427F60" w:rsidRPr="0022712B">
        <w:rPr>
          <w:rFonts w:ascii="Palatino Linotype" w:eastAsia="Times New Roman" w:hAnsi="Palatino Linotype" w:cs="Arial"/>
          <w:b/>
          <w:color w:val="000000" w:themeColor="text1"/>
          <w:lang w:val="es-ES"/>
        </w:rPr>
        <w:t xml:space="preserve"> de dos mil </w:t>
      </w:r>
      <w:r w:rsidR="00D262BF">
        <w:rPr>
          <w:rFonts w:ascii="Palatino Linotype" w:eastAsia="Times New Roman" w:hAnsi="Palatino Linotype" w:cs="Arial"/>
          <w:b/>
          <w:color w:val="000000" w:themeColor="text1"/>
          <w:lang w:val="es-ES"/>
        </w:rPr>
        <w:t>veintitré</w:t>
      </w:r>
      <w:r w:rsidR="00D262BF" w:rsidRPr="0022712B">
        <w:rPr>
          <w:rFonts w:ascii="Palatino Linotype" w:eastAsia="Times New Roman" w:hAnsi="Palatino Linotype" w:cs="Arial"/>
          <w:b/>
          <w:color w:val="000000" w:themeColor="text1"/>
          <w:lang w:val="es-ES"/>
        </w:rPr>
        <w:t>s</w:t>
      </w:r>
      <w:r w:rsidRPr="0022712B">
        <w:rPr>
          <w:rFonts w:ascii="Palatino Linotype" w:eastAsia="Times New Roman" w:hAnsi="Palatino Linotype" w:cs="Arial"/>
          <w:color w:val="000000" w:themeColor="text1"/>
          <w:lang w:val="es-ES"/>
        </w:rPr>
        <w:t xml:space="preserve">, el particular interpuso </w:t>
      </w:r>
      <w:r w:rsidR="002C4997" w:rsidRPr="0022712B">
        <w:rPr>
          <w:rFonts w:ascii="Palatino Linotype" w:eastAsia="Times New Roman" w:hAnsi="Palatino Linotype" w:cs="Arial"/>
          <w:color w:val="000000" w:themeColor="text1"/>
          <w:lang w:val="es-ES"/>
        </w:rPr>
        <w:t>e</w:t>
      </w:r>
      <w:r w:rsidRPr="0022712B">
        <w:rPr>
          <w:rFonts w:ascii="Palatino Linotype" w:eastAsia="Times New Roman" w:hAnsi="Palatino Linotype" w:cs="Arial"/>
          <w:color w:val="000000" w:themeColor="text1"/>
          <w:lang w:val="es-ES"/>
        </w:rPr>
        <w:t>l recurso de revisión en contra de la respuesta, manifestando l</w:t>
      </w:r>
      <w:r w:rsidR="002C4997" w:rsidRPr="0022712B">
        <w:rPr>
          <w:rFonts w:ascii="Palatino Linotype" w:eastAsia="Times New Roman" w:hAnsi="Palatino Linotype" w:cs="Arial"/>
          <w:color w:val="000000" w:themeColor="text1"/>
          <w:lang w:val="es-ES"/>
        </w:rPr>
        <w:t>a</w:t>
      </w:r>
      <w:r w:rsidRPr="0022712B">
        <w:rPr>
          <w:rFonts w:ascii="Palatino Linotype" w:eastAsia="Times New Roman" w:hAnsi="Palatino Linotype" w:cs="Arial"/>
          <w:color w:val="000000" w:themeColor="text1"/>
          <w:lang w:val="es-ES"/>
        </w:rPr>
        <w:t xml:space="preserve">s </w:t>
      </w:r>
      <w:r w:rsidR="002C4997" w:rsidRPr="0022712B">
        <w:rPr>
          <w:rFonts w:ascii="Palatino Linotype" w:eastAsia="Times New Roman" w:hAnsi="Palatino Linotype" w:cs="Arial"/>
          <w:color w:val="000000" w:themeColor="text1"/>
          <w:lang w:val="es-ES"/>
        </w:rPr>
        <w:t>siguientes</w:t>
      </w:r>
      <w:r w:rsidRPr="0022712B">
        <w:rPr>
          <w:rFonts w:ascii="Palatino Linotype" w:eastAsia="Times New Roman" w:hAnsi="Palatino Linotype" w:cs="Arial"/>
          <w:color w:val="000000" w:themeColor="text1"/>
          <w:lang w:val="es-ES"/>
        </w:rPr>
        <w:t xml:space="preserve"> razones o motivos de inconformidad:</w:t>
      </w:r>
    </w:p>
    <w:p w:rsidR="009F09BC" w:rsidRPr="0022712B" w:rsidRDefault="009F09BC" w:rsidP="0022712B">
      <w:pPr>
        <w:pStyle w:val="Prrafodelista"/>
        <w:tabs>
          <w:tab w:val="left" w:pos="0"/>
        </w:tabs>
        <w:spacing w:line="360" w:lineRule="auto"/>
        <w:ind w:left="0" w:right="49"/>
        <w:jc w:val="both"/>
        <w:rPr>
          <w:rFonts w:ascii="Palatino Linotype" w:hAnsi="Palatino Linotype" w:cs="Arial"/>
          <w:i/>
          <w:color w:val="000000" w:themeColor="text1"/>
        </w:rPr>
      </w:pPr>
    </w:p>
    <w:p w:rsidR="00107D97" w:rsidRPr="00107D97" w:rsidRDefault="00107D97" w:rsidP="00107D97">
      <w:pPr>
        <w:pStyle w:val="Prrafodelista"/>
        <w:spacing w:line="360" w:lineRule="auto"/>
        <w:ind w:left="709"/>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Pr>
          <w:rFonts w:ascii="Palatino Linotype" w:hAnsi="Palatino Linotype"/>
          <w:b/>
          <w:bCs/>
          <w:color w:val="000000" w:themeColor="text1"/>
        </w:rPr>
        <w:lastRenderedPageBreak/>
        <w:t>00442/ATENCO/IP/2022</w:t>
      </w:r>
    </w:p>
    <w:p w:rsidR="009F09BC" w:rsidRPr="0022712B" w:rsidRDefault="009F09BC" w:rsidP="00D262BF">
      <w:pPr>
        <w:pStyle w:val="Prrafodelista"/>
        <w:numPr>
          <w:ilvl w:val="0"/>
          <w:numId w:val="23"/>
        </w:numPr>
        <w:spacing w:line="360" w:lineRule="auto"/>
        <w:ind w:left="709"/>
        <w:jc w:val="both"/>
        <w:rPr>
          <w:rStyle w:val="Ttulo2Car"/>
          <w:rFonts w:ascii="Palatino Linotype" w:hAnsi="Palatino Linotype"/>
          <w:i/>
          <w:color w:val="000000" w:themeColor="text1"/>
          <w:sz w:val="24"/>
          <w:szCs w:val="24"/>
        </w:rPr>
      </w:pPr>
      <w:r w:rsidRPr="0022712B">
        <w:rPr>
          <w:rStyle w:val="Ttulo2Car"/>
          <w:rFonts w:ascii="Palatino Linotype" w:hAnsi="Palatino Linotype"/>
          <w:b/>
          <w:color w:val="auto"/>
          <w:sz w:val="24"/>
          <w:szCs w:val="24"/>
        </w:rPr>
        <w:t>Acto impugnado</w:t>
      </w:r>
      <w:bookmarkEnd w:id="4"/>
      <w:r w:rsidRPr="0022712B">
        <w:rPr>
          <w:rStyle w:val="Ttulo2Car"/>
          <w:rFonts w:ascii="Palatino Linotype" w:hAnsi="Palatino Linotype"/>
          <w:b/>
          <w:color w:val="000000" w:themeColor="text1"/>
          <w:sz w:val="24"/>
          <w:szCs w:val="24"/>
        </w:rPr>
        <w:t xml:space="preserve">: </w:t>
      </w:r>
      <w:r w:rsidRPr="0022712B">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D262BF" w:rsidRPr="00D262BF">
        <w:rPr>
          <w:rStyle w:val="Ttulo2Car"/>
          <w:rFonts w:ascii="Palatino Linotype" w:hAnsi="Palatino Linotype"/>
          <w:i/>
          <w:color w:val="000000" w:themeColor="text1"/>
          <w:sz w:val="24"/>
          <w:szCs w:val="24"/>
        </w:rPr>
        <w:t>No se me entrego la información correspondiente a lo solicitado,</w:t>
      </w:r>
      <w:r w:rsidR="00652937" w:rsidRPr="0022712B">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936F0" w:rsidRPr="0022712B" w:rsidRDefault="005936F0" w:rsidP="0022712B">
      <w:pPr>
        <w:spacing w:line="360" w:lineRule="auto"/>
        <w:ind w:left="567"/>
        <w:jc w:val="both"/>
        <w:rPr>
          <w:rFonts w:ascii="Palatino Linotype" w:hAnsi="Palatino Linotype"/>
          <w:i/>
          <w:color w:val="000000" w:themeColor="text1"/>
        </w:rPr>
      </w:pPr>
    </w:p>
    <w:p w:rsidR="009F09BC" w:rsidRPr="0022712B" w:rsidRDefault="009F09BC" w:rsidP="00D262BF">
      <w:pPr>
        <w:pStyle w:val="Prrafodelista"/>
        <w:numPr>
          <w:ilvl w:val="0"/>
          <w:numId w:val="23"/>
        </w:numPr>
        <w:spacing w:line="360" w:lineRule="auto"/>
        <w:ind w:left="709"/>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22712B">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22712B">
        <w:rPr>
          <w:rFonts w:ascii="Palatino Linotype" w:hAnsi="Palatino Linotype"/>
          <w:b/>
          <w:color w:val="000000" w:themeColor="text1"/>
        </w:rPr>
        <w:t xml:space="preserve"> </w:t>
      </w:r>
      <w:r w:rsidRPr="0022712B">
        <w:rPr>
          <w:rFonts w:ascii="Palatino Linotype" w:hAnsi="Palatino Linotype"/>
          <w:i/>
          <w:color w:val="000000" w:themeColor="text1"/>
        </w:rPr>
        <w:t>“</w:t>
      </w:r>
      <w:r w:rsidR="00D262BF" w:rsidRPr="00D262BF">
        <w:rPr>
          <w:rFonts w:ascii="Palatino Linotype" w:hAnsi="Palatino Linotype"/>
          <w:i/>
          <w:color w:val="000000" w:themeColor="text1"/>
        </w:rPr>
        <w:t xml:space="preserve">No se me entrego la información correspondiente a lo solicitado, por parte de la jefatura de recursos humanos del H. Ayuntamiento de Atenco, ya que justifico que solo entrega la información de los recibos de </w:t>
      </w:r>
      <w:proofErr w:type="spellStart"/>
      <w:r w:rsidR="00D262BF" w:rsidRPr="00D262BF">
        <w:rPr>
          <w:rFonts w:ascii="Palatino Linotype" w:hAnsi="Palatino Linotype"/>
          <w:i/>
          <w:color w:val="000000" w:themeColor="text1"/>
        </w:rPr>
        <w:t>nomina</w:t>
      </w:r>
      <w:proofErr w:type="spellEnd"/>
      <w:r w:rsidR="00D262BF" w:rsidRPr="00D262BF">
        <w:rPr>
          <w:rFonts w:ascii="Palatino Linotype" w:hAnsi="Palatino Linotype"/>
          <w:i/>
          <w:color w:val="000000" w:themeColor="text1"/>
        </w:rPr>
        <w:t xml:space="preserve"> de la presidenta, regidores, sindico, por que para ella eso es el ayuntamiento, sin embargo es de bien saber que dentro de las atribuciones del presidente en este caso de la presidenta como miembro del Ayuntamiento, también tiene la facultad de conformar y proponer y en su caso da los respectivos nombramientos de las personas titulares que conformaran la administración pública, por lo que requiero también se me sean entregados los recibos faltantes, así como los correspondientes al pago de aguinaldo ya que no se encuentran dentro de lo solicitado, sin embrago de acuerdo a la Ley se debe pagar prima vacacional y aguinaldo en el mes de diciembre, especificando que es correspondiente a este año, añadiendo que esto causa un agravio a mi interés jurídico y garantías individuales puesto que dicha omisión puede dejar en total estado de </w:t>
      </w:r>
      <w:proofErr w:type="spellStart"/>
      <w:r w:rsidR="00D262BF" w:rsidRPr="00D262BF">
        <w:rPr>
          <w:rFonts w:ascii="Palatino Linotype" w:hAnsi="Palatino Linotype"/>
          <w:i/>
          <w:color w:val="000000" w:themeColor="text1"/>
        </w:rPr>
        <w:t>indefension</w:t>
      </w:r>
      <w:proofErr w:type="spellEnd"/>
      <w:r w:rsidR="00D262BF" w:rsidRPr="00D262BF">
        <w:rPr>
          <w:rFonts w:ascii="Palatino Linotype" w:hAnsi="Palatino Linotype"/>
          <w:i/>
          <w:color w:val="000000" w:themeColor="text1"/>
        </w:rPr>
        <w:t xml:space="preserve"> a un servidor, en mi carácter de solicitante</w:t>
      </w:r>
      <w:r w:rsidRPr="0022712B">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2142B" w:rsidRDefault="0082142B" w:rsidP="0022712B">
      <w:pPr>
        <w:spacing w:line="360" w:lineRule="auto"/>
        <w:rPr>
          <w:rFonts w:ascii="Palatino Linotype" w:hAnsi="Palatino Linotype"/>
          <w:i/>
          <w:color w:val="000000" w:themeColor="text1"/>
        </w:rPr>
      </w:pPr>
    </w:p>
    <w:p w:rsidR="00107D97" w:rsidRDefault="00107D97" w:rsidP="00107D97">
      <w:pPr>
        <w:spacing w:line="360" w:lineRule="auto"/>
        <w:rPr>
          <w:rFonts w:ascii="Palatino Linotype" w:hAnsi="Palatino Linotype"/>
          <w:b/>
          <w:color w:val="000000" w:themeColor="text1"/>
        </w:rPr>
      </w:pPr>
      <w:r w:rsidRPr="00107D97">
        <w:rPr>
          <w:rFonts w:ascii="Palatino Linotype" w:hAnsi="Palatino Linotype"/>
          <w:b/>
          <w:color w:val="000000" w:themeColor="text1"/>
        </w:rPr>
        <w:t>00006/ATENCO/IP/2023</w:t>
      </w:r>
    </w:p>
    <w:p w:rsidR="00107D97" w:rsidRPr="00107D97" w:rsidRDefault="00107D97" w:rsidP="00107D97">
      <w:pPr>
        <w:spacing w:line="360" w:lineRule="auto"/>
        <w:rPr>
          <w:rFonts w:ascii="Palatino Linotype" w:hAnsi="Palatino Linotype"/>
          <w:b/>
          <w:color w:val="000000" w:themeColor="text1"/>
        </w:rPr>
      </w:pPr>
    </w:p>
    <w:p w:rsidR="00107D97" w:rsidRPr="00107D97" w:rsidRDefault="00107D97" w:rsidP="00107D97">
      <w:pPr>
        <w:pStyle w:val="Prrafodelista"/>
        <w:numPr>
          <w:ilvl w:val="0"/>
          <w:numId w:val="23"/>
        </w:numPr>
        <w:spacing w:line="360" w:lineRule="auto"/>
        <w:ind w:left="709"/>
        <w:jc w:val="both"/>
        <w:rPr>
          <w:rFonts w:ascii="Palatino Linotype" w:hAnsi="Palatino Linotype"/>
          <w:b/>
          <w:color w:val="000000" w:themeColor="text1"/>
        </w:rPr>
      </w:pPr>
      <w:r w:rsidRPr="00107D97">
        <w:rPr>
          <w:rFonts w:ascii="Palatino Linotype" w:hAnsi="Palatino Linotype"/>
          <w:b/>
          <w:color w:val="000000" w:themeColor="text1"/>
        </w:rPr>
        <w:t xml:space="preserve">ACTO </w:t>
      </w:r>
      <w:r w:rsidRPr="00107D97">
        <w:rPr>
          <w:rStyle w:val="Ttulo2Car"/>
          <w:rFonts w:ascii="Palatino Linotype" w:hAnsi="Palatino Linotype"/>
          <w:color w:val="000000" w:themeColor="text1"/>
          <w:sz w:val="24"/>
          <w:szCs w:val="24"/>
        </w:rPr>
        <w:t>IMPUGNADO</w:t>
      </w:r>
      <w:r w:rsidRPr="00107D97">
        <w:rPr>
          <w:rFonts w:ascii="Palatino Linotype" w:hAnsi="Palatino Linotype"/>
          <w:b/>
          <w:color w:val="000000" w:themeColor="text1"/>
        </w:rPr>
        <w:tab/>
      </w:r>
    </w:p>
    <w:p w:rsidR="00107D97" w:rsidRPr="00107D97" w:rsidRDefault="00107D97" w:rsidP="00107D97">
      <w:pPr>
        <w:spacing w:line="360" w:lineRule="auto"/>
        <w:ind w:left="567"/>
        <w:rPr>
          <w:rFonts w:ascii="Palatino Linotype" w:hAnsi="Palatino Linotype"/>
          <w:i/>
          <w:color w:val="000000" w:themeColor="text1"/>
        </w:rPr>
      </w:pPr>
      <w:r>
        <w:rPr>
          <w:rFonts w:ascii="Palatino Linotype" w:hAnsi="Palatino Linotype"/>
          <w:i/>
          <w:color w:val="000000" w:themeColor="text1"/>
        </w:rPr>
        <w:t>“</w:t>
      </w:r>
      <w:r w:rsidRPr="00107D97">
        <w:rPr>
          <w:rFonts w:ascii="Palatino Linotype" w:hAnsi="Palatino Linotype"/>
          <w:i/>
          <w:color w:val="000000" w:themeColor="text1"/>
        </w:rPr>
        <w:t>No se me entrego la información solicitada</w:t>
      </w:r>
      <w:r>
        <w:rPr>
          <w:rFonts w:ascii="Palatino Linotype" w:hAnsi="Palatino Linotype"/>
          <w:i/>
          <w:color w:val="000000" w:themeColor="text1"/>
        </w:rPr>
        <w:t>”</w:t>
      </w:r>
    </w:p>
    <w:p w:rsidR="00107D97" w:rsidRPr="00107D97" w:rsidRDefault="00107D97" w:rsidP="00107D97">
      <w:pPr>
        <w:pStyle w:val="Prrafodelista"/>
        <w:numPr>
          <w:ilvl w:val="0"/>
          <w:numId w:val="23"/>
        </w:numPr>
        <w:spacing w:line="360" w:lineRule="auto"/>
        <w:ind w:left="709"/>
        <w:jc w:val="both"/>
        <w:rPr>
          <w:rFonts w:ascii="Palatino Linotype" w:hAnsi="Palatino Linotype"/>
          <w:b/>
          <w:color w:val="000000" w:themeColor="text1"/>
        </w:rPr>
      </w:pPr>
      <w:r w:rsidRPr="00107D97">
        <w:rPr>
          <w:rFonts w:ascii="Palatino Linotype" w:hAnsi="Palatino Linotype"/>
          <w:b/>
          <w:color w:val="000000" w:themeColor="text1"/>
        </w:rPr>
        <w:lastRenderedPageBreak/>
        <w:t>RAZONES O MOTIVOS DE LA INCONFORMIDAD</w:t>
      </w:r>
      <w:r w:rsidRPr="00107D97">
        <w:rPr>
          <w:rFonts w:ascii="Palatino Linotype" w:hAnsi="Palatino Linotype"/>
          <w:b/>
          <w:color w:val="000000" w:themeColor="text1"/>
        </w:rPr>
        <w:tab/>
      </w:r>
    </w:p>
    <w:p w:rsidR="00107D97" w:rsidRDefault="00107D97" w:rsidP="00107D97">
      <w:pPr>
        <w:spacing w:line="360" w:lineRule="auto"/>
        <w:ind w:left="567"/>
        <w:jc w:val="both"/>
        <w:rPr>
          <w:rFonts w:ascii="Palatino Linotype" w:hAnsi="Palatino Linotype"/>
          <w:i/>
          <w:color w:val="000000" w:themeColor="text1"/>
        </w:rPr>
      </w:pPr>
      <w:r>
        <w:rPr>
          <w:rFonts w:ascii="Palatino Linotype" w:hAnsi="Palatino Linotype"/>
          <w:i/>
          <w:color w:val="000000" w:themeColor="text1"/>
        </w:rPr>
        <w:t>“</w:t>
      </w:r>
      <w:r w:rsidRPr="00107D97">
        <w:rPr>
          <w:rFonts w:ascii="Palatino Linotype" w:hAnsi="Palatino Linotype"/>
          <w:i/>
          <w:color w:val="000000" w:themeColor="text1"/>
        </w:rPr>
        <w:t xml:space="preserve">Dentro de mi solicitud de información, requerí que se me explicara el </w:t>
      </w:r>
      <w:proofErr w:type="spellStart"/>
      <w:r w:rsidRPr="00107D97">
        <w:rPr>
          <w:rFonts w:ascii="Palatino Linotype" w:hAnsi="Palatino Linotype"/>
          <w:i/>
          <w:color w:val="000000" w:themeColor="text1"/>
        </w:rPr>
        <w:t>por que</w:t>
      </w:r>
      <w:proofErr w:type="spellEnd"/>
      <w:r w:rsidRPr="00107D97">
        <w:rPr>
          <w:rFonts w:ascii="Palatino Linotype" w:hAnsi="Palatino Linotype"/>
          <w:i/>
          <w:color w:val="000000" w:themeColor="text1"/>
        </w:rPr>
        <w:t xml:space="preserve"> no se había aplicado para todos los trabajadores los 70 días de aguinaldo, sin darme razón, ya que si bien se ve dentro de la información remitida hay una variación de aguinaldos entre mandos medios, superiores y administrativo, ya que no coinciden los días entre unos y otros de manera proporcional o en este caso acordada en cabildo, dejándome en estado de vulnerabilidad al no aportar la justificación correspondiente a lo solicitado</w:t>
      </w:r>
      <w:r>
        <w:rPr>
          <w:rFonts w:ascii="Palatino Linotype" w:hAnsi="Palatino Linotype"/>
          <w:i/>
          <w:color w:val="000000" w:themeColor="text1"/>
        </w:rPr>
        <w:t>”</w:t>
      </w:r>
    </w:p>
    <w:p w:rsidR="00107D97" w:rsidRPr="0022712B" w:rsidRDefault="00107D97" w:rsidP="0022712B">
      <w:pPr>
        <w:spacing w:line="360" w:lineRule="auto"/>
        <w:rPr>
          <w:rFonts w:ascii="Palatino Linotype" w:hAnsi="Palatino Linotype"/>
          <w:i/>
          <w:color w:val="000000" w:themeColor="text1"/>
        </w:rPr>
      </w:pPr>
    </w:p>
    <w:p w:rsidR="009F09BC" w:rsidRPr="0022712B" w:rsidRDefault="00CC5B2F" w:rsidP="0022712B">
      <w:pPr>
        <w:pStyle w:val="Prrafodelista"/>
        <w:numPr>
          <w:ilvl w:val="0"/>
          <w:numId w:val="15"/>
        </w:numPr>
        <w:spacing w:line="360" w:lineRule="auto"/>
        <w:ind w:left="0" w:firstLine="0"/>
        <w:jc w:val="both"/>
        <w:rPr>
          <w:rFonts w:ascii="Palatino Linotype" w:hAnsi="Palatino Linotype"/>
          <w:i/>
        </w:rPr>
      </w:pPr>
      <w:r w:rsidRPr="0022712B">
        <w:rPr>
          <w:rFonts w:ascii="Palatino Linotype" w:eastAsia="Calibri" w:hAnsi="Palatino Linotype" w:cs="Arial"/>
          <w:lang w:val="es-ES"/>
        </w:rPr>
        <w:t>La Comisionada</w:t>
      </w:r>
      <w:r w:rsidR="009F09BC" w:rsidRPr="0022712B">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D262BF">
        <w:rPr>
          <w:rFonts w:ascii="Palatino Linotype" w:eastAsia="Calibri" w:hAnsi="Palatino Linotype" w:cs="Arial"/>
          <w:b/>
          <w:lang w:val="es-ES"/>
        </w:rPr>
        <w:t>uno</w:t>
      </w:r>
      <w:r w:rsidR="00427F60" w:rsidRPr="0022712B">
        <w:rPr>
          <w:rFonts w:ascii="Palatino Linotype" w:eastAsia="Calibri" w:hAnsi="Palatino Linotype" w:cs="Arial"/>
          <w:b/>
          <w:lang w:val="es-ES"/>
        </w:rPr>
        <w:t xml:space="preserve"> de </w:t>
      </w:r>
      <w:r w:rsidR="00D262BF">
        <w:rPr>
          <w:rFonts w:ascii="Palatino Linotype" w:eastAsia="Calibri" w:hAnsi="Palatino Linotype" w:cs="Arial"/>
          <w:b/>
          <w:lang w:val="es-ES"/>
        </w:rPr>
        <w:t>febrero de dos mil veintitré</w:t>
      </w:r>
      <w:r w:rsidR="00D262BF" w:rsidRPr="0022712B">
        <w:rPr>
          <w:rFonts w:ascii="Palatino Linotype" w:eastAsia="Calibri" w:hAnsi="Palatino Linotype" w:cs="Arial"/>
          <w:b/>
          <w:lang w:val="es-ES"/>
        </w:rPr>
        <w:t>s</w:t>
      </w:r>
      <w:r w:rsidR="009F09BC" w:rsidRPr="0022712B">
        <w:rPr>
          <w:rFonts w:ascii="Palatino Linotype" w:eastAsia="Calibri" w:hAnsi="Palatino Linotype" w:cs="Arial"/>
          <w:lang w:val="es-ES"/>
        </w:rPr>
        <w:t xml:space="preserve">, puso a disposición de las partes el expediente electrónico </w:t>
      </w:r>
      <w:r w:rsidR="009F09BC" w:rsidRPr="0022712B">
        <w:rPr>
          <w:rFonts w:ascii="Palatino Linotype" w:eastAsia="Calibri" w:hAnsi="Palatino Linotype" w:cs="Arial"/>
        </w:rPr>
        <w:t xml:space="preserve">vía </w:t>
      </w:r>
      <w:r w:rsidR="009F09BC" w:rsidRPr="0022712B">
        <w:rPr>
          <w:rFonts w:ascii="Palatino Linotype" w:eastAsia="Calibri" w:hAnsi="Palatino Linotype" w:cs="Arial"/>
          <w:b/>
          <w:lang w:val="es-ES"/>
        </w:rPr>
        <w:t xml:space="preserve">SAIMEX </w:t>
      </w:r>
      <w:r w:rsidR="009F09BC" w:rsidRPr="0022712B">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22712B">
        <w:rPr>
          <w:rFonts w:ascii="Palatino Linotype" w:eastAsia="Calibri" w:hAnsi="Palatino Linotype" w:cs="Arial"/>
          <w:b/>
          <w:lang w:val="es-ES"/>
        </w:rPr>
        <w:t>SUJETO OBLIGADO</w:t>
      </w:r>
      <w:r w:rsidR="009F09BC" w:rsidRPr="0022712B">
        <w:rPr>
          <w:rFonts w:ascii="Palatino Linotype" w:eastAsia="Calibri" w:hAnsi="Palatino Linotype" w:cs="Arial"/>
          <w:lang w:val="es-ES"/>
        </w:rPr>
        <w:t xml:space="preserve"> presentará el Informe Justificado procedente.</w:t>
      </w:r>
    </w:p>
    <w:p w:rsidR="009F09BC" w:rsidRPr="0022712B" w:rsidRDefault="009F09BC" w:rsidP="0022712B">
      <w:pPr>
        <w:pStyle w:val="Prrafodelista"/>
        <w:spacing w:before="240" w:after="240" w:line="360" w:lineRule="auto"/>
        <w:ind w:left="0"/>
        <w:jc w:val="both"/>
        <w:rPr>
          <w:rFonts w:ascii="Palatino Linotype" w:hAnsi="Palatino Linotype"/>
        </w:rPr>
      </w:pPr>
    </w:p>
    <w:p w:rsidR="001D02D1" w:rsidRPr="0053097F" w:rsidRDefault="009F09BC" w:rsidP="0022712B">
      <w:pPr>
        <w:pStyle w:val="Prrafodelista"/>
        <w:numPr>
          <w:ilvl w:val="0"/>
          <w:numId w:val="15"/>
        </w:numPr>
        <w:spacing w:before="240" w:after="240" w:line="360" w:lineRule="auto"/>
        <w:ind w:left="0" w:firstLine="0"/>
        <w:jc w:val="both"/>
        <w:rPr>
          <w:rFonts w:ascii="Palatino Linotype" w:hAnsi="Palatino Linotype"/>
        </w:rPr>
      </w:pPr>
      <w:r w:rsidRPr="0022712B">
        <w:rPr>
          <w:rFonts w:ascii="Palatino Linotype" w:hAnsi="Palatino Linotype"/>
          <w:color w:val="000000"/>
        </w:rPr>
        <w:t xml:space="preserve">El </w:t>
      </w:r>
      <w:r w:rsidRPr="0022712B">
        <w:rPr>
          <w:rFonts w:ascii="Palatino Linotype" w:hAnsi="Palatino Linotype"/>
          <w:b/>
          <w:color w:val="000000"/>
        </w:rPr>
        <w:t xml:space="preserve">SUJETO </w:t>
      </w:r>
      <w:r w:rsidRPr="0022712B">
        <w:rPr>
          <w:rFonts w:ascii="Palatino Linotype" w:eastAsia="Calibri" w:hAnsi="Palatino Linotype" w:cs="Arial"/>
          <w:b/>
          <w:lang w:val="es-ES"/>
        </w:rPr>
        <w:t>OBLIGADO</w:t>
      </w:r>
      <w:r w:rsidR="007A6A1A" w:rsidRPr="0022712B">
        <w:rPr>
          <w:rFonts w:ascii="Palatino Linotype" w:hAnsi="Palatino Linotype"/>
          <w:color w:val="000000"/>
        </w:rPr>
        <w:t xml:space="preserve"> </w:t>
      </w:r>
      <w:r w:rsidR="00D262BF">
        <w:rPr>
          <w:rFonts w:ascii="Palatino Linotype" w:hAnsi="Palatino Linotype"/>
          <w:color w:val="000000"/>
        </w:rPr>
        <w:t>fue omiso en rendir su informe justificado</w:t>
      </w:r>
      <w:r w:rsidR="00BE2A9D" w:rsidRPr="0022712B">
        <w:rPr>
          <w:rFonts w:ascii="Palatino Linotype" w:hAnsi="Palatino Linotype"/>
          <w:color w:val="000000"/>
        </w:rPr>
        <w:t xml:space="preserve">. </w:t>
      </w:r>
      <w:r w:rsidRPr="0022712B">
        <w:rPr>
          <w:rFonts w:ascii="Palatino Linotype" w:hAnsi="Palatino Linotype"/>
          <w:color w:val="000000"/>
        </w:rPr>
        <w:t xml:space="preserve">Por su parte </w:t>
      </w:r>
      <w:r w:rsidRPr="0022712B">
        <w:rPr>
          <w:rFonts w:ascii="Palatino Linotype" w:hAnsi="Palatino Linotype"/>
          <w:b/>
          <w:color w:val="000000"/>
        </w:rPr>
        <w:t xml:space="preserve">EL PARTICULAR </w:t>
      </w:r>
      <w:r w:rsidR="0053097F" w:rsidRPr="0053097F">
        <w:rPr>
          <w:rFonts w:ascii="Palatino Linotype" w:hAnsi="Palatino Linotype"/>
          <w:color w:val="000000"/>
        </w:rPr>
        <w:t>no</w:t>
      </w:r>
      <w:r w:rsidR="0053097F">
        <w:rPr>
          <w:rFonts w:ascii="Palatino Linotype" w:hAnsi="Palatino Linotype"/>
          <w:b/>
          <w:color w:val="000000"/>
        </w:rPr>
        <w:t xml:space="preserve"> </w:t>
      </w:r>
      <w:r w:rsidR="007762D9" w:rsidRPr="0022712B">
        <w:rPr>
          <w:rFonts w:ascii="Palatino Linotype" w:hAnsi="Palatino Linotype"/>
          <w:color w:val="000000"/>
        </w:rPr>
        <w:t xml:space="preserve">realizó manifestaciones </w:t>
      </w:r>
      <w:r w:rsidR="0053097F">
        <w:rPr>
          <w:rFonts w:ascii="Palatino Linotype" w:hAnsi="Palatino Linotype"/>
          <w:color w:val="000000"/>
        </w:rPr>
        <w:t>que a su derecho conviniera y asistiera.</w:t>
      </w:r>
    </w:p>
    <w:p w:rsidR="0053097F" w:rsidRPr="0053097F" w:rsidRDefault="0053097F" w:rsidP="0053097F">
      <w:pPr>
        <w:pStyle w:val="Prrafodelista"/>
        <w:rPr>
          <w:rFonts w:ascii="Palatino Linotype" w:hAnsi="Palatino Linotype"/>
        </w:rPr>
      </w:pPr>
    </w:p>
    <w:p w:rsidR="00A305ED" w:rsidRPr="0022712B" w:rsidRDefault="00A305ED" w:rsidP="0022712B">
      <w:pPr>
        <w:pStyle w:val="Prrafodelista"/>
        <w:numPr>
          <w:ilvl w:val="0"/>
          <w:numId w:val="15"/>
        </w:numPr>
        <w:spacing w:line="360" w:lineRule="auto"/>
        <w:ind w:left="0" w:firstLine="0"/>
        <w:jc w:val="both"/>
        <w:rPr>
          <w:rFonts w:ascii="Palatino Linotype" w:hAnsi="Palatino Linotype"/>
          <w:b/>
          <w:color w:val="000000" w:themeColor="text1"/>
        </w:rPr>
      </w:pPr>
      <w:r w:rsidRPr="0022712B">
        <w:rPr>
          <w:rFonts w:ascii="Palatino Linotype" w:hAnsi="Palatino Linotype"/>
        </w:rPr>
        <w:t>M</w:t>
      </w:r>
      <w:r w:rsidR="006672E1" w:rsidRPr="0022712B">
        <w:rPr>
          <w:rFonts w:ascii="Palatino Linotype" w:hAnsi="Palatino Linotype"/>
        </w:rPr>
        <w:t xml:space="preserve">ediante </w:t>
      </w:r>
      <w:r w:rsidR="006672E1" w:rsidRPr="0022712B">
        <w:rPr>
          <w:rFonts w:ascii="Palatino Linotype" w:hAnsi="Palatino Linotype"/>
          <w:color w:val="000000"/>
        </w:rPr>
        <w:t>acuerdo</w:t>
      </w:r>
      <w:r w:rsidR="006672E1" w:rsidRPr="0022712B">
        <w:rPr>
          <w:rFonts w:ascii="Palatino Linotype" w:hAnsi="Palatino Linotype"/>
        </w:rPr>
        <w:t xml:space="preserve"> de fecha</w:t>
      </w:r>
      <w:r w:rsidR="008C78AB" w:rsidRPr="0022712B">
        <w:rPr>
          <w:rFonts w:ascii="Palatino Linotype" w:hAnsi="Palatino Linotype"/>
        </w:rPr>
        <w:t xml:space="preserve"> </w:t>
      </w:r>
      <w:r w:rsidR="00D262BF">
        <w:rPr>
          <w:rFonts w:ascii="Palatino Linotype" w:hAnsi="Palatino Linotype"/>
          <w:b/>
        </w:rPr>
        <w:t>catorce</w:t>
      </w:r>
      <w:r w:rsidR="008C78AB" w:rsidRPr="0022712B">
        <w:rPr>
          <w:rFonts w:ascii="Palatino Linotype" w:hAnsi="Palatino Linotype"/>
          <w:b/>
        </w:rPr>
        <w:t xml:space="preserve"> de </w:t>
      </w:r>
      <w:r w:rsidR="00D262BF">
        <w:rPr>
          <w:rFonts w:ascii="Palatino Linotype" w:hAnsi="Palatino Linotype"/>
          <w:b/>
        </w:rPr>
        <w:t>marzo</w:t>
      </w:r>
      <w:r w:rsidR="00D6651B" w:rsidRPr="0022712B">
        <w:rPr>
          <w:rFonts w:ascii="Palatino Linotype" w:hAnsi="Palatino Linotype"/>
          <w:b/>
        </w:rPr>
        <w:t xml:space="preserve"> </w:t>
      </w:r>
      <w:r w:rsidR="00D262BF">
        <w:rPr>
          <w:rFonts w:ascii="Palatino Linotype" w:hAnsi="Palatino Linotype"/>
          <w:b/>
        </w:rPr>
        <w:t>de dos mil veintitré</w:t>
      </w:r>
      <w:r w:rsidR="00D262BF" w:rsidRPr="0022712B">
        <w:rPr>
          <w:rFonts w:ascii="Palatino Linotype" w:hAnsi="Palatino Linotype"/>
          <w:b/>
        </w:rPr>
        <w:t>s</w:t>
      </w:r>
      <w:r w:rsidR="00AE2CF6" w:rsidRPr="0022712B">
        <w:rPr>
          <w:rFonts w:ascii="Palatino Linotype" w:hAnsi="Palatino Linotype"/>
        </w:rPr>
        <w:t xml:space="preserve"> se amplió el termino para resolver y posteriormente mediante acuerdo de</w:t>
      </w:r>
      <w:r w:rsidR="00D262BF">
        <w:rPr>
          <w:rFonts w:ascii="Palatino Linotype" w:hAnsi="Palatino Linotype"/>
        </w:rPr>
        <w:t xml:space="preserve"> misma</w:t>
      </w:r>
      <w:r w:rsidR="00AE2CF6" w:rsidRPr="0022712B">
        <w:rPr>
          <w:rFonts w:ascii="Palatino Linotype" w:hAnsi="Palatino Linotype"/>
        </w:rPr>
        <w:t xml:space="preserve"> fecha</w:t>
      </w:r>
      <w:r w:rsidR="00D262BF">
        <w:rPr>
          <w:rFonts w:ascii="Palatino Linotype" w:hAnsi="Palatino Linotype"/>
          <w:b/>
        </w:rPr>
        <w:t xml:space="preserve"> </w:t>
      </w:r>
      <w:r w:rsidR="006672E1" w:rsidRPr="0022712B">
        <w:rPr>
          <w:rFonts w:ascii="Palatino Linotype" w:hAnsi="Palatino Linotype"/>
        </w:rPr>
        <w:t>se</w:t>
      </w:r>
      <w:r w:rsidR="0001674C" w:rsidRPr="0022712B">
        <w:rPr>
          <w:rFonts w:ascii="Palatino Linotype" w:hAnsi="Palatino Linotype"/>
        </w:rPr>
        <w:t xml:space="preserve"> d</w:t>
      </w:r>
      <w:r w:rsidR="006672E1" w:rsidRPr="0022712B">
        <w:rPr>
          <w:rFonts w:ascii="Palatino Linotype" w:hAnsi="Palatino Linotype"/>
        </w:rPr>
        <w:t>ecretó el cierre de instrucción</w:t>
      </w:r>
      <w:r w:rsidR="0001674C" w:rsidRPr="0022712B">
        <w:rPr>
          <w:rFonts w:ascii="Palatino Linotype" w:hAnsi="Palatino Linotype"/>
        </w:rPr>
        <w:t xml:space="preserve">, </w:t>
      </w:r>
      <w:r w:rsidR="009F09BC" w:rsidRPr="0022712B">
        <w:rPr>
          <w:rFonts w:ascii="Palatino Linotype" w:hAnsi="Palatino Linotype" w:cs="Arial"/>
        </w:rPr>
        <w:t>por lo que no ha</w:t>
      </w:r>
      <w:bookmarkStart w:id="134" w:name="_Toc491791302"/>
      <w:bookmarkStart w:id="135" w:name="_Toc83128578"/>
      <w:r w:rsidR="006A6CD1" w:rsidRPr="0022712B">
        <w:rPr>
          <w:rFonts w:ascii="Palatino Linotype" w:hAnsi="Palatino Linotype" w:cs="Arial"/>
        </w:rPr>
        <w:t>biendo más que hacer constar, y-</w:t>
      </w:r>
      <w:r w:rsidR="00AE2CF6" w:rsidRPr="0022712B">
        <w:rPr>
          <w:rFonts w:ascii="Palatino Linotype" w:hAnsi="Palatino Linotype" w:cs="Arial"/>
        </w:rPr>
        <w:t>---</w:t>
      </w:r>
    </w:p>
    <w:p w:rsidR="00D6651B" w:rsidRPr="0022712B" w:rsidRDefault="00D6651B" w:rsidP="0022712B">
      <w:pPr>
        <w:pStyle w:val="Prrafodelista"/>
        <w:spacing w:line="360" w:lineRule="auto"/>
        <w:ind w:left="0"/>
        <w:rPr>
          <w:rFonts w:ascii="Palatino Linotype" w:hAnsi="Palatino Linotype"/>
          <w:b/>
          <w:color w:val="000000" w:themeColor="text1"/>
        </w:rPr>
      </w:pPr>
    </w:p>
    <w:p w:rsidR="009F09BC" w:rsidRPr="0022712B" w:rsidRDefault="009F09BC" w:rsidP="0022712B">
      <w:pPr>
        <w:pStyle w:val="Prrafodelista"/>
        <w:spacing w:line="360" w:lineRule="auto"/>
        <w:ind w:left="0"/>
        <w:jc w:val="center"/>
        <w:rPr>
          <w:rFonts w:ascii="Palatino Linotype" w:hAnsi="Palatino Linotype"/>
          <w:b/>
          <w:color w:val="000000" w:themeColor="text1"/>
        </w:rPr>
      </w:pPr>
      <w:r w:rsidRPr="0022712B">
        <w:rPr>
          <w:rFonts w:ascii="Palatino Linotype" w:hAnsi="Palatino Linotype"/>
          <w:b/>
          <w:color w:val="000000" w:themeColor="text1"/>
        </w:rPr>
        <w:t>CONSIDERANDO</w:t>
      </w:r>
      <w:bookmarkEnd w:id="134"/>
      <w:bookmarkEnd w:id="135"/>
    </w:p>
    <w:p w:rsidR="009F09BC" w:rsidRPr="0022712B" w:rsidRDefault="009F09BC" w:rsidP="0022712B">
      <w:pPr>
        <w:pStyle w:val="Ttulo2"/>
        <w:spacing w:before="0" w:line="360" w:lineRule="auto"/>
        <w:rPr>
          <w:rFonts w:ascii="Palatino Linotype" w:hAnsi="Palatino Linotype"/>
          <w:b/>
          <w:color w:val="auto"/>
          <w:sz w:val="24"/>
          <w:szCs w:val="24"/>
        </w:rPr>
      </w:pPr>
      <w:bookmarkStart w:id="136" w:name="_Toc491791303"/>
      <w:bookmarkStart w:id="137" w:name="_Toc83128579"/>
      <w:r w:rsidRPr="0022712B">
        <w:rPr>
          <w:rFonts w:ascii="Palatino Linotype" w:hAnsi="Palatino Linotype"/>
          <w:b/>
          <w:color w:val="auto"/>
          <w:sz w:val="24"/>
          <w:szCs w:val="24"/>
        </w:rPr>
        <w:lastRenderedPageBreak/>
        <w:t>PRIMERO. De la competencia</w:t>
      </w:r>
      <w:bookmarkEnd w:id="136"/>
      <w:bookmarkEnd w:id="137"/>
    </w:p>
    <w:p w:rsidR="009F09BC" w:rsidRPr="0022712B" w:rsidRDefault="009F09BC" w:rsidP="0022712B">
      <w:pPr>
        <w:spacing w:line="360" w:lineRule="auto"/>
        <w:rPr>
          <w:rFonts w:ascii="Palatino Linotype" w:hAnsi="Palatino Linotype"/>
          <w:lang w:val="es-MX" w:eastAsia="en-US"/>
        </w:rPr>
      </w:pPr>
    </w:p>
    <w:p w:rsidR="00353F1D" w:rsidRDefault="00353F1D" w:rsidP="0022712B">
      <w:pPr>
        <w:pStyle w:val="Prrafodelista"/>
        <w:numPr>
          <w:ilvl w:val="0"/>
          <w:numId w:val="15"/>
        </w:numPr>
        <w:spacing w:line="360" w:lineRule="auto"/>
        <w:ind w:left="0" w:firstLine="0"/>
        <w:jc w:val="both"/>
        <w:rPr>
          <w:rFonts w:ascii="Palatino Linotype" w:hAnsi="Palatino Linotype"/>
          <w:color w:val="000000" w:themeColor="text1"/>
        </w:rPr>
      </w:pPr>
      <w:r w:rsidRPr="0022712B">
        <w:rPr>
          <w:rFonts w:ascii="Palatino Linotype" w:hAnsi="Palatino Linotype"/>
          <w:color w:val="000000" w:themeColor="text1"/>
        </w:rPr>
        <w:t xml:space="preserve">El </w:t>
      </w:r>
      <w:r w:rsidRPr="0022712B">
        <w:rPr>
          <w:rFonts w:ascii="Palatino Linotype" w:hAnsi="Palatino Linotype"/>
        </w:rPr>
        <w:t>Instituto</w:t>
      </w:r>
      <w:r w:rsidRPr="0022712B">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56C92" w:rsidRPr="0022712B" w:rsidRDefault="00E56C92" w:rsidP="00E56C92">
      <w:pPr>
        <w:pStyle w:val="Prrafodelista"/>
        <w:spacing w:line="360" w:lineRule="auto"/>
        <w:ind w:left="0"/>
        <w:jc w:val="both"/>
        <w:rPr>
          <w:rFonts w:ascii="Palatino Linotype" w:hAnsi="Palatino Linotype"/>
          <w:color w:val="000000" w:themeColor="text1"/>
        </w:rPr>
      </w:pPr>
    </w:p>
    <w:p w:rsidR="009F09BC" w:rsidRDefault="009F09BC" w:rsidP="0022712B">
      <w:pPr>
        <w:pStyle w:val="Ttulo2"/>
        <w:rPr>
          <w:rFonts w:ascii="Palatino Linotype" w:hAnsi="Palatino Linotype"/>
          <w:b/>
          <w:color w:val="auto"/>
          <w:sz w:val="24"/>
          <w:szCs w:val="24"/>
        </w:rPr>
      </w:pPr>
      <w:bookmarkStart w:id="138" w:name="_Toc491791304"/>
      <w:bookmarkStart w:id="139" w:name="_Toc83128580"/>
      <w:r w:rsidRPr="0022712B">
        <w:rPr>
          <w:rFonts w:ascii="Palatino Linotype" w:hAnsi="Palatino Linotype"/>
          <w:b/>
          <w:color w:val="auto"/>
          <w:sz w:val="24"/>
          <w:szCs w:val="24"/>
        </w:rPr>
        <w:t>SEGUNDO. De la oportunidad y procedencia.</w:t>
      </w:r>
      <w:bookmarkEnd w:id="138"/>
      <w:bookmarkEnd w:id="139"/>
    </w:p>
    <w:p w:rsidR="009F09BC" w:rsidRPr="0022712B" w:rsidRDefault="009F09BC" w:rsidP="0022712B">
      <w:pPr>
        <w:rPr>
          <w:rFonts w:ascii="Palatino Linotype" w:hAnsi="Palatino Linotype"/>
          <w:lang w:val="es-MX" w:eastAsia="en-US"/>
        </w:rPr>
      </w:pPr>
    </w:p>
    <w:p w:rsidR="009F09BC" w:rsidRPr="0022712B" w:rsidRDefault="00425842" w:rsidP="0022712B">
      <w:pPr>
        <w:pStyle w:val="Prrafodelista"/>
        <w:numPr>
          <w:ilvl w:val="0"/>
          <w:numId w:val="15"/>
        </w:numPr>
        <w:spacing w:line="360" w:lineRule="auto"/>
        <w:ind w:left="0" w:firstLine="0"/>
        <w:jc w:val="both"/>
        <w:rPr>
          <w:rFonts w:ascii="Palatino Linotype" w:hAnsi="Palatino Linotype"/>
        </w:rPr>
      </w:pPr>
      <w:r w:rsidRPr="0022712B">
        <w:rPr>
          <w:rFonts w:ascii="Palatino Linotype" w:eastAsia="Calibri" w:hAnsi="Palatino Linotype" w:cs="Arial"/>
        </w:rPr>
        <w:t>El</w:t>
      </w:r>
      <w:r w:rsidR="00AD63B4" w:rsidRPr="0022712B">
        <w:rPr>
          <w:rFonts w:ascii="Palatino Linotype" w:eastAsia="Calibri" w:hAnsi="Palatino Linotype" w:cs="Arial"/>
        </w:rPr>
        <w:t xml:space="preserve"> </w:t>
      </w:r>
      <w:r w:rsidR="009F09BC" w:rsidRPr="0022712B">
        <w:rPr>
          <w:rFonts w:ascii="Palatino Linotype" w:eastAsia="Calibri" w:hAnsi="Palatino Linotype" w:cs="Arial"/>
        </w:rPr>
        <w:t xml:space="preserve">medio de impugnación fue presentado a través del </w:t>
      </w:r>
      <w:r w:rsidR="009F09BC" w:rsidRPr="0022712B">
        <w:rPr>
          <w:rFonts w:ascii="Palatino Linotype" w:eastAsia="Calibri" w:hAnsi="Palatino Linotype" w:cs="Arial"/>
          <w:b/>
        </w:rPr>
        <w:t>SAIMEX,</w:t>
      </w:r>
      <w:r w:rsidR="009F09BC" w:rsidRPr="0022712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22712B">
        <w:rPr>
          <w:rFonts w:ascii="Palatino Linotype" w:eastAsia="Calibri" w:hAnsi="Palatino Linotype" w:cs="Arial"/>
          <w:b/>
        </w:rPr>
        <w:t>SUJETO OBLIGADO</w:t>
      </w:r>
      <w:r w:rsidRPr="0022712B">
        <w:rPr>
          <w:rFonts w:ascii="Palatino Linotype" w:eastAsia="Calibri" w:hAnsi="Palatino Linotype" w:cs="Arial"/>
        </w:rPr>
        <w:t xml:space="preserve"> entregó su</w:t>
      </w:r>
      <w:r w:rsidR="009F09BC" w:rsidRPr="0022712B">
        <w:rPr>
          <w:rFonts w:ascii="Palatino Linotype" w:eastAsia="Calibri" w:hAnsi="Palatino Linotype" w:cs="Arial"/>
        </w:rPr>
        <w:t xml:space="preserve"> respuesta </w:t>
      </w:r>
      <w:r w:rsidRPr="0022712B">
        <w:rPr>
          <w:rFonts w:ascii="Palatino Linotype" w:eastAsia="Calibri" w:hAnsi="Palatino Linotype" w:cs="Arial"/>
        </w:rPr>
        <w:t>e</w:t>
      </w:r>
      <w:r w:rsidR="009F09BC" w:rsidRPr="0022712B">
        <w:rPr>
          <w:rFonts w:ascii="Palatino Linotype" w:eastAsia="Calibri" w:hAnsi="Palatino Linotype" w:cs="Arial"/>
        </w:rPr>
        <w:t xml:space="preserve">l </w:t>
      </w:r>
      <w:r w:rsidR="00D262BF">
        <w:rPr>
          <w:rFonts w:ascii="Palatino Linotype" w:eastAsia="Calibri" w:hAnsi="Palatino Linotype" w:cs="Arial"/>
          <w:b/>
        </w:rPr>
        <w:t>diecisiete</w:t>
      </w:r>
      <w:r w:rsidR="0053097F">
        <w:rPr>
          <w:rFonts w:ascii="Palatino Linotype" w:eastAsia="Calibri" w:hAnsi="Palatino Linotype" w:cs="Arial"/>
          <w:b/>
        </w:rPr>
        <w:t xml:space="preserve"> de </w:t>
      </w:r>
      <w:r w:rsidR="00D262BF">
        <w:rPr>
          <w:rFonts w:ascii="Palatino Linotype" w:eastAsia="Calibri" w:hAnsi="Palatino Linotype" w:cs="Arial"/>
          <w:b/>
        </w:rPr>
        <w:t>ener</w:t>
      </w:r>
      <w:r w:rsidR="0053097F">
        <w:rPr>
          <w:rFonts w:ascii="Palatino Linotype" w:eastAsia="Calibri" w:hAnsi="Palatino Linotype" w:cs="Arial"/>
          <w:b/>
        </w:rPr>
        <w:t>o</w:t>
      </w:r>
      <w:r w:rsidRPr="0022712B">
        <w:rPr>
          <w:rFonts w:ascii="Palatino Linotype" w:eastAsia="Calibri" w:hAnsi="Palatino Linotype" w:cs="Arial"/>
          <w:b/>
        </w:rPr>
        <w:t xml:space="preserve"> de dos mil veintidós</w:t>
      </w:r>
      <w:r w:rsidR="009F09BC" w:rsidRPr="0022712B">
        <w:rPr>
          <w:rFonts w:ascii="Palatino Linotype" w:eastAsia="Calibri" w:hAnsi="Palatino Linotype" w:cs="Arial"/>
        </w:rPr>
        <w:t xml:space="preserve">, </w:t>
      </w:r>
      <w:r w:rsidR="009F09BC" w:rsidRPr="0022712B">
        <w:rPr>
          <w:rFonts w:ascii="Palatino Linotype" w:hAnsi="Palatino Linotype" w:cs="Arial"/>
        </w:rPr>
        <w:t xml:space="preserve">de tal forma que </w:t>
      </w:r>
      <w:r w:rsidRPr="0022712B">
        <w:rPr>
          <w:rFonts w:ascii="Palatino Linotype" w:hAnsi="Palatino Linotype" w:cs="Arial"/>
        </w:rPr>
        <w:t>e</w:t>
      </w:r>
      <w:r w:rsidR="009F09BC" w:rsidRPr="0022712B">
        <w:rPr>
          <w:rFonts w:ascii="Palatino Linotype" w:hAnsi="Palatino Linotype" w:cs="Arial"/>
        </w:rPr>
        <w:t xml:space="preserve">l plazo para interponer </w:t>
      </w:r>
      <w:r w:rsidRPr="0022712B">
        <w:rPr>
          <w:rFonts w:ascii="Palatino Linotype" w:hAnsi="Palatino Linotype" w:cs="Arial"/>
        </w:rPr>
        <w:t>e</w:t>
      </w:r>
      <w:r w:rsidR="009F09BC" w:rsidRPr="0022712B">
        <w:rPr>
          <w:rFonts w:ascii="Palatino Linotype" w:hAnsi="Palatino Linotype" w:cs="Arial"/>
        </w:rPr>
        <w:t xml:space="preserve">l recurso de revisión </w:t>
      </w:r>
      <w:r w:rsidRPr="0022712B">
        <w:rPr>
          <w:rFonts w:ascii="Palatino Linotype" w:hAnsi="Palatino Linotype" w:cs="Arial"/>
        </w:rPr>
        <w:t>transcurrió</w:t>
      </w:r>
      <w:r w:rsidR="009F09BC" w:rsidRPr="0022712B">
        <w:rPr>
          <w:rFonts w:ascii="Palatino Linotype" w:hAnsi="Palatino Linotype" w:cs="Arial"/>
        </w:rPr>
        <w:t xml:space="preserve"> del día </w:t>
      </w:r>
      <w:r w:rsidR="00D262BF">
        <w:rPr>
          <w:rFonts w:ascii="Palatino Linotype" w:hAnsi="Palatino Linotype" w:cs="Arial"/>
          <w:b/>
        </w:rPr>
        <w:t xml:space="preserve">dieciocho de enero </w:t>
      </w:r>
      <w:r w:rsidR="007A460E" w:rsidRPr="0022712B">
        <w:rPr>
          <w:rFonts w:ascii="Palatino Linotype" w:hAnsi="Palatino Linotype" w:cs="Arial"/>
          <w:b/>
        </w:rPr>
        <w:t xml:space="preserve">al </w:t>
      </w:r>
      <w:r w:rsidR="00AA1A8C">
        <w:rPr>
          <w:rFonts w:ascii="Palatino Linotype" w:hAnsi="Palatino Linotype" w:cs="Arial"/>
          <w:b/>
        </w:rPr>
        <w:t>o</w:t>
      </w:r>
      <w:r w:rsidR="00D262BF">
        <w:rPr>
          <w:rFonts w:ascii="Palatino Linotype" w:hAnsi="Palatino Linotype" w:cs="Arial"/>
          <w:b/>
        </w:rPr>
        <w:t>cho</w:t>
      </w:r>
      <w:r w:rsidR="0001674C" w:rsidRPr="0022712B">
        <w:rPr>
          <w:rFonts w:ascii="Palatino Linotype" w:hAnsi="Palatino Linotype" w:cs="Arial"/>
          <w:b/>
        </w:rPr>
        <w:t xml:space="preserve"> de </w:t>
      </w:r>
      <w:r w:rsidR="00D262BF">
        <w:rPr>
          <w:rFonts w:ascii="Palatino Linotype" w:hAnsi="Palatino Linotype" w:cs="Arial"/>
          <w:b/>
        </w:rPr>
        <w:t>febrero</w:t>
      </w:r>
      <w:r w:rsidR="0001674C" w:rsidRPr="0022712B">
        <w:rPr>
          <w:rFonts w:ascii="Palatino Linotype" w:hAnsi="Palatino Linotype" w:cs="Arial"/>
          <w:b/>
        </w:rPr>
        <w:t xml:space="preserve"> de dos mil </w:t>
      </w:r>
      <w:r w:rsidR="00D262BF" w:rsidRPr="0022712B">
        <w:rPr>
          <w:rFonts w:ascii="Palatino Linotype" w:hAnsi="Palatino Linotype" w:cs="Arial"/>
          <w:b/>
        </w:rPr>
        <w:t>veinti</w:t>
      </w:r>
      <w:r w:rsidR="00D262BF">
        <w:rPr>
          <w:rFonts w:ascii="Palatino Linotype" w:hAnsi="Palatino Linotype" w:cs="Arial"/>
          <w:b/>
        </w:rPr>
        <w:t>tré</w:t>
      </w:r>
      <w:r w:rsidR="00D262BF" w:rsidRPr="0022712B">
        <w:rPr>
          <w:rFonts w:ascii="Palatino Linotype" w:hAnsi="Palatino Linotype" w:cs="Arial"/>
          <w:b/>
        </w:rPr>
        <w:t>s</w:t>
      </w:r>
      <w:r w:rsidR="0001674C" w:rsidRPr="0022712B">
        <w:rPr>
          <w:rFonts w:ascii="Palatino Linotype" w:hAnsi="Palatino Linotype" w:cs="Arial"/>
        </w:rPr>
        <w:t>; e</w:t>
      </w:r>
      <w:r w:rsidR="009F09BC" w:rsidRPr="0022712B">
        <w:rPr>
          <w:rFonts w:ascii="Palatino Linotype" w:hAnsi="Palatino Linotype" w:cs="Arial"/>
        </w:rPr>
        <w:t xml:space="preserve">n consecuencia, el ahora </w:t>
      </w:r>
      <w:r w:rsidR="009F09BC" w:rsidRPr="0022712B">
        <w:rPr>
          <w:rFonts w:ascii="Palatino Linotype" w:hAnsi="Palatino Linotype" w:cs="Arial"/>
          <w:b/>
        </w:rPr>
        <w:t>RECURRENTE</w:t>
      </w:r>
      <w:r w:rsidR="009F09BC" w:rsidRPr="0022712B">
        <w:rPr>
          <w:rFonts w:ascii="Palatino Linotype" w:hAnsi="Palatino Linotype" w:cs="Arial"/>
        </w:rPr>
        <w:t xml:space="preserve"> presentó </w:t>
      </w:r>
      <w:r w:rsidR="00CA1063" w:rsidRPr="0022712B">
        <w:rPr>
          <w:rFonts w:ascii="Palatino Linotype" w:hAnsi="Palatino Linotype" w:cs="Arial"/>
        </w:rPr>
        <w:t xml:space="preserve">su inconformidad el día </w:t>
      </w:r>
      <w:r w:rsidR="0056765C">
        <w:rPr>
          <w:rFonts w:ascii="Palatino Linotype" w:hAnsi="Palatino Linotype" w:cs="Arial"/>
          <w:b/>
        </w:rPr>
        <w:t>veinticinco</w:t>
      </w:r>
      <w:r w:rsidR="0082142B" w:rsidRPr="0022712B">
        <w:rPr>
          <w:rFonts w:ascii="Palatino Linotype" w:hAnsi="Palatino Linotype" w:cs="Arial"/>
          <w:b/>
        </w:rPr>
        <w:t xml:space="preserve"> </w:t>
      </w:r>
      <w:r w:rsidR="009F09BC" w:rsidRPr="0022712B">
        <w:rPr>
          <w:rFonts w:ascii="Palatino Linotype" w:hAnsi="Palatino Linotype" w:cs="Arial"/>
          <w:b/>
        </w:rPr>
        <w:t xml:space="preserve">de </w:t>
      </w:r>
      <w:r w:rsidR="0056765C">
        <w:rPr>
          <w:rFonts w:ascii="Palatino Linotype" w:hAnsi="Palatino Linotype" w:cs="Arial"/>
          <w:b/>
        </w:rPr>
        <w:t>enero de dos mil veintitré</w:t>
      </w:r>
      <w:r w:rsidR="0056765C" w:rsidRPr="0022712B">
        <w:rPr>
          <w:rFonts w:ascii="Palatino Linotype" w:hAnsi="Palatino Linotype" w:cs="Arial"/>
          <w:b/>
        </w:rPr>
        <w:t>s</w:t>
      </w:r>
      <w:r w:rsidR="009F09BC" w:rsidRPr="0022712B">
        <w:rPr>
          <w:rFonts w:ascii="Palatino Linotype" w:hAnsi="Palatino Linotype" w:cs="Arial"/>
        </w:rPr>
        <w:t xml:space="preserve">; </w:t>
      </w:r>
      <w:r w:rsidR="001D02D1" w:rsidRPr="0022712B">
        <w:rPr>
          <w:rFonts w:ascii="Palatino Linotype" w:hAnsi="Palatino Linotype" w:cs="Arial"/>
        </w:rPr>
        <w:t xml:space="preserve">por lo </w:t>
      </w:r>
      <w:r w:rsidR="001D02D1" w:rsidRPr="0022712B">
        <w:rPr>
          <w:rFonts w:ascii="Palatino Linotype" w:hAnsi="Palatino Linotype" w:cs="Arial"/>
        </w:rPr>
        <w:lastRenderedPageBreak/>
        <w:t>que se estima que la inconformidad se presentó</w:t>
      </w:r>
      <w:r w:rsidR="0062406B" w:rsidRPr="0022712B">
        <w:rPr>
          <w:rFonts w:ascii="Palatino Linotype" w:hAnsi="Palatino Linotype" w:cs="Arial"/>
        </w:rPr>
        <w:t xml:space="preserve"> </w:t>
      </w:r>
      <w:r w:rsidR="0082142B" w:rsidRPr="0022712B">
        <w:rPr>
          <w:rFonts w:ascii="Palatino Linotype" w:hAnsi="Palatino Linotype" w:cs="Arial"/>
        </w:rPr>
        <w:t>dentro d</w:t>
      </w:r>
      <w:r w:rsidR="009F09BC" w:rsidRPr="0022712B">
        <w:rPr>
          <w:rFonts w:ascii="Palatino Linotype" w:hAnsi="Palatino Linotype" w:cs="Arial"/>
        </w:rPr>
        <w:t>el lapso legalmente establecido para tal efecto.</w:t>
      </w:r>
    </w:p>
    <w:p w:rsidR="0062406B" w:rsidRPr="0022712B" w:rsidRDefault="0062406B" w:rsidP="0022712B">
      <w:pPr>
        <w:pStyle w:val="Prrafodelista"/>
        <w:spacing w:line="360" w:lineRule="auto"/>
        <w:ind w:left="0"/>
        <w:jc w:val="both"/>
        <w:rPr>
          <w:rFonts w:ascii="Palatino Linotype" w:hAnsi="Palatino Linotype"/>
        </w:rPr>
      </w:pPr>
    </w:p>
    <w:p w:rsidR="009F09BC" w:rsidRPr="0022712B" w:rsidRDefault="009F09BC" w:rsidP="0022712B">
      <w:pPr>
        <w:pStyle w:val="Prrafodelista"/>
        <w:numPr>
          <w:ilvl w:val="0"/>
          <w:numId w:val="15"/>
        </w:numPr>
        <w:spacing w:line="360" w:lineRule="auto"/>
        <w:ind w:left="0" w:firstLine="0"/>
        <w:jc w:val="both"/>
        <w:rPr>
          <w:rFonts w:ascii="Palatino Linotype" w:hAnsi="Palatino Linotype"/>
        </w:rPr>
      </w:pPr>
      <w:r w:rsidRPr="0022712B">
        <w:rPr>
          <w:rFonts w:ascii="Palatino Linotype" w:eastAsia="Calibri" w:hAnsi="Palatino Linotype" w:cs="Arial"/>
        </w:rPr>
        <w:t xml:space="preserve">Asimismo, </w:t>
      </w:r>
      <w:r w:rsidR="00CF0D2B" w:rsidRPr="0022712B">
        <w:rPr>
          <w:rFonts w:ascii="Palatino Linotype" w:eastAsia="Calibri" w:hAnsi="Palatino Linotype" w:cs="Arial"/>
        </w:rPr>
        <w:t>e</w:t>
      </w:r>
      <w:r w:rsidRPr="0022712B">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F9D" w:rsidRPr="0022712B" w:rsidRDefault="00740F9D" w:rsidP="0022712B">
      <w:pPr>
        <w:pStyle w:val="Prrafodelista"/>
        <w:ind w:left="0"/>
        <w:rPr>
          <w:rFonts w:ascii="Palatino Linotype" w:hAnsi="Palatino Linotype"/>
        </w:rPr>
      </w:pPr>
    </w:p>
    <w:p w:rsidR="009F09BC" w:rsidRPr="0022712B" w:rsidRDefault="0038112D" w:rsidP="0022712B">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22712B">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22712B">
        <w:rPr>
          <w:rFonts w:ascii="Palatino Linotype" w:hAnsi="Palatino Linotype"/>
          <w:b/>
          <w:color w:val="000000" w:themeColor="text1"/>
          <w:sz w:val="24"/>
          <w:szCs w:val="24"/>
        </w:rPr>
        <w:t xml:space="preserve">Del planteamiento de la </w:t>
      </w:r>
      <w:r w:rsidR="009F09BC" w:rsidRPr="0022712B">
        <w:rPr>
          <w:rFonts w:ascii="Palatino Linotype" w:hAnsi="Palatino Linotype"/>
          <w:b/>
          <w:i/>
          <w:color w:val="000000" w:themeColor="text1"/>
          <w:sz w:val="24"/>
          <w:szCs w:val="24"/>
        </w:rPr>
        <w:t>Litis</w:t>
      </w:r>
      <w:r w:rsidR="009F09BC" w:rsidRPr="0022712B">
        <w:rPr>
          <w:rFonts w:ascii="Palatino Linotype" w:hAnsi="Palatino Linotype"/>
          <w:b/>
          <w:color w:val="000000" w:themeColor="text1"/>
          <w:sz w:val="24"/>
          <w:szCs w:val="24"/>
        </w:rPr>
        <w:t>.</w:t>
      </w:r>
      <w:bookmarkEnd w:id="142"/>
      <w:bookmarkEnd w:id="143"/>
      <w:bookmarkEnd w:id="144"/>
      <w:bookmarkEnd w:id="145"/>
      <w:bookmarkEnd w:id="146"/>
    </w:p>
    <w:p w:rsidR="009F09BC" w:rsidRPr="0022712B" w:rsidRDefault="009F09BC" w:rsidP="0022712B">
      <w:pPr>
        <w:rPr>
          <w:rFonts w:ascii="Palatino Linotype" w:hAnsi="Palatino Linotype"/>
          <w:lang w:val="es-MX" w:eastAsia="en-US"/>
        </w:rPr>
      </w:pPr>
    </w:p>
    <w:p w:rsidR="009F09BC" w:rsidRPr="0022712B" w:rsidRDefault="009F09BC" w:rsidP="0022712B">
      <w:pPr>
        <w:pStyle w:val="Prrafodelista"/>
        <w:numPr>
          <w:ilvl w:val="0"/>
          <w:numId w:val="15"/>
        </w:numPr>
        <w:spacing w:line="360" w:lineRule="auto"/>
        <w:ind w:left="0" w:firstLine="0"/>
        <w:jc w:val="both"/>
        <w:rPr>
          <w:rFonts w:ascii="Palatino Linotype" w:hAnsi="Palatino Linotype" w:cs="Arial"/>
        </w:rPr>
      </w:pPr>
      <w:r w:rsidRPr="0022712B">
        <w:rPr>
          <w:rFonts w:ascii="Palatino Linotype" w:hAnsi="Palatino Linotype" w:cs="Arial"/>
        </w:rPr>
        <w:t xml:space="preserve">Se </w:t>
      </w:r>
      <w:r w:rsidRPr="0022712B">
        <w:rPr>
          <w:rFonts w:ascii="Palatino Linotype" w:eastAsia="Calibri" w:hAnsi="Palatino Linotype" w:cs="Arial"/>
        </w:rPr>
        <w:t>solicitó</w:t>
      </w:r>
      <w:r w:rsidRPr="0022712B">
        <w:rPr>
          <w:rFonts w:ascii="Palatino Linotype" w:hAnsi="Palatino Linotype" w:cs="Arial"/>
        </w:rPr>
        <w:t xml:space="preserve"> </w:t>
      </w:r>
      <w:r w:rsidR="00AD63B4" w:rsidRPr="0022712B">
        <w:rPr>
          <w:rFonts w:ascii="Palatino Linotype" w:hAnsi="Palatino Linotype" w:cs="Arial"/>
        </w:rPr>
        <w:t xml:space="preserve">tener acceso, a la </w:t>
      </w:r>
      <w:r w:rsidRPr="0022712B">
        <w:rPr>
          <w:rFonts w:ascii="Palatino Linotype" w:hAnsi="Palatino Linotype" w:cs="Arial"/>
        </w:rPr>
        <w:t>información que a continuación se desagrega:</w:t>
      </w:r>
    </w:p>
    <w:p w:rsidR="009F09BC" w:rsidRPr="0022712B" w:rsidRDefault="009F09BC" w:rsidP="0022712B">
      <w:pPr>
        <w:pStyle w:val="Prrafodelista"/>
        <w:spacing w:line="360" w:lineRule="auto"/>
        <w:ind w:left="0"/>
        <w:jc w:val="both"/>
        <w:rPr>
          <w:rFonts w:ascii="Palatino Linotype" w:hAnsi="Palatino Linotype" w:cs="Arial"/>
        </w:rPr>
      </w:pPr>
    </w:p>
    <w:p w:rsidR="0056765C" w:rsidRDefault="0056765C" w:rsidP="0056765C">
      <w:pPr>
        <w:pStyle w:val="Prrafodelista"/>
        <w:numPr>
          <w:ilvl w:val="1"/>
          <w:numId w:val="27"/>
        </w:numPr>
        <w:spacing w:line="360" w:lineRule="auto"/>
        <w:ind w:left="993"/>
        <w:jc w:val="both"/>
        <w:rPr>
          <w:rFonts w:ascii="Palatino Linotype" w:hAnsi="Palatino Linotype" w:cs="Arial"/>
          <w:b/>
        </w:rPr>
      </w:pPr>
      <w:r>
        <w:rPr>
          <w:rFonts w:ascii="Palatino Linotype" w:hAnsi="Palatino Linotype" w:cs="Arial"/>
          <w:b/>
        </w:rPr>
        <w:t>R</w:t>
      </w:r>
      <w:r w:rsidRPr="0056765C">
        <w:rPr>
          <w:rFonts w:ascii="Palatino Linotype" w:hAnsi="Palatino Linotype" w:cs="Arial"/>
          <w:b/>
        </w:rPr>
        <w:t>ecibos de nómina de todo el Ayuntamiento así como de Organismos Descentralizados</w:t>
      </w:r>
      <w:r w:rsidR="001354E8">
        <w:rPr>
          <w:rFonts w:ascii="Palatino Linotype" w:hAnsi="Palatino Linotype" w:cs="Arial"/>
          <w:b/>
        </w:rPr>
        <w:t>,</w:t>
      </w:r>
      <w:r w:rsidRPr="0056765C">
        <w:rPr>
          <w:rFonts w:ascii="Palatino Linotype" w:hAnsi="Palatino Linotype" w:cs="Arial"/>
          <w:b/>
        </w:rPr>
        <w:t xml:space="preserve"> </w:t>
      </w:r>
      <w:r>
        <w:rPr>
          <w:rFonts w:ascii="Palatino Linotype" w:hAnsi="Palatino Linotype" w:cs="Arial"/>
          <w:b/>
        </w:rPr>
        <w:t>de</w:t>
      </w:r>
      <w:r w:rsidRPr="0056765C">
        <w:rPr>
          <w:rFonts w:ascii="Palatino Linotype" w:hAnsi="Palatino Linotype" w:cs="Arial"/>
          <w:b/>
        </w:rPr>
        <w:t xml:space="preserve"> los meses de octubre, noviembre y </w:t>
      </w:r>
      <w:r>
        <w:rPr>
          <w:rFonts w:ascii="Palatino Linotype" w:hAnsi="Palatino Linotype" w:cs="Arial"/>
          <w:b/>
        </w:rPr>
        <w:t>diciembre; y</w:t>
      </w:r>
    </w:p>
    <w:p w:rsidR="0056765C" w:rsidRDefault="0056765C" w:rsidP="0056765C">
      <w:pPr>
        <w:pStyle w:val="Prrafodelista"/>
        <w:spacing w:line="360" w:lineRule="auto"/>
        <w:ind w:left="993"/>
        <w:jc w:val="both"/>
        <w:rPr>
          <w:rFonts w:ascii="Palatino Linotype" w:hAnsi="Palatino Linotype" w:cs="Arial"/>
          <w:b/>
        </w:rPr>
      </w:pPr>
    </w:p>
    <w:p w:rsidR="00AA1A8C" w:rsidRDefault="0056765C" w:rsidP="0056765C">
      <w:pPr>
        <w:pStyle w:val="Prrafodelista"/>
        <w:numPr>
          <w:ilvl w:val="1"/>
          <w:numId w:val="27"/>
        </w:numPr>
        <w:spacing w:line="360" w:lineRule="auto"/>
        <w:ind w:left="993"/>
        <w:jc w:val="both"/>
        <w:rPr>
          <w:rFonts w:ascii="Palatino Linotype" w:hAnsi="Palatino Linotype" w:cs="Arial"/>
          <w:b/>
        </w:rPr>
      </w:pPr>
      <w:r>
        <w:rPr>
          <w:rFonts w:ascii="Palatino Linotype" w:hAnsi="Palatino Linotype" w:cs="Arial"/>
          <w:b/>
        </w:rPr>
        <w:t>Acta de la</w:t>
      </w:r>
      <w:r w:rsidRPr="0056765C">
        <w:rPr>
          <w:rFonts w:ascii="Palatino Linotype" w:hAnsi="Palatino Linotype" w:cs="Arial"/>
          <w:b/>
        </w:rPr>
        <w:t xml:space="preserve"> </w:t>
      </w:r>
      <w:r>
        <w:rPr>
          <w:rFonts w:ascii="Palatino Linotype" w:hAnsi="Palatino Linotype" w:cs="Arial"/>
          <w:b/>
        </w:rPr>
        <w:t>D</w:t>
      </w:r>
      <w:r w:rsidRPr="0056765C">
        <w:rPr>
          <w:rFonts w:ascii="Palatino Linotype" w:hAnsi="Palatino Linotype" w:cs="Arial"/>
          <w:b/>
        </w:rPr>
        <w:t xml:space="preserve">écima </w:t>
      </w:r>
      <w:r>
        <w:rPr>
          <w:rFonts w:ascii="Palatino Linotype" w:hAnsi="Palatino Linotype" w:cs="Arial"/>
          <w:b/>
        </w:rPr>
        <w:t>Sesión E</w:t>
      </w:r>
      <w:r w:rsidRPr="0056765C">
        <w:rPr>
          <w:rFonts w:ascii="Palatino Linotype" w:hAnsi="Palatino Linotype" w:cs="Arial"/>
          <w:b/>
        </w:rPr>
        <w:t xml:space="preserve">xtraordinaria de </w:t>
      </w:r>
      <w:r>
        <w:rPr>
          <w:rFonts w:ascii="Palatino Linotype" w:hAnsi="Palatino Linotype" w:cs="Arial"/>
          <w:b/>
        </w:rPr>
        <w:t>C</w:t>
      </w:r>
      <w:r w:rsidRPr="0056765C">
        <w:rPr>
          <w:rFonts w:ascii="Palatino Linotype" w:hAnsi="Palatino Linotype" w:cs="Arial"/>
          <w:b/>
        </w:rPr>
        <w:t>abildo</w:t>
      </w:r>
      <w:r w:rsidR="00AA1A8C">
        <w:rPr>
          <w:rFonts w:ascii="Palatino Linotype" w:hAnsi="Palatino Linotype" w:cs="Arial"/>
          <w:b/>
        </w:rPr>
        <w:t>; y</w:t>
      </w:r>
    </w:p>
    <w:p w:rsidR="009C21E8" w:rsidRPr="0022712B" w:rsidRDefault="009C21E8" w:rsidP="0022712B">
      <w:pPr>
        <w:pStyle w:val="Prrafodelista"/>
        <w:spacing w:line="360" w:lineRule="auto"/>
        <w:ind w:left="0"/>
        <w:jc w:val="both"/>
        <w:rPr>
          <w:rFonts w:ascii="Palatino Linotype" w:hAnsi="Palatino Linotype" w:cs="Arial"/>
        </w:rPr>
      </w:pPr>
    </w:p>
    <w:p w:rsidR="009F09BC" w:rsidRDefault="000F1081" w:rsidP="0056765C">
      <w:pPr>
        <w:numPr>
          <w:ilvl w:val="0"/>
          <w:numId w:val="15"/>
        </w:numPr>
        <w:spacing w:line="360" w:lineRule="auto"/>
        <w:ind w:left="0" w:firstLine="0"/>
        <w:contextualSpacing/>
        <w:jc w:val="both"/>
        <w:rPr>
          <w:rFonts w:ascii="Palatino Linotype" w:hAnsi="Palatino Linotype" w:cs="Arial"/>
        </w:rPr>
      </w:pPr>
      <w:r w:rsidRPr="0022712B">
        <w:rPr>
          <w:rFonts w:ascii="Palatino Linotype" w:hAnsi="Palatino Linotype" w:cs="Arial"/>
        </w:rPr>
        <w:t xml:space="preserve">En respuesta, el </w:t>
      </w:r>
      <w:r w:rsidRPr="0022712B">
        <w:rPr>
          <w:rFonts w:ascii="Palatino Linotype" w:hAnsi="Palatino Linotype" w:cs="Arial"/>
          <w:b/>
        </w:rPr>
        <w:t xml:space="preserve">SUJETO OBLIGADO </w:t>
      </w:r>
      <w:r w:rsidR="007762D9" w:rsidRPr="0022712B">
        <w:rPr>
          <w:rFonts w:ascii="Palatino Linotype" w:hAnsi="Palatino Linotype" w:cs="Arial"/>
        </w:rPr>
        <w:t xml:space="preserve">remitió </w:t>
      </w:r>
      <w:r w:rsidR="00AA1A8C">
        <w:rPr>
          <w:rFonts w:ascii="Palatino Linotype" w:hAnsi="Palatino Linotype" w:cs="Arial"/>
        </w:rPr>
        <w:t xml:space="preserve">recibos de nómina de </w:t>
      </w:r>
      <w:r w:rsidR="0056765C">
        <w:rPr>
          <w:rFonts w:ascii="Palatino Linotype" w:hAnsi="Palatino Linotype" w:cs="Arial"/>
        </w:rPr>
        <w:t xml:space="preserve">los integrantes del Ayuntamiento </w:t>
      </w:r>
      <w:r w:rsidR="001354E8">
        <w:rPr>
          <w:rFonts w:ascii="Palatino Linotype" w:hAnsi="Palatino Linotype" w:cs="Arial"/>
        </w:rPr>
        <w:t xml:space="preserve"> de los meses de octubre, noviembre y diciembre, así como</w:t>
      </w:r>
      <w:r w:rsidR="0056765C">
        <w:rPr>
          <w:rFonts w:ascii="Palatino Linotype" w:hAnsi="Palatino Linotype" w:cs="Arial"/>
        </w:rPr>
        <w:t xml:space="preserve"> el </w:t>
      </w:r>
      <w:r w:rsidR="0056765C" w:rsidRPr="0056765C">
        <w:rPr>
          <w:rFonts w:ascii="Palatino Linotype" w:hAnsi="Palatino Linotype" w:cs="Arial"/>
        </w:rPr>
        <w:t>Acta de la Décima Sesión Extraordinaria de Cabildo</w:t>
      </w:r>
      <w:r w:rsidR="00AA1A8C">
        <w:rPr>
          <w:rFonts w:ascii="Palatino Linotype" w:hAnsi="Palatino Linotype" w:cs="Arial"/>
        </w:rPr>
        <w:t>, no obstante</w:t>
      </w:r>
      <w:r w:rsidR="00C41E57" w:rsidRPr="0022712B">
        <w:rPr>
          <w:rFonts w:ascii="Palatino Linotype" w:hAnsi="Palatino Linotype" w:cs="Arial"/>
        </w:rPr>
        <w:t xml:space="preserve"> </w:t>
      </w:r>
      <w:r w:rsidR="009F09BC" w:rsidRPr="0022712B">
        <w:rPr>
          <w:rFonts w:ascii="Palatino Linotype" w:hAnsi="Palatino Linotype" w:cs="Arial"/>
          <w:b/>
        </w:rPr>
        <w:t xml:space="preserve">EL PARTICULAR </w:t>
      </w:r>
      <w:r w:rsidR="00AA1A8C" w:rsidRPr="00AA1A8C">
        <w:rPr>
          <w:rFonts w:ascii="Palatino Linotype" w:hAnsi="Palatino Linotype" w:cs="Arial"/>
        </w:rPr>
        <w:t xml:space="preserve">se </w:t>
      </w:r>
      <w:r w:rsidR="009F09BC" w:rsidRPr="0022712B">
        <w:rPr>
          <w:rFonts w:ascii="Palatino Linotype" w:hAnsi="Palatino Linotype" w:cs="Arial"/>
        </w:rPr>
        <w:t>inconform</w:t>
      </w:r>
      <w:r w:rsidR="00AA1A8C">
        <w:rPr>
          <w:rFonts w:ascii="Palatino Linotype" w:hAnsi="Palatino Linotype" w:cs="Arial"/>
        </w:rPr>
        <w:t>ó con la respuesta, exponiendo</w:t>
      </w:r>
      <w:r w:rsidR="009F09BC" w:rsidRPr="0022712B">
        <w:rPr>
          <w:rFonts w:ascii="Palatino Linotype" w:hAnsi="Palatino Linotype" w:cs="Arial"/>
        </w:rPr>
        <w:t xml:space="preserve"> </w:t>
      </w:r>
      <w:r w:rsidR="00CF0D2B" w:rsidRPr="0022712B">
        <w:rPr>
          <w:rFonts w:ascii="Palatino Linotype" w:hAnsi="Palatino Linotype" w:cs="Arial"/>
          <w:i/>
        </w:rPr>
        <w:t>grosso modo</w:t>
      </w:r>
      <w:r w:rsidR="00CF0D2B" w:rsidRPr="0022712B">
        <w:rPr>
          <w:rFonts w:ascii="Palatino Linotype" w:hAnsi="Palatino Linotype" w:cs="Arial"/>
        </w:rPr>
        <w:t xml:space="preserve"> </w:t>
      </w:r>
      <w:r w:rsidR="009F09BC" w:rsidRPr="0022712B">
        <w:rPr>
          <w:rFonts w:ascii="Palatino Linotype" w:hAnsi="Palatino Linotype" w:cs="Arial"/>
        </w:rPr>
        <w:t xml:space="preserve">su </w:t>
      </w:r>
      <w:r w:rsidR="00403D64" w:rsidRPr="0022712B">
        <w:rPr>
          <w:rFonts w:ascii="Palatino Linotype" w:hAnsi="Palatino Linotype" w:cs="Arial"/>
        </w:rPr>
        <w:t xml:space="preserve">inconformidad </w:t>
      </w:r>
      <w:r w:rsidR="0056765C">
        <w:rPr>
          <w:rFonts w:ascii="Palatino Linotype" w:hAnsi="Palatino Linotype" w:cs="Arial"/>
        </w:rPr>
        <w:t xml:space="preserve">por la entrega de información </w:t>
      </w:r>
      <w:r w:rsidR="00FF163B">
        <w:rPr>
          <w:rFonts w:ascii="Palatino Linotype" w:hAnsi="Palatino Linotype" w:cs="Arial"/>
        </w:rPr>
        <w:t>incompleta, porque a su decir, los recibos de nómina correspondían a todos los servidores públicos adscritos al Sujeto Obligado.</w:t>
      </w:r>
    </w:p>
    <w:p w:rsidR="009F09BC" w:rsidRPr="0022712B" w:rsidRDefault="009F09BC" w:rsidP="0022712B">
      <w:pPr>
        <w:numPr>
          <w:ilvl w:val="0"/>
          <w:numId w:val="15"/>
        </w:numPr>
        <w:spacing w:line="360" w:lineRule="auto"/>
        <w:ind w:left="0" w:firstLine="0"/>
        <w:contextualSpacing/>
        <w:jc w:val="both"/>
        <w:rPr>
          <w:rFonts w:ascii="Palatino Linotype" w:eastAsia="MS Mincho" w:hAnsi="Palatino Linotype" w:cs="Arial"/>
        </w:rPr>
      </w:pPr>
      <w:r w:rsidRPr="0022712B">
        <w:rPr>
          <w:rFonts w:ascii="Palatino Linotype" w:eastAsia="MS Mincho" w:hAnsi="Palatino Linotype" w:cs="Arial"/>
        </w:rPr>
        <w:lastRenderedPageBreak/>
        <w:t xml:space="preserve">En </w:t>
      </w:r>
      <w:r w:rsidRPr="0022712B">
        <w:rPr>
          <w:rFonts w:ascii="Palatino Linotype" w:hAnsi="Palatino Linotype" w:cs="Arial"/>
          <w:lang w:eastAsia="es-MX"/>
        </w:rPr>
        <w:t>dichas</w:t>
      </w:r>
      <w:r w:rsidRPr="0022712B">
        <w:rPr>
          <w:rFonts w:ascii="Palatino Linotype" w:eastAsia="Times New Roman" w:hAnsi="Palatino Linotype" w:cs="Arial"/>
        </w:rPr>
        <w:t xml:space="preserve"> condiciones, la </w:t>
      </w:r>
      <w:r w:rsidRPr="0022712B">
        <w:rPr>
          <w:rFonts w:ascii="Palatino Linotype" w:eastAsia="Times New Roman" w:hAnsi="Palatino Linotype" w:cs="Arial"/>
          <w:i/>
        </w:rPr>
        <w:t>Litis</w:t>
      </w:r>
      <w:r w:rsidRPr="0022712B">
        <w:rPr>
          <w:rFonts w:ascii="Palatino Linotype" w:eastAsia="Times New Roman" w:hAnsi="Palatino Linotype" w:cs="Arial"/>
        </w:rPr>
        <w:t xml:space="preserve"> a resolver en este recurso se circunscribe a determinar si </w:t>
      </w:r>
      <w:r w:rsidR="007142AB" w:rsidRPr="0022712B">
        <w:rPr>
          <w:rFonts w:ascii="Palatino Linotype" w:eastAsia="MS Mincho" w:hAnsi="Palatino Linotype" w:cs="Arial"/>
        </w:rPr>
        <w:t>se actualiza</w:t>
      </w:r>
      <w:r w:rsidRPr="0022712B">
        <w:rPr>
          <w:rFonts w:ascii="Palatino Linotype" w:eastAsia="MS Mincho" w:hAnsi="Palatino Linotype" w:cs="Arial"/>
        </w:rPr>
        <w:t xml:space="preserve"> la causal de procedencia prevista en el artículo 179, </w:t>
      </w:r>
      <w:r w:rsidRPr="0022712B">
        <w:rPr>
          <w:rFonts w:ascii="Palatino Linotype" w:eastAsia="MS Mincho" w:hAnsi="Palatino Linotype" w:cs="Arial"/>
          <w:b/>
        </w:rPr>
        <w:t xml:space="preserve">fracción </w:t>
      </w:r>
      <w:r w:rsidR="009F68BF">
        <w:rPr>
          <w:rFonts w:ascii="Palatino Linotype" w:eastAsia="MS Mincho" w:hAnsi="Palatino Linotype" w:cs="Arial"/>
          <w:b/>
        </w:rPr>
        <w:t>V</w:t>
      </w:r>
      <w:r w:rsidRPr="0022712B">
        <w:rPr>
          <w:rFonts w:ascii="Palatino Linotype" w:eastAsia="MS Mincho" w:hAnsi="Palatino Linotype" w:cs="Arial"/>
        </w:rPr>
        <w:t xml:space="preserve"> de la </w:t>
      </w:r>
      <w:r w:rsidRPr="0022712B">
        <w:rPr>
          <w:rFonts w:ascii="Palatino Linotype" w:eastAsia="MS Mincho" w:hAnsi="Palatino Linotype" w:cs="Arial"/>
          <w:b/>
        </w:rPr>
        <w:t>Ley de Transparencia y Acceso a la Información Pública del Estado de México y Municipios</w:t>
      </w:r>
      <w:r w:rsidRPr="0022712B">
        <w:rPr>
          <w:rFonts w:ascii="Palatino Linotype" w:eastAsia="MS Mincho" w:hAnsi="Palatino Linotype" w:cs="Arial"/>
        </w:rPr>
        <w:t xml:space="preserve">; </w:t>
      </w:r>
      <w:r w:rsidRPr="0022712B">
        <w:rPr>
          <w:rFonts w:ascii="Palatino Linotype" w:eastAsia="Times New Roman" w:hAnsi="Palatino Linotype" w:cs="Arial"/>
          <w:color w:val="000000" w:themeColor="text1"/>
          <w:lang w:val="es-ES" w:eastAsia="es-MX"/>
        </w:rPr>
        <w:t xml:space="preserve">fracción que determina </w:t>
      </w:r>
      <w:r w:rsidR="005B6702" w:rsidRPr="0022712B">
        <w:rPr>
          <w:rFonts w:ascii="Palatino Linotype" w:eastAsia="Times New Roman" w:hAnsi="Palatino Linotype" w:cs="Arial"/>
          <w:color w:val="000000" w:themeColor="text1"/>
          <w:lang w:val="es-ES" w:eastAsia="es-MX"/>
        </w:rPr>
        <w:t>la hipótesis jurídica</w:t>
      </w:r>
      <w:r w:rsidRPr="0022712B">
        <w:rPr>
          <w:rFonts w:ascii="Palatino Linotype" w:eastAsia="Times New Roman" w:hAnsi="Palatino Linotype" w:cs="Arial"/>
          <w:color w:val="000000" w:themeColor="text1"/>
          <w:lang w:val="es-ES" w:eastAsia="es-MX"/>
        </w:rPr>
        <w:t xml:space="preserve"> relativa </w:t>
      </w:r>
      <w:r w:rsidR="005B6702" w:rsidRPr="0022712B">
        <w:rPr>
          <w:rFonts w:ascii="Palatino Linotype" w:eastAsia="Times New Roman" w:hAnsi="Palatino Linotype" w:cs="Arial"/>
          <w:color w:val="000000" w:themeColor="text1"/>
          <w:lang w:val="es-ES" w:eastAsia="es-MX"/>
        </w:rPr>
        <w:t xml:space="preserve">a </w:t>
      </w:r>
      <w:r w:rsidR="007142AB" w:rsidRPr="0022712B">
        <w:rPr>
          <w:rFonts w:ascii="Palatino Linotype" w:eastAsia="Times New Roman" w:hAnsi="Palatino Linotype" w:cs="Arial"/>
          <w:color w:val="000000" w:themeColor="text1"/>
          <w:lang w:val="es-ES" w:eastAsia="es-MX"/>
        </w:rPr>
        <w:t>l</w:t>
      </w:r>
      <w:r w:rsidR="002453DA" w:rsidRPr="0022712B">
        <w:rPr>
          <w:rFonts w:ascii="Palatino Linotype" w:eastAsia="Times New Roman" w:hAnsi="Palatino Linotype" w:cs="Arial"/>
          <w:color w:val="000000" w:themeColor="text1"/>
          <w:lang w:val="es-ES" w:eastAsia="es-MX"/>
        </w:rPr>
        <w:t xml:space="preserve">a </w:t>
      </w:r>
      <w:r w:rsidR="009F68BF">
        <w:rPr>
          <w:rFonts w:ascii="Palatino Linotype" w:eastAsia="Times New Roman" w:hAnsi="Palatino Linotype" w:cs="Arial"/>
          <w:color w:val="000000" w:themeColor="text1"/>
          <w:lang w:val="es-ES" w:eastAsia="es-MX"/>
        </w:rPr>
        <w:t>entrega de información incompleta</w:t>
      </w:r>
      <w:r w:rsidRPr="0022712B">
        <w:rPr>
          <w:rFonts w:ascii="Palatino Linotype" w:eastAsia="Times New Roman" w:hAnsi="Palatino Linotype" w:cs="Arial"/>
          <w:color w:val="000000" w:themeColor="text1"/>
          <w:lang w:val="es-ES" w:eastAsia="es-MX"/>
        </w:rPr>
        <w:t xml:space="preserve">; </w:t>
      </w:r>
      <w:r w:rsidRPr="0022712B">
        <w:rPr>
          <w:rFonts w:ascii="Palatino Linotype" w:eastAsia="MS Mincho" w:hAnsi="Palatino Linotype" w:cs="Arial"/>
        </w:rPr>
        <w:t xml:space="preserve">contexto del cual se dolió </w:t>
      </w:r>
      <w:r w:rsidRPr="0022712B">
        <w:rPr>
          <w:rFonts w:ascii="Palatino Linotype" w:eastAsia="MS Mincho" w:hAnsi="Palatino Linotype" w:cs="Arial"/>
          <w:b/>
        </w:rPr>
        <w:t xml:space="preserve">EL RECURRENTE </w:t>
      </w:r>
      <w:r w:rsidRPr="0022712B">
        <w:rPr>
          <w:rFonts w:ascii="Palatino Linotype" w:eastAsia="MS Mincho" w:hAnsi="Palatino Linotype" w:cs="Arial"/>
        </w:rPr>
        <w:t>al momento de interponer su inconformidad.</w:t>
      </w:r>
      <w:r w:rsidRPr="0022712B">
        <w:rPr>
          <w:rFonts w:ascii="Palatino Linotype" w:eastAsia="Times New Roman" w:hAnsi="Palatino Linotype" w:cs="Arial"/>
          <w:color w:val="000000" w:themeColor="text1"/>
          <w:lang w:val="es-ES" w:eastAsia="es-MX"/>
        </w:rPr>
        <w:t xml:space="preserve"> De modo tal </w:t>
      </w:r>
      <w:r w:rsidRPr="0022712B">
        <w:rPr>
          <w:rFonts w:ascii="Palatino Linotype" w:hAnsi="Palatino Linotype" w:cs="Arial"/>
          <w:color w:val="000000" w:themeColor="text1"/>
        </w:rPr>
        <w:t xml:space="preserve">que el presente recurso de revisión se abocara en determinar si el </w:t>
      </w:r>
      <w:r w:rsidRPr="0022712B">
        <w:rPr>
          <w:rFonts w:ascii="Palatino Linotype" w:hAnsi="Palatino Linotype" w:cs="Arial"/>
          <w:b/>
          <w:color w:val="000000" w:themeColor="text1"/>
        </w:rPr>
        <w:t>SUJETO</w:t>
      </w:r>
      <w:r w:rsidRPr="0022712B">
        <w:rPr>
          <w:rFonts w:ascii="Palatino Linotype" w:hAnsi="Palatino Linotype" w:cs="Arial"/>
          <w:color w:val="000000" w:themeColor="text1"/>
        </w:rPr>
        <w:t xml:space="preserve"> </w:t>
      </w:r>
      <w:r w:rsidRPr="0022712B">
        <w:rPr>
          <w:rFonts w:ascii="Palatino Linotype" w:hAnsi="Palatino Linotype" w:cs="Arial"/>
          <w:b/>
          <w:color w:val="000000" w:themeColor="text1"/>
        </w:rPr>
        <w:t>OBLIGADO</w:t>
      </w:r>
      <w:r w:rsidRPr="0022712B">
        <w:rPr>
          <w:rFonts w:ascii="Palatino Linotype" w:hAnsi="Palatino Linotype" w:cs="Arial"/>
          <w:color w:val="000000" w:themeColor="text1"/>
        </w:rPr>
        <w:t xml:space="preserve"> con su respuesta ciertamente </w:t>
      </w:r>
      <w:r w:rsidRPr="0022712B">
        <w:rPr>
          <w:rFonts w:ascii="Palatino Linotype" w:eastAsia="Times New Roman" w:hAnsi="Palatino Linotype"/>
          <w:color w:val="000000" w:themeColor="text1"/>
        </w:rPr>
        <w:t>actualiza la causal de procedencia</w:t>
      </w:r>
      <w:r w:rsidRPr="0022712B">
        <w:rPr>
          <w:rFonts w:ascii="Palatino Linotype" w:eastAsia="Times New Roman" w:hAnsi="Palatino Linotype"/>
          <w:b/>
          <w:color w:val="000000" w:themeColor="text1"/>
        </w:rPr>
        <w:t xml:space="preserve"> </w:t>
      </w:r>
      <w:r w:rsidRPr="0022712B">
        <w:rPr>
          <w:rFonts w:ascii="Palatino Linotype" w:eastAsia="Times New Roman" w:hAnsi="Palatino Linotype" w:cs="Arial"/>
          <w:color w:val="000000" w:themeColor="text1"/>
          <w:lang w:eastAsia="es-MX"/>
        </w:rPr>
        <w:t xml:space="preserve">antes señalada. </w:t>
      </w:r>
    </w:p>
    <w:p w:rsidR="0022712B" w:rsidRPr="00FF163B" w:rsidRDefault="0022712B" w:rsidP="00FF163B">
      <w:pPr>
        <w:rPr>
          <w:rFonts w:ascii="Palatino Linotype" w:eastAsia="MS Mincho" w:hAnsi="Palatino Linotype" w:cs="Arial"/>
        </w:rPr>
      </w:pPr>
    </w:p>
    <w:p w:rsidR="009F09BC" w:rsidRPr="0022712B" w:rsidRDefault="007D3805" w:rsidP="0022712B">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22712B">
        <w:rPr>
          <w:rFonts w:ascii="Palatino Linotype" w:hAnsi="Palatino Linotype"/>
          <w:b/>
          <w:color w:val="000000" w:themeColor="text1"/>
          <w:sz w:val="24"/>
          <w:szCs w:val="24"/>
        </w:rPr>
        <w:t>CUAR</w:t>
      </w:r>
      <w:r w:rsidR="009F09BC" w:rsidRPr="0022712B">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22712B" w:rsidRDefault="009F09BC" w:rsidP="0022712B">
      <w:pPr>
        <w:spacing w:line="360" w:lineRule="auto"/>
        <w:rPr>
          <w:rFonts w:ascii="Palatino Linotype" w:hAnsi="Palatino Linotype"/>
          <w:lang w:val="es-MX" w:eastAsia="en-US"/>
        </w:rPr>
      </w:pPr>
    </w:p>
    <w:p w:rsidR="00164E1A" w:rsidRPr="00164E1A" w:rsidRDefault="005B6702" w:rsidP="0022712B">
      <w:pPr>
        <w:numPr>
          <w:ilvl w:val="0"/>
          <w:numId w:val="15"/>
        </w:numPr>
        <w:spacing w:line="360" w:lineRule="auto"/>
        <w:ind w:left="0" w:firstLine="0"/>
        <w:contextualSpacing/>
        <w:jc w:val="both"/>
        <w:rPr>
          <w:rFonts w:ascii="Palatino Linotype" w:hAnsi="Palatino Linotype"/>
          <w:color w:val="000000" w:themeColor="text1"/>
        </w:rPr>
      </w:pPr>
      <w:r w:rsidRPr="0022712B">
        <w:rPr>
          <w:rFonts w:ascii="Palatino Linotype" w:hAnsi="Palatino Linotype"/>
          <w:color w:val="000000" w:themeColor="text1"/>
        </w:rPr>
        <w:t xml:space="preserve">Acotada la </w:t>
      </w:r>
      <w:r w:rsidRPr="0022712B">
        <w:rPr>
          <w:rFonts w:ascii="Palatino Linotype" w:hAnsi="Palatino Linotype"/>
          <w:i/>
          <w:color w:val="000000" w:themeColor="text1"/>
        </w:rPr>
        <w:t>Litis</w:t>
      </w:r>
      <w:r w:rsidRPr="0022712B">
        <w:rPr>
          <w:rFonts w:ascii="Palatino Linotype" w:hAnsi="Palatino Linotype"/>
          <w:color w:val="000000" w:themeColor="text1"/>
        </w:rPr>
        <w:t xml:space="preserve"> del presente asunto, primeramente es menester precisar</w:t>
      </w:r>
      <w:r w:rsidRPr="0022712B">
        <w:rPr>
          <w:rFonts w:ascii="Palatino Linotype" w:hAnsi="Palatino Linotype"/>
          <w:bCs/>
          <w:color w:val="000000" w:themeColor="text1"/>
          <w:lang w:val="es-MX"/>
        </w:rPr>
        <w:t xml:space="preserve"> </w:t>
      </w:r>
      <w:r w:rsidR="00EB6523" w:rsidRPr="0022712B">
        <w:rPr>
          <w:rFonts w:ascii="Palatino Linotype" w:hAnsi="Palatino Linotype"/>
          <w:bCs/>
          <w:color w:val="000000" w:themeColor="text1"/>
          <w:lang w:val="es-MX"/>
        </w:rPr>
        <w:t>que de</w:t>
      </w:r>
      <w:r w:rsidR="00164E1A">
        <w:rPr>
          <w:rFonts w:ascii="Palatino Linotype" w:hAnsi="Palatino Linotype"/>
          <w:bCs/>
          <w:color w:val="000000" w:themeColor="text1"/>
          <w:lang w:val="es-MX"/>
        </w:rPr>
        <w:t xml:space="preserve">l escrito </w:t>
      </w:r>
      <w:proofErr w:type="spellStart"/>
      <w:r w:rsidR="00164E1A">
        <w:rPr>
          <w:rFonts w:ascii="Palatino Linotype" w:hAnsi="Palatino Linotype"/>
          <w:bCs/>
          <w:color w:val="000000" w:themeColor="text1"/>
          <w:lang w:val="es-MX"/>
        </w:rPr>
        <w:t>recursal</w:t>
      </w:r>
      <w:proofErr w:type="spellEnd"/>
      <w:r w:rsidR="00164E1A">
        <w:rPr>
          <w:rFonts w:ascii="Palatino Linotype" w:hAnsi="Palatino Linotype"/>
          <w:bCs/>
          <w:color w:val="000000" w:themeColor="text1"/>
          <w:lang w:val="es-MX"/>
        </w:rPr>
        <w:t>, se desprende que el particular no se inconforma por la totalidad de las solicitudes de información que requirió de manera inicial</w:t>
      </w:r>
      <w:r w:rsidR="00FF163B">
        <w:rPr>
          <w:rFonts w:ascii="Palatino Linotype" w:hAnsi="Palatino Linotype"/>
          <w:bCs/>
          <w:color w:val="000000" w:themeColor="text1"/>
          <w:lang w:val="es-MX"/>
        </w:rPr>
        <w:t>,</w:t>
      </w:r>
      <w:r w:rsidR="00164E1A">
        <w:rPr>
          <w:rFonts w:ascii="Palatino Linotype" w:hAnsi="Palatino Linotype"/>
          <w:bCs/>
          <w:color w:val="000000" w:themeColor="text1"/>
          <w:lang w:val="es-MX"/>
        </w:rPr>
        <w:t xml:space="preserve"> sino únicamente por la </w:t>
      </w:r>
      <w:r w:rsidR="00FF163B">
        <w:rPr>
          <w:rFonts w:ascii="Palatino Linotype" w:hAnsi="Palatino Linotype"/>
          <w:bCs/>
          <w:color w:val="000000" w:themeColor="text1"/>
          <w:lang w:val="es-MX"/>
        </w:rPr>
        <w:t xml:space="preserve">respuesta emitida por la servidora pública habilitada adscrita a la unidad </w:t>
      </w:r>
      <w:r w:rsidR="00B53F53">
        <w:rPr>
          <w:rFonts w:ascii="Palatino Linotype" w:hAnsi="Palatino Linotype"/>
          <w:bCs/>
          <w:color w:val="000000" w:themeColor="text1"/>
          <w:lang w:val="es-MX"/>
        </w:rPr>
        <w:t>administrativa de recursos human</w:t>
      </w:r>
      <w:r w:rsidR="00FF163B">
        <w:rPr>
          <w:rFonts w:ascii="Palatino Linotype" w:hAnsi="Palatino Linotype"/>
          <w:bCs/>
          <w:color w:val="000000" w:themeColor="text1"/>
          <w:lang w:val="es-MX"/>
        </w:rPr>
        <w:t xml:space="preserve">os; es decir por lo relativo a los recibos de </w:t>
      </w:r>
      <w:r w:rsidR="00F90554">
        <w:rPr>
          <w:rFonts w:ascii="Palatino Linotype" w:hAnsi="Palatino Linotype"/>
          <w:bCs/>
          <w:color w:val="000000" w:themeColor="text1"/>
          <w:lang w:val="es-MX"/>
        </w:rPr>
        <w:t>nómina</w:t>
      </w:r>
      <w:r w:rsidR="00FF163B">
        <w:rPr>
          <w:rFonts w:ascii="Palatino Linotype" w:hAnsi="Palatino Linotype"/>
          <w:bCs/>
          <w:color w:val="000000" w:themeColor="text1"/>
          <w:lang w:val="es-MX"/>
        </w:rPr>
        <w:t xml:space="preserve"> </w:t>
      </w:r>
      <w:r w:rsidR="00F90554">
        <w:rPr>
          <w:rFonts w:ascii="Palatino Linotype" w:hAnsi="Palatino Linotype"/>
          <w:bCs/>
          <w:color w:val="000000" w:themeColor="text1"/>
          <w:lang w:val="es-MX"/>
        </w:rPr>
        <w:t>del Ayuntamiento.</w:t>
      </w:r>
    </w:p>
    <w:p w:rsidR="00164E1A" w:rsidRPr="00164E1A" w:rsidRDefault="00164E1A" w:rsidP="00164E1A">
      <w:pPr>
        <w:spacing w:line="360" w:lineRule="auto"/>
        <w:contextualSpacing/>
        <w:jc w:val="both"/>
        <w:rPr>
          <w:rFonts w:ascii="Palatino Linotype" w:hAnsi="Palatino Linotype"/>
          <w:color w:val="000000" w:themeColor="text1"/>
        </w:rPr>
      </w:pPr>
    </w:p>
    <w:p w:rsidR="00767FB6" w:rsidRPr="0022712B" w:rsidRDefault="00164E1A" w:rsidP="0022712B">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L</w:t>
      </w:r>
      <w:r w:rsidR="00767FB6" w:rsidRPr="0022712B">
        <w:rPr>
          <w:rFonts w:ascii="Palatino Linotype" w:eastAsia="MS Mincho" w:hAnsi="Palatino Linotype" w:cs="Arial"/>
        </w:rPr>
        <w:t xml:space="preserve">uego entonces, al no existir inconformidad del resto de información entregada, es que se tiene por </w:t>
      </w:r>
      <w:r w:rsidR="00767FB6" w:rsidRPr="0022712B">
        <w:rPr>
          <w:rFonts w:ascii="Palatino Linotype" w:hAnsi="Palatino Linotype"/>
          <w:color w:val="000000" w:themeColor="text1"/>
        </w:rPr>
        <w:t>consentida</w:t>
      </w:r>
      <w:r w:rsidR="00767FB6" w:rsidRPr="0022712B">
        <w:rPr>
          <w:rFonts w:ascii="Palatino Linotype" w:eastAsia="MS Mincho" w:hAnsi="Palatino Linotype" w:cs="Arial"/>
        </w:rPr>
        <w:t>, ya</w:t>
      </w:r>
      <w:r w:rsidR="00767FB6" w:rsidRPr="0022712B">
        <w:rPr>
          <w:rFonts w:ascii="Palatino Linotype" w:hAnsi="Palatino Linotype" w:cs="Arial"/>
          <w:b/>
        </w:rPr>
        <w:t xml:space="preserve"> </w:t>
      </w:r>
      <w:r w:rsidR="00767FB6" w:rsidRPr="0022712B">
        <w:rPr>
          <w:rFonts w:ascii="Palatino Linotype" w:hAnsi="Palatino Linotype" w:cs="Arial"/>
        </w:rPr>
        <w:t xml:space="preserve">que la falta de impugnación respecto de los requerimientos que no fueron manifestados en el recurso de revisión, debe entenderse como </w:t>
      </w:r>
      <w:r w:rsidR="00767FB6" w:rsidRPr="0022712B">
        <w:rPr>
          <w:rFonts w:ascii="Palatino Linotype" w:hAnsi="Palatino Linotype" w:cs="Arial"/>
          <w:b/>
        </w:rPr>
        <w:t>actos consentidos</w:t>
      </w:r>
      <w:r w:rsidR="00767FB6" w:rsidRPr="0022712B">
        <w:rPr>
          <w:rFonts w:ascii="Palatino Linotype" w:hAnsi="Palatino Linotype" w:cs="Arial"/>
        </w:rPr>
        <w:t>.</w:t>
      </w:r>
    </w:p>
    <w:p w:rsidR="00767FB6" w:rsidRPr="0022712B" w:rsidRDefault="00767FB6" w:rsidP="0022712B">
      <w:pPr>
        <w:pStyle w:val="Prrafodelista"/>
        <w:ind w:left="0"/>
        <w:rPr>
          <w:rFonts w:ascii="Palatino Linotype" w:eastAsia="MS Mincho" w:hAnsi="Palatino Linotype" w:cs="Arial"/>
        </w:rPr>
      </w:pPr>
    </w:p>
    <w:p w:rsidR="00767FB6" w:rsidRPr="0022712B" w:rsidRDefault="00767FB6" w:rsidP="0022712B">
      <w:pPr>
        <w:numPr>
          <w:ilvl w:val="0"/>
          <w:numId w:val="15"/>
        </w:numPr>
        <w:spacing w:line="360" w:lineRule="auto"/>
        <w:ind w:left="0" w:firstLine="0"/>
        <w:contextualSpacing/>
        <w:jc w:val="both"/>
        <w:rPr>
          <w:rFonts w:ascii="Palatino Linotype" w:hAnsi="Palatino Linotype" w:cs="Arial"/>
        </w:rPr>
      </w:pPr>
      <w:r w:rsidRPr="0022712B">
        <w:rPr>
          <w:rFonts w:ascii="Palatino Linotype" w:eastAsia="MS Mincho" w:hAnsi="Palatino Linotype" w:cs="Arial"/>
        </w:rPr>
        <w:t>Esto</w:t>
      </w:r>
      <w:r w:rsidRPr="0022712B">
        <w:rPr>
          <w:rFonts w:ascii="Palatino Linotype" w:hAnsi="Palatino Linotype" w:cs="Arial"/>
        </w:rPr>
        <w:t xml:space="preserve"> es así, debido a que cuando el recurrente impugna la respuesta del sujeto obligado y éste no expresa razón o motivo de inconformidad en contra de todos los </w:t>
      </w:r>
      <w:r w:rsidRPr="0022712B">
        <w:rPr>
          <w:rFonts w:ascii="Palatino Linotype" w:hAnsi="Palatino Linotype" w:cs="Arial"/>
        </w:rPr>
        <w:lastRenderedPageBreak/>
        <w:t>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767FB6" w:rsidRPr="0022712B" w:rsidRDefault="00767FB6" w:rsidP="0022712B">
      <w:pPr>
        <w:pStyle w:val="Prrafodelista"/>
        <w:ind w:left="0"/>
        <w:rPr>
          <w:rFonts w:ascii="Palatino Linotype" w:hAnsi="Palatino Linotype" w:cs="Arial"/>
        </w:rPr>
      </w:pPr>
    </w:p>
    <w:p w:rsidR="00767FB6" w:rsidRPr="0022712B" w:rsidRDefault="00767FB6" w:rsidP="0022712B">
      <w:pPr>
        <w:pStyle w:val="Prrafodelista"/>
        <w:ind w:left="426" w:right="425"/>
        <w:jc w:val="both"/>
        <w:rPr>
          <w:rFonts w:ascii="Palatino Linotype" w:hAnsi="Palatino Linotype" w:cs="Arial"/>
          <w:i/>
        </w:rPr>
      </w:pPr>
      <w:r w:rsidRPr="0022712B">
        <w:rPr>
          <w:rFonts w:ascii="Palatino Linotype" w:hAnsi="Palatino Linotype" w:cs="Arial"/>
          <w:b/>
          <w:bCs/>
          <w:i/>
          <w:iCs/>
        </w:rPr>
        <w:t>“REVISIÓN EN AMPARO. LOS RESOLUTIVOS NO COMBATIDOS DEBEN DECLARARSE FIRMES. </w:t>
      </w:r>
      <w:r w:rsidRPr="0022712B">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22712B">
        <w:rPr>
          <w:rFonts w:ascii="Palatino Linotype" w:hAnsi="Palatino Linotype" w:cs="Arial"/>
          <w:i/>
          <w:iCs/>
        </w:rPr>
        <w:t> Esto es, en el caso referido, no obstante que la materia de la revisión comprende a todos los resolutivos que afectan a EL RECURRENTE, </w:t>
      </w:r>
      <w:r w:rsidRPr="0022712B">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22712B">
        <w:rPr>
          <w:rFonts w:ascii="Palatino Linotype" w:hAnsi="Palatino Linotype" w:cs="Arial"/>
          <w:i/>
          <w:iCs/>
        </w:rPr>
        <w:t>.”</w:t>
      </w:r>
    </w:p>
    <w:p w:rsidR="00767FB6" w:rsidRDefault="00767FB6" w:rsidP="0022712B">
      <w:pPr>
        <w:pStyle w:val="Prrafodelista"/>
        <w:spacing w:line="360" w:lineRule="auto"/>
        <w:ind w:left="426" w:right="426"/>
        <w:jc w:val="both"/>
        <w:rPr>
          <w:rFonts w:ascii="Palatino Linotype" w:hAnsi="Palatino Linotype" w:cs="Arial"/>
        </w:rPr>
      </w:pPr>
      <w:r w:rsidRPr="0022712B">
        <w:rPr>
          <w:rFonts w:ascii="Palatino Linotype" w:hAnsi="Palatino Linotype" w:cs="Arial"/>
        </w:rPr>
        <w:t>(Énfasis añadido)</w:t>
      </w:r>
    </w:p>
    <w:p w:rsidR="001354E8" w:rsidRPr="0022712B" w:rsidRDefault="001354E8" w:rsidP="0022712B">
      <w:pPr>
        <w:pStyle w:val="Prrafodelista"/>
        <w:spacing w:line="360" w:lineRule="auto"/>
        <w:ind w:left="426" w:right="426"/>
        <w:jc w:val="both"/>
        <w:rPr>
          <w:rFonts w:ascii="Palatino Linotype" w:hAnsi="Palatino Linotype" w:cs="Arial"/>
        </w:rPr>
      </w:pPr>
    </w:p>
    <w:p w:rsidR="00767FB6" w:rsidRPr="0022712B" w:rsidRDefault="00767FB6" w:rsidP="0022712B">
      <w:pPr>
        <w:numPr>
          <w:ilvl w:val="0"/>
          <w:numId w:val="15"/>
        </w:numPr>
        <w:spacing w:line="360" w:lineRule="auto"/>
        <w:ind w:left="0" w:firstLine="0"/>
        <w:contextualSpacing/>
        <w:jc w:val="both"/>
        <w:rPr>
          <w:rFonts w:ascii="Palatino Linotype" w:hAnsi="Palatino Linotype" w:cs="Arial"/>
        </w:rPr>
      </w:pPr>
      <w:r w:rsidRPr="0022712B">
        <w:rPr>
          <w:rFonts w:ascii="Palatino Linotype" w:hAnsi="Palatino Linotype" w:cs="Arial"/>
        </w:rPr>
        <w:t xml:space="preserve">Consecuentemente, </w:t>
      </w:r>
      <w:r w:rsidRPr="0022712B">
        <w:rPr>
          <w:rFonts w:ascii="Palatino Linotype" w:hAnsi="Palatino Linotype" w:cs="Arial"/>
          <w:b/>
        </w:rPr>
        <w:t xml:space="preserve">la parte de la respuesta que no fue impugnada debe declararse consentida por el recurrente, toda vez que no realizó </w:t>
      </w:r>
      <w:r w:rsidRPr="0022712B">
        <w:rPr>
          <w:rFonts w:ascii="Palatino Linotype" w:eastAsia="MS Mincho" w:hAnsi="Palatino Linotype" w:cs="Arial"/>
        </w:rPr>
        <w:t>manifestaciones</w:t>
      </w:r>
      <w:r w:rsidRPr="0022712B">
        <w:rPr>
          <w:rFonts w:ascii="Palatino Linotype" w:hAnsi="Palatino Linotype" w:cs="Arial"/>
          <w:b/>
        </w:rPr>
        <w:t xml:space="preserve"> de inconformidad</w:t>
      </w:r>
      <w:r w:rsidRPr="0022712B">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767FB6" w:rsidRPr="0022712B" w:rsidRDefault="00767FB6" w:rsidP="0022712B">
      <w:pPr>
        <w:pStyle w:val="Prrafodelista"/>
        <w:spacing w:line="360" w:lineRule="auto"/>
        <w:ind w:left="0"/>
        <w:jc w:val="both"/>
        <w:rPr>
          <w:rFonts w:ascii="Palatino Linotype" w:hAnsi="Palatino Linotype" w:cs="Arial"/>
        </w:rPr>
      </w:pPr>
    </w:p>
    <w:p w:rsidR="00767FB6" w:rsidRPr="0022712B" w:rsidRDefault="00767FB6" w:rsidP="0022712B">
      <w:pPr>
        <w:pStyle w:val="Prrafodelista"/>
        <w:ind w:left="426" w:right="425"/>
        <w:jc w:val="both"/>
        <w:rPr>
          <w:rFonts w:ascii="Palatino Linotype" w:hAnsi="Palatino Linotype" w:cs="Arial"/>
          <w:i/>
        </w:rPr>
      </w:pPr>
      <w:r w:rsidRPr="0022712B">
        <w:rPr>
          <w:rFonts w:ascii="Palatino Linotype" w:hAnsi="Palatino Linotype" w:cs="Arial"/>
          <w:b/>
          <w:bCs/>
          <w:i/>
          <w:iCs/>
        </w:rPr>
        <w:t>“ACTOS CONSENTIDOS. SON LOS QUE NO SE IMPUGNAN MEDIANTE EL RECURSO IDÓNEO. </w:t>
      </w:r>
      <w:r w:rsidRPr="0022712B">
        <w:rPr>
          <w:rFonts w:ascii="Palatino Linotype" w:hAnsi="Palatino Linotype" w:cs="Arial"/>
          <w:i/>
          <w:iCs/>
          <w:u w:val="single"/>
        </w:rPr>
        <w:t>Debe reputarse como consentido el acto que no se impugnó por el medio establecido por la ley</w:t>
      </w:r>
      <w:r w:rsidRPr="0022712B">
        <w:rPr>
          <w:rFonts w:ascii="Palatino Linotype" w:hAnsi="Palatino Linotype" w:cs="Arial"/>
          <w:i/>
          <w:iCs/>
        </w:rPr>
        <w:t xml:space="preserve">, ya que si se hizo uso de otro no previsto por ella o si se hace una simple manifestación de inconformidad, tales </w:t>
      </w:r>
      <w:r w:rsidRPr="0022712B">
        <w:rPr>
          <w:rFonts w:ascii="Palatino Linotype" w:hAnsi="Palatino Linotype" w:cs="Arial"/>
          <w:i/>
          <w:iCs/>
        </w:rPr>
        <w:lastRenderedPageBreak/>
        <w:t>actuaciones no producen efectos jurídicos tendientes a revocar, confirmar o modificar el acto reclamado en amparo, lo que significa consentimiento del mismo por falta de impugnación eficaz.”</w:t>
      </w:r>
    </w:p>
    <w:p w:rsidR="00767FB6" w:rsidRPr="0022712B" w:rsidRDefault="00767FB6" w:rsidP="0022712B">
      <w:pPr>
        <w:pStyle w:val="Prrafodelista"/>
        <w:spacing w:line="360" w:lineRule="auto"/>
        <w:ind w:left="426" w:right="426"/>
        <w:jc w:val="both"/>
        <w:rPr>
          <w:rFonts w:ascii="Palatino Linotype" w:hAnsi="Palatino Linotype" w:cs="Arial"/>
        </w:rPr>
      </w:pPr>
      <w:r w:rsidRPr="0022712B">
        <w:rPr>
          <w:rFonts w:ascii="Palatino Linotype" w:hAnsi="Palatino Linotype" w:cs="Arial"/>
        </w:rPr>
        <w:t>(Énfasis añadido)</w:t>
      </w:r>
    </w:p>
    <w:p w:rsidR="00767FB6" w:rsidRPr="0022712B" w:rsidRDefault="00767FB6" w:rsidP="0022712B">
      <w:pPr>
        <w:pStyle w:val="Prrafodelista"/>
        <w:spacing w:line="360" w:lineRule="auto"/>
        <w:ind w:left="0"/>
        <w:jc w:val="both"/>
        <w:rPr>
          <w:rFonts w:ascii="Palatino Linotype" w:eastAsia="MS Mincho" w:hAnsi="Palatino Linotype" w:cs="Arial"/>
        </w:rPr>
      </w:pPr>
    </w:p>
    <w:p w:rsidR="00767FB6" w:rsidRPr="0022712B" w:rsidRDefault="00767FB6" w:rsidP="0022712B">
      <w:pPr>
        <w:numPr>
          <w:ilvl w:val="0"/>
          <w:numId w:val="15"/>
        </w:numPr>
        <w:spacing w:line="360" w:lineRule="auto"/>
        <w:ind w:left="0" w:firstLine="0"/>
        <w:contextualSpacing/>
        <w:jc w:val="both"/>
        <w:rPr>
          <w:rFonts w:ascii="Palatino Linotype" w:eastAsia="MS Mincho" w:hAnsi="Palatino Linotype" w:cs="Arial"/>
        </w:rPr>
      </w:pPr>
      <w:r w:rsidRPr="0022712B">
        <w:rPr>
          <w:rFonts w:ascii="Palatino Linotype" w:eastAsia="MS Mincho" w:hAnsi="Palatino Linotype" w:cs="Arial"/>
        </w:rPr>
        <w:t xml:space="preserve">Así las cosas, al no pronunciarse respecto de las respuestas que allí se vertieron se </w:t>
      </w:r>
      <w:r w:rsidRPr="0022712B">
        <w:rPr>
          <w:rFonts w:ascii="Palatino Linotype" w:hAnsi="Palatino Linotype" w:cs="Arial"/>
        </w:rPr>
        <w:t>considera</w:t>
      </w:r>
      <w:r w:rsidRPr="0022712B">
        <w:rPr>
          <w:rFonts w:ascii="Palatino Linotype" w:eastAsia="MS Mincho" w:hAnsi="Palatino Linotype" w:cs="Arial"/>
        </w:rPr>
        <w:t xml:space="preserve"> que se encuentra conforme con ellas, pues se insiste su inconformidad radicó en </w:t>
      </w:r>
      <w:r w:rsidRPr="0022712B">
        <w:rPr>
          <w:rFonts w:ascii="Palatino Linotype" w:eastAsia="MS Mincho" w:hAnsi="Palatino Linotype" w:cs="Arial"/>
          <w:b/>
        </w:rPr>
        <w:t>la falta de pronunciamiento de toda la información entregada</w:t>
      </w:r>
      <w:r w:rsidRPr="0022712B">
        <w:rPr>
          <w:rFonts w:ascii="Palatino Linotype" w:eastAsia="MS Mincho" w:hAnsi="Palatino Linotype" w:cs="Arial"/>
        </w:rPr>
        <w:t>.</w:t>
      </w:r>
    </w:p>
    <w:p w:rsidR="00767FB6" w:rsidRPr="0022712B" w:rsidRDefault="00767FB6" w:rsidP="0022712B">
      <w:pPr>
        <w:spacing w:line="360" w:lineRule="auto"/>
        <w:contextualSpacing/>
        <w:jc w:val="both"/>
        <w:rPr>
          <w:rFonts w:ascii="Palatino Linotype" w:eastAsia="MS Mincho" w:hAnsi="Palatino Linotype" w:cs="Arial"/>
        </w:rPr>
      </w:pPr>
    </w:p>
    <w:p w:rsidR="00F90554" w:rsidRDefault="00EA531E" w:rsidP="00107D9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Luego entonces, se procede al análisis de la información objeto de impugnación</w:t>
      </w:r>
      <w:r w:rsidR="002223AA">
        <w:rPr>
          <w:rFonts w:ascii="Palatino Linotype" w:hAnsi="Palatino Linotype"/>
          <w:color w:val="000000" w:themeColor="text1"/>
        </w:rPr>
        <w:t xml:space="preserve"> y que </w:t>
      </w:r>
      <w:r w:rsidR="00107D97">
        <w:rPr>
          <w:rFonts w:ascii="Palatino Linotype" w:hAnsi="Palatino Linotype"/>
          <w:color w:val="000000" w:themeColor="text1"/>
        </w:rPr>
        <w:t xml:space="preserve">del recurso de revisión </w:t>
      </w:r>
      <w:r w:rsidR="00107D97" w:rsidRPr="00107D97">
        <w:rPr>
          <w:rFonts w:ascii="Palatino Linotype" w:hAnsi="Palatino Linotype"/>
          <w:b/>
          <w:color w:val="000000" w:themeColor="text1"/>
        </w:rPr>
        <w:t>00433/INFOEM/IP/RR/2023</w:t>
      </w:r>
      <w:r w:rsidR="00107D97">
        <w:rPr>
          <w:rFonts w:ascii="Palatino Linotype" w:hAnsi="Palatino Linotype"/>
          <w:color w:val="000000" w:themeColor="text1"/>
        </w:rPr>
        <w:t xml:space="preserve"> </w:t>
      </w:r>
      <w:r w:rsidR="002223AA">
        <w:rPr>
          <w:rFonts w:ascii="Palatino Linotype" w:hAnsi="Palatino Linotype"/>
          <w:color w:val="000000" w:themeColor="text1"/>
        </w:rPr>
        <w:t xml:space="preserve">corresponde a los </w:t>
      </w:r>
      <w:r w:rsidR="002223AA" w:rsidRPr="002223AA">
        <w:rPr>
          <w:rFonts w:ascii="Palatino Linotype" w:hAnsi="Palatino Linotype"/>
          <w:b/>
          <w:color w:val="000000" w:themeColor="text1"/>
        </w:rPr>
        <w:t>recibos de nómina faltantes</w:t>
      </w:r>
      <w:r>
        <w:rPr>
          <w:rFonts w:ascii="Palatino Linotype" w:hAnsi="Palatino Linotype"/>
          <w:color w:val="000000" w:themeColor="text1"/>
        </w:rPr>
        <w:t>, resultando dable primeramente señalar</w:t>
      </w:r>
      <w:r w:rsidR="00F90554">
        <w:rPr>
          <w:rFonts w:ascii="Palatino Linotype" w:hAnsi="Palatino Linotype"/>
          <w:color w:val="000000" w:themeColor="text1"/>
        </w:rPr>
        <w:t xml:space="preserve"> que lo vertido por el </w:t>
      </w:r>
      <w:r w:rsidR="00F90554">
        <w:rPr>
          <w:rFonts w:ascii="Palatino Linotype" w:hAnsi="Palatino Linotype"/>
          <w:b/>
          <w:color w:val="000000" w:themeColor="text1"/>
        </w:rPr>
        <w:t xml:space="preserve">SUJETO </w:t>
      </w:r>
      <w:r w:rsidR="00F90554" w:rsidRPr="00107D97">
        <w:rPr>
          <w:rFonts w:ascii="Palatino Linotype" w:eastAsia="MS Mincho" w:hAnsi="Palatino Linotype" w:cs="Arial"/>
          <w:b/>
        </w:rPr>
        <w:t>OBLIGADO</w:t>
      </w:r>
      <w:r w:rsidR="00F90554">
        <w:rPr>
          <w:rFonts w:ascii="Palatino Linotype" w:hAnsi="Palatino Linotype"/>
          <w:b/>
          <w:color w:val="000000" w:themeColor="text1"/>
        </w:rPr>
        <w:t xml:space="preserve"> </w:t>
      </w:r>
      <w:r w:rsidR="00F90554">
        <w:rPr>
          <w:rFonts w:ascii="Palatino Linotype" w:hAnsi="Palatino Linotype"/>
          <w:color w:val="000000" w:themeColor="text1"/>
        </w:rPr>
        <w:t xml:space="preserve">en su respuesta, ciertamente resulta correcto, en el sentido que los integrantes de un Ayuntamiento, únicamente corresponden a los servidores públicos señalados, como lo establece la </w:t>
      </w:r>
      <w:r w:rsidR="00F90554" w:rsidRPr="00F90554">
        <w:rPr>
          <w:rFonts w:ascii="Palatino Linotype" w:hAnsi="Palatino Linotype"/>
          <w:color w:val="000000" w:themeColor="text1"/>
        </w:rPr>
        <w:t>Ley Orgánica Municipal del Estado de México</w:t>
      </w:r>
      <w:r w:rsidR="00F90554">
        <w:rPr>
          <w:rFonts w:ascii="Palatino Linotype" w:hAnsi="Palatino Linotype"/>
          <w:color w:val="000000" w:themeColor="text1"/>
        </w:rPr>
        <w:t xml:space="preserve"> en su artículo 16, a saber:</w:t>
      </w:r>
    </w:p>
    <w:p w:rsidR="00F90554" w:rsidRDefault="00F90554" w:rsidP="00F90554">
      <w:pPr>
        <w:pStyle w:val="Prrafodelista"/>
        <w:rPr>
          <w:rFonts w:ascii="Palatino Linotype" w:hAnsi="Palatino Linotype"/>
          <w:color w:val="000000" w:themeColor="text1"/>
        </w:rPr>
      </w:pPr>
    </w:p>
    <w:p w:rsidR="00F90554" w:rsidRPr="00FF24F0" w:rsidRDefault="00F90554" w:rsidP="00FF24F0">
      <w:pPr>
        <w:ind w:left="426" w:right="474"/>
        <w:contextualSpacing/>
        <w:jc w:val="both"/>
        <w:rPr>
          <w:rFonts w:ascii="Palatino Linotype" w:hAnsi="Palatino Linotype"/>
          <w:i/>
          <w:color w:val="000000" w:themeColor="text1"/>
        </w:rPr>
      </w:pPr>
      <w:r w:rsidRPr="00FF24F0">
        <w:rPr>
          <w:rFonts w:ascii="Palatino Linotype" w:hAnsi="Palatino Linotype"/>
          <w:i/>
          <w:color w:val="000000" w:themeColor="text1"/>
        </w:rPr>
        <w:t>Artículo 16.- Los Ayuntamientos se renovarán cada tres años, iniciarán su periodo el 1 de enero del año inmediato siguiente al de las elecciones municipales ordinarias y concluirán el 31 de diciembre del año de las elecciones para su renovación</w:t>
      </w:r>
      <w:r w:rsidRPr="00FF24F0">
        <w:rPr>
          <w:rFonts w:ascii="Palatino Linotype" w:hAnsi="Palatino Linotype"/>
          <w:b/>
          <w:i/>
          <w:color w:val="000000" w:themeColor="text1"/>
        </w:rPr>
        <w:t>; y se integrarán por</w:t>
      </w:r>
      <w:r w:rsidRPr="00FF24F0">
        <w:rPr>
          <w:rFonts w:ascii="Palatino Linotype" w:hAnsi="Palatino Linotype"/>
          <w:i/>
          <w:color w:val="000000" w:themeColor="text1"/>
        </w:rPr>
        <w:t>:</w:t>
      </w:r>
    </w:p>
    <w:p w:rsidR="00F90554" w:rsidRPr="00FF24F0" w:rsidRDefault="00F90554" w:rsidP="00FF24F0">
      <w:pPr>
        <w:ind w:left="426" w:right="474"/>
        <w:contextualSpacing/>
        <w:jc w:val="both"/>
        <w:rPr>
          <w:rFonts w:ascii="Palatino Linotype" w:hAnsi="Palatino Linotype"/>
          <w:i/>
          <w:color w:val="000000" w:themeColor="text1"/>
        </w:rPr>
      </w:pPr>
      <w:r w:rsidRPr="00FF24F0">
        <w:rPr>
          <w:rFonts w:ascii="Palatino Linotype" w:hAnsi="Palatino Linotype"/>
          <w:i/>
          <w:color w:val="000000" w:themeColor="text1"/>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rsidR="00F90554" w:rsidRPr="00FF24F0" w:rsidRDefault="00F90554" w:rsidP="00FF24F0">
      <w:pPr>
        <w:ind w:left="426" w:right="474"/>
        <w:contextualSpacing/>
        <w:jc w:val="both"/>
        <w:rPr>
          <w:rFonts w:ascii="Palatino Linotype" w:hAnsi="Palatino Linotype"/>
          <w:i/>
          <w:color w:val="000000" w:themeColor="text1"/>
        </w:rPr>
      </w:pPr>
      <w:r w:rsidRPr="00FF24F0">
        <w:rPr>
          <w:rFonts w:ascii="Palatino Linotype" w:hAnsi="Palatino Linotype"/>
          <w:i/>
          <w:color w:val="000000" w:themeColor="text1"/>
        </w:rPr>
        <w:t xml:space="preserve">II. Un presidente, un síndico y cinco regidores, electos por planilla según el principio de mayoría relativa, y cuatro regidores designados según el principio de </w:t>
      </w:r>
      <w:r w:rsidRPr="00FF24F0">
        <w:rPr>
          <w:rFonts w:ascii="Palatino Linotype" w:hAnsi="Palatino Linotype"/>
          <w:i/>
          <w:color w:val="000000" w:themeColor="text1"/>
        </w:rPr>
        <w:lastRenderedPageBreak/>
        <w:t>representación proporcional, cuando se trate de municipios que tengan una población de más de 150 mil habitantes y menos de 500 mil habitantes.</w:t>
      </w:r>
    </w:p>
    <w:p w:rsidR="00F90554" w:rsidRPr="00FF24F0" w:rsidRDefault="00F90554" w:rsidP="00FF24F0">
      <w:pPr>
        <w:ind w:left="426" w:right="474"/>
        <w:contextualSpacing/>
        <w:jc w:val="both"/>
        <w:rPr>
          <w:rFonts w:ascii="Palatino Linotype" w:hAnsi="Palatino Linotype"/>
          <w:i/>
          <w:color w:val="000000" w:themeColor="text1"/>
        </w:rPr>
      </w:pPr>
      <w:r w:rsidRPr="00FF24F0">
        <w:rPr>
          <w:rFonts w:ascii="Palatino Linotype" w:hAnsi="Palatino Linotype"/>
          <w:i/>
          <w:color w:val="000000" w:themeColor="text1"/>
        </w:rPr>
        <w:t>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rsidR="00F90554" w:rsidRPr="00FF24F0" w:rsidRDefault="00F90554" w:rsidP="00FF24F0">
      <w:pPr>
        <w:ind w:left="426" w:right="474"/>
        <w:contextualSpacing/>
        <w:jc w:val="both"/>
        <w:rPr>
          <w:rFonts w:ascii="Palatino Linotype" w:hAnsi="Palatino Linotype"/>
          <w:i/>
          <w:color w:val="000000" w:themeColor="text1"/>
        </w:rPr>
      </w:pPr>
      <w:r w:rsidRPr="00FF24F0">
        <w:rPr>
          <w:rFonts w:ascii="Palatino Linotype" w:hAnsi="Palatino Linotype"/>
          <w:i/>
          <w:color w:val="000000" w:themeColor="text1"/>
        </w:rPr>
        <w:t>IV. Derogada.</w:t>
      </w:r>
    </w:p>
    <w:p w:rsidR="00F90554" w:rsidRDefault="00F90554" w:rsidP="00F90554">
      <w:pPr>
        <w:pStyle w:val="Prrafodelista"/>
        <w:rPr>
          <w:rFonts w:ascii="Palatino Linotype" w:hAnsi="Palatino Linotype"/>
          <w:color w:val="000000" w:themeColor="text1"/>
        </w:rPr>
      </w:pPr>
    </w:p>
    <w:p w:rsidR="00F90554" w:rsidRDefault="00FF24F0" w:rsidP="0022712B">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Luego entonces, si bien es cierto el particular requirió recibos de nómina de todo el Ayuntamiento y se le entregaron únicamente los pertenecientes a Presidente Municipal, Sindico y regidores, en estricto sentido, ciertamente correspondería a una respuesta concordante con lo requerido.</w:t>
      </w:r>
    </w:p>
    <w:p w:rsidR="00F90554" w:rsidRDefault="00F90554" w:rsidP="00F90554">
      <w:pPr>
        <w:pStyle w:val="Prrafodelista"/>
        <w:rPr>
          <w:rFonts w:ascii="Palatino Linotype" w:hAnsi="Palatino Linotype"/>
          <w:color w:val="000000" w:themeColor="text1"/>
        </w:rPr>
      </w:pPr>
    </w:p>
    <w:p w:rsidR="00F90554" w:rsidRDefault="00FF24F0" w:rsidP="00FF24F0">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No obstante de la lectura literal a la solicitud de información inicial, se colige que el particular requirió recibos de nómina de todo el personal adscrito a las unidades administrativas del Ayuntamiento, cuando refiere </w:t>
      </w:r>
      <w:r w:rsidRPr="00FF24F0">
        <w:rPr>
          <w:rFonts w:ascii="Palatino Linotype" w:hAnsi="Palatino Linotype"/>
          <w:i/>
          <w:color w:val="000000" w:themeColor="text1"/>
        </w:rPr>
        <w:t xml:space="preserve">“…solicito todos y cada uno de los recibos de </w:t>
      </w:r>
      <w:proofErr w:type="spellStart"/>
      <w:r w:rsidRPr="00FF24F0">
        <w:rPr>
          <w:rFonts w:ascii="Palatino Linotype" w:hAnsi="Palatino Linotype"/>
          <w:i/>
          <w:color w:val="000000" w:themeColor="text1"/>
        </w:rPr>
        <w:t>nomina</w:t>
      </w:r>
      <w:proofErr w:type="spellEnd"/>
      <w:r w:rsidRPr="00FF24F0">
        <w:rPr>
          <w:rFonts w:ascii="Palatino Linotype" w:hAnsi="Palatino Linotype"/>
          <w:i/>
          <w:color w:val="000000" w:themeColor="text1"/>
        </w:rPr>
        <w:t xml:space="preserve"> de </w:t>
      </w:r>
      <w:r w:rsidRPr="00FF24F0">
        <w:rPr>
          <w:rFonts w:ascii="Palatino Linotype" w:hAnsi="Palatino Linotype"/>
          <w:b/>
          <w:i/>
          <w:color w:val="000000" w:themeColor="text1"/>
        </w:rPr>
        <w:t>todo el Ayuntamiento de Atenco</w:t>
      </w:r>
      <w:r w:rsidRPr="00FF24F0">
        <w:rPr>
          <w:rFonts w:ascii="Palatino Linotype" w:hAnsi="Palatino Linotype"/>
          <w:i/>
          <w:color w:val="000000" w:themeColor="text1"/>
        </w:rPr>
        <w:t xml:space="preserve"> así como de Organismos Descentralizados…”</w:t>
      </w:r>
      <w:r>
        <w:rPr>
          <w:rFonts w:ascii="Palatino Linotype" w:hAnsi="Palatino Linotype"/>
          <w:i/>
          <w:color w:val="000000" w:themeColor="text1"/>
        </w:rPr>
        <w:t>,</w:t>
      </w:r>
      <w:r>
        <w:rPr>
          <w:rFonts w:ascii="Palatino Linotype" w:hAnsi="Palatino Linotype"/>
          <w:color w:val="000000" w:themeColor="text1"/>
        </w:rPr>
        <w:t xml:space="preserve"> contexto que se refuerza con los motivos de inconformidad vertidos en el recurso de revisión</w:t>
      </w:r>
      <w:r w:rsidR="0047004A">
        <w:rPr>
          <w:rFonts w:ascii="Palatino Linotype" w:hAnsi="Palatino Linotype"/>
          <w:color w:val="000000" w:themeColor="text1"/>
        </w:rPr>
        <w:t>, donde se disipa cualquier incertidumbre  al respecto.</w:t>
      </w:r>
    </w:p>
    <w:p w:rsidR="0047004A" w:rsidRDefault="0047004A" w:rsidP="0047004A">
      <w:pPr>
        <w:pStyle w:val="Prrafodelista"/>
        <w:rPr>
          <w:rFonts w:ascii="Palatino Linotype" w:hAnsi="Palatino Linotype"/>
          <w:color w:val="000000" w:themeColor="text1"/>
        </w:rPr>
      </w:pPr>
    </w:p>
    <w:p w:rsidR="00AA334C" w:rsidRDefault="0047004A" w:rsidP="00AA334C">
      <w:pPr>
        <w:numPr>
          <w:ilvl w:val="0"/>
          <w:numId w:val="15"/>
        </w:numPr>
        <w:spacing w:line="360" w:lineRule="auto"/>
        <w:ind w:left="0" w:firstLine="0"/>
        <w:contextualSpacing/>
        <w:jc w:val="both"/>
        <w:rPr>
          <w:rFonts w:ascii="Palatino Linotype" w:eastAsia="MS Mincho" w:hAnsi="Palatino Linotype" w:cs="Arial"/>
        </w:rPr>
      </w:pPr>
      <w:r>
        <w:rPr>
          <w:rFonts w:ascii="Palatino Linotype" w:hAnsi="Palatino Linotype"/>
          <w:color w:val="000000" w:themeColor="text1"/>
        </w:rPr>
        <w:t>Luego entonces, si bien es cierto el particular pudiera no haber redactado adecuadamente su solicitud de información; también lo es que los particulares no se encuentran obligados a conocer los términos específicos, técnicos o jurídicos de lo que pretenden conocer, bastando que refieran un expresión documental que otorgue indicios</w:t>
      </w:r>
      <w:r w:rsidR="00AA334C">
        <w:rPr>
          <w:rFonts w:ascii="Palatino Linotype" w:hAnsi="Palatino Linotype"/>
          <w:color w:val="000000" w:themeColor="text1"/>
        </w:rPr>
        <w:t xml:space="preserve"> de lo que es su deseo conocer,</w:t>
      </w:r>
      <w:r w:rsidR="00AA334C">
        <w:rPr>
          <w:rFonts w:ascii="Palatino Linotype" w:hAnsi="Palatino Linotype"/>
        </w:rPr>
        <w:t xml:space="preserve"> sirve de sustento a lo anterior el </w:t>
      </w:r>
      <w:r w:rsidR="00AA334C">
        <w:rPr>
          <w:rFonts w:ascii="Palatino Linotype" w:eastAsia="MS Mincho" w:hAnsi="Palatino Linotype" w:cs="Arial"/>
        </w:rPr>
        <w:t>Criterio siguiente, emitido por el Órgano Garante Nacional, a saber:</w:t>
      </w:r>
    </w:p>
    <w:p w:rsidR="00AA334C" w:rsidRPr="00732C4E" w:rsidRDefault="00AA334C" w:rsidP="00AA334C">
      <w:pPr>
        <w:pStyle w:val="Prrafodelista"/>
        <w:rPr>
          <w:rFonts w:ascii="Palatino Linotype" w:eastAsia="MS Mincho" w:hAnsi="Palatino Linotype" w:cs="Arial"/>
        </w:rPr>
      </w:pPr>
    </w:p>
    <w:p w:rsidR="00AA334C" w:rsidRPr="0044181E" w:rsidRDefault="00AA334C" w:rsidP="006501FC">
      <w:pPr>
        <w:ind w:left="425" w:right="474"/>
        <w:contextualSpacing/>
        <w:jc w:val="both"/>
        <w:rPr>
          <w:rFonts w:ascii="Palatino Linotype" w:hAnsi="Palatino Linotype"/>
        </w:rPr>
      </w:pPr>
      <w:r w:rsidRPr="00732C4E">
        <w:rPr>
          <w:rFonts w:ascii="Palatino Linotype" w:eastAsia="MS Mincho" w:hAnsi="Palatino Linotype" w:cs="Arial"/>
          <w:i/>
        </w:rPr>
        <w:lastRenderedPageBreak/>
        <w:t>“</w:t>
      </w:r>
      <w:r w:rsidRPr="00732C4E">
        <w:rPr>
          <w:rFonts w:ascii="Palatino Linotype" w:eastAsia="MS Mincho" w:hAnsi="Palatino Linotype" w:cs="Arial"/>
          <w:b/>
          <w:i/>
        </w:rPr>
        <w:t>Expresión documental</w:t>
      </w:r>
      <w:r w:rsidRPr="00732C4E">
        <w:rPr>
          <w:rFonts w:ascii="Palatino Linotype" w:eastAsia="MS Mincho" w:hAnsi="Palatino Linotype" w:cs="Arial"/>
          <w:i/>
        </w:rPr>
        <w:t xml:space="preserve">. Cuando los particulares presenten solicitudes de acceso a la información </w:t>
      </w:r>
      <w:r w:rsidRPr="00732C4E">
        <w:rPr>
          <w:rFonts w:ascii="Palatino Linotype" w:eastAsia="MS Mincho" w:hAnsi="Palatino Linotype" w:cs="Arial"/>
          <w:b/>
          <w:i/>
        </w:rPr>
        <w:t>sin identificar de forma precisa la documentación que pudiera contener la información de su interés</w:t>
      </w:r>
      <w:r w:rsidRPr="00732C4E">
        <w:rPr>
          <w:rFonts w:ascii="Palatino Linotype" w:eastAsia="MS Mincho" w:hAnsi="Palatino Linotype" w:cs="Arial"/>
          <w:i/>
        </w:rPr>
        <w:t xml:space="preserve">, o bien, la solicitud constituya una consulta, pero la respuesta pudiera obrar en algún documento en poder de los sujetos obligados, </w:t>
      </w:r>
      <w:r w:rsidRPr="00732C4E">
        <w:rPr>
          <w:rFonts w:ascii="Palatino Linotype" w:eastAsia="MS Mincho" w:hAnsi="Palatino Linotype" w:cs="Arial"/>
          <w:b/>
          <w:i/>
        </w:rPr>
        <w:t>éstos deben dar a dichas solicitudes</w:t>
      </w:r>
      <w:r>
        <w:rPr>
          <w:rFonts w:ascii="Palatino Linotype" w:eastAsia="MS Mincho" w:hAnsi="Palatino Linotype" w:cs="Arial"/>
          <w:b/>
          <w:i/>
        </w:rPr>
        <w:t>”</w:t>
      </w:r>
    </w:p>
    <w:p w:rsidR="00AA334C" w:rsidRPr="0044181E" w:rsidRDefault="00AA334C" w:rsidP="00AA334C">
      <w:pPr>
        <w:spacing w:line="360" w:lineRule="auto"/>
        <w:contextualSpacing/>
        <w:jc w:val="both"/>
        <w:rPr>
          <w:rFonts w:ascii="Palatino Linotype" w:hAnsi="Palatino Linotype"/>
        </w:rPr>
      </w:pPr>
    </w:p>
    <w:p w:rsidR="005951D0" w:rsidRDefault="00AA334C" w:rsidP="005951D0">
      <w:pPr>
        <w:numPr>
          <w:ilvl w:val="0"/>
          <w:numId w:val="15"/>
        </w:numPr>
        <w:spacing w:line="360" w:lineRule="auto"/>
        <w:ind w:left="0" w:firstLine="0"/>
        <w:contextualSpacing/>
        <w:jc w:val="both"/>
        <w:rPr>
          <w:rFonts w:ascii="Palatino Linotype" w:hAnsi="Palatino Linotype" w:cs="Arial"/>
          <w:color w:val="000000" w:themeColor="text1"/>
        </w:rPr>
      </w:pPr>
      <w:r w:rsidRPr="005951D0">
        <w:rPr>
          <w:rFonts w:ascii="Palatino Linotype" w:hAnsi="Palatino Linotype"/>
          <w:color w:val="000000" w:themeColor="text1"/>
        </w:rPr>
        <w:t xml:space="preserve">Así, del caso concreto al advertirse que el particular requería tener acceso a recibos de </w:t>
      </w:r>
      <w:r w:rsidR="005951D0" w:rsidRPr="005951D0">
        <w:rPr>
          <w:rFonts w:ascii="Palatino Linotype" w:hAnsi="Palatino Linotype"/>
          <w:color w:val="000000" w:themeColor="text1"/>
        </w:rPr>
        <w:t>nómina se considera procedente</w:t>
      </w:r>
      <w:r w:rsidR="005951D0">
        <w:rPr>
          <w:rFonts w:ascii="Palatino Linotype" w:hAnsi="Palatino Linotype"/>
          <w:color w:val="000000" w:themeColor="text1"/>
        </w:rPr>
        <w:t xml:space="preserve"> realizar la suplencia de la queja en favor del particular</w:t>
      </w:r>
      <w:r w:rsidR="005951D0" w:rsidRPr="005951D0">
        <w:rPr>
          <w:rFonts w:ascii="Palatino Linotype" w:hAnsi="Palatino Linotype"/>
          <w:color w:val="000000" w:themeColor="text1"/>
        </w:rPr>
        <w:t xml:space="preserve">, </w:t>
      </w:r>
      <w:r w:rsidR="005951D0">
        <w:rPr>
          <w:rFonts w:ascii="Palatino Linotype" w:hAnsi="Palatino Linotype" w:cs="Arial"/>
          <w:color w:val="000000" w:themeColor="text1"/>
        </w:rPr>
        <w:t>con fundamento en lo dispuesto por el artículo 181 de la ley de la materia, sin cambiar los hechos inicialmente expuestos por el particular, como se observa:</w:t>
      </w:r>
    </w:p>
    <w:p w:rsidR="005951D0" w:rsidRDefault="005951D0" w:rsidP="005951D0">
      <w:pPr>
        <w:pStyle w:val="Prrafodelista"/>
        <w:rPr>
          <w:rFonts w:ascii="Palatino Linotype" w:hAnsi="Palatino Linotype" w:cs="Arial"/>
          <w:color w:val="000000" w:themeColor="text1"/>
        </w:rPr>
      </w:pPr>
    </w:p>
    <w:p w:rsidR="005951D0" w:rsidRPr="00E65EFB" w:rsidRDefault="005951D0" w:rsidP="005951D0">
      <w:pPr>
        <w:spacing w:line="360" w:lineRule="auto"/>
        <w:ind w:left="426" w:right="474"/>
        <w:contextualSpacing/>
        <w:jc w:val="both"/>
        <w:rPr>
          <w:rFonts w:ascii="Palatino Linotype" w:hAnsi="Palatino Linotype" w:cs="Arial"/>
          <w:i/>
          <w:color w:val="000000" w:themeColor="text1"/>
        </w:rPr>
      </w:pPr>
      <w:r w:rsidRPr="00E65EFB">
        <w:rPr>
          <w:rFonts w:ascii="Palatino Linotype" w:hAnsi="Palatino Linotype" w:cs="Arial"/>
          <w:i/>
          <w:color w:val="000000" w:themeColor="text1"/>
        </w:rPr>
        <w:t>“Artículo 181. …</w:t>
      </w:r>
    </w:p>
    <w:p w:rsidR="005951D0" w:rsidRPr="00E65EFB" w:rsidRDefault="005951D0" w:rsidP="005951D0">
      <w:pPr>
        <w:ind w:left="425" w:right="476"/>
        <w:contextualSpacing/>
        <w:jc w:val="both"/>
        <w:rPr>
          <w:rFonts w:ascii="Palatino Linotype" w:hAnsi="Palatino Linotype" w:cs="Arial"/>
          <w:i/>
          <w:color w:val="000000" w:themeColor="text1"/>
        </w:rPr>
      </w:pPr>
      <w:r w:rsidRPr="00E65EFB">
        <w:rPr>
          <w:rFonts w:ascii="Palatino Linotype" w:hAnsi="Palatino Linotype" w:cs="Arial"/>
          <w:i/>
          <w:color w:val="000000" w:themeColor="text1"/>
        </w:rPr>
        <w:t xml:space="preserve">Durante el procedimiento </w:t>
      </w:r>
      <w:r w:rsidRPr="00E65EFB">
        <w:rPr>
          <w:rFonts w:ascii="Palatino Linotype" w:hAnsi="Palatino Linotype" w:cs="Arial"/>
          <w:b/>
          <w:i/>
          <w:color w:val="000000" w:themeColor="text1"/>
        </w:rPr>
        <w:t>deberá aplicarse la suplencia de la queja a favor del recurrente, sin cambiar los hechos expuestos</w:t>
      </w:r>
      <w:r w:rsidRPr="00E65EFB">
        <w:rPr>
          <w:rFonts w:ascii="Palatino Linotype" w:hAnsi="Palatino Linotype" w:cs="Arial"/>
          <w:i/>
          <w:color w:val="000000" w:themeColor="text1"/>
        </w:rPr>
        <w:t>, asegurándose de que las partes puedan presentar, de manera oral o escrita, los argumentos que funden y motiven sus pretensiones.</w:t>
      </w:r>
    </w:p>
    <w:p w:rsidR="005951D0" w:rsidRPr="00E65EFB" w:rsidRDefault="005951D0" w:rsidP="005951D0">
      <w:pPr>
        <w:spacing w:line="360" w:lineRule="auto"/>
        <w:ind w:left="426" w:right="474"/>
        <w:contextualSpacing/>
        <w:jc w:val="both"/>
        <w:rPr>
          <w:rFonts w:ascii="Palatino Linotype" w:hAnsi="Palatino Linotype" w:cs="Arial"/>
          <w:i/>
          <w:color w:val="000000" w:themeColor="text1"/>
        </w:rPr>
      </w:pPr>
      <w:r w:rsidRPr="00E65EFB">
        <w:rPr>
          <w:rFonts w:ascii="Palatino Linotype" w:hAnsi="Palatino Linotype" w:cs="Arial"/>
          <w:i/>
          <w:color w:val="000000" w:themeColor="text1"/>
        </w:rPr>
        <w:t>…”</w:t>
      </w:r>
    </w:p>
    <w:p w:rsidR="000A3C64" w:rsidRDefault="000A3C64" w:rsidP="000A3C64">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Respecto a la naturaleza de la solicitado, al ya haber remitido información parcial de lo solicitado, acepta que genera, posee y administra lo requerido en ejercicio de sus funciones de derecho público; no obstante </w:t>
      </w:r>
      <w:r w:rsidRPr="0020474E">
        <w:rPr>
          <w:rFonts w:ascii="Palatino Linotype" w:hAnsi="Palatino Linotype"/>
          <w:color w:val="000000" w:themeColor="text1"/>
        </w:rPr>
        <w:t>el hecho de que acepte contar con ellas, no es causal de omitir un estudio de la fuente obligacional</w:t>
      </w:r>
      <w:r>
        <w:rPr>
          <w:rFonts w:ascii="Palatino Linotype" w:hAnsi="Palatino Linotype"/>
          <w:color w:val="000000" w:themeColor="text1"/>
        </w:rPr>
        <w:t xml:space="preserve"> del </w:t>
      </w:r>
      <w:r>
        <w:rPr>
          <w:rFonts w:ascii="Palatino Linotype" w:hAnsi="Palatino Linotype"/>
          <w:b/>
          <w:color w:val="000000" w:themeColor="text1"/>
        </w:rPr>
        <w:t xml:space="preserve">SUJETO </w:t>
      </w:r>
      <w:r w:rsidRPr="000A3C64">
        <w:rPr>
          <w:rFonts w:ascii="Palatino Linotype" w:hAnsi="Palatino Linotype"/>
          <w:b/>
          <w:color w:val="000000" w:themeColor="text1"/>
        </w:rPr>
        <w:t>OBLIGADO</w:t>
      </w:r>
      <w:r>
        <w:rPr>
          <w:rFonts w:ascii="Palatino Linotype" w:hAnsi="Palatino Linotype"/>
          <w:color w:val="000000" w:themeColor="text1"/>
        </w:rPr>
        <w:t xml:space="preserve">, que determine a este Órgano Garante, ordene a que cumpla entregar determinada información. </w:t>
      </w:r>
    </w:p>
    <w:p w:rsidR="000A3C64" w:rsidRDefault="000A3C64" w:rsidP="000A3C64">
      <w:pPr>
        <w:spacing w:line="360" w:lineRule="auto"/>
        <w:contextualSpacing/>
        <w:jc w:val="both"/>
        <w:rPr>
          <w:rFonts w:ascii="Palatino Linotype" w:hAnsi="Palatino Linotype"/>
          <w:color w:val="000000" w:themeColor="text1"/>
        </w:rPr>
      </w:pPr>
    </w:p>
    <w:p w:rsidR="003A367F" w:rsidRPr="000A3C64" w:rsidRDefault="000A3C64" w:rsidP="009077CE">
      <w:pPr>
        <w:numPr>
          <w:ilvl w:val="0"/>
          <w:numId w:val="15"/>
        </w:numPr>
        <w:spacing w:line="360" w:lineRule="auto"/>
        <w:ind w:left="0" w:firstLine="0"/>
        <w:contextualSpacing/>
        <w:jc w:val="both"/>
        <w:rPr>
          <w:rFonts w:ascii="Palatino Linotype" w:eastAsia="Palatino Linotype" w:hAnsi="Palatino Linotype" w:cs="Palatino Linotype"/>
        </w:rPr>
      </w:pPr>
      <w:r w:rsidRPr="000A3C64">
        <w:rPr>
          <w:rFonts w:ascii="Palatino Linotype" w:eastAsia="Palatino Linotype" w:hAnsi="Palatino Linotype" w:cs="Palatino Linotype"/>
        </w:rPr>
        <w:t xml:space="preserve">Acotado lo anterior, es necesario traer a </w:t>
      </w:r>
      <w:r w:rsidR="0020474E" w:rsidRPr="000A3C64">
        <w:rPr>
          <w:rFonts w:ascii="Palatino Linotype" w:eastAsia="Palatino Linotype" w:hAnsi="Palatino Linotype" w:cs="Palatino Linotype"/>
        </w:rPr>
        <w:t>colación</w:t>
      </w:r>
      <w:r>
        <w:rPr>
          <w:rFonts w:ascii="Palatino Linotype" w:eastAsia="Palatino Linotype" w:hAnsi="Palatino Linotype" w:cs="Palatino Linotype"/>
        </w:rPr>
        <w:t>, lo establecido por l</w:t>
      </w:r>
      <w:r w:rsidR="00627A97" w:rsidRPr="000A3C64">
        <w:rPr>
          <w:rFonts w:ascii="Palatino Linotype" w:eastAsia="Palatino Linotype" w:hAnsi="Palatino Linotype" w:cs="Palatino Linotype"/>
        </w:rPr>
        <w:t>os</w:t>
      </w:r>
      <w:r w:rsidR="003A367F" w:rsidRPr="000A3C64">
        <w:rPr>
          <w:rFonts w:ascii="Palatino Linotype" w:hAnsi="Palatino Linotype"/>
          <w:color w:val="000000" w:themeColor="text1"/>
        </w:rPr>
        <w:t xml:space="preserve"> </w:t>
      </w:r>
      <w:r w:rsidR="003A367F" w:rsidRPr="000A3C64">
        <w:rPr>
          <w:rFonts w:ascii="Palatino Linotype" w:eastAsia="Palatino Linotype" w:hAnsi="Palatino Linotype" w:cs="Palatino Linotype"/>
        </w:rPr>
        <w:t xml:space="preserve">artículos 7 y 23 fracciones I y XI, de la Ley de Transparencia y </w:t>
      </w:r>
      <w:r w:rsidR="003A367F" w:rsidRPr="000A3C64">
        <w:rPr>
          <w:rFonts w:ascii="Palatino Linotype" w:hAnsi="Palatino Linotype"/>
          <w:color w:val="000000" w:themeColor="text1"/>
        </w:rPr>
        <w:t>Acceso</w:t>
      </w:r>
      <w:r w:rsidR="003A367F" w:rsidRPr="000A3C64">
        <w:rPr>
          <w:rFonts w:ascii="Palatino Linotype" w:eastAsia="Palatino Linotype" w:hAnsi="Palatino Linotype" w:cs="Palatino Linotype"/>
        </w:rPr>
        <w:t xml:space="preserve"> a la Información Pública del Estado de México y Municipios, establece como deber de </w:t>
      </w:r>
      <w:r w:rsidR="003A367F" w:rsidRPr="000A3C64">
        <w:rPr>
          <w:rFonts w:ascii="Palatino Linotype" w:eastAsia="Palatino Linotype" w:hAnsi="Palatino Linotype" w:cs="Palatino Linotype"/>
        </w:rPr>
        <w:lastRenderedPageBreak/>
        <w:t xml:space="preserve">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de las áreas señaladas en la solicitud de información recibe recursos de carácter público, en consecuencia, dichos datos revisten interés público:  </w:t>
      </w:r>
    </w:p>
    <w:p w:rsidR="00627A97" w:rsidRPr="00124FD1" w:rsidRDefault="00627A97" w:rsidP="00627A97">
      <w:pPr>
        <w:spacing w:line="360" w:lineRule="auto"/>
        <w:contextualSpacing/>
        <w:jc w:val="both"/>
        <w:rPr>
          <w:rFonts w:ascii="Palatino Linotype" w:eastAsia="Palatino Linotype" w:hAnsi="Palatino Linotype" w:cs="Palatino Linotype"/>
        </w:rPr>
      </w:pP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w:t>
      </w: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 xml:space="preserve">Artículo 23. Son sujetos obligados a transparentar y permitir el acceso a su información y proteger los datos personales que obren en su poder: </w:t>
      </w: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I. El Poder Ejecutivo del Estado de México, las dependencias, organismos auxiliares, órganos, entidades, fideicomisos y fondos públicos, así como la Procuraduría General de Justicia;</w:t>
      </w: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w:t>
      </w: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 xml:space="preserve">XI. Cualquier otra autoridad, entidad, órgano u organismo de los poderes estatal o municipal, que reciba recursos públicos. </w:t>
      </w: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3A367F" w:rsidRPr="00180C74" w:rsidRDefault="003A367F" w:rsidP="00180C74">
      <w:pPr>
        <w:ind w:left="567" w:right="616"/>
        <w:jc w:val="both"/>
        <w:rPr>
          <w:rFonts w:ascii="Palatino Linotype" w:eastAsia="Palatino Linotype" w:hAnsi="Palatino Linotype" w:cs="Palatino Linotype"/>
          <w:i/>
          <w:szCs w:val="22"/>
        </w:rPr>
      </w:pPr>
      <w:r w:rsidRPr="00180C74">
        <w:rPr>
          <w:rFonts w:ascii="Palatino Linotype" w:eastAsia="Palatino Linotype" w:hAnsi="Palatino Linotype" w:cs="Palatino Linotype"/>
          <w:i/>
          <w:szCs w:val="22"/>
        </w:rPr>
        <w:t>Los servidores públicos deberán transparentar sus acciones así como garantizar y respetar el derecho de acceso a la información pública.”</w:t>
      </w:r>
    </w:p>
    <w:p w:rsidR="003A367F" w:rsidRPr="007A33A8" w:rsidRDefault="003A367F" w:rsidP="003A367F">
      <w:pPr>
        <w:spacing w:line="360" w:lineRule="auto"/>
        <w:ind w:left="567" w:right="851"/>
        <w:jc w:val="both"/>
        <w:rPr>
          <w:rFonts w:ascii="Palatino Linotype" w:eastAsia="Palatino Linotype" w:hAnsi="Palatino Linotype" w:cs="Palatino Linotype"/>
          <w:sz w:val="22"/>
          <w:szCs w:val="22"/>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sidR="00627A97">
        <w:rPr>
          <w:rFonts w:ascii="Palatino Linotype" w:eastAsia="Palatino Linotype" w:hAnsi="Palatino Linotype" w:cs="Palatino Linotype"/>
        </w:rPr>
        <w:t>p</w:t>
      </w:r>
      <w:r>
        <w:rPr>
          <w:rFonts w:ascii="Palatino Linotype" w:eastAsia="Palatino Linotype" w:hAnsi="Palatino Linotype" w:cs="Palatino Linotype"/>
        </w:rPr>
        <w:t xml:space="preserve">ara el caso de las remuneraciones, debemos definirlas como todo tipo de retribución que recibe un trabajador por las labores realizadas, en otras </w:t>
      </w:r>
      <w:r>
        <w:rPr>
          <w:rFonts w:ascii="Palatino Linotype" w:eastAsia="Palatino Linotype" w:hAnsi="Palatino Linotype" w:cs="Palatino Linotype"/>
        </w:rPr>
        <w:lastRenderedPageBreak/>
        <w:t xml:space="preserve">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3A367F" w:rsidRDefault="003A367F" w:rsidP="003A367F">
      <w:pPr>
        <w:spacing w:line="360" w:lineRule="auto"/>
        <w:contextualSpacing/>
        <w:jc w:val="both"/>
        <w:rPr>
          <w:rFonts w:ascii="Palatino Linotype" w:eastAsia="Palatino Linotype" w:hAnsi="Palatino Linotype" w:cs="Palatino Linotype"/>
        </w:rPr>
      </w:pPr>
    </w:p>
    <w:p w:rsidR="003A367F" w:rsidRDefault="003A367F" w:rsidP="00627A97">
      <w:pPr>
        <w:ind w:left="425" w:right="618"/>
        <w:jc w:val="both"/>
        <w:rPr>
          <w:rFonts w:ascii="Palatino Linotype" w:eastAsia="Palatino Linotype" w:hAnsi="Palatino Linotype" w:cs="Palatino Linotype"/>
          <w:i/>
          <w:sz w:val="22"/>
          <w:szCs w:val="22"/>
        </w:rPr>
      </w:pPr>
      <w:bookmarkStart w:id="152" w:name="bookmark=id.gjdgxs" w:colFirst="0" w:colLast="0"/>
      <w:bookmarkEnd w:id="152"/>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84.- El salario se integra con</w:t>
      </w:r>
      <w:r>
        <w:rPr>
          <w:rFonts w:ascii="Palatino Linotype" w:eastAsia="Palatino Linotype" w:hAnsi="Palatino Linotype" w:cs="Palatino Linotype"/>
          <w:i/>
          <w:sz w:val="22"/>
          <w:szCs w:val="22"/>
        </w:rPr>
        <w:t xml:space="preserve"> los pagos hechos en efectivo por cuota diaria, gratificaciones, percepciones, habitación, primas, comisiones, </w:t>
      </w:r>
      <w:r>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Pr>
          <w:rFonts w:ascii="Palatino Linotype" w:eastAsia="Palatino Linotype" w:hAnsi="Palatino Linotype" w:cs="Palatino Linotype"/>
          <w:i/>
          <w:sz w:val="22"/>
          <w:szCs w:val="22"/>
        </w:rPr>
        <w:t>”</w:t>
      </w: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1354E8" w:rsidRDefault="001354E8" w:rsidP="001354E8">
      <w:pPr>
        <w:spacing w:line="360" w:lineRule="auto"/>
        <w:contextualSpacing/>
        <w:jc w:val="both"/>
        <w:rPr>
          <w:rFonts w:ascii="Palatino Linotype" w:eastAsia="Palatino Linotype" w:hAnsi="Palatino Linotype" w:cs="Palatino Linotype"/>
        </w:rPr>
      </w:pPr>
    </w:p>
    <w:p w:rsidR="003A367F" w:rsidRDefault="003A367F" w:rsidP="00627A97">
      <w:pPr>
        <w:ind w:left="709" w:right="618"/>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Pr>
          <w:rFonts w:ascii="Palatino Linotype" w:eastAsia="Palatino Linotype" w:hAnsi="Palatino Linotype" w:cs="Palatino Linotype"/>
          <w:i/>
          <w:sz w:val="22"/>
          <w:szCs w:val="22"/>
        </w:rPr>
        <w:t xml:space="preserve"> el titular del Poder Ejecutivo, </w:t>
      </w:r>
      <w:r>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3A367F" w:rsidRDefault="003A367F" w:rsidP="003A367F">
      <w:pPr>
        <w:spacing w:line="360" w:lineRule="auto"/>
        <w:ind w:left="709" w:right="616"/>
        <w:jc w:val="both"/>
        <w:rPr>
          <w:rFonts w:ascii="Palatino Linotype" w:eastAsia="Palatino Linotype" w:hAnsi="Palatino Linotype" w:cs="Palatino Linotype"/>
          <w:i/>
          <w:sz w:val="22"/>
          <w:szCs w:val="22"/>
        </w:rPr>
      </w:pPr>
    </w:p>
    <w:p w:rsidR="003A367F" w:rsidRDefault="003A367F" w:rsidP="003A367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3A367F" w:rsidRDefault="003A367F" w:rsidP="00627A97">
      <w:pPr>
        <w:ind w:left="709"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w:t>
      </w:r>
      <w:r w:rsidRPr="008468BF">
        <w:rPr>
          <w:rFonts w:ascii="Palatino Linotype" w:eastAsia="Palatino Linotype" w:hAnsi="Palatino Linotype" w:cs="Palatino Linotype"/>
          <w:i/>
          <w:sz w:val="22"/>
          <w:szCs w:val="22"/>
        </w:rPr>
        <w:t xml:space="preserve">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w:t>
      </w:r>
      <w:r>
        <w:rPr>
          <w:rFonts w:ascii="Palatino Linotype" w:eastAsia="Palatino Linotype" w:hAnsi="Palatino Linotype" w:cs="Palatino Linotype"/>
          <w:i/>
          <w:sz w:val="22"/>
          <w:szCs w:val="22"/>
        </w:rPr>
        <w:t>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3A367F" w:rsidRDefault="003A367F" w:rsidP="003A367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3A367F" w:rsidRDefault="003A367F" w:rsidP="003A367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3A367F" w:rsidRDefault="003A367F" w:rsidP="003A367F">
      <w:pPr>
        <w:spacing w:line="360" w:lineRule="auto"/>
        <w:ind w:left="709" w:right="616"/>
        <w:jc w:val="both"/>
        <w:rPr>
          <w:rFonts w:ascii="Palatino Linotype" w:eastAsia="Palatino Linotype" w:hAnsi="Palatino Linotype" w:cs="Palatino Linotype"/>
          <w:i/>
          <w:sz w:val="22"/>
          <w:szCs w:val="22"/>
        </w:rPr>
      </w:pPr>
    </w:p>
    <w:p w:rsidR="003A367F" w:rsidRDefault="003A367F" w:rsidP="003A367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A367F" w:rsidRDefault="003A367F" w:rsidP="00627A97">
      <w:pPr>
        <w:ind w:left="709"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Pr>
          <w:rFonts w:ascii="Palatino Linotype" w:eastAsia="Palatino Linotype" w:hAnsi="Palatino Linotype" w:cs="Palatino Linotype"/>
          <w:i/>
          <w:sz w:val="22"/>
          <w:szCs w:val="22"/>
        </w:rPr>
        <w:t>;”</w:t>
      </w:r>
    </w:p>
    <w:p w:rsidR="003A367F" w:rsidRPr="008468BF" w:rsidRDefault="003A367F" w:rsidP="003A367F">
      <w:pPr>
        <w:spacing w:line="360" w:lineRule="auto"/>
        <w:ind w:left="709" w:right="616"/>
        <w:jc w:val="both"/>
        <w:rPr>
          <w:rFonts w:ascii="Palatino Linotype" w:eastAsia="Palatino Linotype" w:hAnsi="Palatino Linotype" w:cs="Palatino Linotype"/>
          <w:sz w:val="22"/>
          <w:szCs w:val="22"/>
        </w:rPr>
      </w:pPr>
      <w:r w:rsidRPr="008468BF">
        <w:rPr>
          <w:rFonts w:ascii="Palatino Linotype" w:eastAsia="Palatino Linotype" w:hAnsi="Palatino Linotype" w:cs="Palatino Linotype"/>
          <w:sz w:val="22"/>
          <w:szCs w:val="22"/>
        </w:rPr>
        <w:t>(Énfasis añadido)</w:t>
      </w:r>
    </w:p>
    <w:p w:rsidR="003A367F" w:rsidRDefault="003A367F" w:rsidP="003A367F">
      <w:pPr>
        <w:spacing w:line="360" w:lineRule="auto"/>
        <w:ind w:right="49"/>
        <w:jc w:val="both"/>
        <w:rPr>
          <w:rFonts w:ascii="Palatino Linotype" w:eastAsia="Palatino Linotype" w:hAnsi="Palatino Linotype" w:cs="Palatino Linotype"/>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rsidR="003A367F" w:rsidRDefault="003A367F" w:rsidP="003A367F">
      <w:pPr>
        <w:spacing w:line="360" w:lineRule="auto"/>
        <w:ind w:right="49"/>
        <w:jc w:val="both"/>
        <w:rPr>
          <w:rFonts w:ascii="Palatino Linotype" w:eastAsia="Palatino Linotype" w:hAnsi="Palatino Linotype" w:cs="Palatino Linotype"/>
        </w:rPr>
      </w:pPr>
    </w:p>
    <w:p w:rsidR="003A367F" w:rsidRPr="00216E80"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216E80">
        <w:rPr>
          <w:rFonts w:ascii="Palatino Linotype" w:eastAsia="Palatino Linotype" w:hAnsi="Palatino Linotype" w:cs="Palatino Linotype"/>
        </w:rPr>
        <w:t xml:space="preserve">Así, la Ley del Trabajo de los Servidores Públicos del Estado y Municipios hace referencia a los comprobantes que las instituciones públicas realizan para documentar el pago de salarios, </w:t>
      </w:r>
      <w:r w:rsidRPr="00FA32CE">
        <w:rPr>
          <w:rFonts w:ascii="Palatino Linotype" w:eastAsia="Palatino Linotype" w:hAnsi="Palatino Linotype" w:cs="Palatino Linotype"/>
        </w:rPr>
        <w:t>prima vacacional, aguinaldo</w:t>
      </w:r>
      <w:r w:rsidRPr="00216E80">
        <w:rPr>
          <w:rFonts w:ascii="Palatino Linotype" w:eastAsia="Palatino Linotype" w:hAnsi="Palatino Linotype" w:cs="Palatino Linotype"/>
          <w:u w:val="single"/>
        </w:rPr>
        <w:t xml:space="preserve"> </w:t>
      </w:r>
      <w:r w:rsidRPr="00216E80">
        <w:rPr>
          <w:rFonts w:ascii="Palatino Linotype" w:eastAsia="Palatino Linotype" w:hAnsi="Palatino Linotype" w:cs="Palatino Linotype"/>
        </w:rPr>
        <w:t>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rsidR="003A367F" w:rsidRPr="00216E80" w:rsidRDefault="003A367F" w:rsidP="003A367F">
      <w:pPr>
        <w:spacing w:line="360" w:lineRule="auto"/>
        <w:ind w:left="360"/>
        <w:contextualSpacing/>
        <w:jc w:val="both"/>
        <w:rPr>
          <w:rFonts w:ascii="Palatino Linotype" w:eastAsia="Palatino Linotype" w:hAnsi="Palatino Linotype" w:cs="Palatino Linotype"/>
        </w:rPr>
      </w:pPr>
    </w:p>
    <w:p w:rsidR="003A367F" w:rsidRPr="00216E80"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216E80">
        <w:rPr>
          <w:rFonts w:ascii="Palatino Linotype" w:eastAsia="Palatino Linotype" w:hAnsi="Palatino Linotype" w:cs="Palatino Linotype"/>
        </w:rPr>
        <w:t xml:space="preserve">Por ello, se advierte que todos los servidores públicos tienen el derecho de recibir remuneraciones irrenunciables por el desempeño de un empleo, cargo o </w:t>
      </w:r>
      <w:r w:rsidRPr="00216E80">
        <w:rPr>
          <w:rFonts w:ascii="Palatino Linotype" w:eastAsia="Palatino Linotype" w:hAnsi="Palatino Linotype" w:cs="Palatino Linotype"/>
        </w:rPr>
        <w:lastRenderedPageBreak/>
        <w:t>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3A367F" w:rsidRPr="00216E80" w:rsidRDefault="003A367F" w:rsidP="003A367F">
      <w:pPr>
        <w:pStyle w:val="Prrafodelista"/>
        <w:rPr>
          <w:rFonts w:ascii="Palatino Linotype" w:eastAsia="Palatino Linotype" w:hAnsi="Palatino Linotype" w:cs="Palatino Linotype"/>
        </w:rPr>
      </w:pPr>
    </w:p>
    <w:p w:rsidR="003A367F" w:rsidRPr="00216E80" w:rsidRDefault="003A367F" w:rsidP="003A367F">
      <w:pPr>
        <w:numPr>
          <w:ilvl w:val="0"/>
          <w:numId w:val="15"/>
        </w:numPr>
        <w:spacing w:line="360" w:lineRule="auto"/>
        <w:ind w:left="0" w:firstLine="0"/>
        <w:contextualSpacing/>
        <w:jc w:val="both"/>
        <w:rPr>
          <w:rFonts w:ascii="Palatino Linotype" w:hAnsi="Palatino Linotype"/>
        </w:rPr>
      </w:pPr>
      <w:r w:rsidRPr="00216E80">
        <w:rPr>
          <w:rFonts w:ascii="Palatino Linotype" w:eastAsia="Arial Unicode MS" w:hAnsi="Palatino Linotype" w:cs="Arial"/>
        </w:rPr>
        <w:t xml:space="preserve">En tal sentido, </w:t>
      </w:r>
      <w:r w:rsidR="00180C74">
        <w:rPr>
          <w:rFonts w:ascii="Palatino Linotype" w:eastAsia="Arial Unicode MS" w:hAnsi="Palatino Linotype" w:cs="Arial"/>
        </w:rPr>
        <w:t>conviene</w:t>
      </w:r>
      <w:r w:rsidR="00180C74">
        <w:rPr>
          <w:rFonts w:ascii="Palatino Linotype" w:eastAsia="Arial Unicode MS" w:hAnsi="Palatino Linotype" w:cs="Arial"/>
          <w:lang w:val="es-419"/>
        </w:rPr>
        <w:t xml:space="preserve"> enfatizar</w:t>
      </w:r>
      <w:r w:rsidRPr="00216E80">
        <w:rPr>
          <w:rFonts w:ascii="Palatino Linotype" w:eastAsia="Arial Unicode MS" w:hAnsi="Palatino Linotype" w:cs="Arial"/>
          <w:lang w:val="es-419"/>
        </w:rPr>
        <w:t xml:space="preserve"> </w:t>
      </w:r>
      <w:r w:rsidRPr="00216E80">
        <w:rPr>
          <w:rFonts w:ascii="Palatino Linotype" w:hAnsi="Palatino Linotype"/>
        </w:rPr>
        <w:t>lo que el derecho de acceso a la información pública refiere, contemplado en el artículo 6°, Apartado A de la Constitución Política de los Estados Unidos Mexicanos, que señala:</w:t>
      </w:r>
    </w:p>
    <w:p w:rsidR="003A367F" w:rsidRPr="00216E80" w:rsidRDefault="003A367F" w:rsidP="003A367F">
      <w:pPr>
        <w:jc w:val="both"/>
        <w:rPr>
          <w:rFonts w:ascii="Palatino Linotype" w:hAnsi="Palatino Linotype"/>
          <w:sz w:val="22"/>
          <w:szCs w:val="22"/>
        </w:rPr>
      </w:pPr>
    </w:p>
    <w:p w:rsidR="003A367F" w:rsidRPr="00216E80" w:rsidRDefault="003A367F" w:rsidP="00E56C92">
      <w:pPr>
        <w:ind w:left="567" w:right="616"/>
        <w:jc w:val="both"/>
        <w:rPr>
          <w:rFonts w:ascii="Palatino Linotype" w:hAnsi="Palatino Linotype" w:cs="Arial"/>
          <w:i/>
        </w:rPr>
      </w:pPr>
      <w:r w:rsidRPr="00216E80">
        <w:rPr>
          <w:rFonts w:ascii="Palatino Linotype" w:hAnsi="Palatino Linotype" w:cs="Arial"/>
          <w:i/>
        </w:rPr>
        <w:t>“</w:t>
      </w:r>
      <w:r w:rsidRPr="00216E80">
        <w:rPr>
          <w:rFonts w:ascii="Palatino Linotype" w:hAnsi="Palatino Linotype" w:cs="Arial"/>
          <w:b/>
          <w:i/>
        </w:rPr>
        <w:t>Artículo 6o.</w:t>
      </w:r>
      <w:r w:rsidRPr="00216E80">
        <w:rPr>
          <w:rFonts w:ascii="Palatino Linotype" w:hAnsi="Palatino Linotype" w:cs="Arial"/>
          <w:i/>
        </w:rPr>
        <w:t xml:space="preserve">  . . .</w:t>
      </w:r>
    </w:p>
    <w:p w:rsidR="003A367F" w:rsidRPr="00216E80" w:rsidRDefault="003A367F" w:rsidP="00E56C92">
      <w:pPr>
        <w:ind w:left="567" w:right="616"/>
        <w:jc w:val="both"/>
        <w:rPr>
          <w:rFonts w:ascii="Palatino Linotype" w:hAnsi="Palatino Linotype" w:cs="Arial"/>
          <w:i/>
          <w:lang w:eastAsia="es-MX"/>
        </w:rPr>
      </w:pPr>
      <w:r w:rsidRPr="00216E80">
        <w:rPr>
          <w:rFonts w:ascii="Palatino Linotype" w:hAnsi="Palatino Linotype" w:cs="Arial"/>
          <w:b/>
          <w:bCs/>
          <w:i/>
          <w:lang w:eastAsia="es-MX"/>
        </w:rPr>
        <w:t>A.</w:t>
      </w:r>
      <w:r w:rsidRPr="00216E80">
        <w:rPr>
          <w:rFonts w:ascii="Palatino Linotype" w:hAnsi="Palatino Linotype" w:cs="Arial"/>
          <w:i/>
          <w:lang w:eastAsia="es-MX"/>
        </w:rPr>
        <w:t xml:space="preserve"> Para el ejercicio del </w:t>
      </w:r>
      <w:r w:rsidRPr="00216E80">
        <w:rPr>
          <w:rFonts w:ascii="Palatino Linotype" w:hAnsi="Palatino Linotype" w:cs="Arial"/>
          <w:bCs/>
          <w:i/>
        </w:rPr>
        <w:t>derecho</w:t>
      </w:r>
      <w:r w:rsidRPr="00216E80">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rsidR="003A367F" w:rsidRPr="00216E80" w:rsidRDefault="003A367F" w:rsidP="00E56C92">
      <w:pPr>
        <w:ind w:left="567" w:right="616"/>
        <w:jc w:val="both"/>
        <w:rPr>
          <w:rFonts w:ascii="Palatino Linotype" w:hAnsi="Palatino Linotype" w:cs="Arial"/>
          <w:i/>
        </w:rPr>
      </w:pPr>
      <w:r w:rsidRPr="00216E80">
        <w:rPr>
          <w:rFonts w:ascii="Palatino Linotype" w:hAnsi="Palatino Linotype" w:cs="Arial"/>
          <w:b/>
          <w:bCs/>
          <w:i/>
          <w:lang w:eastAsia="es-MX"/>
        </w:rPr>
        <w:t xml:space="preserve">I. </w:t>
      </w:r>
      <w:r w:rsidRPr="00216E80">
        <w:rPr>
          <w:rFonts w:ascii="Palatino Linotype" w:hAnsi="Palatino Linotype" w:cs="Arial"/>
          <w:i/>
          <w:lang w:eastAsia="es-MX"/>
        </w:rPr>
        <w:t xml:space="preserve">Toda la información en posesión de cualquier autoridad, entidad, órgano y organismo de los Poderes Ejecutivo, </w:t>
      </w:r>
      <w:r w:rsidRPr="00216E80">
        <w:rPr>
          <w:rFonts w:ascii="Palatino Linotype" w:hAnsi="Palatino Linotype" w:cs="Arial"/>
          <w:i/>
        </w:rPr>
        <w:t>Legislativo</w:t>
      </w:r>
      <w:r w:rsidRPr="00216E80">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16E80">
        <w:rPr>
          <w:rFonts w:ascii="Palatino Linotype" w:hAnsi="Palatino Linotype" w:cs="Arial"/>
          <w:i/>
        </w:rPr>
        <w:t xml:space="preserve"> </w:t>
      </w:r>
      <w:r w:rsidRPr="00216E80">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A367F" w:rsidRPr="00216E80" w:rsidRDefault="003A367F" w:rsidP="00E56C92">
      <w:pPr>
        <w:ind w:left="567" w:right="616"/>
        <w:jc w:val="both"/>
        <w:rPr>
          <w:rFonts w:ascii="Palatino Linotype" w:hAnsi="Palatino Linotype" w:cs="Arial"/>
          <w:i/>
          <w:lang w:eastAsia="es-MX"/>
        </w:rPr>
      </w:pPr>
      <w:r w:rsidRPr="00216E80">
        <w:rPr>
          <w:rFonts w:ascii="Palatino Linotype" w:hAnsi="Palatino Linotype" w:cs="Arial"/>
          <w:b/>
          <w:bCs/>
          <w:i/>
          <w:lang w:eastAsia="es-MX"/>
        </w:rPr>
        <w:t xml:space="preserve">II. </w:t>
      </w:r>
      <w:r w:rsidRPr="00216E80">
        <w:rPr>
          <w:rFonts w:ascii="Palatino Linotype" w:hAnsi="Palatino Linotype" w:cs="Arial"/>
          <w:i/>
          <w:lang w:eastAsia="es-MX"/>
        </w:rPr>
        <w:t xml:space="preserve">La información que se refiere a la vida privada y los datos personales será protegida en los términos y con las excepciones que fijen las leyes. </w:t>
      </w:r>
    </w:p>
    <w:p w:rsidR="003A367F" w:rsidRPr="00216E80" w:rsidRDefault="003A367F" w:rsidP="00E56C92">
      <w:pPr>
        <w:ind w:left="567" w:right="616"/>
        <w:jc w:val="both"/>
        <w:rPr>
          <w:rFonts w:ascii="Palatino Linotype" w:hAnsi="Palatino Linotype" w:cs="Arial"/>
          <w:i/>
          <w:lang w:eastAsia="es-MX"/>
        </w:rPr>
      </w:pPr>
      <w:r w:rsidRPr="00216E80">
        <w:rPr>
          <w:rFonts w:ascii="Palatino Linotype" w:hAnsi="Palatino Linotype" w:cs="Arial"/>
          <w:b/>
          <w:bCs/>
          <w:i/>
          <w:lang w:eastAsia="es-MX"/>
        </w:rPr>
        <w:t xml:space="preserve">III. </w:t>
      </w:r>
      <w:r w:rsidRPr="00216E80">
        <w:rPr>
          <w:rFonts w:ascii="Palatino Linotype" w:hAnsi="Palatino Linotype" w:cs="Arial"/>
          <w:i/>
          <w:lang w:eastAsia="es-MX"/>
        </w:rPr>
        <w:t xml:space="preserve">Toda persona, sin necesidad de </w:t>
      </w:r>
      <w:r w:rsidRPr="00216E80">
        <w:rPr>
          <w:rFonts w:ascii="Palatino Linotype" w:hAnsi="Palatino Linotype" w:cs="Arial"/>
          <w:i/>
        </w:rPr>
        <w:t>acreditar</w:t>
      </w:r>
      <w:r w:rsidRPr="00216E80">
        <w:rPr>
          <w:rFonts w:ascii="Palatino Linotype" w:hAnsi="Palatino Linotype" w:cs="Arial"/>
          <w:i/>
          <w:lang w:eastAsia="es-MX"/>
        </w:rPr>
        <w:t xml:space="preserve"> interés alguno o justificar su utilización, tendrá acceso gratuito a la información pública, a sus datos personales o a la rectificación de éstos. </w:t>
      </w:r>
    </w:p>
    <w:p w:rsidR="003A367F" w:rsidRPr="00216E80" w:rsidRDefault="003A367F" w:rsidP="00E56C92">
      <w:pPr>
        <w:ind w:left="567" w:right="616"/>
        <w:jc w:val="both"/>
        <w:rPr>
          <w:rFonts w:ascii="Palatino Linotype" w:hAnsi="Palatino Linotype" w:cs="Arial"/>
          <w:i/>
          <w:lang w:eastAsia="es-MX"/>
        </w:rPr>
      </w:pPr>
      <w:r w:rsidRPr="00216E80">
        <w:rPr>
          <w:rFonts w:ascii="Palatino Linotype" w:hAnsi="Palatino Linotype" w:cs="Arial"/>
          <w:b/>
          <w:bCs/>
          <w:i/>
          <w:lang w:eastAsia="es-MX"/>
        </w:rPr>
        <w:t xml:space="preserve">IV. </w:t>
      </w:r>
      <w:r w:rsidRPr="00216E80">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rsidR="003A367F" w:rsidRPr="00216E80" w:rsidRDefault="003A367F" w:rsidP="00E56C92">
      <w:pPr>
        <w:ind w:left="567" w:right="616"/>
        <w:jc w:val="both"/>
        <w:rPr>
          <w:rFonts w:ascii="Palatino Linotype" w:hAnsi="Palatino Linotype" w:cs="Arial"/>
          <w:i/>
          <w:lang w:eastAsia="es-MX"/>
        </w:rPr>
      </w:pPr>
      <w:r w:rsidRPr="00216E80">
        <w:rPr>
          <w:rFonts w:ascii="Palatino Linotype" w:hAnsi="Palatino Linotype" w:cs="Arial"/>
          <w:b/>
          <w:bCs/>
          <w:i/>
          <w:lang w:eastAsia="es-MX"/>
        </w:rPr>
        <w:lastRenderedPageBreak/>
        <w:t xml:space="preserve">V. </w:t>
      </w:r>
      <w:r w:rsidRPr="00216E80">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A367F" w:rsidRPr="00216E80" w:rsidRDefault="003A367F" w:rsidP="00E56C92">
      <w:pPr>
        <w:ind w:left="567" w:right="616"/>
        <w:jc w:val="both"/>
        <w:rPr>
          <w:rFonts w:ascii="Palatino Linotype" w:hAnsi="Palatino Linotype" w:cs="Arial"/>
          <w:i/>
          <w:lang w:eastAsia="es-MX"/>
        </w:rPr>
      </w:pPr>
      <w:r w:rsidRPr="00216E80">
        <w:rPr>
          <w:rFonts w:ascii="Palatino Linotype" w:hAnsi="Palatino Linotype" w:cs="Arial"/>
          <w:b/>
          <w:bCs/>
          <w:i/>
          <w:lang w:eastAsia="es-MX"/>
        </w:rPr>
        <w:t xml:space="preserve">VI. </w:t>
      </w:r>
      <w:r w:rsidRPr="00216E80">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rsidR="003A367F" w:rsidRPr="00216E80" w:rsidRDefault="003A367F" w:rsidP="00E56C92">
      <w:pPr>
        <w:ind w:left="567" w:right="616"/>
        <w:jc w:val="both"/>
        <w:rPr>
          <w:rFonts w:ascii="Palatino Linotype" w:hAnsi="Palatino Linotype" w:cs="Arial"/>
          <w:i/>
        </w:rPr>
      </w:pPr>
      <w:r w:rsidRPr="00216E80">
        <w:rPr>
          <w:rFonts w:ascii="Palatino Linotype" w:hAnsi="Palatino Linotype" w:cs="Arial"/>
          <w:b/>
          <w:bCs/>
          <w:i/>
          <w:lang w:eastAsia="es-MX"/>
        </w:rPr>
        <w:t xml:space="preserve">VII. </w:t>
      </w:r>
      <w:r w:rsidRPr="00216E80">
        <w:rPr>
          <w:rFonts w:ascii="Palatino Linotype" w:hAnsi="Palatino Linotype" w:cs="Arial"/>
          <w:i/>
          <w:lang w:eastAsia="es-MX"/>
        </w:rPr>
        <w:t>La inobservancia a las disposiciones en materia de acceso a la información pública será sancionada en los términos que dispongan las leyes.</w:t>
      </w:r>
      <w:r w:rsidRPr="00216E80">
        <w:rPr>
          <w:rFonts w:ascii="Palatino Linotype" w:hAnsi="Palatino Linotype" w:cs="Arial"/>
          <w:i/>
        </w:rPr>
        <w:t xml:space="preserve">” </w:t>
      </w:r>
    </w:p>
    <w:p w:rsidR="003A367F" w:rsidRDefault="003A367F" w:rsidP="00E56C92">
      <w:pPr>
        <w:spacing w:line="360" w:lineRule="auto"/>
        <w:ind w:left="567" w:right="616"/>
        <w:jc w:val="both"/>
        <w:rPr>
          <w:rFonts w:ascii="Palatino Linotype" w:hAnsi="Palatino Linotype"/>
        </w:rPr>
      </w:pPr>
      <w:r w:rsidRPr="00216E80">
        <w:rPr>
          <w:rFonts w:ascii="Palatino Linotype" w:hAnsi="Palatino Linotype"/>
        </w:rPr>
        <w:t>(Énfasis añadido)</w:t>
      </w:r>
    </w:p>
    <w:p w:rsidR="00180C74" w:rsidRPr="00627A97" w:rsidRDefault="00180C74" w:rsidP="00627A97">
      <w:pPr>
        <w:spacing w:line="360" w:lineRule="auto"/>
        <w:ind w:left="851" w:right="901"/>
        <w:jc w:val="both"/>
        <w:rPr>
          <w:rFonts w:ascii="Palatino Linotype" w:hAnsi="Palatino Linotype"/>
        </w:rPr>
      </w:pPr>
    </w:p>
    <w:p w:rsidR="003A367F" w:rsidRPr="00216E80" w:rsidRDefault="003A367F" w:rsidP="003A367F">
      <w:pPr>
        <w:numPr>
          <w:ilvl w:val="0"/>
          <w:numId w:val="15"/>
        </w:numPr>
        <w:spacing w:line="360" w:lineRule="auto"/>
        <w:ind w:left="0" w:firstLine="0"/>
        <w:contextualSpacing/>
        <w:jc w:val="both"/>
        <w:rPr>
          <w:rFonts w:ascii="Palatino Linotype" w:hAnsi="Palatino Linotype"/>
        </w:rPr>
      </w:pPr>
      <w:r w:rsidRPr="00216E80">
        <w:rPr>
          <w:rFonts w:ascii="Palatino Linotype" w:hAnsi="Palatino Linotype"/>
        </w:rPr>
        <w:t xml:space="preserve">Por su parte, la Constitución Política del Estado Libre y Soberano de México, en su </w:t>
      </w:r>
      <w:r w:rsidRPr="00216E80">
        <w:rPr>
          <w:rFonts w:ascii="Palatino Linotype" w:eastAsia="Arial Unicode MS" w:hAnsi="Palatino Linotype" w:cs="Arial"/>
        </w:rPr>
        <w:t>artículo</w:t>
      </w:r>
      <w:r w:rsidRPr="00216E80">
        <w:rPr>
          <w:rFonts w:ascii="Palatino Linotype" w:hAnsi="Palatino Linotype"/>
        </w:rPr>
        <w:t xml:space="preserve"> 5°, párrafo trigésimo, trigésimo primero y trigésimo segundo, fracción I, dispone lo siguiente:</w:t>
      </w:r>
    </w:p>
    <w:p w:rsidR="003A367F" w:rsidRPr="00216E80" w:rsidRDefault="003A367F" w:rsidP="003A367F">
      <w:pPr>
        <w:spacing w:line="360" w:lineRule="auto"/>
        <w:jc w:val="both"/>
        <w:rPr>
          <w:rFonts w:ascii="Palatino Linotype" w:hAnsi="Palatino Linotype"/>
        </w:rPr>
      </w:pPr>
    </w:p>
    <w:p w:rsidR="003A367F" w:rsidRPr="00216E80" w:rsidRDefault="003A367F" w:rsidP="00180C74">
      <w:pPr>
        <w:ind w:left="567" w:right="616"/>
        <w:jc w:val="both"/>
        <w:rPr>
          <w:rFonts w:ascii="Palatino Linotype" w:hAnsi="Palatino Linotype" w:cs="Arial"/>
          <w:b/>
          <w:i/>
        </w:rPr>
      </w:pPr>
      <w:r w:rsidRPr="00216E80">
        <w:rPr>
          <w:rFonts w:ascii="Palatino Linotype" w:hAnsi="Palatino Linotype" w:cs="Arial"/>
          <w:i/>
        </w:rPr>
        <w:t>“</w:t>
      </w:r>
      <w:r w:rsidRPr="00216E80">
        <w:rPr>
          <w:rFonts w:ascii="Palatino Linotype" w:hAnsi="Palatino Linotype" w:cs="Arial"/>
          <w:b/>
          <w:i/>
        </w:rPr>
        <w:t xml:space="preserve">Artículo 5.  … </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 . .</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Este derecho se regirá por los principios y bases siguientes:</w:t>
      </w:r>
    </w:p>
    <w:p w:rsidR="003A367F" w:rsidRPr="00216E80" w:rsidRDefault="003A367F" w:rsidP="00180C74">
      <w:pPr>
        <w:ind w:left="567" w:right="616"/>
        <w:jc w:val="both"/>
        <w:rPr>
          <w:rFonts w:ascii="Palatino Linotype" w:hAnsi="Palatino Linotype"/>
        </w:rPr>
      </w:pPr>
      <w:r w:rsidRPr="00216E80">
        <w:rPr>
          <w:rFonts w:ascii="Palatino Linotype" w:hAnsi="Palatino Linotype" w:cs="Arial"/>
          <w:i/>
        </w:rPr>
        <w:t xml:space="preserve">I. </w:t>
      </w:r>
      <w:r w:rsidRPr="00216E80">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216E80">
        <w:rPr>
          <w:rFonts w:ascii="Palatino Linotype" w:hAnsi="Palatino Linotype" w:cs="Arial"/>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w:t>
      </w:r>
      <w:r w:rsidRPr="00216E80">
        <w:rPr>
          <w:rFonts w:ascii="Palatino Linotype" w:hAnsi="Palatino Linotype" w:cs="Arial"/>
          <w:i/>
        </w:rPr>
        <w:lastRenderedPageBreak/>
        <w:t>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16E80">
        <w:rPr>
          <w:rFonts w:ascii="Palatino Linotype" w:hAnsi="Palatino Linotype"/>
        </w:rPr>
        <w:t xml:space="preserve"> </w:t>
      </w:r>
    </w:p>
    <w:p w:rsidR="003A367F" w:rsidRPr="00216E80" w:rsidRDefault="003A367F" w:rsidP="00180C74">
      <w:pPr>
        <w:spacing w:line="360" w:lineRule="auto"/>
        <w:ind w:left="567" w:right="616"/>
        <w:jc w:val="both"/>
        <w:rPr>
          <w:rFonts w:ascii="Palatino Linotype" w:hAnsi="Palatino Linotype"/>
        </w:rPr>
      </w:pPr>
      <w:r w:rsidRPr="00216E80">
        <w:rPr>
          <w:rFonts w:ascii="Palatino Linotype" w:hAnsi="Palatino Linotype"/>
        </w:rPr>
        <w:t>(Énfasis añadido)</w:t>
      </w:r>
    </w:p>
    <w:p w:rsidR="003A367F" w:rsidRPr="00216E80" w:rsidRDefault="003A367F" w:rsidP="003A367F">
      <w:pPr>
        <w:spacing w:line="360" w:lineRule="auto"/>
        <w:ind w:left="851" w:right="901"/>
        <w:jc w:val="both"/>
        <w:rPr>
          <w:rFonts w:ascii="Palatino Linotype" w:hAnsi="Palatino Linotype" w:cs="Arial"/>
          <w:i/>
        </w:rPr>
      </w:pPr>
    </w:p>
    <w:p w:rsidR="003A367F" w:rsidRDefault="003A367F" w:rsidP="003A367F">
      <w:pPr>
        <w:numPr>
          <w:ilvl w:val="0"/>
          <w:numId w:val="15"/>
        </w:numPr>
        <w:spacing w:line="360" w:lineRule="auto"/>
        <w:ind w:left="0" w:firstLine="0"/>
        <w:contextualSpacing/>
        <w:jc w:val="both"/>
        <w:rPr>
          <w:rFonts w:ascii="Palatino Linotype" w:hAnsi="Palatino Linotype"/>
        </w:rPr>
      </w:pPr>
      <w:r w:rsidRPr="00216E80">
        <w:rPr>
          <w:rFonts w:ascii="Palatino Linotype" w:hAnsi="Palatino Linotype"/>
        </w:rPr>
        <w:t>Asimismo, se tiene que la Ley de Transparencia y Acceso a la Información Pública del Estado de México y Municipios, prevé en su artículo 23, lo siguiente:</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w:t>
      </w:r>
      <w:r w:rsidRPr="00216E80">
        <w:rPr>
          <w:rFonts w:ascii="Palatino Linotype" w:hAnsi="Palatino Linotype" w:cs="Arial"/>
          <w:b/>
          <w:i/>
        </w:rPr>
        <w:t>Artículo 23.</w:t>
      </w:r>
      <w:r w:rsidRPr="00216E80">
        <w:rPr>
          <w:rFonts w:ascii="Palatino Linotype" w:hAnsi="Palatino Linotype" w:cs="Arial"/>
          <w:i/>
        </w:rPr>
        <w:t xml:space="preserve"> Son sujetos obligados a transparentar y permitir el acceso a su información y proteger los datos personales que obren en su poder:</w:t>
      </w:r>
    </w:p>
    <w:p w:rsidR="003A367F" w:rsidRPr="00216E80" w:rsidRDefault="003A367F" w:rsidP="00180C74">
      <w:pPr>
        <w:ind w:left="567" w:right="616"/>
        <w:jc w:val="both"/>
        <w:rPr>
          <w:rFonts w:ascii="Palatino Linotype" w:hAnsi="Palatino Linotype" w:cs="Arial"/>
          <w:b/>
          <w:i/>
        </w:rPr>
      </w:pPr>
      <w:r w:rsidRPr="00216E80">
        <w:rPr>
          <w:rFonts w:ascii="Palatino Linotype" w:hAnsi="Palatino Linotype" w:cs="Arial"/>
          <w:b/>
          <w:i/>
        </w:rPr>
        <w:t>I. El Poder Ejecutivo del Estado de México, las dependencias, organismos auxiliares, órganos, entidades, fideicomisos y fondos públicos, así como la Procuraduría General de Justicia;</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II. El Poder Legislativo del Estado, los organismos, órganos y entidades de la Legislatura y sus dependencias;</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III. El Poder Judicial, sus organismos, órganos y entidades, así como el Consejo de la Judicatura del Estado;</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IV. Los ayuntamientos y las dependencias, organismos, órganos y entidades de la administración municipal;</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V. Los órganos autónomos;</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VI. Los tribunales administrativos y autoridades jurisdiccionales en materia laboral;</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VII. Los partidos políticos y agrupaciones políticas, en los términos de las disposiciones aplicables;</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VIII. Los fideicomisos y fondos públicos que cuenten con financiamiento público, parcial o total, o con participación de entidades de gobierno;</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IX. Los sindicatos que reciban y/o ejerzan recursos públicos en el ámbito estatal y municipal;</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t>X. Cualquier persona física o jurídico colectiva que reciba y ejerza recursos públicos en el ámbito estatal o municipal; y</w:t>
      </w:r>
    </w:p>
    <w:p w:rsidR="003A367F" w:rsidRPr="00216E80" w:rsidRDefault="003A367F" w:rsidP="00180C74">
      <w:pPr>
        <w:ind w:left="567" w:right="616"/>
        <w:jc w:val="both"/>
        <w:rPr>
          <w:rFonts w:ascii="Palatino Linotype" w:hAnsi="Palatino Linotype" w:cs="Arial"/>
          <w:i/>
        </w:rPr>
      </w:pPr>
      <w:r w:rsidRPr="00216E80">
        <w:rPr>
          <w:rFonts w:ascii="Palatino Linotype" w:hAnsi="Palatino Linotype" w:cs="Arial"/>
          <w:i/>
        </w:rPr>
        <w:lastRenderedPageBreak/>
        <w:t>XI. Cualquier otra autoridad, entidad, órgano u organismo de los poderes estatal o municipal, que reciba recursos públicos.</w:t>
      </w:r>
    </w:p>
    <w:p w:rsidR="003A367F" w:rsidRPr="00216E80" w:rsidRDefault="003A367F" w:rsidP="00180C74">
      <w:pPr>
        <w:ind w:left="567" w:right="616"/>
        <w:jc w:val="both"/>
        <w:rPr>
          <w:rFonts w:ascii="Palatino Linotype" w:hAnsi="Palatino Linotype" w:cs="Arial"/>
          <w:b/>
          <w:i/>
        </w:rPr>
      </w:pPr>
      <w:r w:rsidRPr="00216E80">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A367F" w:rsidRPr="00216E80" w:rsidRDefault="003A367F" w:rsidP="00180C74">
      <w:pPr>
        <w:ind w:left="567" w:right="616"/>
        <w:jc w:val="both"/>
        <w:rPr>
          <w:rFonts w:ascii="Palatino Linotype" w:hAnsi="Palatino Linotype" w:cs="Arial"/>
          <w:b/>
          <w:i/>
        </w:rPr>
      </w:pPr>
      <w:r w:rsidRPr="00216E80">
        <w:rPr>
          <w:rFonts w:ascii="Palatino Linotype" w:hAnsi="Palatino Linotype" w:cs="Arial"/>
          <w:b/>
          <w:i/>
        </w:rPr>
        <w:t>Los servidores públicos deberán transparentar sus acciones así como garantizar y respetar el derecho de acceso a la información pública.</w:t>
      </w:r>
    </w:p>
    <w:p w:rsidR="003A367F" w:rsidRPr="00180C74" w:rsidRDefault="003A367F" w:rsidP="00180C74">
      <w:pPr>
        <w:spacing w:line="360" w:lineRule="auto"/>
        <w:ind w:left="567" w:right="616"/>
        <w:jc w:val="both"/>
        <w:rPr>
          <w:rFonts w:ascii="Palatino Linotype" w:hAnsi="Palatino Linotype" w:cs="Arial"/>
        </w:rPr>
      </w:pPr>
      <w:r w:rsidRPr="00180C74">
        <w:rPr>
          <w:rFonts w:ascii="Palatino Linotype" w:hAnsi="Palatino Linotype" w:cs="Arial"/>
        </w:rPr>
        <w:t>(Énfasis añadido)</w:t>
      </w:r>
    </w:p>
    <w:p w:rsidR="003A367F" w:rsidRPr="0026082C" w:rsidRDefault="003A367F" w:rsidP="003A367F">
      <w:pPr>
        <w:ind w:left="851" w:right="901"/>
        <w:jc w:val="both"/>
        <w:rPr>
          <w:rFonts w:ascii="Palatino Linotype" w:hAnsi="Palatino Linotype" w:cs="Arial"/>
          <w:i/>
          <w:sz w:val="22"/>
          <w:szCs w:val="22"/>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es dable traer a contexto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3A367F" w:rsidRDefault="003A367F" w:rsidP="003A367F">
      <w:pPr>
        <w:spacing w:line="360" w:lineRule="auto"/>
        <w:contextualSpacing/>
        <w:jc w:val="both"/>
        <w:rPr>
          <w:rFonts w:ascii="Palatino Linotype" w:eastAsia="Palatino Linotype" w:hAnsi="Palatino Linotype" w:cs="Palatino Linotype"/>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w:t>
      </w:r>
      <w:r w:rsidRPr="00216E80">
        <w:rPr>
          <w:rFonts w:ascii="Palatino Linotype" w:eastAsia="Palatino Linotype" w:hAnsi="Palatino Linotype" w:cs="Palatino Linotype"/>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De la misma manera, el Glosario de términos más usuales en la Administración Pública Federal, emitido por la Secretaría de Hacienda y Crédito Público (</w:t>
      </w:r>
      <w:r w:rsidRPr="00124FD1">
        <w:rPr>
          <w:rFonts w:ascii="Palatino Linotype" w:eastAsia="Palatino Linotype" w:hAnsi="Palatino Linotype" w:cs="Palatino Linotype"/>
          <w:i/>
        </w:rPr>
        <w:t>http://www.apartados.hacienda.gob.mx/contabilidad/documentos/inform</w:t>
      </w:r>
      <w:r w:rsidRPr="00124FD1">
        <w:rPr>
          <w:rFonts w:ascii="Palatino Linotype" w:eastAsia="Palatino Linotype" w:hAnsi="Palatino Linotype" w:cs="Palatino Linotype"/>
          <w:i/>
        </w:rPr>
        <w:br/>
      </w:r>
      <w:proofErr w:type="spellStart"/>
      <w:r w:rsidRPr="00124FD1">
        <w:rPr>
          <w:rFonts w:ascii="Palatino Linotype" w:eastAsia="Palatino Linotype" w:hAnsi="Palatino Linotype" w:cs="Palatino Linotype"/>
          <w:i/>
        </w:rPr>
        <w:t>e_cuenta</w:t>
      </w:r>
      <w:proofErr w:type="spellEnd"/>
      <w:r w:rsidRPr="00124FD1">
        <w:rPr>
          <w:rFonts w:ascii="Palatino Linotype" w:eastAsia="Palatino Linotype" w:hAnsi="Palatino Linotype" w:cs="Palatino Linotype"/>
          <w:i/>
        </w:rPr>
        <w:t>/1998/</w:t>
      </w:r>
      <w:proofErr w:type="spellStart"/>
      <w:r w:rsidRPr="00124FD1">
        <w:rPr>
          <w:rFonts w:ascii="Palatino Linotype" w:eastAsia="Palatino Linotype" w:hAnsi="Palatino Linotype" w:cs="Palatino Linotype"/>
          <w:i/>
        </w:rPr>
        <w:t>cuenta_publica</w:t>
      </w:r>
      <w:proofErr w:type="spellEnd"/>
      <w:r w:rsidRPr="00124FD1">
        <w:rPr>
          <w:rFonts w:ascii="Palatino Linotype" w:eastAsia="Palatino Linotype" w:hAnsi="Palatino Linotype" w:cs="Palatino Linotype"/>
          <w:i/>
        </w:rPr>
        <w:t>/Glosario/n.htm</w:t>
      </w:r>
      <w:r>
        <w:rPr>
          <w:rFonts w:ascii="Palatino Linotype" w:eastAsia="Palatino Linotype" w:hAnsi="Palatino Linotype" w:cs="Palatino Linotype"/>
        </w:rPr>
        <w:t xml:space="preserve">), establece que la nómina es un listado general de los trabajadores de una institución, en el cual se asientan las percepciones brutas, deducciones y alcance neto de las mismas. </w:t>
      </w:r>
    </w:p>
    <w:p w:rsidR="003A367F" w:rsidRDefault="003A367F" w:rsidP="003A367F">
      <w:pPr>
        <w:pStyle w:val="Prrafodelista"/>
        <w:rPr>
          <w:rFonts w:ascii="Palatino Linotype" w:eastAsia="Palatino Linotype" w:hAnsi="Palatino Linotype" w:cs="Palatino Linotype"/>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puede advertir que la nómina se puede referir a lo siguiente: </w:t>
      </w:r>
    </w:p>
    <w:p w:rsidR="003A367F" w:rsidRDefault="003A367F" w:rsidP="003A367F">
      <w:pPr>
        <w:pStyle w:val="Prrafodelista"/>
        <w:rPr>
          <w:rFonts w:ascii="Palatino Linotype" w:eastAsia="Palatino Linotype" w:hAnsi="Palatino Linotype" w:cs="Palatino Linotype"/>
        </w:rPr>
      </w:pPr>
    </w:p>
    <w:p w:rsidR="003A367F" w:rsidRDefault="003A367F" w:rsidP="003A367F">
      <w:pPr>
        <w:spacing w:after="16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a) Relación de trabajadores con las percepciones monetarias de cada uno. </w:t>
      </w:r>
    </w:p>
    <w:p w:rsidR="003A367F" w:rsidRDefault="003A367F" w:rsidP="003A367F">
      <w:pPr>
        <w:spacing w:after="16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b) </w:t>
      </w:r>
      <w:r w:rsidRPr="00F52D0F">
        <w:rPr>
          <w:rFonts w:ascii="Palatino Linotype" w:eastAsia="Palatino Linotype" w:hAnsi="Palatino Linotype" w:cs="Palatino Linotype"/>
          <w:b/>
        </w:rPr>
        <w:t>Recibo individual que contiene las prestaciones y deducciones de un trabajador.</w:t>
      </w:r>
    </w:p>
    <w:p w:rsidR="001354E8" w:rsidRDefault="003A367F" w:rsidP="001354E8">
      <w:pPr>
        <w:spacing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rsidR="001354E8" w:rsidRDefault="001354E8" w:rsidP="001354E8">
      <w:pPr>
        <w:spacing w:line="360" w:lineRule="auto"/>
        <w:jc w:val="both"/>
        <w:rPr>
          <w:rFonts w:ascii="Palatino Linotype" w:eastAsia="Palatino Linotype" w:hAnsi="Palatino Linotype" w:cs="Palatino Linotype"/>
        </w:rPr>
      </w:pPr>
    </w:p>
    <w:p w:rsidR="003A367F" w:rsidRDefault="003A367F" w:rsidP="001354E8">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3A367F" w:rsidRDefault="003A367F" w:rsidP="003A367F">
      <w:pPr>
        <w:spacing w:line="360" w:lineRule="auto"/>
        <w:contextualSpacing/>
        <w:jc w:val="both"/>
        <w:rPr>
          <w:rFonts w:ascii="Palatino Linotype" w:eastAsia="Palatino Linotype" w:hAnsi="Palatino Linotype" w:cs="Palatino Linotype"/>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ese entendido, el diverso 8°, fracciones XI y XIV, de dicho ordenamiento jurídico, establece que el Órgano Superior de Fiscalización del Estado de México, </w:t>
      </w:r>
      <w:r>
        <w:rPr>
          <w:rFonts w:ascii="Palatino Linotype" w:eastAsia="Palatino Linotype" w:hAnsi="Palatino Linotype" w:cs="Palatino Linotype"/>
        </w:rPr>
        <w:lastRenderedPageBreak/>
        <w:t>será el encargado de establecer los lineamientos necesarios para la elaboración de los informes mensuales; además que verificará que dichos informes hayan sido presentados conforme a la normatividad aplicable.</w:t>
      </w:r>
    </w:p>
    <w:p w:rsidR="003A367F" w:rsidRDefault="003A367F" w:rsidP="003A367F">
      <w:pPr>
        <w:pStyle w:val="Prrafodelista"/>
        <w:rPr>
          <w:rFonts w:ascii="Palatino Linotype" w:eastAsia="Palatino Linotype" w:hAnsi="Palatino Linotype" w:cs="Palatino Linotype"/>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rsidR="003A367F" w:rsidRDefault="003A367F" w:rsidP="003A367F">
      <w:pPr>
        <w:spacing w:line="360" w:lineRule="auto"/>
        <w:ind w:right="49"/>
        <w:jc w:val="both"/>
        <w:rPr>
          <w:rFonts w:ascii="Palatino Linotype" w:eastAsia="Palatino Linotype" w:hAnsi="Palatino Linotype" w:cs="Palatino Linotype"/>
        </w:rPr>
      </w:pPr>
    </w:p>
    <w:p w:rsidR="003A367F" w:rsidRDefault="003A367F" w:rsidP="00180C7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350.-</w:t>
      </w:r>
      <w:r>
        <w:rPr>
          <w:rFonts w:ascii="Palatino Linotype" w:eastAsia="Palatino Linotype" w:hAnsi="Palatino Linotype" w:cs="Palatino Linotype"/>
          <w:i/>
          <w:sz w:val="22"/>
          <w:szCs w:val="22"/>
        </w:rPr>
        <w:t xml:space="preserve"> Mensualmente dentro de los primeros veinte días hábiles, la Secretaría y </w:t>
      </w:r>
      <w:r>
        <w:rPr>
          <w:rFonts w:ascii="Palatino Linotype" w:eastAsia="Palatino Linotype" w:hAnsi="Palatino Linotype" w:cs="Palatino Linotype"/>
          <w:b/>
          <w:i/>
          <w:sz w:val="22"/>
          <w:szCs w:val="22"/>
        </w:rPr>
        <w:t>las Tesorerías, enviarán para su análisis y evaluación</w:t>
      </w:r>
      <w:r>
        <w:rPr>
          <w:rFonts w:ascii="Palatino Linotype" w:eastAsia="Palatino Linotype" w:hAnsi="Palatino Linotype" w:cs="Palatino Linotype"/>
          <w:i/>
          <w:sz w:val="22"/>
          <w:szCs w:val="22"/>
        </w:rPr>
        <w:t xml:space="preserve"> al Órgano Superior de Fiscalización del Estado de México, la siguiente información:</w:t>
      </w:r>
    </w:p>
    <w:p w:rsidR="003A367F" w:rsidRDefault="003A367F" w:rsidP="00180C74">
      <w:pPr>
        <w:ind w:left="851" w:right="849"/>
        <w:jc w:val="both"/>
        <w:rPr>
          <w:rFonts w:ascii="Palatino Linotype" w:eastAsia="Palatino Linotype" w:hAnsi="Palatino Linotype" w:cs="Palatino Linotype"/>
          <w:i/>
          <w:sz w:val="22"/>
          <w:szCs w:val="22"/>
        </w:rPr>
      </w:pPr>
    </w:p>
    <w:p w:rsidR="003A367F" w:rsidRDefault="003A367F" w:rsidP="00180C74">
      <w:pPr>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Información patrimonial.</w:t>
      </w:r>
    </w:p>
    <w:p w:rsidR="003A367F" w:rsidRDefault="003A367F" w:rsidP="00180C74">
      <w:pPr>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Información presupuestal.</w:t>
      </w:r>
    </w:p>
    <w:p w:rsidR="003A367F" w:rsidRDefault="003A367F" w:rsidP="00180C74">
      <w:pPr>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Información de la obra pública.</w:t>
      </w:r>
    </w:p>
    <w:p w:rsidR="003A367F" w:rsidRDefault="003A367F" w:rsidP="00180C74">
      <w:pPr>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Información de nómina.”</w:t>
      </w:r>
    </w:p>
    <w:p w:rsidR="003A367F" w:rsidRDefault="003A367F" w:rsidP="003A367F">
      <w:pPr>
        <w:spacing w:after="160" w:line="360" w:lineRule="auto"/>
        <w:jc w:val="both"/>
        <w:rPr>
          <w:rFonts w:ascii="Palatino Linotype" w:eastAsia="Palatino Linotype" w:hAnsi="Palatino Linotype" w:cs="Palatino Linotype"/>
        </w:rPr>
      </w:pPr>
    </w:p>
    <w:p w:rsidR="003A367F"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En ese orden de ideas, las Políticas para la Integración del Informe Trimestral de los Sujetos de Fiscalización Estatales para el ejercicio fiscal dos mil veintiuno traído a contexto a manera de ejemplo ya que es uno de los tres ejercicios fiscales solicitados, entre los formatos que maneja en el Módulo 4, se advierte que se encuentra la Conciliación de Nómina Mensual, mismo que será integrado de manera mensual, tal como se muestra a continuación:</w:t>
      </w:r>
    </w:p>
    <w:p w:rsidR="003A367F" w:rsidRDefault="00180C74" w:rsidP="003A367F">
      <w:pPr>
        <w:spacing w:line="360" w:lineRule="auto"/>
        <w:jc w:val="both"/>
      </w:pPr>
      <w:r>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3228213</wp:posOffset>
                </wp:positionH>
                <wp:positionV relativeFrom="paragraph">
                  <wp:posOffset>587248</wp:posOffset>
                </wp:positionV>
                <wp:extent cx="526694" cy="204826"/>
                <wp:effectExtent l="19050" t="19050" r="26035" b="43180"/>
                <wp:wrapNone/>
                <wp:docPr id="4" name="Flecha derecha 4"/>
                <wp:cNvGraphicFramePr/>
                <a:graphic xmlns:a="http://schemas.openxmlformats.org/drawingml/2006/main">
                  <a:graphicData uri="http://schemas.microsoft.com/office/word/2010/wordprocessingShape">
                    <wps:wsp>
                      <wps:cNvSpPr/>
                      <wps:spPr>
                        <a:xfrm rot="10800000">
                          <a:off x="0" y="0"/>
                          <a:ext cx="526694" cy="204826"/>
                        </a:xfrm>
                        <a:prstGeom prst="righ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485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254.2pt;margin-top:46.25pt;width:41.45pt;height:16.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" adj="17400" fillcolor="red" strokecolor="#823b0b [1605]" strokeweight="1pt"/>
            </w:pict>
          </mc:Fallback>
        </mc:AlternateContent>
      </w:r>
      <w:r w:rsidR="003A367F">
        <w:object w:dxaOrig="87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5.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Brush" ShapeID="_x0000_i1025" DrawAspect="Content" ObjectID="_1742659748" r:id="rId12"/>
        </w:object>
      </w:r>
    </w:p>
    <w:p w:rsidR="003A367F" w:rsidRDefault="003A367F" w:rsidP="003A367F">
      <w:pPr>
        <w:spacing w:line="360" w:lineRule="auto"/>
        <w:jc w:val="both"/>
      </w:pPr>
    </w:p>
    <w:p w:rsidR="003A367F" w:rsidRPr="00FA32CE" w:rsidRDefault="003A367F" w:rsidP="003A367F">
      <w:pPr>
        <w:numPr>
          <w:ilvl w:val="0"/>
          <w:numId w:val="15"/>
        </w:numPr>
        <w:pBdr>
          <w:top w:val="nil"/>
          <w:left w:val="nil"/>
          <w:bottom w:val="nil"/>
          <w:right w:val="nil"/>
          <w:between w:val="nil"/>
        </w:pBdr>
        <w:spacing w:before="280" w:after="280" w:line="360" w:lineRule="auto"/>
        <w:ind w:left="0" w:firstLine="0"/>
        <w:contextualSpacing/>
        <w:jc w:val="both"/>
        <w:rPr>
          <w:color w:val="000000"/>
        </w:rPr>
      </w:pPr>
      <w:r w:rsidRPr="0051715A">
        <w:rPr>
          <w:rFonts w:ascii="Palatino Linotype" w:eastAsia="Palatino Linotype" w:hAnsi="Palatino Linotype" w:cs="Palatino Linotype"/>
          <w:color w:val="000000"/>
        </w:rPr>
        <w:t>Ahora bien, los “Lineamientos para la Integración del Informe Mensual Municipal”, emitidos por el Órgano Superior de Fiscalización del Estado de México, OSFEM, en c</w:t>
      </w:r>
      <w:r>
        <w:rPr>
          <w:rFonts w:ascii="Palatino Linotype" w:eastAsia="Palatino Linotype" w:hAnsi="Palatino Linotype" w:cs="Palatino Linotype"/>
          <w:color w:val="000000"/>
        </w:rPr>
        <w:t>ada ejercicio fiscal,</w:t>
      </w:r>
      <w:r w:rsidRPr="0051715A">
        <w:rPr>
          <w:rFonts w:ascii="Palatino Linotype" w:eastAsia="Palatino Linotype" w:hAnsi="Palatino Linotype" w:cs="Palatino Linotype"/>
          <w:color w:val="000000"/>
        </w:rPr>
        <w:t xml:space="preserve"> definen los criterios, formatos, documentación necesaria para presentar los informes mensuales por parte de los Sujetos Obligados; homologar la información y </w:t>
      </w:r>
      <w:proofErr w:type="spellStart"/>
      <w:r w:rsidRPr="0051715A">
        <w:rPr>
          <w:rFonts w:ascii="Palatino Linotype" w:eastAsia="Palatino Linotype" w:hAnsi="Palatino Linotype" w:cs="Palatino Linotype"/>
          <w:color w:val="000000"/>
        </w:rPr>
        <w:t>eficientar</w:t>
      </w:r>
      <w:proofErr w:type="spellEnd"/>
      <w:r w:rsidRPr="0051715A">
        <w:rPr>
          <w:rFonts w:ascii="Palatino Linotype" w:eastAsia="Palatino Linotype" w:hAnsi="Palatino Linotype" w:cs="Palatino Linotype"/>
          <w:color w:val="000000"/>
        </w:rPr>
        <w:t xml:space="preserve">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w:t>
      </w:r>
      <w:r>
        <w:rPr>
          <w:rFonts w:ascii="Palatino Linotype" w:eastAsia="Palatino Linotype" w:hAnsi="Palatino Linotype" w:cs="Palatino Linotype"/>
          <w:color w:val="000000"/>
        </w:rPr>
        <w:t xml:space="preserve">e se destaca el 4 que contiene </w:t>
      </w:r>
      <w:r w:rsidRPr="0051715A">
        <w:rPr>
          <w:rFonts w:ascii="Palatino Linotype" w:eastAsia="Palatino Linotype" w:hAnsi="Palatino Linotype" w:cs="Palatino Linotype"/>
          <w:color w:val="000000"/>
        </w:rPr>
        <w:t>l</w:t>
      </w:r>
      <w:r>
        <w:rPr>
          <w:rFonts w:ascii="Palatino Linotype" w:eastAsia="Palatino Linotype" w:hAnsi="Palatino Linotype" w:cs="Palatino Linotype"/>
          <w:color w:val="000000"/>
        </w:rPr>
        <w:t>os</w:t>
      </w:r>
      <w:r w:rsidRPr="0051715A">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recibos de nómina</w:t>
      </w:r>
      <w:r w:rsidRPr="0051715A">
        <w:rPr>
          <w:rFonts w:ascii="Palatino Linotype" w:eastAsia="Palatino Linotype" w:hAnsi="Palatino Linotype" w:cs="Palatino Linotype"/>
          <w:color w:val="000000"/>
        </w:rPr>
        <w:t>; el cual deberá entregar dentro de los 20 días hábiles siguientes terminado el mes, conforme al siguiente orden:</w:t>
      </w:r>
    </w:p>
    <w:p w:rsidR="003A367F" w:rsidRPr="0051715A" w:rsidRDefault="003A367F" w:rsidP="003A367F">
      <w:pPr>
        <w:pBdr>
          <w:top w:val="nil"/>
          <w:left w:val="nil"/>
          <w:bottom w:val="nil"/>
          <w:right w:val="nil"/>
          <w:between w:val="nil"/>
        </w:pBdr>
        <w:spacing w:before="280" w:after="280" w:line="360" w:lineRule="auto"/>
        <w:contextualSpacing/>
        <w:jc w:val="both"/>
        <w:rPr>
          <w:color w:val="000000"/>
        </w:rPr>
      </w:pPr>
    </w:p>
    <w:p w:rsidR="003A367F" w:rsidRDefault="003A367F" w:rsidP="003A367F">
      <w:pPr>
        <w:pBdr>
          <w:top w:val="nil"/>
          <w:left w:val="nil"/>
          <w:bottom w:val="nil"/>
          <w:right w:val="nil"/>
          <w:between w:val="nil"/>
        </w:pBdr>
        <w:spacing w:before="280" w:after="280"/>
        <w:jc w:val="center"/>
        <w:rPr>
          <w:color w:val="000000"/>
        </w:rPr>
      </w:pPr>
      <w:r>
        <w:rPr>
          <w:rFonts w:ascii="Palatino Linotype" w:eastAsia="Palatino Linotype" w:hAnsi="Palatino Linotype" w:cs="Palatino Linotype"/>
          <w:noProof/>
          <w:color w:val="000000"/>
          <w:lang w:val="es-MX" w:eastAsia="es-MX"/>
        </w:rPr>
        <w:drawing>
          <wp:inline distT="0" distB="0" distL="0" distR="0" wp14:anchorId="62780817" wp14:editId="31DB394A">
            <wp:extent cx="5191125" cy="1924050"/>
            <wp:effectExtent l="19050" t="19050" r="28575" b="19050"/>
            <wp:docPr id="80"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13"/>
                    <a:srcRect/>
                    <a:stretch>
                      <a:fillRect/>
                    </a:stretch>
                  </pic:blipFill>
                  <pic:spPr>
                    <a:xfrm>
                      <a:off x="0" y="0"/>
                      <a:ext cx="5191125" cy="1924050"/>
                    </a:xfrm>
                    <a:prstGeom prst="rect">
                      <a:avLst/>
                    </a:prstGeom>
                    <a:ln>
                      <a:solidFill>
                        <a:schemeClr val="tx1"/>
                      </a:solidFill>
                    </a:ln>
                  </pic:spPr>
                </pic:pic>
              </a:graphicData>
            </a:graphic>
          </wp:inline>
        </w:drawing>
      </w:r>
    </w:p>
    <w:p w:rsidR="003A367F" w:rsidRDefault="003A367F" w:rsidP="003A367F">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rPr>
      </w:pPr>
    </w:p>
    <w:p w:rsidR="003A367F" w:rsidRDefault="003A367F" w:rsidP="003A367F">
      <w:pPr>
        <w:numPr>
          <w:ilvl w:val="0"/>
          <w:numId w:val="15"/>
        </w:numPr>
        <w:pBdr>
          <w:top w:val="nil"/>
          <w:left w:val="nil"/>
          <w:bottom w:val="nil"/>
          <w:right w:val="nil"/>
          <w:between w:val="nil"/>
        </w:pBdr>
        <w:spacing w:before="280" w:after="280" w:line="360" w:lineRule="auto"/>
        <w:ind w:left="0" w:firstLine="0"/>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anterior, se advierte que los entes municipales tienen la obligación de entregar al Órgano Superior de Fiscalización del Estado de México, los informes mensuales en los que se incluye la información relativa a los recibos de nómina en cada ejercicio fiscal.</w:t>
      </w:r>
    </w:p>
    <w:p w:rsidR="003A367F" w:rsidRDefault="001354E8" w:rsidP="003A367F">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highlight w:val="green"/>
        </w:rPr>
      </w:pPr>
      <w:r>
        <w:rPr>
          <w:rFonts w:ascii="Times New Roman" w:eastAsia="Times New Roman" w:hAnsi="Times New Roman" w:cs="Times New Roman"/>
          <w:color w:val="000000"/>
        </w:rPr>
        <w:object w:dxaOrig="8790" w:dyaOrig="10860">
          <v:shape id="_x0000_i1026" type="#_x0000_t75" style="width:282pt;height:319.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6" DrawAspect="Content" ObjectID="_1742659749" r:id="rId15"/>
        </w:object>
      </w:r>
    </w:p>
    <w:p w:rsidR="000E1E96" w:rsidRPr="0020474E" w:rsidRDefault="003A367F" w:rsidP="0020474E">
      <w:pPr>
        <w:numPr>
          <w:ilvl w:val="0"/>
          <w:numId w:val="15"/>
        </w:numPr>
        <w:pBdr>
          <w:top w:val="nil"/>
          <w:left w:val="nil"/>
          <w:bottom w:val="nil"/>
          <w:right w:val="nil"/>
          <w:between w:val="nil"/>
        </w:pBdr>
        <w:spacing w:line="360" w:lineRule="auto"/>
        <w:ind w:left="0" w:firstLine="0"/>
        <w:contextualSpacing/>
        <w:jc w:val="both"/>
        <w:rPr>
          <w:rFonts w:ascii="Palatino Linotype" w:hAnsi="Palatino Linotype" w:cs="Arial"/>
          <w:b/>
        </w:rPr>
      </w:pPr>
      <w:r>
        <w:rPr>
          <w:rFonts w:ascii="Palatino Linotype" w:eastAsia="Palatino Linotype" w:hAnsi="Palatino Linotype" w:cs="Palatino Linotype"/>
        </w:rPr>
        <w:t xml:space="preserve">Es </w:t>
      </w:r>
      <w:r w:rsidRPr="00D31FC8">
        <w:rPr>
          <w:rFonts w:ascii="Palatino Linotype" w:eastAsia="Palatino Linotype" w:hAnsi="Palatino Linotype" w:cs="Palatino Linotype"/>
        </w:rPr>
        <w:t>por</w:t>
      </w:r>
      <w:r w:rsidR="00627A97">
        <w:rPr>
          <w:rFonts w:ascii="Palatino Linotype" w:eastAsia="Palatino Linotype" w:hAnsi="Palatino Linotype" w:cs="Palatino Linotype"/>
        </w:rPr>
        <w:t xml:space="preserve"> lo anterior que resulta dable modifica</w:t>
      </w:r>
      <w:r w:rsidRPr="00D31FC8">
        <w:rPr>
          <w:rFonts w:ascii="Palatino Linotype" w:eastAsia="Palatino Linotype" w:hAnsi="Palatino Linotype" w:cs="Palatino Linotype"/>
        </w:rPr>
        <w:t xml:space="preserve">r la respuesta del </w:t>
      </w:r>
      <w:r w:rsidR="00627A97" w:rsidRPr="00D31FC8">
        <w:rPr>
          <w:rFonts w:ascii="Palatino Linotype" w:eastAsia="Palatino Linotype" w:hAnsi="Palatino Linotype" w:cs="Palatino Linotype"/>
          <w:b/>
        </w:rPr>
        <w:t>SUJETO OBLIGADO</w:t>
      </w:r>
      <w:r w:rsidR="00627A97" w:rsidRPr="00D31FC8">
        <w:rPr>
          <w:rFonts w:ascii="Palatino Linotype" w:eastAsia="Palatino Linotype" w:hAnsi="Palatino Linotype" w:cs="Palatino Linotype"/>
        </w:rPr>
        <w:t xml:space="preserve"> </w:t>
      </w:r>
      <w:r w:rsidRPr="00D31FC8">
        <w:rPr>
          <w:rFonts w:ascii="Palatino Linotype" w:eastAsia="Palatino Linotype" w:hAnsi="Palatino Linotype" w:cs="Palatino Linotype"/>
        </w:rPr>
        <w:t>y ordenar</w:t>
      </w:r>
      <w:r>
        <w:rPr>
          <w:rFonts w:ascii="Palatino Linotype" w:eastAsia="Palatino Linotype" w:hAnsi="Palatino Linotype" w:cs="Palatino Linotype"/>
        </w:rPr>
        <w:t xml:space="preserve"> </w:t>
      </w:r>
      <w:r w:rsidRPr="00D31FC8">
        <w:rPr>
          <w:rFonts w:ascii="Palatino Linotype" w:eastAsia="Palatino Linotype" w:hAnsi="Palatino Linotype" w:cs="Palatino Linotype"/>
        </w:rPr>
        <w:t>l</w:t>
      </w:r>
      <w:r>
        <w:rPr>
          <w:rFonts w:ascii="Palatino Linotype" w:eastAsia="Palatino Linotype" w:hAnsi="Palatino Linotype" w:cs="Palatino Linotype"/>
        </w:rPr>
        <w:t>a</w:t>
      </w:r>
      <w:r w:rsidRPr="00D31FC8">
        <w:rPr>
          <w:rFonts w:ascii="Palatino Linotype" w:eastAsia="Palatino Linotype" w:hAnsi="Palatino Linotype" w:cs="Palatino Linotype"/>
        </w:rPr>
        <w:t xml:space="preserve"> haga entrega </w:t>
      </w:r>
      <w:r>
        <w:rPr>
          <w:rFonts w:ascii="Palatino Linotype" w:eastAsia="Palatino Linotype" w:hAnsi="Palatino Linotype" w:cs="Palatino Linotype"/>
        </w:rPr>
        <w:t xml:space="preserve">de los </w:t>
      </w:r>
      <w:r>
        <w:rPr>
          <w:rFonts w:ascii="Palatino Linotype" w:eastAsia="Palatino Linotype" w:hAnsi="Palatino Linotype" w:cs="Palatino Linotype"/>
          <w:b/>
        </w:rPr>
        <w:t>r</w:t>
      </w:r>
      <w:r w:rsidRPr="00F52D0F">
        <w:rPr>
          <w:rFonts w:ascii="Palatino Linotype" w:eastAsia="Palatino Linotype" w:hAnsi="Palatino Linotype" w:cs="Palatino Linotype"/>
          <w:b/>
        </w:rPr>
        <w:t xml:space="preserve">ecibos de nómina </w:t>
      </w:r>
      <w:r w:rsidR="0020474E">
        <w:rPr>
          <w:rFonts w:ascii="Palatino Linotype" w:eastAsia="Palatino Linotype" w:hAnsi="Palatino Linotype" w:cs="Palatino Linotype"/>
          <w:b/>
        </w:rPr>
        <w:t xml:space="preserve">de todos los servidores públicos adscrito al SUJETO OBLIGADO </w:t>
      </w:r>
      <w:r w:rsidRPr="00F52D0F">
        <w:rPr>
          <w:rFonts w:ascii="Palatino Linotype" w:eastAsia="Palatino Linotype" w:hAnsi="Palatino Linotype" w:cs="Palatino Linotype"/>
          <w:b/>
        </w:rPr>
        <w:t xml:space="preserve">de </w:t>
      </w:r>
      <w:r w:rsidR="0020474E">
        <w:rPr>
          <w:rFonts w:ascii="Palatino Linotype" w:eastAsia="Palatino Linotype" w:hAnsi="Palatino Linotype" w:cs="Palatino Linotype"/>
          <w:b/>
        </w:rPr>
        <w:t xml:space="preserve">los </w:t>
      </w:r>
      <w:r w:rsidR="0020474E" w:rsidRPr="0020474E">
        <w:rPr>
          <w:rFonts w:ascii="Palatino Linotype" w:eastAsia="Palatino Linotype" w:hAnsi="Palatino Linotype" w:cs="Palatino Linotype"/>
          <w:b/>
        </w:rPr>
        <w:t>meses de octubre, noviembre y diciembre</w:t>
      </w:r>
      <w:r w:rsidR="001A641B">
        <w:rPr>
          <w:rFonts w:ascii="Palatino Linotype" w:eastAsia="Palatino Linotype" w:hAnsi="Palatino Linotype" w:cs="Palatino Linotype"/>
          <w:b/>
        </w:rPr>
        <w:t xml:space="preserve"> del año 2022,</w:t>
      </w:r>
      <w:r w:rsidR="004042B0">
        <w:rPr>
          <w:rFonts w:ascii="Palatino Linotype" w:eastAsia="Palatino Linotype" w:hAnsi="Palatino Linotype" w:cs="Palatino Linotype"/>
          <w:b/>
        </w:rPr>
        <w:t xml:space="preserve"> </w:t>
      </w:r>
      <w:r w:rsidR="004042B0" w:rsidRPr="001354E8">
        <w:rPr>
          <w:rFonts w:ascii="Palatino Linotype" w:eastAsia="Palatino Linotype" w:hAnsi="Palatino Linotype" w:cs="Palatino Linotype"/>
          <w:b/>
          <w:u w:val="single"/>
        </w:rPr>
        <w:t>incluidos organismos descentralizados, y</w:t>
      </w:r>
      <w:r w:rsidR="001A641B" w:rsidRPr="001354E8">
        <w:rPr>
          <w:rFonts w:ascii="Palatino Linotype" w:eastAsia="Palatino Linotype" w:hAnsi="Palatino Linotype" w:cs="Palatino Linotype"/>
          <w:b/>
          <w:u w:val="single"/>
        </w:rPr>
        <w:t xml:space="preserve"> omitiendo los ya entregados en respuesta y que </w:t>
      </w:r>
      <w:r w:rsidR="002223AA" w:rsidRPr="001354E8">
        <w:rPr>
          <w:rFonts w:ascii="Palatino Linotype" w:eastAsia="Palatino Linotype" w:hAnsi="Palatino Linotype" w:cs="Palatino Linotype"/>
          <w:b/>
          <w:u w:val="single"/>
        </w:rPr>
        <w:t>fueron declarados</w:t>
      </w:r>
      <w:r w:rsidR="001A641B" w:rsidRPr="001354E8">
        <w:rPr>
          <w:rFonts w:ascii="Palatino Linotype" w:eastAsia="Palatino Linotype" w:hAnsi="Palatino Linotype" w:cs="Palatino Linotype"/>
          <w:b/>
          <w:u w:val="single"/>
        </w:rPr>
        <w:t xml:space="preserve"> consentidos</w:t>
      </w:r>
      <w:r w:rsidR="001A641B">
        <w:rPr>
          <w:rFonts w:ascii="Palatino Linotype" w:eastAsia="Palatino Linotype" w:hAnsi="Palatino Linotype" w:cs="Palatino Linotype"/>
          <w:b/>
        </w:rPr>
        <w:t>.</w:t>
      </w:r>
    </w:p>
    <w:p w:rsidR="0020474E" w:rsidRPr="0020474E" w:rsidRDefault="0020474E" w:rsidP="0020474E">
      <w:pPr>
        <w:pBdr>
          <w:top w:val="nil"/>
          <w:left w:val="nil"/>
          <w:bottom w:val="nil"/>
          <w:right w:val="nil"/>
          <w:between w:val="nil"/>
        </w:pBdr>
        <w:spacing w:line="360" w:lineRule="auto"/>
        <w:contextualSpacing/>
        <w:jc w:val="both"/>
        <w:rPr>
          <w:rFonts w:ascii="Palatino Linotype" w:hAnsi="Palatino Linotype" w:cs="Arial"/>
          <w:b/>
        </w:rPr>
      </w:pPr>
    </w:p>
    <w:p w:rsidR="0020474E" w:rsidRDefault="0020474E" w:rsidP="006C20C0">
      <w:pPr>
        <w:numPr>
          <w:ilvl w:val="0"/>
          <w:numId w:val="15"/>
        </w:numPr>
        <w:pBdr>
          <w:top w:val="nil"/>
          <w:left w:val="nil"/>
          <w:bottom w:val="nil"/>
          <w:right w:val="nil"/>
          <w:between w:val="nil"/>
        </w:pBdr>
        <w:spacing w:line="360" w:lineRule="auto"/>
        <w:ind w:left="0" w:firstLine="0"/>
        <w:contextualSpacing/>
        <w:jc w:val="both"/>
        <w:rPr>
          <w:rFonts w:ascii="Palatino Linotype" w:hAnsi="Palatino Linotype" w:cs="Arial"/>
        </w:rPr>
      </w:pPr>
      <w:r w:rsidRPr="0020474E">
        <w:rPr>
          <w:rFonts w:ascii="Palatino Linotype" w:hAnsi="Palatino Linotype" w:cs="Arial"/>
        </w:rPr>
        <w:lastRenderedPageBreak/>
        <w:t>Ahora bien</w:t>
      </w:r>
      <w:r>
        <w:rPr>
          <w:rFonts w:ascii="Palatino Linotype" w:hAnsi="Palatino Linotype" w:cs="Arial"/>
        </w:rPr>
        <w:t xml:space="preserve">, como la información que se ha tenido a bien a ordenar corresponde </w:t>
      </w:r>
      <w:r w:rsidR="006C20C0">
        <w:rPr>
          <w:rFonts w:ascii="Palatino Linotype" w:hAnsi="Palatino Linotype" w:cs="Arial"/>
        </w:rPr>
        <w:t xml:space="preserve">a todo el personal adscrito al </w:t>
      </w:r>
      <w:r w:rsidR="006C20C0">
        <w:rPr>
          <w:rFonts w:ascii="Palatino Linotype" w:hAnsi="Palatino Linotype" w:cs="Arial"/>
          <w:b/>
        </w:rPr>
        <w:t xml:space="preserve">SUJETO OBLIGADO, </w:t>
      </w:r>
      <w:r w:rsidR="006C20C0">
        <w:rPr>
          <w:rFonts w:ascii="Palatino Linotype" w:hAnsi="Palatino Linotype" w:cs="Arial"/>
        </w:rPr>
        <w:t>evidentemente atañe también a la denominada</w:t>
      </w:r>
      <w:r w:rsidR="006C20C0" w:rsidRPr="006C20C0">
        <w:rPr>
          <w:rFonts w:ascii="Palatino Linotype" w:hAnsi="Palatino Linotype" w:cs="Arial"/>
        </w:rPr>
        <w:t xml:space="preserve"> Dirección de Seguridad Pública, Centro de Mando y Monitoreo</w:t>
      </w:r>
      <w:r w:rsidR="006C20C0">
        <w:rPr>
          <w:rFonts w:ascii="Palatino Linotype" w:hAnsi="Palatino Linotype" w:cs="Arial"/>
        </w:rPr>
        <w:t>, de conformidad con el Bando Municipal del Sujeto Obligado, a saber:</w:t>
      </w:r>
    </w:p>
    <w:p w:rsidR="006C20C0" w:rsidRPr="0020474E" w:rsidRDefault="006C20C0" w:rsidP="006C20C0">
      <w:pPr>
        <w:pBdr>
          <w:top w:val="nil"/>
          <w:left w:val="nil"/>
          <w:bottom w:val="nil"/>
          <w:right w:val="nil"/>
          <w:between w:val="nil"/>
        </w:pBdr>
        <w:spacing w:line="360" w:lineRule="auto"/>
        <w:contextualSpacing/>
        <w:jc w:val="both"/>
        <w:rPr>
          <w:rFonts w:ascii="Palatino Linotype" w:hAnsi="Palatino Linotype" w:cs="Arial"/>
        </w:rPr>
      </w:pPr>
      <w:r>
        <w:rPr>
          <w:rFonts w:ascii="Palatino Linotype" w:hAnsi="Palatino Linotype" w:cs="Arial"/>
          <w:noProof/>
          <w:lang w:val="es-MX" w:eastAsia="es-MX"/>
        </w:rPr>
        <w:drawing>
          <wp:inline distT="0" distB="0" distL="0" distR="0">
            <wp:extent cx="5607050" cy="1778000"/>
            <wp:effectExtent l="19050" t="19050" r="12700"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1778000"/>
                    </a:xfrm>
                    <a:prstGeom prst="rect">
                      <a:avLst/>
                    </a:prstGeom>
                    <a:noFill/>
                    <a:ln>
                      <a:solidFill>
                        <a:schemeClr val="tx1"/>
                      </a:solidFill>
                    </a:ln>
                  </pic:spPr>
                </pic:pic>
              </a:graphicData>
            </a:graphic>
          </wp:inline>
        </w:drawing>
      </w:r>
    </w:p>
    <w:p w:rsidR="0020474E" w:rsidRDefault="0020474E" w:rsidP="0020474E">
      <w:pPr>
        <w:pBdr>
          <w:top w:val="nil"/>
          <w:left w:val="nil"/>
          <w:bottom w:val="nil"/>
          <w:right w:val="nil"/>
          <w:between w:val="nil"/>
        </w:pBdr>
        <w:spacing w:line="360" w:lineRule="auto"/>
        <w:contextualSpacing/>
        <w:jc w:val="both"/>
        <w:rPr>
          <w:rFonts w:ascii="Palatino Linotype" w:hAnsi="Palatino Linotype" w:cs="Arial"/>
          <w:b/>
        </w:rPr>
      </w:pPr>
    </w:p>
    <w:p w:rsidR="006C20C0" w:rsidRPr="00740F9D" w:rsidRDefault="006C20C0" w:rsidP="006C20C0">
      <w:pPr>
        <w:numPr>
          <w:ilvl w:val="0"/>
          <w:numId w:val="15"/>
        </w:numPr>
        <w:spacing w:line="360" w:lineRule="auto"/>
        <w:ind w:left="0" w:firstLine="0"/>
        <w:contextualSpacing/>
        <w:jc w:val="both"/>
        <w:rPr>
          <w:rFonts w:ascii="Palatino Linotype" w:hAnsi="Palatino Linotype"/>
          <w:color w:val="000000" w:themeColor="text1"/>
        </w:rPr>
      </w:pPr>
      <w:r w:rsidRPr="0020474E">
        <w:rPr>
          <w:rFonts w:ascii="Palatino Linotype" w:hAnsi="Palatino Linotype" w:cs="Arial"/>
        </w:rPr>
        <w:t>A</w:t>
      </w:r>
      <w:r>
        <w:rPr>
          <w:rFonts w:ascii="Palatino Linotype" w:hAnsi="Palatino Linotype" w:cs="Arial"/>
        </w:rPr>
        <w:t xml:space="preserve">l respecto, es de </w:t>
      </w:r>
      <w:r w:rsidRPr="00740F9D">
        <w:rPr>
          <w:rFonts w:ascii="Palatino Linotype" w:hAnsi="Palatino Linotype"/>
          <w:color w:val="000000" w:themeColor="text1"/>
        </w:rPr>
        <w:t xml:space="preserve">señalar que relativo a todos los nombres de los servidores públicos adscritos a </w:t>
      </w:r>
      <w:r>
        <w:rPr>
          <w:rFonts w:ascii="Palatino Linotype" w:hAnsi="Palatino Linotype"/>
          <w:color w:val="000000" w:themeColor="text1"/>
        </w:rPr>
        <w:t>dicha Dirección</w:t>
      </w:r>
      <w:r w:rsidRPr="00740F9D">
        <w:rPr>
          <w:rFonts w:ascii="Palatino Linotype" w:hAnsi="Palatino Linotype"/>
          <w:color w:val="000000" w:themeColor="text1"/>
        </w:rPr>
        <w:t>, resulta parcialmente la procedencia de su entrega; toda vez que únicamente pueden ser entregados los nombres de mando medio y superiores, no así al resto de personal de carácter operativo.</w:t>
      </w:r>
    </w:p>
    <w:p w:rsidR="006C20C0" w:rsidRPr="00740F9D" w:rsidRDefault="006C20C0" w:rsidP="006C20C0">
      <w:pPr>
        <w:pStyle w:val="Prrafodelista"/>
        <w:rPr>
          <w:rFonts w:ascii="Palatino Linotype" w:hAnsi="Palatino Linotype"/>
          <w:color w:val="000000" w:themeColor="text1"/>
        </w:rPr>
      </w:pPr>
    </w:p>
    <w:p w:rsidR="006C20C0" w:rsidRPr="00740F9D" w:rsidRDefault="006C20C0" w:rsidP="006C20C0">
      <w:pPr>
        <w:numPr>
          <w:ilvl w:val="0"/>
          <w:numId w:val="15"/>
        </w:numPr>
        <w:spacing w:line="360" w:lineRule="auto"/>
        <w:ind w:left="0" w:firstLine="0"/>
        <w:contextualSpacing/>
        <w:jc w:val="both"/>
        <w:rPr>
          <w:rFonts w:ascii="Palatino Linotype" w:hAnsi="Palatino Linotype"/>
        </w:rPr>
      </w:pPr>
      <w:r w:rsidRPr="00740F9D">
        <w:rPr>
          <w:rFonts w:ascii="Palatino Linotype" w:hAnsi="Palatino Linotype"/>
        </w:rPr>
        <w:t xml:space="preserve">Lo anterior es así, toda vez que los nombres de </w:t>
      </w:r>
      <w:r w:rsidRPr="00740F9D">
        <w:rPr>
          <w:rFonts w:ascii="Palatino Linotype" w:hAnsi="Palatino Linotype"/>
          <w:b/>
        </w:rPr>
        <w:t>los elementos que realizan funciones operativas deben ser protegidos</w:t>
      </w:r>
      <w:r w:rsidRPr="00740F9D">
        <w:rPr>
          <w:rFonts w:ascii="Palatino Linotype" w:hAnsi="Palatino Linotype"/>
        </w:rPr>
        <w:t xml:space="preserve"> con la finalidad de evitar la identificación de las personas al amparo de la protección a la vida, salud y seguridad; esto,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w:t>
      </w:r>
      <w:r w:rsidRPr="00740F9D">
        <w:rPr>
          <w:rFonts w:ascii="Palatino Linotype" w:hAnsi="Palatino Linotype"/>
        </w:rPr>
        <w:lastRenderedPageBreak/>
        <w:t>responsables de procurar el orden, la estabilidad y la defensa de la sociedad a la que pertenecen, lo que se traduce en la prevención de delitos y combate a los delincuentes.</w:t>
      </w:r>
    </w:p>
    <w:p w:rsidR="006C20C0" w:rsidRPr="00740F9D" w:rsidRDefault="006C20C0" w:rsidP="006C20C0">
      <w:pPr>
        <w:pStyle w:val="Prrafodelista"/>
        <w:spacing w:line="360" w:lineRule="auto"/>
        <w:ind w:left="360"/>
        <w:jc w:val="both"/>
        <w:rPr>
          <w:rFonts w:ascii="Palatino Linotype" w:hAnsi="Palatino Linotype"/>
        </w:rPr>
      </w:pPr>
    </w:p>
    <w:p w:rsidR="006C20C0" w:rsidRPr="00740F9D" w:rsidRDefault="006C20C0" w:rsidP="006C20C0">
      <w:pPr>
        <w:numPr>
          <w:ilvl w:val="0"/>
          <w:numId w:val="15"/>
        </w:numPr>
        <w:spacing w:line="360" w:lineRule="auto"/>
        <w:ind w:left="0" w:firstLine="0"/>
        <w:contextualSpacing/>
        <w:jc w:val="both"/>
        <w:rPr>
          <w:rFonts w:ascii="Palatino Linotype" w:hAnsi="Palatino Linotype"/>
        </w:rPr>
      </w:pPr>
      <w:r w:rsidRPr="00740F9D">
        <w:rPr>
          <w:rFonts w:ascii="Palatino Linotype" w:hAnsi="Palatino Linotype"/>
        </w:rPr>
        <w:t>De ahí, que el Estado deba garantizar y respetar sus derechos humanos como servidores públicos y como personas sujetas de derechos y obligaciones, como la protección a su vida, salud y seguridad. Es de precisar que, para lograrlo, su nombre, si bien pudiera tenerse como público ante la inminente evidencia de que reciben recursos públicos por concepto de sueldo, también lo es, que al pertenecer a una institución policial o área de seguridad pública, la difusión de esta información pone en riesgo su vida, integridad o seguridad. Se afirma lo anterior, en virtud de que no debe perderse de vista que existen funciones a cargo de servidores públicos, tendientes a garantizar de manera directa la seguridad pública, a través de acciones preventivas y correctivas encaminadas a combatir a la delincuencia en sus diferentes manifestaciones.</w:t>
      </w:r>
    </w:p>
    <w:p w:rsidR="006C20C0" w:rsidRPr="00740F9D" w:rsidRDefault="006C20C0" w:rsidP="006C20C0">
      <w:pPr>
        <w:pStyle w:val="Prrafodelista"/>
        <w:spacing w:line="360" w:lineRule="auto"/>
        <w:ind w:left="360"/>
        <w:jc w:val="both"/>
        <w:rPr>
          <w:rFonts w:ascii="Palatino Linotype" w:hAnsi="Palatino Linotype"/>
        </w:rPr>
      </w:pPr>
    </w:p>
    <w:p w:rsidR="006C20C0" w:rsidRDefault="006C20C0" w:rsidP="006C20C0">
      <w:pPr>
        <w:numPr>
          <w:ilvl w:val="0"/>
          <w:numId w:val="15"/>
        </w:numPr>
        <w:spacing w:line="360" w:lineRule="auto"/>
        <w:ind w:left="0" w:firstLine="0"/>
        <w:contextualSpacing/>
        <w:jc w:val="both"/>
        <w:rPr>
          <w:rFonts w:ascii="Palatino Linotype" w:hAnsi="Palatino Linotype" w:cs="Arial"/>
        </w:rPr>
      </w:pPr>
      <w:r w:rsidRPr="00740F9D">
        <w:rPr>
          <w:rFonts w:ascii="Palatino Linotype" w:hAnsi="Palatino Linotype" w:cs="Arial"/>
        </w:rPr>
        <w:t xml:space="preserve">Argumento </w:t>
      </w:r>
      <w:r w:rsidRPr="00740F9D">
        <w:rPr>
          <w:rFonts w:ascii="Palatino Linotype" w:hAnsi="Palatino Linotype"/>
        </w:rPr>
        <w:t>que</w:t>
      </w:r>
      <w:r w:rsidRPr="00740F9D">
        <w:rPr>
          <w:rFonts w:ascii="Palatino Linotype" w:hAnsi="Palatino Linotype" w:cs="Arial"/>
        </w:rPr>
        <w:t xml:space="preserve"> se fortalece con lo estipulado en el Criterio número 06/09, emitido por el Pleno del entonces Instituto Federal de Acceso a la Información y Protección de Datos</w:t>
      </w:r>
      <w:r w:rsidRPr="00740F9D">
        <w:rPr>
          <w:rStyle w:val="Textoennegrita"/>
          <w:rFonts w:ascii="Palatino Linotype" w:hAnsi="Palatino Linotype" w:cs="Arial"/>
        </w:rPr>
        <w:t xml:space="preserve">, </w:t>
      </w:r>
      <w:r w:rsidRPr="00740F9D">
        <w:rPr>
          <w:rFonts w:ascii="Palatino Linotype" w:hAnsi="Palatino Linotype" w:cs="Arial"/>
        </w:rPr>
        <w:t>el cual</w:t>
      </w:r>
      <w:r w:rsidR="001354E8">
        <w:rPr>
          <w:rFonts w:ascii="Palatino Linotype" w:hAnsi="Palatino Linotype" w:cs="Arial"/>
        </w:rPr>
        <w:t xml:space="preserve"> refiere:</w:t>
      </w:r>
    </w:p>
    <w:p w:rsidR="001354E8" w:rsidRDefault="001354E8" w:rsidP="001354E8">
      <w:pPr>
        <w:pStyle w:val="Prrafodelista"/>
        <w:rPr>
          <w:rFonts w:ascii="Palatino Linotype" w:hAnsi="Palatino Linotype" w:cs="Arial"/>
        </w:rPr>
      </w:pPr>
    </w:p>
    <w:p w:rsidR="006C20C0" w:rsidRPr="00740F9D" w:rsidRDefault="006C20C0" w:rsidP="006C20C0">
      <w:pPr>
        <w:pStyle w:val="Prrafodelista"/>
        <w:autoSpaceDE w:val="0"/>
        <w:autoSpaceDN w:val="0"/>
        <w:adjustRightInd w:val="0"/>
        <w:ind w:left="357" w:right="567"/>
        <w:jc w:val="both"/>
        <w:rPr>
          <w:rFonts w:ascii="Palatino Linotype" w:hAnsi="Palatino Linotype" w:cs="Arial"/>
          <w:i/>
          <w:lang w:eastAsia="es-MX"/>
        </w:rPr>
      </w:pPr>
      <w:r w:rsidRPr="00740F9D">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740F9D">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740F9D">
        <w:rPr>
          <w:rFonts w:ascii="Palatino Linotype" w:hAnsi="Palatino Linotype" w:cs="Arial"/>
          <w:i/>
          <w:u w:val="single"/>
          <w:lang w:eastAsia="es-MX"/>
        </w:rPr>
        <w:t xml:space="preserve">el nombre de los servidores públicos es información de naturaleza pública. No obstante lo anterior, el mismo precepto establece la posibilidad de que existan excepciones a las obligaciones ahí establecidas cuando la información actualice algunos de los supuestos de reserva o </w:t>
      </w:r>
      <w:r w:rsidRPr="00740F9D">
        <w:rPr>
          <w:rFonts w:ascii="Palatino Linotype" w:hAnsi="Palatino Linotype" w:cs="Arial"/>
          <w:i/>
          <w:u w:val="single"/>
          <w:lang w:eastAsia="es-MX"/>
        </w:rPr>
        <w:lastRenderedPageBreak/>
        <w:t>confidencialidad previstos en los artículos 13, 14 y 18 de la citada ley</w:t>
      </w:r>
      <w:r w:rsidRPr="00740F9D">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740F9D">
        <w:rPr>
          <w:rFonts w:ascii="Palatino Linotype" w:hAnsi="Palatino Linotype" w:cs="Arial"/>
          <w:i/>
          <w:lang w:eastAsia="es-MX"/>
        </w:rPr>
        <w:t>el artículo 13, fracción I de la ley de referencia se establece que podrá clasificarse aquella información cuya difusión pueda comprometer la seguridad nacional y pública.</w:t>
      </w:r>
      <w:r w:rsidRPr="00740F9D">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740F9D">
        <w:rPr>
          <w:rFonts w:ascii="Palatino Linotype" w:hAnsi="Palatino Linotype" w:cs="Arial"/>
          <w:b/>
          <w:bCs/>
          <w:i/>
          <w:lang w:eastAsia="es-MX"/>
        </w:rPr>
        <w:t>p</w:t>
      </w:r>
      <w:r w:rsidRPr="00740F9D">
        <w:rPr>
          <w:rFonts w:ascii="Palatino Linotype" w:hAnsi="Palatino Linotype" w:cs="Arial"/>
          <w:i/>
          <w:lang w:eastAsia="es-MX"/>
        </w:rPr>
        <w:t>or lo que la reserva de la relación de los nombres y las funciones que desempeñan los servidores públicos que prestan sus servicios en áreas de seguridad nacional o pública</w:t>
      </w:r>
      <w:r w:rsidRPr="00740F9D">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740F9D">
        <w:rPr>
          <w:rFonts w:ascii="Palatino Linotype" w:hAnsi="Palatino Linotype" w:cs="Arial"/>
          <w:i/>
          <w:lang w:eastAsia="es-MX"/>
        </w:rPr>
        <w:t>”</w:t>
      </w:r>
    </w:p>
    <w:p w:rsidR="006C20C0" w:rsidRPr="00740F9D" w:rsidRDefault="006C20C0" w:rsidP="006C20C0">
      <w:pPr>
        <w:pStyle w:val="Prrafodelista"/>
        <w:spacing w:line="360" w:lineRule="auto"/>
        <w:ind w:left="360"/>
        <w:jc w:val="both"/>
        <w:rPr>
          <w:rFonts w:ascii="Palatino Linotype" w:hAnsi="Palatino Linotype"/>
        </w:rPr>
      </w:pPr>
    </w:p>
    <w:p w:rsidR="006C20C0" w:rsidRPr="00740F9D" w:rsidRDefault="006C20C0" w:rsidP="006C20C0">
      <w:pPr>
        <w:numPr>
          <w:ilvl w:val="0"/>
          <w:numId w:val="15"/>
        </w:numPr>
        <w:spacing w:line="360" w:lineRule="auto"/>
        <w:ind w:left="0" w:firstLine="0"/>
        <w:contextualSpacing/>
        <w:jc w:val="both"/>
        <w:rPr>
          <w:rFonts w:ascii="Palatino Linotype" w:hAnsi="Palatino Linotype"/>
        </w:rPr>
      </w:pPr>
      <w:r w:rsidRPr="00740F9D">
        <w:rPr>
          <w:rFonts w:ascii="Palatino Linotype" w:hAnsi="Palatino Linotype"/>
        </w:rPr>
        <w:t xml:space="preserve">Con base en lo expuesto por el ahora Instituto Nacional de Transparencia, </w:t>
      </w:r>
      <w:r w:rsidRPr="00740F9D">
        <w:rPr>
          <w:rFonts w:ascii="Palatino Linotype" w:hAnsi="Palatino Linotype" w:cs="Arial"/>
        </w:rPr>
        <w:t>Acceso</w:t>
      </w:r>
      <w:r w:rsidRPr="00740F9D">
        <w:rPr>
          <w:rFonts w:ascii="Palatino Linotype" w:hAnsi="Palatino Linotype"/>
        </w:rPr>
        <w:t xml:space="preserve"> a la Información y Protección de Datos Personales, desde el dos mil nueve, se había precisado que la manera de evitar que se hagan identificables a los policías, quienes al realizar funciones operativas, en el contexto nacional en donde la violencia se ha recrudecido y el Estado Mexicano ha redoblado esfuerzos para garantizar la seguridad pública, es eliminando el nombre de estos elementos en aquellos documentos que se entreguen en atención a solicitudes de acceso a la información pública.</w:t>
      </w:r>
    </w:p>
    <w:p w:rsidR="006C20C0" w:rsidRPr="00740F9D" w:rsidRDefault="006C20C0" w:rsidP="006C20C0">
      <w:pPr>
        <w:pStyle w:val="Prrafodelista"/>
        <w:spacing w:line="360" w:lineRule="auto"/>
        <w:ind w:left="360"/>
        <w:jc w:val="both"/>
        <w:rPr>
          <w:rFonts w:ascii="Palatino Linotype" w:hAnsi="Palatino Linotype"/>
        </w:rPr>
      </w:pPr>
    </w:p>
    <w:p w:rsidR="006C20C0" w:rsidRPr="00740F9D" w:rsidRDefault="006C20C0" w:rsidP="006C20C0">
      <w:pPr>
        <w:numPr>
          <w:ilvl w:val="0"/>
          <w:numId w:val="15"/>
        </w:numPr>
        <w:spacing w:line="360" w:lineRule="auto"/>
        <w:ind w:left="0" w:firstLine="0"/>
        <w:contextualSpacing/>
        <w:jc w:val="both"/>
        <w:rPr>
          <w:rFonts w:ascii="Palatino Linotype" w:hAnsi="Palatino Linotype" w:cs="Segoe UI"/>
        </w:rPr>
      </w:pPr>
      <w:r w:rsidRPr="00740F9D">
        <w:rPr>
          <w:rFonts w:ascii="Palatino Linotype" w:hAnsi="Palatino Linotype"/>
        </w:rPr>
        <w:t xml:space="preserve">Así, el </w:t>
      </w:r>
      <w:r w:rsidRPr="00740F9D">
        <w:rPr>
          <w:rFonts w:ascii="Palatino Linotype" w:hAnsi="Palatino Linotype" w:cs="Segoe UI"/>
        </w:rPr>
        <w:t xml:space="preserve">derecho de acceso a la información encuentra límites en el propio texto </w:t>
      </w:r>
      <w:r w:rsidRPr="00740F9D">
        <w:rPr>
          <w:rFonts w:ascii="Palatino Linotype" w:hAnsi="Palatino Linotype"/>
        </w:rPr>
        <w:t>constitucional</w:t>
      </w:r>
      <w:r w:rsidRPr="00740F9D">
        <w:rPr>
          <w:rFonts w:ascii="Palatino Linotype" w:hAnsi="Palatino Linotype" w:cs="Segoe UI"/>
        </w:rPr>
        <w:t xml:space="preserve"> y que, debido a ello, debe existir una armonización congruente con ese derecho fundamental con los principios rectores de la función del Sujeto </w:t>
      </w:r>
      <w:r w:rsidRPr="00740F9D">
        <w:rPr>
          <w:rFonts w:ascii="Palatino Linotype" w:hAnsi="Palatino Linotype" w:cs="Segoe UI"/>
        </w:rPr>
        <w:lastRenderedPageBreak/>
        <w:t xml:space="preserve">Obligado, lo que encuentra sustento en las tesis jurisprudenciales emitidas por la Suprema Corte de Justicia de la Nación, que son del literal siguiente: </w:t>
      </w:r>
    </w:p>
    <w:p w:rsidR="006C20C0" w:rsidRPr="00740F9D" w:rsidRDefault="006C20C0" w:rsidP="006C20C0">
      <w:pPr>
        <w:pStyle w:val="Prrafodelista"/>
        <w:spacing w:line="360" w:lineRule="auto"/>
        <w:ind w:left="360"/>
        <w:jc w:val="both"/>
        <w:rPr>
          <w:rFonts w:ascii="Palatino Linotype" w:hAnsi="Palatino Linotype" w:cs="Segoe UI"/>
        </w:rPr>
      </w:pPr>
    </w:p>
    <w:p w:rsidR="006C20C0" w:rsidRPr="00740F9D" w:rsidRDefault="006C20C0" w:rsidP="006C20C0">
      <w:pPr>
        <w:pStyle w:val="Prrafodelista"/>
        <w:autoSpaceDE w:val="0"/>
        <w:autoSpaceDN w:val="0"/>
        <w:adjustRightInd w:val="0"/>
        <w:ind w:left="357" w:right="567"/>
        <w:jc w:val="both"/>
        <w:rPr>
          <w:rFonts w:ascii="Palatino Linotype" w:eastAsia="Calibri" w:hAnsi="Palatino Linotype" w:cs="Arial"/>
          <w:i/>
        </w:rPr>
      </w:pPr>
      <w:r w:rsidRPr="00740F9D">
        <w:rPr>
          <w:rFonts w:ascii="Palatino Linotype" w:eastAsia="Calibri" w:hAnsi="Palatino Linotype" w:cs="Arial"/>
          <w:b/>
          <w:bCs/>
          <w:i/>
        </w:rPr>
        <w:t xml:space="preserve">“DERECHO A LA INFORMACIÓN. SU EJERCICIO SE ENCUENTRA LIMITADO TANTO POR LOS INTERESES NACIONALES Y DE LA SOCIEDAD, COMO POR LOS DERECHOS DE TERCEROS. </w:t>
      </w:r>
      <w:r w:rsidRPr="00740F9D">
        <w:rPr>
          <w:rFonts w:ascii="Palatino Linotype" w:eastAsia="Calibri" w:hAnsi="Palatino Linotype" w:cs="Arial"/>
          <w:i/>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rsidR="006C20C0" w:rsidRPr="00740F9D" w:rsidRDefault="006C20C0" w:rsidP="006C20C0">
      <w:pPr>
        <w:pStyle w:val="Prrafodelista"/>
        <w:autoSpaceDE w:val="0"/>
        <w:autoSpaceDN w:val="0"/>
        <w:adjustRightInd w:val="0"/>
        <w:ind w:left="357" w:right="567"/>
        <w:jc w:val="both"/>
        <w:rPr>
          <w:rFonts w:ascii="Palatino Linotype" w:eastAsia="Calibri" w:hAnsi="Palatino Linotype" w:cs="Arial"/>
          <w:i/>
        </w:rPr>
      </w:pPr>
    </w:p>
    <w:p w:rsidR="006C20C0" w:rsidRPr="00740F9D" w:rsidRDefault="006C20C0" w:rsidP="006C20C0">
      <w:pPr>
        <w:pStyle w:val="Prrafodelista"/>
        <w:ind w:left="357" w:right="567"/>
        <w:jc w:val="both"/>
        <w:rPr>
          <w:rFonts w:ascii="Palatino Linotype" w:hAnsi="Palatino Linotype"/>
          <w:i/>
          <w:iCs/>
          <w:lang w:eastAsia="es-MX"/>
        </w:rPr>
      </w:pPr>
      <w:r w:rsidRPr="00740F9D">
        <w:rPr>
          <w:rFonts w:ascii="Palatino Linotype" w:hAnsi="Palatino Linotype"/>
          <w:b/>
          <w:bCs/>
          <w:i/>
          <w:iCs/>
          <w:lang w:eastAsia="es-MX"/>
        </w:rPr>
        <w:t>“TRANSPARENCIA Y ACCESO A LA INFORMACIÓN PÚBLICA GUBERNAMENTAL. EL ARTÍCULO 14, FRACCIÓN I, DE LA LEY FEDERAL RELATIVA, NO VIOLA LA GARANTÍA DE ACCESO A LA INFORMACIÓN.</w:t>
      </w:r>
      <w:r w:rsidRPr="00740F9D">
        <w:rPr>
          <w:rFonts w:ascii="Palatino Linotype" w:hAnsi="Palatino Linotype"/>
          <w:i/>
          <w:iCs/>
          <w:lang w:eastAsia="es-MX"/>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w:t>
      </w:r>
      <w:r w:rsidRPr="00740F9D">
        <w:rPr>
          <w:rFonts w:ascii="Palatino Linotype" w:hAnsi="Palatino Linotype"/>
          <w:i/>
          <w:iCs/>
          <w:lang w:eastAsia="es-MX"/>
        </w:rPr>
        <w:lastRenderedPageBreak/>
        <w:t>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40F9D">
        <w:rPr>
          <w:rFonts w:ascii="Palatino Linotype" w:hAnsi="Palatino Linotype"/>
          <w:b/>
          <w:bCs/>
          <w:i/>
          <w:iCs/>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40F9D">
        <w:rPr>
          <w:rFonts w:ascii="Palatino Linotype" w:hAnsi="Palatino Linotype"/>
          <w:i/>
          <w:iCs/>
          <w:lang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6C20C0" w:rsidRPr="00740F9D" w:rsidRDefault="006C20C0" w:rsidP="006C20C0">
      <w:pPr>
        <w:pStyle w:val="Prrafodelista"/>
        <w:ind w:left="357" w:right="567"/>
        <w:jc w:val="both"/>
        <w:rPr>
          <w:rFonts w:ascii="Palatino Linotype" w:hAnsi="Palatino Linotype"/>
          <w:i/>
          <w:iCs/>
          <w:lang w:eastAsia="es-MX"/>
        </w:rPr>
      </w:pPr>
    </w:p>
    <w:p w:rsidR="006C20C0" w:rsidRPr="00740F9D" w:rsidRDefault="006C20C0" w:rsidP="006C20C0">
      <w:pPr>
        <w:numPr>
          <w:ilvl w:val="0"/>
          <w:numId w:val="15"/>
        </w:numPr>
        <w:spacing w:line="360" w:lineRule="auto"/>
        <w:ind w:left="0" w:firstLine="0"/>
        <w:contextualSpacing/>
        <w:jc w:val="both"/>
        <w:rPr>
          <w:rFonts w:ascii="Palatino Linotype" w:hAnsi="Palatino Linotype" w:cs="Arial"/>
        </w:rPr>
      </w:pPr>
      <w:r w:rsidRPr="00740F9D">
        <w:rPr>
          <w:rFonts w:ascii="Palatino Linotype" w:hAnsi="Palatino Linotype" w:cs="Arial"/>
        </w:rPr>
        <w:t>Así y de acuerdo con lo expuesto, la limitación para acceder al nombre de los policías o personal con funciones operativas es proporcional y adecuada, respecto del bien jurídico tutelado; así, ordenar la entrega de los documentos en donde se elimine el nombre de dichos trabajadores, permite garantizar el acceso a la información pública y se protege la vida, salud o seguridad de los elementos operativos encargados del combate a los delincuentes y prevención de los delitos, ya que con la eliminación de su nombre en dicho documento es imposible hacerlos identificables a través de este. De tal manera que se reitera únicamente como procedente, la entrega del personal con carácter de mando medio y superior, esto porque además corresponde a una obligación de transparencia común, como se desprende de la fracción VII del artículo 92, a saber:</w:t>
      </w:r>
    </w:p>
    <w:p w:rsidR="006C20C0" w:rsidRPr="00740F9D" w:rsidRDefault="006C20C0" w:rsidP="006C20C0">
      <w:pPr>
        <w:spacing w:line="360" w:lineRule="auto"/>
        <w:contextualSpacing/>
        <w:jc w:val="both"/>
        <w:rPr>
          <w:rFonts w:ascii="Palatino Linotype" w:hAnsi="Palatino Linotype" w:cs="Arial"/>
        </w:rPr>
      </w:pPr>
    </w:p>
    <w:p w:rsidR="006C20C0" w:rsidRPr="00740F9D" w:rsidRDefault="006C20C0" w:rsidP="006C20C0">
      <w:pPr>
        <w:ind w:left="426" w:right="474"/>
        <w:contextualSpacing/>
        <w:jc w:val="both"/>
        <w:rPr>
          <w:rFonts w:ascii="Palatino Linotype" w:hAnsi="Palatino Linotype" w:cs="Arial"/>
          <w:i/>
        </w:rPr>
      </w:pPr>
      <w:r w:rsidRPr="00740F9D">
        <w:rPr>
          <w:rFonts w:ascii="Palatino Linotype" w:hAnsi="Palatino Linotype" w:cs="Arial"/>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C20C0" w:rsidRPr="00740F9D" w:rsidRDefault="006C20C0" w:rsidP="006C20C0">
      <w:pPr>
        <w:ind w:left="426" w:right="474"/>
        <w:contextualSpacing/>
        <w:jc w:val="both"/>
        <w:rPr>
          <w:rFonts w:ascii="Palatino Linotype" w:hAnsi="Palatino Linotype" w:cs="Arial"/>
          <w:i/>
        </w:rPr>
      </w:pPr>
      <w:r w:rsidRPr="00740F9D">
        <w:rPr>
          <w:rFonts w:ascii="Palatino Linotype" w:hAnsi="Palatino Linotype" w:cs="Arial"/>
          <w:i/>
        </w:rPr>
        <w:t>...</w:t>
      </w:r>
    </w:p>
    <w:p w:rsidR="006C20C0" w:rsidRPr="00740F9D" w:rsidRDefault="006C20C0" w:rsidP="006C20C0">
      <w:pPr>
        <w:ind w:left="426" w:right="474"/>
        <w:contextualSpacing/>
        <w:jc w:val="both"/>
        <w:rPr>
          <w:rFonts w:ascii="Palatino Linotype" w:hAnsi="Palatino Linotype" w:cs="Arial"/>
          <w:i/>
        </w:rPr>
      </w:pPr>
      <w:r w:rsidRPr="00740F9D">
        <w:rPr>
          <w:rFonts w:ascii="Palatino Linotype" w:hAnsi="Palatino Linotype" w:cs="Arial"/>
          <w:i/>
        </w:rPr>
        <w:t>VII. El directorio de todos los servidores públicos</w:t>
      </w:r>
      <w:r w:rsidRPr="00740F9D">
        <w:rPr>
          <w:rFonts w:ascii="Palatino Linotype" w:hAnsi="Palatino Linotype" w:cs="Arial"/>
          <w:b/>
          <w:i/>
        </w:rPr>
        <w:t>, a partir del nivel de jefe de departamento o su equivalente o de menor nivel</w:t>
      </w:r>
      <w:r w:rsidRPr="00740F9D">
        <w:rPr>
          <w:rFonts w:ascii="Palatino Linotype" w:hAnsi="Palatino Linotype" w:cs="Arial"/>
          <w:i/>
        </w:rPr>
        <w:t>, cuando se brinde atención al público, manejen o apliquen recursos públicos, realicen actos de autoridad o presten servicios profesionales bajo el régimen de confianza u honorarios y personal de base.</w:t>
      </w:r>
    </w:p>
    <w:p w:rsidR="006C20C0" w:rsidRPr="00740F9D" w:rsidRDefault="006C20C0" w:rsidP="006C20C0">
      <w:pPr>
        <w:ind w:left="426" w:right="474"/>
        <w:contextualSpacing/>
        <w:jc w:val="both"/>
        <w:rPr>
          <w:rFonts w:ascii="Palatino Linotype" w:hAnsi="Palatino Linotype" w:cs="Arial"/>
          <w:i/>
        </w:rPr>
      </w:pPr>
    </w:p>
    <w:p w:rsidR="006C20C0" w:rsidRPr="00740F9D" w:rsidRDefault="006C20C0" w:rsidP="006C20C0">
      <w:pPr>
        <w:ind w:left="426" w:right="474"/>
        <w:contextualSpacing/>
        <w:jc w:val="both"/>
        <w:rPr>
          <w:rFonts w:ascii="Palatino Linotype" w:hAnsi="Palatino Linotype" w:cs="Arial"/>
          <w:i/>
        </w:rPr>
      </w:pPr>
      <w:r w:rsidRPr="00740F9D">
        <w:rPr>
          <w:rFonts w:ascii="Palatino Linotype" w:hAnsi="Palatino Linotype" w:cs="Arial"/>
          <w:b/>
          <w:i/>
        </w:rPr>
        <w:t>El directorio deberá incluir, al menos el nombre</w:t>
      </w:r>
      <w:r w:rsidRPr="00740F9D">
        <w:rPr>
          <w:rFonts w:ascii="Palatino Linotype" w:hAnsi="Palatino Linotype" w:cs="Arial"/>
          <w:i/>
        </w:rPr>
        <w:t>,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6C20C0" w:rsidRDefault="006C20C0" w:rsidP="006C20C0">
      <w:pPr>
        <w:ind w:left="426" w:right="474"/>
        <w:contextualSpacing/>
        <w:jc w:val="both"/>
        <w:rPr>
          <w:rFonts w:ascii="Palatino Linotype" w:hAnsi="Palatino Linotype" w:cs="Arial"/>
          <w:i/>
        </w:rPr>
      </w:pPr>
      <w:r w:rsidRPr="00740F9D">
        <w:rPr>
          <w:rFonts w:ascii="Palatino Linotype" w:hAnsi="Palatino Linotype" w:cs="Arial"/>
          <w:i/>
        </w:rPr>
        <w:t>...”</w:t>
      </w:r>
    </w:p>
    <w:p w:rsidR="006C20C0" w:rsidRPr="00740F9D" w:rsidRDefault="006C20C0" w:rsidP="006C20C0">
      <w:pPr>
        <w:ind w:left="426" w:right="474"/>
        <w:contextualSpacing/>
        <w:jc w:val="both"/>
        <w:rPr>
          <w:rFonts w:ascii="Palatino Linotype" w:hAnsi="Palatino Linotype" w:cs="Arial"/>
          <w:i/>
        </w:rPr>
      </w:pPr>
    </w:p>
    <w:p w:rsidR="0020474E" w:rsidRPr="006C20C0" w:rsidRDefault="006C20C0" w:rsidP="006C20C0">
      <w:pPr>
        <w:numPr>
          <w:ilvl w:val="0"/>
          <w:numId w:val="15"/>
        </w:numPr>
        <w:pBdr>
          <w:top w:val="nil"/>
          <w:left w:val="nil"/>
          <w:bottom w:val="nil"/>
          <w:right w:val="nil"/>
          <w:between w:val="nil"/>
        </w:pBdr>
        <w:spacing w:line="360" w:lineRule="auto"/>
        <w:ind w:left="0" w:firstLine="0"/>
        <w:contextualSpacing/>
        <w:jc w:val="both"/>
        <w:rPr>
          <w:rFonts w:ascii="Palatino Linotype" w:hAnsi="Palatino Linotype" w:cs="Arial"/>
        </w:rPr>
      </w:pPr>
      <w:r w:rsidRPr="006C20C0">
        <w:rPr>
          <w:rFonts w:ascii="Palatino Linotype" w:hAnsi="Palatino Linotype" w:cs="Arial"/>
        </w:rPr>
        <w:t>Por otro lado,</w:t>
      </w:r>
      <w:r>
        <w:rPr>
          <w:rFonts w:ascii="Palatino Linotype" w:hAnsi="Palatino Linotype" w:cs="Arial"/>
        </w:rPr>
        <w:t xml:space="preserve"> no pasa desapercibido que el particular al momento de interpones su recurso de revisión, señalo lo siguiente: </w:t>
      </w:r>
      <w:r w:rsidRPr="006C20C0">
        <w:rPr>
          <w:rFonts w:ascii="Palatino Linotype" w:hAnsi="Palatino Linotype" w:cs="Arial"/>
          <w:i/>
        </w:rPr>
        <w:t>"...también se me sean entregados los recibos faltantes, así como los correspondientes al pago de aguinaldo ya que no se encuentran dentro de lo solicitado..."</w:t>
      </w:r>
    </w:p>
    <w:p w:rsidR="006C20C0" w:rsidRPr="006C20C0" w:rsidRDefault="006C20C0" w:rsidP="006C20C0">
      <w:pPr>
        <w:pBdr>
          <w:top w:val="nil"/>
          <w:left w:val="nil"/>
          <w:bottom w:val="nil"/>
          <w:right w:val="nil"/>
          <w:between w:val="nil"/>
        </w:pBdr>
        <w:spacing w:line="360" w:lineRule="auto"/>
        <w:contextualSpacing/>
        <w:jc w:val="both"/>
        <w:rPr>
          <w:rFonts w:ascii="Palatino Linotype" w:hAnsi="Palatino Linotype" w:cs="Arial"/>
        </w:rPr>
      </w:pPr>
    </w:p>
    <w:p w:rsidR="006C20C0" w:rsidRDefault="006C20C0" w:rsidP="006C20C0">
      <w:pPr>
        <w:numPr>
          <w:ilvl w:val="0"/>
          <w:numId w:val="15"/>
        </w:numPr>
        <w:pBdr>
          <w:top w:val="nil"/>
          <w:left w:val="nil"/>
          <w:bottom w:val="nil"/>
          <w:right w:val="nil"/>
          <w:between w:val="nil"/>
        </w:pBdr>
        <w:spacing w:line="360" w:lineRule="auto"/>
        <w:ind w:left="0" w:firstLine="0"/>
        <w:contextualSpacing/>
        <w:jc w:val="both"/>
        <w:rPr>
          <w:rFonts w:ascii="Palatino Linotype" w:hAnsi="Palatino Linotype" w:cs="Arial"/>
        </w:rPr>
      </w:pPr>
      <w:r>
        <w:rPr>
          <w:rFonts w:ascii="Palatino Linotype" w:hAnsi="Palatino Linotype" w:cs="Arial"/>
        </w:rPr>
        <w:t>Lo anterior, se considera improcedente, pues contrario a lo señalado por el particular, los recibos de pago de aguinaldo no se encuentran dentro de lo solicitado inicialmente; toda vez que en ese aspecto el particular fue enfático en requerí únicamente recibos de nómina; sin embargo al requerir adicionalmente recibos de pago de aguinaldo, se considera que está aumentando su solicitud de información vía informe justificado.</w:t>
      </w:r>
    </w:p>
    <w:p w:rsidR="006C20C0" w:rsidRPr="006C20C0" w:rsidRDefault="006C20C0" w:rsidP="006C20C0">
      <w:pPr>
        <w:rPr>
          <w:rFonts w:ascii="Palatino Linotype" w:hAnsi="Palatino Linotype" w:cs="Arial"/>
        </w:rPr>
      </w:pPr>
    </w:p>
    <w:p w:rsidR="006C20C0" w:rsidRPr="00856409" w:rsidRDefault="006C20C0" w:rsidP="006C20C0">
      <w:pPr>
        <w:numPr>
          <w:ilvl w:val="0"/>
          <w:numId w:val="15"/>
        </w:numPr>
        <w:spacing w:line="360" w:lineRule="auto"/>
        <w:ind w:left="0" w:firstLine="0"/>
        <w:contextualSpacing/>
        <w:jc w:val="both"/>
        <w:rPr>
          <w:rFonts w:ascii="Palatino Linotype" w:hAnsi="Palatino Linotype" w:cs="Arial"/>
          <w:color w:val="222222"/>
          <w:lang w:eastAsia="es-MX"/>
        </w:rPr>
      </w:pPr>
      <w:r>
        <w:rPr>
          <w:rFonts w:ascii="Palatino Linotype" w:hAnsi="Palatino Linotype" w:cs="Arial"/>
          <w:color w:val="000000" w:themeColor="text1"/>
        </w:rPr>
        <w:lastRenderedPageBreak/>
        <w:t xml:space="preserve">Por lo que se concluye que se estaría en presencia de una solicitud de información adicional, que se conoce como </w:t>
      </w:r>
      <w:r w:rsidRPr="001635AB">
        <w:rPr>
          <w:rFonts w:ascii="Palatino Linotype" w:hAnsi="Palatino Linotype" w:cs="Arial"/>
          <w:i/>
          <w:color w:val="000000" w:themeColor="text1"/>
        </w:rPr>
        <w:t xml:space="preserve">Plus </w:t>
      </w:r>
      <w:proofErr w:type="spellStart"/>
      <w:r w:rsidRPr="001635AB">
        <w:rPr>
          <w:rFonts w:ascii="Palatino Linotype" w:hAnsi="Palatino Linotype" w:cs="Arial"/>
          <w:i/>
          <w:color w:val="000000" w:themeColor="text1"/>
        </w:rPr>
        <w:t>Petitio</w:t>
      </w:r>
      <w:proofErr w:type="spellEnd"/>
      <w:r>
        <w:rPr>
          <w:rFonts w:ascii="Palatino Linotype" w:hAnsi="Palatino Linotype" w:cs="Arial"/>
          <w:i/>
          <w:color w:val="000000" w:themeColor="text1"/>
        </w:rPr>
        <w:t xml:space="preserve"> </w:t>
      </w:r>
      <w:r w:rsidRPr="00856409">
        <w:rPr>
          <w:rFonts w:ascii="Palatino Linotype" w:hAnsi="Palatino Linotype" w:cs="Arial"/>
          <w:color w:val="000000" w:themeColor="text1"/>
        </w:rPr>
        <w:t>a su petición inicial que no puede abordarse</w:t>
      </w:r>
      <w:r>
        <w:rPr>
          <w:rFonts w:ascii="Palatino Linotype" w:eastAsia="MS Mincho" w:hAnsi="Palatino Linotype" w:cs="Arial"/>
        </w:rPr>
        <w:t>.</w:t>
      </w:r>
    </w:p>
    <w:p w:rsidR="006C20C0" w:rsidRPr="00856409" w:rsidRDefault="006C20C0" w:rsidP="006C20C0">
      <w:pPr>
        <w:pStyle w:val="Prrafodelista"/>
        <w:spacing w:line="360" w:lineRule="auto"/>
        <w:rPr>
          <w:rFonts w:ascii="Palatino Linotype" w:hAnsi="Palatino Linotype" w:cs="Arial"/>
          <w:color w:val="222222"/>
          <w:lang w:eastAsia="es-MX"/>
        </w:rPr>
      </w:pPr>
    </w:p>
    <w:p w:rsidR="006C20C0" w:rsidRDefault="006C20C0" w:rsidP="006C20C0">
      <w:pPr>
        <w:numPr>
          <w:ilvl w:val="0"/>
          <w:numId w:val="15"/>
        </w:numPr>
        <w:spacing w:line="360" w:lineRule="auto"/>
        <w:ind w:left="0" w:firstLine="0"/>
        <w:contextualSpacing/>
        <w:jc w:val="both"/>
        <w:rPr>
          <w:rFonts w:ascii="Palatino Linotype" w:hAnsi="Palatino Linotype" w:cs="Arial"/>
          <w:color w:val="000000" w:themeColor="text1"/>
        </w:rPr>
      </w:pPr>
      <w:r w:rsidRPr="00856409">
        <w:rPr>
          <w:rFonts w:ascii="Palatino Linotype" w:hAnsi="Palatino Linotype"/>
          <w:color w:val="000000"/>
        </w:rPr>
        <w:t>Robusteciendo</w:t>
      </w:r>
      <w:r w:rsidRPr="00856409">
        <w:rPr>
          <w:rFonts w:ascii="Palatino Linotype"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6C20C0" w:rsidRDefault="006C20C0" w:rsidP="006C20C0">
      <w:pPr>
        <w:pStyle w:val="Prrafodelista"/>
        <w:rPr>
          <w:rFonts w:ascii="Palatino Linotype" w:hAnsi="Palatino Linotype" w:cs="Arial"/>
          <w:color w:val="000000" w:themeColor="text1"/>
        </w:rPr>
      </w:pPr>
    </w:p>
    <w:p w:rsidR="006C20C0" w:rsidRPr="00856409" w:rsidRDefault="006C20C0" w:rsidP="006C20C0">
      <w:pPr>
        <w:shd w:val="clear" w:color="auto" w:fill="FFFFFF"/>
        <w:ind w:left="426" w:right="474"/>
        <w:jc w:val="both"/>
        <w:rPr>
          <w:rFonts w:ascii="Palatino Linotype" w:hAnsi="Palatino Linotype" w:cs="Arial"/>
          <w:i/>
          <w:color w:val="000000" w:themeColor="text1"/>
          <w:lang w:val="es-ES"/>
        </w:rPr>
      </w:pPr>
      <w:r w:rsidRPr="00856409">
        <w:rPr>
          <w:rFonts w:ascii="Palatino Linotype"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6C20C0" w:rsidRPr="00856409" w:rsidRDefault="006C20C0" w:rsidP="006C20C0">
      <w:pPr>
        <w:pStyle w:val="Prrafodelista"/>
        <w:shd w:val="clear" w:color="auto" w:fill="FFFFFF"/>
        <w:ind w:left="426" w:right="567"/>
        <w:jc w:val="both"/>
        <w:rPr>
          <w:rFonts w:ascii="Palatino Linotype" w:hAnsi="Palatino Linotype" w:cs="Arial"/>
          <w:i/>
          <w:iCs/>
          <w:color w:val="000000" w:themeColor="text1"/>
        </w:rPr>
      </w:pPr>
      <w:r w:rsidRPr="00856409">
        <w:rPr>
          <w:rFonts w:ascii="Palatino Linotype" w:hAnsi="Palatino Linotype" w:cs="Arial"/>
          <w:i/>
          <w:iCs/>
          <w:color w:val="000000" w:themeColor="text1"/>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w:t>
      </w:r>
      <w:r w:rsidRPr="00856409">
        <w:rPr>
          <w:rFonts w:ascii="Palatino Linotype" w:hAnsi="Palatino Linotype" w:cs="Arial"/>
          <w:i/>
          <w:iCs/>
          <w:color w:val="000000" w:themeColor="text1"/>
        </w:rPr>
        <w:lastRenderedPageBreak/>
        <w:t>la obligación de acceso a la información se dará por cumplida cuando se pongan a disposición del solicitante para consulta en el sitio donde se encuentren.”</w:t>
      </w:r>
    </w:p>
    <w:p w:rsidR="006C20C0" w:rsidRPr="00856409" w:rsidRDefault="006C20C0" w:rsidP="006C20C0">
      <w:pPr>
        <w:pStyle w:val="Prrafodelista"/>
        <w:shd w:val="clear" w:color="auto" w:fill="FFFFFF"/>
        <w:spacing w:line="360" w:lineRule="auto"/>
        <w:ind w:left="567" w:right="567"/>
        <w:jc w:val="both"/>
        <w:rPr>
          <w:rFonts w:ascii="Palatino Linotype" w:hAnsi="Palatino Linotype" w:cs="Arial"/>
          <w:i/>
          <w:iCs/>
          <w:color w:val="000000" w:themeColor="text1"/>
        </w:rPr>
      </w:pPr>
    </w:p>
    <w:p w:rsidR="006C20C0" w:rsidRDefault="006C20C0" w:rsidP="006C20C0">
      <w:pPr>
        <w:numPr>
          <w:ilvl w:val="0"/>
          <w:numId w:val="15"/>
        </w:numPr>
        <w:spacing w:line="360" w:lineRule="auto"/>
        <w:ind w:left="0" w:firstLine="0"/>
        <w:contextualSpacing/>
        <w:jc w:val="both"/>
        <w:rPr>
          <w:rFonts w:ascii="Palatino Linotype" w:hAnsi="Palatino Linotype" w:cs="Arial"/>
          <w:color w:val="000000" w:themeColor="text1"/>
        </w:rPr>
      </w:pPr>
      <w:r w:rsidRPr="00856409">
        <w:rPr>
          <w:rFonts w:ascii="Palatino Linotype" w:hAnsi="Palatino Linotype"/>
          <w:color w:val="000000"/>
        </w:rPr>
        <w:t>Asimismo</w:t>
      </w:r>
      <w:r w:rsidRPr="00856409">
        <w:rPr>
          <w:rFonts w:ascii="Palatino Linotype" w:hAnsi="Palatino Linotype" w:cs="Arial"/>
          <w:color w:val="000000" w:themeColor="text1"/>
        </w:rPr>
        <w:t xml:space="preserve">, ha sido criterio del Instituto Nacional de Transparencia, Acceso a la </w:t>
      </w:r>
      <w:r w:rsidRPr="00856409">
        <w:rPr>
          <w:rFonts w:ascii="Palatino Linotype" w:hAnsi="Palatino Linotype"/>
          <w:color w:val="000000"/>
        </w:rPr>
        <w:t>Información</w:t>
      </w:r>
      <w:r w:rsidRPr="00856409">
        <w:rPr>
          <w:rFonts w:ascii="Palatino Linotype" w:hAnsi="Palatino Linotype" w:cs="Arial"/>
          <w:color w:val="000000" w:themeColor="text1"/>
        </w:rPr>
        <w:t xml:space="preserve"> y Protección de Datos Personales bajo el </w:t>
      </w:r>
      <w:r>
        <w:rPr>
          <w:rFonts w:ascii="Palatino Linotype" w:hAnsi="Palatino Linotype" w:cs="Arial"/>
          <w:b/>
          <w:color w:val="000000" w:themeColor="text1"/>
        </w:rPr>
        <w:t>C</w:t>
      </w:r>
      <w:r w:rsidRPr="00856409">
        <w:rPr>
          <w:rFonts w:ascii="Palatino Linotype" w:hAnsi="Palatino Linotype" w:cs="Arial"/>
          <w:b/>
          <w:color w:val="000000" w:themeColor="text1"/>
        </w:rPr>
        <w:t>riterio número</w:t>
      </w:r>
      <w:r w:rsidRPr="00856409">
        <w:rPr>
          <w:rFonts w:ascii="Palatino Linotype" w:hAnsi="Palatino Linotype" w:cs="Arial"/>
          <w:color w:val="000000" w:themeColor="text1"/>
        </w:rPr>
        <w:t xml:space="preserve"> </w:t>
      </w:r>
      <w:r w:rsidRPr="00856409">
        <w:rPr>
          <w:rFonts w:ascii="Palatino Linotype" w:hAnsi="Palatino Linotype" w:cs="Arial"/>
          <w:b/>
          <w:color w:val="000000" w:themeColor="text1"/>
        </w:rPr>
        <w:t>01/17</w:t>
      </w:r>
      <w:r w:rsidRPr="00856409">
        <w:rPr>
          <w:rFonts w:ascii="Palatino Linotype" w:hAnsi="Palatino Linotype" w:cs="Arial"/>
          <w:color w:val="000000" w:themeColor="text1"/>
        </w:rPr>
        <w:t xml:space="preserve"> que </w:t>
      </w:r>
      <w:r w:rsidRPr="00856409">
        <w:rPr>
          <w:rFonts w:ascii="Palatino Linotype" w:hAnsi="Palatino Linotype" w:cs="Arial"/>
          <w:bCs/>
          <w:color w:val="000000" w:themeColor="text1"/>
          <w:u w:val="single"/>
        </w:rPr>
        <w:t>resulta improcedente ampliar las solicitudes de información pública</w:t>
      </w:r>
      <w:r w:rsidRPr="00856409">
        <w:rPr>
          <w:rFonts w:ascii="Palatino Linotype" w:hAnsi="Palatino Linotype" w:cs="Arial"/>
          <w:color w:val="000000" w:themeColor="text1"/>
          <w:u w:val="single"/>
        </w:rPr>
        <w:t xml:space="preserve"> o de datos personales a través de la interposición del recurso de revisión</w:t>
      </w:r>
      <w:r w:rsidRPr="00856409">
        <w:rPr>
          <w:rFonts w:ascii="Palatino Linotype" w:hAnsi="Palatino Linotype" w:cs="Arial"/>
          <w:color w:val="000000" w:themeColor="text1"/>
        </w:rPr>
        <w:t xml:space="preserve">, como se estima acontece en el presente asunto, al aumentar datos a la solicitud inicial, </w:t>
      </w:r>
      <w:r w:rsidRPr="00856409">
        <w:rPr>
          <w:rFonts w:ascii="Palatino Linotype" w:hAnsi="Palatino Linotype" w:cs="Arial"/>
          <w:b/>
          <w:bCs/>
          <w:color w:val="000000" w:themeColor="text1"/>
        </w:rPr>
        <w:t>por lo que se insiste no se puede entrar al estudio de la información novedosa</w:t>
      </w:r>
      <w:r w:rsidRPr="00856409">
        <w:rPr>
          <w:rFonts w:ascii="Palatino Linotype" w:hAnsi="Palatino Linotype" w:cs="Arial"/>
          <w:color w:val="000000" w:themeColor="text1"/>
        </w:rPr>
        <w:t>, criterio que es de la literalidad siguiente:</w:t>
      </w:r>
    </w:p>
    <w:p w:rsidR="006C20C0" w:rsidRPr="00856409" w:rsidRDefault="006C20C0" w:rsidP="006C20C0">
      <w:pPr>
        <w:spacing w:line="360" w:lineRule="auto"/>
        <w:contextualSpacing/>
        <w:jc w:val="both"/>
        <w:rPr>
          <w:rFonts w:ascii="Palatino Linotype" w:hAnsi="Palatino Linotype" w:cs="Arial"/>
          <w:color w:val="000000" w:themeColor="text1"/>
        </w:rPr>
      </w:pPr>
    </w:p>
    <w:p w:rsidR="006C20C0" w:rsidRPr="00A11602" w:rsidRDefault="006C20C0" w:rsidP="006C20C0">
      <w:pPr>
        <w:ind w:left="426" w:right="567"/>
        <w:jc w:val="both"/>
        <w:rPr>
          <w:rFonts w:ascii="Palatino Linotype" w:hAnsi="Palatino Linotype" w:cs="Arial"/>
          <w:b/>
          <w:i/>
        </w:rPr>
      </w:pPr>
      <w:r w:rsidRPr="00856409">
        <w:rPr>
          <w:rFonts w:ascii="Palatino Linotype" w:hAnsi="Palatino Linotype" w:cs="Arial"/>
          <w:b/>
          <w:i/>
        </w:rPr>
        <w:t xml:space="preserve">“Es improcedente ampliar las solicitudes de acceso a información, a través de la interposición del recurso de revisión. </w:t>
      </w:r>
      <w:r w:rsidRPr="00856409">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180C74" w:rsidRDefault="00180C74" w:rsidP="00180C74">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rsidR="00C10217" w:rsidRPr="00C10217" w:rsidRDefault="00C10217" w:rsidP="00C10217">
      <w:pPr>
        <w:numPr>
          <w:ilvl w:val="0"/>
          <w:numId w:val="15"/>
        </w:numPr>
        <w:spacing w:line="360" w:lineRule="auto"/>
        <w:ind w:left="0" w:firstLine="0"/>
        <w:contextualSpacing/>
        <w:jc w:val="both"/>
        <w:rPr>
          <w:rFonts w:ascii="Palatino Linotype" w:hAnsi="Palatino Linotype" w:cs="Arial"/>
          <w:i/>
          <w:color w:val="000000" w:themeColor="text1"/>
        </w:rPr>
      </w:pPr>
      <w:r>
        <w:rPr>
          <w:rFonts w:ascii="Palatino Linotype" w:hAnsi="Palatino Linotype"/>
          <w:color w:val="000000"/>
        </w:rPr>
        <w:t>En ese sentid</w:t>
      </w:r>
      <w:r w:rsidR="0076333B">
        <w:rPr>
          <w:rFonts w:ascii="Palatino Linotype" w:hAnsi="Palatino Linotype"/>
          <w:color w:val="000000"/>
        </w:rPr>
        <w:t>o</w:t>
      </w:r>
      <w:r>
        <w:rPr>
          <w:rFonts w:ascii="Palatino Linotype" w:hAnsi="Palatino Linotype"/>
          <w:color w:val="000000"/>
        </w:rPr>
        <w:t xml:space="preserve">, recordar que en el recurso de revisión </w:t>
      </w:r>
      <w:r w:rsidRPr="00C10217">
        <w:rPr>
          <w:rFonts w:ascii="Palatino Linotype" w:hAnsi="Palatino Linotype"/>
          <w:b/>
          <w:color w:val="000000"/>
        </w:rPr>
        <w:t>00680/INFOEM/IP/RR/2023</w:t>
      </w:r>
      <w:r>
        <w:rPr>
          <w:rFonts w:ascii="Palatino Linotype" w:hAnsi="Palatino Linotype"/>
          <w:b/>
          <w:color w:val="000000"/>
        </w:rPr>
        <w:t xml:space="preserve">, </w:t>
      </w:r>
      <w:r w:rsidRPr="00C10217">
        <w:rPr>
          <w:rFonts w:ascii="Palatino Linotype" w:hAnsi="Palatino Linotype"/>
          <w:color w:val="000000"/>
        </w:rPr>
        <w:t>si</w:t>
      </w:r>
      <w:r>
        <w:rPr>
          <w:rFonts w:ascii="Palatino Linotype" w:hAnsi="Palatino Linotype"/>
          <w:b/>
          <w:color w:val="000000"/>
        </w:rPr>
        <w:t xml:space="preserve"> </w:t>
      </w:r>
      <w:r>
        <w:rPr>
          <w:rFonts w:ascii="Palatino Linotype" w:hAnsi="Palatino Linotype"/>
          <w:color w:val="000000"/>
        </w:rPr>
        <w:t xml:space="preserve">fueron requeridos los recibos de pago de nómina y prima vacacional; sin embargo tampoco es dable entrar al estudio de las documentales de referencia por parte de dicho recurso de revisión en virtud que en el mismo los recibos de pago fueron también actos consentidos; toda vez que de dicho escrito </w:t>
      </w:r>
      <w:proofErr w:type="spellStart"/>
      <w:r>
        <w:rPr>
          <w:rFonts w:ascii="Palatino Linotype" w:hAnsi="Palatino Linotype"/>
          <w:color w:val="000000"/>
        </w:rPr>
        <w:t>recursal</w:t>
      </w:r>
      <w:proofErr w:type="spellEnd"/>
      <w:r>
        <w:rPr>
          <w:rFonts w:ascii="Palatino Linotype" w:hAnsi="Palatino Linotype"/>
          <w:color w:val="000000"/>
        </w:rPr>
        <w:t xml:space="preserve"> únicamente se inconformo por lo siguiente: </w:t>
      </w:r>
      <w:r w:rsidRPr="00C10217">
        <w:rPr>
          <w:rFonts w:ascii="Palatino Linotype" w:hAnsi="Palatino Linotype"/>
          <w:i/>
          <w:color w:val="000000"/>
        </w:rPr>
        <w:t xml:space="preserve">“…requerí que se me explicara el </w:t>
      </w:r>
      <w:proofErr w:type="spellStart"/>
      <w:r w:rsidRPr="00C10217">
        <w:rPr>
          <w:rFonts w:ascii="Palatino Linotype" w:hAnsi="Palatino Linotype"/>
          <w:i/>
          <w:color w:val="000000"/>
        </w:rPr>
        <w:t>por que</w:t>
      </w:r>
      <w:proofErr w:type="spellEnd"/>
      <w:r w:rsidRPr="00C10217">
        <w:rPr>
          <w:rFonts w:ascii="Palatino Linotype" w:hAnsi="Palatino Linotype"/>
          <w:i/>
          <w:color w:val="000000"/>
        </w:rPr>
        <w:t xml:space="preserve"> no se había aplicado para todos los trabajadores los 70 días de </w:t>
      </w:r>
      <w:r w:rsidRPr="00C10217">
        <w:rPr>
          <w:rFonts w:ascii="Palatino Linotype" w:hAnsi="Palatino Linotype"/>
          <w:i/>
          <w:color w:val="000000"/>
        </w:rPr>
        <w:lastRenderedPageBreak/>
        <w:t>aguinaldo, sin darme razón, ya que si bien se ve dentro de la información remitida hay una variación de aguinaldos entre mandos medios, superiores y administrativo, ya que no coinciden los días entre unos y otros de manera proporcional o en este caso acordada en cabildo…”</w:t>
      </w:r>
    </w:p>
    <w:p w:rsidR="00C10217" w:rsidRPr="00C10217" w:rsidRDefault="00C10217" w:rsidP="00C10217">
      <w:pPr>
        <w:spacing w:line="360" w:lineRule="auto"/>
        <w:contextualSpacing/>
        <w:jc w:val="both"/>
        <w:rPr>
          <w:rFonts w:ascii="Palatino Linotype" w:hAnsi="Palatino Linotype" w:cs="Arial"/>
          <w:i/>
          <w:color w:val="000000" w:themeColor="text1"/>
        </w:rPr>
      </w:pPr>
    </w:p>
    <w:p w:rsidR="00C10217" w:rsidRPr="00C10217" w:rsidRDefault="00C10217" w:rsidP="00C10217">
      <w:pPr>
        <w:numPr>
          <w:ilvl w:val="0"/>
          <w:numId w:val="15"/>
        </w:numPr>
        <w:spacing w:line="360" w:lineRule="auto"/>
        <w:ind w:left="0" w:firstLine="0"/>
        <w:contextualSpacing/>
        <w:jc w:val="both"/>
        <w:rPr>
          <w:rFonts w:ascii="Palatino Linotype" w:hAnsi="Palatino Linotype" w:cs="Arial"/>
          <w:color w:val="000000" w:themeColor="text1"/>
        </w:rPr>
      </w:pPr>
      <w:r>
        <w:rPr>
          <w:rFonts w:ascii="Palatino Linotype" w:hAnsi="Palatino Linotype"/>
          <w:color w:val="000000"/>
        </w:rPr>
        <w:t xml:space="preserve">En ese sentido, recordar que en la solicitud de información inicial se requirió </w:t>
      </w:r>
      <w:r w:rsidRPr="00C10217">
        <w:rPr>
          <w:rFonts w:ascii="Palatino Linotype" w:hAnsi="Palatino Linotype"/>
          <w:i/>
          <w:color w:val="000000"/>
        </w:rPr>
        <w:t>“En caso de que no se haya distribuido la prima vacacional y el aguinaldo de acuerdo a lo aprobado en la 10ma sesión extraordinaria de cabildo, solicito la motivación y fundamentación del incumplimiento a esta aprobación”</w:t>
      </w:r>
    </w:p>
    <w:p w:rsidR="00C10217" w:rsidRDefault="00C10217" w:rsidP="00C10217">
      <w:pPr>
        <w:pStyle w:val="Prrafodelista"/>
        <w:rPr>
          <w:rFonts w:ascii="Palatino Linotype" w:hAnsi="Palatino Linotype" w:cs="Arial"/>
          <w:color w:val="000000" w:themeColor="text1"/>
        </w:rPr>
      </w:pPr>
    </w:p>
    <w:p w:rsidR="00C10217" w:rsidRDefault="00C10217" w:rsidP="00A10DEC">
      <w:pPr>
        <w:numPr>
          <w:ilvl w:val="0"/>
          <w:numId w:val="15"/>
        </w:numPr>
        <w:spacing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Contexto que no coincide con los motivos de inconformidad, toda vez que de la respuesta se aprecia que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remite recibos de pago de aguinaldo y prima vacacional</w:t>
      </w:r>
      <w:r w:rsidR="00A10DEC">
        <w:rPr>
          <w:rFonts w:ascii="Palatino Linotype" w:hAnsi="Palatino Linotype" w:cs="Arial"/>
          <w:color w:val="000000" w:themeColor="text1"/>
        </w:rPr>
        <w:t xml:space="preserve">, de lo que se colige que se distribuyeron los pagos de referencia; no obstante el particular vía recurso de revisión, pretende </w:t>
      </w:r>
      <w:r w:rsidR="00A10DEC" w:rsidRPr="00A10DEC">
        <w:rPr>
          <w:rFonts w:ascii="Palatino Linotype" w:hAnsi="Palatino Linotype" w:cs="Arial"/>
          <w:color w:val="000000" w:themeColor="text1"/>
        </w:rPr>
        <w:t>que se le emita una explicación del por qué</w:t>
      </w:r>
      <w:r w:rsidR="00A10DEC">
        <w:rPr>
          <w:rFonts w:ascii="Palatino Linotype" w:hAnsi="Palatino Linotype" w:cs="Arial"/>
          <w:color w:val="000000" w:themeColor="text1"/>
        </w:rPr>
        <w:t>,</w:t>
      </w:r>
      <w:r w:rsidR="00A10DEC" w:rsidRPr="00A10DEC">
        <w:rPr>
          <w:rFonts w:ascii="Palatino Linotype" w:hAnsi="Palatino Linotype" w:cs="Arial"/>
          <w:color w:val="000000" w:themeColor="text1"/>
        </w:rPr>
        <w:t xml:space="preserve"> no se había aplicado a todos los trabajadores 70 días de aguinaldo</w:t>
      </w:r>
      <w:r w:rsidR="00A10DEC">
        <w:rPr>
          <w:rFonts w:ascii="Palatino Linotype" w:hAnsi="Palatino Linotype" w:cs="Arial"/>
          <w:color w:val="000000" w:themeColor="text1"/>
        </w:rPr>
        <w:t xml:space="preserve">, contexto que se considera una </w:t>
      </w:r>
      <w:r w:rsidR="00A10DEC" w:rsidRPr="00A10DEC">
        <w:rPr>
          <w:rFonts w:ascii="Palatino Linotype" w:hAnsi="Palatino Linotype" w:cs="Arial"/>
          <w:i/>
          <w:color w:val="000000" w:themeColor="text1"/>
        </w:rPr>
        <w:t xml:space="preserve">plus </w:t>
      </w:r>
      <w:proofErr w:type="spellStart"/>
      <w:r w:rsidR="00A10DEC" w:rsidRPr="00A10DEC">
        <w:rPr>
          <w:rFonts w:ascii="Palatino Linotype" w:hAnsi="Palatino Linotype" w:cs="Arial"/>
          <w:i/>
          <w:color w:val="000000" w:themeColor="text1"/>
        </w:rPr>
        <w:t>petitio</w:t>
      </w:r>
      <w:proofErr w:type="spellEnd"/>
      <w:r w:rsidR="00A10DEC">
        <w:rPr>
          <w:rFonts w:ascii="Palatino Linotype" w:hAnsi="Palatino Linotype" w:cs="Arial"/>
          <w:color w:val="000000" w:themeColor="text1"/>
        </w:rPr>
        <w:t xml:space="preserve"> de conformidad a los argumentos anteriormente vertidos.</w:t>
      </w:r>
    </w:p>
    <w:p w:rsidR="00A10DEC" w:rsidRDefault="00A10DEC" w:rsidP="00A10DEC">
      <w:pPr>
        <w:pStyle w:val="Prrafodelista"/>
        <w:rPr>
          <w:rFonts w:ascii="Palatino Linotype" w:hAnsi="Palatino Linotype" w:cs="Arial"/>
          <w:color w:val="000000" w:themeColor="text1"/>
        </w:rPr>
      </w:pPr>
    </w:p>
    <w:p w:rsidR="00A10DEC" w:rsidRPr="00341B17" w:rsidRDefault="00A10DEC" w:rsidP="00A10DEC">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s="Arial"/>
          <w:color w:val="000000" w:themeColor="text1"/>
        </w:rPr>
        <w:t xml:space="preserve">A más de lo anterior, se considera inatendible el motivo de inconformidad, en virtud de que se considera </w:t>
      </w:r>
      <w:r>
        <w:rPr>
          <w:rFonts w:ascii="Palatino Linotype" w:hAnsi="Palatino Linotype"/>
          <w:color w:val="000000" w:themeColor="text1"/>
        </w:rPr>
        <w:t xml:space="preserve">no constituye un </w:t>
      </w:r>
      <w:r w:rsidRPr="00341B17">
        <w:rPr>
          <w:rFonts w:ascii="Palatino Linotype" w:hAnsi="Palatino Linotype"/>
          <w:color w:val="000000" w:themeColor="text1"/>
        </w:rPr>
        <w:t xml:space="preserve">ejercicio de derecho de acceso a la información, sino que al tratarse, como tiene a bien referir el propio solicitante, a </w:t>
      </w:r>
      <w:r>
        <w:rPr>
          <w:rFonts w:ascii="Palatino Linotype" w:hAnsi="Palatino Linotype"/>
          <w:color w:val="000000" w:themeColor="text1"/>
        </w:rPr>
        <w:t xml:space="preserve">una </w:t>
      </w:r>
      <w:r w:rsidRPr="00341B17">
        <w:rPr>
          <w:rFonts w:ascii="Palatino Linotype" w:hAnsi="Palatino Linotype"/>
          <w:color w:val="000000" w:themeColor="text1"/>
        </w:rPr>
        <w:t>“</w:t>
      </w:r>
      <w:r>
        <w:rPr>
          <w:rFonts w:ascii="Palatino Linotype" w:hAnsi="Palatino Linotype"/>
          <w:color w:val="000000" w:themeColor="text1"/>
        </w:rPr>
        <w:t>explicación</w:t>
      </w:r>
      <w:r w:rsidRPr="00341B17">
        <w:rPr>
          <w:rFonts w:ascii="Palatino Linotype" w:hAnsi="Palatino Linotype"/>
          <w:color w:val="000000" w:themeColor="text1"/>
        </w:rPr>
        <w:t>”, se puede concluir que corresponden al ejercicio del derecho de petición.</w:t>
      </w:r>
    </w:p>
    <w:p w:rsidR="00A10DEC" w:rsidRPr="007A52F3" w:rsidRDefault="00A10DEC" w:rsidP="00A10DEC">
      <w:pPr>
        <w:rPr>
          <w:rFonts w:ascii="Palatino Linotype" w:hAnsi="Palatino Linotype"/>
          <w:color w:val="000000" w:themeColor="text1"/>
        </w:rPr>
      </w:pPr>
    </w:p>
    <w:p w:rsidR="00A10DEC" w:rsidRPr="00341B17" w:rsidRDefault="00A10DEC" w:rsidP="00A10DEC">
      <w:pPr>
        <w:pStyle w:val="Prrafodelista"/>
        <w:numPr>
          <w:ilvl w:val="0"/>
          <w:numId w:val="15"/>
        </w:numPr>
        <w:tabs>
          <w:tab w:val="left" w:pos="426"/>
        </w:tabs>
        <w:spacing w:line="360" w:lineRule="auto"/>
        <w:ind w:left="0" w:right="51" w:firstLine="0"/>
        <w:jc w:val="both"/>
        <w:rPr>
          <w:rFonts w:ascii="Palatino Linotype" w:hAnsi="Palatino Linotype" w:cs="Arial"/>
          <w:color w:val="000000" w:themeColor="text1"/>
        </w:rPr>
      </w:pPr>
      <w:r w:rsidRPr="00341B17">
        <w:rPr>
          <w:rFonts w:ascii="Palatino Linotype" w:hAnsi="Palatino Linotype"/>
          <w:color w:val="000000"/>
        </w:rPr>
        <w:lastRenderedPageBreak/>
        <w:t xml:space="preserve">Lo anterior, porque </w:t>
      </w:r>
      <w:r w:rsidRPr="00341B17">
        <w:rPr>
          <w:rFonts w:ascii="Palatino Linotype" w:hAnsi="Palatino Linotype"/>
        </w:rPr>
        <w:t>el derecho de acceso a la información, es un derecho</w:t>
      </w:r>
      <w:r w:rsidRPr="00341B17">
        <w:rPr>
          <w:rFonts w:ascii="Palatino Linotype" w:hAnsi="Palatino Linotype"/>
          <w:u w:val="single"/>
        </w:rPr>
        <w:t xml:space="preserve"> </w:t>
      </w:r>
      <w:r w:rsidRPr="00341B17">
        <w:rPr>
          <w:rFonts w:ascii="Palatino Linotype" w:hAnsi="Palatino Linotype"/>
          <w:color w:val="000000" w:themeColor="text1"/>
        </w:rPr>
        <w:t>que</w:t>
      </w:r>
      <w:r w:rsidRPr="00341B17">
        <w:rPr>
          <w:rFonts w:ascii="Palatino Linotype" w:hAnsi="Palatino Linotype"/>
          <w:u w:val="single"/>
        </w:rPr>
        <w:t xml:space="preserve"> versa </w:t>
      </w:r>
      <w:r w:rsidRPr="00341B17">
        <w:rPr>
          <w:rFonts w:ascii="Palatino Linotype" w:hAnsi="Palatino Linotype"/>
          <w:color w:val="000000" w:themeColor="text1"/>
          <w:u w:val="single"/>
        </w:rPr>
        <w:t>sobre</w:t>
      </w:r>
      <w:r w:rsidRPr="00341B17">
        <w:rPr>
          <w:rFonts w:ascii="Palatino Linotype" w:hAnsi="Palatino Linotype"/>
          <w:u w:val="single"/>
        </w:rPr>
        <w:t xml:space="preserve"> documentos, por lo que realizar preguntas, dudas o cuestionamientos</w:t>
      </w:r>
      <w:r w:rsidRPr="00341B17">
        <w:rPr>
          <w:rFonts w:ascii="Palatino Linotype" w:hAnsi="Palatino Linotype"/>
        </w:rPr>
        <w:t xml:space="preserve">, ciertamente </w:t>
      </w:r>
      <w:r w:rsidRPr="00341B17">
        <w:rPr>
          <w:rFonts w:ascii="Palatino Linotype" w:hAnsi="Palatino Linotype" w:cs="Arial"/>
          <w:color w:val="000000" w:themeColor="text1"/>
        </w:rPr>
        <w:t>debe entenderse por derecho de petición y no por derecho de acceso a la información pública.</w:t>
      </w:r>
    </w:p>
    <w:p w:rsidR="00A10DEC" w:rsidRPr="00341B17" w:rsidRDefault="00A10DEC" w:rsidP="00A10DEC">
      <w:pPr>
        <w:pStyle w:val="Prrafodelista"/>
        <w:rPr>
          <w:rFonts w:ascii="Palatino Linotype" w:hAnsi="Palatino Linotype" w:cs="Arial"/>
          <w:color w:val="000000" w:themeColor="text1"/>
        </w:rPr>
      </w:pPr>
    </w:p>
    <w:p w:rsidR="00A10DEC" w:rsidRDefault="00A10DEC" w:rsidP="00A10DEC">
      <w:pPr>
        <w:numPr>
          <w:ilvl w:val="0"/>
          <w:numId w:val="15"/>
        </w:numPr>
        <w:spacing w:line="360" w:lineRule="auto"/>
        <w:ind w:left="0" w:firstLine="0"/>
        <w:contextualSpacing/>
        <w:jc w:val="both"/>
        <w:rPr>
          <w:rFonts w:ascii="Palatino Linotype" w:hAnsi="Palatino Linotype" w:cs="Arial"/>
          <w:color w:val="000000" w:themeColor="text1"/>
        </w:rPr>
      </w:pPr>
      <w:r>
        <w:rPr>
          <w:rFonts w:ascii="Palatino Linotype" w:hAnsi="Palatino Linotype"/>
          <w:color w:val="000000"/>
        </w:rPr>
        <w:t xml:space="preserve">En ese sentido es dable señalar que </w:t>
      </w:r>
      <w:r>
        <w:rPr>
          <w:rFonts w:ascii="Palatino Linotype" w:hAnsi="Palatino Linotype"/>
        </w:rPr>
        <w:t xml:space="preserve">el derecho de acceso a la información, </w:t>
      </w:r>
      <w:r w:rsidRPr="002D01BB">
        <w:rPr>
          <w:rFonts w:ascii="Palatino Linotype" w:hAnsi="Palatino Linotype"/>
        </w:rPr>
        <w:t xml:space="preserve">es un </w:t>
      </w:r>
      <w:r w:rsidRPr="00280F11">
        <w:rPr>
          <w:rFonts w:ascii="Palatino Linotype" w:hAnsi="Palatino Linotype"/>
        </w:rPr>
        <w:t>derecho</w:t>
      </w:r>
      <w:r w:rsidRPr="0095341F">
        <w:rPr>
          <w:rFonts w:ascii="Palatino Linotype" w:hAnsi="Palatino Linotype"/>
          <w:u w:val="single"/>
        </w:rPr>
        <w:t xml:space="preserve"> </w:t>
      </w:r>
      <w:r w:rsidRPr="001017C1">
        <w:rPr>
          <w:rFonts w:ascii="Palatino Linotype" w:hAnsi="Palatino Linotype"/>
          <w:b/>
          <w:u w:val="single"/>
        </w:rPr>
        <w:t xml:space="preserve">que versa </w:t>
      </w:r>
      <w:r w:rsidRPr="001017C1">
        <w:rPr>
          <w:rFonts w:ascii="Palatino Linotype" w:hAnsi="Palatino Linotype"/>
          <w:b/>
          <w:color w:val="000000" w:themeColor="text1"/>
          <w:u w:val="single"/>
        </w:rPr>
        <w:t>sobre</w:t>
      </w:r>
      <w:r w:rsidRPr="001017C1">
        <w:rPr>
          <w:rFonts w:ascii="Palatino Linotype" w:hAnsi="Palatino Linotype"/>
          <w:b/>
          <w:u w:val="single"/>
        </w:rPr>
        <w:t xml:space="preserve"> documentos, por lo que realizar preguntas, dudas o cuestionamientos</w:t>
      </w:r>
      <w:r w:rsidRPr="0095341F">
        <w:rPr>
          <w:rFonts w:ascii="Palatino Linotype" w:hAnsi="Palatino Linotype"/>
        </w:rPr>
        <w:t xml:space="preserve">, </w:t>
      </w:r>
      <w:r>
        <w:rPr>
          <w:rFonts w:ascii="Palatino Linotype" w:hAnsi="Palatino Linotype"/>
        </w:rPr>
        <w:t xml:space="preserve">ciertamente </w:t>
      </w:r>
      <w:r w:rsidRPr="00594166">
        <w:rPr>
          <w:rFonts w:ascii="Palatino Linotype" w:hAnsi="Palatino Linotype" w:cs="Arial"/>
          <w:color w:val="000000" w:themeColor="text1"/>
        </w:rPr>
        <w:t xml:space="preserve">debe entenderse por derecho de petición y </w:t>
      </w:r>
      <w:r>
        <w:rPr>
          <w:rFonts w:ascii="Palatino Linotype" w:hAnsi="Palatino Linotype" w:cs="Arial"/>
          <w:color w:val="000000" w:themeColor="text1"/>
        </w:rPr>
        <w:t xml:space="preserve">no </w:t>
      </w:r>
      <w:r w:rsidRPr="00594166">
        <w:rPr>
          <w:rFonts w:ascii="Palatino Linotype" w:hAnsi="Palatino Linotype" w:cs="Arial"/>
          <w:color w:val="000000" w:themeColor="text1"/>
        </w:rPr>
        <w:t>por derecho de acceso a la información pública.</w:t>
      </w:r>
    </w:p>
    <w:p w:rsidR="00A10DEC" w:rsidRPr="00FC63E0" w:rsidRDefault="00A10DEC" w:rsidP="00A10DEC">
      <w:pPr>
        <w:pStyle w:val="Prrafodelista"/>
        <w:rPr>
          <w:rFonts w:ascii="Palatino Linotype" w:hAnsi="Palatino Linotype" w:cs="Arial"/>
          <w:color w:val="000000" w:themeColor="text1"/>
        </w:rPr>
      </w:pPr>
    </w:p>
    <w:p w:rsidR="00A10DEC" w:rsidRPr="00594166" w:rsidRDefault="00A10DEC" w:rsidP="00A10DEC">
      <w:pPr>
        <w:numPr>
          <w:ilvl w:val="0"/>
          <w:numId w:val="15"/>
        </w:numPr>
        <w:spacing w:line="360" w:lineRule="auto"/>
        <w:ind w:left="0" w:firstLine="0"/>
        <w:contextualSpacing/>
        <w:jc w:val="both"/>
        <w:rPr>
          <w:rFonts w:ascii="Palatino Linotype" w:hAnsi="Palatino Linotype" w:cs="Arial"/>
          <w:i/>
          <w:color w:val="000000" w:themeColor="text1"/>
        </w:rPr>
      </w:pPr>
      <w:r w:rsidRPr="00D41CFF">
        <w:rPr>
          <w:rFonts w:ascii="Palatino Linotype" w:hAnsi="Palatino Linotype"/>
        </w:rPr>
        <w:t>Por</w:t>
      </w:r>
      <w:r w:rsidRPr="00594166">
        <w:rPr>
          <w:rFonts w:ascii="Palatino Linotype" w:hAnsi="Palatino Linotype" w:cs="Arial"/>
          <w:color w:val="000000" w:themeColor="text1"/>
        </w:rPr>
        <w:t xml:space="preserve"> lo que respecta a la definición de derecho de petición, el Maestro Ignacio Burgoa </w:t>
      </w:r>
      <w:r w:rsidRPr="00F03D89">
        <w:rPr>
          <w:rFonts w:ascii="Palatino Linotype" w:hAnsi="Palatino Linotype"/>
          <w:color w:val="000000"/>
        </w:rPr>
        <w:t>Orihuela</w:t>
      </w:r>
      <w:r w:rsidRPr="00594166">
        <w:rPr>
          <w:rFonts w:ascii="Palatino Linotype" w:hAnsi="Palatino Linotype" w:cs="Arial"/>
          <w:color w:val="000000" w:themeColor="text1"/>
        </w:rPr>
        <w:t xml:space="preserve"> </w:t>
      </w:r>
      <w:r w:rsidRPr="009614E4">
        <w:rPr>
          <w:rFonts w:ascii="Palatino Linotype" w:hAnsi="Palatino Linotype"/>
          <w:color w:val="000000"/>
        </w:rPr>
        <w:t>refiere</w:t>
      </w:r>
      <w:r w:rsidRPr="00594166">
        <w:rPr>
          <w:rFonts w:ascii="Palatino Linotype" w:hAnsi="Palatino Linotype" w:cs="Arial"/>
          <w:color w:val="000000" w:themeColor="text1"/>
        </w:rPr>
        <w:t>: “…</w:t>
      </w:r>
      <w:r w:rsidRPr="00594166">
        <w:rPr>
          <w:rFonts w:ascii="Palatino Linotype" w:hAnsi="Palatino Linotype" w:cs="Arial"/>
          <w:i/>
          <w:color w:val="000000" w:themeColor="text1"/>
        </w:rPr>
        <w:t xml:space="preserve">es un Derecho Público subjetivo individual de la Garantía </w:t>
      </w:r>
      <w:r w:rsidRPr="00280F11">
        <w:rPr>
          <w:rFonts w:ascii="Palatino Linotype" w:hAnsi="Palatino Linotype"/>
          <w:color w:val="000000"/>
        </w:rPr>
        <w:t>Respectiva</w:t>
      </w:r>
      <w:r w:rsidRPr="00594166">
        <w:rPr>
          <w:rFonts w:ascii="Palatino Linotype" w:hAnsi="Palatino Linotype" w:cs="Arial"/>
          <w:i/>
          <w:color w:val="000000" w:themeColor="text1"/>
        </w:rPr>
        <w:t xml:space="preserve">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94166">
        <w:rPr>
          <w:rStyle w:val="Refdenotaalpie"/>
          <w:rFonts w:ascii="Palatino Linotype" w:hAnsi="Palatino Linotype"/>
          <w:i/>
          <w:color w:val="000000" w:themeColor="text1"/>
        </w:rPr>
        <w:t xml:space="preserve"> </w:t>
      </w:r>
      <w:r w:rsidRPr="00594166">
        <w:rPr>
          <w:rStyle w:val="Refdenotaalpie"/>
          <w:rFonts w:ascii="Palatino Linotype" w:hAnsi="Palatino Linotype"/>
          <w:i/>
          <w:color w:val="000000" w:themeColor="text1"/>
        </w:rPr>
        <w:footnoteReference w:id="1"/>
      </w:r>
      <w:r w:rsidRPr="00594166">
        <w:rPr>
          <w:rFonts w:ascii="Palatino Linotype" w:hAnsi="Palatino Linotype"/>
          <w:i/>
          <w:color w:val="000000" w:themeColor="text1"/>
        </w:rPr>
        <w:t>“</w:t>
      </w:r>
      <w:r w:rsidRPr="00594166">
        <w:rPr>
          <w:rFonts w:ascii="Palatino Linotype" w:hAnsi="Palatino Linotype" w:cs="Arial"/>
          <w:i/>
          <w:color w:val="000000" w:themeColor="text1"/>
        </w:rPr>
        <w:t xml:space="preserve"> (Sic)</w:t>
      </w:r>
    </w:p>
    <w:p w:rsidR="00A10DEC" w:rsidRPr="00594166" w:rsidRDefault="00A10DEC" w:rsidP="00A10DEC">
      <w:pPr>
        <w:pStyle w:val="Prrafodelista"/>
        <w:rPr>
          <w:rFonts w:ascii="Palatino Linotype" w:hAnsi="Palatino Linotype" w:cs="Arial"/>
          <w:i/>
          <w:color w:val="000000" w:themeColor="text1"/>
        </w:rPr>
      </w:pPr>
    </w:p>
    <w:p w:rsidR="00A10DEC" w:rsidRDefault="00A10DEC" w:rsidP="00A10DEC">
      <w:pPr>
        <w:numPr>
          <w:ilvl w:val="0"/>
          <w:numId w:val="15"/>
        </w:numPr>
        <w:spacing w:line="360" w:lineRule="auto"/>
        <w:ind w:left="0" w:firstLine="0"/>
        <w:contextualSpacing/>
        <w:jc w:val="both"/>
        <w:rPr>
          <w:rFonts w:ascii="Palatino Linotype" w:hAnsi="Palatino Linotype" w:cs="Arial"/>
          <w:i/>
          <w:color w:val="000000" w:themeColor="text1"/>
        </w:rPr>
      </w:pPr>
      <w:r w:rsidRPr="00594166">
        <w:rPr>
          <w:rFonts w:ascii="Palatino Linotype" w:hAnsi="Palatino Linotype" w:cs="Arial"/>
          <w:color w:val="000000" w:themeColor="text1"/>
        </w:rPr>
        <w:t xml:space="preserve">Por </w:t>
      </w:r>
      <w:r w:rsidRPr="00D41CFF">
        <w:rPr>
          <w:rFonts w:ascii="Palatino Linotype" w:hAnsi="Palatino Linotype"/>
        </w:rPr>
        <w:t>su</w:t>
      </w:r>
      <w:r w:rsidRPr="00594166">
        <w:rPr>
          <w:rFonts w:ascii="Palatino Linotype" w:hAnsi="Palatino Linotype" w:cs="Arial"/>
          <w:color w:val="000000" w:themeColor="text1"/>
        </w:rPr>
        <w:t xml:space="preserve"> parte, </w:t>
      </w:r>
      <w:r w:rsidRPr="00280F11">
        <w:rPr>
          <w:rFonts w:ascii="Palatino Linotype" w:hAnsi="Palatino Linotype"/>
        </w:rPr>
        <w:t>David</w:t>
      </w:r>
      <w:r w:rsidRPr="00594166">
        <w:rPr>
          <w:rFonts w:ascii="Palatino Linotype" w:hAnsi="Palatino Linotype" w:cs="Arial"/>
          <w:color w:val="000000" w:themeColor="text1"/>
        </w:rPr>
        <w:t xml:space="preserve"> Cienfuegos Salgado, concibe al derecho de petición como </w:t>
      </w:r>
      <w:r w:rsidRPr="00594166">
        <w:rPr>
          <w:rFonts w:ascii="Palatino Linotype" w:hAnsi="Palatino Linotype" w:cs="Arial"/>
          <w:i/>
          <w:color w:val="000000" w:themeColor="text1"/>
        </w:rPr>
        <w:t xml:space="preserve">“el </w:t>
      </w:r>
      <w:r w:rsidRPr="00F03D89">
        <w:rPr>
          <w:rFonts w:ascii="Palatino Linotype" w:hAnsi="Palatino Linotype"/>
        </w:rPr>
        <w:t>derecho</w:t>
      </w:r>
      <w:r w:rsidRPr="00594166">
        <w:rPr>
          <w:rFonts w:ascii="Palatino Linotype" w:hAnsi="Palatino Linotype" w:cs="Arial"/>
          <w:i/>
          <w:color w:val="000000" w:themeColor="text1"/>
        </w:rPr>
        <w:t xml:space="preserve"> de toda persona a ser escuchado por quienes ejercen el poder público.</w:t>
      </w:r>
      <w:r w:rsidRPr="00594166">
        <w:rPr>
          <w:rStyle w:val="Refdenotaalpie"/>
          <w:rFonts w:ascii="Palatino Linotype" w:hAnsi="Palatino Linotype"/>
          <w:i/>
          <w:color w:val="000000" w:themeColor="text1"/>
        </w:rPr>
        <w:t xml:space="preserve"> </w:t>
      </w:r>
      <w:r w:rsidRPr="00594166">
        <w:rPr>
          <w:rStyle w:val="Refdenotaalpie"/>
          <w:rFonts w:ascii="Palatino Linotype" w:hAnsi="Palatino Linotype"/>
          <w:i/>
          <w:color w:val="000000" w:themeColor="text1"/>
        </w:rPr>
        <w:footnoteReference w:id="2"/>
      </w:r>
      <w:r w:rsidRPr="00594166">
        <w:rPr>
          <w:rFonts w:ascii="Palatino Linotype" w:hAnsi="Palatino Linotype" w:cs="Arial"/>
          <w:i/>
          <w:color w:val="000000" w:themeColor="text1"/>
        </w:rPr>
        <w:t xml:space="preserve">” </w:t>
      </w:r>
    </w:p>
    <w:p w:rsidR="00A10DEC" w:rsidRDefault="00A10DEC" w:rsidP="00A10DEC">
      <w:pPr>
        <w:pStyle w:val="Prrafodelista"/>
        <w:rPr>
          <w:rFonts w:ascii="Palatino Linotype" w:hAnsi="Palatino Linotype" w:cs="Arial"/>
          <w:i/>
          <w:color w:val="000000" w:themeColor="text1"/>
        </w:rPr>
      </w:pPr>
    </w:p>
    <w:p w:rsidR="00A10DEC" w:rsidRDefault="00A10DEC" w:rsidP="00A10DEC">
      <w:pPr>
        <w:numPr>
          <w:ilvl w:val="0"/>
          <w:numId w:val="15"/>
        </w:numPr>
        <w:spacing w:line="360" w:lineRule="auto"/>
        <w:ind w:left="0" w:firstLine="0"/>
        <w:contextualSpacing/>
        <w:jc w:val="both"/>
        <w:rPr>
          <w:rFonts w:ascii="Palatino Linotype" w:hAnsi="Palatino Linotype" w:cs="Arial"/>
          <w:i/>
          <w:color w:val="000000" w:themeColor="text1"/>
        </w:rPr>
      </w:pPr>
      <w:r w:rsidRPr="00594166">
        <w:rPr>
          <w:rFonts w:ascii="Palatino Linotype" w:hAnsi="Palatino Linotype" w:cs="Arial"/>
          <w:color w:val="000000" w:themeColor="text1"/>
        </w:rPr>
        <w:t xml:space="preserve">A este respecto, y </w:t>
      </w:r>
      <w:r w:rsidRPr="002D01BB">
        <w:rPr>
          <w:rFonts w:ascii="Palatino Linotype" w:hAnsi="Palatino Linotype" w:cs="Arial"/>
          <w:b/>
          <w:color w:val="000000" w:themeColor="text1"/>
        </w:rPr>
        <w:t>PARA DIFERENCIAR</w:t>
      </w:r>
      <w:r w:rsidRPr="00594166">
        <w:rPr>
          <w:rFonts w:ascii="Palatino Linotype" w:hAnsi="Palatino Linotype" w:cs="Arial"/>
          <w:color w:val="000000" w:themeColor="text1"/>
        </w:rPr>
        <w:t xml:space="preserve"> el derecho de petición al derecho de acceso a la información, resulta conducente señalar que José Guadalupe Robles, conceptualiza el derecho a la información como </w:t>
      </w:r>
      <w:r w:rsidRPr="00594166">
        <w:rPr>
          <w:rFonts w:ascii="Palatino Linotype" w:hAnsi="Palatino Linotype" w:cs="Arial"/>
          <w:i/>
          <w:color w:val="000000" w:themeColor="text1"/>
        </w:rPr>
        <w:t xml:space="preserve">“un derecho fundamental tanto de </w:t>
      </w:r>
      <w:r w:rsidRPr="00594166">
        <w:rPr>
          <w:rFonts w:ascii="Palatino Linotype" w:hAnsi="Palatino Linotype" w:cs="Arial"/>
          <w:i/>
          <w:color w:val="000000" w:themeColor="text1"/>
        </w:rPr>
        <w:lastRenderedPageBreak/>
        <w:t>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594166">
        <w:rPr>
          <w:rStyle w:val="Refdenotaalpie"/>
          <w:rFonts w:ascii="Palatino Linotype" w:hAnsi="Palatino Linotype"/>
          <w:i/>
          <w:color w:val="000000" w:themeColor="text1"/>
        </w:rPr>
        <w:t xml:space="preserve"> </w:t>
      </w:r>
      <w:r w:rsidRPr="00594166">
        <w:rPr>
          <w:rStyle w:val="Refdenotaalpie"/>
          <w:rFonts w:ascii="Palatino Linotype" w:hAnsi="Palatino Linotype"/>
          <w:i/>
          <w:color w:val="000000" w:themeColor="text1"/>
        </w:rPr>
        <w:footnoteReference w:id="3"/>
      </w:r>
      <w:r w:rsidRPr="00594166">
        <w:rPr>
          <w:rFonts w:ascii="Palatino Linotype" w:hAnsi="Palatino Linotype" w:cs="Arial"/>
          <w:i/>
          <w:color w:val="000000" w:themeColor="text1"/>
        </w:rPr>
        <w:t xml:space="preserve">“(Sic) </w:t>
      </w:r>
    </w:p>
    <w:p w:rsidR="00A10DEC" w:rsidRDefault="00A10DEC" w:rsidP="00A10DEC">
      <w:pPr>
        <w:pStyle w:val="Prrafodelista"/>
        <w:rPr>
          <w:rFonts w:ascii="Palatino Linotype" w:hAnsi="Palatino Linotype" w:cs="Arial"/>
          <w:i/>
          <w:color w:val="000000" w:themeColor="text1"/>
        </w:rPr>
      </w:pPr>
    </w:p>
    <w:p w:rsidR="00A10DEC" w:rsidRDefault="00A10DEC" w:rsidP="00A10DEC">
      <w:pPr>
        <w:numPr>
          <w:ilvl w:val="0"/>
          <w:numId w:val="15"/>
        </w:numPr>
        <w:spacing w:line="360" w:lineRule="auto"/>
        <w:ind w:left="0" w:firstLine="0"/>
        <w:contextualSpacing/>
        <w:jc w:val="both"/>
        <w:rPr>
          <w:rFonts w:ascii="Palatino Linotype" w:hAnsi="Palatino Linotype" w:cs="Arial"/>
          <w:i/>
          <w:color w:val="000000" w:themeColor="text1"/>
        </w:rPr>
      </w:pPr>
      <w:r w:rsidRPr="00594166">
        <w:rPr>
          <w:rFonts w:ascii="Palatino Linotype" w:hAnsi="Palatino Linotype" w:cs="Arial"/>
          <w:color w:val="000000" w:themeColor="text1"/>
        </w:rPr>
        <w:t>Además</w:t>
      </w:r>
      <w:r w:rsidRPr="00594166">
        <w:rPr>
          <w:rFonts w:ascii="Palatino Linotype" w:hAnsi="Palatino Linotype" w:cs="Arial"/>
          <w:color w:val="000000" w:themeColor="text1"/>
          <w:lang w:eastAsia="es-MX"/>
        </w:rPr>
        <w:t xml:space="preserve">, el derecho a la información constituye una prerrogativa a acceder a </w:t>
      </w:r>
      <w:r w:rsidRPr="00594166">
        <w:rPr>
          <w:rFonts w:ascii="Palatino Linotype" w:hAnsi="Palatino Linotype" w:cs="Arial"/>
          <w:color w:val="000000" w:themeColor="text1"/>
        </w:rPr>
        <w:t>documentación</w:t>
      </w:r>
      <w:r w:rsidRPr="00594166">
        <w:rPr>
          <w:rFonts w:ascii="Palatino Linotype" w:hAnsi="Palatino Linotype" w:cs="Arial"/>
          <w:color w:val="000000" w:themeColor="text1"/>
          <w:lang w:eastAsia="es-MX"/>
        </w:rPr>
        <w:t xml:space="preserve"> en </w:t>
      </w:r>
      <w:r w:rsidRPr="00594166">
        <w:rPr>
          <w:rFonts w:ascii="Palatino Linotype" w:hAnsi="Palatino Linotype" w:cs="Arial"/>
          <w:color w:val="000000" w:themeColor="text1"/>
        </w:rPr>
        <w:t>poder</w:t>
      </w:r>
      <w:r w:rsidRPr="00594166">
        <w:rPr>
          <w:rFonts w:ascii="Palatino Linotype" w:hAnsi="Palatino Linotype" w:cs="Arial"/>
          <w:color w:val="000000" w:themeColor="text1"/>
          <w:lang w:eastAsia="es-MX"/>
        </w:rPr>
        <w:t xml:space="preserve"> de los Sujetos Obligados, </w:t>
      </w:r>
      <w:r w:rsidRPr="0095341F">
        <w:rPr>
          <w:rFonts w:ascii="Palatino Linotype" w:hAnsi="Palatino Linotype" w:cs="Arial"/>
          <w:color w:val="000000" w:themeColor="text1"/>
          <w:u w:val="single"/>
          <w:lang w:eastAsia="es-MX"/>
        </w:rPr>
        <w:t>no así a realizar cuestionamientos</w:t>
      </w:r>
      <w:r w:rsidRPr="00594166">
        <w:rPr>
          <w:rFonts w:ascii="Palatino Linotype" w:hAnsi="Palatino Linotype" w:cs="Arial"/>
          <w:color w:val="000000" w:themeColor="text1"/>
          <w:lang w:eastAsia="es-MX"/>
        </w:rPr>
        <w:t xml:space="preserve">, o manifestaciones subjetivas. Sirve de apoyo a lo anterior la definición de derecho a la información de Ernesto Villanueva </w:t>
      </w:r>
      <w:proofErr w:type="spellStart"/>
      <w:r w:rsidRPr="00594166">
        <w:rPr>
          <w:rFonts w:ascii="Palatino Linotype" w:hAnsi="Palatino Linotype" w:cs="Arial"/>
          <w:color w:val="000000" w:themeColor="text1"/>
          <w:lang w:eastAsia="es-MX"/>
        </w:rPr>
        <w:t>Villanueva</w:t>
      </w:r>
      <w:proofErr w:type="spellEnd"/>
      <w:r w:rsidRPr="00594166">
        <w:rPr>
          <w:rFonts w:ascii="Palatino Linotype" w:hAnsi="Palatino Linotype" w:cs="Arial"/>
          <w:color w:val="000000" w:themeColor="text1"/>
          <w:lang w:eastAsia="es-MX"/>
        </w:rPr>
        <w:t xml:space="preserve"> que dice: “</w:t>
      </w:r>
      <w:r w:rsidRPr="00594166">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594166">
        <w:rPr>
          <w:rStyle w:val="Refdenotaalpie"/>
          <w:rFonts w:ascii="Palatino Linotype" w:hAnsi="Palatino Linotype" w:cs="Arial"/>
          <w:i/>
          <w:color w:val="000000" w:themeColor="text1"/>
          <w:lang w:eastAsia="es-MX"/>
        </w:rPr>
        <w:footnoteReference w:id="4"/>
      </w:r>
    </w:p>
    <w:p w:rsidR="00A10DEC" w:rsidRDefault="00A10DEC" w:rsidP="00A10DEC">
      <w:pPr>
        <w:pStyle w:val="Prrafodelista"/>
        <w:rPr>
          <w:rFonts w:ascii="Palatino Linotype" w:hAnsi="Palatino Linotype" w:cs="Arial"/>
          <w:i/>
          <w:color w:val="000000" w:themeColor="text1"/>
        </w:rPr>
      </w:pPr>
    </w:p>
    <w:p w:rsidR="00A10DEC" w:rsidRDefault="00A10DEC" w:rsidP="00A10DEC">
      <w:pPr>
        <w:numPr>
          <w:ilvl w:val="0"/>
          <w:numId w:val="15"/>
        </w:numPr>
        <w:spacing w:line="360" w:lineRule="auto"/>
        <w:ind w:left="0" w:firstLine="0"/>
        <w:contextualSpacing/>
        <w:jc w:val="both"/>
        <w:rPr>
          <w:rFonts w:ascii="Palatino Linotype" w:hAnsi="Palatino Linotype" w:cs="Arial"/>
          <w:color w:val="000000" w:themeColor="text1"/>
        </w:rPr>
      </w:pPr>
      <w:r w:rsidRPr="00594166">
        <w:rPr>
          <w:rFonts w:ascii="Palatino Linotype" w:hAnsi="Palatino Linotype" w:cs="Arial"/>
          <w:color w:val="000000" w:themeColor="text1"/>
          <w:lang w:eastAsia="es-MX"/>
        </w:rPr>
        <w:t>Ahora</w:t>
      </w:r>
      <w:r w:rsidRPr="00594166">
        <w:rPr>
          <w:rFonts w:ascii="Palatino Linotype" w:hAnsi="Palatino Linotype" w:cs="Arial"/>
          <w:color w:val="000000" w:themeColor="text1"/>
        </w:rPr>
        <w:t xml:space="preserve"> bien, para entender los alcances de la información pública se considera </w:t>
      </w:r>
      <w:r w:rsidRPr="00594166">
        <w:rPr>
          <w:rFonts w:ascii="Palatino Linotype" w:hAnsi="Palatino Linotype" w:cs="Arial"/>
          <w:color w:val="000000" w:themeColor="text1"/>
          <w:lang w:eastAsia="es-MX"/>
        </w:rPr>
        <w:t>importante</w:t>
      </w:r>
      <w:r w:rsidRPr="00594166">
        <w:rPr>
          <w:rFonts w:ascii="Palatino Linotype" w:hAnsi="Palatino Linotype" w:cs="Arial"/>
          <w:color w:val="000000" w:themeColor="text1"/>
        </w:rPr>
        <w:t xml:space="preserve"> citar el criterio </w:t>
      </w:r>
      <w:r w:rsidRPr="00594166">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94166">
        <w:rPr>
          <w:rFonts w:ascii="Palatino Linotype" w:hAnsi="Palatino Linotype" w:cs="Arial"/>
          <w:color w:val="000000" w:themeColor="text1"/>
        </w:rPr>
        <w:t>cuyo rubro y texto dispone:</w:t>
      </w:r>
    </w:p>
    <w:p w:rsidR="00A10DEC" w:rsidRDefault="00A10DEC" w:rsidP="00A10DEC">
      <w:pPr>
        <w:pStyle w:val="Prrafodelista"/>
        <w:rPr>
          <w:rFonts w:ascii="Palatino Linotype" w:hAnsi="Palatino Linotype" w:cs="Arial"/>
          <w:color w:val="000000" w:themeColor="text1"/>
        </w:rPr>
      </w:pPr>
    </w:p>
    <w:p w:rsidR="00A10DEC" w:rsidRPr="00594166" w:rsidRDefault="00A10DEC" w:rsidP="00A10DEC">
      <w:pPr>
        <w:autoSpaceDE w:val="0"/>
        <w:autoSpaceDN w:val="0"/>
        <w:adjustRightInd w:val="0"/>
        <w:ind w:left="567" w:right="567"/>
        <w:jc w:val="both"/>
        <w:rPr>
          <w:rFonts w:ascii="Palatino Linotype" w:hAnsi="Palatino Linotype" w:cs="Arial"/>
          <w:b/>
          <w:i/>
          <w:color w:val="000000" w:themeColor="text1"/>
        </w:rPr>
      </w:pPr>
      <w:r w:rsidRPr="00594166">
        <w:rPr>
          <w:rFonts w:ascii="Palatino Linotype" w:hAnsi="Palatino Linotype" w:cs="Arial"/>
          <w:b/>
          <w:i/>
          <w:color w:val="000000" w:themeColor="text1"/>
        </w:rPr>
        <w:t>“CRITERIO 0002-11</w:t>
      </w:r>
    </w:p>
    <w:p w:rsidR="00A10DEC" w:rsidRPr="00594166" w:rsidRDefault="00A10DEC" w:rsidP="00A10DEC">
      <w:pPr>
        <w:autoSpaceDE w:val="0"/>
        <w:autoSpaceDN w:val="0"/>
        <w:adjustRightInd w:val="0"/>
        <w:ind w:left="567" w:right="567"/>
        <w:jc w:val="both"/>
        <w:rPr>
          <w:rFonts w:ascii="Palatino Linotype" w:hAnsi="Palatino Linotype" w:cs="Arial"/>
          <w:i/>
          <w:color w:val="000000" w:themeColor="text1"/>
        </w:rPr>
      </w:pPr>
      <w:r w:rsidRPr="00594166">
        <w:rPr>
          <w:rFonts w:ascii="Palatino Linotype" w:hAnsi="Palatino Linotype" w:cs="Arial"/>
          <w:b/>
          <w:i/>
          <w:color w:val="000000" w:themeColor="text1"/>
        </w:rPr>
        <w:t xml:space="preserve">INFORMACIÓN PÚBLICA, CONCEPTO DE, EN MATERIA DE TRANSPARENCIA. INTERPRETACIÓN TEMÁTICA DE LOS </w:t>
      </w:r>
      <w:r w:rsidRPr="00594166">
        <w:rPr>
          <w:rFonts w:ascii="Palatino Linotype" w:hAnsi="Palatino Linotype" w:cs="Arial"/>
          <w:b/>
          <w:i/>
          <w:color w:val="000000" w:themeColor="text1"/>
        </w:rPr>
        <w:lastRenderedPageBreak/>
        <w:t xml:space="preserve">ARTÍCULOS 2, FRACCIÓN </w:t>
      </w:r>
      <w:r w:rsidRPr="00594166">
        <w:rPr>
          <w:rFonts w:ascii="Palatino Linotype" w:hAnsi="Palatino Linotype" w:cs="Arial"/>
          <w:b/>
          <w:bCs/>
          <w:i/>
          <w:color w:val="000000" w:themeColor="text1"/>
        </w:rPr>
        <w:t xml:space="preserve">V, XV, Y XVI, </w:t>
      </w:r>
      <w:r w:rsidRPr="00594166">
        <w:rPr>
          <w:rFonts w:ascii="Palatino Linotype" w:hAnsi="Palatino Linotype" w:cs="Arial"/>
          <w:b/>
          <w:i/>
          <w:color w:val="000000" w:themeColor="text1"/>
        </w:rPr>
        <w:t>32, 4,11 Y 41.</w:t>
      </w:r>
      <w:r w:rsidRPr="00594166">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10DEC" w:rsidRPr="00594166" w:rsidRDefault="00A10DEC" w:rsidP="00A10DEC">
      <w:pPr>
        <w:autoSpaceDE w:val="0"/>
        <w:autoSpaceDN w:val="0"/>
        <w:adjustRightInd w:val="0"/>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En consecuencia el acceso a la información se refiere a que se cumplan cualquiera de los siguientes tres supuestos:</w:t>
      </w:r>
    </w:p>
    <w:p w:rsidR="00A10DEC" w:rsidRPr="00594166" w:rsidRDefault="00A10DEC" w:rsidP="00A10DEC">
      <w:pPr>
        <w:autoSpaceDE w:val="0"/>
        <w:autoSpaceDN w:val="0"/>
        <w:adjustRightInd w:val="0"/>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rsidR="00A10DEC" w:rsidRPr="00594166" w:rsidRDefault="00A10DEC" w:rsidP="00A10DEC">
      <w:pPr>
        <w:autoSpaceDE w:val="0"/>
        <w:autoSpaceDN w:val="0"/>
        <w:adjustRightInd w:val="0"/>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rsidR="00A10DEC" w:rsidRDefault="00A10DEC" w:rsidP="00A10DEC">
      <w:pPr>
        <w:autoSpaceDE w:val="0"/>
        <w:autoSpaceDN w:val="0"/>
        <w:adjustRightInd w:val="0"/>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rsidR="00A10DEC" w:rsidRPr="00594166" w:rsidRDefault="00A10DEC" w:rsidP="00A10DEC">
      <w:pPr>
        <w:autoSpaceDE w:val="0"/>
        <w:autoSpaceDN w:val="0"/>
        <w:adjustRightInd w:val="0"/>
        <w:spacing w:line="360" w:lineRule="auto"/>
        <w:ind w:left="567" w:right="567"/>
        <w:jc w:val="both"/>
        <w:rPr>
          <w:rFonts w:ascii="Palatino Linotype" w:hAnsi="Palatino Linotype" w:cs="Arial"/>
          <w:i/>
          <w:color w:val="000000" w:themeColor="text1"/>
        </w:rPr>
      </w:pPr>
    </w:p>
    <w:p w:rsidR="00A10DEC" w:rsidRPr="00507B30" w:rsidRDefault="00A10DEC" w:rsidP="00A10DEC">
      <w:pPr>
        <w:numPr>
          <w:ilvl w:val="0"/>
          <w:numId w:val="15"/>
        </w:numPr>
        <w:spacing w:line="360" w:lineRule="auto"/>
        <w:ind w:left="0" w:firstLine="0"/>
        <w:contextualSpacing/>
        <w:jc w:val="both"/>
        <w:rPr>
          <w:rFonts w:ascii="Palatino Linotype" w:hAnsi="Palatino Linotype"/>
          <w:color w:val="000000" w:themeColor="text1"/>
        </w:rPr>
      </w:pPr>
      <w:r w:rsidRPr="00D41CFF">
        <w:rPr>
          <w:rFonts w:ascii="Palatino Linotype" w:hAnsi="Palatino Linotype" w:cs="Arial"/>
          <w:color w:val="000000" w:themeColor="text1"/>
        </w:rPr>
        <w:t xml:space="preserve">De </w:t>
      </w:r>
      <w:r w:rsidRPr="00D41CFF">
        <w:rPr>
          <w:rFonts w:ascii="Palatino Linotype" w:hAnsi="Palatino Linotype" w:cs="Arial"/>
          <w:color w:val="000000" w:themeColor="text1"/>
          <w:lang w:eastAsia="es-MX"/>
        </w:rPr>
        <w:t>lo</w:t>
      </w:r>
      <w:r w:rsidRPr="00D41CFF">
        <w:rPr>
          <w:rFonts w:ascii="Palatino Linotype" w:hAnsi="Palatino Linotype" w:cs="Arial"/>
          <w:color w:val="000000" w:themeColor="text1"/>
        </w:rPr>
        <w:t xml:space="preserve"> </w:t>
      </w:r>
      <w:r w:rsidRPr="00D41CFF">
        <w:rPr>
          <w:rFonts w:ascii="Palatino Linotype" w:hAnsi="Palatino Linotype" w:cs="Arial"/>
          <w:color w:val="000000" w:themeColor="text1"/>
          <w:lang w:eastAsia="es-MX"/>
        </w:rPr>
        <w:t>anterior</w:t>
      </w:r>
      <w:r w:rsidRPr="00D41CFF">
        <w:rPr>
          <w:rFonts w:ascii="Palatino Linotype" w:hAnsi="Palatino Linotype" w:cs="Arial"/>
          <w:color w:val="000000" w:themeColor="text1"/>
        </w:rPr>
        <w:t xml:space="preserve">, se puede concluir que la distinción entre el derecho de petición y el </w:t>
      </w:r>
      <w:r w:rsidRPr="00D41CFF">
        <w:rPr>
          <w:rFonts w:ascii="Palatino Linotype" w:hAnsi="Palatino Linotype" w:cs="Arial"/>
          <w:color w:val="000000" w:themeColor="text1"/>
          <w:lang w:eastAsia="es-MX"/>
        </w:rPr>
        <w:t>derecho</w:t>
      </w:r>
      <w:r w:rsidRPr="00D41CFF">
        <w:rPr>
          <w:rFonts w:ascii="Palatino Linotype" w:hAnsi="Palatino Linotype" w:cs="Arial"/>
          <w:color w:val="000000" w:themeColor="text1"/>
        </w:rPr>
        <w:t xml:space="preserve"> de acceso a la información estriba, principalmente, en que en el primero de ellos </w:t>
      </w:r>
      <w:r w:rsidRPr="00D41CFF">
        <w:rPr>
          <w:rFonts w:ascii="Palatino Linotype" w:hAnsi="Palatino Linotype" w:cs="Arial"/>
          <w:color w:val="000000" w:themeColor="text1"/>
          <w:lang w:eastAsia="es-MX"/>
        </w:rPr>
        <w:t xml:space="preserve">la pretensión del peticionario consiste generalmente en obligar a la autoridad responsable a que </w:t>
      </w:r>
      <w:r w:rsidRPr="00D41CFF">
        <w:rPr>
          <w:rFonts w:ascii="Palatino Linotype" w:hAnsi="Palatino Linotype" w:cs="Arial"/>
          <w:b/>
          <w:color w:val="000000" w:themeColor="text1"/>
          <w:u w:val="single"/>
          <w:lang w:eastAsia="es-MX"/>
        </w:rPr>
        <w:t>actúe en el sentido de contestar lo solicitado</w:t>
      </w:r>
      <w:r w:rsidRPr="00D41CFF">
        <w:rPr>
          <w:rFonts w:ascii="Palatino Linotype" w:hAnsi="Palatino Linotype" w:cs="Arial"/>
          <w:color w:val="000000" w:themeColor="text1"/>
          <w:lang w:eastAsia="es-MX"/>
        </w:rPr>
        <w:t xml:space="preserve">; mientras que en el </w:t>
      </w:r>
      <w:r w:rsidRPr="00D41CFF">
        <w:rPr>
          <w:rFonts w:ascii="Palatino Linotype" w:hAnsi="Palatino Linotype" w:cs="Arial"/>
          <w:bCs/>
          <w:color w:val="000000" w:themeColor="text1"/>
          <w:lang w:eastAsia="es-CO"/>
        </w:rPr>
        <w:t>segundo supuesto, la petición se encamina primordialmente a</w:t>
      </w:r>
      <w:r w:rsidRPr="00D41CFF">
        <w:rPr>
          <w:rFonts w:ascii="Palatino Linotype" w:hAnsi="Palatino Linotype" w:cs="Arial"/>
          <w:color w:val="000000" w:themeColor="text1"/>
        </w:rPr>
        <w:t xml:space="preserve"> permitir el </w:t>
      </w:r>
      <w:r w:rsidRPr="00D41CFF">
        <w:rPr>
          <w:rFonts w:ascii="Palatino Linotype" w:hAnsi="Palatino Linotype" w:cs="Arial"/>
          <w:color w:val="000000" w:themeColor="text1"/>
          <w:lang w:eastAsia="es-CO"/>
        </w:rPr>
        <w:t xml:space="preserve">acceso a datos, registros y todo tipo de información pública </w:t>
      </w:r>
      <w:r w:rsidRPr="0095341F">
        <w:rPr>
          <w:rFonts w:ascii="Palatino Linotype" w:hAnsi="Palatino Linotype" w:cs="Arial"/>
          <w:b/>
          <w:color w:val="000000" w:themeColor="text1"/>
          <w:u w:val="single"/>
          <w:lang w:eastAsia="es-CO"/>
        </w:rPr>
        <w:t>que conste en documentos</w:t>
      </w:r>
      <w:r w:rsidRPr="00D41CFF">
        <w:rPr>
          <w:rFonts w:ascii="Palatino Linotype" w:hAnsi="Palatino Linotype" w:cs="Arial"/>
          <w:color w:val="000000" w:themeColor="text1"/>
          <w:lang w:eastAsia="es-CO"/>
        </w:rPr>
        <w:t xml:space="preserve">, sea generada o se encuentre en posesión de </w:t>
      </w:r>
      <w:r>
        <w:rPr>
          <w:rFonts w:ascii="Palatino Linotype" w:hAnsi="Palatino Linotype" w:cs="Arial"/>
          <w:color w:val="000000" w:themeColor="text1"/>
        </w:rPr>
        <w:t>la autoridad.</w:t>
      </w:r>
    </w:p>
    <w:p w:rsidR="00A10DEC" w:rsidRPr="0095341F" w:rsidRDefault="00A10DEC" w:rsidP="00A10DEC">
      <w:pPr>
        <w:spacing w:line="360" w:lineRule="auto"/>
        <w:contextualSpacing/>
        <w:jc w:val="both"/>
        <w:rPr>
          <w:rFonts w:ascii="Palatino Linotype" w:hAnsi="Palatino Linotype"/>
          <w:color w:val="000000" w:themeColor="text1"/>
        </w:rPr>
      </w:pPr>
    </w:p>
    <w:p w:rsidR="00A10DEC" w:rsidRPr="00C2238C" w:rsidRDefault="00A10DEC" w:rsidP="00A10DEC">
      <w:pPr>
        <w:numPr>
          <w:ilvl w:val="0"/>
          <w:numId w:val="15"/>
        </w:numPr>
        <w:spacing w:line="360" w:lineRule="auto"/>
        <w:ind w:left="0" w:firstLine="0"/>
        <w:contextualSpacing/>
        <w:jc w:val="both"/>
        <w:rPr>
          <w:rFonts w:ascii="Palatino Linotype" w:hAnsi="Palatino Linotype" w:cs="Arial"/>
          <w:i/>
          <w:lang w:eastAsia="es-MX"/>
        </w:rPr>
      </w:pPr>
      <w:r>
        <w:rPr>
          <w:rFonts w:ascii="Palatino Linotype" w:hAnsi="Palatino Linotype"/>
          <w:color w:val="000000" w:themeColor="text1"/>
        </w:rPr>
        <w:t xml:space="preserve">En ese orden de ideas, es dable también señalar </w:t>
      </w:r>
      <w:r w:rsidRPr="00C35712">
        <w:rPr>
          <w:rFonts w:ascii="Palatino Linotype" w:hAnsi="Palatino Linotype"/>
          <w:color w:val="000000" w:themeColor="text1"/>
          <w:u w:val="single"/>
        </w:rPr>
        <w:t xml:space="preserve">que los sujetos obligados tampoco </w:t>
      </w:r>
      <w:r w:rsidRPr="009614E4">
        <w:rPr>
          <w:rFonts w:ascii="Palatino Linotype" w:hAnsi="Palatino Linotype" w:cs="Arial"/>
          <w:color w:val="000000" w:themeColor="text1"/>
        </w:rPr>
        <w:t>se</w:t>
      </w:r>
      <w:r w:rsidRPr="00C35712">
        <w:rPr>
          <w:rFonts w:ascii="Palatino Linotype" w:hAnsi="Palatino Linotype"/>
          <w:color w:val="000000" w:themeColor="text1"/>
          <w:u w:val="single"/>
        </w:rPr>
        <w:t xml:space="preserve"> encuentran compelidos a generar documentos </w:t>
      </w:r>
      <w:r w:rsidRPr="00C35712">
        <w:rPr>
          <w:rFonts w:ascii="Palatino Linotype" w:hAnsi="Palatino Linotype"/>
          <w:i/>
          <w:color w:val="000000" w:themeColor="text1"/>
          <w:u w:val="single"/>
        </w:rPr>
        <w:t>Ad hoc</w:t>
      </w:r>
      <w:r>
        <w:rPr>
          <w:rFonts w:ascii="Palatino Linotype" w:hAnsi="Palatino Linotype"/>
          <w:color w:val="000000" w:themeColor="text1"/>
        </w:rPr>
        <w:t>, pues se reitera que el derecho de acceso a la información, es un derecho que versa sobre documentos que los sujetos obligados, generen, posean o administren,</w:t>
      </w:r>
      <w:r w:rsidRPr="00507B30">
        <w:rPr>
          <w:rFonts w:ascii="Palatino Linotype" w:hAnsi="Palatino Linotype"/>
          <w:b/>
          <w:color w:val="000000" w:themeColor="text1"/>
        </w:rPr>
        <w:t xml:space="preserve"> </w:t>
      </w:r>
      <w:r w:rsidRPr="00507B30">
        <w:rPr>
          <w:rFonts w:ascii="Palatino Linotype" w:hAnsi="Palatino Linotype"/>
          <w:b/>
          <w:color w:val="000000" w:themeColor="text1"/>
          <w:u w:val="single"/>
        </w:rPr>
        <w:t>previo a la interposición de la solicitud de información,</w:t>
      </w:r>
      <w:r w:rsidRPr="00507B30">
        <w:rPr>
          <w:rFonts w:ascii="Palatino Linotype" w:hAnsi="Palatino Linotype"/>
          <w:b/>
          <w:color w:val="000000" w:themeColor="text1"/>
        </w:rPr>
        <w:t xml:space="preserve"> </w:t>
      </w:r>
      <w:r w:rsidRPr="00507B30">
        <w:rPr>
          <w:rFonts w:ascii="Palatino Linotype" w:hAnsi="Palatino Linotype"/>
          <w:b/>
          <w:color w:val="000000" w:themeColor="text1"/>
          <w:u w:val="single"/>
        </w:rPr>
        <w:t xml:space="preserve">no así a generar nuevos documentos </w:t>
      </w:r>
      <w:r w:rsidRPr="00507B30">
        <w:rPr>
          <w:rFonts w:ascii="Palatino Linotype" w:hAnsi="Palatino Linotype"/>
          <w:b/>
          <w:color w:val="000000" w:themeColor="text1"/>
          <w:u w:val="single"/>
        </w:rPr>
        <w:lastRenderedPageBreak/>
        <w:t>con la finalidad de satisfacer las pretensiones particulares de los solicitantes</w:t>
      </w:r>
      <w:r>
        <w:rPr>
          <w:rFonts w:ascii="Palatino Linotype" w:hAnsi="Palatino Linotype"/>
          <w:color w:val="000000" w:themeColor="text1"/>
        </w:rPr>
        <w:t xml:space="preserve">, </w:t>
      </w:r>
      <w:r w:rsidRPr="00C2238C">
        <w:rPr>
          <w:rFonts w:ascii="Palatino Linotype" w:eastAsia="MS Mincho" w:hAnsi="Palatino Linotype" w:cs="Arial"/>
        </w:rPr>
        <w:t>c</w:t>
      </w:r>
      <w:r w:rsidRPr="00C2238C">
        <w:rPr>
          <w:rFonts w:ascii="Palatino Linotype" w:hAnsi="Palatino Linotype" w:cs="Arial"/>
        </w:rPr>
        <w:t xml:space="preserve">omo apoyo a lo anterior, es aplicable por analogía el </w:t>
      </w:r>
      <w:r w:rsidRPr="00C2238C">
        <w:rPr>
          <w:rFonts w:ascii="Palatino Linotype" w:hAnsi="Palatino Linotype" w:cs="Arial"/>
          <w:b/>
        </w:rPr>
        <w:t>Criterio 03/17</w:t>
      </w:r>
      <w:r w:rsidRPr="00C2238C">
        <w:rPr>
          <w:rFonts w:ascii="Palatino Linotype" w:hAnsi="Palatino Linotype" w:cs="Arial"/>
        </w:rPr>
        <w:t>, emitido por el Pleno del Instituto Nacional de Transparencia, Acceso a la Información y Protección de Datos Personales (INAI)</w:t>
      </w:r>
      <w:r w:rsidRPr="00C2238C">
        <w:rPr>
          <w:rFonts w:ascii="Palatino Linotype" w:hAnsi="Palatino Linotype" w:cs="Arial"/>
          <w:bCs/>
        </w:rPr>
        <w:t>, que a la letra dice:</w:t>
      </w:r>
    </w:p>
    <w:p w:rsidR="00A10DEC" w:rsidRPr="00C2238C" w:rsidRDefault="00A10DEC" w:rsidP="00A10DEC">
      <w:pPr>
        <w:pStyle w:val="Prrafodelista"/>
        <w:spacing w:line="360" w:lineRule="auto"/>
        <w:rPr>
          <w:rFonts w:ascii="Palatino Linotype" w:hAnsi="Palatino Linotype" w:cs="Arial"/>
          <w:i/>
          <w:lang w:eastAsia="es-MX"/>
        </w:rPr>
      </w:pPr>
    </w:p>
    <w:p w:rsidR="00A10DEC" w:rsidRDefault="00A10DEC" w:rsidP="00A10DEC">
      <w:pPr>
        <w:pStyle w:val="Prrafodelista"/>
        <w:ind w:left="567" w:right="618"/>
        <w:jc w:val="both"/>
        <w:rPr>
          <w:rFonts w:ascii="Palatino Linotype" w:hAnsi="Palatino Linotype" w:cs="Arial"/>
          <w:bCs/>
          <w:i/>
        </w:rPr>
      </w:pPr>
      <w:r w:rsidRPr="00C2238C">
        <w:rPr>
          <w:rFonts w:ascii="Palatino Linotype" w:hAnsi="Palatino Linotype" w:cs="Arial"/>
          <w:b/>
          <w:bCs/>
          <w:i/>
        </w:rPr>
        <w:t xml:space="preserve">“No existe obligación de elaborar documentos ad hoc para atender las solicitudes de acceso a la información. </w:t>
      </w:r>
      <w:r w:rsidRPr="00C2238C">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hAnsi="Palatino Linotype" w:cs="Arial"/>
          <w:bCs/>
          <w:i/>
        </w:rPr>
        <w:t>”</w:t>
      </w:r>
    </w:p>
    <w:p w:rsidR="00A10DEC" w:rsidRPr="00C2238C" w:rsidRDefault="00A10DEC" w:rsidP="00A10DEC">
      <w:pPr>
        <w:pStyle w:val="Prrafodelista"/>
        <w:spacing w:line="360" w:lineRule="auto"/>
        <w:ind w:left="567" w:right="616"/>
        <w:jc w:val="both"/>
        <w:rPr>
          <w:rFonts w:ascii="Palatino Linotype" w:hAnsi="Palatino Linotype" w:cs="Arial"/>
          <w:bCs/>
          <w:i/>
        </w:rPr>
      </w:pPr>
    </w:p>
    <w:p w:rsidR="00A10DEC" w:rsidRDefault="00A10DEC" w:rsidP="00A10DEC">
      <w:pPr>
        <w:numPr>
          <w:ilvl w:val="0"/>
          <w:numId w:val="15"/>
        </w:numPr>
        <w:spacing w:line="360" w:lineRule="auto"/>
        <w:ind w:left="0" w:firstLine="0"/>
        <w:contextualSpacing/>
        <w:jc w:val="both"/>
        <w:rPr>
          <w:rFonts w:ascii="Palatino Linotype" w:hAnsi="Palatino Linotype" w:cs="Arial"/>
          <w:color w:val="000000" w:themeColor="text1"/>
        </w:rPr>
      </w:pPr>
      <w:r w:rsidRPr="005D164B">
        <w:rPr>
          <w:rFonts w:ascii="Palatino Linotype" w:eastAsia="Times New Roman" w:hAnsi="Palatino Linotype" w:cs="Times New Roman"/>
          <w:bCs/>
          <w:lang w:val="es-ES"/>
        </w:rPr>
        <w:t>Por consiguiente, en estricto derecho la</w:t>
      </w:r>
      <w:r>
        <w:rPr>
          <w:rFonts w:ascii="Palatino Linotype" w:eastAsia="Times New Roman" w:hAnsi="Palatino Linotype" w:cs="Times New Roman"/>
          <w:bCs/>
          <w:lang w:val="es-ES"/>
        </w:rPr>
        <w:t xml:space="preserve">s razones o motivos de inconformidad </w:t>
      </w:r>
      <w:r w:rsidRPr="005D164B">
        <w:rPr>
          <w:rFonts w:ascii="Palatino Linotype" w:eastAsia="Times New Roman" w:hAnsi="Palatino Linotype" w:cs="Times New Roman"/>
          <w:bCs/>
          <w:lang w:val="es-ES"/>
        </w:rPr>
        <w:t xml:space="preserve">del </w:t>
      </w:r>
      <w:r w:rsidRPr="005D164B">
        <w:rPr>
          <w:rFonts w:ascii="Palatino Linotype" w:eastAsia="Times New Roman" w:hAnsi="Palatino Linotype" w:cs="Times New Roman"/>
          <w:b/>
          <w:bCs/>
          <w:lang w:val="es-ES"/>
        </w:rPr>
        <w:t>R</w:t>
      </w:r>
      <w:r w:rsidR="00191C9B" w:rsidRPr="005D164B">
        <w:rPr>
          <w:rFonts w:ascii="Palatino Linotype" w:eastAsia="Times New Roman" w:hAnsi="Palatino Linotype" w:cs="Times New Roman"/>
          <w:b/>
          <w:bCs/>
          <w:lang w:val="es-ES"/>
        </w:rPr>
        <w:t>ECURRENTE</w:t>
      </w:r>
      <w:r w:rsidR="00191C9B" w:rsidRPr="005D164B">
        <w:rPr>
          <w:rFonts w:ascii="Palatino Linotype" w:eastAsia="Times New Roman" w:hAnsi="Palatino Linotype" w:cs="Times New Roman"/>
          <w:bCs/>
          <w:lang w:val="es-ES"/>
        </w:rPr>
        <w:t xml:space="preserve"> </w:t>
      </w:r>
      <w:r>
        <w:rPr>
          <w:rFonts w:ascii="Palatino Linotype" w:eastAsia="Times New Roman" w:hAnsi="Palatino Linotype" w:cs="Times New Roman"/>
          <w:bCs/>
          <w:lang w:val="es-ES"/>
        </w:rPr>
        <w:t>no encuentran sustento legal para la procedencia del recurso, res</w:t>
      </w:r>
      <w:r w:rsidR="00191C9B">
        <w:rPr>
          <w:rFonts w:ascii="Palatino Linotype" w:eastAsia="Times New Roman" w:hAnsi="Palatino Linotype" w:cs="Times New Roman"/>
          <w:bCs/>
          <w:lang w:val="es-ES"/>
        </w:rPr>
        <w:t>ultando dable su sobreseimiento, en términos de los artículos 191 fracción VI y 192 fracción IV, que son del tenor literal siguiente:</w:t>
      </w:r>
    </w:p>
    <w:p w:rsidR="00C10217" w:rsidRDefault="00C10217" w:rsidP="00180C74">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rsidR="00191C9B" w:rsidRPr="006A48D2" w:rsidRDefault="00191C9B" w:rsidP="00191C9B">
      <w:pPr>
        <w:ind w:left="567" w:right="618"/>
        <w:jc w:val="both"/>
        <w:rPr>
          <w:rFonts w:ascii="Palatino Linotype" w:eastAsia="Times New Roman" w:hAnsi="Palatino Linotype" w:cs="Times New Roman"/>
          <w:bCs/>
          <w:i/>
          <w:lang w:val="es-ES"/>
        </w:rPr>
      </w:pPr>
      <w:r w:rsidRPr="005D164B">
        <w:rPr>
          <w:rFonts w:ascii="Palatino Linotype" w:eastAsia="Times New Roman" w:hAnsi="Palatino Linotype" w:cs="Times New Roman"/>
          <w:bCs/>
          <w:i/>
          <w:lang w:val="es-ES"/>
        </w:rPr>
        <w:t>“</w:t>
      </w:r>
      <w:r w:rsidRPr="006A48D2">
        <w:rPr>
          <w:rFonts w:ascii="Palatino Linotype" w:eastAsia="Times New Roman" w:hAnsi="Palatino Linotype" w:cs="Times New Roman"/>
          <w:b/>
          <w:bCs/>
          <w:i/>
          <w:lang w:val="es-ES"/>
        </w:rPr>
        <w:t xml:space="preserve">Artículo 191. </w:t>
      </w:r>
      <w:r w:rsidRPr="006A48D2">
        <w:rPr>
          <w:rFonts w:ascii="Palatino Linotype" w:eastAsia="Times New Roman" w:hAnsi="Palatino Linotype" w:cs="Times New Roman"/>
          <w:bCs/>
          <w:i/>
          <w:lang w:val="es-ES"/>
        </w:rPr>
        <w:t>El recurso será desechado por improcedente cuando:</w:t>
      </w:r>
    </w:p>
    <w:p w:rsidR="00191C9B" w:rsidRPr="006A48D2" w:rsidRDefault="00191C9B" w:rsidP="00191C9B">
      <w:pPr>
        <w:ind w:left="567" w:right="618"/>
        <w:jc w:val="both"/>
        <w:rPr>
          <w:rFonts w:ascii="Palatino Linotype" w:eastAsia="Times New Roman" w:hAnsi="Palatino Linotype" w:cs="Times New Roman"/>
          <w:bCs/>
          <w:i/>
          <w:lang w:val="es-ES"/>
        </w:rPr>
      </w:pPr>
      <w:r w:rsidRPr="006A48D2">
        <w:rPr>
          <w:rFonts w:ascii="Palatino Linotype" w:eastAsia="Times New Roman" w:hAnsi="Palatino Linotype" w:cs="Times New Roman"/>
          <w:bCs/>
          <w:i/>
          <w:lang w:val="es-ES"/>
        </w:rPr>
        <w:t>I</w:t>
      </w:r>
      <w:r>
        <w:rPr>
          <w:rFonts w:ascii="Palatino Linotype" w:eastAsia="Times New Roman" w:hAnsi="Palatino Linotype" w:cs="Times New Roman"/>
          <w:bCs/>
          <w:i/>
          <w:lang w:val="es-ES"/>
        </w:rPr>
        <w:t>…</w:t>
      </w:r>
    </w:p>
    <w:p w:rsidR="00191C9B" w:rsidRPr="006A48D2" w:rsidRDefault="00191C9B" w:rsidP="00191C9B">
      <w:pPr>
        <w:ind w:left="567" w:right="618"/>
        <w:jc w:val="both"/>
        <w:rPr>
          <w:rFonts w:ascii="Palatino Linotype" w:eastAsia="Times New Roman" w:hAnsi="Palatino Linotype" w:cs="Times New Roman"/>
          <w:bCs/>
          <w:i/>
          <w:lang w:val="es-ES"/>
        </w:rPr>
      </w:pPr>
      <w:r w:rsidRPr="00C95375">
        <w:rPr>
          <w:rFonts w:ascii="Palatino Linotype" w:eastAsia="Times New Roman" w:hAnsi="Palatino Linotype" w:cs="Times New Roman"/>
          <w:b/>
          <w:bCs/>
          <w:i/>
          <w:lang w:val="es-ES"/>
        </w:rPr>
        <w:t xml:space="preserve">VI. Se trate de una </w:t>
      </w:r>
      <w:r w:rsidRPr="00C95375">
        <w:rPr>
          <w:rFonts w:ascii="Palatino Linotype" w:eastAsia="Times New Roman" w:hAnsi="Palatino Linotype" w:cs="Times New Roman"/>
          <w:b/>
          <w:bCs/>
          <w:i/>
          <w:u w:val="single"/>
          <w:lang w:val="es-ES"/>
        </w:rPr>
        <w:t>consulta</w:t>
      </w:r>
      <w:r w:rsidRPr="00C95375">
        <w:rPr>
          <w:rFonts w:ascii="Palatino Linotype" w:eastAsia="Times New Roman" w:hAnsi="Palatino Linotype" w:cs="Times New Roman"/>
          <w:b/>
          <w:bCs/>
          <w:i/>
          <w:lang w:val="es-ES"/>
        </w:rPr>
        <w:t>, o trámite en específico; y</w:t>
      </w:r>
      <w:r w:rsidRPr="006A48D2">
        <w:rPr>
          <w:rFonts w:ascii="Palatino Linotype" w:eastAsia="Times New Roman" w:hAnsi="Palatino Linotype" w:cs="Times New Roman"/>
          <w:bCs/>
          <w:i/>
          <w:lang w:val="es-ES"/>
        </w:rPr>
        <w:t>;</w:t>
      </w:r>
    </w:p>
    <w:p w:rsidR="00191C9B" w:rsidRPr="006A48D2" w:rsidRDefault="00191C9B" w:rsidP="00191C9B">
      <w:pPr>
        <w:ind w:left="567" w:right="618"/>
        <w:jc w:val="both"/>
        <w:rPr>
          <w:rFonts w:ascii="Palatino Linotype" w:eastAsia="Times New Roman" w:hAnsi="Palatino Linotype" w:cs="Times New Roman"/>
          <w:bCs/>
          <w:i/>
          <w:lang w:val="es-ES"/>
        </w:rPr>
      </w:pPr>
      <w:r>
        <w:rPr>
          <w:rFonts w:ascii="Palatino Linotype" w:eastAsia="Times New Roman" w:hAnsi="Palatino Linotype" w:cs="Times New Roman"/>
          <w:bCs/>
          <w:i/>
          <w:lang w:val="es-ES"/>
        </w:rPr>
        <w:t>…”</w:t>
      </w:r>
    </w:p>
    <w:p w:rsidR="00191C9B" w:rsidRDefault="00191C9B" w:rsidP="00191C9B">
      <w:pPr>
        <w:ind w:left="567" w:right="618"/>
        <w:jc w:val="both"/>
        <w:rPr>
          <w:rFonts w:ascii="Palatino Linotype" w:eastAsia="Times New Roman" w:hAnsi="Palatino Linotype" w:cs="Times New Roman"/>
          <w:b/>
          <w:bCs/>
          <w:i/>
          <w:lang w:val="es-ES"/>
        </w:rPr>
      </w:pPr>
    </w:p>
    <w:p w:rsidR="00191C9B" w:rsidRPr="005D164B" w:rsidRDefault="00191C9B" w:rsidP="00191C9B">
      <w:pPr>
        <w:ind w:left="567" w:right="618"/>
        <w:jc w:val="both"/>
        <w:rPr>
          <w:rFonts w:ascii="Palatino Linotype" w:eastAsia="Times New Roman" w:hAnsi="Palatino Linotype" w:cs="Times New Roman"/>
          <w:bCs/>
          <w:i/>
          <w:lang w:val="es-ES"/>
        </w:rPr>
      </w:pPr>
      <w:r w:rsidRPr="005D164B">
        <w:rPr>
          <w:rFonts w:ascii="Palatino Linotype" w:eastAsia="Times New Roman" w:hAnsi="Palatino Linotype" w:cs="Times New Roman"/>
          <w:b/>
          <w:bCs/>
          <w:i/>
          <w:lang w:val="es-ES"/>
        </w:rPr>
        <w:t>Artículo 192.</w:t>
      </w:r>
      <w:r w:rsidRPr="005D164B">
        <w:rPr>
          <w:rFonts w:ascii="Palatino Linotype" w:eastAsia="Times New Roman" w:hAnsi="Palatino Linotype" w:cs="Times New Roman"/>
          <w:bCs/>
          <w:i/>
          <w:lang w:val="es-ES"/>
        </w:rPr>
        <w:t xml:space="preserve"> El recurso será </w:t>
      </w:r>
      <w:r w:rsidRPr="005D164B">
        <w:rPr>
          <w:rFonts w:ascii="Palatino Linotype" w:eastAsia="Times New Roman" w:hAnsi="Palatino Linotype" w:cs="Times New Roman"/>
          <w:bCs/>
          <w:i/>
          <w:u w:val="single"/>
          <w:lang w:val="es-ES"/>
        </w:rPr>
        <w:t>sobreseído</w:t>
      </w:r>
      <w:r w:rsidRPr="005D164B">
        <w:rPr>
          <w:rFonts w:ascii="Palatino Linotype" w:eastAsia="Times New Roman" w:hAnsi="Palatino Linotype" w:cs="Times New Roman"/>
          <w:bCs/>
          <w:i/>
          <w:lang w:val="es-ES"/>
        </w:rPr>
        <w:t>, en todo o en parte, cuando una vez admitido, se actualicen alguno de los siguientes supuestos:</w:t>
      </w:r>
    </w:p>
    <w:p w:rsidR="00191C9B" w:rsidRPr="005D164B" w:rsidRDefault="00191C9B" w:rsidP="00191C9B">
      <w:pPr>
        <w:ind w:left="567" w:right="618"/>
        <w:jc w:val="both"/>
        <w:rPr>
          <w:rFonts w:ascii="Palatino Linotype" w:eastAsia="Times New Roman" w:hAnsi="Palatino Linotype" w:cs="Times New Roman"/>
          <w:bCs/>
          <w:i/>
          <w:lang w:val="es-ES"/>
        </w:rPr>
      </w:pPr>
      <w:r w:rsidRPr="005D164B">
        <w:rPr>
          <w:rFonts w:ascii="Palatino Linotype" w:eastAsia="Times New Roman" w:hAnsi="Palatino Linotype" w:cs="Times New Roman"/>
          <w:bCs/>
          <w:i/>
          <w:lang w:val="es-ES"/>
        </w:rPr>
        <w:t>(…)</w:t>
      </w:r>
    </w:p>
    <w:p w:rsidR="00191C9B" w:rsidRDefault="00191C9B" w:rsidP="00191C9B">
      <w:pPr>
        <w:ind w:left="567" w:right="618"/>
        <w:jc w:val="both"/>
        <w:rPr>
          <w:rFonts w:ascii="Palatino Linotype" w:eastAsia="Times New Roman" w:hAnsi="Palatino Linotype" w:cs="Times New Roman"/>
          <w:bCs/>
          <w:lang w:val="es-ES"/>
        </w:rPr>
      </w:pPr>
      <w:r w:rsidRPr="00D67700">
        <w:rPr>
          <w:rFonts w:ascii="Palatino Linotype" w:eastAsia="Times New Roman" w:hAnsi="Palatino Linotype" w:cs="Times New Roman"/>
          <w:b/>
          <w:bCs/>
          <w:i/>
          <w:lang w:val="es-ES"/>
        </w:rPr>
        <w:lastRenderedPageBreak/>
        <w:t xml:space="preserve">IV. </w:t>
      </w:r>
      <w:r w:rsidRPr="00C004DE">
        <w:rPr>
          <w:rFonts w:ascii="Palatino Linotype" w:eastAsia="Times New Roman" w:hAnsi="Palatino Linotype" w:cs="Times New Roman"/>
          <w:b/>
          <w:bCs/>
          <w:i/>
          <w:lang w:val="es-ES"/>
        </w:rPr>
        <w:t xml:space="preserve">Admitido el recurso de revisión, </w:t>
      </w:r>
      <w:r w:rsidRPr="00C004DE">
        <w:rPr>
          <w:rFonts w:ascii="Palatino Linotype" w:eastAsia="Times New Roman" w:hAnsi="Palatino Linotype" w:cs="Times New Roman"/>
          <w:b/>
          <w:bCs/>
          <w:i/>
          <w:u w:val="single"/>
          <w:lang w:val="es-ES"/>
        </w:rPr>
        <w:t>aparezca alguna causal de improcedencia</w:t>
      </w:r>
      <w:r w:rsidRPr="00C004DE">
        <w:rPr>
          <w:rFonts w:ascii="Palatino Linotype" w:eastAsia="Times New Roman" w:hAnsi="Palatino Linotype" w:cs="Times New Roman"/>
          <w:b/>
          <w:bCs/>
          <w:i/>
          <w:lang w:val="es-ES"/>
        </w:rPr>
        <w:t xml:space="preserve"> en los términos de la presente Ley</w:t>
      </w:r>
      <w:r w:rsidRPr="00D67700">
        <w:rPr>
          <w:rFonts w:ascii="Palatino Linotype" w:eastAsia="Times New Roman" w:hAnsi="Palatino Linotype" w:cs="Times New Roman"/>
          <w:bCs/>
          <w:i/>
          <w:lang w:val="es-ES"/>
        </w:rPr>
        <w:t>; y</w:t>
      </w:r>
      <w:r w:rsidRPr="005D164B">
        <w:rPr>
          <w:rFonts w:ascii="Palatino Linotype" w:eastAsia="Times New Roman" w:hAnsi="Palatino Linotype" w:cs="Times New Roman"/>
          <w:bCs/>
          <w:i/>
          <w:lang w:val="es-ES"/>
        </w:rPr>
        <w:cr/>
      </w:r>
      <w:r w:rsidRPr="005D164B">
        <w:rPr>
          <w:rFonts w:ascii="Palatino Linotype" w:eastAsia="Times New Roman" w:hAnsi="Palatino Linotype" w:cs="Times New Roman"/>
          <w:bCs/>
          <w:lang w:val="es-ES"/>
        </w:rPr>
        <w:t>(Énfasis añadido)</w:t>
      </w:r>
    </w:p>
    <w:p w:rsidR="00191C9B" w:rsidRDefault="00191C9B" w:rsidP="00191C9B">
      <w:pPr>
        <w:pBdr>
          <w:top w:val="nil"/>
          <w:left w:val="nil"/>
          <w:bottom w:val="nil"/>
          <w:right w:val="nil"/>
          <w:between w:val="nil"/>
        </w:pBdr>
        <w:ind w:left="425" w:right="335"/>
        <w:contextualSpacing/>
        <w:jc w:val="both"/>
        <w:rPr>
          <w:rFonts w:ascii="Palatino Linotype" w:eastAsia="Palatino Linotype" w:hAnsi="Palatino Linotype" w:cs="Palatino Linotype"/>
        </w:rPr>
      </w:pPr>
    </w:p>
    <w:p w:rsidR="00180C74" w:rsidRDefault="00180C74" w:rsidP="00180C74">
      <w:pPr>
        <w:pStyle w:val="Ttulo2"/>
        <w:spacing w:before="0" w:line="360" w:lineRule="auto"/>
        <w:rPr>
          <w:rFonts w:ascii="Palatino Linotype" w:hAnsi="Palatino Linotype"/>
          <w:b/>
          <w:color w:val="auto"/>
          <w:sz w:val="24"/>
        </w:rPr>
      </w:pPr>
      <w:bookmarkStart w:id="153" w:name="_Toc531859120"/>
      <w:bookmarkStart w:id="154" w:name="_Toc2871952"/>
      <w:bookmarkStart w:id="155" w:name="_Toc20246253"/>
      <w:bookmarkStart w:id="156" w:name="_Toc24023250"/>
      <w:bookmarkStart w:id="157" w:name="_Toc26461369"/>
      <w:bookmarkStart w:id="158" w:name="_Toc29481474"/>
      <w:bookmarkStart w:id="159" w:name="_Toc36648201"/>
      <w:bookmarkStart w:id="160" w:name="_Toc36732268"/>
      <w:bookmarkStart w:id="161" w:name="_Toc38560292"/>
      <w:bookmarkStart w:id="162" w:name="_Toc83128590"/>
      <w:bookmarkStart w:id="163" w:name="_Toc473799824"/>
      <w:bookmarkStart w:id="164" w:name="_Toc487025370"/>
      <w:bookmarkStart w:id="165" w:name="_Toc493790438"/>
      <w:bookmarkStart w:id="166" w:name="_Toc495606558"/>
      <w:bookmarkStart w:id="167" w:name="_Toc497297048"/>
      <w:bookmarkStart w:id="168" w:name="_Toc498503756"/>
      <w:bookmarkStart w:id="169" w:name="_Toc499201876"/>
      <w:bookmarkStart w:id="170" w:name="_Toc524000321"/>
      <w:r>
        <w:rPr>
          <w:rFonts w:ascii="Palatino Linotype" w:hAnsi="Palatino Linotype"/>
          <w:b/>
          <w:color w:val="auto"/>
          <w:sz w:val="24"/>
        </w:rPr>
        <w:t>QUINT</w:t>
      </w:r>
      <w:r w:rsidRPr="00DA7DC1">
        <w:rPr>
          <w:rFonts w:ascii="Palatino Linotype" w:hAnsi="Palatino Linotype"/>
          <w:b/>
          <w:color w:val="auto"/>
          <w:sz w:val="24"/>
        </w:rPr>
        <w:t xml:space="preserve">O. De la </w:t>
      </w:r>
      <w:bookmarkEnd w:id="153"/>
      <w:bookmarkEnd w:id="154"/>
      <w:r w:rsidRPr="00DA7DC1">
        <w:rPr>
          <w:rFonts w:ascii="Palatino Linotype" w:hAnsi="Palatino Linotype"/>
          <w:b/>
          <w:color w:val="auto"/>
          <w:sz w:val="24"/>
        </w:rPr>
        <w:t>versión pública</w:t>
      </w:r>
      <w:bookmarkEnd w:id="155"/>
      <w:bookmarkEnd w:id="156"/>
      <w:bookmarkEnd w:id="157"/>
      <w:bookmarkEnd w:id="158"/>
      <w:bookmarkEnd w:id="159"/>
      <w:bookmarkEnd w:id="160"/>
      <w:bookmarkEnd w:id="161"/>
      <w:bookmarkEnd w:id="162"/>
    </w:p>
    <w:p w:rsidR="00180C74" w:rsidRPr="00993610" w:rsidRDefault="00180C74" w:rsidP="00180C74">
      <w:pPr>
        <w:spacing w:line="360" w:lineRule="auto"/>
        <w:rPr>
          <w:lang w:val="es-MX" w:eastAsia="en-US"/>
        </w:rPr>
      </w:pPr>
    </w:p>
    <w:p w:rsidR="002223AA" w:rsidRPr="00387373" w:rsidRDefault="002223AA" w:rsidP="002223AA">
      <w:pPr>
        <w:pStyle w:val="Ttulo1"/>
        <w:numPr>
          <w:ilvl w:val="0"/>
          <w:numId w:val="4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1" w:name="_Toc504500693"/>
      <w:bookmarkStart w:id="172" w:name="_Toc534742545"/>
      <w:bookmarkStart w:id="173" w:name="_Toc2248738"/>
      <w:bookmarkStart w:id="174" w:name="_Toc34819440"/>
      <w:bookmarkStart w:id="175" w:name="_Toc51259595"/>
      <w:bookmarkStart w:id="176" w:name="_Toc83128595"/>
      <w:bookmarkEnd w:id="163"/>
      <w:bookmarkEnd w:id="164"/>
      <w:bookmarkEnd w:id="165"/>
      <w:bookmarkEnd w:id="166"/>
      <w:bookmarkEnd w:id="167"/>
      <w:bookmarkEnd w:id="168"/>
      <w:bookmarkEnd w:id="169"/>
      <w:bookmarkEnd w:id="170"/>
      <w:r w:rsidRPr="00387373">
        <w:rPr>
          <w:rFonts w:ascii="Palatino Linotype" w:hAnsi="Palatino Linotype" w:cs="Times New Roman"/>
          <w:b/>
          <w:color w:val="000000" w:themeColor="text1"/>
          <w:sz w:val="24"/>
          <w:szCs w:val="24"/>
          <w:lang w:eastAsia="es-ES_tradnl"/>
        </w:rPr>
        <w:t xml:space="preserve">Nociones generales. </w:t>
      </w:r>
    </w:p>
    <w:p w:rsidR="002223AA" w:rsidRPr="00030C87" w:rsidRDefault="002223AA" w:rsidP="002223AA">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030C87">
        <w:rPr>
          <w:rFonts w:ascii="Palatino Linotype" w:hAnsi="Palatino Linotype" w:cs="Arial"/>
          <w:color w:val="000000"/>
        </w:rPr>
        <w:t>Debe destacarse que, debido a la naturaleza de la información solicitada</w:t>
      </w:r>
      <w:r w:rsidRPr="00030C87">
        <w:rPr>
          <w:rFonts w:ascii="Palatino Linotype" w:hAnsi="Palatino Linotype" w:cs="Arial"/>
          <w:b/>
          <w:color w:val="000000"/>
        </w:rPr>
        <w:t xml:space="preserve">, </w:t>
      </w:r>
      <w:r w:rsidR="001354E8" w:rsidRPr="001354E8">
        <w:rPr>
          <w:rFonts w:ascii="Palatino Linotype" w:hAnsi="Palatino Linotype" w:cs="Arial"/>
          <w:b/>
          <w:color w:val="000000"/>
        </w:rPr>
        <w:t>evidentemente contiene</w:t>
      </w:r>
      <w:r w:rsidRPr="00030C87">
        <w:rPr>
          <w:rFonts w:ascii="Palatino Linotype" w:hAnsi="Palatino Linotype" w:cs="Arial"/>
          <w:color w:val="000000"/>
        </w:rPr>
        <w:t xml:space="preserve"> </w:t>
      </w:r>
      <w:r w:rsidRPr="001354E8">
        <w:rPr>
          <w:rFonts w:ascii="Palatino Linotype" w:hAnsi="Palatino Linotype" w:cs="Arial"/>
          <w:b/>
          <w:color w:val="000000"/>
        </w:rPr>
        <w:t>datos personales</w:t>
      </w:r>
      <w:r w:rsidRPr="00030C87">
        <w:rPr>
          <w:rFonts w:ascii="Palatino Linotype" w:hAnsi="Palatino Linotype" w:cs="Arial"/>
          <w:color w:val="000000"/>
        </w:rPr>
        <w:t xml:space="preserve"> susceptibles de protegerse, así como información susceptible de clasificarse como reservada, el </w:t>
      </w:r>
      <w:r w:rsidRPr="00030C87">
        <w:rPr>
          <w:rFonts w:ascii="Palatino Linotype" w:hAnsi="Palatino Linotype" w:cs="Arial"/>
          <w:b/>
          <w:bCs/>
          <w:color w:val="000000"/>
        </w:rPr>
        <w:t xml:space="preserve">SUJETO OBLIGADO </w:t>
      </w:r>
      <w:r w:rsidRPr="00030C87">
        <w:rPr>
          <w:rFonts w:ascii="Palatino Linotype" w:hAnsi="Palatino Linotype" w:cs="Arial"/>
          <w:color w:val="000000"/>
        </w:rPr>
        <w:t xml:space="preserve">deberá de hacer la adecuada versión pública, protegiendo los datos que no son susceptibles de ser proporcionados. </w:t>
      </w:r>
    </w:p>
    <w:p w:rsidR="002223AA" w:rsidRPr="00030C87" w:rsidRDefault="002223AA" w:rsidP="002223AA">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2223AA" w:rsidRPr="00030C87" w:rsidRDefault="002223AA" w:rsidP="002223AA">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030C87">
        <w:rPr>
          <w:rFonts w:ascii="Palatino Linotype" w:hAnsi="Palatino Linotype" w:cs="Arial"/>
          <w:color w:val="000000"/>
        </w:rPr>
        <w:t xml:space="preserve">No pasa desapercibido para este Órgano Garante que los </w:t>
      </w:r>
      <w:r w:rsidRPr="00387373">
        <w:rPr>
          <w:rFonts w:ascii="Palatino Linotype" w:hAnsi="Palatino Linotype" w:cs="Arial"/>
          <w:bCs/>
          <w:color w:val="000000"/>
        </w:rPr>
        <w:t>sujetos obligados</w:t>
      </w:r>
      <w:r w:rsidRPr="00030C87">
        <w:rPr>
          <w:rFonts w:ascii="Palatino Linotype" w:hAnsi="Palatino Linotype" w:cs="Arial"/>
          <w:b/>
          <w:bCs/>
          <w:color w:val="000000"/>
        </w:rPr>
        <w:t xml:space="preserve"> </w:t>
      </w:r>
      <w:r w:rsidRPr="00030C8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223AA" w:rsidRPr="00030C87" w:rsidRDefault="002223AA" w:rsidP="002223AA">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2223AA" w:rsidRPr="004042B0" w:rsidTr="00404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223AA" w:rsidRPr="004042B0" w:rsidRDefault="002223AA" w:rsidP="004042B0">
            <w:pPr>
              <w:tabs>
                <w:tab w:val="left" w:pos="284"/>
              </w:tabs>
              <w:rPr>
                <w:rFonts w:ascii="Palatino Linotype" w:hAnsi="Palatino Linotype"/>
                <w:bCs w:val="0"/>
                <w:sz w:val="22"/>
              </w:rPr>
            </w:pPr>
            <w:r w:rsidRPr="004042B0">
              <w:rPr>
                <w:rFonts w:ascii="Palatino Linotype" w:hAnsi="Palatino Linotype" w:cstheme="majorBidi"/>
                <w:bCs w:val="0"/>
                <w:sz w:val="22"/>
              </w:rPr>
              <w:t>a) Requisitos previos.</w:t>
            </w:r>
          </w:p>
        </w:tc>
        <w:tc>
          <w:tcPr>
            <w:tcW w:w="6237" w:type="dxa"/>
            <w:hideMark/>
          </w:tcPr>
          <w:p w:rsidR="002223AA" w:rsidRPr="004042B0" w:rsidRDefault="002223AA" w:rsidP="004042B0">
            <w:pPr>
              <w:tabs>
                <w:tab w:val="left" w:pos="284"/>
              </w:tabs>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042B0">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223AA" w:rsidRPr="004042B0" w:rsidRDefault="002223AA" w:rsidP="004042B0">
            <w:pPr>
              <w:tabs>
                <w:tab w:val="left" w:pos="284"/>
              </w:tabs>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042B0">
              <w:rPr>
                <w:rFonts w:ascii="Palatino Linotype" w:hAnsi="Palatino Linotype" w:cs="Arial"/>
                <w:b w:val="0"/>
                <w:bCs w:val="0"/>
                <w:color w:val="000000"/>
                <w:sz w:val="22"/>
              </w:rPr>
              <w:t>Al hacerlo tienen que precisar de qué información se trata, señalando el supuesto de clasificación (confidencialidad o reserva).</w:t>
            </w:r>
          </w:p>
          <w:p w:rsidR="002223AA" w:rsidRPr="004042B0" w:rsidRDefault="002223AA" w:rsidP="004042B0">
            <w:pPr>
              <w:tabs>
                <w:tab w:val="left" w:pos="284"/>
              </w:tabs>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042B0">
              <w:rPr>
                <w:rFonts w:ascii="Palatino Linotype" w:hAnsi="Palatino Linotype" w:cs="Arial"/>
                <w:b w:val="0"/>
                <w:bCs w:val="0"/>
                <w:color w:val="000000"/>
                <w:sz w:val="22"/>
              </w:rPr>
              <w:lastRenderedPageBreak/>
              <w:t>Además, se debe señalar el procedimiento, de los tres que establecen los artículos 132 y 106 de la Ley Estatal y General, respectivamente.</w:t>
            </w:r>
          </w:p>
          <w:p w:rsidR="002223AA" w:rsidRDefault="002223AA" w:rsidP="004042B0">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4042B0">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4042B0">
              <w:rPr>
                <w:rFonts w:ascii="Palatino Linotype" w:hAnsi="Palatino Linotype" w:cs="Arial"/>
                <w:b w:val="0"/>
                <w:bCs w:val="0"/>
                <w:color w:val="000000"/>
                <w:sz w:val="22"/>
                <w:u w:val="single"/>
              </w:rPr>
              <w:t>no se puede hacer un acuerdo para clasificar de manera general todos los documentos de un expediente o área, sin</w:t>
            </w:r>
            <w:r w:rsidRPr="004042B0">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p w:rsidR="004042B0" w:rsidRPr="004042B0" w:rsidRDefault="004042B0" w:rsidP="004042B0">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p>
        </w:tc>
      </w:tr>
      <w:tr w:rsidR="002223AA" w:rsidRPr="004042B0" w:rsidTr="0040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223AA" w:rsidRPr="004042B0" w:rsidRDefault="002223AA" w:rsidP="004042B0">
            <w:pPr>
              <w:tabs>
                <w:tab w:val="left" w:pos="284"/>
              </w:tabs>
              <w:rPr>
                <w:rFonts w:ascii="Palatino Linotype" w:hAnsi="Palatino Linotype"/>
                <w:bCs w:val="0"/>
                <w:sz w:val="22"/>
              </w:rPr>
            </w:pPr>
            <w:r w:rsidRPr="004042B0">
              <w:rPr>
                <w:rFonts w:ascii="Palatino Linotype" w:hAnsi="Palatino Linotype" w:cstheme="majorBidi"/>
                <w:bCs w:val="0"/>
                <w:sz w:val="22"/>
              </w:rPr>
              <w:lastRenderedPageBreak/>
              <w:t>b) Supuestos de clasificación.</w:t>
            </w:r>
          </w:p>
        </w:tc>
        <w:tc>
          <w:tcPr>
            <w:tcW w:w="6237" w:type="dxa"/>
            <w:hideMark/>
          </w:tcPr>
          <w:p w:rsidR="002223AA" w:rsidRPr="004042B0" w:rsidRDefault="002223AA"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2223AA" w:rsidRPr="004042B0" w:rsidRDefault="002223AA"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223AA" w:rsidRDefault="002223AA" w:rsidP="004042B0">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El </w:t>
            </w:r>
            <w:r w:rsidRPr="004042B0">
              <w:rPr>
                <w:rFonts w:ascii="Palatino Linotype" w:hAnsi="Palatino Linotype" w:cs="Arial"/>
                <w:b/>
                <w:color w:val="000000"/>
                <w:sz w:val="22"/>
              </w:rPr>
              <w:t>Sujeto Obligado</w:t>
            </w:r>
            <w:r w:rsidRPr="004042B0">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4042B0" w:rsidRPr="004042B0" w:rsidRDefault="004042B0" w:rsidP="004042B0">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p>
        </w:tc>
      </w:tr>
      <w:tr w:rsidR="002223AA" w:rsidRPr="004042B0" w:rsidTr="004042B0">
        <w:tc>
          <w:tcPr>
            <w:cnfStyle w:val="001000000000" w:firstRow="0" w:lastRow="0" w:firstColumn="1" w:lastColumn="0" w:oddVBand="0" w:evenVBand="0" w:oddHBand="0" w:evenHBand="0" w:firstRowFirstColumn="0" w:firstRowLastColumn="0" w:lastRowFirstColumn="0" w:lastRowLastColumn="0"/>
            <w:tcW w:w="2689" w:type="dxa"/>
            <w:hideMark/>
          </w:tcPr>
          <w:p w:rsidR="002223AA" w:rsidRPr="004042B0" w:rsidRDefault="002223AA" w:rsidP="004042B0">
            <w:pPr>
              <w:tabs>
                <w:tab w:val="left" w:pos="284"/>
              </w:tabs>
              <w:rPr>
                <w:rFonts w:ascii="Palatino Linotype" w:hAnsi="Palatino Linotype"/>
                <w:bCs w:val="0"/>
                <w:sz w:val="22"/>
              </w:rPr>
            </w:pPr>
            <w:r w:rsidRPr="004042B0">
              <w:rPr>
                <w:rFonts w:ascii="Palatino Linotype" w:hAnsi="Palatino Linotype" w:cstheme="majorBidi"/>
                <w:bCs w:val="0"/>
                <w:sz w:val="22"/>
              </w:rPr>
              <w:t>c) Formalidades para emitir el acuerdo de clasificación.</w:t>
            </w:r>
          </w:p>
        </w:tc>
        <w:tc>
          <w:tcPr>
            <w:tcW w:w="6237" w:type="dxa"/>
            <w:hideMark/>
          </w:tcPr>
          <w:p w:rsidR="002223AA" w:rsidRPr="004042B0" w:rsidRDefault="002223AA" w:rsidP="004042B0">
            <w:pPr>
              <w:tabs>
                <w:tab w:val="left" w:pos="284"/>
              </w:tabs>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2223AA" w:rsidRPr="004042B0" w:rsidRDefault="002223AA" w:rsidP="004042B0">
            <w:pPr>
              <w:tabs>
                <w:tab w:val="left" w:pos="284"/>
              </w:tabs>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Es necesario que </w:t>
            </w:r>
            <w:r w:rsidRPr="004042B0">
              <w:rPr>
                <w:rFonts w:ascii="Palatino Linotype" w:hAnsi="Palatino Linotype" w:cs="Arial"/>
                <w:b/>
                <w:color w:val="000000"/>
                <w:sz w:val="22"/>
                <w:u w:val="single"/>
              </w:rPr>
              <w:t>el acto reúna con los requisitos elementales</w:t>
            </w:r>
            <w:r w:rsidRPr="004042B0">
              <w:rPr>
                <w:rFonts w:ascii="Palatino Linotype" w:hAnsi="Palatino Linotype" w:cs="Arial"/>
                <w:color w:val="000000"/>
                <w:sz w:val="22"/>
              </w:rPr>
              <w:t>, entre ellos, que la autoridad que va a emitir el acto de autoridad sea la legalmente facultada para ello.</w:t>
            </w:r>
          </w:p>
          <w:p w:rsidR="002223AA" w:rsidRDefault="002223AA" w:rsidP="004042B0">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La decisión de aprobar, modificar o revocar la clasificación deberá de asentarse en un documento que registre la </w:t>
            </w:r>
            <w:r w:rsidRPr="004042B0">
              <w:rPr>
                <w:rFonts w:ascii="Palatino Linotype" w:hAnsi="Palatino Linotype" w:cs="Arial"/>
                <w:color w:val="000000"/>
                <w:sz w:val="22"/>
              </w:rPr>
              <w:lastRenderedPageBreak/>
              <w:t>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4042B0" w:rsidRPr="004042B0" w:rsidRDefault="004042B0" w:rsidP="004042B0">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p>
        </w:tc>
      </w:tr>
      <w:tr w:rsidR="002223AA" w:rsidRPr="004042B0" w:rsidTr="0040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223AA" w:rsidRPr="004042B0" w:rsidRDefault="002223AA" w:rsidP="004042B0">
            <w:pPr>
              <w:tabs>
                <w:tab w:val="left" w:pos="284"/>
              </w:tabs>
              <w:rPr>
                <w:rFonts w:ascii="Palatino Linotype" w:hAnsi="Palatino Linotype"/>
                <w:b w:val="0"/>
                <w:sz w:val="22"/>
              </w:rPr>
            </w:pPr>
          </w:p>
          <w:p w:rsidR="002223AA" w:rsidRPr="004042B0" w:rsidRDefault="002223AA" w:rsidP="004042B0">
            <w:pPr>
              <w:tabs>
                <w:tab w:val="left" w:pos="284"/>
              </w:tabs>
              <w:jc w:val="both"/>
              <w:rPr>
                <w:rFonts w:ascii="Palatino Linotype" w:hAnsi="Palatino Linotype"/>
                <w:bCs w:val="0"/>
                <w:sz w:val="22"/>
              </w:rPr>
            </w:pPr>
            <w:r w:rsidRPr="004042B0">
              <w:rPr>
                <w:rFonts w:ascii="Palatino Linotype" w:hAnsi="Palatino Linotype" w:cs="Arial"/>
                <w:bCs w:val="0"/>
                <w:color w:val="000000"/>
                <w:sz w:val="22"/>
              </w:rPr>
              <w:t xml:space="preserve">d) Requisitos de fondo del acuerdo de clasificación. </w:t>
            </w:r>
          </w:p>
        </w:tc>
        <w:tc>
          <w:tcPr>
            <w:tcW w:w="6237" w:type="dxa"/>
            <w:hideMark/>
          </w:tcPr>
          <w:p w:rsidR="002223AA" w:rsidRPr="004042B0" w:rsidRDefault="002223AA"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042B0">
              <w:rPr>
                <w:rFonts w:ascii="Palatino Linotype" w:hAnsi="Palatino Linotype" w:cs="Arial"/>
                <w:b/>
                <w:color w:val="000000"/>
                <w:sz w:val="22"/>
              </w:rPr>
              <w:t>Sujetos Obligados</w:t>
            </w:r>
            <w:r w:rsidRPr="004042B0">
              <w:rPr>
                <w:rFonts w:ascii="Palatino Linotype" w:hAnsi="Palatino Linotype" w:cs="Arial"/>
                <w:color w:val="000000"/>
                <w:sz w:val="22"/>
              </w:rPr>
              <w:t xml:space="preserve">, por lo que deberán fundar y motivar debidamente la clasificación. </w:t>
            </w:r>
          </w:p>
          <w:p w:rsidR="002223AA" w:rsidRPr="004042B0" w:rsidRDefault="002223AA"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De lo anterior, se desprende que para una correcta </w:t>
            </w:r>
            <w:r w:rsidRPr="004042B0">
              <w:rPr>
                <w:rFonts w:ascii="Palatino Linotype" w:hAnsi="Palatino Linotype" w:cs="Arial"/>
                <w:b/>
                <w:color w:val="000000"/>
                <w:sz w:val="22"/>
              </w:rPr>
              <w:t>clasificación total o parcial</w:t>
            </w:r>
            <w:r w:rsidRPr="004042B0">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223AA" w:rsidRPr="004042B0" w:rsidRDefault="002223AA"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223AA" w:rsidRPr="004042B0" w:rsidRDefault="002223AA"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En ese mismo sentido, el numeral trigésimo tercero fracción V de los Lineamientos Generales, precisa que para motivar la clasificación se deben acreditar las circunstancias de tiempo, modo y lugar.</w:t>
            </w:r>
          </w:p>
          <w:p w:rsidR="002223AA" w:rsidRDefault="002223AA"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lang w:val="es-ES"/>
              </w:rPr>
            </w:pPr>
            <w:r w:rsidRPr="004042B0">
              <w:rPr>
                <w:rFonts w:ascii="Palatino Linotype" w:hAnsi="Palatino Linotype" w:cs="Arial"/>
                <w:color w:val="000000"/>
                <w:sz w:val="22"/>
              </w:rPr>
              <w:t xml:space="preserve">Ahora bien, </w:t>
            </w:r>
            <w:r w:rsidRPr="004042B0">
              <w:rPr>
                <w:rFonts w:ascii="Palatino Linotype" w:hAnsi="Palatino Linotype" w:cs="Arial"/>
                <w:b/>
                <w:color w:val="000000"/>
                <w:sz w:val="22"/>
                <w:u w:val="single"/>
              </w:rPr>
              <w:t>para cada caso además de fundar y motivar</w:t>
            </w:r>
            <w:r w:rsidRPr="004042B0">
              <w:rPr>
                <w:rFonts w:ascii="Palatino Linotype" w:hAnsi="Palatino Linotype" w:cs="Arial"/>
                <w:color w:val="000000"/>
                <w:sz w:val="22"/>
              </w:rPr>
              <w:t xml:space="preserve">, se debe identificar con claridad que datos contenidos en las documentales que son susceptibles de suprimirse, por </w:t>
            </w:r>
            <w:r w:rsidRPr="004042B0">
              <w:rPr>
                <w:rFonts w:ascii="Palatino Linotype" w:hAnsi="Palatino Linotype" w:cs="Arial"/>
                <w:color w:val="000000"/>
                <w:sz w:val="22"/>
              </w:rPr>
              <w:lastRenderedPageBreak/>
              <w:t xml:space="preserve">ejemplo; </w:t>
            </w:r>
            <w:r w:rsidRPr="004042B0">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4042B0" w:rsidRPr="004042B0" w:rsidRDefault="004042B0" w:rsidP="004042B0">
            <w:pPr>
              <w:tabs>
                <w:tab w:val="left" w:pos="284"/>
              </w:tabs>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p>
        </w:tc>
      </w:tr>
      <w:tr w:rsidR="002223AA" w:rsidRPr="004042B0" w:rsidTr="004042B0">
        <w:tc>
          <w:tcPr>
            <w:cnfStyle w:val="001000000000" w:firstRow="0" w:lastRow="0" w:firstColumn="1" w:lastColumn="0" w:oddVBand="0" w:evenVBand="0" w:oddHBand="0" w:evenHBand="0" w:firstRowFirstColumn="0" w:firstRowLastColumn="0" w:lastRowFirstColumn="0" w:lastRowLastColumn="0"/>
            <w:tcW w:w="2689" w:type="dxa"/>
          </w:tcPr>
          <w:p w:rsidR="002223AA" w:rsidRPr="004042B0" w:rsidRDefault="002223AA" w:rsidP="004042B0">
            <w:pPr>
              <w:tabs>
                <w:tab w:val="left" w:pos="284"/>
              </w:tabs>
              <w:ind w:right="49"/>
              <w:jc w:val="both"/>
              <w:rPr>
                <w:rFonts w:ascii="Palatino Linotype" w:hAnsi="Palatino Linotype" w:cs="Arial"/>
                <w:bCs w:val="0"/>
                <w:sz w:val="22"/>
              </w:rPr>
            </w:pPr>
            <w:r w:rsidRPr="004042B0">
              <w:rPr>
                <w:rFonts w:ascii="Palatino Linotype" w:eastAsia="MS Gothic" w:hAnsi="Palatino Linotype" w:cs="Times New Roman"/>
                <w:b w:val="0"/>
                <w:sz w:val="22"/>
              </w:rPr>
              <w:lastRenderedPageBreak/>
              <w:t>e</w:t>
            </w:r>
            <w:r w:rsidRPr="004042B0">
              <w:rPr>
                <w:rFonts w:ascii="Palatino Linotype" w:eastAsia="MS Gothic" w:hAnsi="Palatino Linotype" w:cs="Times New Roman"/>
                <w:bCs w:val="0"/>
                <w:sz w:val="22"/>
              </w:rPr>
              <w:t xml:space="preserve">) Condiciones especiales de la clasificación de la información como confidencial. </w:t>
            </w:r>
          </w:p>
        </w:tc>
        <w:tc>
          <w:tcPr>
            <w:tcW w:w="6237" w:type="dxa"/>
            <w:hideMark/>
          </w:tcPr>
          <w:p w:rsidR="002223AA" w:rsidRPr="004042B0" w:rsidRDefault="002223AA" w:rsidP="004042B0">
            <w:pPr>
              <w:tabs>
                <w:tab w:val="left" w:pos="284"/>
              </w:tabs>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2223AA" w:rsidRPr="004042B0" w:rsidRDefault="002223AA" w:rsidP="004042B0">
            <w:pPr>
              <w:tabs>
                <w:tab w:val="left" w:pos="284"/>
              </w:tabs>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223AA" w:rsidRDefault="002223AA" w:rsidP="004042B0">
            <w:pPr>
              <w:tabs>
                <w:tab w:val="left" w:pos="284"/>
              </w:tabs>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4042B0">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4042B0" w:rsidRPr="004042B0" w:rsidRDefault="004042B0" w:rsidP="004042B0">
            <w:pPr>
              <w:tabs>
                <w:tab w:val="left" w:pos="284"/>
              </w:tabs>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p>
        </w:tc>
      </w:tr>
    </w:tbl>
    <w:p w:rsidR="002223AA" w:rsidRPr="00030C87" w:rsidRDefault="002223AA" w:rsidP="002223AA">
      <w:pPr>
        <w:pStyle w:val="Prrafodelista"/>
        <w:tabs>
          <w:tab w:val="left" w:pos="284"/>
        </w:tabs>
        <w:ind w:left="0"/>
        <w:rPr>
          <w:rFonts w:ascii="Palatino Linotype" w:hAnsi="Palatino Linotype" w:cs="Arial"/>
          <w:color w:val="000000"/>
        </w:rPr>
      </w:pPr>
    </w:p>
    <w:p w:rsidR="00DD6827" w:rsidRPr="004042B0" w:rsidRDefault="002223AA" w:rsidP="002223AA">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DD7DC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4042B0" w:rsidRPr="002223AA" w:rsidRDefault="004042B0" w:rsidP="004042B0">
      <w:pPr>
        <w:pStyle w:val="Prrafodelista"/>
        <w:tabs>
          <w:tab w:val="left" w:pos="284"/>
        </w:tabs>
        <w:spacing w:line="360" w:lineRule="auto"/>
        <w:ind w:left="0"/>
        <w:jc w:val="both"/>
        <w:rPr>
          <w:rFonts w:ascii="Palatino Linotype" w:hAnsi="Palatino Linotype" w:cs="Arial"/>
          <w:color w:val="000000"/>
        </w:rPr>
      </w:pPr>
    </w:p>
    <w:p w:rsidR="001D02D1" w:rsidRPr="0022712B" w:rsidRDefault="001D02D1" w:rsidP="001354E8">
      <w:pPr>
        <w:pStyle w:val="Prrafodelista"/>
        <w:numPr>
          <w:ilvl w:val="0"/>
          <w:numId w:val="15"/>
        </w:numPr>
        <w:spacing w:line="360" w:lineRule="auto"/>
        <w:ind w:left="0" w:firstLine="0"/>
        <w:jc w:val="both"/>
        <w:rPr>
          <w:rFonts w:ascii="Palatino Linotype" w:hAnsi="Palatino Linotype" w:cs="Arial"/>
        </w:rPr>
      </w:pPr>
      <w:r w:rsidRPr="0022712B">
        <w:rPr>
          <w:rFonts w:ascii="Palatino Linotype" w:eastAsia="Times New Roman" w:hAnsi="Palatino Linotype" w:cs="Arial"/>
          <w:color w:val="222222"/>
          <w:lang w:eastAsia="es-MX"/>
        </w:rPr>
        <w:t xml:space="preserve">Por lo anteriormente expuesto y fundado, este </w:t>
      </w:r>
      <w:r w:rsidRPr="0022712B">
        <w:rPr>
          <w:rFonts w:ascii="Palatino Linotype" w:eastAsia="Times New Roman" w:hAnsi="Palatino Linotype" w:cs="Arial"/>
          <w:b/>
          <w:bCs/>
          <w:color w:val="222222"/>
          <w:lang w:eastAsia="es-MX"/>
        </w:rPr>
        <w:t>ÓRGANO GARANTE</w:t>
      </w:r>
      <w:r w:rsidRPr="0022712B">
        <w:rPr>
          <w:rFonts w:ascii="Palatino Linotype" w:eastAsia="Times New Roman" w:hAnsi="Palatino Linotype" w:cs="Arial"/>
          <w:color w:val="222222"/>
          <w:lang w:eastAsia="es-MX"/>
        </w:rPr>
        <w:t xml:space="preserve"> emite los siguientes:</w:t>
      </w:r>
    </w:p>
    <w:p w:rsidR="009F09BC" w:rsidRDefault="009F09BC" w:rsidP="001354E8">
      <w:pPr>
        <w:pStyle w:val="Ttulo1"/>
        <w:spacing w:before="0" w:line="360" w:lineRule="auto"/>
        <w:jc w:val="center"/>
        <w:rPr>
          <w:rFonts w:ascii="Palatino Linotype" w:eastAsia="Calibri" w:hAnsi="Palatino Linotype"/>
          <w:b/>
          <w:color w:val="000000" w:themeColor="text1"/>
          <w:sz w:val="24"/>
          <w:szCs w:val="24"/>
          <w:lang w:val="es-ES"/>
        </w:rPr>
      </w:pPr>
      <w:r w:rsidRPr="0022712B">
        <w:rPr>
          <w:rFonts w:ascii="Palatino Linotype" w:eastAsia="Calibri" w:hAnsi="Palatino Linotype"/>
          <w:b/>
          <w:color w:val="000000" w:themeColor="text1"/>
          <w:sz w:val="24"/>
          <w:szCs w:val="24"/>
          <w:lang w:val="es-ES"/>
        </w:rPr>
        <w:t>R E S O L U T I V O S</w:t>
      </w:r>
      <w:bookmarkEnd w:id="171"/>
      <w:bookmarkEnd w:id="172"/>
      <w:bookmarkEnd w:id="173"/>
      <w:bookmarkEnd w:id="174"/>
      <w:bookmarkEnd w:id="175"/>
      <w:bookmarkEnd w:id="176"/>
    </w:p>
    <w:p w:rsidR="001354E8" w:rsidRPr="001354E8" w:rsidRDefault="001354E8" w:rsidP="001354E8">
      <w:pPr>
        <w:rPr>
          <w:lang w:val="es-ES"/>
        </w:rPr>
      </w:pPr>
    </w:p>
    <w:p w:rsidR="009F09BC" w:rsidRDefault="009F09BC" w:rsidP="001354E8">
      <w:pPr>
        <w:spacing w:line="360" w:lineRule="auto"/>
        <w:jc w:val="both"/>
        <w:rPr>
          <w:rFonts w:ascii="Palatino Linotype" w:eastAsia="Times New Roman" w:hAnsi="Palatino Linotype" w:cs="Arial"/>
          <w:lang w:val="es-ES"/>
        </w:rPr>
      </w:pPr>
      <w:r w:rsidRPr="0022712B">
        <w:rPr>
          <w:rFonts w:ascii="Palatino Linotype" w:eastAsia="Times New Roman" w:hAnsi="Palatino Linotype" w:cs="Arial"/>
          <w:b/>
        </w:rPr>
        <w:lastRenderedPageBreak/>
        <w:t>PRIMERO</w:t>
      </w:r>
      <w:r w:rsidRPr="0022712B">
        <w:rPr>
          <w:rFonts w:ascii="Palatino Linotype" w:eastAsia="Times New Roman" w:hAnsi="Palatino Linotype" w:cs="Arial"/>
          <w:lang w:val="es-ES"/>
        </w:rPr>
        <w:t xml:space="preserve">. Resultan </w:t>
      </w:r>
      <w:r w:rsidR="00180C74">
        <w:rPr>
          <w:rFonts w:ascii="Palatino Linotype" w:eastAsia="Times New Roman" w:hAnsi="Palatino Linotype" w:cs="Arial"/>
          <w:lang w:val="es-ES"/>
        </w:rPr>
        <w:t xml:space="preserve">parcialmente </w:t>
      </w:r>
      <w:r w:rsidRPr="0022712B">
        <w:rPr>
          <w:rFonts w:ascii="Palatino Linotype" w:eastAsia="Times New Roman" w:hAnsi="Palatino Linotype" w:cs="Arial"/>
          <w:lang w:val="es-ES"/>
        </w:rPr>
        <w:t>fundadas las razones o motivos de inconformidad hechos valer en</w:t>
      </w:r>
      <w:r w:rsidR="009A2251" w:rsidRPr="0022712B">
        <w:rPr>
          <w:rFonts w:ascii="Palatino Linotype" w:eastAsia="Times New Roman" w:hAnsi="Palatino Linotype" w:cs="Arial"/>
          <w:lang w:val="es-ES"/>
        </w:rPr>
        <w:t xml:space="preserve"> el</w:t>
      </w:r>
      <w:r w:rsidRPr="0022712B">
        <w:rPr>
          <w:rFonts w:ascii="Palatino Linotype" w:eastAsia="Times New Roman" w:hAnsi="Palatino Linotype" w:cs="Arial"/>
          <w:lang w:val="es-ES"/>
        </w:rPr>
        <w:t xml:space="preserve"> Recurso de Revisión </w:t>
      </w:r>
      <w:r w:rsidR="002D4A6F">
        <w:rPr>
          <w:rFonts w:ascii="Palatino Linotype" w:hAnsi="Palatino Linotype"/>
          <w:b/>
        </w:rPr>
        <w:t>00433/INFOEM/IP/RR/2023</w:t>
      </w:r>
      <w:r w:rsidRPr="0022712B">
        <w:rPr>
          <w:rFonts w:ascii="Palatino Linotype" w:hAnsi="Palatino Linotype"/>
        </w:rPr>
        <w:t>,</w:t>
      </w:r>
      <w:r w:rsidRPr="0022712B">
        <w:rPr>
          <w:rFonts w:ascii="Palatino Linotype" w:eastAsia="Times New Roman" w:hAnsi="Palatino Linotype" w:cs="Arial"/>
          <w:b/>
          <w:lang w:val="es-ES"/>
        </w:rPr>
        <w:t xml:space="preserve"> </w:t>
      </w:r>
      <w:r w:rsidRPr="0022712B">
        <w:rPr>
          <w:rFonts w:ascii="Palatino Linotype" w:eastAsia="Times New Roman" w:hAnsi="Palatino Linotype" w:cs="Arial"/>
          <w:lang w:val="es-ES"/>
        </w:rPr>
        <w:t>en términos del</w:t>
      </w:r>
      <w:r w:rsidR="000E17FD">
        <w:rPr>
          <w:rFonts w:ascii="Palatino Linotype" w:eastAsia="Times New Roman" w:hAnsi="Palatino Linotype" w:cs="Arial"/>
          <w:lang w:val="es-ES"/>
        </w:rPr>
        <w:t xml:space="preserve"> Considerando</w:t>
      </w:r>
      <w:r w:rsidRPr="0022712B">
        <w:rPr>
          <w:rFonts w:ascii="Palatino Linotype" w:eastAsia="Times New Roman" w:hAnsi="Palatino Linotype" w:cs="Arial"/>
          <w:lang w:val="es-ES"/>
        </w:rPr>
        <w:t xml:space="preserve"> </w:t>
      </w:r>
      <w:r w:rsidRPr="0022712B">
        <w:rPr>
          <w:rFonts w:ascii="Palatino Linotype" w:eastAsia="Times New Roman" w:hAnsi="Palatino Linotype" w:cs="Arial"/>
          <w:b/>
          <w:lang w:val="es-ES"/>
        </w:rPr>
        <w:t>C</w:t>
      </w:r>
      <w:r w:rsidR="00180C74" w:rsidRPr="0022712B">
        <w:rPr>
          <w:rFonts w:ascii="Palatino Linotype" w:eastAsia="Times New Roman" w:hAnsi="Palatino Linotype" w:cs="Arial"/>
          <w:b/>
          <w:lang w:val="es-ES"/>
        </w:rPr>
        <w:t>uarto</w:t>
      </w:r>
      <w:r w:rsidRPr="0022712B">
        <w:rPr>
          <w:rFonts w:ascii="Palatino Linotype" w:eastAsia="Times New Roman" w:hAnsi="Palatino Linotype" w:cs="Arial"/>
          <w:b/>
          <w:lang w:val="es-ES"/>
        </w:rPr>
        <w:t xml:space="preserve"> </w:t>
      </w:r>
      <w:r w:rsidR="00180C74">
        <w:rPr>
          <w:rFonts w:ascii="Palatino Linotype" w:eastAsia="Times New Roman" w:hAnsi="Palatino Linotype" w:cs="Arial"/>
          <w:b/>
          <w:lang w:val="es-ES"/>
        </w:rPr>
        <w:t xml:space="preserve">y Quinto </w:t>
      </w:r>
      <w:r w:rsidR="002223AA">
        <w:rPr>
          <w:rFonts w:ascii="Palatino Linotype" w:eastAsia="Times New Roman" w:hAnsi="Palatino Linotype" w:cs="Arial"/>
          <w:lang w:val="es-ES"/>
        </w:rPr>
        <w:t>de la presente resolución.</w:t>
      </w:r>
    </w:p>
    <w:p w:rsidR="001354E8" w:rsidRDefault="001354E8" w:rsidP="001354E8">
      <w:pPr>
        <w:spacing w:line="360" w:lineRule="auto"/>
        <w:jc w:val="both"/>
        <w:rPr>
          <w:rFonts w:ascii="Palatino Linotype" w:eastAsia="Times New Roman" w:hAnsi="Palatino Linotype" w:cs="Arial"/>
          <w:lang w:val="es-ES"/>
        </w:rPr>
      </w:pPr>
    </w:p>
    <w:p w:rsidR="00373AC7" w:rsidRPr="0022712B" w:rsidRDefault="009F09BC" w:rsidP="0022712B">
      <w:pPr>
        <w:spacing w:line="360" w:lineRule="auto"/>
        <w:jc w:val="both"/>
        <w:rPr>
          <w:rFonts w:ascii="Palatino Linotype" w:hAnsi="Palatino Linotype" w:cs="Arial"/>
          <w:b/>
        </w:rPr>
      </w:pPr>
      <w:bookmarkStart w:id="177" w:name="_Toc503891607"/>
      <w:bookmarkStart w:id="178" w:name="_Toc511647757"/>
      <w:bookmarkStart w:id="179" w:name="_Toc511647818"/>
      <w:bookmarkStart w:id="180" w:name="_Toc477891768"/>
      <w:bookmarkStart w:id="181" w:name="_Toc477891858"/>
      <w:bookmarkStart w:id="182" w:name="_Toc481576259"/>
      <w:bookmarkStart w:id="183" w:name="_Toc492590391"/>
      <w:bookmarkStart w:id="184" w:name="_Toc462653937"/>
      <w:bookmarkStart w:id="185" w:name="_Toc453696502"/>
      <w:bookmarkStart w:id="186" w:name="_Toc454301155"/>
      <w:r w:rsidRPr="0022712B">
        <w:rPr>
          <w:rFonts w:ascii="Palatino Linotype" w:eastAsia="Times New Roman" w:hAnsi="Palatino Linotype" w:cs="Times New Roman"/>
          <w:b/>
        </w:rPr>
        <w:t>SEGUNDO.</w:t>
      </w:r>
      <w:bookmarkEnd w:id="177"/>
      <w:bookmarkEnd w:id="178"/>
      <w:bookmarkEnd w:id="179"/>
      <w:r w:rsidRPr="0022712B">
        <w:rPr>
          <w:rFonts w:ascii="Palatino Linotype" w:eastAsia="Times New Roman" w:hAnsi="Palatino Linotype" w:cs="Times New Roman"/>
          <w:b/>
        </w:rPr>
        <w:t xml:space="preserve"> </w:t>
      </w:r>
      <w:bookmarkEnd w:id="180"/>
      <w:bookmarkEnd w:id="181"/>
      <w:bookmarkEnd w:id="182"/>
      <w:bookmarkEnd w:id="183"/>
      <w:bookmarkEnd w:id="184"/>
      <w:bookmarkEnd w:id="185"/>
      <w:bookmarkEnd w:id="186"/>
      <w:r w:rsidRPr="0022712B">
        <w:rPr>
          <w:rFonts w:ascii="Palatino Linotype" w:eastAsia="MS Mincho" w:hAnsi="Palatino Linotype" w:cs="Times New Roman"/>
          <w:color w:val="000000" w:themeColor="text1"/>
        </w:rPr>
        <w:t xml:space="preserve">Se </w:t>
      </w:r>
      <w:r w:rsidR="007C1410" w:rsidRPr="0022712B">
        <w:rPr>
          <w:rFonts w:ascii="Palatino Linotype" w:eastAsia="MS Mincho" w:hAnsi="Palatino Linotype" w:cs="Times New Roman"/>
          <w:b/>
          <w:color w:val="000000" w:themeColor="text1"/>
        </w:rPr>
        <w:t>MODIFI</w:t>
      </w:r>
      <w:r w:rsidRPr="0022712B">
        <w:rPr>
          <w:rFonts w:ascii="Palatino Linotype" w:eastAsia="MS Mincho" w:hAnsi="Palatino Linotype" w:cs="Times New Roman"/>
          <w:b/>
          <w:color w:val="000000" w:themeColor="text1"/>
        </w:rPr>
        <w:t xml:space="preserve">CA </w:t>
      </w:r>
      <w:r w:rsidRPr="0022712B">
        <w:rPr>
          <w:rFonts w:ascii="Palatino Linotype" w:eastAsia="MS Mincho" w:hAnsi="Palatino Linotype" w:cs="Times New Roman"/>
          <w:color w:val="000000" w:themeColor="text1"/>
        </w:rPr>
        <w:t xml:space="preserve">la respuesta emitida por </w:t>
      </w:r>
      <w:r w:rsidR="002453DA" w:rsidRPr="0022712B">
        <w:rPr>
          <w:rFonts w:ascii="Palatino Linotype" w:eastAsia="MS Mincho" w:hAnsi="Palatino Linotype" w:cs="Times New Roman"/>
          <w:color w:val="000000" w:themeColor="text1"/>
        </w:rPr>
        <w:t xml:space="preserve">el </w:t>
      </w:r>
      <w:r w:rsidR="002223AA">
        <w:rPr>
          <w:rFonts w:ascii="Palatino Linotype" w:hAnsi="Palatino Linotype"/>
          <w:b/>
          <w:bCs/>
          <w:color w:val="000000"/>
        </w:rPr>
        <w:t>Ayuntamiento de Atenco</w:t>
      </w:r>
      <w:r w:rsidRPr="0022712B">
        <w:rPr>
          <w:rFonts w:ascii="Palatino Linotype" w:eastAsia="MS Mincho" w:hAnsi="Palatino Linotype" w:cs="Times New Roman"/>
          <w:b/>
          <w:color w:val="000000" w:themeColor="text1"/>
        </w:rPr>
        <w:t xml:space="preserve"> </w:t>
      </w:r>
      <w:r w:rsidRPr="0022712B">
        <w:rPr>
          <w:rFonts w:ascii="Palatino Linotype" w:eastAsia="MS Mincho" w:hAnsi="Palatino Linotype" w:cs="Times New Roman"/>
          <w:color w:val="000000" w:themeColor="text1"/>
        </w:rPr>
        <w:t xml:space="preserve">y se </w:t>
      </w:r>
      <w:r w:rsidRPr="0022712B">
        <w:rPr>
          <w:rFonts w:ascii="Palatino Linotype" w:eastAsia="MS Mincho" w:hAnsi="Palatino Linotype" w:cs="Times New Roman"/>
          <w:b/>
          <w:color w:val="000000" w:themeColor="text1"/>
        </w:rPr>
        <w:t>ORDENA</w:t>
      </w:r>
      <w:r w:rsidRPr="0022712B">
        <w:rPr>
          <w:rFonts w:ascii="Palatino Linotype" w:eastAsia="MS Mincho" w:hAnsi="Palatino Linotype" w:cs="Times New Roman"/>
          <w:color w:val="000000" w:themeColor="text1"/>
        </w:rPr>
        <w:t xml:space="preserve"> entregar vía Sistema de Acceso a la Información Mexiquense </w:t>
      </w:r>
      <w:r w:rsidRPr="0022712B">
        <w:rPr>
          <w:rFonts w:ascii="Palatino Linotype" w:eastAsia="MS Mincho" w:hAnsi="Palatino Linotype" w:cs="Times New Roman"/>
          <w:b/>
          <w:color w:val="000000" w:themeColor="text1"/>
        </w:rPr>
        <w:t>(SAIMEX)</w:t>
      </w:r>
      <w:r w:rsidRPr="0022712B">
        <w:rPr>
          <w:rFonts w:ascii="Palatino Linotype" w:eastAsia="MS Mincho" w:hAnsi="Palatino Linotype" w:cs="Times New Roman"/>
          <w:color w:val="000000" w:themeColor="text1"/>
        </w:rPr>
        <w:t xml:space="preserve">, </w:t>
      </w:r>
      <w:r w:rsidR="009138FA">
        <w:rPr>
          <w:rFonts w:ascii="Palatino Linotype" w:eastAsia="MS Mincho" w:hAnsi="Palatino Linotype" w:cs="Times New Roman"/>
          <w:color w:val="000000" w:themeColor="text1"/>
        </w:rPr>
        <w:t xml:space="preserve">en versión </w:t>
      </w:r>
      <w:r w:rsidR="00180C74">
        <w:rPr>
          <w:rFonts w:ascii="Palatino Linotype" w:eastAsia="MS Mincho" w:hAnsi="Palatino Linotype" w:cs="Times New Roman"/>
          <w:color w:val="000000" w:themeColor="text1"/>
        </w:rPr>
        <w:t>pública</w:t>
      </w:r>
      <w:r w:rsidRPr="0022712B">
        <w:rPr>
          <w:rFonts w:ascii="Palatino Linotype" w:eastAsia="MS Mincho" w:hAnsi="Palatino Linotype" w:cs="Times New Roman"/>
          <w:color w:val="000000" w:themeColor="text1"/>
        </w:rPr>
        <w:t xml:space="preserve">, </w:t>
      </w:r>
      <w:r w:rsidR="0074110E" w:rsidRPr="0022712B">
        <w:rPr>
          <w:rFonts w:ascii="Palatino Linotype" w:eastAsia="MS Mincho" w:hAnsi="Palatino Linotype" w:cs="Times New Roman"/>
          <w:color w:val="000000" w:themeColor="text1"/>
        </w:rPr>
        <w:t>la siguiente información</w:t>
      </w:r>
      <w:bookmarkStart w:id="187" w:name="_Toc503891610"/>
      <w:bookmarkStart w:id="188" w:name="_Toc453696503"/>
      <w:bookmarkStart w:id="189" w:name="_Toc454301156"/>
      <w:bookmarkStart w:id="190" w:name="_Toc462653938"/>
      <w:bookmarkStart w:id="191" w:name="_Toc477891769"/>
      <w:bookmarkStart w:id="192" w:name="_Toc477891859"/>
      <w:bookmarkStart w:id="193" w:name="_Toc481576260"/>
      <w:bookmarkStart w:id="194" w:name="_Toc492590392"/>
      <w:r w:rsidR="007C1410" w:rsidRPr="0022712B">
        <w:rPr>
          <w:rFonts w:ascii="Palatino Linotype" w:eastAsia="MS Mincho" w:hAnsi="Palatino Linotype" w:cs="Times New Roman"/>
          <w:color w:val="000000" w:themeColor="text1"/>
        </w:rPr>
        <w:t>:</w:t>
      </w:r>
    </w:p>
    <w:p w:rsidR="00373AC7" w:rsidRPr="0022712B" w:rsidRDefault="00373AC7" w:rsidP="0022712B">
      <w:pPr>
        <w:pStyle w:val="Prrafodelista"/>
        <w:spacing w:line="360" w:lineRule="auto"/>
        <w:ind w:left="0"/>
        <w:jc w:val="both"/>
        <w:rPr>
          <w:rFonts w:ascii="Palatino Linotype" w:hAnsi="Palatino Linotype" w:cs="Arial"/>
          <w:b/>
        </w:rPr>
      </w:pPr>
    </w:p>
    <w:p w:rsidR="0008260D" w:rsidRDefault="00627A97" w:rsidP="0008260D">
      <w:pPr>
        <w:pStyle w:val="Prrafodelista"/>
        <w:numPr>
          <w:ilvl w:val="0"/>
          <w:numId w:val="48"/>
        </w:numPr>
        <w:spacing w:line="360" w:lineRule="auto"/>
        <w:jc w:val="both"/>
        <w:rPr>
          <w:rFonts w:ascii="Palatino Linotype" w:hAnsi="Palatino Linotype" w:cs="Arial"/>
          <w:b/>
        </w:rPr>
      </w:pPr>
      <w:r w:rsidRPr="00627A97">
        <w:rPr>
          <w:rFonts w:ascii="Palatino Linotype" w:hAnsi="Palatino Linotype" w:cs="Arial"/>
          <w:b/>
        </w:rPr>
        <w:t xml:space="preserve">Recibos de nómina </w:t>
      </w:r>
      <w:r w:rsidR="002223AA">
        <w:rPr>
          <w:rFonts w:ascii="Palatino Linotype" w:hAnsi="Palatino Linotype" w:cs="Arial"/>
          <w:b/>
        </w:rPr>
        <w:t xml:space="preserve">de los </w:t>
      </w:r>
      <w:r w:rsidR="002223AA" w:rsidRPr="002223AA">
        <w:rPr>
          <w:rFonts w:ascii="Palatino Linotype" w:hAnsi="Palatino Linotype" w:cs="Arial"/>
          <w:b/>
        </w:rPr>
        <w:t>meses de octubre, noviembre y diciembre</w:t>
      </w:r>
      <w:r w:rsidR="002223AA">
        <w:rPr>
          <w:rFonts w:ascii="Palatino Linotype" w:hAnsi="Palatino Linotype" w:cs="Arial"/>
          <w:b/>
        </w:rPr>
        <w:t xml:space="preserve"> de 2022</w:t>
      </w:r>
      <w:r w:rsidRPr="00627A97">
        <w:rPr>
          <w:rFonts w:ascii="Palatino Linotype" w:hAnsi="Palatino Linotype" w:cs="Arial"/>
          <w:b/>
        </w:rPr>
        <w:t xml:space="preserve">, de todo el personal adscrito </w:t>
      </w:r>
      <w:r w:rsidR="00180C74">
        <w:rPr>
          <w:rFonts w:ascii="Palatino Linotype" w:hAnsi="Palatino Linotype" w:cs="Arial"/>
          <w:b/>
        </w:rPr>
        <w:t xml:space="preserve">al </w:t>
      </w:r>
      <w:r w:rsidR="002223AA">
        <w:rPr>
          <w:rFonts w:ascii="Palatino Linotype" w:hAnsi="Palatino Linotype" w:cs="Arial"/>
          <w:b/>
        </w:rPr>
        <w:t>Sujeto Obligado</w:t>
      </w:r>
      <w:r w:rsidR="0008260D">
        <w:rPr>
          <w:rFonts w:ascii="Palatino Linotype" w:hAnsi="Palatino Linotype" w:cs="Arial"/>
          <w:b/>
        </w:rPr>
        <w:t xml:space="preserve"> faltante.</w:t>
      </w:r>
    </w:p>
    <w:p w:rsidR="00133365" w:rsidRPr="00883FFD" w:rsidRDefault="00133365" w:rsidP="00883FFD">
      <w:pPr>
        <w:spacing w:line="360" w:lineRule="auto"/>
        <w:jc w:val="both"/>
        <w:rPr>
          <w:rFonts w:ascii="Palatino Linotype" w:hAnsi="Palatino Linotype" w:cs="Arial"/>
          <w:b/>
        </w:rPr>
      </w:pPr>
    </w:p>
    <w:p w:rsidR="00133365" w:rsidRDefault="00133365" w:rsidP="00133365">
      <w:pPr>
        <w:spacing w:line="360" w:lineRule="auto"/>
        <w:jc w:val="both"/>
        <w:rPr>
          <w:rFonts w:ascii="Palatino Linotype" w:eastAsia="Calibri" w:hAnsi="Palatino Linotype" w:cs="Arial"/>
          <w:b/>
        </w:rPr>
      </w:pPr>
      <w:r w:rsidRPr="003171A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CE7B83">
        <w:rPr>
          <w:rFonts w:ascii="Palatino Linotype" w:eastAsia="Calibri" w:hAnsi="Palatino Linotype" w:cs="Arial"/>
        </w:rPr>
        <w:t>.</w:t>
      </w:r>
    </w:p>
    <w:p w:rsidR="00133365" w:rsidRPr="00133365" w:rsidRDefault="00133365" w:rsidP="00133365">
      <w:pPr>
        <w:rPr>
          <w:rFonts w:ascii="Palatino Linotype" w:hAnsi="Palatino Linotype" w:cs="Arial"/>
          <w:b/>
        </w:rPr>
      </w:pPr>
    </w:p>
    <w:p w:rsidR="00191C9B" w:rsidRDefault="00191C9B" w:rsidP="00191C9B">
      <w:pPr>
        <w:spacing w:line="360" w:lineRule="auto"/>
        <w:jc w:val="both"/>
        <w:rPr>
          <w:rFonts w:ascii="Palatino Linotype" w:hAnsi="Palatino Linotype"/>
        </w:rPr>
      </w:pPr>
      <w:bookmarkStart w:id="195" w:name="_Toc511647758"/>
      <w:bookmarkStart w:id="196" w:name="_Toc511647819"/>
      <w:r>
        <w:rPr>
          <w:rFonts w:ascii="Palatino Linotype" w:hAnsi="Palatino Linotype"/>
          <w:b/>
        </w:rPr>
        <w:t>TERCE</w:t>
      </w:r>
      <w:r w:rsidRPr="003221A5">
        <w:rPr>
          <w:rFonts w:ascii="Palatino Linotype" w:hAnsi="Palatino Linotype"/>
          <w:b/>
        </w:rPr>
        <w:t>RO.</w:t>
      </w:r>
      <w:r w:rsidRPr="003221A5">
        <w:rPr>
          <w:rFonts w:ascii="Palatino Linotype" w:hAnsi="Palatino Linotype"/>
        </w:rPr>
        <w:t xml:space="preserve"> </w:t>
      </w:r>
      <w:r w:rsidRPr="005D164B">
        <w:rPr>
          <w:rFonts w:ascii="Palatino Linotype" w:hAnsi="Palatino Linotype" w:cs="Arial"/>
        </w:rPr>
        <w:t xml:space="preserve">Se </w:t>
      </w:r>
      <w:r w:rsidRPr="005D164B">
        <w:rPr>
          <w:rFonts w:ascii="Palatino Linotype" w:hAnsi="Palatino Linotype" w:cs="Arial"/>
          <w:b/>
        </w:rPr>
        <w:t>SOBRESEE</w:t>
      </w:r>
      <w:r w:rsidRPr="005D164B">
        <w:rPr>
          <w:rFonts w:ascii="Palatino Linotype" w:hAnsi="Palatino Linotype" w:cs="Arial"/>
        </w:rPr>
        <w:t xml:space="preserve"> el </w:t>
      </w:r>
      <w:r>
        <w:rPr>
          <w:rFonts w:ascii="Palatino Linotype" w:hAnsi="Palatino Linotype" w:cs="Arial"/>
        </w:rPr>
        <w:t>R</w:t>
      </w:r>
      <w:r w:rsidRPr="005D164B">
        <w:rPr>
          <w:rFonts w:ascii="Palatino Linotype" w:hAnsi="Palatino Linotype" w:cs="Arial"/>
        </w:rPr>
        <w:t xml:space="preserve">ecurso de </w:t>
      </w:r>
      <w:r>
        <w:rPr>
          <w:rFonts w:ascii="Palatino Linotype" w:hAnsi="Palatino Linotype" w:cs="Arial"/>
        </w:rPr>
        <w:t>R</w:t>
      </w:r>
      <w:r w:rsidRPr="005D164B">
        <w:rPr>
          <w:rFonts w:ascii="Palatino Linotype" w:hAnsi="Palatino Linotype" w:cs="Arial"/>
        </w:rPr>
        <w:t xml:space="preserve">evisión </w:t>
      </w:r>
      <w:r>
        <w:rPr>
          <w:rFonts w:ascii="Palatino Linotype" w:hAnsi="Palatino Linotype" w:cs="Arial"/>
          <w:b/>
        </w:rPr>
        <w:t>00680/INFOEM/IP/RR/2023</w:t>
      </w:r>
      <w:r w:rsidRPr="005D164B">
        <w:rPr>
          <w:rFonts w:ascii="Palatino Linotype" w:hAnsi="Palatino Linotype" w:cs="Arial"/>
        </w:rPr>
        <w:t xml:space="preserve">, </w:t>
      </w:r>
      <w:r w:rsidRPr="006A48D2">
        <w:rPr>
          <w:rFonts w:ascii="Palatino Linotype" w:hAnsi="Palatino Linotype" w:cs="Arial"/>
        </w:rPr>
        <w:t xml:space="preserve">por </w:t>
      </w:r>
      <w:r>
        <w:rPr>
          <w:rFonts w:ascii="Palatino Linotype" w:hAnsi="Palatino Linotype" w:cs="Arial"/>
        </w:rPr>
        <w:t>improcedente, en términos de</w:t>
      </w:r>
      <w:r w:rsidRPr="006A48D2">
        <w:rPr>
          <w:rFonts w:ascii="Palatino Linotype" w:hAnsi="Palatino Linotype" w:cs="Arial"/>
        </w:rPr>
        <w:t xml:space="preserve"> la fracci</w:t>
      </w:r>
      <w:r>
        <w:rPr>
          <w:rFonts w:ascii="Palatino Linotype" w:hAnsi="Palatino Linotype" w:cs="Arial"/>
        </w:rPr>
        <w:t>ón VI</w:t>
      </w:r>
      <w:r w:rsidRPr="006A48D2">
        <w:rPr>
          <w:rFonts w:ascii="Palatino Linotype" w:hAnsi="Palatino Linotype" w:cs="Arial"/>
        </w:rPr>
        <w:t xml:space="preserve"> del artículo 191, </w:t>
      </w:r>
      <w:r>
        <w:rPr>
          <w:rFonts w:ascii="Palatino Linotype" w:hAnsi="Palatino Linotype" w:cs="Arial"/>
        </w:rPr>
        <w:t xml:space="preserve">en relación con la fracción IV del artículo 192 </w:t>
      </w:r>
      <w:r w:rsidRPr="006A48D2">
        <w:rPr>
          <w:rFonts w:ascii="Palatino Linotype" w:hAnsi="Palatino Linotype" w:cs="Arial"/>
        </w:rPr>
        <w:t xml:space="preserve">de </w:t>
      </w:r>
      <w:r w:rsidRPr="00E9213A">
        <w:rPr>
          <w:rFonts w:ascii="Palatino Linotype" w:hAnsi="Palatino Linotype"/>
        </w:rPr>
        <w:t>la Ley de Transparencia y Acceso a la Información Pública del Estado de México y Municipios</w:t>
      </w:r>
      <w:r w:rsidRPr="006A48D2">
        <w:rPr>
          <w:rFonts w:ascii="Palatino Linotype" w:hAnsi="Palatino Linotype" w:cs="Arial"/>
        </w:rPr>
        <w:t xml:space="preserve">, en términos del Considerando </w:t>
      </w:r>
      <w:r>
        <w:rPr>
          <w:rFonts w:ascii="Palatino Linotype" w:hAnsi="Palatino Linotype" w:cs="Arial"/>
          <w:b/>
        </w:rPr>
        <w:t>CUART</w:t>
      </w:r>
      <w:r w:rsidRPr="003927B7">
        <w:rPr>
          <w:rFonts w:ascii="Palatino Linotype" w:hAnsi="Palatino Linotype" w:cs="Arial"/>
          <w:b/>
        </w:rPr>
        <w:t>O</w:t>
      </w:r>
      <w:r w:rsidRPr="006A48D2">
        <w:rPr>
          <w:rFonts w:ascii="Palatino Linotype" w:hAnsi="Palatino Linotype" w:cs="Arial"/>
        </w:rPr>
        <w:t xml:space="preserve"> de la presente resolución</w:t>
      </w:r>
      <w:r w:rsidRPr="003221A5">
        <w:rPr>
          <w:rFonts w:ascii="Palatino Linotype" w:hAnsi="Palatino Linotype"/>
        </w:rPr>
        <w:t>.</w:t>
      </w:r>
    </w:p>
    <w:p w:rsidR="00191C9B" w:rsidRDefault="00191C9B" w:rsidP="0022712B">
      <w:pPr>
        <w:tabs>
          <w:tab w:val="left" w:pos="8080"/>
        </w:tabs>
        <w:spacing w:line="360" w:lineRule="auto"/>
        <w:ind w:right="49"/>
        <w:jc w:val="both"/>
        <w:rPr>
          <w:rFonts w:ascii="Palatino Linotype" w:eastAsia="Times New Roman" w:hAnsi="Palatino Linotype" w:cs="Times New Roman"/>
          <w:b/>
        </w:rPr>
      </w:pPr>
    </w:p>
    <w:p w:rsidR="0057514F" w:rsidRDefault="00191C9B" w:rsidP="0022712B">
      <w:pPr>
        <w:tabs>
          <w:tab w:val="left" w:pos="8080"/>
        </w:tabs>
        <w:spacing w:line="360" w:lineRule="auto"/>
        <w:ind w:right="49"/>
        <w:jc w:val="both"/>
        <w:rPr>
          <w:rFonts w:ascii="Palatino Linotype" w:eastAsia="Times New Roman" w:hAnsi="Palatino Linotype" w:cs="Times New Roman"/>
          <w:shd w:val="clear" w:color="auto" w:fill="FFFFFF"/>
        </w:rPr>
      </w:pPr>
      <w:r>
        <w:rPr>
          <w:rFonts w:ascii="Palatino Linotype" w:eastAsia="Times New Roman" w:hAnsi="Palatino Linotype" w:cs="Times New Roman"/>
          <w:b/>
        </w:rPr>
        <w:lastRenderedPageBreak/>
        <w:t>CUART</w:t>
      </w:r>
      <w:r w:rsidR="009F09BC" w:rsidRPr="0022712B">
        <w:rPr>
          <w:rFonts w:ascii="Palatino Linotype" w:eastAsia="Times New Roman" w:hAnsi="Palatino Linotype" w:cs="Times New Roman"/>
          <w:b/>
        </w:rPr>
        <w:t>O.</w:t>
      </w:r>
      <w:bookmarkEnd w:id="187"/>
      <w:bookmarkEnd w:id="195"/>
      <w:bookmarkEnd w:id="196"/>
      <w:r w:rsidR="009F09BC" w:rsidRPr="0022712B">
        <w:rPr>
          <w:rFonts w:ascii="Palatino Linotype" w:eastAsia="Times New Roman" w:hAnsi="Palatino Linotype" w:cs="Times New Roman"/>
          <w:b/>
        </w:rPr>
        <w:t xml:space="preserve"> </w:t>
      </w:r>
      <w:bookmarkEnd w:id="188"/>
      <w:bookmarkEnd w:id="189"/>
      <w:bookmarkEnd w:id="190"/>
      <w:bookmarkEnd w:id="191"/>
      <w:bookmarkEnd w:id="192"/>
      <w:bookmarkEnd w:id="193"/>
      <w:bookmarkEnd w:id="194"/>
      <w:r w:rsidR="009F09BC" w:rsidRPr="0022712B">
        <w:rPr>
          <w:rFonts w:ascii="Palatino Linotype" w:eastAsia="Palatino Linotype" w:hAnsi="Palatino Linotype" w:cs="Palatino Linotype"/>
          <w:b/>
        </w:rPr>
        <w:t xml:space="preserve">Notifíquese </w:t>
      </w:r>
      <w:r w:rsidR="009F09BC" w:rsidRPr="0022712B">
        <w:rPr>
          <w:rFonts w:ascii="Palatino Linotype" w:eastAsia="Palatino Linotype" w:hAnsi="Palatino Linotype" w:cs="Palatino Linotype"/>
        </w:rPr>
        <w:t xml:space="preserve">al Titular de la Unidad de Transparencia del </w:t>
      </w:r>
      <w:r w:rsidR="009F09BC" w:rsidRPr="0022712B">
        <w:rPr>
          <w:rFonts w:ascii="Palatino Linotype" w:eastAsia="Palatino Linotype" w:hAnsi="Palatino Linotype" w:cs="Palatino Linotype"/>
          <w:b/>
        </w:rPr>
        <w:t>SUJETO OBLIGADO</w:t>
      </w:r>
      <w:r w:rsidR="00CE7B83" w:rsidRPr="0022712B">
        <w:rPr>
          <w:rFonts w:ascii="Palatino Linotype" w:eastAsia="Palatino Linotype" w:hAnsi="Palatino Linotype" w:cs="Palatino Linotype"/>
          <w:b/>
        </w:rPr>
        <w:t xml:space="preserve"> </w:t>
      </w:r>
      <w:r w:rsidR="00CE7B83" w:rsidRPr="0022712B">
        <w:rPr>
          <w:rFonts w:ascii="Palatino Linotype" w:eastAsia="Palatino Linotype" w:hAnsi="Palatino Linotype" w:cs="Palatino Linotype"/>
        </w:rPr>
        <w:t>vía SAIMEX</w:t>
      </w:r>
      <w:r w:rsidR="009F09BC" w:rsidRPr="0022712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9F09BC" w:rsidRPr="0022712B">
        <w:rPr>
          <w:rFonts w:ascii="Palatino Linotype" w:eastAsia="Times New Roman" w:hAnsi="Palatino Linotype" w:cs="Times New Roman"/>
          <w:shd w:val="clear" w:color="auto" w:fill="FFFFFF"/>
        </w:rPr>
        <w:t xml:space="preserve">vigente, dé cumplimiento a lo ordenado dentro del </w:t>
      </w:r>
      <w:r w:rsidR="009F09BC" w:rsidRPr="0052712F">
        <w:rPr>
          <w:rFonts w:ascii="Palatino Linotype" w:eastAsia="Times New Roman" w:hAnsi="Palatino Linotype" w:cs="Times New Roman"/>
          <w:b/>
          <w:shd w:val="clear" w:color="auto" w:fill="FFFFFF"/>
        </w:rPr>
        <w:t>plazo de</w:t>
      </w:r>
      <w:r w:rsidR="009F09BC" w:rsidRPr="0022712B">
        <w:rPr>
          <w:rFonts w:ascii="Palatino Linotype" w:eastAsia="Times New Roman" w:hAnsi="Palatino Linotype" w:cs="Times New Roman"/>
          <w:shd w:val="clear" w:color="auto" w:fill="FFFFFF"/>
        </w:rPr>
        <w:t xml:space="preserve"> </w:t>
      </w:r>
      <w:r w:rsidR="00782A12" w:rsidRPr="0022712B">
        <w:rPr>
          <w:rFonts w:ascii="Palatino Linotype" w:eastAsia="Times New Roman" w:hAnsi="Palatino Linotype" w:cs="Times New Roman"/>
          <w:b/>
          <w:shd w:val="clear" w:color="auto" w:fill="FFFFFF"/>
        </w:rPr>
        <w:t>diez</w:t>
      </w:r>
      <w:r w:rsidR="009F09BC" w:rsidRPr="0022712B">
        <w:rPr>
          <w:rFonts w:ascii="Palatino Linotype" w:eastAsia="Times New Roman" w:hAnsi="Palatino Linotype" w:cs="Times New Roman"/>
          <w:b/>
          <w:shd w:val="clear" w:color="auto" w:fill="FFFFFF"/>
        </w:rPr>
        <w:t xml:space="preserve"> días hábiles</w:t>
      </w:r>
      <w:r w:rsidR="009F09BC" w:rsidRPr="0022712B">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9138FA" w:rsidRPr="0022712B" w:rsidRDefault="009138FA" w:rsidP="0022712B">
      <w:pPr>
        <w:tabs>
          <w:tab w:val="left" w:pos="8080"/>
        </w:tabs>
        <w:spacing w:line="360" w:lineRule="auto"/>
        <w:ind w:right="49"/>
        <w:jc w:val="both"/>
        <w:rPr>
          <w:rFonts w:ascii="Palatino Linotype" w:eastAsia="Times New Roman" w:hAnsi="Palatino Linotype" w:cs="Times New Roman"/>
          <w:shd w:val="clear" w:color="auto" w:fill="FFFFFF"/>
        </w:rPr>
      </w:pPr>
    </w:p>
    <w:p w:rsidR="0057514F" w:rsidRDefault="00191C9B" w:rsidP="0022712B">
      <w:pPr>
        <w:spacing w:line="360" w:lineRule="auto"/>
        <w:jc w:val="both"/>
        <w:rPr>
          <w:rFonts w:ascii="Palatino Linotype" w:eastAsia="Calibri" w:hAnsi="Palatino Linotype" w:cs="Arial"/>
          <w:bCs/>
        </w:rPr>
      </w:pPr>
      <w:r>
        <w:rPr>
          <w:rFonts w:ascii="Palatino Linotype" w:hAnsi="Palatino Linotype" w:cs="Arial"/>
          <w:b/>
        </w:rPr>
        <w:t>QUIN</w:t>
      </w:r>
      <w:r w:rsidR="0057514F" w:rsidRPr="0022712B">
        <w:rPr>
          <w:rFonts w:ascii="Palatino Linotype" w:hAnsi="Palatino Linotype" w:cs="Arial"/>
          <w:b/>
        </w:rPr>
        <w:t xml:space="preserve">TO. </w:t>
      </w:r>
      <w:r w:rsidR="0057514F" w:rsidRPr="0022712B">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57514F" w:rsidRPr="0022712B">
        <w:rPr>
          <w:rFonts w:ascii="Palatino Linotype" w:eastAsia="Calibri" w:hAnsi="Palatino Linotype" w:cs="Arial"/>
          <w:b/>
          <w:bCs/>
        </w:rPr>
        <w:t>SUJETO OBLIGADO</w:t>
      </w:r>
      <w:r w:rsidR="0057514F" w:rsidRPr="0022712B">
        <w:rPr>
          <w:rFonts w:ascii="Palatino Linotype" w:eastAsia="Calibri" w:hAnsi="Palatino Linotype" w:cs="Arial"/>
          <w:bCs/>
        </w:rPr>
        <w:t xml:space="preserve"> de manera fundada y motivada, podrá solicitar una ampliación de plazo para el cumplimiento de la presente resolución.</w:t>
      </w:r>
    </w:p>
    <w:p w:rsidR="001354E8" w:rsidRPr="0022712B" w:rsidRDefault="001354E8" w:rsidP="0022712B">
      <w:pPr>
        <w:spacing w:line="360" w:lineRule="auto"/>
        <w:jc w:val="both"/>
        <w:rPr>
          <w:rFonts w:ascii="Palatino Linotype" w:eastAsia="Calibri" w:hAnsi="Palatino Linotype" w:cs="Arial"/>
          <w:bCs/>
        </w:rPr>
      </w:pPr>
    </w:p>
    <w:p w:rsidR="009F09BC" w:rsidRPr="0022712B" w:rsidRDefault="00191C9B" w:rsidP="0022712B">
      <w:pPr>
        <w:tabs>
          <w:tab w:val="left" w:pos="8080"/>
        </w:tabs>
        <w:spacing w:line="360" w:lineRule="auto"/>
        <w:ind w:right="49"/>
        <w:jc w:val="both"/>
        <w:rPr>
          <w:rFonts w:ascii="Palatino Linotype" w:eastAsia="Times New Roman" w:hAnsi="Palatino Linotype" w:cs="Times New Roman"/>
          <w:lang w:val="es-ES" w:eastAsia="es-MX"/>
        </w:rPr>
      </w:pPr>
      <w:bookmarkStart w:id="197" w:name="_Toc492590393"/>
      <w:bookmarkStart w:id="198" w:name="_Toc503891611"/>
      <w:bookmarkStart w:id="199" w:name="_Toc511647759"/>
      <w:bookmarkStart w:id="200" w:name="_Toc511647820"/>
      <w:r>
        <w:rPr>
          <w:rFonts w:ascii="Palatino Linotype" w:eastAsia="Times New Roman" w:hAnsi="Palatino Linotype" w:cs="Times New Roman"/>
          <w:b/>
        </w:rPr>
        <w:t>SEX</w:t>
      </w:r>
      <w:r w:rsidR="009F09BC" w:rsidRPr="0022712B">
        <w:rPr>
          <w:rFonts w:ascii="Palatino Linotype" w:eastAsia="Times New Roman" w:hAnsi="Palatino Linotype" w:cs="Times New Roman"/>
          <w:b/>
        </w:rPr>
        <w:t xml:space="preserve">TO. </w:t>
      </w:r>
      <w:r w:rsidR="009F09BC" w:rsidRPr="0022712B">
        <w:rPr>
          <w:rFonts w:ascii="Palatino Linotype" w:eastAsia="Times New Roman" w:hAnsi="Palatino Linotype" w:cs="Times New Roman"/>
        </w:rPr>
        <w:t>Notifíquese</w:t>
      </w:r>
      <w:bookmarkEnd w:id="197"/>
      <w:bookmarkEnd w:id="198"/>
      <w:bookmarkEnd w:id="199"/>
      <w:bookmarkEnd w:id="200"/>
      <w:r w:rsidR="009F09BC" w:rsidRPr="0022712B">
        <w:rPr>
          <w:rFonts w:ascii="Palatino Linotype" w:eastAsia="Times New Roman" w:hAnsi="Palatino Linotype" w:cs="Times New Roman"/>
        </w:rPr>
        <w:t xml:space="preserve"> a </w:t>
      </w:r>
      <w:r w:rsidR="009F09BC" w:rsidRPr="0022712B">
        <w:rPr>
          <w:rFonts w:ascii="Palatino Linotype" w:eastAsia="Times New Roman" w:hAnsi="Palatino Linotype" w:cs="Times New Roman"/>
          <w:b/>
        </w:rPr>
        <w:t>EL RECURRENTE</w:t>
      </w:r>
      <w:r w:rsidR="009F09BC" w:rsidRPr="0022712B">
        <w:rPr>
          <w:rFonts w:ascii="Palatino Linotype" w:eastAsia="Times New Roman" w:hAnsi="Palatino Linotype" w:cs="Times New Roman"/>
        </w:rPr>
        <w:t xml:space="preserve"> la presente</w:t>
      </w:r>
      <w:r w:rsidR="009F09BC" w:rsidRPr="0022712B">
        <w:rPr>
          <w:rFonts w:ascii="Palatino Linotype" w:eastAsia="Times New Roman" w:hAnsi="Palatino Linotype" w:cs="Times New Roman"/>
          <w:lang w:val="es-ES" w:eastAsia="es-MX"/>
        </w:rPr>
        <w:t xml:space="preserve"> resolución</w:t>
      </w:r>
      <w:r w:rsidR="00CE7B83" w:rsidRPr="0022712B">
        <w:rPr>
          <w:rFonts w:ascii="Palatino Linotype" w:eastAsia="Times New Roman" w:hAnsi="Palatino Linotype" w:cs="Times New Roman"/>
          <w:lang w:val="es-ES" w:eastAsia="es-MX"/>
        </w:rPr>
        <w:t>, vía SAIMEX</w:t>
      </w:r>
      <w:r w:rsidR="006D15D0" w:rsidRPr="0022712B">
        <w:rPr>
          <w:rFonts w:ascii="Palatino Linotype" w:eastAsia="Times New Roman" w:hAnsi="Palatino Linotype" w:cs="Times New Roman"/>
          <w:lang w:val="es-ES" w:eastAsia="es-MX"/>
        </w:rPr>
        <w:t>.</w:t>
      </w:r>
    </w:p>
    <w:p w:rsidR="002D038C" w:rsidRPr="0022712B" w:rsidRDefault="002D038C" w:rsidP="0022712B">
      <w:pPr>
        <w:tabs>
          <w:tab w:val="left" w:pos="8080"/>
        </w:tabs>
        <w:spacing w:line="360" w:lineRule="auto"/>
        <w:ind w:right="49"/>
        <w:jc w:val="both"/>
        <w:rPr>
          <w:rFonts w:ascii="Palatino Linotype" w:eastAsia="Times New Roman" w:hAnsi="Palatino Linotype" w:cs="Times New Roman"/>
          <w:lang w:val="es-ES" w:eastAsia="es-MX"/>
        </w:rPr>
      </w:pPr>
    </w:p>
    <w:p w:rsidR="009F09BC" w:rsidRDefault="00191C9B" w:rsidP="0022712B">
      <w:pPr>
        <w:shd w:val="clear" w:color="auto" w:fill="FFFFFF"/>
        <w:spacing w:line="360" w:lineRule="auto"/>
        <w:jc w:val="both"/>
        <w:rPr>
          <w:rFonts w:ascii="Palatino Linotype" w:eastAsia="Times New Roman" w:hAnsi="Palatino Linotype" w:cs="Times New Roman"/>
          <w:lang w:val="es-ES" w:eastAsia="es-MX"/>
        </w:rPr>
      </w:pPr>
      <w:r w:rsidRPr="0022712B">
        <w:rPr>
          <w:rFonts w:ascii="Palatino Linotype" w:eastAsia="Calibri" w:hAnsi="Palatino Linotype" w:cs="Times New Roman"/>
          <w:b/>
          <w:lang w:val="es-MX" w:eastAsia="en-US"/>
        </w:rPr>
        <w:t>S</w:t>
      </w:r>
      <w:r>
        <w:rPr>
          <w:rFonts w:ascii="Palatino Linotype" w:eastAsia="Calibri" w:hAnsi="Palatino Linotype" w:cs="Times New Roman"/>
          <w:b/>
          <w:lang w:val="es-MX" w:eastAsia="en-US"/>
        </w:rPr>
        <w:t>ÉPTIMO</w:t>
      </w:r>
      <w:r w:rsidR="009F09BC" w:rsidRPr="0022712B">
        <w:rPr>
          <w:rFonts w:ascii="Palatino Linotype" w:eastAsia="Calibri" w:hAnsi="Palatino Linotype" w:cs="Times New Roman"/>
          <w:b/>
          <w:lang w:val="es-MX" w:eastAsia="en-US"/>
        </w:rPr>
        <w:t>.</w:t>
      </w:r>
      <w:r w:rsidR="009F09BC" w:rsidRPr="0022712B">
        <w:rPr>
          <w:rFonts w:ascii="Palatino Linotype" w:eastAsia="Calibri" w:hAnsi="Palatino Linotype" w:cs="Times New Roman"/>
          <w:lang w:val="es-MX" w:eastAsia="en-US"/>
        </w:rPr>
        <w:t xml:space="preserve"> </w:t>
      </w:r>
      <w:r w:rsidR="009F09BC" w:rsidRPr="0022712B">
        <w:rPr>
          <w:rFonts w:ascii="Palatino Linotype" w:eastAsia="Times New Roman" w:hAnsi="Palatino Linotype" w:cs="Times New Roman"/>
          <w:lang w:val="es-ES" w:eastAsia="es-MX"/>
        </w:rPr>
        <w:t xml:space="preserve">Se hace del conocimiento de </w:t>
      </w:r>
      <w:r w:rsidR="009F09BC" w:rsidRPr="0022712B">
        <w:rPr>
          <w:rFonts w:ascii="Palatino Linotype" w:eastAsia="Times New Roman" w:hAnsi="Palatino Linotype" w:cs="Times New Roman"/>
          <w:b/>
          <w:lang w:val="es-ES" w:eastAsia="es-MX"/>
        </w:rPr>
        <w:t>EL RECURRENTE</w:t>
      </w:r>
      <w:r w:rsidR="009F09BC" w:rsidRPr="0022712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22712B">
        <w:rPr>
          <w:rFonts w:ascii="Palatino Linotype" w:eastAsia="Times New Roman" w:hAnsi="Palatino Linotype" w:cs="Times New Roman"/>
          <w:bCs/>
          <w:lang w:val="es-ES" w:eastAsia="es-MX"/>
        </w:rPr>
        <w:t>vía juicio de amparo</w:t>
      </w:r>
      <w:r w:rsidR="009F09BC" w:rsidRPr="0022712B">
        <w:rPr>
          <w:rFonts w:ascii="Palatino Linotype" w:eastAsia="Times New Roman" w:hAnsi="Palatino Linotype" w:cs="Times New Roman"/>
          <w:lang w:val="es-ES" w:eastAsia="es-MX"/>
        </w:rPr>
        <w:t> en los términos de las leyes aplicables.</w:t>
      </w:r>
    </w:p>
    <w:p w:rsidR="00672B13" w:rsidRDefault="00672B13" w:rsidP="0022712B">
      <w:pPr>
        <w:shd w:val="clear" w:color="auto" w:fill="FFFFFF"/>
        <w:spacing w:line="360" w:lineRule="auto"/>
        <w:jc w:val="both"/>
        <w:rPr>
          <w:rFonts w:ascii="Palatino Linotype" w:eastAsia="Times New Roman" w:hAnsi="Palatino Linotype" w:cs="Times New Roman"/>
          <w:lang w:val="es-ES" w:eastAsia="es-MX"/>
        </w:rPr>
      </w:pPr>
    </w:p>
    <w:p w:rsidR="0052712F" w:rsidRDefault="000066E1" w:rsidP="0052712F">
      <w:pPr>
        <w:spacing w:before="240" w:after="240" w:line="360" w:lineRule="auto"/>
        <w:ind w:firstLine="1"/>
        <w:jc w:val="both"/>
        <w:rPr>
          <w:rFonts w:ascii="Palatino Linotype" w:hAnsi="Palatino Linotype"/>
        </w:rPr>
      </w:pPr>
      <w:bookmarkStart w:id="201" w:name="_Hlk129792997"/>
      <w:r>
        <w:rPr>
          <w:rFonts w:ascii="Palatino Linotype" w:hAnsi="Palatino Linotype"/>
        </w:rPr>
        <w:t>ASÍ LO RESUELVE, POR MAYORÍA</w:t>
      </w:r>
      <w:r w:rsidR="0052712F" w:rsidRPr="00A0054B">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hAnsi="Palatino Linotype"/>
        </w:rPr>
        <w:t xml:space="preserve"> </w:t>
      </w:r>
      <w:r>
        <w:rPr>
          <w:rFonts w:ascii="Palatino Linotype" w:hAnsi="Palatino Linotype"/>
        </w:rPr>
        <w:lastRenderedPageBreak/>
        <w:t>EMITIENDO VOTO PARTICULAR</w:t>
      </w:r>
      <w:r w:rsidR="0052712F" w:rsidRPr="00A0054B">
        <w:rPr>
          <w:rFonts w:ascii="Palatino Linotype" w:hAnsi="Palatino Linotype"/>
        </w:rPr>
        <w:t>; MARÍA DEL ROSARIO MEJÍA AYALA; SHARON CRISTINA MORALES MARTÍNEZ</w:t>
      </w:r>
      <w:r>
        <w:rPr>
          <w:rFonts w:ascii="Palatino Linotype" w:hAnsi="Palatino Linotype"/>
        </w:rPr>
        <w:t xml:space="preserve"> EMITIENDO VOTO DISIDENTE</w:t>
      </w:r>
      <w:r w:rsidR="0052712F">
        <w:rPr>
          <w:rFonts w:ascii="Palatino Linotype" w:hAnsi="Palatino Linotype"/>
        </w:rPr>
        <w:t xml:space="preserve">; </w:t>
      </w:r>
      <w:r w:rsidR="0052712F" w:rsidRPr="00A0054B">
        <w:rPr>
          <w:rFonts w:ascii="Palatino Linotype" w:hAnsi="Palatino Linotype"/>
        </w:rPr>
        <w:t>LUIS GUSTAVO PARRA NORIEGA</w:t>
      </w:r>
      <w:r>
        <w:rPr>
          <w:rFonts w:ascii="Palatino Linotype" w:hAnsi="Palatino Linotype"/>
        </w:rPr>
        <w:t xml:space="preserve"> EMITIENDO VOTO PARTICULAR</w:t>
      </w:r>
      <w:r w:rsidR="0052712F" w:rsidRPr="00A0054B">
        <w:rPr>
          <w:rFonts w:ascii="Palatino Linotype" w:hAnsi="Palatino Linotype"/>
        </w:rPr>
        <w:t xml:space="preserve"> Y GUADALUPE RAMÍREZ PEÑA</w:t>
      </w:r>
      <w:r w:rsidR="0052712F">
        <w:rPr>
          <w:rFonts w:ascii="Palatino Linotype" w:hAnsi="Palatino Linotype"/>
        </w:rPr>
        <w:t>,</w:t>
      </w:r>
      <w:r w:rsidR="0052712F" w:rsidRPr="00A0054B">
        <w:rPr>
          <w:rFonts w:ascii="Palatino Linotype" w:hAnsi="Palatino Linotype"/>
        </w:rPr>
        <w:t xml:space="preserve"> EN LA </w:t>
      </w:r>
      <w:r w:rsidR="0052712F">
        <w:rPr>
          <w:rFonts w:ascii="Palatino Linotype" w:hAnsi="Palatino Linotype"/>
        </w:rPr>
        <w:t>DÉCIMA SEGUNDA</w:t>
      </w:r>
      <w:r w:rsidR="0052712F" w:rsidRPr="00A0054B">
        <w:rPr>
          <w:rFonts w:ascii="Palatino Linotype" w:hAnsi="Palatino Linotype"/>
        </w:rPr>
        <w:t xml:space="preserve"> SESIÓN ORDINARIA CELEBRADA EL</w:t>
      </w:r>
      <w:r w:rsidR="0052712F">
        <w:rPr>
          <w:rFonts w:ascii="Palatino Linotype" w:hAnsi="Palatino Linotype"/>
        </w:rPr>
        <w:t xml:space="preserve"> VEINTINUEVE (29)</w:t>
      </w:r>
      <w:r w:rsidR="0052712F" w:rsidRPr="00A0054B">
        <w:rPr>
          <w:rFonts w:ascii="Palatino Linotype" w:hAnsi="Palatino Linotype"/>
        </w:rPr>
        <w:t xml:space="preserve"> DE </w:t>
      </w:r>
      <w:r w:rsidR="0052712F">
        <w:rPr>
          <w:rFonts w:ascii="Palatino Linotype" w:hAnsi="Palatino Linotype"/>
        </w:rPr>
        <w:t>MARZO</w:t>
      </w:r>
      <w:r w:rsidR="0052712F" w:rsidRPr="00A0054B">
        <w:rPr>
          <w:rFonts w:ascii="Palatino Linotype" w:hAnsi="Palatino Linotype"/>
        </w:rPr>
        <w:t xml:space="preserve"> DE DOS MIL VEINTI</w:t>
      </w:r>
      <w:r w:rsidR="0052712F">
        <w:rPr>
          <w:rFonts w:ascii="Palatino Linotype" w:hAnsi="Palatino Linotype"/>
        </w:rPr>
        <w:t>TRÉS</w:t>
      </w:r>
      <w:r w:rsidR="0052712F" w:rsidRPr="00A0054B">
        <w:rPr>
          <w:rFonts w:ascii="Palatino Linotype" w:hAnsi="Palatino Linotype"/>
        </w:rPr>
        <w:t>, ANTE EL SECRETARIO TÉCNICO DEL PLENO ALEXIS TAPIA RAMÍREZ</w:t>
      </w:r>
      <w:r w:rsidR="0052712F">
        <w:rPr>
          <w:rFonts w:ascii="Palatino Linotype" w:hAnsi="Palatino Linotype"/>
        </w:rPr>
        <w:t>.</w:t>
      </w:r>
      <w:r w:rsidR="0052712F" w:rsidRPr="00624AAD">
        <w:rPr>
          <w:rFonts w:ascii="Palatino Linotype" w:hAnsi="Palatino Linotype"/>
        </w:rPr>
        <w:t xml:space="preserve"> </w:t>
      </w:r>
    </w:p>
    <w:bookmarkEnd w:id="201"/>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tabs>
          <w:tab w:val="left" w:pos="3374"/>
        </w:tabs>
        <w:rPr>
          <w:rFonts w:ascii="Palatino Linotype" w:hAnsi="Palatino Linotype"/>
        </w:rPr>
      </w:pPr>
      <w:r w:rsidRPr="0022712B">
        <w:rPr>
          <w:rFonts w:ascii="Palatino Linotype" w:hAnsi="Palatino Linotype"/>
        </w:rPr>
        <w:tab/>
      </w: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sectPr w:rsidR="00053FB7" w:rsidRPr="0022712B" w:rsidSect="00E61C13">
      <w:headerReference w:type="even" r:id="rId17"/>
      <w:headerReference w:type="default" r:id="rId18"/>
      <w:footerReference w:type="default" r:id="rId19"/>
      <w:headerReference w:type="first" r:id="rId20"/>
      <w:footerReference w:type="first" r:id="rId21"/>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3F7" w:rsidRDefault="00A333F7" w:rsidP="003B7751">
      <w:r>
        <w:separator/>
      </w:r>
    </w:p>
  </w:endnote>
  <w:endnote w:type="continuationSeparator" w:id="0">
    <w:p w:rsidR="00A333F7" w:rsidRDefault="00A333F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F24F0" w:rsidRPr="002D6DD8" w:rsidRDefault="00FF24F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69FA">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A69FA">
              <w:rPr>
                <w:rFonts w:ascii="Palatino Linotype" w:hAnsi="Palatino Linotype"/>
                <w:bCs/>
                <w:noProof/>
                <w:sz w:val="20"/>
              </w:rPr>
              <w:t>46</w:t>
            </w:r>
            <w:r>
              <w:rPr>
                <w:rFonts w:ascii="Palatino Linotype" w:hAnsi="Palatino Linotype"/>
                <w:bCs/>
                <w:noProof/>
                <w:sz w:val="20"/>
              </w:rPr>
              <w:fldChar w:fldCharType="end"/>
            </w:r>
          </w:p>
        </w:sdtContent>
      </w:sdt>
    </w:sdtContent>
  </w:sdt>
  <w:p w:rsidR="00FF24F0" w:rsidRDefault="00FF24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F0" w:rsidRPr="000B69FA" w:rsidRDefault="00FF24F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69F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A69FA">
      <w:rPr>
        <w:rFonts w:ascii="Palatino Linotype" w:hAnsi="Palatino Linotype"/>
        <w:bCs/>
        <w:noProof/>
        <w:sz w:val="20"/>
      </w:rPr>
      <w:t>46</w:t>
    </w:r>
    <w:r>
      <w:rPr>
        <w:rFonts w:ascii="Palatino Linotype" w:hAnsi="Palatino Linotype"/>
        <w:bCs/>
        <w:noProof/>
        <w:sz w:val="20"/>
      </w:rPr>
      <w:fldChar w:fldCharType="end"/>
    </w:r>
  </w:p>
  <w:p w:rsidR="00FF24F0" w:rsidRDefault="00FF24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3F7" w:rsidRDefault="00A333F7" w:rsidP="003B7751">
      <w:r>
        <w:separator/>
      </w:r>
    </w:p>
  </w:footnote>
  <w:footnote w:type="continuationSeparator" w:id="0">
    <w:p w:rsidR="00A333F7" w:rsidRDefault="00A333F7" w:rsidP="003B7751">
      <w:r>
        <w:continuationSeparator/>
      </w:r>
    </w:p>
  </w:footnote>
  <w:footnote w:id="1">
    <w:p w:rsidR="00A10DEC" w:rsidRPr="00E70844" w:rsidRDefault="00A10DEC" w:rsidP="00A10DEC">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2">
    <w:p w:rsidR="00A10DEC" w:rsidRPr="009064F6" w:rsidRDefault="00A10DEC" w:rsidP="00A10DEC">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A10DEC" w:rsidRPr="00E70844" w:rsidRDefault="00A10DEC" w:rsidP="00A10DEC">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A10DEC" w:rsidRPr="00E70844" w:rsidRDefault="00A10DEC" w:rsidP="00A10DEC">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Pr>
          <w:rFonts w:ascii="Palatino Linotype" w:hAnsi="Palatino Linotype" w:cs="Arial"/>
          <w:sz w:val="16"/>
          <w:szCs w:val="16"/>
        </w:rPr>
        <w:t>S.A., México. 2006. p. 270.</w:t>
      </w:r>
    </w:p>
    <w:p w:rsidR="00A10DEC" w:rsidRPr="00CE236E" w:rsidRDefault="00A10DEC" w:rsidP="00A10DEC">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F0" w:rsidRDefault="00A333F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F24F0" w:rsidTr="006A04B6">
      <w:trPr>
        <w:trHeight w:val="227"/>
      </w:trPr>
      <w:tc>
        <w:tcPr>
          <w:tcW w:w="2976" w:type="dxa"/>
          <w:vAlign w:val="center"/>
          <w:hideMark/>
        </w:tcPr>
        <w:p w:rsidR="00FF24F0" w:rsidRPr="00674A46" w:rsidRDefault="00FF24F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FF24F0" w:rsidRPr="00485ED8" w:rsidRDefault="00FF24F0" w:rsidP="00E91EFC">
          <w:pPr>
            <w:pStyle w:val="Encabezado"/>
            <w:rPr>
              <w:rFonts w:ascii="Palatino Linotype" w:hAnsi="Palatino Linotype"/>
              <w:b/>
              <w:sz w:val="22"/>
              <w:szCs w:val="22"/>
            </w:rPr>
          </w:pPr>
          <w:r w:rsidRPr="002D4A6F">
            <w:rPr>
              <w:rFonts w:ascii="Palatino Linotype" w:hAnsi="Palatino Linotype" w:cs="Arial"/>
              <w:b/>
              <w:bCs/>
              <w:sz w:val="22"/>
              <w:szCs w:val="22"/>
              <w:lang w:eastAsia="es-MX"/>
            </w:rPr>
            <w:t>00433/INFOEM/IP/RR/2023</w:t>
          </w:r>
          <w:r w:rsidR="00204C93">
            <w:rPr>
              <w:rFonts w:ascii="Palatino Linotype" w:hAnsi="Palatino Linotype" w:cs="Arial"/>
              <w:b/>
              <w:bCs/>
              <w:sz w:val="22"/>
              <w:szCs w:val="22"/>
              <w:lang w:eastAsia="es-MX"/>
            </w:rPr>
            <w:t xml:space="preserve"> y acumulado</w:t>
          </w:r>
        </w:p>
      </w:tc>
    </w:tr>
    <w:tr w:rsidR="00FF24F0" w:rsidTr="006A04B6">
      <w:trPr>
        <w:trHeight w:val="242"/>
      </w:trPr>
      <w:tc>
        <w:tcPr>
          <w:tcW w:w="2976" w:type="dxa"/>
          <w:vAlign w:val="center"/>
          <w:hideMark/>
        </w:tcPr>
        <w:p w:rsidR="00FF24F0" w:rsidRPr="00674A46" w:rsidRDefault="00FF24F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FF24F0" w:rsidRPr="00485ED8" w:rsidRDefault="00FF24F0" w:rsidP="0038112D">
          <w:pPr>
            <w:pStyle w:val="Encabezado"/>
            <w:jc w:val="both"/>
            <w:rPr>
              <w:rFonts w:ascii="Palatino Linotype" w:hAnsi="Palatino Linotype"/>
              <w:b/>
              <w:sz w:val="22"/>
              <w:szCs w:val="22"/>
            </w:rPr>
          </w:pPr>
          <w:r w:rsidRPr="002D4A6F">
            <w:rPr>
              <w:rFonts w:ascii="Palatino Linotype" w:hAnsi="Palatino Linotype"/>
              <w:b/>
              <w:bCs/>
              <w:color w:val="000000"/>
              <w:sz w:val="22"/>
              <w:szCs w:val="22"/>
            </w:rPr>
            <w:t>Ayuntamiento de Atenco</w:t>
          </w:r>
        </w:p>
      </w:tc>
    </w:tr>
    <w:tr w:rsidR="00FF24F0" w:rsidTr="006A04B6">
      <w:trPr>
        <w:trHeight w:val="342"/>
      </w:trPr>
      <w:tc>
        <w:tcPr>
          <w:tcW w:w="2976" w:type="dxa"/>
          <w:vAlign w:val="center"/>
          <w:hideMark/>
        </w:tcPr>
        <w:p w:rsidR="00FF24F0" w:rsidRPr="00674A46" w:rsidRDefault="00FF24F0"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FF24F0" w:rsidRPr="00485ED8" w:rsidRDefault="00FF24F0"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FF24F0" w:rsidRPr="00AE046A" w:rsidRDefault="00A333F7"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F24F0" w:rsidTr="006A04B6">
      <w:trPr>
        <w:trHeight w:val="227"/>
      </w:trPr>
      <w:tc>
        <w:tcPr>
          <w:tcW w:w="2977" w:type="dxa"/>
          <w:vAlign w:val="center"/>
          <w:hideMark/>
        </w:tcPr>
        <w:p w:rsidR="00FF24F0" w:rsidRPr="00674A46" w:rsidRDefault="00FF24F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FF24F0" w:rsidRPr="00485ED8" w:rsidRDefault="00FF24F0" w:rsidP="00DA7E88">
          <w:pPr>
            <w:pStyle w:val="Encabezado"/>
            <w:rPr>
              <w:rFonts w:ascii="Palatino Linotype" w:hAnsi="Palatino Linotype"/>
              <w:b/>
              <w:sz w:val="22"/>
              <w:szCs w:val="22"/>
            </w:rPr>
          </w:pPr>
          <w:r w:rsidRPr="002D4A6F">
            <w:rPr>
              <w:rFonts w:ascii="Palatino Linotype" w:hAnsi="Palatino Linotype" w:cs="Arial"/>
              <w:b/>
              <w:bCs/>
              <w:sz w:val="22"/>
              <w:szCs w:val="22"/>
              <w:lang w:eastAsia="es-MX"/>
            </w:rPr>
            <w:t>00433/INFOEM/IP/RR/2023</w:t>
          </w:r>
          <w:r w:rsidR="00204C93">
            <w:rPr>
              <w:rFonts w:ascii="Palatino Linotype" w:hAnsi="Palatino Linotype" w:cs="Arial"/>
              <w:b/>
              <w:bCs/>
              <w:sz w:val="22"/>
              <w:szCs w:val="22"/>
              <w:lang w:eastAsia="es-MX"/>
            </w:rPr>
            <w:t xml:space="preserve"> y acumulado</w:t>
          </w:r>
        </w:p>
      </w:tc>
    </w:tr>
    <w:tr w:rsidR="00FF24F0" w:rsidTr="00652937">
      <w:trPr>
        <w:trHeight w:val="242"/>
      </w:trPr>
      <w:tc>
        <w:tcPr>
          <w:tcW w:w="2977" w:type="dxa"/>
          <w:vAlign w:val="center"/>
          <w:hideMark/>
        </w:tcPr>
        <w:p w:rsidR="00FF24F0" w:rsidRPr="00674A46" w:rsidRDefault="00FF24F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FF24F0" w:rsidRPr="00B75F20" w:rsidRDefault="000A69FA" w:rsidP="000A69FA">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XXXXXXX</w:t>
          </w:r>
        </w:p>
      </w:tc>
    </w:tr>
    <w:tr w:rsidR="00FF24F0" w:rsidTr="006A04B6">
      <w:trPr>
        <w:trHeight w:val="342"/>
      </w:trPr>
      <w:tc>
        <w:tcPr>
          <w:tcW w:w="2977" w:type="dxa"/>
          <w:vAlign w:val="center"/>
        </w:tcPr>
        <w:p w:rsidR="00FF24F0" w:rsidRPr="00674A46" w:rsidRDefault="00FF24F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FF24F0" w:rsidRPr="00674A46" w:rsidRDefault="00FF24F0" w:rsidP="009F09BC">
          <w:pPr>
            <w:pStyle w:val="Encabezado"/>
            <w:jc w:val="both"/>
            <w:rPr>
              <w:rFonts w:ascii="Palatino Linotype" w:hAnsi="Palatino Linotype"/>
              <w:b/>
              <w:sz w:val="22"/>
              <w:szCs w:val="22"/>
            </w:rPr>
          </w:pPr>
          <w:r w:rsidRPr="002D4A6F">
            <w:rPr>
              <w:rFonts w:ascii="Palatino Linotype" w:hAnsi="Palatino Linotype"/>
              <w:b/>
              <w:bCs/>
              <w:color w:val="000000"/>
              <w:sz w:val="22"/>
              <w:szCs w:val="22"/>
            </w:rPr>
            <w:t>Ayuntamiento de Atenco</w:t>
          </w:r>
        </w:p>
      </w:tc>
    </w:tr>
    <w:tr w:rsidR="00FF24F0" w:rsidTr="006A04B6">
      <w:trPr>
        <w:trHeight w:val="342"/>
      </w:trPr>
      <w:tc>
        <w:tcPr>
          <w:tcW w:w="2977" w:type="dxa"/>
          <w:vAlign w:val="center"/>
        </w:tcPr>
        <w:p w:rsidR="00FF24F0" w:rsidRPr="00674A46" w:rsidRDefault="00FF24F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FF24F0" w:rsidRPr="00674A46" w:rsidRDefault="00FF24F0"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FF24F0" w:rsidRPr="00C222C0" w:rsidRDefault="00A333F7">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D0660D"/>
    <w:multiLevelType w:val="hybridMultilevel"/>
    <w:tmpl w:val="81B68360"/>
    <w:lvl w:ilvl="0" w:tplc="490E2B58">
      <w:start w:val="45"/>
      <w:numFmt w:val="decimal"/>
      <w:lvlText w:val="%1."/>
      <w:lvlJc w:val="left"/>
      <w:pPr>
        <w:ind w:left="4472" w:hanging="360"/>
      </w:pPr>
      <w:rPr>
        <w:rFonts w:ascii="Palatino Linotype" w:hAnsi="Palatino Linotype"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381B46"/>
    <w:multiLevelType w:val="hybridMultilevel"/>
    <w:tmpl w:val="FEFEF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6">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5"/>
  </w:num>
  <w:num w:numId="8">
    <w:abstractNumId w:val="1"/>
  </w:num>
  <w:num w:numId="9">
    <w:abstractNumId w:val="36"/>
  </w:num>
  <w:num w:numId="10">
    <w:abstractNumId w:val="23"/>
  </w:num>
  <w:num w:numId="11">
    <w:abstractNumId w:val="17"/>
  </w:num>
  <w:num w:numId="12">
    <w:abstractNumId w:val="27"/>
  </w:num>
  <w:num w:numId="13">
    <w:abstractNumId w:val="38"/>
  </w:num>
  <w:num w:numId="14">
    <w:abstractNumId w:val="7"/>
  </w:num>
  <w:num w:numId="15">
    <w:abstractNumId w:val="20"/>
  </w:num>
  <w:num w:numId="16">
    <w:abstractNumId w:val="32"/>
  </w:num>
  <w:num w:numId="17">
    <w:abstractNumId w:val="13"/>
  </w:num>
  <w:num w:numId="18">
    <w:abstractNumId w:val="29"/>
  </w:num>
  <w:num w:numId="19">
    <w:abstractNumId w:val="39"/>
  </w:num>
  <w:num w:numId="20">
    <w:abstractNumId w:val="21"/>
  </w:num>
  <w:num w:numId="21">
    <w:abstractNumId w:val="26"/>
  </w:num>
  <w:num w:numId="22">
    <w:abstractNumId w:val="18"/>
  </w:num>
  <w:num w:numId="23">
    <w:abstractNumId w:val="45"/>
  </w:num>
  <w:num w:numId="24">
    <w:abstractNumId w:val="11"/>
  </w:num>
  <w:num w:numId="25">
    <w:abstractNumId w:val="34"/>
  </w:num>
  <w:num w:numId="26">
    <w:abstractNumId w:val="25"/>
  </w:num>
  <w:num w:numId="27">
    <w:abstractNumId w:val="9"/>
  </w:num>
  <w:num w:numId="28">
    <w:abstractNumId w:val="35"/>
  </w:num>
  <w:num w:numId="29">
    <w:abstractNumId w:val="31"/>
  </w:num>
  <w:num w:numId="30">
    <w:abstractNumId w:val="28"/>
  </w:num>
  <w:num w:numId="31">
    <w:abstractNumId w:val="42"/>
  </w:num>
  <w:num w:numId="32">
    <w:abstractNumId w:val="22"/>
  </w:num>
  <w:num w:numId="33">
    <w:abstractNumId w:val="12"/>
  </w:num>
  <w:num w:numId="34">
    <w:abstractNumId w:val="16"/>
  </w:num>
  <w:num w:numId="35">
    <w:abstractNumId w:val="10"/>
  </w:num>
  <w:num w:numId="36">
    <w:abstractNumId w:val="40"/>
  </w:num>
  <w:num w:numId="37">
    <w:abstractNumId w:val="30"/>
  </w:num>
  <w:num w:numId="38">
    <w:abstractNumId w:val="24"/>
  </w:num>
  <w:num w:numId="39">
    <w:abstractNumId w:val="2"/>
  </w:num>
  <w:num w:numId="40">
    <w:abstractNumId w:val="3"/>
  </w:num>
  <w:num w:numId="41">
    <w:abstractNumId w:val="43"/>
  </w:num>
  <w:num w:numId="42">
    <w:abstractNumId w:val="37"/>
  </w:num>
  <w:num w:numId="43">
    <w:abstractNumId w:val="47"/>
  </w:num>
  <w:num w:numId="44">
    <w:abstractNumId w:val="4"/>
  </w:num>
  <w:num w:numId="45">
    <w:abstractNumId w:val="33"/>
  </w:num>
  <w:num w:numId="46">
    <w:abstractNumId w:val="41"/>
  </w:num>
  <w:num w:numId="47">
    <w:abstractNumId w:val="46"/>
  </w:num>
  <w:num w:numId="48">
    <w:abstractNumId w:val="0"/>
  </w:num>
  <w:num w:numId="49">
    <w:abstractNumId w:val="44"/>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5CE9"/>
    <w:rsid w:val="000066E1"/>
    <w:rsid w:val="000067B3"/>
    <w:rsid w:val="00010C43"/>
    <w:rsid w:val="0001674C"/>
    <w:rsid w:val="00020780"/>
    <w:rsid w:val="00025C53"/>
    <w:rsid w:val="00027E51"/>
    <w:rsid w:val="00030FBC"/>
    <w:rsid w:val="000339F1"/>
    <w:rsid w:val="00036137"/>
    <w:rsid w:val="000373F6"/>
    <w:rsid w:val="00040C77"/>
    <w:rsid w:val="0005098B"/>
    <w:rsid w:val="00051287"/>
    <w:rsid w:val="00053FB7"/>
    <w:rsid w:val="00060415"/>
    <w:rsid w:val="0006528F"/>
    <w:rsid w:val="0007639B"/>
    <w:rsid w:val="000803F7"/>
    <w:rsid w:val="0008243D"/>
    <w:rsid w:val="0008260D"/>
    <w:rsid w:val="000A3C64"/>
    <w:rsid w:val="000A69FA"/>
    <w:rsid w:val="000B5902"/>
    <w:rsid w:val="000C5024"/>
    <w:rsid w:val="000E17FD"/>
    <w:rsid w:val="000E1A02"/>
    <w:rsid w:val="000E1E96"/>
    <w:rsid w:val="000E2FA3"/>
    <w:rsid w:val="000E4891"/>
    <w:rsid w:val="000F1081"/>
    <w:rsid w:val="000F3482"/>
    <w:rsid w:val="00107D97"/>
    <w:rsid w:val="0011393B"/>
    <w:rsid w:val="00114502"/>
    <w:rsid w:val="00124FD1"/>
    <w:rsid w:val="00133365"/>
    <w:rsid w:val="001352F5"/>
    <w:rsid w:val="001354E8"/>
    <w:rsid w:val="00164E1A"/>
    <w:rsid w:val="00170D82"/>
    <w:rsid w:val="00173F2B"/>
    <w:rsid w:val="00180C74"/>
    <w:rsid w:val="00191C9B"/>
    <w:rsid w:val="001A18E7"/>
    <w:rsid w:val="001A641B"/>
    <w:rsid w:val="001B4AA4"/>
    <w:rsid w:val="001C4290"/>
    <w:rsid w:val="001D02D1"/>
    <w:rsid w:val="001D23C1"/>
    <w:rsid w:val="001D373F"/>
    <w:rsid w:val="001D5404"/>
    <w:rsid w:val="001D630C"/>
    <w:rsid w:val="001E755B"/>
    <w:rsid w:val="0020474E"/>
    <w:rsid w:val="00204C93"/>
    <w:rsid w:val="00216D6C"/>
    <w:rsid w:val="00216E80"/>
    <w:rsid w:val="00220982"/>
    <w:rsid w:val="002223AA"/>
    <w:rsid w:val="00223C06"/>
    <w:rsid w:val="0022712B"/>
    <w:rsid w:val="00232181"/>
    <w:rsid w:val="002363C0"/>
    <w:rsid w:val="00237FA4"/>
    <w:rsid w:val="002439C9"/>
    <w:rsid w:val="002453DA"/>
    <w:rsid w:val="00264C9A"/>
    <w:rsid w:val="002650A0"/>
    <w:rsid w:val="00272CA2"/>
    <w:rsid w:val="002731D1"/>
    <w:rsid w:val="00277FAC"/>
    <w:rsid w:val="002901F4"/>
    <w:rsid w:val="00291500"/>
    <w:rsid w:val="0029279F"/>
    <w:rsid w:val="002A3B71"/>
    <w:rsid w:val="002C0D3C"/>
    <w:rsid w:val="002C3821"/>
    <w:rsid w:val="002C4997"/>
    <w:rsid w:val="002D038C"/>
    <w:rsid w:val="002D294C"/>
    <w:rsid w:val="002D4A6F"/>
    <w:rsid w:val="0030094A"/>
    <w:rsid w:val="0031067B"/>
    <w:rsid w:val="00312281"/>
    <w:rsid w:val="00323FFD"/>
    <w:rsid w:val="003437D9"/>
    <w:rsid w:val="00345E51"/>
    <w:rsid w:val="00353F1D"/>
    <w:rsid w:val="0037157C"/>
    <w:rsid w:val="00373AC7"/>
    <w:rsid w:val="00377D00"/>
    <w:rsid w:val="0038112D"/>
    <w:rsid w:val="003833B3"/>
    <w:rsid w:val="003933C4"/>
    <w:rsid w:val="003A15C8"/>
    <w:rsid w:val="003A367F"/>
    <w:rsid w:val="003B7751"/>
    <w:rsid w:val="003C13F1"/>
    <w:rsid w:val="003C4E77"/>
    <w:rsid w:val="003E66D2"/>
    <w:rsid w:val="003F6F43"/>
    <w:rsid w:val="00403D64"/>
    <w:rsid w:val="004042B0"/>
    <w:rsid w:val="00407FDA"/>
    <w:rsid w:val="004118FA"/>
    <w:rsid w:val="00425842"/>
    <w:rsid w:val="00427F60"/>
    <w:rsid w:val="00437672"/>
    <w:rsid w:val="004435B4"/>
    <w:rsid w:val="00455665"/>
    <w:rsid w:val="00456CFF"/>
    <w:rsid w:val="0047004A"/>
    <w:rsid w:val="00475E96"/>
    <w:rsid w:val="0048403D"/>
    <w:rsid w:val="00486653"/>
    <w:rsid w:val="004C437E"/>
    <w:rsid w:val="004C66B3"/>
    <w:rsid w:val="004E4EE6"/>
    <w:rsid w:val="004E4F6D"/>
    <w:rsid w:val="004E6CE4"/>
    <w:rsid w:val="004F34D1"/>
    <w:rsid w:val="0050702D"/>
    <w:rsid w:val="0051715A"/>
    <w:rsid w:val="00521DE8"/>
    <w:rsid w:val="0052712F"/>
    <w:rsid w:val="0053097F"/>
    <w:rsid w:val="005331D8"/>
    <w:rsid w:val="00541549"/>
    <w:rsid w:val="005432D0"/>
    <w:rsid w:val="00546076"/>
    <w:rsid w:val="00547ACE"/>
    <w:rsid w:val="005507B0"/>
    <w:rsid w:val="00554A21"/>
    <w:rsid w:val="00556E0A"/>
    <w:rsid w:val="00563F2E"/>
    <w:rsid w:val="005651FB"/>
    <w:rsid w:val="0056765C"/>
    <w:rsid w:val="0057514F"/>
    <w:rsid w:val="00575E75"/>
    <w:rsid w:val="00583A39"/>
    <w:rsid w:val="0059223D"/>
    <w:rsid w:val="005936F0"/>
    <w:rsid w:val="005951D0"/>
    <w:rsid w:val="0059560D"/>
    <w:rsid w:val="005A2081"/>
    <w:rsid w:val="005B076D"/>
    <w:rsid w:val="005B6702"/>
    <w:rsid w:val="005C5021"/>
    <w:rsid w:val="005D0940"/>
    <w:rsid w:val="005D2F1C"/>
    <w:rsid w:val="005D4C57"/>
    <w:rsid w:val="005D7F9B"/>
    <w:rsid w:val="005E475B"/>
    <w:rsid w:val="005F799C"/>
    <w:rsid w:val="0062406B"/>
    <w:rsid w:val="006249E2"/>
    <w:rsid w:val="00627A97"/>
    <w:rsid w:val="00631E57"/>
    <w:rsid w:val="00641C09"/>
    <w:rsid w:val="00647F7C"/>
    <w:rsid w:val="006501FC"/>
    <w:rsid w:val="00652937"/>
    <w:rsid w:val="00657639"/>
    <w:rsid w:val="006606D4"/>
    <w:rsid w:val="0066229C"/>
    <w:rsid w:val="006672E1"/>
    <w:rsid w:val="00672B13"/>
    <w:rsid w:val="00680C93"/>
    <w:rsid w:val="00694285"/>
    <w:rsid w:val="006A04B6"/>
    <w:rsid w:val="006A6390"/>
    <w:rsid w:val="006A6CD1"/>
    <w:rsid w:val="006C0B84"/>
    <w:rsid w:val="006C20C0"/>
    <w:rsid w:val="006D15D0"/>
    <w:rsid w:val="006D2245"/>
    <w:rsid w:val="006D6CC1"/>
    <w:rsid w:val="006E7397"/>
    <w:rsid w:val="006E7C94"/>
    <w:rsid w:val="006F61AB"/>
    <w:rsid w:val="0070176B"/>
    <w:rsid w:val="00705BFF"/>
    <w:rsid w:val="00711062"/>
    <w:rsid w:val="007142AB"/>
    <w:rsid w:val="007142D6"/>
    <w:rsid w:val="00716BCA"/>
    <w:rsid w:val="00720371"/>
    <w:rsid w:val="00740F9D"/>
    <w:rsid w:val="0074110E"/>
    <w:rsid w:val="00742823"/>
    <w:rsid w:val="0074722D"/>
    <w:rsid w:val="00762964"/>
    <w:rsid w:val="0076333B"/>
    <w:rsid w:val="00767FB6"/>
    <w:rsid w:val="00775EB2"/>
    <w:rsid w:val="007762D9"/>
    <w:rsid w:val="00782215"/>
    <w:rsid w:val="00782A12"/>
    <w:rsid w:val="007851DB"/>
    <w:rsid w:val="00786301"/>
    <w:rsid w:val="007A3215"/>
    <w:rsid w:val="007A33A8"/>
    <w:rsid w:val="007A460E"/>
    <w:rsid w:val="007A6A1A"/>
    <w:rsid w:val="007C1410"/>
    <w:rsid w:val="007D3805"/>
    <w:rsid w:val="007E37B2"/>
    <w:rsid w:val="007F0225"/>
    <w:rsid w:val="00800FCD"/>
    <w:rsid w:val="00801AA0"/>
    <w:rsid w:val="00804DAA"/>
    <w:rsid w:val="0082142B"/>
    <w:rsid w:val="008227A9"/>
    <w:rsid w:val="008468BF"/>
    <w:rsid w:val="008526F4"/>
    <w:rsid w:val="00854C86"/>
    <w:rsid w:val="008563C8"/>
    <w:rsid w:val="008573BF"/>
    <w:rsid w:val="00864AF6"/>
    <w:rsid w:val="0086792A"/>
    <w:rsid w:val="00873EB6"/>
    <w:rsid w:val="00882D5B"/>
    <w:rsid w:val="00883FFD"/>
    <w:rsid w:val="0088693D"/>
    <w:rsid w:val="0088704F"/>
    <w:rsid w:val="00897A84"/>
    <w:rsid w:val="008A699B"/>
    <w:rsid w:val="008A6CDD"/>
    <w:rsid w:val="008B0637"/>
    <w:rsid w:val="008C1ED7"/>
    <w:rsid w:val="008C78AB"/>
    <w:rsid w:val="008E330F"/>
    <w:rsid w:val="008E6574"/>
    <w:rsid w:val="008F4EEE"/>
    <w:rsid w:val="008F5B26"/>
    <w:rsid w:val="008F6998"/>
    <w:rsid w:val="008F6D18"/>
    <w:rsid w:val="00911A75"/>
    <w:rsid w:val="009126F1"/>
    <w:rsid w:val="009138FA"/>
    <w:rsid w:val="009335F9"/>
    <w:rsid w:val="00945135"/>
    <w:rsid w:val="00955B91"/>
    <w:rsid w:val="00971BDF"/>
    <w:rsid w:val="0097477E"/>
    <w:rsid w:val="00990C31"/>
    <w:rsid w:val="009972BB"/>
    <w:rsid w:val="009A2251"/>
    <w:rsid w:val="009C21E8"/>
    <w:rsid w:val="009C777C"/>
    <w:rsid w:val="009D5A32"/>
    <w:rsid w:val="009E68D3"/>
    <w:rsid w:val="009F0255"/>
    <w:rsid w:val="009F09BC"/>
    <w:rsid w:val="009F68BF"/>
    <w:rsid w:val="00A10DEC"/>
    <w:rsid w:val="00A23E82"/>
    <w:rsid w:val="00A305ED"/>
    <w:rsid w:val="00A333F7"/>
    <w:rsid w:val="00A422EB"/>
    <w:rsid w:val="00A436F3"/>
    <w:rsid w:val="00A626EB"/>
    <w:rsid w:val="00A96F42"/>
    <w:rsid w:val="00AA1A8C"/>
    <w:rsid w:val="00AA334C"/>
    <w:rsid w:val="00AA638B"/>
    <w:rsid w:val="00AB181B"/>
    <w:rsid w:val="00AC1C2B"/>
    <w:rsid w:val="00AD3140"/>
    <w:rsid w:val="00AD316E"/>
    <w:rsid w:val="00AD5A27"/>
    <w:rsid w:val="00AD63B4"/>
    <w:rsid w:val="00AE2CF6"/>
    <w:rsid w:val="00AF4BBC"/>
    <w:rsid w:val="00B07BF8"/>
    <w:rsid w:val="00B11CDD"/>
    <w:rsid w:val="00B33720"/>
    <w:rsid w:val="00B47F29"/>
    <w:rsid w:val="00B530E8"/>
    <w:rsid w:val="00B53F53"/>
    <w:rsid w:val="00B60CC6"/>
    <w:rsid w:val="00B6183C"/>
    <w:rsid w:val="00B73AC2"/>
    <w:rsid w:val="00B85EB8"/>
    <w:rsid w:val="00B86242"/>
    <w:rsid w:val="00B974A4"/>
    <w:rsid w:val="00BA1621"/>
    <w:rsid w:val="00BA4537"/>
    <w:rsid w:val="00BC0FE1"/>
    <w:rsid w:val="00BC7175"/>
    <w:rsid w:val="00BE0A62"/>
    <w:rsid w:val="00BE2A9D"/>
    <w:rsid w:val="00BF3FB5"/>
    <w:rsid w:val="00C00157"/>
    <w:rsid w:val="00C03BA3"/>
    <w:rsid w:val="00C0715F"/>
    <w:rsid w:val="00C10217"/>
    <w:rsid w:val="00C105CC"/>
    <w:rsid w:val="00C14F2A"/>
    <w:rsid w:val="00C21FAE"/>
    <w:rsid w:val="00C242A7"/>
    <w:rsid w:val="00C41B2B"/>
    <w:rsid w:val="00C41E57"/>
    <w:rsid w:val="00C47C3D"/>
    <w:rsid w:val="00C47D9C"/>
    <w:rsid w:val="00C54D99"/>
    <w:rsid w:val="00C56C16"/>
    <w:rsid w:val="00C61097"/>
    <w:rsid w:val="00C63AE3"/>
    <w:rsid w:val="00C70A2E"/>
    <w:rsid w:val="00C85E64"/>
    <w:rsid w:val="00C87396"/>
    <w:rsid w:val="00C90814"/>
    <w:rsid w:val="00C91F0F"/>
    <w:rsid w:val="00C9210D"/>
    <w:rsid w:val="00CA1063"/>
    <w:rsid w:val="00CB757D"/>
    <w:rsid w:val="00CB7763"/>
    <w:rsid w:val="00CC5B2F"/>
    <w:rsid w:val="00CD6207"/>
    <w:rsid w:val="00CD79A0"/>
    <w:rsid w:val="00CE7B83"/>
    <w:rsid w:val="00CF0D2B"/>
    <w:rsid w:val="00CF6496"/>
    <w:rsid w:val="00D021A5"/>
    <w:rsid w:val="00D16FC7"/>
    <w:rsid w:val="00D262BF"/>
    <w:rsid w:val="00D30C5D"/>
    <w:rsid w:val="00D31FC8"/>
    <w:rsid w:val="00D41237"/>
    <w:rsid w:val="00D47231"/>
    <w:rsid w:val="00D6224B"/>
    <w:rsid w:val="00D6651B"/>
    <w:rsid w:val="00D67994"/>
    <w:rsid w:val="00D74318"/>
    <w:rsid w:val="00D7590F"/>
    <w:rsid w:val="00D81329"/>
    <w:rsid w:val="00D84DEA"/>
    <w:rsid w:val="00D87A9D"/>
    <w:rsid w:val="00D96104"/>
    <w:rsid w:val="00DA6D37"/>
    <w:rsid w:val="00DA7E88"/>
    <w:rsid w:val="00DB753F"/>
    <w:rsid w:val="00DD6827"/>
    <w:rsid w:val="00DE2F5A"/>
    <w:rsid w:val="00DE5BF3"/>
    <w:rsid w:val="00DF03A5"/>
    <w:rsid w:val="00E118BA"/>
    <w:rsid w:val="00E17429"/>
    <w:rsid w:val="00E234BB"/>
    <w:rsid w:val="00E372FA"/>
    <w:rsid w:val="00E47A2C"/>
    <w:rsid w:val="00E54E75"/>
    <w:rsid w:val="00E56172"/>
    <w:rsid w:val="00E5636B"/>
    <w:rsid w:val="00E566C9"/>
    <w:rsid w:val="00E56C92"/>
    <w:rsid w:val="00E61C13"/>
    <w:rsid w:val="00E61DA9"/>
    <w:rsid w:val="00E91EFC"/>
    <w:rsid w:val="00E92E04"/>
    <w:rsid w:val="00E93ABB"/>
    <w:rsid w:val="00E96F84"/>
    <w:rsid w:val="00EA531E"/>
    <w:rsid w:val="00EB6523"/>
    <w:rsid w:val="00ED1D6B"/>
    <w:rsid w:val="00ED3A35"/>
    <w:rsid w:val="00ED6E75"/>
    <w:rsid w:val="00F02A1C"/>
    <w:rsid w:val="00F137B9"/>
    <w:rsid w:val="00F13E3C"/>
    <w:rsid w:val="00F24A04"/>
    <w:rsid w:val="00F35B0C"/>
    <w:rsid w:val="00F42ADB"/>
    <w:rsid w:val="00F474CE"/>
    <w:rsid w:val="00F52E40"/>
    <w:rsid w:val="00F55C6C"/>
    <w:rsid w:val="00F67EDE"/>
    <w:rsid w:val="00F72588"/>
    <w:rsid w:val="00F7371C"/>
    <w:rsid w:val="00F82A04"/>
    <w:rsid w:val="00F90554"/>
    <w:rsid w:val="00F946B5"/>
    <w:rsid w:val="00FA32CE"/>
    <w:rsid w:val="00FB10FD"/>
    <w:rsid w:val="00FB6D42"/>
    <w:rsid w:val="00FD2FA4"/>
    <w:rsid w:val="00FE3FBE"/>
    <w:rsid w:val="00FE6761"/>
    <w:rsid w:val="00FF163B"/>
    <w:rsid w:val="00FF24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47074">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B833A-60BB-4C26-8868-67BDAC23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46</Pages>
  <Words>10559</Words>
  <Characters>58080</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2023-03-28T16:33:00Z</dcterms:created>
  <dcterms:modified xsi:type="dcterms:W3CDTF">2023-04-11T00:23:00Z</dcterms:modified>
</cp:coreProperties>
</file>