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86636" w14:textId="77777777" w:rsidR="00B45B91" w:rsidRPr="00660089" w:rsidRDefault="00B45B91" w:rsidP="00BF3E35">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D0A9F">
        <w:rPr>
          <w:rFonts w:ascii="Palatino Linotype" w:eastAsia="Times New Roman" w:hAnsi="Palatino Linotype" w:cs="Arial"/>
          <w:color w:val="000000"/>
          <w:sz w:val="24"/>
          <w:szCs w:val="24"/>
          <w:lang w:eastAsia="es-MX"/>
        </w:rPr>
        <w:t>cuatro</w:t>
      </w:r>
      <w:r w:rsidR="00106010">
        <w:rPr>
          <w:rFonts w:ascii="Palatino Linotype" w:eastAsia="Times New Roman" w:hAnsi="Palatino Linotype" w:cs="Arial"/>
          <w:color w:val="000000"/>
          <w:sz w:val="24"/>
          <w:szCs w:val="24"/>
          <w:lang w:eastAsia="es-MX"/>
        </w:rPr>
        <w:t xml:space="preserve"> de mayo</w:t>
      </w:r>
      <w:r w:rsidRPr="00660089">
        <w:rPr>
          <w:rFonts w:ascii="Palatino Linotype" w:eastAsia="Times New Roman" w:hAnsi="Palatino Linotype" w:cs="Arial"/>
          <w:color w:val="000000"/>
          <w:sz w:val="24"/>
          <w:szCs w:val="24"/>
          <w:lang w:eastAsia="es-MX"/>
        </w:rPr>
        <w:t xml:space="preserve"> 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14:paraId="0E55F27F" w14:textId="77777777" w:rsidR="00B45B91" w:rsidRPr="00660089" w:rsidRDefault="00B45B91" w:rsidP="00BF3E3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244B38D" w14:textId="77777777" w:rsidR="00B45B91" w:rsidRPr="00360DF2" w:rsidRDefault="00B45B91" w:rsidP="00BF3E35">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r w:rsidRPr="00360DF2">
        <w:rPr>
          <w:rFonts w:ascii="Palatino Linotype" w:hAnsi="Palatino Linotype" w:cs="Arial"/>
          <w:b/>
          <w:bCs/>
          <w:sz w:val="24"/>
          <w:szCs w:val="24"/>
          <w:lang w:eastAsia="es-MX"/>
        </w:rPr>
        <w:t>0</w:t>
      </w:r>
      <w:r>
        <w:rPr>
          <w:rFonts w:ascii="Palatino Linotype" w:hAnsi="Palatino Linotype" w:cs="Arial"/>
          <w:b/>
          <w:bCs/>
          <w:sz w:val="24"/>
          <w:szCs w:val="24"/>
          <w:lang w:eastAsia="es-MX"/>
        </w:rPr>
        <w:t>0820</w:t>
      </w:r>
      <w:r w:rsidRPr="00360DF2">
        <w:rPr>
          <w:rFonts w:ascii="Palatino Linotype" w:hAnsi="Palatino Linotype" w:cs="Arial"/>
          <w:b/>
          <w:bCs/>
          <w:sz w:val="24"/>
          <w:szCs w:val="24"/>
          <w:lang w:eastAsia="es-MX"/>
        </w:rPr>
        <w:t>/</w:t>
      </w:r>
      <w:proofErr w:type="spellStart"/>
      <w:r w:rsidRPr="00360DF2">
        <w:rPr>
          <w:rFonts w:ascii="Palatino Linotype" w:hAnsi="Palatino Linotype" w:cs="Arial"/>
          <w:b/>
          <w:bCs/>
          <w:sz w:val="24"/>
          <w:szCs w:val="24"/>
          <w:lang w:eastAsia="es-MX"/>
        </w:rPr>
        <w:t>INFOEM</w:t>
      </w:r>
      <w:proofErr w:type="spellEnd"/>
      <w:r w:rsidRPr="00360DF2">
        <w:rPr>
          <w:rFonts w:ascii="Palatino Linotype" w:hAnsi="Palatino Linotype" w:cs="Arial"/>
          <w:b/>
          <w:bCs/>
          <w:sz w:val="24"/>
          <w:szCs w:val="24"/>
          <w:lang w:eastAsia="es-MX"/>
        </w:rPr>
        <w:t>/IP/</w:t>
      </w:r>
      <w:proofErr w:type="spellStart"/>
      <w:r w:rsidRPr="00360DF2">
        <w:rPr>
          <w:rFonts w:ascii="Palatino Linotype" w:hAnsi="Palatino Linotype" w:cs="Arial"/>
          <w:b/>
          <w:bCs/>
          <w:sz w:val="24"/>
          <w:szCs w:val="24"/>
          <w:lang w:eastAsia="es-MX"/>
        </w:rPr>
        <w:t>RR</w:t>
      </w:r>
      <w:proofErr w:type="spellEnd"/>
      <w:r w:rsidRPr="00360DF2">
        <w:rPr>
          <w:rFonts w:ascii="Palatino Linotype" w:hAnsi="Palatino Linotype" w:cs="Arial"/>
          <w:b/>
          <w:bCs/>
          <w:sz w:val="24"/>
          <w:szCs w:val="24"/>
          <w:lang w:eastAsia="es-MX"/>
        </w:rPr>
        <w:t>/202</w:t>
      </w:r>
      <w:r>
        <w:rPr>
          <w:rFonts w:ascii="Palatino Linotype" w:hAnsi="Palatino Linotype" w:cs="Arial"/>
          <w:b/>
          <w:bCs/>
          <w:sz w:val="24"/>
          <w:szCs w:val="24"/>
          <w:lang w:eastAsia="es-MX"/>
        </w:rPr>
        <w:t>3</w:t>
      </w:r>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w:t>
      </w:r>
      <w:r w:rsidR="00C07766" w:rsidRPr="00B229F5">
        <w:rPr>
          <w:rFonts w:ascii="Palatino Linotype" w:hAnsi="Palatino Linotype" w:cs="Arial"/>
          <w:sz w:val="24"/>
          <w:szCs w:val="24"/>
        </w:rPr>
        <w:t xml:space="preserve">por un particular que al momento de ingresar la solicitud de información e interponer </w:t>
      </w:r>
      <w:r w:rsidR="00106010">
        <w:rPr>
          <w:rFonts w:ascii="Palatino Linotype" w:hAnsi="Palatino Linotype" w:cs="Arial"/>
          <w:sz w:val="24"/>
          <w:szCs w:val="24"/>
        </w:rPr>
        <w:t>el</w:t>
      </w:r>
      <w:r w:rsidR="00C07766" w:rsidRPr="00B229F5">
        <w:rPr>
          <w:rFonts w:ascii="Palatino Linotype" w:hAnsi="Palatino Linotype" w:cs="Arial"/>
          <w:sz w:val="24"/>
          <w:szCs w:val="24"/>
        </w:rPr>
        <w:t xml:space="preserve"> recurso de revisión, no señaló nombre o seudónimo con el cual desee ser identificado,</w:t>
      </w:r>
      <w:r w:rsidR="00C07766">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en lo sucesivo el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de respuesta del </w:t>
      </w:r>
      <w:r w:rsidRPr="00360DF2">
        <w:rPr>
          <w:rFonts w:ascii="Palatino Linotype" w:hAnsi="Palatino Linotype" w:cs="Arial"/>
          <w:b/>
          <w:sz w:val="24"/>
          <w:szCs w:val="24"/>
        </w:rPr>
        <w:t xml:space="preserve">Ayuntamiento de </w:t>
      </w:r>
      <w:r>
        <w:rPr>
          <w:rFonts w:ascii="Palatino Linotype" w:hAnsi="Palatino Linotype" w:cs="Arial"/>
          <w:b/>
          <w:sz w:val="24"/>
          <w:szCs w:val="24"/>
        </w:rPr>
        <w:t>Toluca</w:t>
      </w:r>
      <w:r w:rsidRPr="00360DF2">
        <w:rPr>
          <w:rFonts w:ascii="Palatino Linotype" w:hAnsi="Palatino Linotype" w:cs="Arial"/>
          <w:b/>
          <w:sz w:val="24"/>
          <w:szCs w:val="24"/>
        </w:rPr>
        <w:t xml:space="preserve">,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14:paraId="70A8F1A6" w14:textId="77777777" w:rsidR="00B45B91" w:rsidRPr="00660089" w:rsidRDefault="00B45B91" w:rsidP="00BF3E35">
      <w:pPr>
        <w:tabs>
          <w:tab w:val="left" w:pos="6960"/>
        </w:tabs>
        <w:spacing w:after="0" w:line="360" w:lineRule="auto"/>
        <w:jc w:val="both"/>
        <w:rPr>
          <w:rFonts w:ascii="Palatino Linotype" w:hAnsi="Palatino Linotype" w:cs="Arial"/>
          <w:sz w:val="24"/>
          <w:szCs w:val="24"/>
        </w:rPr>
      </w:pPr>
    </w:p>
    <w:p w14:paraId="1C4B6DCF" w14:textId="77777777" w:rsidR="00B45B91" w:rsidRPr="00660089" w:rsidRDefault="00B45B91" w:rsidP="00BF3E35">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14:paraId="14C06576" w14:textId="77777777" w:rsidR="00B45B91" w:rsidRPr="00660089" w:rsidRDefault="00B45B91" w:rsidP="00BF3E35">
      <w:pPr>
        <w:spacing w:after="0" w:line="360" w:lineRule="auto"/>
        <w:rPr>
          <w:rFonts w:ascii="Palatino Linotype" w:hAnsi="Palatino Linotype" w:cs="Arial"/>
          <w:b/>
          <w:sz w:val="24"/>
          <w:szCs w:val="24"/>
        </w:rPr>
      </w:pPr>
    </w:p>
    <w:p w14:paraId="34010961" w14:textId="77777777" w:rsidR="00B45B91" w:rsidRPr="00660089" w:rsidRDefault="00B45B91" w:rsidP="00BF3E35">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Pr>
          <w:rFonts w:ascii="Palatino Linotype" w:hAnsi="Palatino Linotype" w:cs="Arial"/>
          <w:sz w:val="24"/>
          <w:szCs w:val="24"/>
        </w:rPr>
        <w:t>diecisiete de enero de dos mil veintitrés</w:t>
      </w:r>
      <w:r w:rsidRPr="00660089">
        <w:rPr>
          <w:rFonts w:ascii="Palatino Linotype" w:hAnsi="Palatino Linotype" w:cs="Arial"/>
          <w:sz w:val="24"/>
          <w:szCs w:val="24"/>
        </w:rPr>
        <w:t xml:space="preserve">, </w:t>
      </w:r>
      <w:r w:rsidRPr="00660089">
        <w:rPr>
          <w:rFonts w:ascii="Palatino Linotype" w:hAnsi="Palatino Linotype" w:cs="Arial"/>
          <w:b/>
          <w:sz w:val="24"/>
          <w:szCs w:val="24"/>
        </w:rPr>
        <w:t>el Recurrente</w:t>
      </w:r>
      <w:r w:rsidRPr="00660089">
        <w:rPr>
          <w:rFonts w:ascii="Palatino Linotype" w:hAnsi="Palatino Linotype" w:cs="Arial"/>
          <w:sz w:val="24"/>
          <w:szCs w:val="24"/>
        </w:rPr>
        <w:t xml:space="preserve"> presentó a través de</w:t>
      </w:r>
      <w:r w:rsidR="00F86316">
        <w:rPr>
          <w:rFonts w:ascii="Palatino Linotype" w:hAnsi="Palatino Linotype" w:cs="Arial"/>
          <w:sz w:val="24"/>
          <w:szCs w:val="24"/>
        </w:rPr>
        <w:t xml:space="preserve"> </w:t>
      </w:r>
      <w:r w:rsidRPr="00660089">
        <w:rPr>
          <w:rFonts w:ascii="Palatino Linotype" w:hAnsi="Palatino Linotype" w:cs="Arial"/>
          <w:sz w:val="24"/>
          <w:szCs w:val="24"/>
        </w:rPr>
        <w:t>l</w:t>
      </w:r>
      <w:r w:rsidR="00F86316">
        <w:rPr>
          <w:rFonts w:ascii="Palatino Linotype" w:hAnsi="Palatino Linotype" w:cs="Arial"/>
          <w:sz w:val="24"/>
          <w:szCs w:val="24"/>
        </w:rPr>
        <w:t xml:space="preserve">a Plataforma Nacional de Transparencia </w:t>
      </w:r>
      <w:r w:rsidR="00106010">
        <w:rPr>
          <w:rFonts w:ascii="Palatino Linotype" w:hAnsi="Palatino Linotype" w:cs="Arial"/>
          <w:sz w:val="24"/>
          <w:szCs w:val="24"/>
        </w:rPr>
        <w:t>(</w:t>
      </w:r>
      <w:r w:rsidR="00F86316" w:rsidRPr="00F86316">
        <w:rPr>
          <w:rFonts w:ascii="Palatino Linotype" w:hAnsi="Palatino Linotype" w:cs="Arial"/>
          <w:b/>
          <w:sz w:val="24"/>
          <w:szCs w:val="24"/>
        </w:rPr>
        <w:t>PNT</w:t>
      </w:r>
      <w:r w:rsidR="00106010">
        <w:rPr>
          <w:rFonts w:ascii="Palatino Linotype" w:hAnsi="Palatino Linotype" w:cs="Arial"/>
          <w:b/>
          <w:sz w:val="24"/>
          <w:szCs w:val="24"/>
        </w:rPr>
        <w:t>)</w:t>
      </w:r>
      <w:r w:rsidR="00F86316">
        <w:rPr>
          <w:rFonts w:ascii="Palatino Linotype" w:hAnsi="Palatino Linotype" w:cs="Arial"/>
          <w:sz w:val="24"/>
          <w:szCs w:val="24"/>
        </w:rPr>
        <w:t>, la cual se encuentra estrechamente vinculada con el</w:t>
      </w:r>
      <w:r w:rsidRPr="00660089">
        <w:rPr>
          <w:rFonts w:ascii="Palatino Linotype" w:hAnsi="Palatino Linotype" w:cs="Arial"/>
          <w:sz w:val="24"/>
          <w:szCs w:val="24"/>
        </w:rPr>
        <w:t xml:space="preserve"> Sistema de Acceso a la Información Mexiquense, en lo posterior el </w:t>
      </w:r>
      <w:proofErr w:type="spellStart"/>
      <w:r w:rsidRPr="00660089">
        <w:rPr>
          <w:rFonts w:ascii="Palatino Linotype" w:hAnsi="Palatino Linotype" w:cs="Arial"/>
          <w:b/>
          <w:sz w:val="24"/>
          <w:szCs w:val="24"/>
        </w:rPr>
        <w:t>SAIMEX</w:t>
      </w:r>
      <w:proofErr w:type="spellEnd"/>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w:t>
      </w:r>
      <w:r w:rsidR="00F86316">
        <w:rPr>
          <w:rFonts w:ascii="Palatino Linotype" w:hAnsi="Palatino Linotype" w:cs="Arial"/>
          <w:sz w:val="24"/>
          <w:szCs w:val="24"/>
        </w:rPr>
        <w:t xml:space="preserve"> la cual quedó</w:t>
      </w:r>
      <w:r w:rsidRPr="00660089">
        <w:rPr>
          <w:rFonts w:ascii="Palatino Linotype" w:hAnsi="Palatino Linotype" w:cs="Arial"/>
          <w:sz w:val="24"/>
          <w:szCs w:val="24"/>
        </w:rPr>
        <w:t xml:space="preserve"> registrada bajo el número de expediente</w:t>
      </w:r>
      <w:r w:rsidRPr="00A67381">
        <w:rPr>
          <w:rFonts w:ascii="Palatino Linotype" w:hAnsi="Palatino Linotype" w:cs="Arial"/>
          <w:sz w:val="24"/>
          <w:szCs w:val="24"/>
        </w:rPr>
        <w:t xml:space="preserve"> </w:t>
      </w:r>
      <w:r w:rsidRPr="00B45B91">
        <w:rPr>
          <w:rFonts w:ascii="Palatino Linotype" w:hAnsi="Palatino Linotype" w:cs="Arial"/>
          <w:b/>
          <w:sz w:val="24"/>
          <w:szCs w:val="24"/>
        </w:rPr>
        <w:t>00124/TOLUCA/IP/2023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14:paraId="26D199D8" w14:textId="77777777" w:rsidR="00B45B91" w:rsidRPr="00660089" w:rsidRDefault="00B45B91" w:rsidP="00BF3E35">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5207B182" w14:textId="77777777" w:rsidR="00B45B91" w:rsidRPr="00660089" w:rsidRDefault="00B45B91" w:rsidP="00BF3E3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0089">
        <w:rPr>
          <w:rFonts w:ascii="Palatino Linotype" w:eastAsia="Times New Roman" w:hAnsi="Palatino Linotype" w:cs="Times New Roman"/>
          <w:i/>
          <w:szCs w:val="24"/>
          <w:lang w:val="es-ES_tradnl" w:eastAsia="es-ES"/>
        </w:rPr>
        <w:t>“</w:t>
      </w:r>
      <w:r w:rsidRPr="00B45B91">
        <w:rPr>
          <w:rFonts w:ascii="Palatino Linotype" w:eastAsia="Times New Roman" w:hAnsi="Palatino Linotype" w:cs="Times New Roman"/>
          <w:i/>
          <w:szCs w:val="24"/>
          <w:lang w:val="es-ES_tradnl" w:eastAsia="es-ES"/>
        </w:rPr>
        <w:t>Quiero saber el costo de la aplicación utilizada para los nuevos "Parquímetros Virtuales", así como el costo, cuántos se pusieron y el criterio de colocación de los señalamientos de los "Parquímetros Virtuales".</w:t>
      </w:r>
      <w:r>
        <w:rPr>
          <w:rFonts w:ascii="Palatino Linotype" w:eastAsia="Times New Roman" w:hAnsi="Palatino Linotype" w:cs="Times New Roman"/>
          <w:i/>
          <w:szCs w:val="24"/>
          <w:lang w:val="es-ES_tradnl" w:eastAsia="es-ES"/>
        </w:rPr>
        <w:t>”</w:t>
      </w:r>
    </w:p>
    <w:p w14:paraId="0C31B15B" w14:textId="77777777" w:rsidR="00B45B91" w:rsidRPr="00660089" w:rsidRDefault="00B45B91" w:rsidP="00BF3E3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96D9D77" w14:textId="77777777" w:rsidR="00B45B91" w:rsidRPr="00660089" w:rsidRDefault="00B45B91" w:rsidP="00BF3E35">
      <w:pPr>
        <w:spacing w:after="0" w:line="360" w:lineRule="auto"/>
        <w:jc w:val="both"/>
        <w:rPr>
          <w:rFonts w:ascii="Palatino Linotype" w:eastAsia="Times New Roman" w:hAnsi="Palatino Linotype" w:cs="Times New Roman"/>
          <w:sz w:val="24"/>
          <w:szCs w:val="24"/>
          <w:lang w:val="es-ES_tradnl" w:eastAsia="es-ES"/>
        </w:rPr>
      </w:pPr>
      <w:r w:rsidRPr="00660089">
        <w:rPr>
          <w:rFonts w:ascii="Palatino Linotype" w:eastAsia="Times New Roman" w:hAnsi="Palatino Linotype" w:cs="Times New Roman"/>
          <w:sz w:val="24"/>
          <w:szCs w:val="24"/>
          <w:lang w:val="es-ES_tradnl" w:eastAsia="es-ES"/>
        </w:rPr>
        <w:t xml:space="preserve">Modalidad de entrega: </w:t>
      </w:r>
      <w:r w:rsidRPr="00660089">
        <w:rPr>
          <w:rFonts w:ascii="Palatino Linotype" w:eastAsia="Times New Roman" w:hAnsi="Palatino Linotype" w:cs="Times New Roman"/>
          <w:b/>
          <w:i/>
          <w:sz w:val="24"/>
          <w:szCs w:val="24"/>
          <w:lang w:val="es-ES_tradnl" w:eastAsia="es-ES"/>
        </w:rPr>
        <w:t xml:space="preserve">A través </w:t>
      </w:r>
      <w:r w:rsidR="00F86316">
        <w:rPr>
          <w:rFonts w:ascii="Palatino Linotype" w:eastAsia="Times New Roman" w:hAnsi="Palatino Linotype" w:cs="Times New Roman"/>
          <w:b/>
          <w:i/>
          <w:sz w:val="24"/>
          <w:szCs w:val="24"/>
          <w:lang w:val="es-ES_tradnl" w:eastAsia="es-ES"/>
        </w:rPr>
        <w:t>de correo electrónico y copia simple</w:t>
      </w:r>
    </w:p>
    <w:p w14:paraId="2D3EBAEB" w14:textId="77777777" w:rsidR="00B45B91" w:rsidRPr="00A67381" w:rsidRDefault="00B45B91" w:rsidP="00BF3E35">
      <w:pPr>
        <w:pBdr>
          <w:top w:val="nil"/>
          <w:left w:val="nil"/>
          <w:bottom w:val="nil"/>
          <w:right w:val="nil"/>
          <w:between w:val="nil"/>
        </w:pBdr>
        <w:spacing w:after="0" w:line="360" w:lineRule="auto"/>
        <w:contextualSpacing/>
        <w:jc w:val="both"/>
        <w:rPr>
          <w:rFonts w:ascii="Palatino Linotype" w:eastAsia="Calibri" w:hAnsi="Palatino Linotype" w:cs="Arial"/>
          <w:sz w:val="24"/>
          <w:szCs w:val="24"/>
          <w:lang w:eastAsia="es-MX"/>
        </w:rPr>
      </w:pPr>
      <w:r w:rsidRPr="00660089">
        <w:rPr>
          <w:rFonts w:ascii="Palatino Linotype" w:hAnsi="Palatino Linotype" w:cs="Arial"/>
          <w:b/>
          <w:sz w:val="28"/>
          <w:szCs w:val="24"/>
        </w:rPr>
        <w:lastRenderedPageBreak/>
        <w:t>SEGUNDO</w:t>
      </w:r>
      <w:r w:rsidRPr="00660089">
        <w:rPr>
          <w:rFonts w:ascii="Palatino Linotype" w:hAnsi="Palatino Linotype" w:cs="Arial"/>
          <w:b/>
          <w:sz w:val="24"/>
          <w:szCs w:val="24"/>
        </w:rPr>
        <w:t xml:space="preserve">. </w:t>
      </w:r>
      <w:r w:rsidRPr="00A67381">
        <w:rPr>
          <w:rFonts w:ascii="Palatino Linotype" w:eastAsia="Calibri" w:hAnsi="Palatino Linotype" w:cs="Arial"/>
          <w:sz w:val="24"/>
          <w:szCs w:val="24"/>
          <w:lang w:eastAsia="es-MX"/>
        </w:rPr>
        <w:t xml:space="preserve">Como se advierte de las constancias que integran el expediente electrónico, </w:t>
      </w:r>
      <w:proofErr w:type="spellStart"/>
      <w:r w:rsidRPr="00A67381">
        <w:rPr>
          <w:rFonts w:ascii="Palatino Linotype" w:eastAsia="Calibri" w:hAnsi="Palatino Linotype" w:cs="Arial"/>
          <w:sz w:val="24"/>
          <w:szCs w:val="24"/>
          <w:lang w:eastAsia="es-MX"/>
        </w:rPr>
        <w:t>aperturado</w:t>
      </w:r>
      <w:proofErr w:type="spellEnd"/>
      <w:r w:rsidRPr="00A67381">
        <w:rPr>
          <w:rFonts w:ascii="Palatino Linotype" w:eastAsia="Calibri" w:hAnsi="Palatino Linotype" w:cs="Arial"/>
          <w:sz w:val="24"/>
          <w:szCs w:val="24"/>
          <w:lang w:eastAsia="es-MX"/>
        </w:rPr>
        <w:t xml:space="preserve"> con motivo del ingreso de la solicitud, en fecha </w:t>
      </w:r>
      <w:r>
        <w:rPr>
          <w:rFonts w:ascii="Palatino Linotype" w:eastAsia="Calibri" w:hAnsi="Palatino Linotype" w:cs="Arial"/>
          <w:sz w:val="24"/>
          <w:szCs w:val="24"/>
          <w:lang w:eastAsia="es-MX"/>
        </w:rPr>
        <w:t>ocho de febrero de dos mil veintitrés</w:t>
      </w:r>
      <w:r w:rsidRPr="00A67381">
        <w:rPr>
          <w:rFonts w:ascii="Palatino Linotype" w:eastAsia="Calibri" w:hAnsi="Palatino Linotype" w:cs="Arial"/>
          <w:sz w:val="24"/>
          <w:szCs w:val="24"/>
          <w:lang w:eastAsia="es-MX"/>
        </w:rPr>
        <w:t xml:space="preserve">, 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hizo entrega al</w:t>
      </w:r>
      <w:r>
        <w:rPr>
          <w:rFonts w:ascii="Palatino Linotype" w:eastAsia="Calibri" w:hAnsi="Palatino Linotype" w:cs="Arial"/>
          <w:sz w:val="24"/>
          <w:szCs w:val="24"/>
          <w:lang w:eastAsia="es-MX"/>
        </w:rPr>
        <w:t xml:space="preserve">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xml:space="preserve"> de la respuesta emitida a la solicitud de información, en los términos siguientes:</w:t>
      </w:r>
    </w:p>
    <w:p w14:paraId="5A95974C" w14:textId="77777777" w:rsidR="00B45B91" w:rsidRPr="00A67381" w:rsidRDefault="00B45B91" w:rsidP="00BF3E35">
      <w:pPr>
        <w:spacing w:after="0" w:line="360" w:lineRule="auto"/>
        <w:jc w:val="both"/>
        <w:rPr>
          <w:rFonts w:ascii="Palatino Linotype" w:eastAsia="Calibri" w:hAnsi="Palatino Linotype" w:cs="Arial"/>
          <w:sz w:val="24"/>
          <w:szCs w:val="24"/>
          <w:lang w:eastAsia="es-MX"/>
        </w:rPr>
      </w:pPr>
    </w:p>
    <w:p w14:paraId="37DA14DA" w14:textId="77777777" w:rsidR="00B45B91" w:rsidRDefault="00B45B91" w:rsidP="00BF3E35">
      <w:pPr>
        <w:spacing w:after="0" w:line="240" w:lineRule="auto"/>
        <w:ind w:left="567" w:right="567"/>
        <w:jc w:val="both"/>
        <w:rPr>
          <w:rFonts w:ascii="Palatino Linotype" w:eastAsia="Times New Roman" w:hAnsi="Palatino Linotype" w:cs="Times New Roman"/>
          <w:i/>
          <w:szCs w:val="24"/>
          <w:lang w:val="es-ES_tradnl" w:eastAsia="es-ES"/>
        </w:rPr>
      </w:pPr>
      <w:r w:rsidRPr="00A67381">
        <w:rPr>
          <w:rFonts w:ascii="Palatino Linotype" w:eastAsia="Times New Roman" w:hAnsi="Palatino Linotype" w:cs="Times New Roman"/>
          <w:i/>
          <w:szCs w:val="24"/>
          <w:lang w:val="es-ES_tradnl" w:eastAsia="es-ES"/>
        </w:rPr>
        <w:t>“</w:t>
      </w:r>
      <w:r w:rsidRPr="00B45B9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5ECBA8" w14:textId="77777777" w:rsidR="00B45B91" w:rsidRPr="00B45B91" w:rsidRDefault="00B45B91" w:rsidP="00BF3E35">
      <w:pPr>
        <w:spacing w:after="0" w:line="240" w:lineRule="auto"/>
        <w:ind w:left="567" w:right="567"/>
        <w:jc w:val="both"/>
        <w:rPr>
          <w:rFonts w:ascii="Palatino Linotype" w:eastAsia="Times New Roman" w:hAnsi="Palatino Linotype" w:cs="Times New Roman"/>
          <w:i/>
          <w:szCs w:val="24"/>
          <w:lang w:val="es-ES_tradnl" w:eastAsia="es-ES"/>
        </w:rPr>
      </w:pPr>
    </w:p>
    <w:p w14:paraId="03B7CB6B" w14:textId="77777777" w:rsidR="00B45B91" w:rsidRPr="00A67381" w:rsidRDefault="00B45B91" w:rsidP="00BF3E35">
      <w:pPr>
        <w:spacing w:after="0" w:line="240" w:lineRule="auto"/>
        <w:ind w:left="567" w:right="567"/>
        <w:jc w:val="both"/>
        <w:rPr>
          <w:rFonts w:ascii="Palatino Linotype" w:eastAsia="Times New Roman" w:hAnsi="Palatino Linotype" w:cs="Times New Roman"/>
          <w:szCs w:val="24"/>
          <w:lang w:val="es-ES_tradnl" w:eastAsia="es-ES"/>
        </w:rPr>
      </w:pPr>
      <w:r w:rsidRPr="00B45B91">
        <w:rPr>
          <w:rFonts w:ascii="Palatino Linotype" w:eastAsia="Times New Roman" w:hAnsi="Palatino Linotype" w:cs="Times New Roman"/>
          <w:i/>
          <w:szCs w:val="24"/>
          <w:lang w:val="es-ES_tradnl" w:eastAsia="es-ES"/>
        </w:rPr>
        <w:t>En atención a la solicitud de información número 00124/TOLUCA/IP/2023, me permito adjuntar al presente la respuesta correspondiente. Sin más por el momento, le envío un cordial saludo.</w:t>
      </w:r>
      <w:r w:rsidRPr="00A67381">
        <w:rPr>
          <w:rFonts w:ascii="Palatino Linotype" w:eastAsia="Times New Roman" w:hAnsi="Palatino Linotype" w:cs="Times New Roman"/>
          <w:i/>
          <w:szCs w:val="24"/>
          <w:lang w:val="es-ES_tradnl" w:eastAsia="es-ES"/>
        </w:rPr>
        <w:t>”</w:t>
      </w:r>
    </w:p>
    <w:p w14:paraId="3D03841D" w14:textId="77777777" w:rsidR="00B45B91" w:rsidRPr="00A67381" w:rsidRDefault="00B45B91" w:rsidP="00BF3E35">
      <w:pPr>
        <w:spacing w:after="0" w:line="360" w:lineRule="auto"/>
        <w:jc w:val="both"/>
        <w:rPr>
          <w:rFonts w:ascii="Palatino Linotype" w:eastAsia="Calibri" w:hAnsi="Palatino Linotype" w:cs="Arial"/>
          <w:sz w:val="24"/>
          <w:szCs w:val="28"/>
          <w:lang w:eastAsia="es-MX"/>
        </w:rPr>
      </w:pPr>
    </w:p>
    <w:p w14:paraId="4AF027DF" w14:textId="77777777" w:rsidR="00B45B91" w:rsidRPr="00A67381" w:rsidRDefault="00B45B91" w:rsidP="00BF3E35">
      <w:pPr>
        <w:spacing w:after="0" w:line="360" w:lineRule="auto"/>
        <w:jc w:val="both"/>
        <w:rPr>
          <w:rFonts w:ascii="Palatino Linotype" w:eastAsia="Calibri" w:hAnsi="Palatino Linotype" w:cs="Arial"/>
          <w:sz w:val="24"/>
          <w:szCs w:val="28"/>
          <w:lang w:eastAsia="es-MX"/>
        </w:rPr>
      </w:pPr>
      <w:r w:rsidRPr="00A67381">
        <w:rPr>
          <w:rFonts w:ascii="Palatino Linotype" w:eastAsia="Calibri" w:hAnsi="Palatino Linotype" w:cs="Arial"/>
          <w:sz w:val="24"/>
          <w:szCs w:val="28"/>
          <w:lang w:eastAsia="es-MX"/>
        </w:rPr>
        <w:t xml:space="preserve">Se hace constar que, el </w:t>
      </w:r>
      <w:r w:rsidRPr="00A67381">
        <w:rPr>
          <w:rFonts w:ascii="Palatino Linotype" w:eastAsia="Calibri" w:hAnsi="Palatino Linotype" w:cs="Arial"/>
          <w:b/>
          <w:sz w:val="24"/>
          <w:szCs w:val="28"/>
          <w:lang w:eastAsia="es-MX"/>
        </w:rPr>
        <w:t>Sujeto Obligado</w:t>
      </w:r>
      <w:r w:rsidRPr="00A67381">
        <w:rPr>
          <w:rFonts w:ascii="Palatino Linotype" w:eastAsia="Calibri" w:hAnsi="Palatino Linotype" w:cs="Arial"/>
          <w:sz w:val="24"/>
          <w:szCs w:val="28"/>
          <w:lang w:eastAsia="es-MX"/>
        </w:rPr>
        <w:t xml:space="preserve"> adjuntó </w:t>
      </w:r>
      <w:r>
        <w:rPr>
          <w:rFonts w:ascii="Palatino Linotype" w:eastAsia="Calibri" w:hAnsi="Palatino Linotype" w:cs="Arial"/>
          <w:sz w:val="24"/>
          <w:szCs w:val="28"/>
          <w:lang w:eastAsia="es-MX"/>
        </w:rPr>
        <w:t>los</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 xml:space="preserve">documentos </w:t>
      </w:r>
      <w:r w:rsidRPr="00A67381">
        <w:rPr>
          <w:rFonts w:ascii="Palatino Linotype" w:eastAsia="Calibri" w:hAnsi="Palatino Linotype" w:cs="Arial"/>
          <w:sz w:val="24"/>
          <w:szCs w:val="28"/>
          <w:lang w:eastAsia="es-MX"/>
        </w:rPr>
        <w:t>electrónico</w:t>
      </w:r>
      <w:r>
        <w:rPr>
          <w:rFonts w:ascii="Palatino Linotype" w:eastAsia="Calibri" w:hAnsi="Palatino Linotype" w:cs="Arial"/>
          <w:sz w:val="24"/>
          <w:szCs w:val="28"/>
          <w:lang w:eastAsia="es-MX"/>
        </w:rPr>
        <w:t>s</w:t>
      </w:r>
      <w:r w:rsidRPr="00A67381">
        <w:rPr>
          <w:rFonts w:ascii="Palatino Linotype" w:eastAsia="Calibri" w:hAnsi="Palatino Linotype" w:cs="Arial"/>
          <w:sz w:val="24"/>
          <w:szCs w:val="28"/>
          <w:lang w:eastAsia="es-MX"/>
        </w:rPr>
        <w:t xml:space="preserve"> “</w:t>
      </w:r>
      <w:r w:rsidRPr="00B45B91">
        <w:rPr>
          <w:rFonts w:ascii="Palatino Linotype" w:eastAsia="Calibri" w:hAnsi="Palatino Linotype" w:cs="Arial"/>
          <w:b/>
          <w:i/>
          <w:sz w:val="24"/>
          <w:szCs w:val="28"/>
          <w:lang w:eastAsia="es-MX"/>
        </w:rPr>
        <w:t>Respuesta 124.pdf</w:t>
      </w:r>
      <w:r w:rsidRPr="00B45B91">
        <w:rPr>
          <w:rFonts w:ascii="Palatino Linotype" w:eastAsia="Calibri" w:hAnsi="Palatino Linotype" w:cs="Arial"/>
          <w:sz w:val="24"/>
          <w:szCs w:val="28"/>
          <w:lang w:eastAsia="es-MX"/>
        </w:rPr>
        <w:t xml:space="preserve"> y </w:t>
      </w:r>
      <w:r w:rsidRPr="00B45B91">
        <w:rPr>
          <w:rFonts w:ascii="Palatino Linotype" w:eastAsia="Calibri" w:hAnsi="Palatino Linotype" w:cs="Arial"/>
          <w:b/>
          <w:i/>
          <w:sz w:val="24"/>
          <w:szCs w:val="28"/>
          <w:lang w:eastAsia="es-MX"/>
        </w:rPr>
        <w:t>Acta 89.pdf</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los cuales, al ser del conocimiento de las partes,</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 xml:space="preserve">se omite su análisis, atendiendo que </w:t>
      </w:r>
      <w:r w:rsidRPr="00A67381">
        <w:rPr>
          <w:rFonts w:ascii="Palatino Linotype" w:eastAsia="Calibri" w:hAnsi="Palatino Linotype" w:cs="Arial"/>
          <w:sz w:val="24"/>
          <w:szCs w:val="28"/>
          <w:lang w:eastAsia="es-MX"/>
        </w:rPr>
        <w:t>habrá</w:t>
      </w:r>
      <w:r>
        <w:rPr>
          <w:rFonts w:ascii="Palatino Linotype" w:eastAsia="Calibri" w:hAnsi="Palatino Linotype" w:cs="Arial"/>
          <w:sz w:val="24"/>
          <w:szCs w:val="28"/>
          <w:lang w:eastAsia="es-MX"/>
        </w:rPr>
        <w:t>n</w:t>
      </w:r>
      <w:r w:rsidRPr="00A67381">
        <w:rPr>
          <w:rFonts w:ascii="Palatino Linotype" w:eastAsia="Calibri" w:hAnsi="Palatino Linotype" w:cs="Arial"/>
          <w:sz w:val="24"/>
          <w:szCs w:val="28"/>
          <w:lang w:eastAsia="es-MX"/>
        </w:rPr>
        <w:t xml:space="preserve"> de ser objeto de estudio en párrafos posteriores.</w:t>
      </w:r>
    </w:p>
    <w:p w14:paraId="7A367FF5" w14:textId="77777777" w:rsidR="00B45B91" w:rsidRPr="00660089" w:rsidRDefault="00B45B91" w:rsidP="00BF3E35">
      <w:pPr>
        <w:spacing w:after="0" w:line="360" w:lineRule="auto"/>
        <w:jc w:val="both"/>
        <w:rPr>
          <w:rFonts w:ascii="Palatino Linotype" w:hAnsi="Palatino Linotype" w:cs="Arial"/>
          <w:sz w:val="24"/>
          <w:szCs w:val="24"/>
        </w:rPr>
      </w:pPr>
    </w:p>
    <w:p w14:paraId="17D7D411" w14:textId="77777777" w:rsidR="00B45B91" w:rsidRPr="00660089" w:rsidRDefault="00B45B91" w:rsidP="00BF3E35">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Inconforme ante la respuesta por parte del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el ahora </w:t>
      </w:r>
      <w:r w:rsidRPr="00660089">
        <w:rPr>
          <w:rFonts w:ascii="Palatino Linotype" w:hAnsi="Palatino Linotype" w:cs="Arial"/>
          <w:b/>
          <w:sz w:val="24"/>
          <w:szCs w:val="24"/>
        </w:rPr>
        <w:t>Recurrente</w:t>
      </w:r>
      <w:r w:rsidRPr="00660089">
        <w:rPr>
          <w:rFonts w:ascii="Palatino Linotype" w:hAnsi="Palatino Linotype" w:cs="Arial"/>
          <w:sz w:val="24"/>
          <w:szCs w:val="24"/>
        </w:rPr>
        <w:t xml:space="preserve"> en fecha </w:t>
      </w:r>
      <w:r>
        <w:rPr>
          <w:rFonts w:ascii="Palatino Linotype" w:hAnsi="Palatino Linotype" w:cs="Arial"/>
          <w:sz w:val="24"/>
          <w:szCs w:val="24"/>
        </w:rPr>
        <w:t>trece de febrero de dos mil veintitrés</w:t>
      </w:r>
      <w:r w:rsidRPr="00660089">
        <w:rPr>
          <w:rFonts w:ascii="Palatino Linotype" w:hAnsi="Palatino Linotype" w:cs="Arial"/>
          <w:sz w:val="24"/>
          <w:szCs w:val="24"/>
        </w:rPr>
        <w:t>, interpuso recurso de revisión, que fue registrado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en el sistema electrónico con número de expediente </w:t>
      </w:r>
      <w:r w:rsidRPr="00660089">
        <w:rPr>
          <w:rFonts w:ascii="Palatino Linotype" w:hAnsi="Palatino Linotype" w:cs="Arial"/>
          <w:b/>
          <w:bCs/>
          <w:sz w:val="24"/>
          <w:szCs w:val="24"/>
          <w:lang w:eastAsia="es-MX"/>
        </w:rPr>
        <w:t>0</w:t>
      </w:r>
      <w:r>
        <w:rPr>
          <w:rFonts w:ascii="Palatino Linotype" w:hAnsi="Palatino Linotype" w:cs="Arial"/>
          <w:b/>
          <w:bCs/>
          <w:sz w:val="24"/>
          <w:szCs w:val="24"/>
          <w:lang w:eastAsia="es-MX"/>
        </w:rPr>
        <w:t>0820</w:t>
      </w:r>
      <w:r w:rsidRPr="00660089">
        <w:rPr>
          <w:rFonts w:ascii="Palatino Linotype" w:hAnsi="Palatino Linotype" w:cs="Arial"/>
          <w:b/>
          <w:bCs/>
          <w:sz w:val="24"/>
          <w:szCs w:val="24"/>
          <w:lang w:eastAsia="es-MX"/>
        </w:rPr>
        <w:t>/</w:t>
      </w:r>
      <w:proofErr w:type="spellStart"/>
      <w:r w:rsidRPr="00660089">
        <w:rPr>
          <w:rFonts w:ascii="Palatino Linotype" w:hAnsi="Palatino Linotype" w:cs="Arial"/>
          <w:b/>
          <w:bCs/>
          <w:sz w:val="24"/>
          <w:szCs w:val="24"/>
          <w:lang w:eastAsia="es-MX"/>
        </w:rPr>
        <w:t>INFOEM</w:t>
      </w:r>
      <w:proofErr w:type="spellEnd"/>
      <w:r w:rsidRPr="00660089">
        <w:rPr>
          <w:rFonts w:ascii="Palatino Linotype" w:hAnsi="Palatino Linotype" w:cs="Arial"/>
          <w:b/>
          <w:bCs/>
          <w:sz w:val="24"/>
          <w:szCs w:val="24"/>
          <w:lang w:eastAsia="es-MX"/>
        </w:rPr>
        <w:t>/IP/</w:t>
      </w:r>
      <w:proofErr w:type="spellStart"/>
      <w:r w:rsidRPr="00660089">
        <w:rPr>
          <w:rFonts w:ascii="Palatino Linotype" w:hAnsi="Palatino Linotype" w:cs="Arial"/>
          <w:b/>
          <w:bCs/>
          <w:sz w:val="24"/>
          <w:szCs w:val="24"/>
          <w:lang w:eastAsia="es-MX"/>
        </w:rPr>
        <w:t>RR</w:t>
      </w:r>
      <w:proofErr w:type="spellEnd"/>
      <w:r w:rsidRPr="00660089">
        <w:rPr>
          <w:rFonts w:ascii="Palatino Linotype" w:hAnsi="Palatino Linotype" w:cs="Arial"/>
          <w:b/>
          <w:bCs/>
          <w:sz w:val="24"/>
          <w:szCs w:val="24"/>
          <w:lang w:eastAsia="es-MX"/>
        </w:rPr>
        <w:t>/202</w:t>
      </w:r>
      <w:r>
        <w:rPr>
          <w:rFonts w:ascii="Palatino Linotype" w:hAnsi="Palatino Linotype" w:cs="Arial"/>
          <w:b/>
          <w:bCs/>
          <w:sz w:val="24"/>
          <w:szCs w:val="24"/>
          <w:lang w:eastAsia="es-MX"/>
        </w:rPr>
        <w:t>3</w:t>
      </w:r>
      <w:r w:rsidRPr="00660089">
        <w:rPr>
          <w:rFonts w:ascii="Palatino Linotype" w:hAnsi="Palatino Linotype" w:cs="Arial"/>
          <w:sz w:val="24"/>
          <w:szCs w:val="24"/>
        </w:rPr>
        <w:t>, aduciendo como acto impugnado, lo siguiente:</w:t>
      </w:r>
    </w:p>
    <w:p w14:paraId="4DEF3F9B" w14:textId="77777777" w:rsidR="00B45B91" w:rsidRPr="00660089" w:rsidRDefault="00B45B91" w:rsidP="00BF3E35">
      <w:pPr>
        <w:spacing w:after="0" w:line="360" w:lineRule="auto"/>
        <w:jc w:val="both"/>
        <w:rPr>
          <w:rFonts w:ascii="Palatino Linotype" w:hAnsi="Palatino Linotype" w:cs="Arial"/>
          <w:b/>
          <w:sz w:val="24"/>
          <w:szCs w:val="24"/>
        </w:rPr>
      </w:pPr>
    </w:p>
    <w:p w14:paraId="6E67F652" w14:textId="77777777" w:rsidR="00B45B91" w:rsidRPr="00660089" w:rsidRDefault="00B45B91" w:rsidP="00BF3E35">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14:paraId="25619FE7" w14:textId="77777777" w:rsidR="00B45B91" w:rsidRPr="00660089" w:rsidRDefault="00B45B91" w:rsidP="00BF3E35">
      <w:pPr>
        <w:pStyle w:val="Prrafodelista"/>
        <w:spacing w:line="360" w:lineRule="auto"/>
        <w:ind w:left="0"/>
        <w:jc w:val="both"/>
        <w:rPr>
          <w:rFonts w:ascii="Palatino Linotype" w:hAnsi="Palatino Linotype" w:cs="Arial"/>
          <w:b/>
        </w:rPr>
      </w:pPr>
    </w:p>
    <w:p w14:paraId="2D401AFD" w14:textId="77777777" w:rsidR="00B45B91" w:rsidRPr="00660089" w:rsidRDefault="00B45B91" w:rsidP="00BF3E35">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Pr="00B45B91">
        <w:rPr>
          <w:rFonts w:ascii="Palatino Linotype" w:hAnsi="Palatino Linotype"/>
          <w:i/>
          <w:color w:val="000000"/>
        </w:rPr>
        <w:t xml:space="preserve">Solicité el costo que paga el Ayuntamiento por el uso de la aplicación de los </w:t>
      </w:r>
      <w:proofErr w:type="spellStart"/>
      <w:r w:rsidRPr="00B45B91">
        <w:rPr>
          <w:rFonts w:ascii="Palatino Linotype" w:hAnsi="Palatino Linotype"/>
          <w:i/>
          <w:color w:val="000000"/>
        </w:rPr>
        <w:t>parquímetos</w:t>
      </w:r>
      <w:proofErr w:type="spellEnd"/>
      <w:r w:rsidRPr="00B45B91">
        <w:rPr>
          <w:rFonts w:ascii="Palatino Linotype" w:hAnsi="Palatino Linotype"/>
          <w:i/>
          <w:color w:val="000000"/>
        </w:rPr>
        <w:t xml:space="preserve"> y el costo de colocación de anuncios y todo lo erogado por el municipio en relación a los parquímetros </w:t>
      </w:r>
      <w:proofErr w:type="spellStart"/>
      <w:r w:rsidRPr="00B45B91">
        <w:rPr>
          <w:rFonts w:ascii="Palatino Linotype" w:hAnsi="Palatino Linotype"/>
          <w:i/>
          <w:color w:val="000000"/>
        </w:rPr>
        <w:t>vietuales</w:t>
      </w:r>
      <w:proofErr w:type="spellEnd"/>
      <w:r w:rsidRPr="00B45B91">
        <w:rPr>
          <w:rFonts w:ascii="Palatino Linotype" w:hAnsi="Palatino Linotype"/>
          <w:i/>
          <w:color w:val="000000"/>
        </w:rPr>
        <w:t>.</w:t>
      </w:r>
      <w:r w:rsidRPr="00660089">
        <w:rPr>
          <w:rFonts w:ascii="Palatino Linotype" w:hAnsi="Palatino Linotype"/>
          <w:i/>
          <w:color w:val="000000"/>
        </w:rPr>
        <w:t>” (sic)</w:t>
      </w:r>
    </w:p>
    <w:p w14:paraId="0F582CFC" w14:textId="77777777" w:rsidR="00B45B91" w:rsidRPr="00660089" w:rsidRDefault="00B45B91" w:rsidP="00BF3E35">
      <w:pPr>
        <w:spacing w:after="0" w:line="360" w:lineRule="auto"/>
        <w:jc w:val="both"/>
        <w:rPr>
          <w:rFonts w:ascii="Palatino Linotype" w:hAnsi="Palatino Linotype" w:cs="Arial"/>
          <w:sz w:val="24"/>
          <w:szCs w:val="24"/>
        </w:rPr>
      </w:pPr>
    </w:p>
    <w:p w14:paraId="44C2878E" w14:textId="77777777" w:rsidR="00B45B91" w:rsidRPr="00660089" w:rsidRDefault="00B45B91" w:rsidP="00BF3E35">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lastRenderedPageBreak/>
        <w:t>R</w:t>
      </w:r>
      <w:r w:rsidRPr="00660089">
        <w:rPr>
          <w:rFonts w:ascii="Palatino Linotype" w:eastAsia="Times New Roman" w:hAnsi="Palatino Linotype" w:cs="Arial"/>
          <w:sz w:val="24"/>
          <w:szCs w:val="24"/>
          <w:lang w:val="es-ES_tradnl" w:eastAsia="es-ES"/>
        </w:rPr>
        <w:t>ecurso de</w:t>
      </w:r>
      <w:r>
        <w:rPr>
          <w:rFonts w:ascii="Palatino Linotype" w:eastAsia="Times New Roman" w:hAnsi="Palatino Linotype" w:cs="Arial"/>
          <w:sz w:val="24"/>
          <w:szCs w:val="24"/>
          <w:lang w:val="es-ES_tradnl" w:eastAsia="es-ES"/>
        </w:rPr>
        <w:t xml:space="preserve"> revisión</w:t>
      </w:r>
      <w:r w:rsidRPr="00660089">
        <w:rPr>
          <w:rFonts w:ascii="Palatino Linotype" w:eastAsia="Times New Roman" w:hAnsi="Palatino Linotype" w:cs="Arial"/>
          <w:sz w:val="24"/>
          <w:szCs w:val="24"/>
          <w:lang w:val="es-ES_tradnl" w:eastAsia="es-ES"/>
        </w:rPr>
        <w:t xml:space="preserve"> que</w:t>
      </w:r>
      <w:r w:rsidRPr="00660089">
        <w:rPr>
          <w:rFonts w:ascii="Palatino Linotype" w:eastAsia="Times New Roman" w:hAnsi="Palatino Linotype" w:cs="Arial"/>
          <w:sz w:val="24"/>
          <w:szCs w:val="24"/>
          <w:lang w:val="es-ES" w:eastAsia="es-ES"/>
        </w:rPr>
        <w:t xml:space="preserve"> se</w:t>
      </w:r>
      <w:r w:rsidRPr="00660089">
        <w:rPr>
          <w:rFonts w:ascii="Palatino Linotype" w:eastAsia="Times New Roman" w:hAnsi="Palatino Linotype" w:cs="Arial"/>
          <w:sz w:val="24"/>
          <w:szCs w:val="24"/>
          <w:lang w:val="es-ES_tradnl" w:eastAsia="es-ES"/>
        </w:rPr>
        <w:t xml:space="preserve"> envió electrónicamente al Instituto de </w:t>
      </w:r>
      <w:r w:rsidRPr="00660089">
        <w:rPr>
          <w:rFonts w:ascii="Palatino Linotype" w:eastAsia="Arial Unicode MS" w:hAnsi="Palatino Linotype" w:cs="Arial"/>
          <w:sz w:val="24"/>
          <w:szCs w:val="24"/>
          <w:lang w:val="es-ES" w:eastAsia="es-ES"/>
        </w:rPr>
        <w:t>Transparencia</w:t>
      </w:r>
      <w:r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Pr="00660089">
        <w:rPr>
          <w:rFonts w:ascii="Palatino Linotype" w:eastAsia="Times New Roman" w:hAnsi="Palatino Linotype" w:cs="Arial"/>
          <w:sz w:val="24"/>
          <w:szCs w:val="24"/>
          <w:lang w:val="es-ES_tradnl" w:eastAsia="es-ES"/>
        </w:rPr>
        <w:t>, se turnó a través del</w:t>
      </w:r>
      <w:r w:rsidRPr="00660089">
        <w:rPr>
          <w:rFonts w:ascii="Palatino Linotype" w:eastAsia="Arial Unicode MS" w:hAnsi="Palatino Linotype" w:cs="Arial"/>
          <w:sz w:val="24"/>
          <w:szCs w:val="24"/>
          <w:lang w:val="es-ES_tradnl" w:eastAsia="es-ES"/>
        </w:rPr>
        <w:t xml:space="preserve"> </w:t>
      </w:r>
      <w:proofErr w:type="spellStart"/>
      <w:r w:rsidRPr="00660089">
        <w:rPr>
          <w:rFonts w:ascii="Palatino Linotype" w:eastAsia="Arial Unicode MS" w:hAnsi="Palatino Linotype" w:cs="Arial"/>
          <w:b/>
          <w:sz w:val="24"/>
          <w:szCs w:val="24"/>
          <w:lang w:val="es-ES_tradnl" w:eastAsia="es-ES"/>
        </w:rPr>
        <w:t>SAIMEX</w:t>
      </w:r>
      <w:proofErr w:type="spellEnd"/>
      <w:r w:rsidRPr="00660089">
        <w:rPr>
          <w:rFonts w:ascii="Palatino Linotype" w:eastAsia="Times New Roman" w:hAnsi="Palatino Linotype" w:cs="Times New Roman"/>
          <w:sz w:val="24"/>
          <w:szCs w:val="24"/>
          <w:lang w:val="es-ES" w:eastAsia="es-ES"/>
        </w:rPr>
        <w:t xml:space="preserve"> al </w:t>
      </w:r>
      <w:r w:rsidRPr="00660089">
        <w:rPr>
          <w:rFonts w:ascii="Palatino Linotype" w:eastAsia="Times New Roman" w:hAnsi="Palatino Linotype" w:cs="Arial"/>
          <w:sz w:val="24"/>
          <w:szCs w:val="24"/>
          <w:lang w:val="es-ES_tradnl" w:eastAsia="es-ES"/>
        </w:rPr>
        <w:t xml:space="preserve">Comisionado </w:t>
      </w:r>
      <w:proofErr w:type="gramStart"/>
      <w:r w:rsidRPr="00660089">
        <w:rPr>
          <w:rFonts w:ascii="Palatino Linotype" w:eastAsia="Times New Roman" w:hAnsi="Palatino Linotype" w:cs="Arial"/>
          <w:sz w:val="24"/>
          <w:szCs w:val="24"/>
          <w:lang w:val="es-ES_tradnl" w:eastAsia="es-ES"/>
        </w:rPr>
        <w:t>Presidente</w:t>
      </w:r>
      <w:proofErr w:type="gramEnd"/>
      <w:r w:rsidRPr="00660089">
        <w:rPr>
          <w:rFonts w:ascii="Palatino Linotype" w:eastAsia="Times New Roman" w:hAnsi="Palatino Linotype" w:cs="Arial"/>
          <w:sz w:val="24"/>
          <w:szCs w:val="24"/>
          <w:lang w:val="es-ES_tradnl" w:eastAsia="es-ES"/>
        </w:rPr>
        <w:t xml:space="preserve"> </w:t>
      </w:r>
      <w:r w:rsidRPr="00660089">
        <w:rPr>
          <w:rFonts w:ascii="Palatino Linotype" w:eastAsia="Times New Roman" w:hAnsi="Palatino Linotype" w:cs="Arial"/>
          <w:b/>
          <w:sz w:val="24"/>
          <w:szCs w:val="24"/>
          <w:lang w:val="es-ES_tradnl" w:eastAsia="es-ES"/>
        </w:rPr>
        <w:t xml:space="preserve">JOSÉ MARTÍNEZ VILCHIS, </w:t>
      </w:r>
      <w:r w:rsidRPr="00660089">
        <w:rPr>
          <w:rFonts w:ascii="Palatino Linotype" w:eastAsia="Times New Roman" w:hAnsi="Palatino Linotype" w:cs="Arial"/>
          <w:sz w:val="24"/>
          <w:szCs w:val="24"/>
          <w:lang w:val="es-ES_tradnl" w:eastAsia="es-ES"/>
        </w:rPr>
        <w:t xml:space="preserve">a efecto de que decretara su admisión o </w:t>
      </w:r>
      <w:proofErr w:type="spellStart"/>
      <w:r w:rsidRPr="00660089">
        <w:rPr>
          <w:rFonts w:ascii="Palatino Linotype" w:eastAsia="Times New Roman" w:hAnsi="Palatino Linotype" w:cs="Arial"/>
          <w:sz w:val="24"/>
          <w:szCs w:val="24"/>
          <w:lang w:val="es-ES_tradnl" w:eastAsia="es-ES"/>
        </w:rPr>
        <w:t>desechamiento</w:t>
      </w:r>
      <w:proofErr w:type="spellEnd"/>
      <w:r w:rsidRPr="00660089">
        <w:rPr>
          <w:rFonts w:ascii="Palatino Linotype" w:eastAsia="Times New Roman" w:hAnsi="Palatino Linotype" w:cs="Arial"/>
          <w:sz w:val="24"/>
          <w:szCs w:val="24"/>
          <w:lang w:val="es-ES_tradnl" w:eastAsia="es-ES"/>
        </w:rPr>
        <w:t>.</w:t>
      </w:r>
    </w:p>
    <w:p w14:paraId="75D71B6A" w14:textId="77777777" w:rsidR="00B45B91" w:rsidRPr="00660089" w:rsidRDefault="00B45B91" w:rsidP="00BF3E35">
      <w:pPr>
        <w:spacing w:after="0" w:line="360" w:lineRule="auto"/>
        <w:ind w:right="49"/>
        <w:jc w:val="both"/>
        <w:rPr>
          <w:rFonts w:ascii="Palatino Linotype" w:eastAsia="Times New Roman" w:hAnsi="Palatino Linotype" w:cs="Arial"/>
          <w:sz w:val="24"/>
          <w:szCs w:val="24"/>
          <w:lang w:val="es-ES_tradnl" w:eastAsia="es-ES"/>
        </w:rPr>
      </w:pPr>
    </w:p>
    <w:p w14:paraId="5843A0A0" w14:textId="77777777" w:rsidR="00B45B91" w:rsidRPr="00660089" w:rsidRDefault="00B45B91" w:rsidP="00BF3E3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Pr="00660089">
        <w:rPr>
          <w:rFonts w:ascii="Palatino Linotype" w:eastAsia="Times New Roman" w:hAnsi="Palatino Linotype" w:cs="Arial"/>
          <w:b/>
          <w:sz w:val="28"/>
          <w:szCs w:val="28"/>
          <w:lang w:val="es-ES_tradnl" w:eastAsia="es-ES"/>
        </w:rPr>
        <w:t xml:space="preserve">. </w:t>
      </w:r>
      <w:r w:rsidRPr="00660089">
        <w:rPr>
          <w:rFonts w:ascii="Palatino Linotype" w:eastAsia="Times New Roman" w:hAnsi="Palatino Linotype" w:cs="Arial"/>
          <w:sz w:val="24"/>
          <w:szCs w:val="24"/>
          <w:lang w:val="es-ES_tradnl" w:eastAsia="es-ES"/>
        </w:rPr>
        <w:t>E</w:t>
      </w:r>
      <w:r w:rsidRPr="00660089">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dieciséis de febrero de dos mil veintitrés</w:t>
      </w:r>
      <w:r w:rsidRPr="00660089">
        <w:rPr>
          <w:rFonts w:ascii="Palatino Linotype" w:eastAsia="Times New Roman" w:hAnsi="Palatino Linotype" w:cs="Arial"/>
          <w:sz w:val="24"/>
          <w:szCs w:val="24"/>
          <w:lang w:val="es-ES" w:eastAsia="es-ES"/>
        </w:rPr>
        <w:t xml:space="preserve">, atento a lo dispuesto en el </w:t>
      </w:r>
      <w:r w:rsidRPr="00660089">
        <w:rPr>
          <w:rFonts w:ascii="Palatino Linotype" w:eastAsia="Times New Roman" w:hAnsi="Palatino Linotype" w:cs="Arial"/>
          <w:sz w:val="24"/>
          <w:szCs w:val="24"/>
          <w:lang w:val="es-ES_tradnl" w:eastAsia="es-ES"/>
        </w:rPr>
        <w:t>artículo</w:t>
      </w:r>
      <w:r w:rsidRPr="00660089">
        <w:rPr>
          <w:rFonts w:ascii="Palatino Linotype" w:eastAsia="Times New Roman" w:hAnsi="Palatino Linotype" w:cs="Arial"/>
          <w:sz w:val="24"/>
          <w:szCs w:val="24"/>
          <w:lang w:val="es-ES" w:eastAsia="es-ES"/>
        </w:rPr>
        <w:t xml:space="preserve"> 185 fracciones I, II y IV </w:t>
      </w:r>
      <w:r w:rsidRPr="00660089">
        <w:rPr>
          <w:rFonts w:ascii="Palatino Linotype" w:eastAsia="Times New Roman" w:hAnsi="Palatino Linotype" w:cs="Arial"/>
          <w:sz w:val="24"/>
          <w:szCs w:val="24"/>
          <w:lang w:val="es-ES_tradnl" w:eastAsia="es-ES"/>
        </w:rPr>
        <w:t xml:space="preserve">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3576025A" w14:textId="77777777" w:rsidR="00B45B91" w:rsidRPr="00660089" w:rsidRDefault="00B45B91" w:rsidP="00BF3E35">
      <w:pPr>
        <w:spacing w:after="0" w:line="360" w:lineRule="auto"/>
        <w:jc w:val="both"/>
        <w:rPr>
          <w:rFonts w:ascii="Palatino Linotype" w:hAnsi="Palatino Linotype" w:cs="Arial"/>
          <w:sz w:val="24"/>
          <w:szCs w:val="28"/>
          <w:lang w:val="es-ES"/>
        </w:rPr>
      </w:pPr>
    </w:p>
    <w:p w14:paraId="0B450393" w14:textId="77777777" w:rsidR="00202FE2" w:rsidRDefault="00202FE2" w:rsidP="00BF3E35">
      <w:pPr>
        <w:spacing w:after="0" w:line="360" w:lineRule="auto"/>
        <w:jc w:val="both"/>
        <w:rPr>
          <w:rFonts w:ascii="Palatino Linotype" w:eastAsia="Calibri" w:hAnsi="Palatino Linotype" w:cs="Arial"/>
          <w:sz w:val="24"/>
          <w:szCs w:val="24"/>
          <w:lang w:eastAsia="es-MX"/>
        </w:rPr>
      </w:pPr>
      <w:r>
        <w:rPr>
          <w:rFonts w:ascii="Palatino Linotype" w:hAnsi="Palatino Linotype" w:cs="Arial"/>
          <w:b/>
          <w:sz w:val="28"/>
          <w:szCs w:val="28"/>
        </w:rPr>
        <w:t>QUINTO</w:t>
      </w:r>
      <w:r w:rsidR="00B45B91" w:rsidRPr="00660089">
        <w:rPr>
          <w:rFonts w:ascii="Palatino Linotype" w:hAnsi="Palatino Linotype" w:cs="Arial"/>
          <w:b/>
          <w:sz w:val="28"/>
          <w:szCs w:val="28"/>
        </w:rPr>
        <w:t xml:space="preserve">. </w:t>
      </w:r>
      <w:r w:rsidR="00B45B91" w:rsidRPr="00A67381">
        <w:rPr>
          <w:rFonts w:ascii="Palatino Linotype" w:eastAsia="Calibri" w:hAnsi="Palatino Linotype" w:cs="Arial"/>
          <w:sz w:val="24"/>
          <w:szCs w:val="24"/>
          <w:lang w:eastAsia="es-MX"/>
        </w:rPr>
        <w:t xml:space="preserve">Una vez abierta la etapa de instrucción, se advierte que el </w:t>
      </w:r>
      <w:r w:rsidR="00B45B91" w:rsidRPr="00A67381">
        <w:rPr>
          <w:rFonts w:ascii="Palatino Linotype" w:eastAsia="Calibri" w:hAnsi="Palatino Linotype" w:cs="Arial"/>
          <w:b/>
          <w:sz w:val="24"/>
          <w:szCs w:val="24"/>
          <w:lang w:eastAsia="es-MX"/>
        </w:rPr>
        <w:t>Sujeto Obligado</w:t>
      </w:r>
      <w:r w:rsidR="00B45B91" w:rsidRPr="00A67381">
        <w:rPr>
          <w:rFonts w:ascii="Palatino Linotype" w:eastAsia="Calibri" w:hAnsi="Palatino Linotype" w:cs="Arial"/>
          <w:sz w:val="24"/>
          <w:szCs w:val="24"/>
          <w:lang w:eastAsia="es-MX"/>
        </w:rPr>
        <w:t xml:space="preserve"> </w:t>
      </w:r>
      <w:r w:rsidR="00B45B91">
        <w:rPr>
          <w:rFonts w:ascii="Palatino Linotype" w:eastAsia="Calibri" w:hAnsi="Palatino Linotype" w:cs="Arial"/>
          <w:sz w:val="24"/>
          <w:szCs w:val="24"/>
          <w:lang w:eastAsia="es-MX"/>
        </w:rPr>
        <w:t>rindió su informe justificado, a través del documento electrónico “</w:t>
      </w:r>
      <w:r w:rsidR="00B45B91" w:rsidRPr="00B45B91">
        <w:rPr>
          <w:rFonts w:ascii="Palatino Linotype" w:eastAsia="Calibri" w:hAnsi="Palatino Linotype" w:cs="Arial"/>
          <w:b/>
          <w:i/>
          <w:sz w:val="24"/>
          <w:szCs w:val="24"/>
          <w:lang w:eastAsia="es-MX"/>
        </w:rPr>
        <w:t>RR820_23.pdf</w:t>
      </w:r>
      <w:r w:rsidR="00B45B91">
        <w:rPr>
          <w:rFonts w:ascii="Palatino Linotype" w:eastAsia="Calibri" w:hAnsi="Palatino Linotype" w:cs="Arial"/>
          <w:sz w:val="24"/>
          <w:szCs w:val="24"/>
          <w:lang w:eastAsia="es-MX"/>
        </w:rPr>
        <w:t xml:space="preserve">”, mediante el cual, ratifica su respuesta primigenia. En lo que corresponde al </w:t>
      </w:r>
      <w:r w:rsidR="00B45B91" w:rsidRPr="00A67381">
        <w:rPr>
          <w:rFonts w:ascii="Palatino Linotype" w:eastAsia="Calibri" w:hAnsi="Palatino Linotype" w:cs="Arial"/>
          <w:b/>
          <w:sz w:val="24"/>
          <w:szCs w:val="24"/>
          <w:lang w:eastAsia="es-MX"/>
        </w:rPr>
        <w:t>Recurrente</w:t>
      </w:r>
      <w:r w:rsidR="00B45B91" w:rsidRPr="00A67381">
        <w:rPr>
          <w:rFonts w:ascii="Palatino Linotype" w:eastAsia="Calibri" w:hAnsi="Palatino Linotype" w:cs="Arial"/>
          <w:sz w:val="24"/>
          <w:szCs w:val="24"/>
          <w:lang w:eastAsia="es-MX"/>
        </w:rPr>
        <w:t xml:space="preserve">, </w:t>
      </w:r>
      <w:r w:rsidR="00B45B91">
        <w:rPr>
          <w:rFonts w:ascii="Palatino Linotype" w:eastAsia="Calibri" w:hAnsi="Palatino Linotype" w:cs="Arial"/>
          <w:sz w:val="24"/>
          <w:szCs w:val="24"/>
          <w:lang w:eastAsia="es-MX"/>
        </w:rPr>
        <w:t xml:space="preserve">se observa que fue </w:t>
      </w:r>
      <w:r w:rsidR="00B45B91" w:rsidRPr="00A67381">
        <w:rPr>
          <w:rFonts w:ascii="Palatino Linotype" w:eastAsia="Calibri" w:hAnsi="Palatino Linotype" w:cs="Arial"/>
          <w:sz w:val="24"/>
          <w:szCs w:val="24"/>
          <w:lang w:eastAsia="es-MX"/>
        </w:rPr>
        <w:t xml:space="preserve">omiso en presentar </w:t>
      </w:r>
      <w:r>
        <w:rPr>
          <w:rFonts w:ascii="Palatino Linotype" w:eastAsia="Calibri" w:hAnsi="Palatino Linotype" w:cs="Arial"/>
          <w:sz w:val="24"/>
          <w:szCs w:val="24"/>
          <w:lang w:eastAsia="es-MX"/>
        </w:rPr>
        <w:t>las</w:t>
      </w:r>
      <w:r w:rsidR="00B45B91" w:rsidRPr="00A67381">
        <w:rPr>
          <w:rFonts w:ascii="Palatino Linotype" w:eastAsia="Calibri" w:hAnsi="Palatino Linotype" w:cs="Arial"/>
          <w:sz w:val="24"/>
          <w:szCs w:val="24"/>
          <w:lang w:eastAsia="es-MX"/>
        </w:rPr>
        <w:t xml:space="preserve"> manifestaciones que a sus intereses convinieran. </w:t>
      </w:r>
    </w:p>
    <w:p w14:paraId="71A6DFD0" w14:textId="77777777" w:rsidR="00202FE2" w:rsidRDefault="00202FE2" w:rsidP="00BF3E35">
      <w:pPr>
        <w:spacing w:after="0" w:line="360" w:lineRule="auto"/>
        <w:jc w:val="both"/>
        <w:rPr>
          <w:rFonts w:ascii="Palatino Linotype" w:eastAsia="Calibri" w:hAnsi="Palatino Linotype" w:cs="Arial"/>
          <w:sz w:val="24"/>
          <w:szCs w:val="24"/>
          <w:lang w:eastAsia="es-MX"/>
        </w:rPr>
      </w:pPr>
    </w:p>
    <w:p w14:paraId="29E51E5B" w14:textId="77777777" w:rsidR="00B45B91" w:rsidRPr="00A67381" w:rsidRDefault="00B45B91" w:rsidP="00BF3E35">
      <w:pPr>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 xml:space="preserve">Así mismo se aprecia que no se llevaron a cabo audiencias durante la sustanciación del recurso de revisión, ni se ofrecieron pruebas por parte del hoy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14:paraId="55CA6332" w14:textId="77777777" w:rsidR="00B45B91" w:rsidRDefault="00B45B91" w:rsidP="00BF3E35">
      <w:pPr>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02FE2">
        <w:rPr>
          <w:rFonts w:ascii="Palatino Linotype" w:eastAsia="Calibri" w:hAnsi="Palatino Linotype" w:cs="Arial"/>
          <w:sz w:val="24"/>
          <w:szCs w:val="24"/>
          <w:lang w:eastAsia="es-MX"/>
        </w:rPr>
        <w:t xml:space="preserve">quince de marzo </w:t>
      </w:r>
      <w:r>
        <w:rPr>
          <w:rFonts w:ascii="Palatino Linotype" w:eastAsia="Calibri" w:hAnsi="Palatino Linotype" w:cs="Arial"/>
          <w:sz w:val="24"/>
          <w:szCs w:val="24"/>
          <w:lang w:eastAsia="es-MX"/>
        </w:rPr>
        <w:t>de dos mil veintitrés</w:t>
      </w:r>
      <w:r w:rsidRPr="00A67381">
        <w:rPr>
          <w:rFonts w:ascii="Palatino Linotype" w:eastAsia="Calibri" w:hAnsi="Palatino Linotype" w:cs="Arial"/>
          <w:sz w:val="24"/>
          <w:szCs w:val="24"/>
          <w:lang w:eastAsia="es-MX"/>
        </w:rPr>
        <w:t>, en términos del artículo 185 fracción VI de la Ley de Transparencia y Acceso a la Información Pública del Estado de México y Municipios, ordenándose turnar los expedientes a la resolución que en derecho proceda.</w:t>
      </w:r>
    </w:p>
    <w:p w14:paraId="504C62B5" w14:textId="77777777" w:rsidR="00202FE2" w:rsidRDefault="00202FE2" w:rsidP="00BF3E35">
      <w:pPr>
        <w:spacing w:after="0" w:line="360" w:lineRule="auto"/>
        <w:jc w:val="both"/>
        <w:rPr>
          <w:rFonts w:ascii="Palatino Linotype" w:eastAsia="Calibri" w:hAnsi="Palatino Linotype" w:cs="Arial"/>
          <w:sz w:val="24"/>
          <w:szCs w:val="24"/>
          <w:lang w:eastAsia="es-MX"/>
        </w:rPr>
      </w:pPr>
    </w:p>
    <w:p w14:paraId="1D73A906" w14:textId="77777777" w:rsidR="00202FE2" w:rsidRPr="00202FE2" w:rsidRDefault="00202FE2" w:rsidP="00BF3E35">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202FE2">
        <w:rPr>
          <w:rFonts w:ascii="Palatino Linotype" w:hAnsi="Palatino Linotype" w:cs="Arial"/>
          <w:sz w:val="24"/>
          <w:szCs w:val="24"/>
        </w:rPr>
        <w:t xml:space="preserve"> De las constancias que integran el expediente electrónico , se advierte que ha transcurrido el término de Ley, para la emisión de la resolución en el presente recurso de revisión, por lo que en fecha </w:t>
      </w:r>
      <w:r w:rsidR="00106010">
        <w:rPr>
          <w:rFonts w:ascii="Palatino Linotype" w:hAnsi="Palatino Linotype" w:cs="Arial"/>
          <w:sz w:val="24"/>
          <w:szCs w:val="24"/>
        </w:rPr>
        <w:t>17</w:t>
      </w:r>
      <w:r w:rsidRPr="00202FE2">
        <w:rPr>
          <w:rFonts w:ascii="Palatino Linotype" w:hAnsi="Palatino Linotype" w:cs="Arial"/>
          <w:sz w:val="24"/>
          <w:szCs w:val="24"/>
        </w:rPr>
        <w:t xml:space="preserve"> (</w:t>
      </w:r>
      <w:r w:rsidR="00106010">
        <w:rPr>
          <w:rFonts w:ascii="Palatino Linotype" w:hAnsi="Palatino Linotype" w:cs="Arial"/>
          <w:sz w:val="24"/>
          <w:szCs w:val="24"/>
        </w:rPr>
        <w:t>diecisiete</w:t>
      </w:r>
      <w:r w:rsidRPr="00202FE2">
        <w:rPr>
          <w:rFonts w:ascii="Palatino Linotype" w:hAnsi="Palatino Linotype" w:cs="Arial"/>
          <w:sz w:val="24"/>
          <w:szCs w:val="24"/>
        </w:rPr>
        <w:t xml:space="preserve">) de </w:t>
      </w:r>
      <w:r w:rsidR="00106010">
        <w:rPr>
          <w:rFonts w:ascii="Palatino Linotype" w:hAnsi="Palatino Linotype" w:cs="Arial"/>
          <w:sz w:val="24"/>
          <w:szCs w:val="24"/>
        </w:rPr>
        <w:t>marzo</w:t>
      </w:r>
      <w:r w:rsidRPr="00202FE2">
        <w:rPr>
          <w:rFonts w:ascii="Palatino Linotype" w:hAnsi="Palatino Linotype" w:cs="Arial"/>
          <w:sz w:val="24"/>
          <w:szCs w:val="24"/>
        </w:rPr>
        <w:t xml:space="preserv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9281AE6" w14:textId="77777777" w:rsidR="00202FE2" w:rsidRPr="00A67381" w:rsidRDefault="00202FE2" w:rsidP="00BF3E35">
      <w:pPr>
        <w:spacing w:after="0" w:line="360" w:lineRule="auto"/>
        <w:jc w:val="both"/>
        <w:rPr>
          <w:rFonts w:ascii="Palatino Linotype" w:eastAsia="Calibri" w:hAnsi="Palatino Linotype" w:cs="Arial"/>
          <w:sz w:val="24"/>
          <w:szCs w:val="24"/>
          <w:lang w:eastAsia="es-MX"/>
        </w:rPr>
      </w:pPr>
    </w:p>
    <w:p w14:paraId="129CF3F3" w14:textId="77777777" w:rsidR="00B45B91" w:rsidRPr="00660089" w:rsidRDefault="00B45B91" w:rsidP="00BF3E35">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p>
    <w:p w14:paraId="2A4777A3" w14:textId="77777777" w:rsidR="00B45B91" w:rsidRPr="00660089" w:rsidRDefault="00B45B91" w:rsidP="00BF3E35">
      <w:pPr>
        <w:spacing w:after="0" w:line="360" w:lineRule="auto"/>
        <w:jc w:val="center"/>
        <w:rPr>
          <w:rFonts w:ascii="Palatino Linotype" w:hAnsi="Palatino Linotype" w:cs="Arial"/>
          <w:sz w:val="24"/>
          <w:szCs w:val="24"/>
        </w:rPr>
      </w:pPr>
    </w:p>
    <w:p w14:paraId="12C57133" w14:textId="77777777" w:rsidR="00B45B91" w:rsidRPr="00660089" w:rsidRDefault="00B45B91" w:rsidP="00BF3E35">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14:paraId="3B9461DB" w14:textId="77777777" w:rsidR="00376236" w:rsidRPr="0094196A" w:rsidRDefault="00376236" w:rsidP="00BF3E35">
      <w:pPr>
        <w:spacing w:after="0" w:line="360" w:lineRule="auto"/>
        <w:jc w:val="both"/>
        <w:rPr>
          <w:rFonts w:ascii="Palatino Linotype" w:hAnsi="Palatino Linotype" w:cs="Arial"/>
          <w:sz w:val="24"/>
          <w:szCs w:val="24"/>
        </w:rPr>
      </w:pPr>
      <w:r w:rsidRPr="0094196A">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w:t>
      </w:r>
      <w:r w:rsidRPr="0094196A">
        <w:rPr>
          <w:rFonts w:ascii="Palatino Linotype" w:hAnsi="Palatino Linotype" w:cs="Arial"/>
          <w:sz w:val="24"/>
          <w:szCs w:val="24"/>
        </w:rPr>
        <w:lastRenderedPageBreak/>
        <w:t>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67AEE77" w14:textId="77777777" w:rsidR="00B45B91" w:rsidRPr="00660089" w:rsidRDefault="00B45B91" w:rsidP="00BF3E35">
      <w:pPr>
        <w:spacing w:after="0" w:line="360" w:lineRule="auto"/>
        <w:jc w:val="both"/>
        <w:rPr>
          <w:rFonts w:ascii="Palatino Linotype" w:hAnsi="Palatino Linotype" w:cs="Arial"/>
          <w:sz w:val="24"/>
          <w:szCs w:val="24"/>
        </w:rPr>
      </w:pPr>
    </w:p>
    <w:p w14:paraId="751B3840" w14:textId="77777777" w:rsidR="00B45B91" w:rsidRPr="00660089" w:rsidRDefault="00B45B91" w:rsidP="00BF3E35">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14:paraId="3049D41B" w14:textId="77777777" w:rsidR="00B45B91" w:rsidRPr="00A67381" w:rsidRDefault="00B45B91" w:rsidP="00BF3E35">
      <w:pPr>
        <w:autoSpaceDE w:val="0"/>
        <w:autoSpaceDN w:val="0"/>
        <w:adjustRightInd w:val="0"/>
        <w:spacing w:after="0" w:line="360" w:lineRule="auto"/>
        <w:jc w:val="both"/>
        <w:rPr>
          <w:rFonts w:ascii="Palatino Linotype" w:eastAsia="Calibri" w:hAnsi="Palatino Linotype" w:cs="Arial"/>
          <w:bCs/>
          <w:sz w:val="24"/>
          <w:szCs w:val="24"/>
          <w:lang w:eastAsia="es-MX"/>
        </w:rPr>
      </w:pPr>
      <w:r w:rsidRPr="00A67381">
        <w:rPr>
          <w:rFonts w:ascii="Palatino Linotype" w:eastAsia="Calibri" w:hAnsi="Palatino Linotype" w:cs="Arial"/>
          <w:bCs/>
          <w:sz w:val="24"/>
          <w:szCs w:val="24"/>
          <w:lang w:eastAsia="es-MX"/>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1B5AD62B" w14:textId="77777777" w:rsidR="00B45B91" w:rsidRPr="00A67381" w:rsidRDefault="00B45B91" w:rsidP="00BF3E35">
      <w:pPr>
        <w:autoSpaceDE w:val="0"/>
        <w:autoSpaceDN w:val="0"/>
        <w:adjustRightInd w:val="0"/>
        <w:spacing w:after="0" w:line="360" w:lineRule="auto"/>
        <w:jc w:val="both"/>
        <w:rPr>
          <w:rFonts w:ascii="Palatino Linotype" w:eastAsia="Calibri" w:hAnsi="Palatino Linotype" w:cs="Arial"/>
          <w:sz w:val="24"/>
          <w:szCs w:val="24"/>
          <w:lang w:eastAsia="es-MX"/>
        </w:rPr>
      </w:pPr>
    </w:p>
    <w:p w14:paraId="06D6F89B" w14:textId="77777777" w:rsidR="00B45B91" w:rsidRPr="00A67381" w:rsidRDefault="00B45B91" w:rsidP="00BF3E35">
      <w:pPr>
        <w:autoSpaceDE w:val="0"/>
        <w:autoSpaceDN w:val="0"/>
        <w:adjustRightInd w:val="0"/>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00C02A4"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67CE071F"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p>
    <w:p w14:paraId="65F41D48" w14:textId="77777777" w:rsidR="00B45B91" w:rsidRPr="009A599D" w:rsidRDefault="00B45B91" w:rsidP="00BF3E35">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180</w:t>
      </w:r>
      <w:r w:rsidRPr="009A599D">
        <w:rPr>
          <w:rFonts w:ascii="Palatino Linotype" w:hAnsi="Palatino Linotype" w:cs="Arial"/>
          <w:i/>
          <w:szCs w:val="24"/>
        </w:rPr>
        <w:t xml:space="preserve">. El recurso de revisión contendrá: </w:t>
      </w:r>
    </w:p>
    <w:p w14:paraId="611445A5" w14:textId="77777777" w:rsidR="00B45B91" w:rsidRPr="009A599D" w:rsidRDefault="00B45B91" w:rsidP="00BF3E35">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xml:space="preserve">. El Sujeto Obligado ante la cual se presentó la solicitud; </w:t>
      </w:r>
    </w:p>
    <w:p w14:paraId="61C0B9C2" w14:textId="77777777" w:rsidR="00B45B91" w:rsidRPr="009A599D" w:rsidRDefault="00B45B91" w:rsidP="00BF3E35">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II</w:t>
      </w:r>
      <w:r w:rsidRPr="009A599D">
        <w:rPr>
          <w:rFonts w:ascii="Palatino Linotype" w:hAnsi="Palatino Linotype" w:cs="Arial"/>
          <w:i/>
          <w:szCs w:val="24"/>
        </w:rPr>
        <w:t xml:space="preserve">. </w:t>
      </w:r>
      <w:r w:rsidRPr="009A599D">
        <w:rPr>
          <w:rFonts w:ascii="Palatino Linotype" w:hAnsi="Palatino Linotype" w:cs="Arial"/>
          <w:i/>
          <w:szCs w:val="24"/>
          <w:u w:val="single"/>
        </w:rPr>
        <w:t>El nombre del solicitante</w:t>
      </w:r>
      <w:r w:rsidRPr="009A599D">
        <w:rPr>
          <w:rFonts w:ascii="Palatino Linotype" w:hAnsi="Palatino Linotype" w:cs="Arial"/>
          <w:i/>
          <w:szCs w:val="24"/>
        </w:rPr>
        <w:t xml:space="preserve"> que recurre o de su representante y, en su caso, del tercero interesado, así como la dirección o medio que señale para recibir notificaciones; </w:t>
      </w:r>
    </w:p>
    <w:p w14:paraId="39A33A1E" w14:textId="77777777" w:rsidR="00B45B91" w:rsidRPr="009A599D" w:rsidRDefault="00B45B91" w:rsidP="00BF3E35">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El número de folio de respuesta de la solicitud de acceso; </w:t>
      </w:r>
    </w:p>
    <w:p w14:paraId="45F9674A" w14:textId="77777777" w:rsidR="00B45B91" w:rsidRPr="009A599D" w:rsidRDefault="00B45B91" w:rsidP="00BF3E35">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IV</w:t>
      </w:r>
      <w:r w:rsidRPr="009A599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0BFC6C49" w14:textId="77777777" w:rsidR="00B45B91" w:rsidRPr="009A599D" w:rsidRDefault="00B45B91" w:rsidP="00BF3E35">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V</w:t>
      </w:r>
      <w:r w:rsidRPr="009A599D">
        <w:rPr>
          <w:rFonts w:ascii="Palatino Linotype" w:hAnsi="Palatino Linotype" w:cs="Arial"/>
          <w:i/>
          <w:szCs w:val="24"/>
        </w:rPr>
        <w:t xml:space="preserve">. El acto que se recurre; </w:t>
      </w:r>
    </w:p>
    <w:p w14:paraId="6DD2DD4C" w14:textId="77777777" w:rsidR="00B45B91" w:rsidRPr="009A599D" w:rsidRDefault="00B45B91" w:rsidP="00BF3E35">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razones o motivos de inconformidad; </w:t>
      </w:r>
    </w:p>
    <w:p w14:paraId="4D808FF7" w14:textId="77777777" w:rsidR="00B45B91" w:rsidRPr="009A599D" w:rsidRDefault="00B45B91" w:rsidP="00BF3E35">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VII</w:t>
      </w:r>
      <w:r w:rsidRPr="009A599D">
        <w:rPr>
          <w:rFonts w:ascii="Palatino Linotype" w:hAnsi="Palatino Linotype" w:cs="Arial"/>
          <w:i/>
          <w:szCs w:val="24"/>
        </w:rPr>
        <w:t xml:space="preserve">. La copia de la respuesta que se impugna y, en su caso, de la notificación correspondiente, en el caso de respuesta de la solicitud; y </w:t>
      </w:r>
    </w:p>
    <w:p w14:paraId="581FCB2C" w14:textId="77777777" w:rsidR="00B45B91" w:rsidRPr="009A599D" w:rsidRDefault="00B45B91" w:rsidP="00BF3E35">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VIII</w:t>
      </w:r>
      <w:r w:rsidRPr="009A599D">
        <w:rPr>
          <w:rFonts w:ascii="Palatino Linotype" w:hAnsi="Palatino Linotype" w:cs="Arial"/>
          <w:i/>
          <w:szCs w:val="24"/>
        </w:rPr>
        <w:t xml:space="preserve">. Firma del Recurrente, en su caso, cuando se presente por escrito, requisito sin el cual se dará trámite al recurso. </w:t>
      </w:r>
    </w:p>
    <w:p w14:paraId="56C24C05" w14:textId="77777777" w:rsidR="00B45B91" w:rsidRPr="009A599D" w:rsidRDefault="00B45B91" w:rsidP="00BF3E35">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i/>
          <w:szCs w:val="24"/>
        </w:rPr>
        <w:t xml:space="preserve">Adicionalmente, se podrán anexar las pruebas y demás elementos que considere procedentes someter a juicio del Instituto. </w:t>
      </w:r>
    </w:p>
    <w:p w14:paraId="76EB5160" w14:textId="77777777" w:rsidR="00B45B91" w:rsidRPr="009A599D" w:rsidRDefault="00B45B91" w:rsidP="00BF3E35">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i/>
          <w:szCs w:val="24"/>
        </w:rPr>
        <w:t xml:space="preserve">En ningún caso será necesario que el particular ratifique el recurso de revisión interpuesto. </w:t>
      </w:r>
    </w:p>
    <w:p w14:paraId="3C9DCFDA" w14:textId="77777777" w:rsidR="00B45B91" w:rsidRPr="009A599D" w:rsidRDefault="00B45B91" w:rsidP="00BF3E35">
      <w:pPr>
        <w:autoSpaceDE w:val="0"/>
        <w:autoSpaceDN w:val="0"/>
        <w:adjustRightInd w:val="0"/>
        <w:spacing w:after="0" w:line="276" w:lineRule="auto"/>
        <w:ind w:left="567" w:right="567"/>
        <w:jc w:val="both"/>
        <w:rPr>
          <w:rFonts w:ascii="Palatino Linotype" w:hAnsi="Palatino Linotype" w:cs="Arial"/>
          <w:szCs w:val="24"/>
        </w:rPr>
      </w:pPr>
      <w:r w:rsidRPr="009A599D">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0D3BC154" w14:textId="77777777" w:rsidR="00B45B91" w:rsidRPr="009A599D" w:rsidRDefault="00B45B91" w:rsidP="00BF3E35">
      <w:pPr>
        <w:autoSpaceDE w:val="0"/>
        <w:autoSpaceDN w:val="0"/>
        <w:adjustRightInd w:val="0"/>
        <w:spacing w:after="0" w:line="276" w:lineRule="auto"/>
        <w:ind w:left="567" w:right="567"/>
        <w:jc w:val="both"/>
        <w:rPr>
          <w:rFonts w:ascii="Palatino Linotype" w:hAnsi="Palatino Linotype" w:cs="Arial"/>
          <w:szCs w:val="24"/>
        </w:rPr>
      </w:pPr>
    </w:p>
    <w:p w14:paraId="487472E8" w14:textId="77777777" w:rsidR="00B45B91" w:rsidRPr="009A599D" w:rsidRDefault="00B45B91" w:rsidP="00BF3E35">
      <w:pPr>
        <w:autoSpaceDE w:val="0"/>
        <w:autoSpaceDN w:val="0"/>
        <w:adjustRightInd w:val="0"/>
        <w:spacing w:after="0" w:line="276"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14:paraId="3668FB62"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p>
    <w:p w14:paraId="7480B4EB"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w:t>
      </w:r>
      <w:proofErr w:type="spellStart"/>
      <w:r w:rsidRPr="009A599D">
        <w:rPr>
          <w:rFonts w:ascii="Palatino Linotype" w:hAnsi="Palatino Linotype" w:cs="Arial"/>
          <w:sz w:val="24"/>
          <w:szCs w:val="24"/>
        </w:rPr>
        <w:t>SAIMEX</w:t>
      </w:r>
      <w:proofErr w:type="spellEnd"/>
      <w:r w:rsidRPr="009A599D">
        <w:rPr>
          <w:rFonts w:ascii="Palatino Linotype" w:hAnsi="Palatino Linotype" w:cs="Arial"/>
          <w:sz w:val="24"/>
          <w:szCs w:val="24"/>
        </w:rPr>
        <w:t xml:space="preserve"> se desprende que el solicitante y ahora </w:t>
      </w:r>
      <w:r w:rsidRPr="009A599D">
        <w:rPr>
          <w:rFonts w:ascii="Palatino Linotype" w:hAnsi="Palatino Linotype" w:cs="Arial"/>
          <w:b/>
          <w:sz w:val="24"/>
          <w:szCs w:val="24"/>
        </w:rPr>
        <w:t>Recurrente</w:t>
      </w:r>
      <w:r w:rsidRPr="009A599D">
        <w:rPr>
          <w:rFonts w:ascii="Palatino Linotype" w:hAnsi="Palatino Linotype" w:cs="Arial"/>
          <w:sz w:val="24"/>
          <w:szCs w:val="24"/>
        </w:rPr>
        <w:t xml:space="preserve">, en ejercicio de su derecho de acceso a la información pública, no proporcionó un nombre para que sea identificado, ya que en el apartado de “DATOS DEL </w:t>
      </w:r>
      <w:r w:rsidRPr="009A599D">
        <w:rPr>
          <w:rFonts w:ascii="Palatino Linotype" w:hAnsi="Palatino Linotype" w:cs="Arial"/>
          <w:sz w:val="24"/>
          <w:szCs w:val="24"/>
        </w:rPr>
        <w:lastRenderedPageBreak/>
        <w:t>SOLICITANTE”, no señalo nombre o seudónimo con el cual desee identificarse, por lo que no tiene certeza sobre su identidad, lo que en estricto sentido, no se colmarían los requisitos establecidos en el citado artículo 180 de la Ley de Transparencia.</w:t>
      </w:r>
    </w:p>
    <w:p w14:paraId="08A97ECE"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p>
    <w:p w14:paraId="697259CF"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A599D">
        <w:rPr>
          <w:rFonts w:ascii="Palatino Linotype" w:hAnsi="Palatino Linotype" w:cs="Arial"/>
          <w:i/>
          <w:sz w:val="24"/>
          <w:szCs w:val="24"/>
        </w:rPr>
        <w:t>sine qua non</w:t>
      </w:r>
      <w:r w:rsidRPr="009A599D">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2EC4425"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p>
    <w:p w14:paraId="1CFF3981"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64DB939"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p>
    <w:p w14:paraId="6EC76B63" w14:textId="77777777" w:rsidR="00B45B91" w:rsidRPr="009A599D" w:rsidRDefault="00B45B91" w:rsidP="00BF3E35">
      <w:pPr>
        <w:autoSpaceDE w:val="0"/>
        <w:autoSpaceDN w:val="0"/>
        <w:adjustRightInd w:val="0"/>
        <w:spacing w:after="0" w:line="240" w:lineRule="auto"/>
        <w:jc w:val="center"/>
        <w:rPr>
          <w:rFonts w:ascii="Palatino Linotype" w:hAnsi="Palatino Linotype" w:cs="Arial"/>
          <w:b/>
          <w:i/>
        </w:rPr>
      </w:pPr>
      <w:r w:rsidRPr="009A599D">
        <w:rPr>
          <w:rFonts w:ascii="Palatino Linotype" w:hAnsi="Palatino Linotype" w:cs="Arial"/>
          <w:b/>
          <w:i/>
        </w:rPr>
        <w:t>Constitución Política de los Estados Unidos Mexicanos</w:t>
      </w:r>
    </w:p>
    <w:p w14:paraId="736FB131" w14:textId="77777777" w:rsidR="00B45B91" w:rsidRPr="009A599D" w:rsidRDefault="00B45B91" w:rsidP="00BF3E35">
      <w:pPr>
        <w:autoSpaceDE w:val="0"/>
        <w:autoSpaceDN w:val="0"/>
        <w:adjustRightInd w:val="0"/>
        <w:spacing w:after="0" w:line="240" w:lineRule="auto"/>
        <w:jc w:val="both"/>
        <w:rPr>
          <w:rFonts w:ascii="Palatino Linotype" w:hAnsi="Palatino Linotype" w:cs="Arial"/>
        </w:rPr>
      </w:pPr>
    </w:p>
    <w:p w14:paraId="1EEDAB4D"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rPr>
      </w:pPr>
      <w:r w:rsidRPr="009A599D">
        <w:rPr>
          <w:rFonts w:ascii="Palatino Linotype" w:hAnsi="Palatino Linotype" w:cs="Arial"/>
          <w:i/>
        </w:rPr>
        <w:t>“</w:t>
      </w:r>
      <w:r w:rsidRPr="009A599D">
        <w:rPr>
          <w:rFonts w:ascii="Palatino Linotype" w:hAnsi="Palatino Linotype" w:cs="Arial"/>
          <w:b/>
          <w:i/>
        </w:rPr>
        <w:t xml:space="preserve">Artículo </w:t>
      </w:r>
      <w:proofErr w:type="spellStart"/>
      <w:r w:rsidRPr="009A599D">
        <w:rPr>
          <w:rFonts w:ascii="Palatino Linotype" w:hAnsi="Palatino Linotype" w:cs="Arial"/>
          <w:b/>
          <w:i/>
        </w:rPr>
        <w:t>6o</w:t>
      </w:r>
      <w:proofErr w:type="spellEnd"/>
      <w:r w:rsidRPr="009A599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9A599D">
        <w:rPr>
          <w:rFonts w:ascii="Palatino Linotype" w:hAnsi="Palatino Linotype" w:cs="Arial"/>
          <w:i/>
        </w:rPr>
        <w:lastRenderedPageBreak/>
        <w:t xml:space="preserve">ejercido en los términos dispuestos por la ley. El derecho a la información será garantizado por el Estado. </w:t>
      </w:r>
    </w:p>
    <w:p w14:paraId="1ED15E40"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61197658"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Para efectos de lo dispuesto en el presente artículo se observará lo siguiente:</w:t>
      </w:r>
    </w:p>
    <w:p w14:paraId="28DDF78B"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A</w:t>
      </w:r>
      <w:r w:rsidRPr="009A599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666E66B6"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4673E71"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14:paraId="77D34539"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F13832E"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14:paraId="2A9C7612"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w:t>
      </w:r>
      <w:r w:rsidRPr="009A599D">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F6A5BD7"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3E523600"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14:paraId="72EE713E"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 ley establecerá aquella información que se considere reservada o confidencial.</w:t>
      </w:r>
    </w:p>
    <w:p w14:paraId="407B5029"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p>
    <w:p w14:paraId="55BEF974"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p>
    <w:p w14:paraId="1A74B8B3" w14:textId="77777777" w:rsidR="00B45B91" w:rsidRPr="009A599D" w:rsidRDefault="00B45B91" w:rsidP="00BF3E35">
      <w:pPr>
        <w:autoSpaceDE w:val="0"/>
        <w:autoSpaceDN w:val="0"/>
        <w:adjustRightInd w:val="0"/>
        <w:spacing w:after="0" w:line="240" w:lineRule="auto"/>
        <w:ind w:left="567" w:right="567"/>
        <w:jc w:val="center"/>
        <w:rPr>
          <w:rFonts w:ascii="Palatino Linotype" w:hAnsi="Palatino Linotype" w:cs="Arial"/>
          <w:b/>
          <w:i/>
          <w:szCs w:val="24"/>
        </w:rPr>
      </w:pPr>
      <w:r w:rsidRPr="009A599D">
        <w:rPr>
          <w:rFonts w:ascii="Palatino Linotype" w:hAnsi="Palatino Linotype" w:cs="Arial"/>
          <w:b/>
          <w:i/>
          <w:szCs w:val="24"/>
        </w:rPr>
        <w:t>Constitución Política del Estado Libre y Soberano de México</w:t>
      </w:r>
    </w:p>
    <w:p w14:paraId="0ADE718A"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p>
    <w:p w14:paraId="12B66BB0"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5</w:t>
      </w:r>
      <w:r w:rsidRPr="009A599D">
        <w:rPr>
          <w:rFonts w:ascii="Palatino Linotype" w:hAnsi="Palatino Linotype" w:cs="Arial"/>
          <w:i/>
          <w:szCs w:val="24"/>
        </w:rPr>
        <w:t xml:space="preserve">. … </w:t>
      </w:r>
    </w:p>
    <w:p w14:paraId="7B4E0D62"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14:paraId="7C646F9E"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341B0CE4"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CA507C"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Este derecho se regirá por los principios y bases siguientes:</w:t>
      </w:r>
    </w:p>
    <w:p w14:paraId="487E6DBA"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54459C1"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14:paraId="1A340B25"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599C4F99" w14:textId="77777777" w:rsidR="00B45B91" w:rsidRPr="009A599D" w:rsidRDefault="00B45B91" w:rsidP="00BF3E35">
      <w:pPr>
        <w:autoSpaceDE w:val="0"/>
        <w:autoSpaceDN w:val="0"/>
        <w:adjustRightInd w:val="0"/>
        <w:spacing w:after="0" w:line="240"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14:paraId="5CA69385"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p>
    <w:p w14:paraId="7D764794" w14:textId="77777777" w:rsidR="00B45B91" w:rsidRDefault="00B45B91" w:rsidP="00BF3E3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Por otra parte, del contenido del artículo 1 de la Constitución Política de los Estados Unidos Mexicanos, se destaca lo siguiente:</w:t>
      </w:r>
    </w:p>
    <w:p w14:paraId="3DA4F90B"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p>
    <w:p w14:paraId="7CF2F3A2"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 xml:space="preserve">Artículo </w:t>
      </w:r>
      <w:proofErr w:type="spellStart"/>
      <w:r w:rsidRPr="009A599D">
        <w:rPr>
          <w:rFonts w:ascii="Palatino Linotype" w:hAnsi="Palatino Linotype" w:cs="Arial"/>
          <w:b/>
          <w:i/>
          <w:szCs w:val="24"/>
        </w:rPr>
        <w:t>1o</w:t>
      </w:r>
      <w:proofErr w:type="spellEnd"/>
      <w:r w:rsidRPr="009A599D">
        <w:rPr>
          <w:rFonts w:ascii="Palatino Linotype" w:hAnsi="Palatino Linotype" w:cs="Arial"/>
          <w:b/>
          <w:i/>
          <w:szCs w:val="24"/>
        </w:rPr>
        <w:t>.</w:t>
      </w:r>
      <w:r w:rsidRPr="009A599D">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F79897D"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49C28CC"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9A599D">
        <w:rPr>
          <w:rFonts w:ascii="Palatino Linotype" w:hAnsi="Palatino Linotype" w:cs="Arial"/>
          <w:i/>
          <w:szCs w:val="24"/>
        </w:rPr>
        <w:lastRenderedPageBreak/>
        <w:t>Estado deberá prevenir, investigar, sancionar y reparar las violaciones a los derechos humanos, en los términos que establezca la ley.”</w:t>
      </w:r>
    </w:p>
    <w:p w14:paraId="35D5F047"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p>
    <w:p w14:paraId="6B6FA949"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5BE3906"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p>
    <w:p w14:paraId="5D9E7D69"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Robustece lo anterior, el Criterio 6/2014 del entonces Instituto Federal de Acceso a la Información y Protección de Datos (</w:t>
      </w:r>
      <w:proofErr w:type="spellStart"/>
      <w:r w:rsidRPr="009A599D">
        <w:rPr>
          <w:rFonts w:ascii="Palatino Linotype" w:hAnsi="Palatino Linotype" w:cs="Arial"/>
          <w:sz w:val="24"/>
          <w:szCs w:val="24"/>
        </w:rPr>
        <w:t>IFAI</w:t>
      </w:r>
      <w:proofErr w:type="spellEnd"/>
      <w:r w:rsidRPr="009A599D">
        <w:rPr>
          <w:rFonts w:ascii="Palatino Linotype" w:hAnsi="Palatino Linotype" w:cs="Arial"/>
          <w:sz w:val="24"/>
          <w:szCs w:val="24"/>
        </w:rPr>
        <w:t>) hoy Instituto Nacional de Transparencia, Acceso a la Información y Protección de Datos Personales (INAI), el cual se reproduce para una mayor referencia:</w:t>
      </w:r>
    </w:p>
    <w:p w14:paraId="243E0401"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p>
    <w:p w14:paraId="7A2C728D"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Acceso a información gubernamental. No debe condicionarse a que el solicitante acredite su personalidad, demuestre interés alguno o justifique su utilización.</w:t>
      </w:r>
      <w:r w:rsidRPr="009A599D">
        <w:rPr>
          <w:rFonts w:ascii="Palatino Linotype" w:hAnsi="Palatino Linotype" w:cs="Arial"/>
          <w:i/>
          <w:szCs w:val="24"/>
        </w:rPr>
        <w:t xml:space="preserve"> De conformidad con lo dispuesto en los artículos </w:t>
      </w:r>
      <w:proofErr w:type="spellStart"/>
      <w:r w:rsidRPr="009A599D">
        <w:rPr>
          <w:rFonts w:ascii="Palatino Linotype" w:hAnsi="Palatino Linotype" w:cs="Arial"/>
          <w:i/>
          <w:szCs w:val="24"/>
        </w:rPr>
        <w:t>6o</w:t>
      </w:r>
      <w:proofErr w:type="spellEnd"/>
      <w:r w:rsidRPr="009A599D">
        <w:rPr>
          <w:rFonts w:ascii="Palatino Linotype" w:hAnsi="Palatino Linotype" w:cs="Arial"/>
          <w:i/>
          <w:szCs w:val="24"/>
        </w:rPr>
        <w:t>.,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6338369"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Resoluciones</w:t>
      </w:r>
    </w:p>
    <w:p w14:paraId="5145141B"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xml:space="preserve">• </w:t>
      </w:r>
      <w:proofErr w:type="spellStart"/>
      <w:r w:rsidRPr="009A599D">
        <w:rPr>
          <w:rFonts w:ascii="Palatino Linotype" w:hAnsi="Palatino Linotype" w:cs="Arial"/>
          <w:i/>
          <w:sz w:val="20"/>
          <w:szCs w:val="24"/>
        </w:rPr>
        <w:t>RDA</w:t>
      </w:r>
      <w:proofErr w:type="spellEnd"/>
      <w:r w:rsidRPr="009A599D">
        <w:rPr>
          <w:rFonts w:ascii="Palatino Linotype" w:hAnsi="Palatino Linotype" w:cs="Arial"/>
          <w:i/>
          <w:sz w:val="20"/>
          <w:szCs w:val="24"/>
        </w:rPr>
        <w:t xml:space="preserve"> 5275/13. Interpuesto en contra de la Secretaría de la Defensa Nacional. Comisionado Ponente Ángel Trinidad Zaldívar.</w:t>
      </w:r>
    </w:p>
    <w:p w14:paraId="62213C27"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lastRenderedPageBreak/>
        <w:t xml:space="preserve">• </w:t>
      </w:r>
      <w:proofErr w:type="spellStart"/>
      <w:r w:rsidRPr="009A599D">
        <w:rPr>
          <w:rFonts w:ascii="Palatino Linotype" w:hAnsi="Palatino Linotype" w:cs="Arial"/>
          <w:i/>
          <w:sz w:val="20"/>
          <w:szCs w:val="24"/>
        </w:rPr>
        <w:t>RDA</w:t>
      </w:r>
      <w:proofErr w:type="spellEnd"/>
      <w:r w:rsidRPr="009A599D">
        <w:rPr>
          <w:rFonts w:ascii="Palatino Linotype" w:hAnsi="Palatino Linotype" w:cs="Arial"/>
          <w:i/>
          <w:sz w:val="20"/>
          <w:szCs w:val="24"/>
        </w:rPr>
        <w:t xml:space="preserve"> 2937/13. Interpuesto en contra de LICONSA, S.A. de C.V. Comisionado. Ponente Gerardo Laveaga Rendón.</w:t>
      </w:r>
    </w:p>
    <w:p w14:paraId="300D9709"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xml:space="preserve">• </w:t>
      </w:r>
      <w:proofErr w:type="spellStart"/>
      <w:r w:rsidRPr="009A599D">
        <w:rPr>
          <w:rFonts w:ascii="Palatino Linotype" w:hAnsi="Palatino Linotype" w:cs="Arial"/>
          <w:i/>
          <w:sz w:val="20"/>
          <w:szCs w:val="24"/>
        </w:rPr>
        <w:t>RDA</w:t>
      </w:r>
      <w:proofErr w:type="spellEnd"/>
      <w:r w:rsidRPr="009A599D">
        <w:rPr>
          <w:rFonts w:ascii="Palatino Linotype" w:hAnsi="Palatino Linotype" w:cs="Arial"/>
          <w:i/>
          <w:sz w:val="20"/>
          <w:szCs w:val="24"/>
        </w:rPr>
        <w:t xml:space="preserve"> 3609/12. Interpuesto en contra de la Secretaría de Educación Pública. Comisionada Ponente Sigrid </w:t>
      </w:r>
      <w:proofErr w:type="spellStart"/>
      <w:r w:rsidRPr="009A599D">
        <w:rPr>
          <w:rFonts w:ascii="Palatino Linotype" w:hAnsi="Palatino Linotype" w:cs="Arial"/>
          <w:i/>
          <w:sz w:val="20"/>
          <w:szCs w:val="24"/>
        </w:rPr>
        <w:t>Arzt</w:t>
      </w:r>
      <w:proofErr w:type="spellEnd"/>
      <w:r w:rsidRPr="009A599D">
        <w:rPr>
          <w:rFonts w:ascii="Palatino Linotype" w:hAnsi="Palatino Linotype" w:cs="Arial"/>
          <w:i/>
          <w:sz w:val="20"/>
          <w:szCs w:val="24"/>
        </w:rPr>
        <w:t xml:space="preserve"> Colunga.</w:t>
      </w:r>
    </w:p>
    <w:p w14:paraId="1467F935"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xml:space="preserve">• </w:t>
      </w:r>
      <w:proofErr w:type="spellStart"/>
      <w:r w:rsidRPr="009A599D">
        <w:rPr>
          <w:rFonts w:ascii="Palatino Linotype" w:hAnsi="Palatino Linotype" w:cs="Arial"/>
          <w:i/>
          <w:sz w:val="20"/>
          <w:szCs w:val="24"/>
        </w:rPr>
        <w:t>RDA</w:t>
      </w:r>
      <w:proofErr w:type="spellEnd"/>
      <w:r w:rsidRPr="009A599D">
        <w:rPr>
          <w:rFonts w:ascii="Palatino Linotype" w:hAnsi="Palatino Linotype" w:cs="Arial"/>
          <w:i/>
          <w:sz w:val="20"/>
          <w:szCs w:val="24"/>
        </w:rPr>
        <w:t xml:space="preserve"> 3361/12. Interpuesto en contra del Servicio de Administración Tributaria. Comisionada Ponente María Elena Pérez-Jaén Zermeño.</w:t>
      </w:r>
    </w:p>
    <w:p w14:paraId="73D01DEC" w14:textId="77777777" w:rsidR="00B45B91" w:rsidRPr="009A599D" w:rsidRDefault="00B45B91" w:rsidP="00BF3E35">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xml:space="preserve">• </w:t>
      </w:r>
      <w:proofErr w:type="spellStart"/>
      <w:r w:rsidRPr="009A599D">
        <w:rPr>
          <w:rFonts w:ascii="Palatino Linotype" w:hAnsi="Palatino Linotype" w:cs="Arial"/>
          <w:i/>
          <w:sz w:val="20"/>
          <w:szCs w:val="24"/>
        </w:rPr>
        <w:t>RDA</w:t>
      </w:r>
      <w:proofErr w:type="spellEnd"/>
      <w:r w:rsidRPr="009A599D">
        <w:rPr>
          <w:rFonts w:ascii="Palatino Linotype" w:hAnsi="Palatino Linotype" w:cs="Arial"/>
          <w:i/>
          <w:sz w:val="20"/>
          <w:szCs w:val="24"/>
        </w:rPr>
        <w:t xml:space="preserve"> 0563/12. Interpuesto en contra de la Secretaría de la Función Pública. Comisionada Ponente Jacqueline </w:t>
      </w:r>
      <w:proofErr w:type="spellStart"/>
      <w:r w:rsidRPr="009A599D">
        <w:rPr>
          <w:rFonts w:ascii="Palatino Linotype" w:hAnsi="Palatino Linotype" w:cs="Arial"/>
          <w:i/>
          <w:sz w:val="20"/>
          <w:szCs w:val="24"/>
        </w:rPr>
        <w:t>Peschard</w:t>
      </w:r>
      <w:proofErr w:type="spellEnd"/>
      <w:r w:rsidRPr="009A599D">
        <w:rPr>
          <w:rFonts w:ascii="Palatino Linotype" w:hAnsi="Palatino Linotype" w:cs="Arial"/>
          <w:i/>
          <w:sz w:val="20"/>
          <w:szCs w:val="24"/>
        </w:rPr>
        <w:t xml:space="preserve"> Mariscal.”</w:t>
      </w:r>
    </w:p>
    <w:p w14:paraId="1218E55E"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p>
    <w:p w14:paraId="6023F9B9" w14:textId="77777777" w:rsidR="00B45B91" w:rsidRDefault="00B45B91" w:rsidP="00BF3E3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A599D">
        <w:rPr>
          <w:rFonts w:ascii="Palatino Linotype" w:hAnsi="Palatino Linotype" w:cs="Arial"/>
          <w:b/>
          <w:sz w:val="24"/>
          <w:szCs w:val="24"/>
        </w:rPr>
        <w:t>Recurrente</w:t>
      </w:r>
      <w:r w:rsidRPr="009A599D">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5F301F59" w14:textId="77777777" w:rsidR="00202FE2" w:rsidRPr="009A599D" w:rsidRDefault="00202FE2" w:rsidP="00BF3E35">
      <w:pPr>
        <w:autoSpaceDE w:val="0"/>
        <w:autoSpaceDN w:val="0"/>
        <w:adjustRightInd w:val="0"/>
        <w:spacing w:after="0" w:line="360" w:lineRule="auto"/>
        <w:jc w:val="both"/>
        <w:rPr>
          <w:rFonts w:ascii="Palatino Linotype" w:hAnsi="Palatino Linotype" w:cs="Arial"/>
          <w:sz w:val="24"/>
          <w:szCs w:val="24"/>
        </w:rPr>
      </w:pPr>
    </w:p>
    <w:p w14:paraId="542F7DCF"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CFA5E4B"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p>
    <w:p w14:paraId="6C0032E4"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w:t>
      </w:r>
      <w:r w:rsidRPr="009A599D">
        <w:rPr>
          <w:rFonts w:ascii="Palatino Linotype" w:hAnsi="Palatino Linotype" w:cs="Arial"/>
          <w:sz w:val="24"/>
          <w:szCs w:val="24"/>
        </w:rPr>
        <w:lastRenderedPageBreak/>
        <w:t>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5EAD5840"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p>
    <w:p w14:paraId="3B1F802B" w14:textId="77777777" w:rsidR="00B45B91" w:rsidRPr="009A599D" w:rsidRDefault="00B45B91" w:rsidP="00BF3E3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9A599D">
        <w:rPr>
          <w:rFonts w:ascii="Palatino Linotype" w:hAnsi="Palatino Linotype" w:cs="Arial"/>
          <w:sz w:val="24"/>
          <w:szCs w:val="24"/>
        </w:rPr>
        <w:t>que</w:t>
      </w:r>
      <w:proofErr w:type="gramEnd"/>
      <w:r w:rsidRPr="009A599D">
        <w:rPr>
          <w:rFonts w:ascii="Palatino Linotype" w:hAnsi="Palatino Linotype" w:cs="Arial"/>
          <w:sz w:val="24"/>
          <w:szCs w:val="24"/>
        </w:rPr>
        <w:t xml:space="preserve"> en el presente caso, al haber sido presentado el recurso de revisión vía </w:t>
      </w:r>
      <w:proofErr w:type="spellStart"/>
      <w:r w:rsidRPr="009A599D">
        <w:rPr>
          <w:rFonts w:ascii="Palatino Linotype" w:hAnsi="Palatino Linotype" w:cs="Arial"/>
          <w:sz w:val="24"/>
          <w:szCs w:val="24"/>
        </w:rPr>
        <w:t>SAIMEX</w:t>
      </w:r>
      <w:proofErr w:type="spellEnd"/>
      <w:r w:rsidRPr="009A599D">
        <w:rPr>
          <w:rFonts w:ascii="Palatino Linotype" w:hAnsi="Palatino Linotype" w:cs="Arial"/>
          <w:sz w:val="24"/>
          <w:szCs w:val="24"/>
        </w:rPr>
        <w:t>, dicho requisito resulta innecesario.</w:t>
      </w:r>
    </w:p>
    <w:p w14:paraId="4284C132" w14:textId="77777777" w:rsidR="00B45B91" w:rsidRPr="00660089" w:rsidRDefault="00B45B91" w:rsidP="00BF3E35">
      <w:pPr>
        <w:autoSpaceDE w:val="0"/>
        <w:autoSpaceDN w:val="0"/>
        <w:adjustRightInd w:val="0"/>
        <w:spacing w:after="0" w:line="360" w:lineRule="auto"/>
        <w:jc w:val="both"/>
        <w:rPr>
          <w:rFonts w:ascii="Palatino Linotype" w:hAnsi="Palatino Linotype" w:cs="Arial"/>
          <w:sz w:val="24"/>
          <w:szCs w:val="24"/>
        </w:rPr>
      </w:pPr>
    </w:p>
    <w:p w14:paraId="79F47141" w14:textId="77777777" w:rsidR="00B45B91" w:rsidRPr="00660089" w:rsidRDefault="00B45B91" w:rsidP="00BF3E3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TERCERO. De las causas de improcedencia.</w:t>
      </w:r>
    </w:p>
    <w:p w14:paraId="31A9BF81" w14:textId="77777777" w:rsidR="00B45B91" w:rsidRPr="00660089" w:rsidRDefault="00B45B91" w:rsidP="00BF3E3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247920" w14:textId="77777777" w:rsidR="00B45B91" w:rsidRPr="00660089" w:rsidRDefault="00B45B91" w:rsidP="00BF3E3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14:paraId="0A47A27C" w14:textId="77777777" w:rsidR="00B45B91" w:rsidRPr="00660089" w:rsidRDefault="00B45B91" w:rsidP="00BF3E3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w:t>
      </w:r>
      <w:r w:rsidRPr="00660089">
        <w:rPr>
          <w:rFonts w:ascii="Palatino Linotype" w:eastAsia="Palatino Linotype" w:hAnsi="Palatino Linotype" w:cs="Palatino Linotype"/>
          <w:color w:val="000000"/>
          <w:lang w:val="es-ES_tradnl" w:eastAsia="es-MX"/>
        </w:rPr>
        <w:lastRenderedPageBreak/>
        <w:t>procesal adoptada en la ley de la materia</w:t>
      </w:r>
      <w:r w:rsidRPr="00660089">
        <w:rPr>
          <w:rFonts w:ascii="Palatino Linotype" w:eastAsia="Palatino Linotype" w:hAnsi="Palatino Linotype" w:cs="Palatino Linotype"/>
          <w:color w:val="000000"/>
          <w:vertAlign w:val="superscript"/>
          <w:lang w:val="es-ES_tradnl" w:eastAsia="es-MX"/>
        </w:rPr>
        <w:footnoteReference w:id="1"/>
      </w:r>
      <w:r w:rsidRPr="00660089">
        <w:rPr>
          <w:rFonts w:ascii="Palatino Linotype" w:eastAsia="Palatino Linotype" w:hAnsi="Palatino Linotype" w:cs="Palatino Linotype"/>
          <w:color w:val="000000"/>
          <w:lang w:val="es-ES_tradnl" w:eastAsia="es-MX"/>
        </w:rPr>
        <w:t>, la cual permite dilucidar alguna causal que impida el estudio y resolución, cuando una vez admitido el recurso de revisión se advierta una causa de improcedencia que permita sobreseerlo, sin estudiar el fondo del asunto.</w:t>
      </w:r>
    </w:p>
    <w:p w14:paraId="79312B10" w14:textId="77777777" w:rsidR="00B45B91" w:rsidRPr="00660089" w:rsidRDefault="00B45B91" w:rsidP="00BF3E3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14:paraId="6E4DF19B" w14:textId="77777777" w:rsidR="00B45B91" w:rsidRPr="00660089" w:rsidRDefault="00B45B91" w:rsidP="00BF3E3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F3ABD9F" w14:textId="77777777" w:rsidR="00B45B91" w:rsidRDefault="00B45B91" w:rsidP="00BF3E3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14:paraId="4B894F68" w14:textId="77777777" w:rsidR="00B45B91" w:rsidRPr="00660089" w:rsidRDefault="00B45B91" w:rsidP="00BF3E3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lastRenderedPageBreak/>
        <w:t>CUARTO. Estudio y resolución del asunto.</w:t>
      </w:r>
    </w:p>
    <w:p w14:paraId="6DB83008" w14:textId="77777777" w:rsidR="00B45B91" w:rsidRDefault="00B45B91" w:rsidP="00BF3E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E178849" w14:textId="77777777" w:rsidR="00B45B91" w:rsidRPr="00A67381" w:rsidRDefault="00B45B91" w:rsidP="00BF3E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7D42937" w14:textId="77777777" w:rsidR="00B45B91" w:rsidRPr="00A67381" w:rsidRDefault="00B45B91" w:rsidP="00BF3E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 xml:space="preserve">Hecha la acotación anterior, podemos concluir </w:t>
      </w:r>
      <w:proofErr w:type="gramStart"/>
      <w:r w:rsidRPr="00A67381">
        <w:rPr>
          <w:rFonts w:ascii="Palatino Linotype" w:eastAsia="Times New Roman" w:hAnsi="Palatino Linotype" w:cs="Arial"/>
          <w:sz w:val="24"/>
          <w:szCs w:val="24"/>
          <w:lang w:val="es-ES" w:eastAsia="es-ES"/>
        </w:rPr>
        <w:t>que</w:t>
      </w:r>
      <w:proofErr w:type="gramEnd"/>
      <w:r>
        <w:rPr>
          <w:rFonts w:ascii="Palatino Linotype" w:eastAsia="Times New Roman" w:hAnsi="Palatino Linotype" w:cs="Arial"/>
          <w:sz w:val="24"/>
          <w:szCs w:val="24"/>
          <w:lang w:val="es-ES" w:eastAsia="es-ES"/>
        </w:rPr>
        <w:t xml:space="preserve"> de conformidad con la redacción tanto de la solicitud de </w:t>
      </w:r>
      <w:r w:rsidRPr="00A67381">
        <w:rPr>
          <w:rFonts w:ascii="Palatino Linotype" w:eastAsia="Times New Roman" w:hAnsi="Palatino Linotype" w:cs="Arial"/>
          <w:sz w:val="24"/>
          <w:szCs w:val="24"/>
          <w:lang w:val="es-ES" w:eastAsia="es-ES"/>
        </w:rPr>
        <w:t>información,</w:t>
      </w:r>
      <w:r>
        <w:rPr>
          <w:rFonts w:ascii="Palatino Linotype" w:eastAsia="Times New Roman" w:hAnsi="Palatino Linotype" w:cs="Arial"/>
          <w:sz w:val="24"/>
          <w:szCs w:val="24"/>
          <w:lang w:val="es-ES" w:eastAsia="es-ES"/>
        </w:rPr>
        <w:t xml:space="preserve"> como del desahogo a la aclaración, el </w:t>
      </w:r>
      <w:r w:rsidRPr="000949E3">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lo siguiente</w:t>
      </w:r>
      <w:r w:rsidRPr="00A67381">
        <w:rPr>
          <w:rFonts w:ascii="Palatino Linotype" w:eastAsia="Times New Roman" w:hAnsi="Palatino Linotype" w:cs="Arial"/>
          <w:sz w:val="24"/>
          <w:szCs w:val="24"/>
          <w:lang w:val="es-ES" w:eastAsia="es-ES"/>
        </w:rPr>
        <w:t>:</w:t>
      </w:r>
    </w:p>
    <w:p w14:paraId="213E14E0" w14:textId="77777777" w:rsidR="00B45B91" w:rsidRPr="00660089" w:rsidRDefault="00B45B91" w:rsidP="00BF3E35">
      <w:pPr>
        <w:spacing w:after="0" w:line="360" w:lineRule="auto"/>
        <w:jc w:val="both"/>
        <w:rPr>
          <w:rFonts w:ascii="Palatino Linotype" w:eastAsia="Times New Roman" w:hAnsi="Palatino Linotype" w:cs="Arial"/>
          <w:sz w:val="24"/>
          <w:szCs w:val="24"/>
          <w:lang w:val="es-ES" w:eastAsia="es-ES"/>
        </w:rPr>
      </w:pPr>
    </w:p>
    <w:p w14:paraId="65B38C72" w14:textId="77777777" w:rsidR="00BD56D0" w:rsidRDefault="00202FE2" w:rsidP="00BF3E35">
      <w:pPr>
        <w:pStyle w:val="Prrafodelista"/>
        <w:numPr>
          <w:ilvl w:val="0"/>
          <w:numId w:val="4"/>
        </w:numPr>
        <w:spacing w:line="360" w:lineRule="auto"/>
        <w:ind w:right="567"/>
        <w:jc w:val="both"/>
        <w:rPr>
          <w:rFonts w:ascii="Palatino Linotype" w:hAnsi="Palatino Linotype"/>
        </w:rPr>
      </w:pPr>
      <w:r>
        <w:rPr>
          <w:rFonts w:ascii="Palatino Linotype" w:hAnsi="Palatino Linotype"/>
          <w:lang w:val="es-MX"/>
        </w:rPr>
        <w:t>E</w:t>
      </w:r>
      <w:r w:rsidRPr="00202FE2">
        <w:rPr>
          <w:rFonts w:ascii="Palatino Linotype" w:hAnsi="Palatino Linotype"/>
        </w:rPr>
        <w:t>l costo de la aplicación utilizada para los nuevos "Parquímetros Virtuales"</w:t>
      </w:r>
      <w:r w:rsidR="00BD56D0">
        <w:rPr>
          <w:rFonts w:ascii="Palatino Linotype" w:hAnsi="Palatino Linotype"/>
        </w:rPr>
        <w:t>;</w:t>
      </w:r>
    </w:p>
    <w:p w14:paraId="341FDEA9" w14:textId="77777777" w:rsidR="00BD56D0" w:rsidRDefault="00DA4C40" w:rsidP="00BF3E35">
      <w:pPr>
        <w:pStyle w:val="Prrafodelista"/>
        <w:numPr>
          <w:ilvl w:val="0"/>
          <w:numId w:val="4"/>
        </w:numPr>
        <w:spacing w:line="360" w:lineRule="auto"/>
        <w:ind w:right="567"/>
        <w:jc w:val="both"/>
        <w:rPr>
          <w:rFonts w:ascii="Palatino Linotype" w:hAnsi="Palatino Linotype"/>
        </w:rPr>
      </w:pPr>
      <w:r>
        <w:rPr>
          <w:rFonts w:ascii="Palatino Linotype" w:hAnsi="Palatino Linotype"/>
        </w:rPr>
        <w:t>E</w:t>
      </w:r>
      <w:r w:rsidR="00BD56D0" w:rsidRPr="00BD56D0">
        <w:rPr>
          <w:rFonts w:ascii="Palatino Linotype" w:hAnsi="Palatino Linotype"/>
        </w:rPr>
        <w:t xml:space="preserve">l costo de los parquímetros virtuales; </w:t>
      </w:r>
    </w:p>
    <w:p w14:paraId="45ADCCCA" w14:textId="77777777" w:rsidR="00BD56D0" w:rsidRDefault="00DA4C40" w:rsidP="00BF3E35">
      <w:pPr>
        <w:pStyle w:val="Prrafodelista"/>
        <w:numPr>
          <w:ilvl w:val="0"/>
          <w:numId w:val="4"/>
        </w:numPr>
        <w:spacing w:line="360" w:lineRule="auto"/>
        <w:ind w:right="567"/>
        <w:jc w:val="both"/>
        <w:rPr>
          <w:rFonts w:ascii="Palatino Linotype" w:hAnsi="Palatino Linotype"/>
        </w:rPr>
      </w:pPr>
      <w:r>
        <w:rPr>
          <w:rFonts w:ascii="Palatino Linotype" w:hAnsi="Palatino Linotype"/>
        </w:rPr>
        <w:t>C</w:t>
      </w:r>
      <w:r w:rsidR="00202FE2" w:rsidRPr="00BD56D0">
        <w:rPr>
          <w:rFonts w:ascii="Palatino Linotype" w:hAnsi="Palatino Linotype"/>
        </w:rPr>
        <w:t>uántos se pusieron; y</w:t>
      </w:r>
      <w:r w:rsidR="00BD56D0" w:rsidRPr="00BD56D0">
        <w:rPr>
          <w:rFonts w:ascii="Palatino Linotype" w:hAnsi="Palatino Linotype"/>
        </w:rPr>
        <w:t xml:space="preserve"> </w:t>
      </w:r>
    </w:p>
    <w:p w14:paraId="37964197" w14:textId="77777777" w:rsidR="00202FE2" w:rsidRPr="00BD56D0" w:rsidRDefault="00DA4C40" w:rsidP="00BF3E35">
      <w:pPr>
        <w:pStyle w:val="Prrafodelista"/>
        <w:numPr>
          <w:ilvl w:val="0"/>
          <w:numId w:val="4"/>
        </w:numPr>
        <w:spacing w:line="360" w:lineRule="auto"/>
        <w:ind w:right="567"/>
        <w:jc w:val="both"/>
        <w:rPr>
          <w:rFonts w:ascii="Palatino Linotype" w:hAnsi="Palatino Linotype"/>
        </w:rPr>
      </w:pPr>
      <w:r>
        <w:rPr>
          <w:rFonts w:ascii="Palatino Linotype" w:hAnsi="Palatino Linotype"/>
        </w:rPr>
        <w:t>E</w:t>
      </w:r>
      <w:r w:rsidR="00202FE2" w:rsidRPr="00BD56D0">
        <w:rPr>
          <w:rFonts w:ascii="Palatino Linotype" w:hAnsi="Palatino Linotype"/>
        </w:rPr>
        <w:t>l criterio de colocación</w:t>
      </w:r>
      <w:r w:rsidR="00BD56D0">
        <w:rPr>
          <w:rFonts w:ascii="Palatino Linotype" w:hAnsi="Palatino Linotype"/>
        </w:rPr>
        <w:t xml:space="preserve"> de los señalamientos de los parquímetros virtuales.</w:t>
      </w:r>
    </w:p>
    <w:p w14:paraId="1A5F2064" w14:textId="77777777" w:rsidR="00202FE2" w:rsidRDefault="00202FE2" w:rsidP="00BF3E35">
      <w:pPr>
        <w:spacing w:after="0" w:line="360" w:lineRule="auto"/>
        <w:jc w:val="both"/>
        <w:rPr>
          <w:rFonts w:ascii="Palatino Linotype" w:hAnsi="Palatino Linotype"/>
          <w:sz w:val="24"/>
          <w:szCs w:val="24"/>
        </w:rPr>
      </w:pPr>
    </w:p>
    <w:p w14:paraId="4E6A4A55" w14:textId="77777777" w:rsidR="00B45B91" w:rsidRDefault="00B45B91" w:rsidP="00BF3E35">
      <w:pPr>
        <w:spacing w:after="0" w:line="360" w:lineRule="auto"/>
        <w:jc w:val="both"/>
        <w:rPr>
          <w:rFonts w:ascii="Palatino Linotype" w:hAnsi="Palatino Linotype"/>
          <w:sz w:val="24"/>
          <w:szCs w:val="24"/>
        </w:rPr>
      </w:pPr>
      <w:r>
        <w:rPr>
          <w:rFonts w:ascii="Palatino Linotype" w:hAnsi="Palatino Linotype"/>
          <w:sz w:val="24"/>
          <w:szCs w:val="24"/>
        </w:rPr>
        <w:t>E</w:t>
      </w:r>
      <w:r w:rsidRPr="00660089">
        <w:rPr>
          <w:rFonts w:ascii="Palatino Linotype" w:hAnsi="Palatino Linotype"/>
          <w:sz w:val="24"/>
          <w:szCs w:val="24"/>
        </w:rPr>
        <w:t xml:space="preserve">l </w:t>
      </w:r>
      <w:r w:rsidRPr="00660089">
        <w:rPr>
          <w:rFonts w:ascii="Palatino Linotype" w:hAnsi="Palatino Linotype"/>
          <w:b/>
          <w:sz w:val="24"/>
          <w:szCs w:val="24"/>
        </w:rPr>
        <w:t>Sujeto Obligado</w:t>
      </w:r>
      <w:r w:rsidRPr="00660089">
        <w:rPr>
          <w:rFonts w:ascii="Palatino Linotype" w:hAnsi="Palatino Linotype"/>
          <w:sz w:val="24"/>
          <w:szCs w:val="24"/>
        </w:rPr>
        <w:t xml:space="preserve"> </w:t>
      </w:r>
      <w:r>
        <w:rPr>
          <w:rFonts w:ascii="Palatino Linotype" w:hAnsi="Palatino Linotype"/>
          <w:sz w:val="24"/>
          <w:szCs w:val="24"/>
        </w:rPr>
        <w:t>emitió respuesta por medio de</w:t>
      </w:r>
      <w:r w:rsidR="00202FE2">
        <w:rPr>
          <w:rFonts w:ascii="Palatino Linotype" w:hAnsi="Palatino Linotype"/>
          <w:sz w:val="24"/>
          <w:szCs w:val="24"/>
        </w:rPr>
        <w:t xml:space="preserve"> </w:t>
      </w:r>
      <w:r>
        <w:rPr>
          <w:rFonts w:ascii="Palatino Linotype" w:hAnsi="Palatino Linotype"/>
          <w:sz w:val="24"/>
          <w:szCs w:val="24"/>
        </w:rPr>
        <w:t>l</w:t>
      </w:r>
      <w:r w:rsidR="00202FE2">
        <w:rPr>
          <w:rFonts w:ascii="Palatino Linotype" w:hAnsi="Palatino Linotype"/>
          <w:sz w:val="24"/>
          <w:szCs w:val="24"/>
        </w:rPr>
        <w:t>os</w:t>
      </w:r>
      <w:r>
        <w:rPr>
          <w:rFonts w:ascii="Palatino Linotype" w:hAnsi="Palatino Linotype"/>
          <w:sz w:val="24"/>
          <w:szCs w:val="24"/>
        </w:rPr>
        <w:t xml:space="preserve"> documento</w:t>
      </w:r>
      <w:r w:rsidR="00202FE2">
        <w:rPr>
          <w:rFonts w:ascii="Palatino Linotype" w:hAnsi="Palatino Linotype"/>
          <w:sz w:val="24"/>
          <w:szCs w:val="24"/>
        </w:rPr>
        <w:t>s</w:t>
      </w:r>
      <w:r w:rsidRPr="00660089">
        <w:rPr>
          <w:rFonts w:ascii="Palatino Linotype" w:hAnsi="Palatino Linotype"/>
          <w:sz w:val="24"/>
          <w:szCs w:val="24"/>
        </w:rPr>
        <w:t xml:space="preserve"> electrónico</w:t>
      </w:r>
      <w:r w:rsidR="00202FE2">
        <w:rPr>
          <w:rFonts w:ascii="Palatino Linotype" w:hAnsi="Palatino Linotype"/>
          <w:sz w:val="24"/>
          <w:szCs w:val="24"/>
        </w:rPr>
        <w:t>s</w:t>
      </w:r>
      <w:r w:rsidRPr="00660089">
        <w:rPr>
          <w:rFonts w:ascii="Palatino Linotype" w:hAnsi="Palatino Linotype"/>
          <w:sz w:val="24"/>
          <w:szCs w:val="24"/>
        </w:rPr>
        <w:t xml:space="preserve"> </w:t>
      </w:r>
      <w:r w:rsidR="00202FE2" w:rsidRPr="00A67381">
        <w:rPr>
          <w:rFonts w:ascii="Palatino Linotype" w:eastAsia="Calibri" w:hAnsi="Palatino Linotype" w:cs="Arial"/>
          <w:sz w:val="24"/>
          <w:szCs w:val="28"/>
          <w:lang w:eastAsia="es-MX"/>
        </w:rPr>
        <w:t>“</w:t>
      </w:r>
      <w:r w:rsidR="00202FE2" w:rsidRPr="00B45B91">
        <w:rPr>
          <w:rFonts w:ascii="Palatino Linotype" w:eastAsia="Calibri" w:hAnsi="Palatino Linotype" w:cs="Arial"/>
          <w:b/>
          <w:i/>
          <w:sz w:val="24"/>
          <w:szCs w:val="28"/>
          <w:lang w:eastAsia="es-MX"/>
        </w:rPr>
        <w:t>Respuesta 124.pdf</w:t>
      </w:r>
      <w:r w:rsidR="00202FE2" w:rsidRPr="00B45B91">
        <w:rPr>
          <w:rFonts w:ascii="Palatino Linotype" w:eastAsia="Calibri" w:hAnsi="Palatino Linotype" w:cs="Arial"/>
          <w:sz w:val="24"/>
          <w:szCs w:val="28"/>
          <w:lang w:eastAsia="es-MX"/>
        </w:rPr>
        <w:t xml:space="preserve"> y </w:t>
      </w:r>
      <w:r w:rsidR="00202FE2" w:rsidRPr="00B45B91">
        <w:rPr>
          <w:rFonts w:ascii="Palatino Linotype" w:eastAsia="Calibri" w:hAnsi="Palatino Linotype" w:cs="Arial"/>
          <w:b/>
          <w:i/>
          <w:sz w:val="24"/>
          <w:szCs w:val="28"/>
          <w:lang w:eastAsia="es-MX"/>
        </w:rPr>
        <w:t>Acta 89.pdf</w:t>
      </w:r>
      <w:r w:rsidR="00202FE2" w:rsidRPr="00A67381">
        <w:rPr>
          <w:rFonts w:ascii="Palatino Linotype" w:eastAsia="Calibri" w:hAnsi="Palatino Linotype" w:cs="Arial"/>
          <w:sz w:val="24"/>
          <w:szCs w:val="28"/>
          <w:lang w:eastAsia="es-MX"/>
        </w:rPr>
        <w:t>”</w:t>
      </w:r>
      <w:r w:rsidRPr="00660089">
        <w:rPr>
          <w:rFonts w:ascii="Palatino Linotype" w:hAnsi="Palatino Linotype"/>
          <w:sz w:val="24"/>
          <w:szCs w:val="24"/>
        </w:rPr>
        <w:t xml:space="preserve">, </w:t>
      </w:r>
      <w:r w:rsidR="00A34ECC">
        <w:rPr>
          <w:rFonts w:ascii="Palatino Linotype" w:hAnsi="Palatino Linotype"/>
          <w:sz w:val="24"/>
          <w:szCs w:val="24"/>
        </w:rPr>
        <w:t>de los que</w:t>
      </w:r>
      <w:r>
        <w:rPr>
          <w:rFonts w:ascii="Palatino Linotype" w:hAnsi="Palatino Linotype"/>
          <w:sz w:val="24"/>
          <w:szCs w:val="24"/>
        </w:rPr>
        <w:t xml:space="preserve"> objetivamente</w:t>
      </w:r>
      <w:r w:rsidR="00A34ECC">
        <w:rPr>
          <w:rFonts w:ascii="Palatino Linotype" w:hAnsi="Palatino Linotype"/>
          <w:sz w:val="24"/>
          <w:szCs w:val="24"/>
        </w:rPr>
        <w:t>, se desprende el contenido</w:t>
      </w:r>
      <w:r>
        <w:rPr>
          <w:rFonts w:ascii="Palatino Linotype" w:hAnsi="Palatino Linotype"/>
          <w:sz w:val="24"/>
          <w:szCs w:val="24"/>
        </w:rPr>
        <w:t xml:space="preserve"> siguiente:</w:t>
      </w:r>
    </w:p>
    <w:p w14:paraId="5EB28CF2" w14:textId="77777777" w:rsidR="00B45B91" w:rsidRDefault="00B45B91" w:rsidP="00BF3E35">
      <w:pPr>
        <w:spacing w:after="0" w:line="360" w:lineRule="auto"/>
        <w:jc w:val="both"/>
        <w:rPr>
          <w:rFonts w:ascii="Palatino Linotype" w:hAnsi="Palatino Linotype"/>
          <w:sz w:val="24"/>
          <w:szCs w:val="24"/>
        </w:rPr>
      </w:pPr>
    </w:p>
    <w:p w14:paraId="02D6199A" w14:textId="77777777" w:rsidR="00A34ECC" w:rsidRPr="00A34ECC" w:rsidRDefault="00A34ECC" w:rsidP="00BF3E35">
      <w:pPr>
        <w:pStyle w:val="Prrafodelista"/>
        <w:numPr>
          <w:ilvl w:val="0"/>
          <w:numId w:val="5"/>
        </w:numPr>
        <w:spacing w:line="360" w:lineRule="auto"/>
        <w:jc w:val="both"/>
        <w:rPr>
          <w:rFonts w:ascii="Palatino Linotype" w:hAnsi="Palatino Linotype"/>
        </w:rPr>
      </w:pPr>
      <w:r w:rsidRPr="00B45B91">
        <w:rPr>
          <w:rFonts w:ascii="Palatino Linotype" w:eastAsia="Calibri" w:hAnsi="Palatino Linotype" w:cs="Arial"/>
          <w:b/>
          <w:i/>
          <w:szCs w:val="28"/>
          <w:lang w:eastAsia="es-MX"/>
        </w:rPr>
        <w:lastRenderedPageBreak/>
        <w:t>Respuesta 124.pdf</w:t>
      </w:r>
      <w:r>
        <w:rPr>
          <w:rFonts w:ascii="Palatino Linotype" w:eastAsia="Calibri" w:hAnsi="Palatino Linotype" w:cs="Arial"/>
          <w:b/>
          <w:i/>
          <w:szCs w:val="28"/>
          <w:lang w:eastAsia="es-MX"/>
        </w:rPr>
        <w:t>:</w:t>
      </w:r>
      <w:r>
        <w:rPr>
          <w:rFonts w:ascii="Palatino Linotype" w:eastAsia="Calibri" w:hAnsi="Palatino Linotype" w:cs="Arial"/>
          <w:szCs w:val="28"/>
          <w:lang w:eastAsia="es-MX"/>
        </w:rPr>
        <w:t xml:space="preserve"> oficio sin número, de fecha ocho de febrero de dos mil veintitrés, remitido por el Titular de la Unidad de Transparencia del Sujeto Obligado, al entonces Solicitante, informando sustancialmente:</w:t>
      </w:r>
    </w:p>
    <w:p w14:paraId="6AA0DBD2" w14:textId="77777777" w:rsidR="00A34ECC" w:rsidRDefault="00A34ECC" w:rsidP="00BF3E35">
      <w:pPr>
        <w:spacing w:after="0" w:line="360" w:lineRule="auto"/>
        <w:jc w:val="both"/>
        <w:rPr>
          <w:rFonts w:ascii="Palatino Linotype" w:hAnsi="Palatino Linotype"/>
          <w:sz w:val="24"/>
          <w:szCs w:val="24"/>
        </w:rPr>
      </w:pPr>
    </w:p>
    <w:p w14:paraId="381DEDF2" w14:textId="77777777" w:rsidR="00A34ECC" w:rsidRPr="00A34ECC" w:rsidRDefault="00B45B91" w:rsidP="00BF3E35">
      <w:pPr>
        <w:spacing w:after="0" w:line="240" w:lineRule="auto"/>
        <w:ind w:left="567" w:right="567"/>
        <w:jc w:val="both"/>
        <w:rPr>
          <w:rFonts w:ascii="Palatino Linotype" w:hAnsi="Palatino Linotype"/>
          <w:i/>
          <w:szCs w:val="24"/>
        </w:rPr>
      </w:pPr>
      <w:r>
        <w:rPr>
          <w:rFonts w:ascii="Palatino Linotype" w:hAnsi="Palatino Linotype"/>
          <w:i/>
          <w:szCs w:val="24"/>
        </w:rPr>
        <w:t>“</w:t>
      </w:r>
      <w:r w:rsidR="00A34ECC">
        <w:rPr>
          <w:rFonts w:ascii="Palatino Linotype" w:hAnsi="Palatino Linotype"/>
          <w:i/>
          <w:szCs w:val="24"/>
        </w:rPr>
        <w:t>…</w:t>
      </w:r>
      <w:r w:rsidR="00A34ECC" w:rsidRPr="00A34ECC">
        <w:rPr>
          <w:rFonts w:ascii="Palatino Linotype" w:hAnsi="Palatino Linotype"/>
          <w:i/>
          <w:szCs w:val="24"/>
        </w:rPr>
        <w:t>hago de su conocimiento</w:t>
      </w:r>
      <w:r w:rsidR="00A34ECC">
        <w:rPr>
          <w:rFonts w:ascii="Palatino Linotype" w:hAnsi="Palatino Linotype"/>
          <w:i/>
          <w:szCs w:val="24"/>
        </w:rPr>
        <w:t xml:space="preserve"> </w:t>
      </w:r>
      <w:r w:rsidR="00A34ECC" w:rsidRPr="00A34ECC">
        <w:rPr>
          <w:rFonts w:ascii="Palatino Linotype" w:hAnsi="Palatino Linotype"/>
          <w:i/>
          <w:szCs w:val="24"/>
        </w:rPr>
        <w:t>que la Dirección General de Administración y Servidora Pública Habilitada, informó a</w:t>
      </w:r>
      <w:r w:rsidR="00A34ECC">
        <w:rPr>
          <w:rFonts w:ascii="Palatino Linotype" w:hAnsi="Palatino Linotype"/>
          <w:i/>
          <w:szCs w:val="24"/>
        </w:rPr>
        <w:t xml:space="preserve"> </w:t>
      </w:r>
      <w:r w:rsidR="00A34ECC" w:rsidRPr="00A34ECC">
        <w:rPr>
          <w:rFonts w:ascii="Palatino Linotype" w:hAnsi="Palatino Linotype"/>
          <w:i/>
          <w:szCs w:val="24"/>
        </w:rPr>
        <w:t xml:space="preserve">la que suscribe que </w:t>
      </w:r>
      <w:r w:rsidR="00A34ECC" w:rsidRPr="00A34ECC">
        <w:rPr>
          <w:rFonts w:ascii="Palatino Linotype" w:hAnsi="Palatino Linotype"/>
          <w:i/>
          <w:szCs w:val="24"/>
          <w:u w:val="single"/>
        </w:rPr>
        <w:t xml:space="preserve">el expediente </w:t>
      </w:r>
      <w:proofErr w:type="spellStart"/>
      <w:r w:rsidR="00A34ECC" w:rsidRPr="00A34ECC">
        <w:rPr>
          <w:rFonts w:ascii="Palatino Linotype" w:hAnsi="Palatino Linotype"/>
          <w:i/>
          <w:szCs w:val="24"/>
          <w:u w:val="single"/>
        </w:rPr>
        <w:t>HAT</w:t>
      </w:r>
      <w:proofErr w:type="spellEnd"/>
      <w:r w:rsidR="00A34ECC" w:rsidRPr="00A34ECC">
        <w:rPr>
          <w:rFonts w:ascii="Palatino Linotype" w:hAnsi="Palatino Linotype"/>
          <w:i/>
          <w:szCs w:val="24"/>
          <w:u w:val="single"/>
        </w:rPr>
        <w:t>/</w:t>
      </w:r>
      <w:proofErr w:type="spellStart"/>
      <w:r w:rsidR="00A34ECC" w:rsidRPr="00A34ECC">
        <w:rPr>
          <w:rFonts w:ascii="Palatino Linotype" w:hAnsi="Palatino Linotype"/>
          <w:i/>
          <w:szCs w:val="24"/>
          <w:u w:val="single"/>
        </w:rPr>
        <w:t>CAYS</w:t>
      </w:r>
      <w:proofErr w:type="spellEnd"/>
      <w:r w:rsidR="00A34ECC" w:rsidRPr="00A34ECC">
        <w:rPr>
          <w:rFonts w:ascii="Palatino Linotype" w:hAnsi="Palatino Linotype"/>
          <w:i/>
          <w:szCs w:val="24"/>
          <w:u w:val="single"/>
        </w:rPr>
        <w:t>/AD-</w:t>
      </w:r>
      <w:proofErr w:type="spellStart"/>
      <w:r w:rsidR="00A34ECC" w:rsidRPr="00A34ECC">
        <w:rPr>
          <w:rFonts w:ascii="Palatino Linotype" w:hAnsi="Palatino Linotype"/>
          <w:i/>
          <w:szCs w:val="24"/>
          <w:u w:val="single"/>
        </w:rPr>
        <w:t>SERV</w:t>
      </w:r>
      <w:proofErr w:type="spellEnd"/>
      <w:r w:rsidR="00A34ECC" w:rsidRPr="00A34ECC">
        <w:rPr>
          <w:rFonts w:ascii="Palatino Linotype" w:hAnsi="Palatino Linotype"/>
          <w:i/>
          <w:szCs w:val="24"/>
          <w:u w:val="single"/>
        </w:rPr>
        <w:t>-030/RP/2022 correspondiente al procedimiento de la Contratación del servicio de Parquímetros ha sido reservado por el Comité de Transparencia</w:t>
      </w:r>
      <w:r w:rsidR="00A34ECC" w:rsidRPr="00A34ECC">
        <w:rPr>
          <w:rFonts w:ascii="Palatino Linotype" w:hAnsi="Palatino Linotype"/>
          <w:i/>
          <w:szCs w:val="24"/>
        </w:rPr>
        <w:t>, conforme al acuerdo número AT/</w:t>
      </w:r>
      <w:proofErr w:type="spellStart"/>
      <w:r w:rsidR="00A34ECC" w:rsidRPr="00A34ECC">
        <w:rPr>
          <w:rFonts w:ascii="Palatino Linotype" w:hAnsi="Palatino Linotype"/>
          <w:i/>
          <w:szCs w:val="24"/>
        </w:rPr>
        <w:t>CT</w:t>
      </w:r>
      <w:proofErr w:type="spellEnd"/>
      <w:r w:rsidR="00A34ECC" w:rsidRPr="00A34ECC">
        <w:rPr>
          <w:rFonts w:ascii="Palatino Linotype" w:hAnsi="Palatino Linotype"/>
          <w:i/>
          <w:szCs w:val="24"/>
        </w:rPr>
        <w:t>/01/2023 aprobado</w:t>
      </w:r>
      <w:r w:rsidR="00A34ECC">
        <w:rPr>
          <w:rFonts w:ascii="Palatino Linotype" w:hAnsi="Palatino Linotype"/>
          <w:i/>
          <w:szCs w:val="24"/>
        </w:rPr>
        <w:t xml:space="preserve"> </w:t>
      </w:r>
      <w:r w:rsidR="00A34ECC" w:rsidRPr="00A34ECC">
        <w:rPr>
          <w:rFonts w:ascii="Palatino Linotype" w:hAnsi="Palatino Linotype"/>
          <w:i/>
          <w:szCs w:val="24"/>
        </w:rPr>
        <w:t>en fecha veintiséis de enero del presente año, en la Octogésima Novena Sesión</w:t>
      </w:r>
      <w:r w:rsidR="00A34ECC">
        <w:rPr>
          <w:rFonts w:ascii="Palatino Linotype" w:hAnsi="Palatino Linotype"/>
          <w:i/>
          <w:szCs w:val="24"/>
        </w:rPr>
        <w:t xml:space="preserve"> </w:t>
      </w:r>
      <w:r w:rsidR="00A34ECC" w:rsidRPr="00A34ECC">
        <w:rPr>
          <w:rFonts w:ascii="Palatino Linotype" w:hAnsi="Palatino Linotype"/>
          <w:i/>
          <w:szCs w:val="24"/>
        </w:rPr>
        <w:t xml:space="preserve">Extraordinaria. </w:t>
      </w:r>
    </w:p>
    <w:p w14:paraId="6F3E218C" w14:textId="77777777" w:rsidR="00A34ECC" w:rsidRDefault="00A34ECC" w:rsidP="00BF3E35">
      <w:pPr>
        <w:spacing w:after="0" w:line="240" w:lineRule="auto"/>
        <w:ind w:left="567" w:right="567"/>
        <w:jc w:val="both"/>
        <w:rPr>
          <w:rFonts w:ascii="Palatino Linotype" w:hAnsi="Palatino Linotype"/>
          <w:i/>
          <w:szCs w:val="24"/>
        </w:rPr>
      </w:pPr>
      <w:r w:rsidRPr="00A34ECC">
        <w:rPr>
          <w:rFonts w:ascii="Palatino Linotype" w:hAnsi="Palatino Linotype"/>
          <w:i/>
          <w:szCs w:val="24"/>
        </w:rPr>
        <w:t>Por su parte, la Tesorería Municipal y Servidor Público Habilitado, informó que,</w:t>
      </w:r>
      <w:r>
        <w:rPr>
          <w:rFonts w:ascii="Palatino Linotype" w:hAnsi="Palatino Linotype"/>
          <w:i/>
          <w:szCs w:val="24"/>
        </w:rPr>
        <w:t xml:space="preserve"> </w:t>
      </w:r>
      <w:r w:rsidRPr="00A34ECC">
        <w:rPr>
          <w:rFonts w:ascii="Palatino Linotype" w:hAnsi="Palatino Linotype"/>
          <w:i/>
          <w:szCs w:val="24"/>
        </w:rPr>
        <w:t>respecto al costo por hora de parquímetros, la tarifa es de $15.00 pesos la hora con un</w:t>
      </w:r>
      <w:r>
        <w:rPr>
          <w:rFonts w:ascii="Palatino Linotype" w:hAnsi="Palatino Linotype"/>
          <w:i/>
          <w:szCs w:val="24"/>
        </w:rPr>
        <w:t xml:space="preserve"> tiempo </w:t>
      </w:r>
      <w:proofErr w:type="spellStart"/>
      <w:r>
        <w:rPr>
          <w:rFonts w:ascii="Palatino Linotype" w:hAnsi="Palatino Linotype"/>
          <w:i/>
          <w:szCs w:val="24"/>
        </w:rPr>
        <w:t>minimo</w:t>
      </w:r>
      <w:proofErr w:type="spellEnd"/>
      <w:r>
        <w:rPr>
          <w:rFonts w:ascii="Palatino Linotype" w:hAnsi="Palatino Linotype"/>
          <w:i/>
          <w:szCs w:val="24"/>
        </w:rPr>
        <w:t xml:space="preserve"> de pago de $5.00 pesos veinte minutos.</w:t>
      </w:r>
    </w:p>
    <w:p w14:paraId="3D99E063" w14:textId="77777777" w:rsidR="00A34ECC" w:rsidRDefault="00A34ECC" w:rsidP="00BF3E35">
      <w:pPr>
        <w:spacing w:after="0" w:line="240" w:lineRule="auto"/>
        <w:ind w:left="567" w:right="567"/>
        <w:jc w:val="both"/>
        <w:rPr>
          <w:rFonts w:ascii="Palatino Linotype" w:hAnsi="Palatino Linotype"/>
          <w:i/>
          <w:szCs w:val="24"/>
        </w:rPr>
      </w:pPr>
    </w:p>
    <w:p w14:paraId="5341F86D" w14:textId="77777777" w:rsidR="00A34ECC" w:rsidRDefault="00A34ECC" w:rsidP="00BF3E35">
      <w:pPr>
        <w:spacing w:after="0" w:line="240" w:lineRule="auto"/>
        <w:ind w:left="567" w:right="567"/>
        <w:jc w:val="center"/>
        <w:rPr>
          <w:rFonts w:ascii="Palatino Linotype" w:hAnsi="Palatino Linotype"/>
          <w:i/>
          <w:szCs w:val="24"/>
        </w:rPr>
      </w:pPr>
      <w:r w:rsidRPr="00A34ECC">
        <w:rPr>
          <w:rFonts w:ascii="Palatino Linotype" w:hAnsi="Palatino Linotype"/>
          <w:i/>
          <w:noProof/>
          <w:szCs w:val="24"/>
          <w:lang w:eastAsia="es-MX"/>
        </w:rPr>
        <w:drawing>
          <wp:inline distT="0" distB="0" distL="0" distR="0" wp14:anchorId="04C398B7" wp14:editId="5EC65CE6">
            <wp:extent cx="2381250" cy="646897"/>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33234" cy="661019"/>
                    </a:xfrm>
                    <a:prstGeom prst="rect">
                      <a:avLst/>
                    </a:prstGeom>
                  </pic:spPr>
                </pic:pic>
              </a:graphicData>
            </a:graphic>
          </wp:inline>
        </w:drawing>
      </w:r>
    </w:p>
    <w:p w14:paraId="24E44BDC" w14:textId="77777777" w:rsidR="00A34ECC" w:rsidRDefault="00A34ECC" w:rsidP="00BF3E35">
      <w:pPr>
        <w:spacing w:after="0" w:line="240" w:lineRule="auto"/>
        <w:ind w:left="567" w:right="567"/>
        <w:jc w:val="both"/>
        <w:rPr>
          <w:rFonts w:ascii="Palatino Linotype" w:hAnsi="Palatino Linotype"/>
          <w:i/>
          <w:szCs w:val="24"/>
        </w:rPr>
      </w:pPr>
    </w:p>
    <w:p w14:paraId="653EFDBA" w14:textId="77777777" w:rsidR="00A34ECC" w:rsidRDefault="00A34ECC" w:rsidP="00BF3E35">
      <w:pPr>
        <w:spacing w:after="0" w:line="240" w:lineRule="auto"/>
        <w:ind w:left="567" w:right="567"/>
        <w:jc w:val="both"/>
        <w:rPr>
          <w:rFonts w:ascii="Palatino Linotype" w:hAnsi="Palatino Linotype"/>
          <w:i/>
          <w:szCs w:val="24"/>
        </w:rPr>
      </w:pPr>
      <w:r w:rsidRPr="00A34ECC">
        <w:rPr>
          <w:rFonts w:ascii="Palatino Linotype" w:hAnsi="Palatino Linotype"/>
          <w:i/>
          <w:szCs w:val="24"/>
        </w:rPr>
        <w:t>Referente a cuantos se pusieron, existen 1,005 Parquímetros virtuales en diversas calles</w:t>
      </w:r>
      <w:r>
        <w:rPr>
          <w:rFonts w:ascii="Palatino Linotype" w:hAnsi="Palatino Linotype"/>
          <w:i/>
          <w:szCs w:val="24"/>
        </w:rPr>
        <w:t xml:space="preserve"> </w:t>
      </w:r>
      <w:r w:rsidRPr="00A34ECC">
        <w:rPr>
          <w:rFonts w:ascii="Palatino Linotype" w:hAnsi="Palatino Linotype"/>
          <w:i/>
          <w:szCs w:val="24"/>
        </w:rPr>
        <w:t xml:space="preserve">del Municipio de Toluca. </w:t>
      </w:r>
    </w:p>
    <w:p w14:paraId="3C98BB5C" w14:textId="77777777" w:rsidR="00B45B91" w:rsidRPr="00E30291" w:rsidRDefault="00A34ECC" w:rsidP="00BF3E35">
      <w:pPr>
        <w:spacing w:after="0" w:line="240" w:lineRule="auto"/>
        <w:ind w:left="567" w:right="567"/>
        <w:jc w:val="both"/>
        <w:rPr>
          <w:rFonts w:ascii="Palatino Linotype" w:hAnsi="Palatino Linotype"/>
          <w:i/>
          <w:szCs w:val="24"/>
        </w:rPr>
      </w:pPr>
      <w:r w:rsidRPr="00A34ECC">
        <w:rPr>
          <w:rFonts w:ascii="Palatino Linotype" w:hAnsi="Palatino Linotype"/>
          <w:i/>
          <w:szCs w:val="24"/>
        </w:rPr>
        <w:t>El criterio de la colocación es con base al Dictamen Técnico del Polígono de calles que</w:t>
      </w:r>
      <w:r>
        <w:rPr>
          <w:rFonts w:ascii="Palatino Linotype" w:hAnsi="Palatino Linotype"/>
          <w:i/>
          <w:szCs w:val="24"/>
        </w:rPr>
        <w:t xml:space="preserve"> </w:t>
      </w:r>
      <w:r w:rsidRPr="00A34ECC">
        <w:rPr>
          <w:rFonts w:ascii="Palatino Linotype" w:hAnsi="Palatino Linotype"/>
          <w:i/>
          <w:szCs w:val="24"/>
        </w:rPr>
        <w:t>realiza la Dirección de Sustentabilidad Vial.</w:t>
      </w:r>
      <w:r w:rsidR="00B45B91" w:rsidRPr="00E30291">
        <w:rPr>
          <w:rFonts w:ascii="Palatino Linotype" w:hAnsi="Palatino Linotype"/>
          <w:i/>
          <w:szCs w:val="24"/>
        </w:rPr>
        <w:t xml:space="preserve">” </w:t>
      </w:r>
    </w:p>
    <w:p w14:paraId="4A589CC0" w14:textId="77777777" w:rsidR="00B45B91" w:rsidRPr="00E30291" w:rsidRDefault="00B45B91" w:rsidP="00BF3E35">
      <w:pPr>
        <w:spacing w:after="0" w:line="240" w:lineRule="auto"/>
        <w:ind w:left="567" w:right="567"/>
        <w:jc w:val="both"/>
        <w:rPr>
          <w:rFonts w:ascii="Palatino Linotype" w:hAnsi="Palatino Linotype"/>
          <w:b/>
          <w:bCs/>
          <w:i/>
          <w:szCs w:val="24"/>
        </w:rPr>
      </w:pPr>
    </w:p>
    <w:p w14:paraId="448253E8" w14:textId="77777777" w:rsidR="00B45B91" w:rsidRPr="00B0036A" w:rsidRDefault="00B45B91" w:rsidP="00BF3E35">
      <w:pPr>
        <w:spacing w:after="0" w:line="240" w:lineRule="auto"/>
        <w:ind w:left="567" w:right="567"/>
        <w:jc w:val="right"/>
        <w:rPr>
          <w:rFonts w:ascii="Palatino Linotype" w:hAnsi="Palatino Linotype"/>
          <w:szCs w:val="24"/>
        </w:rPr>
      </w:pPr>
      <w:r w:rsidRPr="00E30291">
        <w:rPr>
          <w:rFonts w:ascii="Palatino Linotype" w:hAnsi="Palatino Linotype"/>
          <w:szCs w:val="24"/>
        </w:rPr>
        <w:t>(Énfasis añadido)</w:t>
      </w:r>
    </w:p>
    <w:p w14:paraId="56D9C32C" w14:textId="77777777" w:rsidR="00B45B91" w:rsidRDefault="00B45B91" w:rsidP="00BF3E35">
      <w:pPr>
        <w:spacing w:after="0" w:line="360" w:lineRule="auto"/>
        <w:jc w:val="both"/>
        <w:rPr>
          <w:rFonts w:ascii="Palatino Linotype" w:hAnsi="Palatino Linotype"/>
          <w:sz w:val="24"/>
          <w:szCs w:val="24"/>
        </w:rPr>
      </w:pPr>
    </w:p>
    <w:p w14:paraId="7B214B4B" w14:textId="77777777" w:rsidR="005D2C70" w:rsidRPr="005D2C70" w:rsidRDefault="005D2C70" w:rsidP="00BF3E35">
      <w:pPr>
        <w:pStyle w:val="Prrafodelista"/>
        <w:numPr>
          <w:ilvl w:val="0"/>
          <w:numId w:val="5"/>
        </w:numPr>
        <w:spacing w:line="360" w:lineRule="auto"/>
        <w:jc w:val="both"/>
        <w:rPr>
          <w:rFonts w:ascii="Palatino Linotype" w:hAnsi="Palatino Linotype"/>
        </w:rPr>
      </w:pPr>
      <w:r w:rsidRPr="00B45B91">
        <w:rPr>
          <w:rFonts w:ascii="Palatino Linotype" w:eastAsia="Calibri" w:hAnsi="Palatino Linotype" w:cs="Arial"/>
          <w:b/>
          <w:i/>
          <w:szCs w:val="28"/>
          <w:lang w:eastAsia="es-MX"/>
        </w:rPr>
        <w:t>Acta 89.pdf</w:t>
      </w:r>
      <w:r>
        <w:rPr>
          <w:rFonts w:ascii="Palatino Linotype" w:eastAsia="Calibri" w:hAnsi="Palatino Linotype" w:cs="Arial"/>
          <w:b/>
          <w:i/>
          <w:szCs w:val="28"/>
          <w:lang w:eastAsia="es-MX"/>
        </w:rPr>
        <w:t>:</w:t>
      </w:r>
      <w:r>
        <w:rPr>
          <w:rFonts w:ascii="Palatino Linotype" w:eastAsia="Calibri" w:hAnsi="Palatino Linotype" w:cs="Arial"/>
          <w:szCs w:val="28"/>
          <w:lang w:eastAsia="es-MX"/>
        </w:rPr>
        <w:t xml:space="preserve"> A</w:t>
      </w:r>
      <w:r w:rsidR="00F86316">
        <w:rPr>
          <w:rFonts w:ascii="Palatino Linotype" w:eastAsia="Calibri" w:hAnsi="Palatino Linotype" w:cs="Arial"/>
          <w:szCs w:val="28"/>
          <w:lang w:eastAsia="es-MX"/>
        </w:rPr>
        <w:t>cta de la Octogésima Novena Sesión Extraordinaria del Comité de Transparencia del Sujeto Obligado, en cuyo punto número 3 (tres</w:t>
      </w:r>
      <w:r w:rsidR="00683403">
        <w:rPr>
          <w:rFonts w:ascii="Palatino Linotype" w:eastAsia="Calibri" w:hAnsi="Palatino Linotype" w:cs="Arial"/>
          <w:szCs w:val="28"/>
          <w:lang w:eastAsia="es-MX"/>
        </w:rPr>
        <w:t>)</w:t>
      </w:r>
      <w:r w:rsidR="00F86316">
        <w:rPr>
          <w:rFonts w:ascii="Palatino Linotype" w:eastAsia="Calibri" w:hAnsi="Palatino Linotype" w:cs="Arial"/>
          <w:szCs w:val="28"/>
          <w:lang w:eastAsia="es-MX"/>
        </w:rPr>
        <w:t xml:space="preserve"> de su orden del día, se encuentra señalado el análisis y aprobación de la clasificación de la información reservada de manera parcial, por un periodo de dos años, de la información referente a contratación de servicio de parquímetros, para dar respuesta a las solicitudes de información número 00011/TOLUCA/IP/2023, </w:t>
      </w:r>
      <w:r w:rsidR="00F86316">
        <w:rPr>
          <w:rFonts w:ascii="Palatino Linotype" w:eastAsia="Calibri" w:hAnsi="Palatino Linotype" w:cs="Arial"/>
          <w:szCs w:val="28"/>
          <w:lang w:eastAsia="es-MX"/>
        </w:rPr>
        <w:lastRenderedPageBreak/>
        <w:t xml:space="preserve">00063/TOLUCA/IP/2023, </w:t>
      </w:r>
      <w:r w:rsidR="00F86316" w:rsidRPr="002C528B">
        <w:rPr>
          <w:rFonts w:ascii="Palatino Linotype" w:eastAsia="Calibri" w:hAnsi="Palatino Linotype" w:cs="Arial"/>
          <w:szCs w:val="28"/>
          <w:lang w:eastAsia="es-MX"/>
        </w:rPr>
        <w:t>000124/TOLUCA/IP/2023</w:t>
      </w:r>
      <w:r w:rsidR="00F86316">
        <w:rPr>
          <w:rFonts w:ascii="Palatino Linotype" w:eastAsia="Calibri" w:hAnsi="Palatino Linotype" w:cs="Arial"/>
          <w:szCs w:val="28"/>
          <w:lang w:eastAsia="es-MX"/>
        </w:rPr>
        <w:t>, 000125/TOLUCA/IP/2023 y 000182/TOLUCA/IP/2023.</w:t>
      </w:r>
    </w:p>
    <w:p w14:paraId="4752740E" w14:textId="77777777" w:rsidR="005D2C70" w:rsidRDefault="005D2C70" w:rsidP="00BF3E35">
      <w:pPr>
        <w:spacing w:after="0" w:line="360" w:lineRule="auto"/>
        <w:jc w:val="both"/>
        <w:rPr>
          <w:rFonts w:ascii="Palatino Linotype" w:hAnsi="Palatino Linotype"/>
          <w:sz w:val="24"/>
          <w:szCs w:val="24"/>
        </w:rPr>
      </w:pPr>
    </w:p>
    <w:p w14:paraId="413B2802" w14:textId="77777777" w:rsidR="00AD2934" w:rsidRPr="00AD2934" w:rsidRDefault="00460B11" w:rsidP="00BF3E35">
      <w:pPr>
        <w:spacing w:after="0" w:line="360" w:lineRule="auto"/>
        <w:jc w:val="both"/>
        <w:rPr>
          <w:rFonts w:ascii="Palatino Linotype" w:hAnsi="Palatino Linotype"/>
          <w:sz w:val="24"/>
          <w:szCs w:val="24"/>
        </w:rPr>
      </w:pPr>
      <w:r>
        <w:rPr>
          <w:rFonts w:ascii="Palatino Linotype" w:hAnsi="Palatino Linotype"/>
          <w:sz w:val="24"/>
          <w:szCs w:val="24"/>
        </w:rPr>
        <w:t>Inconforme con la respuesta proporcionada</w:t>
      </w:r>
      <w:r w:rsidR="00AD2934">
        <w:rPr>
          <w:rFonts w:ascii="Palatino Linotype" w:hAnsi="Palatino Linotype"/>
          <w:sz w:val="24"/>
          <w:szCs w:val="24"/>
        </w:rPr>
        <w:t xml:space="preserve">, el </w:t>
      </w:r>
      <w:r w:rsidR="00AD2934" w:rsidRPr="00AD2934">
        <w:rPr>
          <w:rFonts w:ascii="Palatino Linotype" w:hAnsi="Palatino Linotype"/>
          <w:b/>
          <w:sz w:val="24"/>
          <w:szCs w:val="24"/>
        </w:rPr>
        <w:t>Recurrente</w:t>
      </w:r>
      <w:r w:rsidR="00AD2934">
        <w:rPr>
          <w:rFonts w:ascii="Palatino Linotype" w:hAnsi="Palatino Linotype"/>
          <w:sz w:val="24"/>
          <w:szCs w:val="24"/>
        </w:rPr>
        <w:t xml:space="preserve"> interpuso recurso de revisión, haciendo valer como acto impugnado </w:t>
      </w:r>
      <w:r w:rsidR="00AD2934" w:rsidRPr="00AD2934">
        <w:rPr>
          <w:rFonts w:ascii="Palatino Linotype" w:hAnsi="Palatino Linotype"/>
          <w:i/>
          <w:sz w:val="24"/>
          <w:szCs w:val="24"/>
        </w:rPr>
        <w:t xml:space="preserve">“Solicité el costo que paga el Ayuntamiento por el uso de la aplicación de los </w:t>
      </w:r>
      <w:proofErr w:type="spellStart"/>
      <w:r w:rsidR="00AD2934" w:rsidRPr="00AD2934">
        <w:rPr>
          <w:rFonts w:ascii="Palatino Linotype" w:hAnsi="Palatino Linotype"/>
          <w:i/>
          <w:sz w:val="24"/>
          <w:szCs w:val="24"/>
        </w:rPr>
        <w:t>parquímetos</w:t>
      </w:r>
      <w:proofErr w:type="spellEnd"/>
      <w:r w:rsidR="00AD2934" w:rsidRPr="00AD2934">
        <w:rPr>
          <w:rFonts w:ascii="Palatino Linotype" w:hAnsi="Palatino Linotype"/>
          <w:i/>
          <w:sz w:val="24"/>
          <w:szCs w:val="24"/>
        </w:rPr>
        <w:t xml:space="preserve"> y el costo de colocación de anuncios y todo lo erogado por el municipio en relación a los parquímetros </w:t>
      </w:r>
      <w:proofErr w:type="spellStart"/>
      <w:r w:rsidR="00AD2934" w:rsidRPr="00AD2934">
        <w:rPr>
          <w:rFonts w:ascii="Palatino Linotype" w:hAnsi="Palatino Linotype"/>
          <w:i/>
          <w:sz w:val="24"/>
          <w:szCs w:val="24"/>
        </w:rPr>
        <w:t>vietuales</w:t>
      </w:r>
      <w:proofErr w:type="spellEnd"/>
      <w:r w:rsidR="00AD2934" w:rsidRPr="00AD2934">
        <w:rPr>
          <w:rFonts w:ascii="Palatino Linotype" w:hAnsi="Palatino Linotype"/>
          <w:i/>
          <w:sz w:val="24"/>
          <w:szCs w:val="24"/>
        </w:rPr>
        <w:t>.”</w:t>
      </w:r>
      <w:r w:rsidR="00AD2934">
        <w:rPr>
          <w:rFonts w:ascii="Palatino Linotype" w:hAnsi="Palatino Linotype"/>
          <w:i/>
          <w:sz w:val="24"/>
          <w:szCs w:val="24"/>
        </w:rPr>
        <w:t>.</w:t>
      </w:r>
      <w:r w:rsidR="00AD2934">
        <w:rPr>
          <w:rFonts w:ascii="Palatino Linotype" w:hAnsi="Palatino Linotype"/>
          <w:sz w:val="24"/>
          <w:szCs w:val="24"/>
        </w:rPr>
        <w:t xml:space="preserve"> Argumentaciones que, en un primer momento, no se advierten de manera precisa las causas de las que se adolece</w:t>
      </w:r>
      <w:r w:rsidR="00DA4C40">
        <w:rPr>
          <w:rFonts w:ascii="Palatino Linotype" w:hAnsi="Palatino Linotype"/>
          <w:sz w:val="24"/>
          <w:szCs w:val="24"/>
        </w:rPr>
        <w:t>;</w:t>
      </w:r>
      <w:r w:rsidR="00AD2934">
        <w:rPr>
          <w:rFonts w:ascii="Palatino Linotype" w:hAnsi="Palatino Linotype"/>
          <w:sz w:val="24"/>
          <w:szCs w:val="24"/>
        </w:rPr>
        <w:t xml:space="preserve"> sin embargo, con fundamento en párrafo cuarto del artículo 181 de la Ley de Transparencia Local</w:t>
      </w:r>
      <w:r w:rsidR="00AD2934">
        <w:rPr>
          <w:rStyle w:val="Refdenotaalpie"/>
          <w:rFonts w:ascii="Palatino Linotype" w:hAnsi="Palatino Linotype"/>
          <w:sz w:val="24"/>
          <w:szCs w:val="24"/>
        </w:rPr>
        <w:footnoteReference w:id="2"/>
      </w:r>
      <w:r w:rsidR="00AD2934">
        <w:rPr>
          <w:rFonts w:ascii="Palatino Linotype" w:hAnsi="Palatino Linotype"/>
          <w:sz w:val="24"/>
          <w:szCs w:val="24"/>
        </w:rPr>
        <w:t>, se procede a hacer suplencia de la queja en favor del particular. Logrando concretar, que se adolece por la entrega de información incompleta derivado de la pretendida clasificación de la información. Supuestos procesales que encuadran en las hipótesis normativas, establecidas en las fracciones II y V del artículo 179 de la citada Ley de Transparencia Local.</w:t>
      </w:r>
      <w:r w:rsidR="00AD2934">
        <w:rPr>
          <w:rStyle w:val="Refdenotaalpie"/>
          <w:rFonts w:ascii="Palatino Linotype" w:hAnsi="Palatino Linotype"/>
          <w:sz w:val="24"/>
          <w:szCs w:val="24"/>
        </w:rPr>
        <w:footnoteReference w:id="3"/>
      </w:r>
    </w:p>
    <w:p w14:paraId="157AB649" w14:textId="77777777" w:rsidR="00F86316" w:rsidRDefault="00F86316" w:rsidP="00BF3E35">
      <w:pPr>
        <w:spacing w:after="0" w:line="360" w:lineRule="auto"/>
        <w:jc w:val="both"/>
        <w:rPr>
          <w:rFonts w:ascii="Palatino Linotype" w:hAnsi="Palatino Linotype"/>
          <w:sz w:val="24"/>
          <w:szCs w:val="24"/>
        </w:rPr>
      </w:pPr>
    </w:p>
    <w:p w14:paraId="1FAFD508" w14:textId="77777777" w:rsidR="00F86316" w:rsidRDefault="00AD2934" w:rsidP="00BF3E35">
      <w:pPr>
        <w:spacing w:after="0" w:line="360" w:lineRule="auto"/>
        <w:jc w:val="both"/>
        <w:rPr>
          <w:rFonts w:ascii="Palatino Linotype" w:hAnsi="Palatino Linotype"/>
          <w:sz w:val="24"/>
          <w:szCs w:val="24"/>
        </w:rPr>
      </w:pPr>
      <w:r>
        <w:rPr>
          <w:rFonts w:ascii="Palatino Linotype" w:hAnsi="Palatino Linotype"/>
          <w:sz w:val="24"/>
          <w:szCs w:val="24"/>
        </w:rPr>
        <w:t xml:space="preserve">Derivado de la interposición del recurso de revisión, en la etapa de manifestaciones, el Sujeto Obligado rindió su informe justificado, por medio del documento electrónico </w:t>
      </w:r>
      <w:r>
        <w:rPr>
          <w:rFonts w:ascii="Palatino Linotype" w:eastAsia="Calibri" w:hAnsi="Palatino Linotype" w:cs="Arial"/>
          <w:sz w:val="24"/>
          <w:szCs w:val="24"/>
          <w:lang w:eastAsia="es-MX"/>
        </w:rPr>
        <w:t>“</w:t>
      </w:r>
      <w:r w:rsidRPr="00B45B91">
        <w:rPr>
          <w:rFonts w:ascii="Palatino Linotype" w:eastAsia="Calibri" w:hAnsi="Palatino Linotype" w:cs="Arial"/>
          <w:b/>
          <w:i/>
          <w:sz w:val="24"/>
          <w:szCs w:val="24"/>
          <w:lang w:eastAsia="es-MX"/>
        </w:rPr>
        <w:t>RR820_23.pdf</w:t>
      </w:r>
      <w:r>
        <w:rPr>
          <w:rFonts w:ascii="Palatino Linotype" w:eastAsia="Calibri" w:hAnsi="Palatino Linotype" w:cs="Arial"/>
          <w:sz w:val="24"/>
          <w:szCs w:val="24"/>
          <w:lang w:eastAsia="es-MX"/>
        </w:rPr>
        <w:t>”</w:t>
      </w:r>
      <w:r w:rsidR="00DA4C40">
        <w:rPr>
          <w:rFonts w:ascii="Palatino Linotype" w:eastAsia="Calibri" w:hAnsi="Palatino Linotype" w:cs="Arial"/>
          <w:sz w:val="24"/>
          <w:szCs w:val="24"/>
          <w:lang w:eastAsia="es-MX"/>
        </w:rPr>
        <w:t>, c</w:t>
      </w:r>
      <w:r>
        <w:rPr>
          <w:rFonts w:ascii="Palatino Linotype" w:eastAsia="Calibri" w:hAnsi="Palatino Linotype" w:cs="Arial"/>
          <w:sz w:val="24"/>
          <w:szCs w:val="24"/>
          <w:lang w:eastAsia="es-MX"/>
        </w:rPr>
        <w:t>onsistente en el oficio</w:t>
      </w:r>
      <w:r w:rsidR="004F490B">
        <w:rPr>
          <w:rFonts w:ascii="Palatino Linotype" w:eastAsia="Calibri" w:hAnsi="Palatino Linotype" w:cs="Arial"/>
          <w:sz w:val="24"/>
          <w:szCs w:val="24"/>
          <w:lang w:eastAsia="es-MX"/>
        </w:rPr>
        <w:t xml:space="preserve"> número </w:t>
      </w:r>
      <w:proofErr w:type="spellStart"/>
      <w:r w:rsidR="004F490B">
        <w:rPr>
          <w:rFonts w:ascii="Palatino Linotype" w:eastAsia="Calibri" w:hAnsi="Palatino Linotype" w:cs="Arial"/>
          <w:sz w:val="24"/>
          <w:szCs w:val="24"/>
          <w:lang w:eastAsia="es-MX"/>
        </w:rPr>
        <w:t>2010A4000</w:t>
      </w:r>
      <w:proofErr w:type="spellEnd"/>
      <w:r w:rsidR="004F490B">
        <w:rPr>
          <w:rFonts w:ascii="Palatino Linotype" w:eastAsia="Calibri" w:hAnsi="Palatino Linotype" w:cs="Arial"/>
          <w:sz w:val="24"/>
          <w:szCs w:val="24"/>
          <w:lang w:eastAsia="es-MX"/>
        </w:rPr>
        <w:t>/UT/</w:t>
      </w:r>
      <w:proofErr w:type="spellStart"/>
      <w:r w:rsidR="004F490B">
        <w:rPr>
          <w:rFonts w:ascii="Palatino Linotype" w:eastAsia="Calibri" w:hAnsi="Palatino Linotype" w:cs="Arial"/>
          <w:sz w:val="24"/>
          <w:szCs w:val="24"/>
          <w:lang w:eastAsia="es-MX"/>
        </w:rPr>
        <w:t>RR</w:t>
      </w:r>
      <w:proofErr w:type="spellEnd"/>
      <w:r w:rsidR="004F490B">
        <w:rPr>
          <w:rFonts w:ascii="Palatino Linotype" w:eastAsia="Calibri" w:hAnsi="Palatino Linotype" w:cs="Arial"/>
          <w:sz w:val="24"/>
          <w:szCs w:val="24"/>
          <w:lang w:eastAsia="es-MX"/>
        </w:rPr>
        <w:t xml:space="preserve">/0159/2023 de fecha </w:t>
      </w:r>
      <w:r w:rsidR="004F490B">
        <w:rPr>
          <w:rFonts w:ascii="Palatino Linotype" w:eastAsia="Calibri" w:hAnsi="Palatino Linotype" w:cs="Arial"/>
          <w:sz w:val="24"/>
          <w:szCs w:val="24"/>
          <w:lang w:eastAsia="es-MX"/>
        </w:rPr>
        <w:lastRenderedPageBreak/>
        <w:t>veintisiete de febrero de dos mil veintitrés, a través del cual, ra</w:t>
      </w:r>
      <w:r w:rsidR="009D67C8">
        <w:rPr>
          <w:rFonts w:ascii="Palatino Linotype" w:eastAsia="Calibri" w:hAnsi="Palatino Linotype" w:cs="Arial"/>
          <w:sz w:val="24"/>
          <w:szCs w:val="24"/>
          <w:lang w:eastAsia="es-MX"/>
        </w:rPr>
        <w:t>tifica su respuesta primigenia.</w:t>
      </w:r>
    </w:p>
    <w:p w14:paraId="378C4476" w14:textId="77777777" w:rsidR="00AD2934" w:rsidRDefault="00AD2934" w:rsidP="00BF3E35">
      <w:pPr>
        <w:spacing w:after="0" w:line="360" w:lineRule="auto"/>
        <w:jc w:val="both"/>
        <w:rPr>
          <w:rFonts w:ascii="Palatino Linotype" w:hAnsi="Palatino Linotype"/>
          <w:sz w:val="24"/>
          <w:szCs w:val="24"/>
        </w:rPr>
      </w:pPr>
    </w:p>
    <w:p w14:paraId="1B2B3152" w14:textId="77777777" w:rsidR="001700AB" w:rsidRDefault="00B45B91" w:rsidP="00BF3E35">
      <w:pPr>
        <w:spacing w:after="0" w:line="360" w:lineRule="auto"/>
        <w:jc w:val="both"/>
        <w:rPr>
          <w:rFonts w:ascii="Palatino Linotype" w:eastAsia="Calibri" w:hAnsi="Palatino Linotype" w:cs="Arial"/>
          <w:color w:val="000000" w:themeColor="text1"/>
          <w:sz w:val="24"/>
          <w:lang w:eastAsia="es-MX"/>
        </w:rPr>
      </w:pPr>
      <w:r>
        <w:rPr>
          <w:rFonts w:ascii="Palatino Linotype" w:eastAsia="Calibri" w:hAnsi="Palatino Linotype" w:cs="Arial"/>
          <w:color w:val="000000" w:themeColor="text1"/>
          <w:sz w:val="24"/>
          <w:lang w:eastAsia="es-MX"/>
        </w:rPr>
        <w:t>Atentos a</w:t>
      </w:r>
      <w:r w:rsidR="009D67C8">
        <w:rPr>
          <w:rFonts w:ascii="Palatino Linotype" w:eastAsia="Calibri" w:hAnsi="Palatino Linotype" w:cs="Arial"/>
          <w:color w:val="000000" w:themeColor="text1"/>
          <w:sz w:val="24"/>
          <w:lang w:eastAsia="es-MX"/>
        </w:rPr>
        <w:t xml:space="preserve"> </w:t>
      </w:r>
      <w:r>
        <w:rPr>
          <w:rFonts w:ascii="Palatino Linotype" w:eastAsia="Calibri" w:hAnsi="Palatino Linotype" w:cs="Arial"/>
          <w:color w:val="000000" w:themeColor="text1"/>
          <w:sz w:val="24"/>
          <w:lang w:eastAsia="es-MX"/>
        </w:rPr>
        <w:t>l</w:t>
      </w:r>
      <w:r w:rsidR="009D67C8">
        <w:rPr>
          <w:rFonts w:ascii="Palatino Linotype" w:eastAsia="Calibri" w:hAnsi="Palatino Linotype" w:cs="Arial"/>
          <w:color w:val="000000" w:themeColor="text1"/>
          <w:sz w:val="24"/>
          <w:lang w:eastAsia="es-MX"/>
        </w:rPr>
        <w:t xml:space="preserve">as manifestaciones vertidas tanto en respuesta e informe justificado, podemos observar que la </w:t>
      </w:r>
      <w:r w:rsidR="009D67C8" w:rsidRPr="00106010">
        <w:rPr>
          <w:rFonts w:ascii="Palatino Linotype" w:eastAsia="Calibri" w:hAnsi="Palatino Linotype" w:cs="Arial"/>
          <w:i/>
          <w:color w:val="000000" w:themeColor="text1"/>
          <w:sz w:val="24"/>
          <w:lang w:eastAsia="es-MX"/>
        </w:rPr>
        <w:t>Litis</w:t>
      </w:r>
      <w:r w:rsidR="009D67C8">
        <w:rPr>
          <w:rFonts w:ascii="Palatino Linotype" w:eastAsia="Calibri" w:hAnsi="Palatino Linotype" w:cs="Arial"/>
          <w:color w:val="000000" w:themeColor="text1"/>
          <w:sz w:val="24"/>
          <w:lang w:eastAsia="es-MX"/>
        </w:rPr>
        <w:t xml:space="preserve"> en el presente asunto, se centra en determinar si, el Sujeto Obligado </w:t>
      </w:r>
      <w:r w:rsidR="000A5A5A">
        <w:rPr>
          <w:rFonts w:ascii="Palatino Linotype" w:eastAsia="Calibri" w:hAnsi="Palatino Linotype" w:cs="Arial"/>
          <w:color w:val="000000" w:themeColor="text1"/>
          <w:sz w:val="24"/>
          <w:lang w:eastAsia="es-MX"/>
        </w:rPr>
        <w:t>colma todos y cada uno de l</w:t>
      </w:r>
      <w:r w:rsidR="009D67C8">
        <w:rPr>
          <w:rFonts w:ascii="Palatino Linotype" w:eastAsia="Calibri" w:hAnsi="Palatino Linotype" w:cs="Arial"/>
          <w:color w:val="000000" w:themeColor="text1"/>
          <w:sz w:val="24"/>
          <w:lang w:eastAsia="es-MX"/>
        </w:rPr>
        <w:t>os requerimientos de información</w:t>
      </w:r>
      <w:r w:rsidR="000A5A5A">
        <w:rPr>
          <w:rFonts w:ascii="Palatino Linotype" w:eastAsia="Calibri" w:hAnsi="Palatino Linotype" w:cs="Arial"/>
          <w:color w:val="000000" w:themeColor="text1"/>
          <w:sz w:val="24"/>
          <w:lang w:eastAsia="es-MX"/>
        </w:rPr>
        <w:t xml:space="preserve">. Por lo </w:t>
      </w:r>
      <w:proofErr w:type="gramStart"/>
      <w:r w:rsidR="000A5A5A">
        <w:rPr>
          <w:rFonts w:ascii="Palatino Linotype" w:eastAsia="Calibri" w:hAnsi="Palatino Linotype" w:cs="Arial"/>
          <w:color w:val="000000" w:themeColor="text1"/>
          <w:sz w:val="24"/>
          <w:lang w:eastAsia="es-MX"/>
        </w:rPr>
        <w:t>que</w:t>
      </w:r>
      <w:proofErr w:type="gramEnd"/>
      <w:r w:rsidR="000A5A5A">
        <w:rPr>
          <w:rFonts w:ascii="Palatino Linotype" w:eastAsia="Calibri" w:hAnsi="Palatino Linotype" w:cs="Arial"/>
          <w:color w:val="000000" w:themeColor="text1"/>
          <w:sz w:val="24"/>
          <w:lang w:eastAsia="es-MX"/>
        </w:rPr>
        <w:t xml:space="preserve"> por técnica procedimental, resulta necesaria la elaboración de un cuadro comparativo que, permita confrontar los requerimientos de información contra las respuestas otorgadas, a efecto de estar en posibilidades de determinar</w:t>
      </w:r>
      <w:r w:rsidR="001700AB">
        <w:rPr>
          <w:rFonts w:ascii="Palatino Linotype" w:eastAsia="Calibri" w:hAnsi="Palatino Linotype" w:cs="Arial"/>
          <w:color w:val="000000" w:themeColor="text1"/>
          <w:sz w:val="24"/>
          <w:lang w:eastAsia="es-MX"/>
        </w:rPr>
        <w:t xml:space="preserve"> lo que en derecho corresponda.</w:t>
      </w:r>
    </w:p>
    <w:p w14:paraId="630FD115" w14:textId="77777777" w:rsidR="001700AB" w:rsidRDefault="001700AB" w:rsidP="00BF3E35">
      <w:pPr>
        <w:spacing w:after="0" w:line="360" w:lineRule="auto"/>
        <w:jc w:val="both"/>
        <w:rPr>
          <w:rFonts w:ascii="Palatino Linotype" w:eastAsia="Calibri" w:hAnsi="Palatino Linotype" w:cs="Arial"/>
          <w:color w:val="000000" w:themeColor="text1"/>
          <w:sz w:val="24"/>
          <w:lang w:eastAsia="es-MX"/>
        </w:rPr>
      </w:pPr>
    </w:p>
    <w:tbl>
      <w:tblPr>
        <w:tblStyle w:val="Tablaconcuadrcula"/>
        <w:tblW w:w="0" w:type="auto"/>
        <w:jc w:val="center"/>
        <w:tblLook w:val="04A0" w:firstRow="1" w:lastRow="0" w:firstColumn="1" w:lastColumn="0" w:noHBand="0" w:noVBand="1"/>
      </w:tblPr>
      <w:tblGrid>
        <w:gridCol w:w="2690"/>
        <w:gridCol w:w="2690"/>
        <w:gridCol w:w="2690"/>
      </w:tblGrid>
      <w:tr w:rsidR="001700AB" w:rsidRPr="00683403" w14:paraId="00465ACC" w14:textId="77777777" w:rsidTr="00683403">
        <w:trPr>
          <w:trHeight w:val="280"/>
          <w:jc w:val="center"/>
        </w:trPr>
        <w:tc>
          <w:tcPr>
            <w:tcW w:w="2690" w:type="dxa"/>
            <w:shd w:val="clear" w:color="auto" w:fill="F2F2F2" w:themeFill="background1" w:themeFillShade="F2"/>
          </w:tcPr>
          <w:p w14:paraId="70D4F89B" w14:textId="77777777" w:rsidR="001700AB" w:rsidRPr="00683403" w:rsidRDefault="001700AB" w:rsidP="00BF3E35">
            <w:pPr>
              <w:jc w:val="center"/>
              <w:rPr>
                <w:rFonts w:ascii="Palatino Linotype" w:eastAsia="Calibri" w:hAnsi="Palatino Linotype" w:cs="Arial"/>
                <w:b/>
                <w:color w:val="000000" w:themeColor="text1"/>
                <w:sz w:val="21"/>
                <w:szCs w:val="21"/>
                <w:lang w:eastAsia="es-MX"/>
              </w:rPr>
            </w:pPr>
            <w:r w:rsidRPr="00683403">
              <w:rPr>
                <w:rFonts w:ascii="Palatino Linotype" w:eastAsia="Calibri" w:hAnsi="Palatino Linotype" w:cs="Arial"/>
                <w:b/>
                <w:color w:val="000000" w:themeColor="text1"/>
                <w:sz w:val="21"/>
                <w:szCs w:val="21"/>
                <w:lang w:eastAsia="es-MX"/>
              </w:rPr>
              <w:t>Requerimiento</w:t>
            </w:r>
          </w:p>
        </w:tc>
        <w:tc>
          <w:tcPr>
            <w:tcW w:w="2690" w:type="dxa"/>
            <w:shd w:val="clear" w:color="auto" w:fill="F2F2F2" w:themeFill="background1" w:themeFillShade="F2"/>
          </w:tcPr>
          <w:p w14:paraId="35523451" w14:textId="77777777" w:rsidR="001700AB" w:rsidRPr="00683403" w:rsidRDefault="001700AB" w:rsidP="00BF3E35">
            <w:pPr>
              <w:jc w:val="center"/>
              <w:rPr>
                <w:rFonts w:ascii="Palatino Linotype" w:eastAsia="Calibri" w:hAnsi="Palatino Linotype" w:cs="Arial"/>
                <w:b/>
                <w:color w:val="000000" w:themeColor="text1"/>
                <w:sz w:val="21"/>
                <w:szCs w:val="21"/>
                <w:lang w:eastAsia="es-MX"/>
              </w:rPr>
            </w:pPr>
            <w:r w:rsidRPr="00683403">
              <w:rPr>
                <w:rFonts w:ascii="Palatino Linotype" w:eastAsia="Calibri" w:hAnsi="Palatino Linotype" w:cs="Arial"/>
                <w:b/>
                <w:color w:val="000000" w:themeColor="text1"/>
                <w:sz w:val="21"/>
                <w:szCs w:val="21"/>
                <w:lang w:eastAsia="es-MX"/>
              </w:rPr>
              <w:t>Respuesta</w:t>
            </w:r>
          </w:p>
        </w:tc>
        <w:tc>
          <w:tcPr>
            <w:tcW w:w="2690" w:type="dxa"/>
            <w:shd w:val="clear" w:color="auto" w:fill="F2F2F2" w:themeFill="background1" w:themeFillShade="F2"/>
            <w:vAlign w:val="center"/>
          </w:tcPr>
          <w:p w14:paraId="2DADD162" w14:textId="77777777" w:rsidR="001700AB" w:rsidRPr="00683403" w:rsidRDefault="001700AB" w:rsidP="00BF3E35">
            <w:pPr>
              <w:jc w:val="center"/>
              <w:rPr>
                <w:rFonts w:ascii="Palatino Linotype" w:eastAsia="Calibri" w:hAnsi="Palatino Linotype" w:cs="Arial"/>
                <w:b/>
                <w:color w:val="000000" w:themeColor="text1"/>
                <w:sz w:val="21"/>
                <w:szCs w:val="21"/>
                <w:lang w:eastAsia="es-MX"/>
              </w:rPr>
            </w:pPr>
            <w:r w:rsidRPr="00683403">
              <w:rPr>
                <w:rFonts w:ascii="Palatino Linotype" w:eastAsia="Calibri" w:hAnsi="Palatino Linotype" w:cs="Arial"/>
                <w:b/>
                <w:color w:val="000000" w:themeColor="text1"/>
                <w:sz w:val="21"/>
                <w:szCs w:val="21"/>
                <w:lang w:eastAsia="es-MX"/>
              </w:rPr>
              <w:t>Determinación</w:t>
            </w:r>
          </w:p>
        </w:tc>
      </w:tr>
      <w:tr w:rsidR="001700AB" w:rsidRPr="001700AB" w14:paraId="36CE09E6" w14:textId="77777777" w:rsidTr="00683403">
        <w:trPr>
          <w:trHeight w:val="290"/>
          <w:jc w:val="center"/>
        </w:trPr>
        <w:tc>
          <w:tcPr>
            <w:tcW w:w="2690" w:type="dxa"/>
            <w:shd w:val="clear" w:color="auto" w:fill="D9D9D9" w:themeFill="background1" w:themeFillShade="D9"/>
          </w:tcPr>
          <w:p w14:paraId="2615EE72" w14:textId="77777777" w:rsidR="001700AB" w:rsidRPr="00B4755D" w:rsidRDefault="00683403" w:rsidP="00BF3E35">
            <w:pPr>
              <w:pStyle w:val="Prrafodelista"/>
              <w:numPr>
                <w:ilvl w:val="0"/>
                <w:numId w:val="9"/>
              </w:numPr>
              <w:ind w:left="313"/>
              <w:jc w:val="both"/>
              <w:rPr>
                <w:rFonts w:ascii="Palatino Linotype" w:eastAsia="Calibri" w:hAnsi="Palatino Linotype" w:cs="Arial"/>
                <w:color w:val="000000" w:themeColor="text1"/>
                <w:sz w:val="21"/>
                <w:szCs w:val="21"/>
                <w:lang w:eastAsia="es-MX"/>
              </w:rPr>
            </w:pPr>
            <w:r w:rsidRPr="00B4755D">
              <w:rPr>
                <w:rFonts w:ascii="Palatino Linotype" w:eastAsia="Calibri" w:hAnsi="Palatino Linotype" w:cs="Arial"/>
                <w:color w:val="000000" w:themeColor="text1"/>
                <w:sz w:val="21"/>
                <w:szCs w:val="21"/>
                <w:lang w:eastAsia="es-MX"/>
              </w:rPr>
              <w:t>El costo de la aplicación utilizada</w:t>
            </w:r>
            <w:r w:rsidR="00B4755D" w:rsidRPr="00B4755D">
              <w:rPr>
                <w:rFonts w:ascii="Palatino Linotype" w:eastAsia="Calibri" w:hAnsi="Palatino Linotype" w:cs="Arial"/>
                <w:color w:val="000000" w:themeColor="text1"/>
                <w:sz w:val="21"/>
                <w:szCs w:val="21"/>
                <w:lang w:eastAsia="es-MX"/>
              </w:rPr>
              <w:t xml:space="preserve"> para los nuevos parquímetros virtuales;</w:t>
            </w:r>
          </w:p>
        </w:tc>
        <w:tc>
          <w:tcPr>
            <w:tcW w:w="2690" w:type="dxa"/>
            <w:shd w:val="clear" w:color="auto" w:fill="D9D9D9" w:themeFill="background1" w:themeFillShade="D9"/>
          </w:tcPr>
          <w:p w14:paraId="326956F2" w14:textId="77777777" w:rsidR="001700AB" w:rsidRPr="00683403" w:rsidRDefault="00683403" w:rsidP="00BF3E35">
            <w:pPr>
              <w:jc w:val="both"/>
              <w:rPr>
                <w:rFonts w:ascii="Palatino Linotype" w:eastAsia="Calibri" w:hAnsi="Palatino Linotype" w:cs="Arial"/>
                <w:i/>
                <w:color w:val="000000" w:themeColor="text1"/>
                <w:sz w:val="21"/>
                <w:szCs w:val="21"/>
                <w:lang w:eastAsia="es-MX"/>
              </w:rPr>
            </w:pPr>
            <w:r w:rsidRPr="00683403">
              <w:rPr>
                <w:rFonts w:ascii="Palatino Linotype" w:eastAsia="Calibri" w:hAnsi="Palatino Linotype" w:cs="Arial"/>
                <w:i/>
                <w:color w:val="000000" w:themeColor="text1"/>
                <w:sz w:val="21"/>
                <w:szCs w:val="21"/>
                <w:lang w:eastAsia="es-MX"/>
              </w:rPr>
              <w:t xml:space="preserve">“…el expediente </w:t>
            </w:r>
            <w:proofErr w:type="spellStart"/>
            <w:r w:rsidRPr="00683403">
              <w:rPr>
                <w:rFonts w:ascii="Palatino Linotype" w:eastAsia="Calibri" w:hAnsi="Palatino Linotype" w:cs="Arial"/>
                <w:i/>
                <w:color w:val="000000" w:themeColor="text1"/>
                <w:sz w:val="21"/>
                <w:szCs w:val="21"/>
                <w:lang w:eastAsia="es-MX"/>
              </w:rPr>
              <w:t>HAT</w:t>
            </w:r>
            <w:proofErr w:type="spellEnd"/>
            <w:r w:rsidRPr="00683403">
              <w:rPr>
                <w:rFonts w:ascii="Palatino Linotype" w:eastAsia="Calibri" w:hAnsi="Palatino Linotype" w:cs="Arial"/>
                <w:i/>
                <w:color w:val="000000" w:themeColor="text1"/>
                <w:sz w:val="21"/>
                <w:szCs w:val="21"/>
                <w:lang w:eastAsia="es-MX"/>
              </w:rPr>
              <w:t>/</w:t>
            </w:r>
            <w:proofErr w:type="spellStart"/>
            <w:r w:rsidRPr="00683403">
              <w:rPr>
                <w:rFonts w:ascii="Palatino Linotype" w:eastAsia="Calibri" w:hAnsi="Palatino Linotype" w:cs="Arial"/>
                <w:i/>
                <w:color w:val="000000" w:themeColor="text1"/>
                <w:sz w:val="21"/>
                <w:szCs w:val="21"/>
                <w:lang w:eastAsia="es-MX"/>
              </w:rPr>
              <w:t>CAYS</w:t>
            </w:r>
            <w:proofErr w:type="spellEnd"/>
            <w:r w:rsidRPr="00683403">
              <w:rPr>
                <w:rFonts w:ascii="Palatino Linotype" w:eastAsia="Calibri" w:hAnsi="Palatino Linotype" w:cs="Arial"/>
                <w:i/>
                <w:color w:val="000000" w:themeColor="text1"/>
                <w:sz w:val="21"/>
                <w:szCs w:val="21"/>
                <w:lang w:eastAsia="es-MX"/>
              </w:rPr>
              <w:t>/AD-</w:t>
            </w:r>
            <w:proofErr w:type="spellStart"/>
            <w:r w:rsidRPr="00683403">
              <w:rPr>
                <w:rFonts w:ascii="Palatino Linotype" w:eastAsia="Calibri" w:hAnsi="Palatino Linotype" w:cs="Arial"/>
                <w:i/>
                <w:color w:val="000000" w:themeColor="text1"/>
                <w:sz w:val="21"/>
                <w:szCs w:val="21"/>
                <w:lang w:eastAsia="es-MX"/>
              </w:rPr>
              <w:t>SERV</w:t>
            </w:r>
            <w:proofErr w:type="spellEnd"/>
            <w:r w:rsidRPr="00683403">
              <w:rPr>
                <w:rFonts w:ascii="Palatino Linotype" w:eastAsia="Calibri" w:hAnsi="Palatino Linotype" w:cs="Arial"/>
                <w:i/>
                <w:color w:val="000000" w:themeColor="text1"/>
                <w:sz w:val="21"/>
                <w:szCs w:val="21"/>
                <w:lang w:eastAsia="es-MX"/>
              </w:rPr>
              <w:t>-030/RP/2022 correspondiente al procedimiento de la Contratación del servicio de Parquímetros ha sido reservado por el Comité de Transparencia…”</w:t>
            </w:r>
          </w:p>
          <w:p w14:paraId="0E394760" w14:textId="77777777" w:rsidR="00683403" w:rsidRPr="00683403" w:rsidRDefault="00683403" w:rsidP="00BF3E35">
            <w:pPr>
              <w:jc w:val="both"/>
              <w:rPr>
                <w:rFonts w:ascii="Palatino Linotype" w:eastAsia="Calibri" w:hAnsi="Palatino Linotype" w:cs="Arial"/>
                <w:i/>
                <w:color w:val="000000" w:themeColor="text1"/>
                <w:sz w:val="21"/>
                <w:szCs w:val="21"/>
                <w:lang w:eastAsia="es-MX"/>
              </w:rPr>
            </w:pPr>
          </w:p>
          <w:p w14:paraId="4673EFF6" w14:textId="77777777" w:rsidR="00683403" w:rsidRPr="001700AB" w:rsidRDefault="00683403" w:rsidP="00BF3E35">
            <w:pPr>
              <w:jc w:val="both"/>
              <w:rPr>
                <w:rFonts w:ascii="Palatino Linotype" w:eastAsia="Calibri" w:hAnsi="Palatino Linotype" w:cs="Arial"/>
                <w:color w:val="000000" w:themeColor="text1"/>
                <w:sz w:val="21"/>
                <w:szCs w:val="21"/>
                <w:lang w:eastAsia="es-MX"/>
              </w:rPr>
            </w:pPr>
            <w:r>
              <w:rPr>
                <w:rFonts w:ascii="Palatino Linotype" w:eastAsia="Calibri" w:hAnsi="Palatino Linotype" w:cs="Arial"/>
                <w:color w:val="000000" w:themeColor="text1"/>
                <w:sz w:val="21"/>
                <w:szCs w:val="21"/>
                <w:lang w:eastAsia="es-MX"/>
              </w:rPr>
              <w:t xml:space="preserve">Entregó el acta de la </w:t>
            </w:r>
            <w:r w:rsidRPr="00683403">
              <w:rPr>
                <w:rFonts w:ascii="Palatino Linotype" w:eastAsia="Calibri" w:hAnsi="Palatino Linotype" w:cs="Arial"/>
                <w:color w:val="000000" w:themeColor="text1"/>
                <w:sz w:val="21"/>
                <w:szCs w:val="21"/>
                <w:lang w:eastAsia="es-MX"/>
              </w:rPr>
              <w:t>Octogésima Novena Sesión Extraordinaria del Comité de Transparencia del Sujeto Obligado, en cuyo punto número 3 (tres</w:t>
            </w:r>
            <w:r>
              <w:rPr>
                <w:rFonts w:ascii="Palatino Linotype" w:eastAsia="Calibri" w:hAnsi="Palatino Linotype" w:cs="Arial"/>
                <w:color w:val="000000" w:themeColor="text1"/>
                <w:sz w:val="21"/>
                <w:szCs w:val="21"/>
                <w:lang w:eastAsia="es-MX"/>
              </w:rPr>
              <w:t>)</w:t>
            </w:r>
            <w:r w:rsidRPr="00683403">
              <w:rPr>
                <w:rFonts w:ascii="Palatino Linotype" w:eastAsia="Calibri" w:hAnsi="Palatino Linotype" w:cs="Arial"/>
                <w:color w:val="000000" w:themeColor="text1"/>
                <w:sz w:val="21"/>
                <w:szCs w:val="21"/>
                <w:lang w:eastAsia="es-MX"/>
              </w:rPr>
              <w:t xml:space="preserve"> de su orden del día, se encuentra señalado el análisis y aprobación de la clasificación de la información reservada de manera parcial</w:t>
            </w:r>
          </w:p>
        </w:tc>
        <w:tc>
          <w:tcPr>
            <w:tcW w:w="2690" w:type="dxa"/>
            <w:shd w:val="clear" w:color="auto" w:fill="D9D9D9" w:themeFill="background1" w:themeFillShade="D9"/>
            <w:vAlign w:val="center"/>
          </w:tcPr>
          <w:p w14:paraId="68C99225" w14:textId="77777777" w:rsidR="001700AB" w:rsidRDefault="001700AB" w:rsidP="00BF3E35">
            <w:pPr>
              <w:jc w:val="both"/>
              <w:rPr>
                <w:rFonts w:ascii="Palatino Linotype" w:eastAsia="Calibri" w:hAnsi="Palatino Linotype" w:cs="Arial"/>
                <w:color w:val="000000" w:themeColor="text1"/>
                <w:sz w:val="21"/>
                <w:szCs w:val="21"/>
                <w:lang w:eastAsia="es-MX"/>
              </w:rPr>
            </w:pPr>
          </w:p>
          <w:p w14:paraId="17F89738" w14:textId="77777777" w:rsidR="00683403" w:rsidRPr="003523C4" w:rsidRDefault="00683403" w:rsidP="00BF3E35">
            <w:pPr>
              <w:jc w:val="center"/>
              <w:rPr>
                <w:rFonts w:ascii="Palatino Linotype" w:eastAsia="Calibri" w:hAnsi="Palatino Linotype" w:cs="Arial"/>
                <w:b/>
                <w:color w:val="000000" w:themeColor="text1"/>
                <w:sz w:val="21"/>
                <w:szCs w:val="21"/>
                <w:lang w:eastAsia="es-MX"/>
              </w:rPr>
            </w:pPr>
            <w:r w:rsidRPr="003523C4">
              <w:rPr>
                <w:rFonts w:ascii="Palatino Linotype" w:eastAsia="Calibri" w:hAnsi="Palatino Linotype" w:cs="Arial"/>
                <w:b/>
                <w:color w:val="000000" w:themeColor="text1"/>
                <w:sz w:val="21"/>
                <w:szCs w:val="21"/>
                <w:lang w:eastAsia="es-MX"/>
              </w:rPr>
              <w:t>No colmado</w:t>
            </w:r>
          </w:p>
        </w:tc>
      </w:tr>
      <w:tr w:rsidR="003523C4" w:rsidRPr="001700AB" w14:paraId="6F4B8E53" w14:textId="77777777" w:rsidTr="00683403">
        <w:trPr>
          <w:trHeight w:val="280"/>
          <w:jc w:val="center"/>
        </w:trPr>
        <w:tc>
          <w:tcPr>
            <w:tcW w:w="2690" w:type="dxa"/>
            <w:shd w:val="clear" w:color="auto" w:fill="D9D9D9" w:themeFill="background1" w:themeFillShade="D9"/>
          </w:tcPr>
          <w:p w14:paraId="195E8C22" w14:textId="77777777" w:rsidR="003523C4" w:rsidRPr="00B4755D" w:rsidRDefault="00DA4C40" w:rsidP="00BF3E35">
            <w:pPr>
              <w:pStyle w:val="Prrafodelista"/>
              <w:numPr>
                <w:ilvl w:val="0"/>
                <w:numId w:val="9"/>
              </w:numPr>
              <w:ind w:left="313"/>
              <w:jc w:val="both"/>
              <w:rPr>
                <w:rFonts w:ascii="Palatino Linotype" w:eastAsia="Calibri" w:hAnsi="Palatino Linotype" w:cs="Arial"/>
                <w:color w:val="000000" w:themeColor="text1"/>
                <w:sz w:val="21"/>
                <w:szCs w:val="21"/>
                <w:lang w:eastAsia="es-MX"/>
              </w:rPr>
            </w:pPr>
            <w:r>
              <w:rPr>
                <w:rFonts w:ascii="Palatino Linotype" w:eastAsia="Calibri" w:hAnsi="Palatino Linotype" w:cs="Arial"/>
                <w:color w:val="000000" w:themeColor="text1"/>
                <w:sz w:val="21"/>
                <w:szCs w:val="21"/>
                <w:lang w:eastAsia="es-MX"/>
              </w:rPr>
              <w:lastRenderedPageBreak/>
              <w:t>E</w:t>
            </w:r>
            <w:r w:rsidR="003523C4" w:rsidRPr="00B4755D">
              <w:rPr>
                <w:rFonts w:ascii="Palatino Linotype" w:eastAsia="Calibri" w:hAnsi="Palatino Linotype" w:cs="Arial"/>
                <w:color w:val="000000" w:themeColor="text1"/>
                <w:sz w:val="21"/>
                <w:szCs w:val="21"/>
                <w:lang w:eastAsia="es-MX"/>
              </w:rPr>
              <w:t>l costo</w:t>
            </w:r>
            <w:r w:rsidR="00B4755D" w:rsidRPr="00B4755D">
              <w:rPr>
                <w:rFonts w:ascii="Palatino Linotype" w:eastAsia="Calibri" w:hAnsi="Palatino Linotype" w:cs="Arial"/>
                <w:color w:val="000000" w:themeColor="text1"/>
                <w:sz w:val="21"/>
                <w:szCs w:val="21"/>
                <w:lang w:eastAsia="es-MX"/>
              </w:rPr>
              <w:t xml:space="preserve"> de los parquímetros virtuales;</w:t>
            </w:r>
          </w:p>
        </w:tc>
        <w:tc>
          <w:tcPr>
            <w:tcW w:w="2690" w:type="dxa"/>
            <w:shd w:val="clear" w:color="auto" w:fill="D9D9D9" w:themeFill="background1" w:themeFillShade="D9"/>
          </w:tcPr>
          <w:p w14:paraId="5B32A414" w14:textId="77777777" w:rsidR="003523C4" w:rsidRPr="001700AB" w:rsidRDefault="003523C4" w:rsidP="00BF3E35">
            <w:pPr>
              <w:jc w:val="both"/>
              <w:rPr>
                <w:rFonts w:ascii="Palatino Linotype" w:eastAsia="Calibri" w:hAnsi="Palatino Linotype" w:cs="Arial"/>
                <w:color w:val="000000" w:themeColor="text1"/>
                <w:sz w:val="21"/>
                <w:szCs w:val="21"/>
                <w:lang w:eastAsia="es-MX"/>
              </w:rPr>
            </w:pPr>
            <w:r>
              <w:rPr>
                <w:rFonts w:ascii="Palatino Linotype" w:eastAsia="Calibri" w:hAnsi="Palatino Linotype" w:cs="Arial"/>
                <w:color w:val="000000" w:themeColor="text1"/>
                <w:sz w:val="21"/>
                <w:szCs w:val="21"/>
                <w:lang w:eastAsia="es-MX"/>
              </w:rPr>
              <w:t>Informó las tarifas por costo de hora</w:t>
            </w:r>
          </w:p>
        </w:tc>
        <w:tc>
          <w:tcPr>
            <w:tcW w:w="2690" w:type="dxa"/>
            <w:shd w:val="clear" w:color="auto" w:fill="D9D9D9" w:themeFill="background1" w:themeFillShade="D9"/>
            <w:vAlign w:val="center"/>
          </w:tcPr>
          <w:p w14:paraId="40CD8827" w14:textId="77777777" w:rsidR="003523C4" w:rsidRPr="003523C4" w:rsidRDefault="003523C4" w:rsidP="00BF3E35">
            <w:pPr>
              <w:jc w:val="center"/>
              <w:rPr>
                <w:rFonts w:ascii="Palatino Linotype" w:eastAsia="Calibri" w:hAnsi="Palatino Linotype" w:cs="Arial"/>
                <w:b/>
                <w:color w:val="000000" w:themeColor="text1"/>
                <w:sz w:val="21"/>
                <w:szCs w:val="21"/>
                <w:lang w:eastAsia="es-MX"/>
              </w:rPr>
            </w:pPr>
            <w:r w:rsidRPr="003523C4">
              <w:rPr>
                <w:rFonts w:ascii="Palatino Linotype" w:eastAsia="Calibri" w:hAnsi="Palatino Linotype" w:cs="Arial"/>
                <w:b/>
                <w:color w:val="000000" w:themeColor="text1"/>
                <w:sz w:val="21"/>
                <w:szCs w:val="21"/>
                <w:lang w:eastAsia="es-MX"/>
              </w:rPr>
              <w:t>No colmado</w:t>
            </w:r>
          </w:p>
          <w:p w14:paraId="27ED27CC" w14:textId="77777777" w:rsidR="003523C4" w:rsidRDefault="003523C4" w:rsidP="00BF3E35">
            <w:pPr>
              <w:jc w:val="center"/>
              <w:rPr>
                <w:rFonts w:ascii="Palatino Linotype" w:eastAsia="Calibri" w:hAnsi="Palatino Linotype" w:cs="Arial"/>
                <w:color w:val="000000" w:themeColor="text1"/>
                <w:sz w:val="21"/>
                <w:szCs w:val="21"/>
                <w:lang w:eastAsia="es-MX"/>
              </w:rPr>
            </w:pPr>
          </w:p>
          <w:p w14:paraId="501C789A" w14:textId="77777777" w:rsidR="003523C4" w:rsidRPr="001700AB" w:rsidRDefault="003523C4" w:rsidP="00BF3E35">
            <w:pPr>
              <w:jc w:val="center"/>
              <w:rPr>
                <w:rFonts w:ascii="Palatino Linotype" w:eastAsia="Calibri" w:hAnsi="Palatino Linotype" w:cs="Arial"/>
                <w:color w:val="000000" w:themeColor="text1"/>
                <w:sz w:val="21"/>
                <w:szCs w:val="21"/>
                <w:lang w:eastAsia="es-MX"/>
              </w:rPr>
            </w:pPr>
            <w:r>
              <w:rPr>
                <w:rFonts w:ascii="Palatino Linotype" w:eastAsia="Calibri" w:hAnsi="Palatino Linotype" w:cs="Arial"/>
                <w:color w:val="000000" w:themeColor="text1"/>
                <w:sz w:val="21"/>
                <w:szCs w:val="21"/>
                <w:lang w:eastAsia="es-MX"/>
              </w:rPr>
              <w:t>Al no corresponder a la información peticionada.</w:t>
            </w:r>
          </w:p>
        </w:tc>
      </w:tr>
      <w:tr w:rsidR="003523C4" w:rsidRPr="001700AB" w14:paraId="49104EDC" w14:textId="77777777" w:rsidTr="00B4755D">
        <w:trPr>
          <w:trHeight w:val="300"/>
          <w:jc w:val="center"/>
        </w:trPr>
        <w:tc>
          <w:tcPr>
            <w:tcW w:w="2690" w:type="dxa"/>
            <w:shd w:val="clear" w:color="auto" w:fill="F2F2F2" w:themeFill="background1" w:themeFillShade="F2"/>
          </w:tcPr>
          <w:p w14:paraId="409FF2F3" w14:textId="77777777" w:rsidR="003523C4" w:rsidRPr="00B4755D" w:rsidRDefault="00B4755D" w:rsidP="00BF3E35">
            <w:pPr>
              <w:pStyle w:val="Prrafodelista"/>
              <w:numPr>
                <w:ilvl w:val="0"/>
                <w:numId w:val="9"/>
              </w:numPr>
              <w:ind w:left="313"/>
              <w:jc w:val="both"/>
              <w:rPr>
                <w:rFonts w:ascii="Palatino Linotype" w:eastAsia="Calibri" w:hAnsi="Palatino Linotype" w:cs="Arial"/>
                <w:color w:val="000000" w:themeColor="text1"/>
                <w:sz w:val="21"/>
                <w:szCs w:val="21"/>
                <w:lang w:eastAsia="es-MX"/>
              </w:rPr>
            </w:pPr>
            <w:r w:rsidRPr="00B4755D">
              <w:rPr>
                <w:rFonts w:ascii="Palatino Linotype" w:eastAsia="Calibri" w:hAnsi="Palatino Linotype" w:cs="Arial"/>
                <w:color w:val="000000" w:themeColor="text1"/>
                <w:sz w:val="21"/>
                <w:szCs w:val="21"/>
                <w:lang w:eastAsia="es-MX"/>
              </w:rPr>
              <w:t>Cu</w:t>
            </w:r>
            <w:r w:rsidR="00DA4C40">
              <w:rPr>
                <w:rFonts w:ascii="Palatino Linotype" w:eastAsia="Calibri" w:hAnsi="Palatino Linotype" w:cs="Arial"/>
                <w:color w:val="000000" w:themeColor="text1"/>
                <w:sz w:val="21"/>
                <w:szCs w:val="21"/>
                <w:lang w:eastAsia="es-MX"/>
              </w:rPr>
              <w:t>á</w:t>
            </w:r>
            <w:r w:rsidRPr="00B4755D">
              <w:rPr>
                <w:rFonts w:ascii="Palatino Linotype" w:eastAsia="Calibri" w:hAnsi="Palatino Linotype" w:cs="Arial"/>
                <w:color w:val="000000" w:themeColor="text1"/>
                <w:sz w:val="21"/>
                <w:szCs w:val="21"/>
                <w:lang w:eastAsia="es-MX"/>
              </w:rPr>
              <w:t>ntos se pusieron</w:t>
            </w:r>
            <w:r w:rsidR="004B0D33">
              <w:rPr>
                <w:rFonts w:ascii="Palatino Linotype" w:eastAsia="Calibri" w:hAnsi="Palatino Linotype" w:cs="Arial"/>
                <w:color w:val="000000" w:themeColor="text1"/>
                <w:sz w:val="21"/>
                <w:szCs w:val="21"/>
                <w:lang w:eastAsia="es-MX"/>
              </w:rPr>
              <w:t>;</w:t>
            </w:r>
          </w:p>
        </w:tc>
        <w:tc>
          <w:tcPr>
            <w:tcW w:w="2690" w:type="dxa"/>
            <w:shd w:val="clear" w:color="auto" w:fill="F2F2F2" w:themeFill="background1" w:themeFillShade="F2"/>
          </w:tcPr>
          <w:p w14:paraId="5338243A" w14:textId="77777777" w:rsidR="003523C4" w:rsidRPr="001700AB" w:rsidRDefault="003523C4" w:rsidP="00BF3E35">
            <w:pPr>
              <w:jc w:val="both"/>
              <w:rPr>
                <w:rFonts w:ascii="Palatino Linotype" w:eastAsia="Calibri" w:hAnsi="Palatino Linotype" w:cs="Arial"/>
                <w:color w:val="000000" w:themeColor="text1"/>
                <w:sz w:val="21"/>
                <w:szCs w:val="21"/>
                <w:lang w:eastAsia="es-MX"/>
              </w:rPr>
            </w:pPr>
            <w:r>
              <w:rPr>
                <w:rFonts w:ascii="Palatino Linotype" w:eastAsia="Calibri" w:hAnsi="Palatino Linotype" w:cs="Arial"/>
                <w:color w:val="000000" w:themeColor="text1"/>
                <w:sz w:val="21"/>
                <w:szCs w:val="21"/>
                <w:lang w:eastAsia="es-MX"/>
              </w:rPr>
              <w:t>“…</w:t>
            </w:r>
            <w:r w:rsidRPr="00683403">
              <w:rPr>
                <w:rFonts w:ascii="Palatino Linotype" w:eastAsia="Calibri" w:hAnsi="Palatino Linotype" w:cs="Arial"/>
                <w:color w:val="000000" w:themeColor="text1"/>
                <w:sz w:val="21"/>
                <w:szCs w:val="21"/>
                <w:lang w:eastAsia="es-MX"/>
              </w:rPr>
              <w:t>se pusieron, existen 1,005 Parquímetros virtuales en diversas calles del Municipio de Toluca.</w:t>
            </w:r>
            <w:r>
              <w:rPr>
                <w:rFonts w:ascii="Palatino Linotype" w:eastAsia="Calibri" w:hAnsi="Palatino Linotype" w:cs="Arial"/>
                <w:color w:val="000000" w:themeColor="text1"/>
                <w:sz w:val="21"/>
                <w:szCs w:val="21"/>
                <w:lang w:eastAsia="es-MX"/>
              </w:rPr>
              <w:t>”</w:t>
            </w:r>
          </w:p>
        </w:tc>
        <w:tc>
          <w:tcPr>
            <w:tcW w:w="2690" w:type="dxa"/>
            <w:shd w:val="clear" w:color="auto" w:fill="D9D9D9" w:themeFill="background1" w:themeFillShade="D9"/>
            <w:vAlign w:val="center"/>
          </w:tcPr>
          <w:p w14:paraId="2BD297A5" w14:textId="77777777" w:rsidR="003523C4" w:rsidRPr="004B0D33" w:rsidRDefault="004B0D33" w:rsidP="00BF3E35">
            <w:pPr>
              <w:jc w:val="center"/>
              <w:rPr>
                <w:rFonts w:ascii="Palatino Linotype" w:eastAsia="Calibri" w:hAnsi="Palatino Linotype" w:cs="Arial"/>
                <w:b/>
                <w:color w:val="000000" w:themeColor="text1"/>
                <w:sz w:val="21"/>
                <w:szCs w:val="21"/>
                <w:lang w:eastAsia="es-MX"/>
              </w:rPr>
            </w:pPr>
            <w:r w:rsidRPr="004B0D33">
              <w:rPr>
                <w:rFonts w:ascii="Palatino Linotype" w:eastAsia="Calibri" w:hAnsi="Palatino Linotype" w:cs="Arial"/>
                <w:b/>
                <w:color w:val="000000" w:themeColor="text1"/>
                <w:sz w:val="21"/>
                <w:szCs w:val="21"/>
                <w:lang w:eastAsia="es-MX"/>
              </w:rPr>
              <w:t>Colmado</w:t>
            </w:r>
          </w:p>
        </w:tc>
      </w:tr>
      <w:tr w:rsidR="003523C4" w:rsidRPr="001700AB" w14:paraId="58AAD4C9" w14:textId="77777777" w:rsidTr="00683403">
        <w:trPr>
          <w:trHeight w:val="280"/>
          <w:jc w:val="center"/>
        </w:trPr>
        <w:tc>
          <w:tcPr>
            <w:tcW w:w="2690" w:type="dxa"/>
            <w:shd w:val="clear" w:color="auto" w:fill="D9D9D9" w:themeFill="background1" w:themeFillShade="D9"/>
          </w:tcPr>
          <w:p w14:paraId="11AE376D" w14:textId="77777777" w:rsidR="003523C4" w:rsidRPr="00B4755D" w:rsidRDefault="00DA4C40" w:rsidP="00BF3E35">
            <w:pPr>
              <w:pStyle w:val="Prrafodelista"/>
              <w:numPr>
                <w:ilvl w:val="0"/>
                <w:numId w:val="9"/>
              </w:numPr>
              <w:ind w:left="313"/>
              <w:jc w:val="both"/>
              <w:rPr>
                <w:rFonts w:ascii="Palatino Linotype" w:eastAsia="Calibri" w:hAnsi="Palatino Linotype" w:cs="Arial"/>
                <w:color w:val="000000" w:themeColor="text1"/>
                <w:sz w:val="21"/>
                <w:szCs w:val="21"/>
                <w:lang w:eastAsia="es-MX"/>
              </w:rPr>
            </w:pPr>
            <w:r>
              <w:rPr>
                <w:rFonts w:ascii="Palatino Linotype" w:eastAsia="Calibri" w:hAnsi="Palatino Linotype" w:cs="Arial"/>
                <w:color w:val="000000" w:themeColor="text1"/>
                <w:sz w:val="21"/>
                <w:szCs w:val="21"/>
                <w:lang w:eastAsia="es-MX"/>
              </w:rPr>
              <w:t>E</w:t>
            </w:r>
            <w:r w:rsidR="00B4755D" w:rsidRPr="00B4755D">
              <w:rPr>
                <w:rFonts w:ascii="Palatino Linotype" w:eastAsia="Calibri" w:hAnsi="Palatino Linotype" w:cs="Arial"/>
                <w:color w:val="000000" w:themeColor="text1"/>
                <w:sz w:val="21"/>
                <w:szCs w:val="21"/>
                <w:lang w:eastAsia="es-MX"/>
              </w:rPr>
              <w:t>l criterio de colocación de los señalamientos de los "Parquímetros Virtuales"</w:t>
            </w:r>
          </w:p>
        </w:tc>
        <w:tc>
          <w:tcPr>
            <w:tcW w:w="2690" w:type="dxa"/>
            <w:shd w:val="clear" w:color="auto" w:fill="D9D9D9" w:themeFill="background1" w:themeFillShade="D9"/>
          </w:tcPr>
          <w:p w14:paraId="6390FA7B" w14:textId="77777777" w:rsidR="003523C4" w:rsidRPr="001700AB" w:rsidRDefault="003523C4" w:rsidP="00BF3E35">
            <w:pPr>
              <w:jc w:val="both"/>
              <w:rPr>
                <w:rFonts w:ascii="Palatino Linotype" w:eastAsia="Calibri" w:hAnsi="Palatino Linotype" w:cs="Arial"/>
                <w:color w:val="000000" w:themeColor="text1"/>
                <w:sz w:val="21"/>
                <w:szCs w:val="21"/>
                <w:lang w:eastAsia="es-MX"/>
              </w:rPr>
            </w:pPr>
            <w:r>
              <w:rPr>
                <w:rFonts w:ascii="Palatino Linotype" w:eastAsia="Calibri" w:hAnsi="Palatino Linotype" w:cs="Arial"/>
                <w:color w:val="000000" w:themeColor="text1"/>
                <w:sz w:val="21"/>
                <w:szCs w:val="21"/>
                <w:lang w:eastAsia="es-MX"/>
              </w:rPr>
              <w:t>“…</w:t>
            </w:r>
            <w:r w:rsidRPr="00683403">
              <w:rPr>
                <w:rFonts w:ascii="Palatino Linotype" w:eastAsia="Calibri" w:hAnsi="Palatino Linotype" w:cs="Arial"/>
                <w:color w:val="000000" w:themeColor="text1"/>
                <w:sz w:val="21"/>
                <w:szCs w:val="21"/>
                <w:lang w:eastAsia="es-MX"/>
              </w:rPr>
              <w:t>es con base al Dictamen Técnico del Polígono de calles que realiza la Dirección de Sustentabilidad Vial.”</w:t>
            </w:r>
          </w:p>
        </w:tc>
        <w:tc>
          <w:tcPr>
            <w:tcW w:w="2690" w:type="dxa"/>
            <w:shd w:val="clear" w:color="auto" w:fill="D9D9D9" w:themeFill="background1" w:themeFillShade="D9"/>
            <w:vAlign w:val="center"/>
          </w:tcPr>
          <w:p w14:paraId="4BE62F21" w14:textId="77777777" w:rsidR="003523C4" w:rsidRPr="004B0D33" w:rsidRDefault="004B0D33" w:rsidP="00BF3E35">
            <w:pPr>
              <w:jc w:val="center"/>
              <w:rPr>
                <w:rFonts w:ascii="Palatino Linotype" w:eastAsia="Calibri" w:hAnsi="Palatino Linotype" w:cs="Arial"/>
                <w:b/>
                <w:color w:val="000000" w:themeColor="text1"/>
                <w:sz w:val="21"/>
                <w:szCs w:val="21"/>
                <w:lang w:eastAsia="es-MX"/>
              </w:rPr>
            </w:pPr>
            <w:r w:rsidRPr="004B0D33">
              <w:rPr>
                <w:rFonts w:ascii="Palatino Linotype" w:eastAsia="Calibri" w:hAnsi="Palatino Linotype" w:cs="Arial"/>
                <w:b/>
                <w:color w:val="000000" w:themeColor="text1"/>
                <w:sz w:val="21"/>
                <w:szCs w:val="21"/>
                <w:lang w:eastAsia="es-MX"/>
              </w:rPr>
              <w:t>No colmado</w:t>
            </w:r>
          </w:p>
        </w:tc>
      </w:tr>
    </w:tbl>
    <w:p w14:paraId="2CB20E05" w14:textId="77777777" w:rsidR="000A5A5A" w:rsidRDefault="000A5A5A" w:rsidP="00BF3E35">
      <w:pPr>
        <w:spacing w:after="0" w:line="360" w:lineRule="auto"/>
        <w:jc w:val="both"/>
        <w:rPr>
          <w:rFonts w:ascii="Palatino Linotype" w:eastAsia="Calibri" w:hAnsi="Palatino Linotype" w:cs="Arial"/>
          <w:color w:val="000000" w:themeColor="text1"/>
          <w:sz w:val="24"/>
          <w:lang w:eastAsia="es-MX"/>
        </w:rPr>
      </w:pPr>
    </w:p>
    <w:p w14:paraId="45D097FA" w14:textId="77777777" w:rsidR="00443E1A" w:rsidRDefault="00443E1A" w:rsidP="00BF3E35">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De conformidad con lo anterior, en primer lugar podemos señalar que, </w:t>
      </w:r>
      <w:r w:rsidRPr="00443E1A">
        <w:rPr>
          <w:rFonts w:ascii="Palatino Linotype" w:eastAsia="Calibri" w:hAnsi="Palatino Linotype" w:cs="Times New Roman"/>
          <w:sz w:val="24"/>
          <w:szCs w:val="24"/>
          <w:lang w:val="es-ES_tradnl" w:eastAsia="es-ES"/>
        </w:rPr>
        <w:t xml:space="preserve">se obvia el estudio del marco normativo que rige </w:t>
      </w:r>
      <w:r>
        <w:rPr>
          <w:rFonts w:ascii="Palatino Linotype" w:eastAsia="Calibri" w:hAnsi="Palatino Linotype" w:cs="Times New Roman"/>
          <w:sz w:val="24"/>
          <w:szCs w:val="24"/>
          <w:lang w:val="es-ES_tradnl" w:eastAsia="es-ES"/>
        </w:rPr>
        <w:t>el actuar del Sujeto Obligado</w:t>
      </w:r>
      <w:r w:rsidRPr="00443E1A">
        <w:rPr>
          <w:rFonts w:ascii="Palatino Linotype" w:eastAsia="Calibri" w:hAnsi="Palatino Linotype" w:cs="Times New Roman"/>
          <w:sz w:val="24"/>
          <w:szCs w:val="24"/>
          <w:lang w:val="es-ES_tradnl" w:eastAsia="es-ES"/>
        </w:rPr>
        <w:t xml:space="preserve">, ello atendiendo que, el estudio de la fuente obligacional que constriñe al Sujeto Obligado a contar con ella, se realiza con la finalidad de determinar si este se encuentra obligado a generarla, </w:t>
      </w:r>
      <w:r>
        <w:rPr>
          <w:rFonts w:ascii="Palatino Linotype" w:eastAsia="Calibri" w:hAnsi="Palatino Linotype" w:cs="Times New Roman"/>
          <w:sz w:val="24"/>
          <w:szCs w:val="24"/>
          <w:lang w:val="es-ES_tradnl" w:eastAsia="es-ES"/>
        </w:rPr>
        <w:t xml:space="preserve">procesarla, </w:t>
      </w:r>
      <w:r w:rsidRPr="00443E1A">
        <w:rPr>
          <w:rFonts w:ascii="Palatino Linotype" w:eastAsia="Calibri" w:hAnsi="Palatino Linotype" w:cs="Times New Roman"/>
          <w:sz w:val="24"/>
          <w:szCs w:val="24"/>
          <w:lang w:val="es-ES_tradnl" w:eastAsia="es-ES"/>
        </w:rPr>
        <w:t xml:space="preserve">poseerla o administrarla, pero en los casos en que de la respuesta, acepta o bien otorga indicios de que cuenta con ella, seria ocioso delimitar las norma jurídica que determine si la dependencia, cuenta con ella o no. </w:t>
      </w:r>
    </w:p>
    <w:p w14:paraId="6E633A91" w14:textId="77777777" w:rsidR="00BD0A9F" w:rsidRPr="00443E1A" w:rsidRDefault="00BD0A9F" w:rsidP="00BF3E35">
      <w:pPr>
        <w:spacing w:after="0" w:line="360" w:lineRule="auto"/>
        <w:jc w:val="both"/>
        <w:rPr>
          <w:rFonts w:ascii="Palatino Linotype" w:eastAsia="Calibri" w:hAnsi="Palatino Linotype" w:cs="Times New Roman"/>
          <w:sz w:val="24"/>
          <w:szCs w:val="24"/>
          <w:lang w:val="es-ES_tradnl" w:eastAsia="es-ES"/>
        </w:rPr>
      </w:pPr>
    </w:p>
    <w:p w14:paraId="6FCACA54" w14:textId="77777777" w:rsidR="00443E1A" w:rsidRPr="00443E1A" w:rsidRDefault="00443E1A" w:rsidP="00BF3E35">
      <w:pPr>
        <w:spacing w:after="0" w:line="360" w:lineRule="auto"/>
        <w:jc w:val="both"/>
        <w:rPr>
          <w:rFonts w:ascii="Palatino Linotype" w:eastAsia="Calibri" w:hAnsi="Palatino Linotype"/>
          <w:sz w:val="24"/>
          <w:lang w:val="es-ES_tradnl"/>
        </w:rPr>
      </w:pPr>
      <w:r w:rsidRPr="00443E1A">
        <w:rPr>
          <w:rFonts w:ascii="Palatino Linotype" w:eastAsia="Calibri" w:hAnsi="Palatino Linotype"/>
          <w:sz w:val="24"/>
          <w:lang w:val="es-ES_tradnl"/>
        </w:rPr>
        <w:t xml:space="preserve">En ese orden de ideas, </w:t>
      </w:r>
      <w:r w:rsidR="003523C4">
        <w:rPr>
          <w:rFonts w:ascii="Palatino Linotype" w:eastAsia="Calibri" w:hAnsi="Palatino Linotype"/>
          <w:sz w:val="24"/>
          <w:lang w:val="es-ES_tradnl"/>
        </w:rPr>
        <w:t xml:space="preserve">respecto del numeral </w:t>
      </w:r>
      <w:r w:rsidR="003523C4" w:rsidRPr="003523C4">
        <w:rPr>
          <w:rFonts w:ascii="Palatino Linotype" w:eastAsia="Calibri" w:hAnsi="Palatino Linotype"/>
          <w:b/>
          <w:sz w:val="26"/>
          <w:szCs w:val="26"/>
          <w:lang w:val="es-ES_tradnl"/>
        </w:rPr>
        <w:t>1</w:t>
      </w:r>
      <w:r w:rsidR="003523C4">
        <w:rPr>
          <w:rFonts w:ascii="Palatino Linotype" w:eastAsia="Calibri" w:hAnsi="Palatino Linotype"/>
          <w:sz w:val="24"/>
          <w:lang w:val="es-ES_tradnl"/>
        </w:rPr>
        <w:t xml:space="preserve">, </w:t>
      </w:r>
      <w:r w:rsidRPr="00443E1A">
        <w:rPr>
          <w:rFonts w:ascii="Palatino Linotype" w:eastAsia="Calibri" w:hAnsi="Palatino Linotype"/>
          <w:sz w:val="24"/>
          <w:lang w:val="es-ES_tradnl"/>
        </w:rPr>
        <w:t xml:space="preserve">debe precisarse que la </w:t>
      </w:r>
      <w:r w:rsidRPr="00443E1A">
        <w:rPr>
          <w:rFonts w:ascii="Palatino Linotype" w:eastAsia="Calibri" w:hAnsi="Palatino Linotype"/>
          <w:b/>
          <w:sz w:val="24"/>
          <w:lang w:val="es-ES_tradnl"/>
        </w:rPr>
        <w:t>inexistencia de la información y su clasificación no podrán coexistir</w:t>
      </w:r>
      <w:r w:rsidRPr="00443E1A">
        <w:rPr>
          <w:rFonts w:ascii="Palatino Linotype" w:eastAsia="Calibri" w:hAnsi="Palatino Linotype"/>
          <w:sz w:val="24"/>
          <w:lang w:val="es-ES_tradnl"/>
        </w:rPr>
        <w:t xml:space="preserve">, sirve de sustento el Criterio orientador </w:t>
      </w:r>
      <w:r w:rsidRPr="00443E1A">
        <w:rPr>
          <w:rFonts w:ascii="Palatino Linotype" w:eastAsia="Calibri" w:hAnsi="Palatino Linotype"/>
          <w:b/>
          <w:sz w:val="24"/>
          <w:lang w:val="es-ES_tradnl"/>
        </w:rPr>
        <w:t>29/10</w:t>
      </w:r>
      <w:r w:rsidRPr="00443E1A">
        <w:rPr>
          <w:rFonts w:ascii="Palatino Linotype" w:eastAsia="Calibri" w:hAnsi="Palatino Linotype"/>
          <w:sz w:val="24"/>
          <w:lang w:val="es-ES_tradnl"/>
        </w:rPr>
        <w:t xml:space="preserve"> emitido por el Instituto Nacional de Transparencia, Acceso a la Información y Protección de Datos Personales, INAI, el cual refiere lo siguiente:</w:t>
      </w:r>
    </w:p>
    <w:p w14:paraId="51C0E9E2" w14:textId="77777777" w:rsidR="00443E1A" w:rsidRPr="00443E1A" w:rsidRDefault="00443E1A" w:rsidP="00BF3E35">
      <w:pPr>
        <w:spacing w:after="0" w:line="360" w:lineRule="auto"/>
        <w:jc w:val="both"/>
        <w:rPr>
          <w:rFonts w:ascii="Palatino Linotype" w:eastAsia="Calibri" w:hAnsi="Palatino Linotype"/>
          <w:sz w:val="24"/>
          <w:lang w:val="es-ES_tradnl"/>
        </w:rPr>
      </w:pPr>
    </w:p>
    <w:p w14:paraId="70D95632" w14:textId="77777777" w:rsidR="00443E1A" w:rsidRPr="00443E1A" w:rsidRDefault="00443E1A" w:rsidP="00BF3E35">
      <w:pPr>
        <w:spacing w:after="0" w:line="240" w:lineRule="auto"/>
        <w:ind w:left="567" w:right="567"/>
        <w:jc w:val="both"/>
        <w:rPr>
          <w:rFonts w:ascii="Palatino Linotype" w:eastAsia="Calibri" w:hAnsi="Palatino Linotype"/>
          <w:i/>
          <w:lang w:val="es-ES_tradnl"/>
        </w:rPr>
      </w:pPr>
      <w:r w:rsidRPr="00443E1A">
        <w:rPr>
          <w:rFonts w:ascii="Palatino Linotype" w:eastAsia="Calibri" w:hAnsi="Palatino Linotype"/>
          <w:i/>
          <w:lang w:val="es-ES_tradnl"/>
        </w:rPr>
        <w:t>“</w:t>
      </w:r>
      <w:r w:rsidRPr="00443E1A">
        <w:rPr>
          <w:rFonts w:ascii="Palatino Linotype" w:eastAsia="Calibri" w:hAnsi="Palatino Linotype"/>
          <w:b/>
          <w:i/>
          <w:lang w:val="es-ES_tradnl"/>
        </w:rPr>
        <w:t>LA CLASIFICACIÓN Y LA INEXISTENCIA DE INFORMACIÓN SON CONCEPTOS QUE NO PUEDEN COEXISTIR</w:t>
      </w:r>
      <w:r w:rsidRPr="00443E1A">
        <w:rPr>
          <w:rFonts w:ascii="Palatino Linotype" w:eastAsia="Calibri" w:hAnsi="Palatino Linotype"/>
          <w:i/>
          <w:lang w:val="es-ES_tradnl"/>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w:t>
      </w:r>
      <w:r w:rsidRPr="00443E1A">
        <w:rPr>
          <w:rFonts w:ascii="Palatino Linotype" w:eastAsia="Calibri" w:hAnsi="Palatino Linotype"/>
          <w:i/>
          <w:lang w:val="es-ES_tradnl"/>
        </w:rPr>
        <w:lastRenderedPageBreak/>
        <w:t xml:space="preserve">Por su parte, la clasificación es una característica que adquiere la información concreta contenida en un documento específico, siempre que se encuentre en los </w:t>
      </w:r>
      <w:proofErr w:type="gramStart"/>
      <w:r w:rsidRPr="00443E1A">
        <w:rPr>
          <w:rFonts w:ascii="Palatino Linotype" w:eastAsia="Calibri" w:hAnsi="Palatino Linotype"/>
          <w:i/>
          <w:lang w:val="es-ES_tradnl"/>
        </w:rPr>
        <w:t>supuestos  establecidos</w:t>
      </w:r>
      <w:proofErr w:type="gramEnd"/>
      <w:r w:rsidRPr="00443E1A">
        <w:rPr>
          <w:rFonts w:ascii="Palatino Linotype" w:eastAsia="Calibri" w:hAnsi="Palatino Linotype"/>
          <w:i/>
          <w:lang w:val="es-ES_tradnl"/>
        </w:rPr>
        <w:t xml:space="preserve"> en los artículos 13 y 14 de la Ley Federal de Transparencia y Acceso a la Información Pública Gubernamental, para el caso de la información reservada, y 18 del mismo ordenamiento, para el caso de la información confidencial. Por lo anterior, </w:t>
      </w:r>
      <w:r w:rsidRPr="00443E1A">
        <w:rPr>
          <w:rFonts w:ascii="Palatino Linotype" w:eastAsia="Calibri" w:hAnsi="Palatino Linotype"/>
          <w:b/>
          <w:i/>
          <w:lang w:val="es-ES_tradnl"/>
        </w:rPr>
        <w:t xml:space="preserve">la clasificación y la inexistencia no coexisten entre sí, en virtud de que </w:t>
      </w:r>
      <w:r w:rsidRPr="00443E1A">
        <w:rPr>
          <w:rFonts w:ascii="Palatino Linotype" w:eastAsia="Calibri" w:hAnsi="Palatino Linotype"/>
          <w:b/>
          <w:i/>
          <w:u w:val="single"/>
          <w:lang w:val="es-ES_tradnl"/>
        </w:rPr>
        <w:t>la clasificación de información implica invariablemente la existencia de un documento o documentos determinados,</w:t>
      </w:r>
      <w:r w:rsidRPr="00443E1A">
        <w:rPr>
          <w:rFonts w:ascii="Palatino Linotype" w:eastAsia="Calibri" w:hAnsi="Palatino Linotype"/>
          <w:b/>
          <w:i/>
          <w:lang w:val="es-ES_tradnl"/>
        </w:rPr>
        <w:t xml:space="preserve"> mientras que la inexistencia conlleva la ausencia de los mismos en los archivos de la dependencia o entidad de que se trate</w:t>
      </w:r>
      <w:r w:rsidRPr="00443E1A">
        <w:rPr>
          <w:rFonts w:ascii="Palatino Linotype" w:eastAsia="Calibri" w:hAnsi="Palatino Linotype"/>
          <w:i/>
          <w:lang w:val="es-ES_tradnl"/>
        </w:rPr>
        <w:t>."</w:t>
      </w:r>
    </w:p>
    <w:p w14:paraId="5CCCA6DC" w14:textId="77777777" w:rsidR="00443E1A" w:rsidRPr="00443E1A" w:rsidRDefault="00443E1A" w:rsidP="00BF3E35">
      <w:pPr>
        <w:spacing w:after="0" w:line="240" w:lineRule="auto"/>
        <w:ind w:left="567" w:right="567"/>
        <w:jc w:val="right"/>
        <w:rPr>
          <w:rFonts w:ascii="Palatino Linotype" w:eastAsia="Calibri" w:hAnsi="Palatino Linotype"/>
          <w:lang w:val="es-ES_tradnl"/>
        </w:rPr>
      </w:pPr>
      <w:r w:rsidRPr="00443E1A">
        <w:rPr>
          <w:rFonts w:ascii="Palatino Linotype" w:eastAsia="Calibri" w:hAnsi="Palatino Linotype"/>
          <w:lang w:val="es-ES_tradnl"/>
        </w:rPr>
        <w:t>(Énfasis añadido)</w:t>
      </w:r>
    </w:p>
    <w:p w14:paraId="322A38F0" w14:textId="77777777" w:rsidR="00443E1A" w:rsidRPr="00443E1A" w:rsidRDefault="00443E1A" w:rsidP="00BF3E35">
      <w:pPr>
        <w:spacing w:after="0" w:line="360" w:lineRule="auto"/>
        <w:jc w:val="both"/>
        <w:rPr>
          <w:rFonts w:ascii="Palatino Linotype" w:eastAsia="Calibri" w:hAnsi="Palatino Linotype"/>
          <w:sz w:val="24"/>
          <w:lang w:val="es-ES_tradnl"/>
        </w:rPr>
      </w:pPr>
    </w:p>
    <w:p w14:paraId="18D72210" w14:textId="77777777" w:rsidR="00443E1A" w:rsidRPr="00443E1A" w:rsidRDefault="00443E1A" w:rsidP="00BF3E35">
      <w:pPr>
        <w:spacing w:after="0" w:line="360" w:lineRule="auto"/>
        <w:jc w:val="both"/>
        <w:rPr>
          <w:rFonts w:ascii="Palatino Linotype" w:eastAsia="Calibri" w:hAnsi="Palatino Linotype"/>
          <w:sz w:val="24"/>
          <w:lang w:val="es-ES_tradnl"/>
        </w:rPr>
      </w:pPr>
      <w:r w:rsidRPr="00443E1A">
        <w:rPr>
          <w:rFonts w:ascii="Palatino Linotype" w:eastAsia="Calibri" w:hAnsi="Palatino Linotype"/>
          <w:sz w:val="24"/>
          <w:lang w:val="es-ES_tradnl"/>
        </w:rPr>
        <w:t xml:space="preserve">En tal sentido, la restricción al derecho de acceso a la información implica necesariamente una clasificación, la cual debe entenderse como el proceso mediante el cual el </w:t>
      </w:r>
      <w:r w:rsidRPr="00443E1A">
        <w:rPr>
          <w:rFonts w:ascii="Palatino Linotype" w:eastAsia="Calibri" w:hAnsi="Palatino Linotype"/>
          <w:b/>
          <w:sz w:val="24"/>
          <w:lang w:val="es-ES_tradnl"/>
        </w:rPr>
        <w:t>Sujeto Obligado</w:t>
      </w:r>
      <w:r w:rsidRPr="00443E1A">
        <w:rPr>
          <w:rFonts w:ascii="Palatino Linotype" w:eastAsia="Calibri" w:hAnsi="Palatino Linotype"/>
          <w:sz w:val="24"/>
          <w:lang w:val="es-ES_tradnl"/>
        </w:rPr>
        <w:t xml:space="preserve"> determina que </w:t>
      </w:r>
      <w:r w:rsidRPr="00443E1A">
        <w:rPr>
          <w:rFonts w:ascii="Palatino Linotype" w:eastAsia="Calibri" w:hAnsi="Palatino Linotype"/>
          <w:b/>
          <w:sz w:val="24"/>
          <w:lang w:val="es-ES_tradnl"/>
        </w:rPr>
        <w:t>la información en su poder</w:t>
      </w:r>
      <w:r w:rsidRPr="00443E1A">
        <w:rPr>
          <w:rFonts w:ascii="Palatino Linotype" w:eastAsia="Calibri" w:hAnsi="Palatino Linotype"/>
          <w:sz w:val="24"/>
          <w:lang w:val="es-ES_tradnl"/>
        </w:rPr>
        <w:t>, actualiza alguno de los supuestos de reserva o confidencialidad, de conformidad con las normas aplicables.</w:t>
      </w:r>
    </w:p>
    <w:p w14:paraId="10426F3F" w14:textId="77777777" w:rsidR="00443E1A" w:rsidRPr="00443E1A" w:rsidRDefault="00443E1A" w:rsidP="00BF3E35">
      <w:pPr>
        <w:spacing w:after="0" w:line="360" w:lineRule="auto"/>
        <w:jc w:val="both"/>
        <w:rPr>
          <w:rFonts w:ascii="Palatino Linotype" w:eastAsia="Calibri" w:hAnsi="Palatino Linotype"/>
          <w:sz w:val="24"/>
          <w:lang w:val="es-ES_tradnl"/>
        </w:rPr>
      </w:pPr>
    </w:p>
    <w:p w14:paraId="5FB27689" w14:textId="77777777" w:rsidR="00443E1A" w:rsidRPr="00443E1A" w:rsidRDefault="00443E1A" w:rsidP="00BF3E35">
      <w:pPr>
        <w:spacing w:after="0" w:line="360" w:lineRule="auto"/>
        <w:jc w:val="both"/>
        <w:rPr>
          <w:rFonts w:ascii="Palatino Linotype" w:eastAsia="Calibri" w:hAnsi="Palatino Linotype"/>
          <w:sz w:val="24"/>
          <w:lang w:val="es-ES_tradnl"/>
        </w:rPr>
      </w:pPr>
      <w:r w:rsidRPr="00443E1A">
        <w:rPr>
          <w:rFonts w:ascii="Palatino Linotype" w:eastAsia="Calibri" w:hAnsi="Palatino Linotype"/>
          <w:sz w:val="24"/>
          <w:lang w:val="es-ES_tradnl"/>
        </w:rPr>
        <w:t xml:space="preserve">En efecto, para los casos en los que los </w:t>
      </w:r>
      <w:r w:rsidRPr="00443E1A">
        <w:rPr>
          <w:rFonts w:ascii="Palatino Linotype" w:eastAsia="Calibri" w:hAnsi="Palatino Linotype"/>
          <w:b/>
          <w:sz w:val="24"/>
          <w:lang w:val="es-ES_tradnl"/>
        </w:rPr>
        <w:t>Sujetos Obligados</w:t>
      </w:r>
      <w:r w:rsidRPr="00443E1A">
        <w:rPr>
          <w:rFonts w:ascii="Palatino Linotype" w:eastAsia="Calibri" w:hAnsi="Palatino Linotype"/>
          <w:sz w:val="24"/>
          <w:lang w:val="es-ES_tradnl"/>
        </w:rPr>
        <w:t xml:space="preserve"> adviertan que la información no es susceptible de entregar por estimar que sobreviene una causal de clasificación, les compete la carga de la prueba mediante la debida fundamentación y motivación en el respectivo Acuerdo de Clasificación, ello encuentra sustento en el artículo 131 de la legislación vigente en la entidad, el cual versa de la siguiente manera: </w:t>
      </w:r>
    </w:p>
    <w:p w14:paraId="5C7A5DE1" w14:textId="77777777" w:rsidR="00443E1A" w:rsidRPr="00443E1A" w:rsidRDefault="00443E1A" w:rsidP="00BF3E35">
      <w:pPr>
        <w:spacing w:after="0" w:line="360" w:lineRule="auto"/>
        <w:jc w:val="both"/>
        <w:rPr>
          <w:rFonts w:ascii="Palatino Linotype" w:eastAsia="Calibri" w:hAnsi="Palatino Linotype"/>
          <w:sz w:val="24"/>
          <w:lang w:val="es-ES_tradnl"/>
        </w:rPr>
      </w:pPr>
    </w:p>
    <w:p w14:paraId="5D706118" w14:textId="77777777" w:rsidR="00443E1A" w:rsidRPr="00443E1A" w:rsidRDefault="00443E1A" w:rsidP="00BF3E35">
      <w:pPr>
        <w:spacing w:after="0" w:line="240" w:lineRule="auto"/>
        <w:ind w:left="567" w:right="567"/>
        <w:jc w:val="both"/>
        <w:rPr>
          <w:rFonts w:ascii="Palatino Linotype" w:eastAsia="Calibri" w:hAnsi="Palatino Linotype"/>
          <w:i/>
          <w:lang w:val="es-ES_tradnl"/>
        </w:rPr>
      </w:pPr>
      <w:r w:rsidRPr="00443E1A">
        <w:rPr>
          <w:rFonts w:ascii="Palatino Linotype" w:eastAsia="Calibri" w:hAnsi="Palatino Linotype"/>
          <w:i/>
          <w:lang w:val="es-ES_tradnl"/>
        </w:rPr>
        <w:t>“</w:t>
      </w:r>
      <w:r w:rsidRPr="00443E1A">
        <w:rPr>
          <w:rFonts w:ascii="Palatino Linotype" w:eastAsia="Calibri" w:hAnsi="Palatino Linotype"/>
          <w:b/>
          <w:i/>
          <w:lang w:val="es-ES_tradnl"/>
        </w:rPr>
        <w:t>Artículo 131.</w:t>
      </w:r>
      <w:r w:rsidRPr="00443E1A">
        <w:rPr>
          <w:rFonts w:ascii="Palatino Linotype" w:eastAsia="Calibri" w:hAnsi="Palatino Linotype"/>
          <w:i/>
          <w:lang w:val="es-ES_tradnl"/>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3B49C630" w14:textId="77777777" w:rsidR="00443E1A" w:rsidRPr="00443E1A" w:rsidRDefault="00443E1A" w:rsidP="00BF3E35">
      <w:pPr>
        <w:spacing w:after="0" w:line="360" w:lineRule="auto"/>
        <w:jc w:val="both"/>
        <w:rPr>
          <w:rFonts w:ascii="Palatino Linotype" w:eastAsia="Calibri" w:hAnsi="Palatino Linotype"/>
          <w:sz w:val="24"/>
          <w:lang w:val="es-ES_tradnl"/>
        </w:rPr>
      </w:pPr>
    </w:p>
    <w:p w14:paraId="1844EB91" w14:textId="77777777" w:rsidR="00443E1A" w:rsidRPr="00443E1A" w:rsidRDefault="00443E1A" w:rsidP="00BF3E35">
      <w:pPr>
        <w:spacing w:after="0" w:line="360" w:lineRule="auto"/>
        <w:jc w:val="both"/>
        <w:rPr>
          <w:rFonts w:ascii="Palatino Linotype" w:eastAsia="Calibri" w:hAnsi="Palatino Linotype" w:cs="Times New Roman"/>
          <w:sz w:val="24"/>
          <w:szCs w:val="24"/>
          <w:lang w:val="es-ES_tradnl" w:eastAsia="es-ES"/>
        </w:rPr>
      </w:pPr>
      <w:r w:rsidRPr="00443E1A">
        <w:rPr>
          <w:rFonts w:ascii="Palatino Linotype" w:eastAsia="Calibri" w:hAnsi="Palatino Linotype"/>
          <w:sz w:val="24"/>
          <w:lang w:val="es-ES_tradnl"/>
        </w:rPr>
        <w:t xml:space="preserve">Consideraciones de hecho y de derecho que concatenadas con los artículos </w:t>
      </w:r>
      <w:r w:rsidRPr="00443E1A">
        <w:rPr>
          <w:rFonts w:ascii="Palatino Linotype" w:eastAsia="Calibri" w:hAnsi="Palatino Linotype" w:cs="Times New Roman"/>
          <w:sz w:val="24"/>
          <w:szCs w:val="24"/>
          <w:lang w:val="es-ES_tradnl" w:eastAsia="es-ES"/>
        </w:rPr>
        <w:t xml:space="preserve">18 y 19 de la Ley de Transparencia y Acceso a la Información Pública del Estado de México y </w:t>
      </w:r>
      <w:r w:rsidRPr="00443E1A">
        <w:rPr>
          <w:rFonts w:ascii="Palatino Linotype" w:eastAsia="Calibri" w:hAnsi="Palatino Linotype" w:cs="Times New Roman"/>
          <w:sz w:val="24"/>
          <w:szCs w:val="24"/>
          <w:lang w:val="es-ES_tradnl" w:eastAsia="es-ES"/>
        </w:rPr>
        <w:lastRenderedPageBreak/>
        <w:t>Municipios</w:t>
      </w:r>
      <w:r w:rsidRPr="00443E1A">
        <w:rPr>
          <w:rFonts w:ascii="Palatino Linotype" w:eastAsia="Calibri" w:hAnsi="Palatino Linotype" w:cs="Times New Roman"/>
          <w:sz w:val="24"/>
          <w:szCs w:val="24"/>
          <w:vertAlign w:val="superscript"/>
          <w:lang w:val="es-ES_tradnl" w:eastAsia="es-ES"/>
        </w:rPr>
        <w:footnoteReference w:id="4"/>
      </w:r>
      <w:r w:rsidRPr="00443E1A">
        <w:rPr>
          <w:rFonts w:ascii="Palatino Linotype" w:eastAsia="Calibri" w:hAnsi="Palatino Linotype" w:cs="Times New Roman"/>
          <w:sz w:val="24"/>
          <w:szCs w:val="24"/>
          <w:lang w:val="es-ES_tradnl" w:eastAsia="es-ES"/>
        </w:rPr>
        <w:t xml:space="preserve">, relativos a la obligación de documentar todo acto de autoridad en ejercicio de sus facultades, funciones y atribuciones, así como la presunción de la existencia del soporte documental en que consta la información en comento, </w:t>
      </w:r>
      <w:r w:rsidRPr="00443E1A">
        <w:rPr>
          <w:rFonts w:ascii="Palatino Linotype" w:eastAsia="Calibri" w:hAnsi="Palatino Linotype" w:cs="Times New Roman"/>
          <w:b/>
          <w:sz w:val="24"/>
          <w:szCs w:val="24"/>
          <w:lang w:val="es-ES_tradnl" w:eastAsia="es-ES"/>
        </w:rPr>
        <w:t>sirven de sustento para tener por acreditada la existencia del soporte documental en que obre la información.</w:t>
      </w:r>
      <w:r w:rsidRPr="00443E1A">
        <w:rPr>
          <w:rFonts w:ascii="Palatino Linotype" w:eastAsia="Calibri" w:hAnsi="Palatino Linotype" w:cs="Times New Roman"/>
          <w:sz w:val="24"/>
          <w:szCs w:val="24"/>
          <w:lang w:val="es-ES_tradnl" w:eastAsia="es-ES"/>
        </w:rPr>
        <w:t xml:space="preserve"> </w:t>
      </w:r>
    </w:p>
    <w:p w14:paraId="270DE222" w14:textId="77777777" w:rsidR="00443E1A" w:rsidRPr="00443E1A" w:rsidRDefault="00443E1A" w:rsidP="00BF3E35">
      <w:pPr>
        <w:spacing w:after="0" w:line="360" w:lineRule="auto"/>
        <w:jc w:val="both"/>
        <w:rPr>
          <w:rFonts w:ascii="Palatino Linotype" w:eastAsia="Calibri" w:hAnsi="Palatino Linotype" w:cs="Times New Roman"/>
          <w:sz w:val="24"/>
          <w:szCs w:val="24"/>
          <w:lang w:val="es-ES_tradnl" w:eastAsia="es-ES"/>
        </w:rPr>
      </w:pPr>
    </w:p>
    <w:p w14:paraId="5AA8FEA1" w14:textId="77777777" w:rsidR="00443E1A" w:rsidRPr="00443E1A" w:rsidRDefault="00443E1A" w:rsidP="00BF3E35">
      <w:pPr>
        <w:spacing w:after="0" w:line="360" w:lineRule="auto"/>
        <w:jc w:val="both"/>
        <w:rPr>
          <w:rFonts w:ascii="Palatino Linotype" w:hAnsi="Palatino Linotype"/>
          <w:b/>
          <w:sz w:val="24"/>
          <w:szCs w:val="24"/>
        </w:rPr>
      </w:pPr>
      <w:r w:rsidRPr="00443E1A">
        <w:rPr>
          <w:rFonts w:ascii="Palatino Linotype" w:eastAsia="Calibri" w:hAnsi="Palatino Linotype"/>
          <w:sz w:val="24"/>
          <w:lang w:val="es-ES_tradnl"/>
        </w:rPr>
        <w:t xml:space="preserve">Hechas las precisiones anteriores, lo procedente es hacer estudio del acuerdo de clasificación que contiene la prueba de daño, a efecto de poder determinar si la misma cumple los requisitos de Ley. </w:t>
      </w:r>
      <w:r w:rsidRPr="00443E1A">
        <w:rPr>
          <w:rFonts w:ascii="Palatino Linotype" w:hAnsi="Palatino Linotype" w:cs="Arial"/>
          <w:sz w:val="24"/>
          <w:szCs w:val="24"/>
        </w:rPr>
        <w:t xml:space="preserve">Luego entonces, </w:t>
      </w:r>
      <w:r w:rsidRPr="00443E1A">
        <w:rPr>
          <w:rFonts w:ascii="Palatino Linotype" w:hAnsi="Palatino Linotype"/>
          <w:sz w:val="24"/>
          <w:szCs w:val="24"/>
        </w:rPr>
        <w:t xml:space="preserve">para realizar la reserva de la información, no basta con invocar alguna de las causales previstas en la Ley de transparencia local. Dicha valoración debe realizarse a través de lo que se conoce como </w:t>
      </w:r>
      <w:r w:rsidRPr="00443E1A">
        <w:rPr>
          <w:rFonts w:ascii="Palatino Linotype" w:hAnsi="Palatino Linotype"/>
          <w:b/>
          <w:i/>
          <w:sz w:val="24"/>
          <w:szCs w:val="24"/>
        </w:rPr>
        <w:t xml:space="preserve">“prueba de daño”, </w:t>
      </w:r>
      <w:r w:rsidRPr="00443E1A">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443E1A">
        <w:rPr>
          <w:sz w:val="24"/>
          <w:szCs w:val="24"/>
          <w:vertAlign w:val="superscript"/>
        </w:rPr>
        <w:footnoteReference w:id="5"/>
      </w:r>
      <w:r w:rsidRPr="00443E1A">
        <w:rPr>
          <w:rFonts w:ascii="Palatino Linotype" w:hAnsi="Palatino Linotype"/>
          <w:sz w:val="24"/>
          <w:szCs w:val="24"/>
        </w:rPr>
        <w:t>. Asimismo, ésta no debe basarse en meras especulaciones o suposiciones, sino en elementos objetivos que deban evaluar que existe un riego actual e inminente</w:t>
      </w:r>
      <w:r w:rsidRPr="00443E1A">
        <w:rPr>
          <w:sz w:val="24"/>
          <w:szCs w:val="24"/>
          <w:vertAlign w:val="superscript"/>
        </w:rPr>
        <w:footnoteReference w:id="6"/>
      </w:r>
      <w:r w:rsidRPr="00443E1A">
        <w:rPr>
          <w:rFonts w:ascii="Palatino Linotype" w:hAnsi="Palatino Linotype"/>
          <w:sz w:val="24"/>
          <w:szCs w:val="24"/>
        </w:rPr>
        <w:t>.</w:t>
      </w:r>
    </w:p>
    <w:p w14:paraId="203D3CE2" w14:textId="77777777" w:rsidR="00443E1A" w:rsidRPr="00443E1A" w:rsidRDefault="00443E1A" w:rsidP="00BF3E35">
      <w:pPr>
        <w:spacing w:after="0" w:line="360" w:lineRule="auto"/>
        <w:jc w:val="both"/>
        <w:rPr>
          <w:rFonts w:ascii="Palatino Linotype" w:hAnsi="Palatino Linotype"/>
          <w:color w:val="000000" w:themeColor="text1"/>
          <w:sz w:val="24"/>
          <w:szCs w:val="24"/>
        </w:rPr>
      </w:pPr>
    </w:p>
    <w:p w14:paraId="68556E22" w14:textId="77777777" w:rsidR="00443E1A" w:rsidRPr="00443E1A" w:rsidRDefault="00443E1A" w:rsidP="00BF3E35">
      <w:pPr>
        <w:spacing w:after="0" w:line="360" w:lineRule="auto"/>
        <w:jc w:val="both"/>
        <w:rPr>
          <w:rFonts w:ascii="Palatino Linotype" w:hAnsi="Palatino Linotype"/>
          <w:color w:val="000000" w:themeColor="text1"/>
          <w:sz w:val="24"/>
          <w:szCs w:val="24"/>
        </w:rPr>
      </w:pPr>
      <w:r w:rsidRPr="00443E1A">
        <w:rPr>
          <w:rFonts w:ascii="Palatino Linotype" w:hAnsi="Palatino Linotype"/>
          <w:color w:val="000000" w:themeColor="text1"/>
          <w:sz w:val="24"/>
          <w:szCs w:val="24"/>
        </w:rPr>
        <w:lastRenderedPageBreak/>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443E1A">
        <w:rPr>
          <w:rFonts w:ascii="Palatino Linotype" w:hAnsi="Palatino Linotype"/>
          <w:b/>
          <w:color w:val="000000" w:themeColor="text1"/>
          <w:sz w:val="24"/>
          <w:szCs w:val="24"/>
          <w:u w:val="single"/>
        </w:rPr>
        <w:t>sino de cada uno de los documentos que lo integran</w:t>
      </w:r>
      <w:r w:rsidRPr="00443E1A">
        <w:rPr>
          <w:rFonts w:ascii="Palatino Linotype" w:hAnsi="Palatino Linotype"/>
          <w:color w:val="000000" w:themeColor="text1"/>
          <w:sz w:val="24"/>
          <w:szCs w:val="24"/>
        </w:rPr>
        <w:t>.</w:t>
      </w:r>
    </w:p>
    <w:p w14:paraId="306F0BDC" w14:textId="77777777" w:rsidR="00443E1A" w:rsidRPr="00443E1A" w:rsidRDefault="00443E1A" w:rsidP="00BF3E35">
      <w:pPr>
        <w:spacing w:after="0" w:line="360" w:lineRule="auto"/>
        <w:jc w:val="both"/>
        <w:rPr>
          <w:rFonts w:ascii="Palatino Linotype" w:hAnsi="Palatino Linotype"/>
          <w:color w:val="000000" w:themeColor="text1"/>
          <w:sz w:val="24"/>
          <w:szCs w:val="24"/>
        </w:rPr>
      </w:pPr>
    </w:p>
    <w:p w14:paraId="2F26B3EA" w14:textId="77777777" w:rsidR="00443E1A" w:rsidRPr="00443E1A" w:rsidRDefault="00443E1A" w:rsidP="00BF3E35">
      <w:pPr>
        <w:spacing w:after="0" w:line="360" w:lineRule="auto"/>
        <w:jc w:val="both"/>
        <w:rPr>
          <w:rFonts w:ascii="Palatino Linotype" w:hAnsi="Palatino Linotype"/>
          <w:color w:val="000000" w:themeColor="text1"/>
          <w:sz w:val="24"/>
          <w:szCs w:val="24"/>
        </w:rPr>
      </w:pPr>
      <w:r w:rsidRPr="00443E1A">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7AD0EC4D" w14:textId="77777777" w:rsidR="00443E1A" w:rsidRDefault="00443E1A" w:rsidP="00BF3E35">
      <w:pPr>
        <w:spacing w:after="0" w:line="360" w:lineRule="auto"/>
        <w:jc w:val="both"/>
        <w:rPr>
          <w:rFonts w:ascii="Palatino Linotype" w:hAnsi="Palatino Linotype"/>
          <w:color w:val="000000" w:themeColor="text1"/>
          <w:sz w:val="24"/>
          <w:szCs w:val="24"/>
        </w:rPr>
      </w:pPr>
    </w:p>
    <w:p w14:paraId="3C062D13" w14:textId="77777777" w:rsidR="00443E1A" w:rsidRPr="005909B1" w:rsidRDefault="00443E1A" w:rsidP="00BF3E35">
      <w:pPr>
        <w:pStyle w:val="Prrafodelista"/>
        <w:widowControl w:val="0"/>
        <w:numPr>
          <w:ilvl w:val="0"/>
          <w:numId w:val="6"/>
        </w:numPr>
        <w:autoSpaceDE w:val="0"/>
        <w:autoSpaceDN w:val="0"/>
        <w:adjustRightInd w:val="0"/>
        <w:spacing w:line="360" w:lineRule="auto"/>
        <w:ind w:left="851"/>
        <w:jc w:val="both"/>
        <w:rPr>
          <w:rFonts w:ascii="Palatino Linotype" w:hAnsi="Palatino Linotype" w:cs="Bookman Old Style"/>
          <w:color w:val="000000" w:themeColor="text1"/>
          <w:lang w:val="es-ES_tradnl"/>
        </w:rPr>
      </w:pPr>
      <w:r w:rsidRPr="005909B1">
        <w:rPr>
          <w:rFonts w:ascii="Palatino Linotype" w:hAnsi="Palatino Linotype" w:cs="Bookman Old Style"/>
          <w:color w:val="000000" w:themeColor="text1"/>
          <w:lang w:val="es-ES_tradnl"/>
        </w:rPr>
        <w:t xml:space="preserve">La divulgación de la información representa un </w:t>
      </w:r>
      <w:r w:rsidRPr="005909B1">
        <w:rPr>
          <w:rFonts w:ascii="Palatino Linotype" w:hAnsi="Palatino Linotype" w:cs="Bookman Old Style"/>
          <w:b/>
          <w:color w:val="000000" w:themeColor="text1"/>
          <w:lang w:val="es-ES_tradnl"/>
        </w:rPr>
        <w:t>riesgo real, demostrable e identificable</w:t>
      </w:r>
      <w:r w:rsidRPr="005909B1">
        <w:rPr>
          <w:rFonts w:ascii="Palatino Linotype" w:hAnsi="Palatino Linotype" w:cs="Bookman Old Style"/>
          <w:color w:val="000000" w:themeColor="text1"/>
          <w:lang w:val="es-ES_tradnl"/>
        </w:rPr>
        <w:t xml:space="preserve"> del perjuicio significativo al interés público o a la seguridad pública; </w:t>
      </w:r>
    </w:p>
    <w:p w14:paraId="53FC0958" w14:textId="77777777" w:rsidR="00443E1A" w:rsidRPr="005909B1" w:rsidRDefault="00443E1A" w:rsidP="00BF3E35">
      <w:pPr>
        <w:pStyle w:val="Prrafodelista"/>
        <w:widowControl w:val="0"/>
        <w:numPr>
          <w:ilvl w:val="0"/>
          <w:numId w:val="6"/>
        </w:numPr>
        <w:autoSpaceDE w:val="0"/>
        <w:autoSpaceDN w:val="0"/>
        <w:adjustRightInd w:val="0"/>
        <w:spacing w:line="360" w:lineRule="auto"/>
        <w:ind w:left="851"/>
        <w:jc w:val="both"/>
        <w:rPr>
          <w:rFonts w:ascii="Palatino Linotype" w:hAnsi="Palatino Linotype" w:cs="Bookman Old Style"/>
          <w:color w:val="000000" w:themeColor="text1"/>
          <w:lang w:val="es-ES_tradnl"/>
        </w:rPr>
      </w:pPr>
      <w:r w:rsidRPr="005909B1">
        <w:rPr>
          <w:rFonts w:ascii="Palatino Linotype" w:hAnsi="Palatino Linotype" w:cs="Bookman Old Style"/>
          <w:b/>
          <w:color w:val="000000" w:themeColor="text1"/>
          <w:lang w:val="es-ES_tradnl"/>
        </w:rPr>
        <w:t>El riesgo</w:t>
      </w:r>
      <w:r w:rsidRPr="005909B1">
        <w:rPr>
          <w:rFonts w:ascii="Palatino Linotype" w:hAnsi="Palatino Linotype" w:cs="Bookman Old Style"/>
          <w:color w:val="000000" w:themeColor="text1"/>
          <w:lang w:val="es-ES_tradnl"/>
        </w:rPr>
        <w:t xml:space="preserve"> de perjuicio que supondría la divulgación </w:t>
      </w:r>
      <w:r w:rsidRPr="005909B1">
        <w:rPr>
          <w:rFonts w:ascii="Palatino Linotype" w:hAnsi="Palatino Linotype" w:cs="Bookman Old Style"/>
          <w:b/>
          <w:color w:val="000000" w:themeColor="text1"/>
          <w:lang w:val="es-ES_tradnl"/>
        </w:rPr>
        <w:t>supera el interés público</w:t>
      </w:r>
      <w:r w:rsidRPr="005909B1">
        <w:rPr>
          <w:rFonts w:ascii="Palatino Linotype" w:hAnsi="Palatino Linotype" w:cs="Bookman Old Style"/>
          <w:color w:val="000000" w:themeColor="text1"/>
          <w:lang w:val="es-ES_tradnl"/>
        </w:rPr>
        <w:t xml:space="preserve"> general de que se difunda; y </w:t>
      </w:r>
    </w:p>
    <w:p w14:paraId="06FF4DD6" w14:textId="77777777" w:rsidR="00443E1A" w:rsidRPr="005909B1" w:rsidRDefault="00443E1A" w:rsidP="00BF3E35">
      <w:pPr>
        <w:pStyle w:val="Prrafodelista"/>
        <w:widowControl w:val="0"/>
        <w:numPr>
          <w:ilvl w:val="0"/>
          <w:numId w:val="6"/>
        </w:numPr>
        <w:autoSpaceDE w:val="0"/>
        <w:autoSpaceDN w:val="0"/>
        <w:adjustRightInd w:val="0"/>
        <w:spacing w:line="360" w:lineRule="auto"/>
        <w:ind w:left="851"/>
        <w:jc w:val="both"/>
        <w:rPr>
          <w:rFonts w:ascii="Palatino Linotype" w:hAnsi="Palatino Linotype" w:cs="Times"/>
          <w:color w:val="000000" w:themeColor="text1"/>
          <w:lang w:val="es-ES_tradnl"/>
        </w:rPr>
      </w:pPr>
      <w:r w:rsidRPr="005909B1">
        <w:rPr>
          <w:rFonts w:ascii="Palatino Linotype" w:hAnsi="Palatino Linotype" w:cs="Bookman Old Style"/>
          <w:b/>
          <w:color w:val="000000" w:themeColor="text1"/>
          <w:lang w:val="es-ES_tradnl"/>
        </w:rPr>
        <w:t>La limitación se adecua al principio de proporcionalidad</w:t>
      </w:r>
      <w:r w:rsidRPr="005909B1">
        <w:rPr>
          <w:rFonts w:ascii="Palatino Linotype" w:hAnsi="Palatino Linotype" w:cs="Bookman Old Style"/>
          <w:color w:val="000000" w:themeColor="text1"/>
          <w:lang w:val="es-ES_tradnl"/>
        </w:rPr>
        <w:t xml:space="preserve"> y representa el medio menos restrictivo disponible para evitar el perjuicio. </w:t>
      </w:r>
    </w:p>
    <w:p w14:paraId="0B59CE8E" w14:textId="77777777" w:rsidR="00293081" w:rsidRDefault="00293081" w:rsidP="00BF3E35">
      <w:pPr>
        <w:spacing w:after="0" w:line="360" w:lineRule="auto"/>
        <w:jc w:val="both"/>
        <w:rPr>
          <w:rFonts w:ascii="Palatino Linotype" w:hAnsi="Palatino Linotype"/>
          <w:color w:val="000000" w:themeColor="text1"/>
          <w:sz w:val="24"/>
          <w:szCs w:val="24"/>
        </w:rPr>
      </w:pPr>
    </w:p>
    <w:p w14:paraId="0F55DFD3" w14:textId="77777777" w:rsidR="00443E1A" w:rsidRPr="00443E1A" w:rsidRDefault="00443E1A" w:rsidP="00BF3E35">
      <w:pPr>
        <w:spacing w:after="0" w:line="360" w:lineRule="auto"/>
        <w:jc w:val="both"/>
        <w:rPr>
          <w:rFonts w:ascii="Palatino Linotype" w:hAnsi="Palatino Linotype"/>
          <w:color w:val="000000" w:themeColor="text1"/>
          <w:sz w:val="24"/>
          <w:szCs w:val="24"/>
        </w:rPr>
      </w:pPr>
      <w:r w:rsidRPr="00443E1A">
        <w:rPr>
          <w:rFonts w:ascii="Palatino Linotype" w:hAnsi="Palatino Linotype"/>
          <w:color w:val="000000" w:themeColor="text1"/>
          <w:sz w:val="24"/>
          <w:szCs w:val="24"/>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w:t>
      </w:r>
      <w:r w:rsidRPr="00443E1A">
        <w:rPr>
          <w:rFonts w:ascii="Palatino Linotype" w:hAnsi="Palatino Linotype"/>
          <w:color w:val="000000" w:themeColor="text1"/>
          <w:sz w:val="24"/>
          <w:szCs w:val="24"/>
        </w:rPr>
        <w:lastRenderedPageBreak/>
        <w:t>partir de proporcionar datos necesarios para reconocer el daño, perjuicio o lesión que provocaría a un interés público o a la seguridad pública.</w:t>
      </w:r>
    </w:p>
    <w:p w14:paraId="6C786B01" w14:textId="77777777" w:rsidR="00443E1A" w:rsidRPr="00443E1A" w:rsidRDefault="00443E1A" w:rsidP="00BF3E35">
      <w:pPr>
        <w:spacing w:after="0" w:line="360" w:lineRule="auto"/>
        <w:jc w:val="both"/>
        <w:rPr>
          <w:rFonts w:ascii="Palatino Linotype" w:hAnsi="Palatino Linotype"/>
          <w:color w:val="000000" w:themeColor="text1"/>
          <w:sz w:val="24"/>
          <w:szCs w:val="24"/>
        </w:rPr>
      </w:pPr>
    </w:p>
    <w:p w14:paraId="62ADFEE5" w14:textId="77777777" w:rsidR="00443E1A" w:rsidRPr="00443E1A" w:rsidRDefault="00443E1A" w:rsidP="00BF3E35">
      <w:pPr>
        <w:spacing w:after="0" w:line="360" w:lineRule="auto"/>
        <w:jc w:val="both"/>
        <w:rPr>
          <w:rFonts w:ascii="Palatino Linotype" w:hAnsi="Palatino Linotype"/>
          <w:color w:val="000000" w:themeColor="text1"/>
          <w:sz w:val="24"/>
          <w:szCs w:val="24"/>
        </w:rPr>
      </w:pPr>
      <w:r w:rsidRPr="00443E1A">
        <w:rPr>
          <w:rFonts w:ascii="Palatino Linotype" w:hAnsi="Palatino Linotype"/>
          <w:color w:val="000000" w:themeColor="text1"/>
          <w:sz w:val="24"/>
          <w:szCs w:val="24"/>
        </w:rPr>
        <w:t>Identificado ese riesgo, se debe demostrar que el mismo supera el interés público general porque se difunda dicha información. Y, por último, que la limitación es acorde con el principio de proporcionalidad, para ello, se sugiere emplear los tres juicios propuestos por la Corte Constitucional Colombiana</w:t>
      </w:r>
      <w:r w:rsidRPr="00443E1A">
        <w:rPr>
          <w:rFonts w:ascii="Palatino Linotype" w:hAnsi="Palatino Linotype"/>
          <w:color w:val="000000" w:themeColor="text1"/>
          <w:vertAlign w:val="superscript"/>
        </w:rPr>
        <w:footnoteReference w:id="7"/>
      </w:r>
      <w:r w:rsidRPr="00443E1A">
        <w:rPr>
          <w:rFonts w:ascii="Palatino Linotype" w:hAnsi="Palatino Linotype"/>
          <w:color w:val="000000" w:themeColor="text1"/>
          <w:sz w:val="24"/>
          <w:szCs w:val="24"/>
        </w:rPr>
        <w:t>, siguiendo el principio de ponderación propuesto por el Tribunal Constitucional Alemán,</w:t>
      </w:r>
      <w:r w:rsidRPr="00443E1A">
        <w:rPr>
          <w:rFonts w:ascii="Palatino Linotype" w:hAnsi="Palatino Linotype"/>
          <w:color w:val="000000" w:themeColor="text1"/>
          <w:vertAlign w:val="superscript"/>
        </w:rPr>
        <w:footnoteReference w:id="8"/>
      </w:r>
      <w:r w:rsidRPr="00443E1A">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8188902" w14:textId="77777777" w:rsidR="00443E1A" w:rsidRPr="00443E1A" w:rsidRDefault="00443E1A" w:rsidP="00BF3E35">
      <w:pPr>
        <w:spacing w:after="0" w:line="360" w:lineRule="auto"/>
        <w:jc w:val="both"/>
        <w:rPr>
          <w:rFonts w:ascii="Palatino Linotype" w:hAnsi="Palatino Linotype"/>
          <w:color w:val="000000" w:themeColor="text1"/>
          <w:sz w:val="24"/>
          <w:szCs w:val="24"/>
        </w:rPr>
      </w:pPr>
    </w:p>
    <w:p w14:paraId="704CE831" w14:textId="77777777" w:rsidR="00443E1A" w:rsidRPr="00443E1A" w:rsidRDefault="00443E1A" w:rsidP="00BF3E35">
      <w:pPr>
        <w:spacing w:after="0" w:line="360" w:lineRule="auto"/>
        <w:jc w:val="both"/>
        <w:rPr>
          <w:rFonts w:ascii="Palatino Linotype" w:hAnsi="Palatino Linotype"/>
          <w:color w:val="000000" w:themeColor="text1"/>
          <w:sz w:val="24"/>
          <w:szCs w:val="24"/>
        </w:rPr>
      </w:pPr>
      <w:r w:rsidRPr="00443E1A">
        <w:rPr>
          <w:rFonts w:ascii="Palatino Linotype" w:hAnsi="Palatino Linotype"/>
          <w:color w:val="000000" w:themeColor="text1"/>
          <w:sz w:val="24"/>
          <w:szCs w:val="24"/>
        </w:rPr>
        <w:lastRenderedPageBreak/>
        <w:t xml:space="preserve">Es así, </w:t>
      </w:r>
      <w:proofErr w:type="gramStart"/>
      <w:r w:rsidRPr="00443E1A">
        <w:rPr>
          <w:rFonts w:ascii="Palatino Linotype" w:hAnsi="Palatino Linotype"/>
          <w:color w:val="000000" w:themeColor="text1"/>
          <w:sz w:val="24"/>
          <w:szCs w:val="24"/>
        </w:rPr>
        <w:t>que</w:t>
      </w:r>
      <w:proofErr w:type="gramEnd"/>
      <w:r w:rsidRPr="00443E1A">
        <w:rPr>
          <w:rFonts w:ascii="Palatino Linotype" w:hAnsi="Palatino Linotype"/>
          <w:color w:val="000000" w:themeColor="text1"/>
          <w:sz w:val="24"/>
          <w:szCs w:val="24"/>
        </w:rPr>
        <w:t xml:space="preserve"> al configurarse tales requisitos, se otorga certidumbre jurídica y se protege la esfera más íntima del derecho humano constitucional y convencionalmente reconocido. </w:t>
      </w:r>
    </w:p>
    <w:p w14:paraId="5174912B" w14:textId="77777777" w:rsidR="00443E1A" w:rsidRPr="00443E1A" w:rsidRDefault="00443E1A" w:rsidP="00BF3E35">
      <w:pPr>
        <w:spacing w:after="0" w:line="360" w:lineRule="auto"/>
        <w:jc w:val="both"/>
        <w:rPr>
          <w:rFonts w:ascii="Palatino Linotype" w:hAnsi="Palatino Linotype"/>
          <w:sz w:val="24"/>
          <w:szCs w:val="24"/>
          <w:lang w:val="es-ES"/>
        </w:rPr>
      </w:pPr>
    </w:p>
    <w:p w14:paraId="7FF1F1B7" w14:textId="77777777" w:rsidR="00443E1A" w:rsidRDefault="00443E1A" w:rsidP="00BF3E35">
      <w:pPr>
        <w:spacing w:after="0" w:line="360" w:lineRule="auto"/>
        <w:jc w:val="both"/>
        <w:rPr>
          <w:rFonts w:ascii="Palatino Linotype" w:hAnsi="Palatino Linotype"/>
          <w:sz w:val="24"/>
          <w:szCs w:val="24"/>
        </w:rPr>
      </w:pPr>
      <w:r w:rsidRPr="00443E1A">
        <w:rPr>
          <w:rFonts w:ascii="Palatino Linotype" w:hAnsi="Palatino Linotype"/>
          <w:sz w:val="24"/>
          <w:szCs w:val="24"/>
        </w:rPr>
        <w:t xml:space="preserve">En virtud de lo anterior, se desprende que los Acuerdos de </w:t>
      </w:r>
      <w:r w:rsidRPr="005909B1">
        <w:rPr>
          <w:rFonts w:ascii="Palatino Linotype" w:hAnsi="Palatino Linotype"/>
          <w:sz w:val="24"/>
          <w:szCs w:val="24"/>
        </w:rPr>
        <w:t>Reserva deberán de cumplir parámetros de forma y fondo, los cuales se abordan a continuación:</w:t>
      </w:r>
    </w:p>
    <w:p w14:paraId="7FD2E42D" w14:textId="77777777" w:rsidR="00DA4C40" w:rsidRPr="00443E1A" w:rsidRDefault="00DA4C40" w:rsidP="00BF3E35">
      <w:pPr>
        <w:spacing w:after="0" w:line="360" w:lineRule="auto"/>
        <w:jc w:val="both"/>
        <w:rPr>
          <w:rFonts w:ascii="Palatino Linotype" w:hAnsi="Palatino Linotype"/>
          <w:sz w:val="24"/>
          <w:szCs w:val="24"/>
        </w:rPr>
      </w:pPr>
    </w:p>
    <w:tbl>
      <w:tblPr>
        <w:tblStyle w:val="Tablaconcuadrcula1"/>
        <w:tblW w:w="9072" w:type="dxa"/>
        <w:tblLayout w:type="fixed"/>
        <w:tblLook w:val="04A0" w:firstRow="1" w:lastRow="0" w:firstColumn="1" w:lastColumn="0" w:noHBand="0" w:noVBand="1"/>
      </w:tblPr>
      <w:tblGrid>
        <w:gridCol w:w="1560"/>
        <w:gridCol w:w="1417"/>
        <w:gridCol w:w="6095"/>
      </w:tblGrid>
      <w:tr w:rsidR="00443E1A" w:rsidRPr="00BF3E35" w14:paraId="535C868F" w14:textId="77777777" w:rsidTr="005909B1">
        <w:tc>
          <w:tcPr>
            <w:tcW w:w="1560" w:type="dxa"/>
            <w:tcBorders>
              <w:top w:val="nil"/>
              <w:left w:val="nil"/>
            </w:tcBorders>
          </w:tcPr>
          <w:p w14:paraId="5888855D" w14:textId="77777777" w:rsidR="00443E1A" w:rsidRPr="00BF3E35" w:rsidRDefault="00443E1A" w:rsidP="00BF3E35">
            <w:pPr>
              <w:ind w:left="47"/>
              <w:jc w:val="both"/>
              <w:rPr>
                <w:rFonts w:ascii="Palatino Linotype" w:eastAsia="Times New Roman" w:hAnsi="Palatino Linotype" w:cs="Times New Roman"/>
                <w:b/>
                <w:sz w:val="20"/>
                <w:szCs w:val="20"/>
                <w:lang w:val="es-ES" w:eastAsia="es-ES"/>
              </w:rPr>
            </w:pPr>
          </w:p>
        </w:tc>
        <w:tc>
          <w:tcPr>
            <w:tcW w:w="1417" w:type="dxa"/>
            <w:tcBorders>
              <w:bottom w:val="single" w:sz="4" w:space="0" w:color="auto"/>
            </w:tcBorders>
            <w:shd w:val="clear" w:color="auto" w:fill="BFBFBF" w:themeFill="background1" w:themeFillShade="BF"/>
            <w:vAlign w:val="bottom"/>
          </w:tcPr>
          <w:p w14:paraId="087113BC" w14:textId="77777777" w:rsidR="00443E1A" w:rsidRPr="00BF3E35" w:rsidRDefault="00443E1A" w:rsidP="00BF3E35">
            <w:pPr>
              <w:ind w:left="47"/>
              <w:jc w:val="center"/>
              <w:rPr>
                <w:rFonts w:ascii="Palatino Linotype" w:eastAsia="Times New Roman" w:hAnsi="Palatino Linotype" w:cs="Times New Roman"/>
                <w:b/>
                <w:sz w:val="20"/>
                <w:szCs w:val="20"/>
                <w:lang w:val="es-ES" w:eastAsia="es-ES"/>
              </w:rPr>
            </w:pPr>
            <w:r w:rsidRPr="00BF3E35">
              <w:rPr>
                <w:rFonts w:ascii="Palatino Linotype" w:eastAsia="Times New Roman" w:hAnsi="Palatino Linotype" w:cs="Times New Roman"/>
                <w:b/>
                <w:sz w:val="20"/>
                <w:szCs w:val="20"/>
                <w:lang w:val="es-ES" w:eastAsia="es-ES"/>
              </w:rPr>
              <w:t>Cumplió:</w:t>
            </w:r>
          </w:p>
        </w:tc>
        <w:tc>
          <w:tcPr>
            <w:tcW w:w="6095" w:type="dxa"/>
            <w:tcBorders>
              <w:bottom w:val="single" w:sz="4" w:space="0" w:color="auto"/>
            </w:tcBorders>
            <w:shd w:val="clear" w:color="auto" w:fill="BFBFBF" w:themeFill="background1" w:themeFillShade="BF"/>
            <w:vAlign w:val="bottom"/>
          </w:tcPr>
          <w:p w14:paraId="750EC9B1" w14:textId="77777777" w:rsidR="00443E1A" w:rsidRPr="00BF3E35" w:rsidRDefault="00443E1A" w:rsidP="00BF3E35">
            <w:pPr>
              <w:ind w:left="47"/>
              <w:jc w:val="center"/>
              <w:rPr>
                <w:rFonts w:ascii="Palatino Linotype" w:eastAsia="Times New Roman" w:hAnsi="Palatino Linotype" w:cs="Times New Roman"/>
                <w:b/>
                <w:sz w:val="20"/>
                <w:szCs w:val="20"/>
                <w:lang w:val="es-ES" w:eastAsia="es-ES"/>
              </w:rPr>
            </w:pPr>
            <w:r w:rsidRPr="00BF3E35">
              <w:rPr>
                <w:rFonts w:ascii="Palatino Linotype" w:eastAsia="Times New Roman" w:hAnsi="Palatino Linotype" w:cs="Times New Roman"/>
                <w:b/>
                <w:sz w:val="20"/>
                <w:szCs w:val="20"/>
                <w:lang w:val="es-ES" w:eastAsia="es-ES"/>
              </w:rPr>
              <w:t>Contenido</w:t>
            </w:r>
          </w:p>
        </w:tc>
      </w:tr>
      <w:tr w:rsidR="00443E1A" w:rsidRPr="00BF3E35" w14:paraId="0177E3DE" w14:textId="77777777" w:rsidTr="005909B1">
        <w:tc>
          <w:tcPr>
            <w:tcW w:w="1560" w:type="dxa"/>
            <w:shd w:val="clear" w:color="auto" w:fill="D5DCE4" w:themeFill="text2" w:themeFillTint="33"/>
            <w:vAlign w:val="center"/>
          </w:tcPr>
          <w:p w14:paraId="1FA2EE26" w14:textId="77777777" w:rsidR="00443E1A" w:rsidRPr="00BF3E35" w:rsidRDefault="00443E1A" w:rsidP="00BF3E35">
            <w:pPr>
              <w:jc w:val="center"/>
              <w:rPr>
                <w:rFonts w:ascii="Palatino Linotype" w:hAnsi="Palatino Linotype"/>
                <w:b/>
                <w:sz w:val="18"/>
                <w:szCs w:val="20"/>
              </w:rPr>
            </w:pPr>
            <w:r w:rsidRPr="00BF3E35">
              <w:rPr>
                <w:rFonts w:ascii="Palatino Linotype" w:hAnsi="Palatino Linotype"/>
                <w:b/>
                <w:sz w:val="18"/>
                <w:szCs w:val="20"/>
              </w:rPr>
              <w:t>Número de folio de la solicitud</w:t>
            </w:r>
          </w:p>
        </w:tc>
        <w:tc>
          <w:tcPr>
            <w:tcW w:w="1417" w:type="dxa"/>
            <w:tcBorders>
              <w:top w:val="single" w:sz="4" w:space="0" w:color="auto"/>
            </w:tcBorders>
            <w:shd w:val="clear" w:color="auto" w:fill="D5DCE4" w:themeFill="text2" w:themeFillTint="33"/>
            <w:vAlign w:val="center"/>
          </w:tcPr>
          <w:p w14:paraId="4896E53F" w14:textId="77777777" w:rsidR="00443E1A" w:rsidRPr="00BF3E35" w:rsidRDefault="00443E1A" w:rsidP="00BF3E35">
            <w:pPr>
              <w:ind w:left="47"/>
              <w:jc w:val="center"/>
              <w:rPr>
                <w:rFonts w:ascii="Palatino Linotype" w:hAnsi="Palatino Linotype"/>
                <w:b/>
                <w:sz w:val="20"/>
                <w:szCs w:val="20"/>
              </w:rPr>
            </w:pPr>
            <w:r w:rsidRPr="00BF3E35">
              <w:rPr>
                <w:rFonts w:ascii="Palatino Linotype" w:hAnsi="Palatino Linotype"/>
                <w:b/>
                <w:sz w:val="20"/>
                <w:szCs w:val="20"/>
              </w:rPr>
              <w:t>Si</w:t>
            </w:r>
          </w:p>
        </w:tc>
        <w:tc>
          <w:tcPr>
            <w:tcW w:w="6095" w:type="dxa"/>
            <w:tcBorders>
              <w:top w:val="single" w:sz="4" w:space="0" w:color="auto"/>
            </w:tcBorders>
            <w:shd w:val="clear" w:color="auto" w:fill="D5DCE4" w:themeFill="text2" w:themeFillTint="33"/>
            <w:vAlign w:val="center"/>
          </w:tcPr>
          <w:p w14:paraId="5FE579A0" w14:textId="77777777" w:rsidR="00443E1A" w:rsidRPr="00BF3E35" w:rsidRDefault="00443E1A" w:rsidP="00BF3E35">
            <w:pPr>
              <w:ind w:left="-115"/>
              <w:jc w:val="both"/>
              <w:rPr>
                <w:rFonts w:ascii="Palatino Linotype" w:hAnsi="Palatino Linotype"/>
                <w:sz w:val="20"/>
                <w:szCs w:val="20"/>
              </w:rPr>
            </w:pPr>
            <w:r w:rsidRPr="00BF3E35">
              <w:rPr>
                <w:rFonts w:ascii="Palatino Linotype" w:hAnsi="Palatino Linotype"/>
                <w:sz w:val="20"/>
                <w:szCs w:val="20"/>
              </w:rPr>
              <w:t>“…para atender la</w:t>
            </w:r>
            <w:r w:rsidR="005909B1" w:rsidRPr="00BF3E35">
              <w:rPr>
                <w:rFonts w:ascii="Palatino Linotype" w:hAnsi="Palatino Linotype"/>
                <w:sz w:val="20"/>
                <w:szCs w:val="20"/>
              </w:rPr>
              <w:t>s</w:t>
            </w:r>
            <w:r w:rsidRPr="00BF3E35">
              <w:rPr>
                <w:rFonts w:ascii="Palatino Linotype" w:hAnsi="Palatino Linotype"/>
                <w:sz w:val="20"/>
                <w:szCs w:val="20"/>
              </w:rPr>
              <w:t xml:space="preserve"> solicitud</w:t>
            </w:r>
            <w:r w:rsidR="005909B1" w:rsidRPr="00BF3E35">
              <w:rPr>
                <w:rFonts w:ascii="Palatino Linotype" w:hAnsi="Palatino Linotype"/>
                <w:sz w:val="20"/>
                <w:szCs w:val="20"/>
              </w:rPr>
              <w:t>es de información…</w:t>
            </w:r>
            <w:r w:rsidRPr="00BF3E35">
              <w:rPr>
                <w:rFonts w:ascii="Palatino Linotype" w:hAnsi="Palatino Linotype"/>
                <w:sz w:val="20"/>
                <w:szCs w:val="20"/>
              </w:rPr>
              <w:t xml:space="preserve"> 00</w:t>
            </w:r>
            <w:r w:rsidR="005909B1" w:rsidRPr="00BF3E35">
              <w:rPr>
                <w:rFonts w:ascii="Palatino Linotype" w:hAnsi="Palatino Linotype"/>
                <w:sz w:val="20"/>
                <w:szCs w:val="20"/>
              </w:rPr>
              <w:t>124/TOLUCA/IP/2023</w:t>
            </w:r>
            <w:r w:rsidRPr="00BF3E35">
              <w:rPr>
                <w:rFonts w:ascii="Palatino Linotype" w:hAnsi="Palatino Linotype"/>
                <w:sz w:val="20"/>
                <w:szCs w:val="20"/>
              </w:rPr>
              <w:t>…”</w:t>
            </w:r>
          </w:p>
        </w:tc>
      </w:tr>
      <w:tr w:rsidR="00443E1A" w:rsidRPr="00BF3E35" w14:paraId="14A372E8" w14:textId="77777777" w:rsidTr="005909B1">
        <w:tc>
          <w:tcPr>
            <w:tcW w:w="1560" w:type="dxa"/>
            <w:shd w:val="clear" w:color="auto" w:fill="F2F2F2" w:themeFill="background1" w:themeFillShade="F2"/>
            <w:vAlign w:val="center"/>
          </w:tcPr>
          <w:p w14:paraId="6F6D6EF9" w14:textId="77777777" w:rsidR="00443E1A" w:rsidRPr="00BF3E35" w:rsidRDefault="00443E1A" w:rsidP="00BF3E35">
            <w:pPr>
              <w:jc w:val="center"/>
              <w:rPr>
                <w:rFonts w:ascii="Palatino Linotype" w:hAnsi="Palatino Linotype"/>
                <w:b/>
                <w:sz w:val="18"/>
                <w:szCs w:val="20"/>
              </w:rPr>
            </w:pPr>
            <w:r w:rsidRPr="00BF3E35">
              <w:rPr>
                <w:rFonts w:ascii="Palatino Linotype" w:hAnsi="Palatino Linotype"/>
                <w:b/>
                <w:sz w:val="18"/>
                <w:szCs w:val="20"/>
              </w:rPr>
              <w:t>Referencia de la información solicitada</w:t>
            </w:r>
          </w:p>
        </w:tc>
        <w:tc>
          <w:tcPr>
            <w:tcW w:w="1417" w:type="dxa"/>
            <w:shd w:val="clear" w:color="auto" w:fill="F2F2F2" w:themeFill="background1" w:themeFillShade="F2"/>
            <w:vAlign w:val="center"/>
          </w:tcPr>
          <w:p w14:paraId="5447308E" w14:textId="77777777" w:rsidR="00443E1A" w:rsidRPr="00BF3E35" w:rsidRDefault="00443E1A" w:rsidP="00BF3E35">
            <w:pPr>
              <w:ind w:left="47"/>
              <w:jc w:val="center"/>
              <w:rPr>
                <w:rFonts w:ascii="Palatino Linotype" w:hAnsi="Palatino Linotype"/>
                <w:b/>
                <w:sz w:val="20"/>
                <w:szCs w:val="20"/>
              </w:rPr>
            </w:pPr>
            <w:r w:rsidRPr="00BF3E35">
              <w:rPr>
                <w:rFonts w:ascii="Palatino Linotype" w:hAnsi="Palatino Linotype"/>
                <w:b/>
                <w:sz w:val="20"/>
                <w:szCs w:val="20"/>
              </w:rPr>
              <w:t>Sí</w:t>
            </w:r>
          </w:p>
        </w:tc>
        <w:tc>
          <w:tcPr>
            <w:tcW w:w="6095" w:type="dxa"/>
            <w:shd w:val="clear" w:color="auto" w:fill="F2F2F2" w:themeFill="background1" w:themeFillShade="F2"/>
            <w:vAlign w:val="center"/>
          </w:tcPr>
          <w:p w14:paraId="4A1EA4C2" w14:textId="77777777" w:rsidR="00443E1A" w:rsidRPr="00BF3E35" w:rsidRDefault="00443E1A" w:rsidP="00BF3E35">
            <w:pPr>
              <w:jc w:val="both"/>
              <w:rPr>
                <w:rFonts w:ascii="Palatino Linotype" w:hAnsi="Palatino Linotype"/>
                <w:sz w:val="20"/>
                <w:szCs w:val="20"/>
              </w:rPr>
            </w:pPr>
            <w:r w:rsidRPr="00BF3E35">
              <w:rPr>
                <w:rFonts w:ascii="Palatino Linotype" w:hAnsi="Palatino Linotype"/>
                <w:i/>
                <w:sz w:val="20"/>
                <w:szCs w:val="20"/>
                <w:lang w:val="es-ES_tradnl"/>
              </w:rPr>
              <w:t>“…</w:t>
            </w:r>
            <w:r w:rsidR="005909B1" w:rsidRPr="00BF3E35">
              <w:rPr>
                <w:rFonts w:ascii="Palatino Linotype" w:hAnsi="Palatino Linotype"/>
                <w:i/>
                <w:sz w:val="20"/>
                <w:szCs w:val="20"/>
                <w:lang w:val="es-ES_tradnl"/>
              </w:rPr>
              <w:t xml:space="preserve">El expediente </w:t>
            </w:r>
            <w:proofErr w:type="spellStart"/>
            <w:r w:rsidR="005909B1" w:rsidRPr="00BF3E35">
              <w:rPr>
                <w:rFonts w:ascii="Palatino Linotype" w:hAnsi="Palatino Linotype"/>
                <w:i/>
                <w:sz w:val="20"/>
                <w:szCs w:val="20"/>
                <w:lang w:val="es-ES_tradnl"/>
              </w:rPr>
              <w:t>HAT</w:t>
            </w:r>
            <w:proofErr w:type="spellEnd"/>
            <w:r w:rsidR="005909B1" w:rsidRPr="00BF3E35">
              <w:rPr>
                <w:rFonts w:ascii="Palatino Linotype" w:hAnsi="Palatino Linotype"/>
                <w:i/>
                <w:sz w:val="20"/>
                <w:szCs w:val="20"/>
                <w:lang w:val="es-ES_tradnl"/>
              </w:rPr>
              <w:t>/</w:t>
            </w:r>
            <w:proofErr w:type="spellStart"/>
            <w:r w:rsidR="005909B1" w:rsidRPr="00BF3E35">
              <w:rPr>
                <w:rFonts w:ascii="Palatino Linotype" w:hAnsi="Palatino Linotype"/>
                <w:i/>
                <w:sz w:val="20"/>
                <w:szCs w:val="20"/>
                <w:lang w:val="es-ES_tradnl"/>
              </w:rPr>
              <w:t>CAYS</w:t>
            </w:r>
            <w:proofErr w:type="spellEnd"/>
            <w:r w:rsidR="005909B1" w:rsidRPr="00BF3E35">
              <w:rPr>
                <w:rFonts w:ascii="Palatino Linotype" w:hAnsi="Palatino Linotype"/>
                <w:i/>
                <w:sz w:val="20"/>
                <w:szCs w:val="20"/>
                <w:lang w:val="es-ES_tradnl"/>
              </w:rPr>
              <w:t>/AD-SER-030/RP/2022 correspondiente al procedimiento de adjudicación Directa por Excepción a la Licitación, referente a la Contratación de Servicios de Parquímetros…</w:t>
            </w:r>
            <w:r w:rsidRPr="00BF3E35">
              <w:rPr>
                <w:rFonts w:ascii="Palatino Linotype" w:hAnsi="Palatino Linotype"/>
                <w:i/>
                <w:sz w:val="20"/>
                <w:szCs w:val="20"/>
                <w:lang w:val="es-ES_tradnl"/>
              </w:rPr>
              <w:t xml:space="preserve">” </w:t>
            </w:r>
          </w:p>
        </w:tc>
      </w:tr>
      <w:tr w:rsidR="00443E1A" w:rsidRPr="00BF3E35" w14:paraId="6A9A10D9" w14:textId="77777777" w:rsidTr="005909B1">
        <w:tc>
          <w:tcPr>
            <w:tcW w:w="1560" w:type="dxa"/>
            <w:shd w:val="clear" w:color="auto" w:fill="D5DCE4" w:themeFill="text2" w:themeFillTint="33"/>
            <w:vAlign w:val="center"/>
          </w:tcPr>
          <w:p w14:paraId="5D7BEC3F" w14:textId="77777777" w:rsidR="00443E1A" w:rsidRPr="00BF3E35" w:rsidRDefault="00443E1A" w:rsidP="00BF3E35">
            <w:pPr>
              <w:jc w:val="center"/>
              <w:rPr>
                <w:rFonts w:ascii="Palatino Linotype" w:hAnsi="Palatino Linotype"/>
                <w:b/>
                <w:sz w:val="18"/>
                <w:szCs w:val="20"/>
              </w:rPr>
            </w:pPr>
            <w:r w:rsidRPr="00BF3E35">
              <w:rPr>
                <w:rFonts w:ascii="Palatino Linotype" w:hAnsi="Palatino Linotype"/>
                <w:b/>
                <w:sz w:val="18"/>
                <w:szCs w:val="20"/>
              </w:rPr>
              <w:t>Causal aplicable del artículo 113 de la Ley General, vinculándola con el Lineamiento específico del presente ordenamiento y, cuando corresponda, el supuesto normativo que expresamente le otorga el carácter de información reservada</w:t>
            </w:r>
          </w:p>
        </w:tc>
        <w:tc>
          <w:tcPr>
            <w:tcW w:w="1417" w:type="dxa"/>
            <w:shd w:val="clear" w:color="auto" w:fill="D5DCE4" w:themeFill="text2" w:themeFillTint="33"/>
            <w:vAlign w:val="center"/>
          </w:tcPr>
          <w:p w14:paraId="76230F0A" w14:textId="77777777" w:rsidR="00443E1A" w:rsidRPr="00BF3E35" w:rsidRDefault="005909B1" w:rsidP="00BF3E35">
            <w:pPr>
              <w:ind w:left="47"/>
              <w:jc w:val="center"/>
              <w:rPr>
                <w:rFonts w:ascii="Palatino Linotype" w:hAnsi="Palatino Linotype"/>
                <w:b/>
                <w:sz w:val="20"/>
                <w:szCs w:val="20"/>
              </w:rPr>
            </w:pPr>
            <w:r w:rsidRPr="00BF3E35">
              <w:rPr>
                <w:rFonts w:ascii="Palatino Linotype" w:hAnsi="Palatino Linotype"/>
                <w:b/>
                <w:sz w:val="20"/>
                <w:szCs w:val="20"/>
              </w:rPr>
              <w:t>Parcial</w:t>
            </w:r>
          </w:p>
        </w:tc>
        <w:tc>
          <w:tcPr>
            <w:tcW w:w="6095" w:type="dxa"/>
            <w:shd w:val="clear" w:color="auto" w:fill="D5DCE4" w:themeFill="text2" w:themeFillTint="33"/>
            <w:vAlign w:val="center"/>
          </w:tcPr>
          <w:p w14:paraId="3A04F0E3" w14:textId="77777777" w:rsidR="00443E1A" w:rsidRPr="00BF3E35" w:rsidRDefault="005909B1" w:rsidP="00BF3E35">
            <w:pPr>
              <w:jc w:val="both"/>
              <w:rPr>
                <w:rFonts w:ascii="Palatino Linotype" w:hAnsi="Palatino Linotype"/>
                <w:b/>
                <w:noProof/>
                <w:sz w:val="20"/>
                <w:szCs w:val="20"/>
                <w:lang w:eastAsia="es-MX"/>
              </w:rPr>
            </w:pPr>
            <w:r w:rsidRPr="00BF3E35">
              <w:rPr>
                <w:rFonts w:ascii="Palatino Linotype" w:hAnsi="Palatino Linotype"/>
                <w:noProof/>
                <w:sz w:val="20"/>
                <w:szCs w:val="20"/>
                <w:lang w:eastAsia="es-MX"/>
              </w:rPr>
              <w:t>Atendiendo que unicamente señala el 113 fracciobnes I y V de la Ley Generaol de Transparencia y Acceso a la Información Pública</w:t>
            </w:r>
          </w:p>
        </w:tc>
      </w:tr>
      <w:tr w:rsidR="00443E1A" w:rsidRPr="00BF3E35" w14:paraId="2CE0C8ED" w14:textId="77777777" w:rsidTr="005909B1">
        <w:tc>
          <w:tcPr>
            <w:tcW w:w="1560" w:type="dxa"/>
            <w:shd w:val="clear" w:color="auto" w:fill="F2F2F2" w:themeFill="background1" w:themeFillShade="F2"/>
            <w:vAlign w:val="center"/>
          </w:tcPr>
          <w:p w14:paraId="3385539D" w14:textId="77777777" w:rsidR="00443E1A" w:rsidRPr="00BF3E35" w:rsidRDefault="00443E1A" w:rsidP="00BF3E35">
            <w:pPr>
              <w:tabs>
                <w:tab w:val="left" w:pos="317"/>
              </w:tabs>
              <w:jc w:val="center"/>
              <w:rPr>
                <w:rFonts w:ascii="Palatino Linotype" w:hAnsi="Palatino Linotype"/>
                <w:b/>
                <w:sz w:val="18"/>
                <w:szCs w:val="20"/>
              </w:rPr>
            </w:pPr>
            <w:r w:rsidRPr="00BF3E35">
              <w:rPr>
                <w:rFonts w:ascii="Palatino Linotype" w:hAnsi="Palatino Linotype"/>
                <w:b/>
                <w:sz w:val="18"/>
                <w:szCs w:val="20"/>
              </w:rPr>
              <w:t>Fundamento y Motivación Legal</w:t>
            </w:r>
          </w:p>
        </w:tc>
        <w:tc>
          <w:tcPr>
            <w:tcW w:w="1417" w:type="dxa"/>
            <w:shd w:val="clear" w:color="auto" w:fill="F2F2F2" w:themeFill="background1" w:themeFillShade="F2"/>
            <w:vAlign w:val="center"/>
          </w:tcPr>
          <w:p w14:paraId="1CE56E67" w14:textId="77777777" w:rsidR="00443E1A" w:rsidRPr="00BF3E35" w:rsidRDefault="00443E1A" w:rsidP="00BF3E35">
            <w:pPr>
              <w:ind w:left="47"/>
              <w:jc w:val="center"/>
              <w:rPr>
                <w:rFonts w:ascii="Palatino Linotype" w:hAnsi="Palatino Linotype"/>
                <w:b/>
                <w:sz w:val="20"/>
                <w:szCs w:val="20"/>
              </w:rPr>
            </w:pPr>
            <w:r w:rsidRPr="00BF3E35">
              <w:rPr>
                <w:rFonts w:ascii="Palatino Linotype" w:hAnsi="Palatino Linotype"/>
                <w:b/>
                <w:sz w:val="20"/>
                <w:szCs w:val="20"/>
              </w:rPr>
              <w:t xml:space="preserve">parcial </w:t>
            </w:r>
          </w:p>
        </w:tc>
        <w:tc>
          <w:tcPr>
            <w:tcW w:w="6095" w:type="dxa"/>
            <w:shd w:val="clear" w:color="auto" w:fill="F2F2F2" w:themeFill="background1" w:themeFillShade="F2"/>
            <w:vAlign w:val="center"/>
          </w:tcPr>
          <w:p w14:paraId="28C91A05" w14:textId="77777777" w:rsidR="00D17F4C" w:rsidRPr="00BF3E35" w:rsidRDefault="00D17F4C" w:rsidP="00BF3E35">
            <w:pPr>
              <w:ind w:left="47"/>
              <w:jc w:val="both"/>
              <w:rPr>
                <w:rFonts w:ascii="Palatino Linotype" w:hAnsi="Palatino Linotype"/>
                <w:i/>
                <w:sz w:val="20"/>
                <w:szCs w:val="20"/>
                <w:lang w:val="es-ES_tradnl"/>
              </w:rPr>
            </w:pPr>
            <w:r w:rsidRPr="00BF3E35">
              <w:rPr>
                <w:rFonts w:ascii="Palatino Linotype" w:hAnsi="Palatino Linotype"/>
                <w:b/>
                <w:i/>
                <w:sz w:val="20"/>
                <w:szCs w:val="20"/>
                <w:lang w:val="es-ES_tradnl"/>
              </w:rPr>
              <w:t>Artículo 113.</w:t>
            </w:r>
            <w:r w:rsidRPr="00BF3E35">
              <w:rPr>
                <w:rFonts w:ascii="Palatino Linotype" w:hAnsi="Palatino Linotype"/>
                <w:i/>
                <w:sz w:val="20"/>
                <w:szCs w:val="20"/>
                <w:lang w:val="es-ES_tradnl"/>
              </w:rPr>
              <w:t xml:space="preserve"> Como información reservada podrá clasificarse aquella cuya publicación:</w:t>
            </w:r>
          </w:p>
          <w:p w14:paraId="45F7F8EC" w14:textId="77777777" w:rsidR="00D17F4C" w:rsidRPr="00BF3E35" w:rsidRDefault="00D17F4C" w:rsidP="00BF3E35">
            <w:pPr>
              <w:ind w:left="47"/>
              <w:jc w:val="both"/>
              <w:rPr>
                <w:rFonts w:ascii="Palatino Linotype" w:hAnsi="Palatino Linotype"/>
                <w:i/>
                <w:sz w:val="20"/>
                <w:szCs w:val="20"/>
                <w:lang w:val="es-ES_tradnl"/>
              </w:rPr>
            </w:pPr>
            <w:r w:rsidRPr="00BF3E35">
              <w:rPr>
                <w:rFonts w:ascii="Palatino Linotype" w:hAnsi="Palatino Linotype"/>
                <w:b/>
                <w:i/>
                <w:sz w:val="20"/>
                <w:szCs w:val="20"/>
                <w:lang w:val="es-ES_tradnl"/>
              </w:rPr>
              <w:t>VI.</w:t>
            </w:r>
            <w:r w:rsidRPr="00BF3E35">
              <w:rPr>
                <w:rFonts w:ascii="Palatino Linotype" w:hAnsi="Palatino Linotype"/>
                <w:i/>
                <w:sz w:val="20"/>
                <w:szCs w:val="20"/>
                <w:lang w:val="es-ES_tradnl"/>
              </w:rPr>
              <w:t xml:space="preserve"> Obstruya las actividades de verificación, inspección y auditoria relativas al cumplimiento de las leyes o afecte la recaudación de contribuciones.</w:t>
            </w:r>
          </w:p>
          <w:p w14:paraId="55155E09" w14:textId="77777777" w:rsidR="00D17F4C" w:rsidRPr="00BF3E35" w:rsidRDefault="00D17F4C" w:rsidP="00BF3E35">
            <w:pPr>
              <w:ind w:left="47"/>
              <w:jc w:val="both"/>
              <w:rPr>
                <w:rFonts w:ascii="Palatino Linotype" w:hAnsi="Palatino Linotype"/>
                <w:i/>
                <w:sz w:val="20"/>
                <w:szCs w:val="20"/>
                <w:lang w:val="es-ES_tradnl"/>
              </w:rPr>
            </w:pPr>
          </w:p>
          <w:p w14:paraId="2FC5531E" w14:textId="77777777" w:rsidR="00443E1A" w:rsidRPr="00BF3E35" w:rsidRDefault="00443E1A" w:rsidP="00BF3E35">
            <w:pPr>
              <w:ind w:left="47"/>
              <w:jc w:val="both"/>
              <w:rPr>
                <w:rFonts w:ascii="Palatino Linotype" w:hAnsi="Palatino Linotype"/>
                <w:i/>
                <w:sz w:val="20"/>
                <w:szCs w:val="20"/>
                <w:lang w:val="es-ES_tradnl"/>
              </w:rPr>
            </w:pPr>
            <w:r w:rsidRPr="00BF3E35">
              <w:rPr>
                <w:rFonts w:ascii="Palatino Linotype" w:hAnsi="Palatino Linotype"/>
                <w:b/>
                <w:i/>
                <w:sz w:val="20"/>
                <w:szCs w:val="20"/>
                <w:lang w:val="es-ES_tradnl"/>
              </w:rPr>
              <w:lastRenderedPageBreak/>
              <w:t xml:space="preserve">Artículo 140. </w:t>
            </w:r>
            <w:r w:rsidRPr="00BF3E35">
              <w:rPr>
                <w:rFonts w:ascii="Palatino Linotype" w:hAnsi="Palatino Linotype"/>
                <w:i/>
                <w:sz w:val="20"/>
                <w:szCs w:val="20"/>
                <w:lang w:val="es-ES_tradnl"/>
              </w:rPr>
              <w:t>El acceso a la información pública será restringido excepcionalmente, cuando por razones de interés público, ésta sea clasificada como reservada, conforme a los criterios siguientes:</w:t>
            </w:r>
          </w:p>
          <w:p w14:paraId="40126331" w14:textId="77777777" w:rsidR="00D17F4C" w:rsidRPr="00BF3E35" w:rsidRDefault="00D17F4C" w:rsidP="00BF3E35">
            <w:pPr>
              <w:ind w:left="47"/>
              <w:jc w:val="both"/>
              <w:rPr>
                <w:rFonts w:ascii="Palatino Linotype" w:hAnsi="Palatino Linotype"/>
                <w:i/>
                <w:sz w:val="20"/>
                <w:szCs w:val="20"/>
                <w:lang w:val="es-ES_tradnl"/>
              </w:rPr>
            </w:pPr>
            <w:r w:rsidRPr="00BF3E35">
              <w:rPr>
                <w:rFonts w:ascii="Palatino Linotype" w:hAnsi="Palatino Linotype"/>
                <w:i/>
                <w:sz w:val="20"/>
                <w:szCs w:val="20"/>
                <w:lang w:val="es-ES_tradnl"/>
              </w:rPr>
              <w:t>I. Comprometa la seguridad pública y cuente con un propósito genuino y un efecto demostrable;</w:t>
            </w:r>
          </w:p>
          <w:p w14:paraId="1C74189C" w14:textId="77777777" w:rsidR="00443E1A" w:rsidRPr="00BF3E35" w:rsidRDefault="00D17F4C" w:rsidP="00BF3E35">
            <w:pPr>
              <w:ind w:left="47"/>
              <w:jc w:val="both"/>
              <w:rPr>
                <w:rFonts w:ascii="Palatino Linotype" w:hAnsi="Palatino Linotype"/>
                <w:i/>
                <w:sz w:val="20"/>
                <w:szCs w:val="20"/>
              </w:rPr>
            </w:pPr>
            <w:r w:rsidRPr="00BF3E35">
              <w:rPr>
                <w:rFonts w:ascii="Palatino Linotype" w:hAnsi="Palatino Linotype"/>
                <w:i/>
                <w:sz w:val="20"/>
                <w:szCs w:val="20"/>
                <w:lang w:val="es-ES_tradnl"/>
              </w:rPr>
              <w:t>2. La recaudación de las contribuciones</w:t>
            </w:r>
            <w:r w:rsidR="00443E1A" w:rsidRPr="00BF3E35">
              <w:rPr>
                <w:rFonts w:ascii="Palatino Linotype" w:hAnsi="Palatino Linotype"/>
                <w:i/>
                <w:sz w:val="20"/>
                <w:szCs w:val="20"/>
              </w:rPr>
              <w:t xml:space="preserve"> </w:t>
            </w:r>
          </w:p>
        </w:tc>
      </w:tr>
      <w:tr w:rsidR="00443E1A" w:rsidRPr="00BF3E35" w14:paraId="54C3B0AA" w14:textId="77777777" w:rsidTr="005909B1">
        <w:tc>
          <w:tcPr>
            <w:tcW w:w="1560" w:type="dxa"/>
            <w:shd w:val="clear" w:color="auto" w:fill="D5DCE4" w:themeFill="text2" w:themeFillTint="33"/>
            <w:vAlign w:val="center"/>
          </w:tcPr>
          <w:p w14:paraId="4689050A" w14:textId="77777777" w:rsidR="00443E1A" w:rsidRPr="00BF3E35" w:rsidRDefault="00443E1A" w:rsidP="00BF3E35">
            <w:pPr>
              <w:jc w:val="center"/>
              <w:rPr>
                <w:rFonts w:ascii="Palatino Linotype" w:hAnsi="Palatino Linotype"/>
                <w:b/>
                <w:sz w:val="18"/>
                <w:szCs w:val="20"/>
              </w:rPr>
            </w:pPr>
            <w:r w:rsidRPr="00BF3E35">
              <w:rPr>
                <w:rFonts w:ascii="Palatino Linotype" w:hAnsi="Palatino Linotype"/>
                <w:b/>
                <w:sz w:val="18"/>
                <w:szCs w:val="20"/>
              </w:rPr>
              <w:lastRenderedPageBreak/>
              <w:t>Conexión entre los fundamentos y motivos que dieron origen a la Reserva de la información</w:t>
            </w:r>
          </w:p>
        </w:tc>
        <w:tc>
          <w:tcPr>
            <w:tcW w:w="1417" w:type="dxa"/>
            <w:shd w:val="clear" w:color="auto" w:fill="D5DCE4" w:themeFill="text2" w:themeFillTint="33"/>
            <w:vAlign w:val="center"/>
          </w:tcPr>
          <w:p w14:paraId="11931B6A" w14:textId="77777777" w:rsidR="00443E1A" w:rsidRPr="00BF3E35" w:rsidRDefault="00443E1A" w:rsidP="00BF3E35">
            <w:pPr>
              <w:ind w:left="29" w:firstLine="18"/>
              <w:jc w:val="center"/>
              <w:rPr>
                <w:rFonts w:ascii="Palatino Linotype" w:eastAsia="Times New Roman" w:hAnsi="Palatino Linotype" w:cs="Times New Roman"/>
                <w:b/>
                <w:sz w:val="20"/>
                <w:szCs w:val="20"/>
                <w:lang w:val="es-ES" w:eastAsia="es-ES"/>
              </w:rPr>
            </w:pPr>
            <w:r w:rsidRPr="00BF3E35">
              <w:rPr>
                <w:rFonts w:ascii="Palatino Linotype" w:eastAsia="Times New Roman" w:hAnsi="Palatino Linotype" w:cs="Times New Roman"/>
                <w:b/>
                <w:sz w:val="20"/>
                <w:szCs w:val="20"/>
                <w:lang w:val="es-ES" w:eastAsia="es-ES"/>
              </w:rPr>
              <w:t>Si</w:t>
            </w:r>
          </w:p>
        </w:tc>
        <w:tc>
          <w:tcPr>
            <w:tcW w:w="6095" w:type="dxa"/>
            <w:shd w:val="clear" w:color="auto" w:fill="D5DCE4" w:themeFill="text2" w:themeFillTint="33"/>
            <w:vAlign w:val="center"/>
          </w:tcPr>
          <w:p w14:paraId="538F6F9F" w14:textId="77777777" w:rsidR="00443E1A" w:rsidRPr="00BF3E35" w:rsidRDefault="00D17F4C" w:rsidP="00BF3E35">
            <w:pPr>
              <w:autoSpaceDE w:val="0"/>
              <w:autoSpaceDN w:val="0"/>
              <w:adjustRightInd w:val="0"/>
              <w:jc w:val="both"/>
              <w:rPr>
                <w:rFonts w:ascii="Palatino Linotype" w:hAnsi="Palatino Linotype" w:cs="Arial"/>
                <w:b/>
                <w:i/>
                <w:color w:val="0A0D14"/>
                <w:sz w:val="20"/>
                <w:szCs w:val="20"/>
              </w:rPr>
            </w:pPr>
            <w:r w:rsidRPr="00BF3E35">
              <w:rPr>
                <w:rFonts w:ascii="Palatino Linotype" w:hAnsi="Palatino Linotype" w:cs="Arial"/>
                <w:b/>
                <w:i/>
                <w:color w:val="0A0D14"/>
                <w:sz w:val="20"/>
                <w:szCs w:val="20"/>
              </w:rPr>
              <w:t>PONDERACIÓN DE INTERESES EN CONFLICTO</w:t>
            </w:r>
          </w:p>
          <w:p w14:paraId="40BA16DB"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p>
          <w:p w14:paraId="3E0B9F35"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r w:rsidRPr="00BF3E35">
              <w:rPr>
                <w:rFonts w:ascii="Palatino Linotype" w:hAnsi="Palatino Linotype" w:cs="Arial"/>
                <w:i/>
                <w:color w:val="0A0D14"/>
                <w:sz w:val="20"/>
                <w:szCs w:val="20"/>
              </w:rPr>
              <w:t xml:space="preserve">En este caso el tratamiento de la información debe realizarse a fondo ya que se está pidiendo información relativa al expediente </w:t>
            </w:r>
            <w:proofErr w:type="spellStart"/>
            <w:r w:rsidRPr="00BF3E35">
              <w:rPr>
                <w:rFonts w:ascii="Palatino Linotype" w:hAnsi="Palatino Linotype" w:cs="Arial"/>
                <w:i/>
                <w:color w:val="0A0D14"/>
                <w:sz w:val="20"/>
                <w:szCs w:val="20"/>
              </w:rPr>
              <w:t>HAT</w:t>
            </w:r>
            <w:proofErr w:type="spellEnd"/>
            <w:r w:rsidRPr="00BF3E35">
              <w:rPr>
                <w:rFonts w:ascii="Palatino Linotype" w:hAnsi="Palatino Linotype" w:cs="Arial"/>
                <w:i/>
                <w:color w:val="0A0D14"/>
                <w:sz w:val="20"/>
                <w:szCs w:val="20"/>
              </w:rPr>
              <w:t>/</w:t>
            </w:r>
            <w:proofErr w:type="spellStart"/>
            <w:r w:rsidRPr="00BF3E35">
              <w:rPr>
                <w:rFonts w:ascii="Palatino Linotype" w:hAnsi="Palatino Linotype" w:cs="Arial"/>
                <w:i/>
                <w:color w:val="0A0D14"/>
                <w:sz w:val="20"/>
                <w:szCs w:val="20"/>
              </w:rPr>
              <w:t>CAYS</w:t>
            </w:r>
            <w:proofErr w:type="spellEnd"/>
            <w:r w:rsidRPr="00BF3E35">
              <w:rPr>
                <w:rFonts w:ascii="Palatino Linotype" w:hAnsi="Palatino Linotype" w:cs="Arial"/>
                <w:i/>
                <w:color w:val="0A0D14"/>
                <w:sz w:val="20"/>
                <w:szCs w:val="20"/>
              </w:rPr>
              <w:t>/AD-SER-030/RP/2022 correspondiente al procedimiento de Adjudicación Directa por Excepción a la Licitación, referente a la Contratación del Servicio de Parquímetros.</w:t>
            </w:r>
          </w:p>
          <w:p w14:paraId="5EE79150"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p>
          <w:p w14:paraId="74BE9AD4"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r w:rsidRPr="00BF3E35">
              <w:rPr>
                <w:rFonts w:ascii="Palatino Linotype" w:hAnsi="Palatino Linotype" w:cs="Arial"/>
                <w:i/>
                <w:color w:val="0A0D14"/>
                <w:sz w:val="20"/>
                <w:szCs w:val="20"/>
              </w:rPr>
              <w:t xml:space="preserve">Al divulgar esta información, se expone información precisa que puede vulnerar el desarrollo de dicha contratación toda vez que la vigencia de este contrato es por tres años, con fecha de inicio el </w:t>
            </w:r>
            <w:proofErr w:type="spellStart"/>
            <w:r w:rsidRPr="00BF3E35">
              <w:rPr>
                <w:rFonts w:ascii="Palatino Linotype" w:hAnsi="Palatino Linotype" w:cs="Arial"/>
                <w:i/>
                <w:color w:val="0A0D14"/>
                <w:sz w:val="20"/>
                <w:szCs w:val="20"/>
              </w:rPr>
              <w:t>Ol</w:t>
            </w:r>
            <w:proofErr w:type="spellEnd"/>
            <w:r w:rsidRPr="00BF3E35">
              <w:rPr>
                <w:rFonts w:ascii="Palatino Linotype" w:hAnsi="Palatino Linotype" w:cs="Arial"/>
                <w:i/>
                <w:color w:val="0A0D14"/>
                <w:sz w:val="20"/>
                <w:szCs w:val="20"/>
              </w:rPr>
              <w:t xml:space="preserve"> de agosto del 2022 y en él se establecen las condiciones de operación, derechos, obligaciones, penas convencionales por incumplimiento, precios, consecuencias de cancelación y especificaciones para el modo de operación del servicio de parquímetros que está en Operación en el municipio de Toluca; por lo anterior se solicita la clasificación como reservada de la información contenida en el mencionado expediente, con fundamento en los artículos, 140 fracción V de la Ley de Transparencia y Acceso a la Información Pública del Estado de México y Municipios, artículos 66,67,68,69,70 de la ley de Contratación pública del estado de México y municipios.</w:t>
            </w:r>
          </w:p>
          <w:p w14:paraId="4F469F04"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p>
          <w:p w14:paraId="634F3AC9"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r w:rsidRPr="00BF3E35">
              <w:rPr>
                <w:rFonts w:ascii="Palatino Linotype" w:hAnsi="Palatino Linotype" w:cs="Arial"/>
                <w:i/>
                <w:color w:val="0A0D14"/>
                <w:sz w:val="20"/>
                <w:szCs w:val="20"/>
              </w:rPr>
              <w:t>LEY DE CONTRATACIÓN PÚBLICA DEL ESTADO DE MÉXICO Y MUNICIPIOS</w:t>
            </w:r>
          </w:p>
          <w:p w14:paraId="718F2528"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r w:rsidRPr="00BF3E35">
              <w:rPr>
                <w:rFonts w:ascii="Palatino Linotype" w:hAnsi="Palatino Linotype" w:cs="Arial"/>
                <w:b/>
                <w:i/>
                <w:color w:val="0A0D14"/>
                <w:sz w:val="20"/>
                <w:szCs w:val="20"/>
              </w:rPr>
              <w:t>Artículo 66.-</w:t>
            </w:r>
            <w:r w:rsidRPr="00BF3E35">
              <w:rPr>
                <w:rFonts w:ascii="Palatino Linotype" w:hAnsi="Palatino Linotype" w:cs="Arial"/>
                <w:i/>
                <w:color w:val="0A0D14"/>
                <w:sz w:val="20"/>
                <w:szCs w:val="20"/>
              </w:rPr>
              <w:t xml:space="preserve"> Los derechos y las obligaciones que se deriven del contrato no podrán cederse en forma parcial ni total, con excepción de los derechos de cobro, en cuyo caso se deberá contar con el consentimiento de la dependencia, de la entidad o del ayuntamiento.</w:t>
            </w:r>
          </w:p>
          <w:p w14:paraId="1B915E34"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r w:rsidRPr="00BF3E35">
              <w:rPr>
                <w:rFonts w:ascii="Palatino Linotype" w:hAnsi="Palatino Linotype" w:cs="Arial"/>
                <w:i/>
                <w:color w:val="0A0D14"/>
                <w:sz w:val="20"/>
                <w:szCs w:val="20"/>
              </w:rPr>
              <w:t xml:space="preserve">El proveedor o el prestador de servicios no podrá subcontratar, total o parcialmente, el suministro de bienes </w:t>
            </w:r>
            <w:proofErr w:type="spellStart"/>
            <w:r w:rsidRPr="00BF3E35">
              <w:rPr>
                <w:rFonts w:ascii="Palatino Linotype" w:hAnsi="Palatino Linotype" w:cs="Arial"/>
                <w:i/>
                <w:color w:val="0A0D14"/>
                <w:sz w:val="20"/>
                <w:szCs w:val="20"/>
              </w:rPr>
              <w:t>ola</w:t>
            </w:r>
            <w:proofErr w:type="spellEnd"/>
            <w:r w:rsidRPr="00BF3E35">
              <w:rPr>
                <w:rFonts w:ascii="Palatino Linotype" w:hAnsi="Palatino Linotype" w:cs="Arial"/>
                <w:i/>
                <w:color w:val="0A0D14"/>
                <w:sz w:val="20"/>
                <w:szCs w:val="20"/>
              </w:rPr>
              <w:t xml:space="preserve"> prestación de servicios, salvo que cuente con la autorización previa y expresa de la contratante, en cuyo caso el proveedor o prestador de servicios será el único responsable del cumplimiento de las Obligaciones a su cargo.</w:t>
            </w:r>
          </w:p>
          <w:p w14:paraId="32D7AF4F"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p>
          <w:p w14:paraId="176D28F1"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r w:rsidRPr="00BF3E35">
              <w:rPr>
                <w:rFonts w:ascii="Palatino Linotype" w:hAnsi="Palatino Linotype" w:cs="Arial"/>
                <w:b/>
                <w:i/>
                <w:color w:val="0A0D14"/>
                <w:sz w:val="20"/>
                <w:szCs w:val="20"/>
              </w:rPr>
              <w:t>Artículo 67.-</w:t>
            </w:r>
            <w:r w:rsidRPr="00BF3E35">
              <w:rPr>
                <w:rFonts w:ascii="Palatino Linotype" w:hAnsi="Palatino Linotype" w:cs="Arial"/>
                <w:i/>
                <w:color w:val="0A0D14"/>
                <w:sz w:val="20"/>
                <w:szCs w:val="20"/>
              </w:rPr>
              <w:t xml:space="preserve"> En los contratos se pactarán penas convencionales, a cargo del proveedor o prestador de servicios, por incumplimiento de sus obligaciones.</w:t>
            </w:r>
          </w:p>
          <w:p w14:paraId="51C864B7"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r w:rsidRPr="00BF3E35">
              <w:rPr>
                <w:rFonts w:ascii="Palatino Linotype" w:hAnsi="Palatino Linotype" w:cs="Arial"/>
                <w:i/>
                <w:color w:val="0A0D14"/>
                <w:sz w:val="20"/>
                <w:szCs w:val="20"/>
              </w:rPr>
              <w:t xml:space="preserve">En los contratos en que se pacte ajuste de precios, la penalización se calculará sobre el precio ajustado. El proveedor o prestador de servicios </w:t>
            </w:r>
            <w:r w:rsidRPr="00BF3E35">
              <w:rPr>
                <w:rFonts w:ascii="Palatino Linotype" w:hAnsi="Palatino Linotype" w:cs="Arial"/>
                <w:i/>
                <w:color w:val="0A0D14"/>
                <w:sz w:val="20"/>
                <w:szCs w:val="20"/>
              </w:rPr>
              <w:lastRenderedPageBreak/>
              <w:t>estará obligado a responder de los defectos y vicios ocultos de los bienes y servicios.</w:t>
            </w:r>
          </w:p>
          <w:p w14:paraId="0FCC9F0B"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p>
          <w:p w14:paraId="37FE2550" w14:textId="77777777" w:rsidR="00443E1A" w:rsidRPr="00BF3E35" w:rsidRDefault="00D17F4C" w:rsidP="00BF3E35">
            <w:pPr>
              <w:autoSpaceDE w:val="0"/>
              <w:autoSpaceDN w:val="0"/>
              <w:adjustRightInd w:val="0"/>
              <w:jc w:val="both"/>
              <w:rPr>
                <w:rFonts w:ascii="Palatino Linotype" w:hAnsi="Palatino Linotype" w:cs="Arial"/>
                <w:i/>
                <w:color w:val="0A0D14"/>
                <w:sz w:val="20"/>
                <w:szCs w:val="20"/>
              </w:rPr>
            </w:pPr>
            <w:r w:rsidRPr="00BF3E35">
              <w:rPr>
                <w:rFonts w:ascii="Palatino Linotype" w:hAnsi="Palatino Linotype" w:cs="Arial"/>
                <w:b/>
                <w:i/>
                <w:color w:val="0A0D14"/>
                <w:sz w:val="20"/>
                <w:szCs w:val="20"/>
              </w:rPr>
              <w:t>Artículo 68.-</w:t>
            </w:r>
            <w:r w:rsidRPr="00BF3E35">
              <w:rPr>
                <w:rFonts w:ascii="Palatino Linotype" w:hAnsi="Palatino Linotype" w:cs="Arial"/>
                <w:i/>
                <w:color w:val="0A0D14"/>
                <w:sz w:val="20"/>
                <w:szCs w:val="20"/>
              </w:rPr>
              <w:t xml:space="preserve"> En los contratos se estipularán las diversas consecuencias de la cancelación, de la terminación anticipada o de la rescisión por causas imputables al proveedor o prestador de servicios.</w:t>
            </w:r>
          </w:p>
          <w:p w14:paraId="2BEA505F"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p>
          <w:p w14:paraId="571A0BFA"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r w:rsidRPr="00BF3E35">
              <w:rPr>
                <w:rFonts w:ascii="Palatino Linotype" w:hAnsi="Palatino Linotype" w:cs="Arial"/>
                <w:i/>
                <w:color w:val="0A0D14"/>
                <w:sz w:val="20"/>
                <w:szCs w:val="20"/>
              </w:rPr>
              <w:t>…</w:t>
            </w:r>
          </w:p>
          <w:p w14:paraId="1D4A49E4"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p>
          <w:p w14:paraId="46018206" w14:textId="77777777" w:rsidR="00D17F4C" w:rsidRPr="00BF3E35" w:rsidRDefault="00D17F4C" w:rsidP="00BF3E35">
            <w:pPr>
              <w:autoSpaceDE w:val="0"/>
              <w:autoSpaceDN w:val="0"/>
              <w:adjustRightInd w:val="0"/>
              <w:jc w:val="both"/>
              <w:rPr>
                <w:rFonts w:ascii="Palatino Linotype" w:hAnsi="Palatino Linotype" w:cs="Arial"/>
                <w:b/>
                <w:i/>
                <w:color w:val="0A0D14"/>
                <w:sz w:val="20"/>
                <w:szCs w:val="20"/>
              </w:rPr>
            </w:pPr>
            <w:r w:rsidRPr="00BF3E35">
              <w:rPr>
                <w:rFonts w:ascii="Palatino Linotype" w:hAnsi="Palatino Linotype" w:cs="Arial"/>
                <w:b/>
                <w:i/>
                <w:color w:val="0A0D14"/>
                <w:sz w:val="20"/>
                <w:szCs w:val="20"/>
              </w:rPr>
              <w:t>ACREDITACIÓN DEL VÍNCULO ENTRE LA DIFUSIÓN DE LA INFORMACIÓN Y LA AFECTACIÓN DEL INTERÉS PÚBLICO.</w:t>
            </w:r>
          </w:p>
          <w:p w14:paraId="42E603FC"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p>
          <w:p w14:paraId="0D33B24B" w14:textId="77777777" w:rsidR="00D17F4C" w:rsidRPr="00BF3E35" w:rsidRDefault="00D17F4C" w:rsidP="00BF3E35">
            <w:pPr>
              <w:autoSpaceDE w:val="0"/>
              <w:autoSpaceDN w:val="0"/>
              <w:adjustRightInd w:val="0"/>
              <w:jc w:val="both"/>
              <w:rPr>
                <w:rFonts w:ascii="Palatino Linotype" w:hAnsi="Palatino Linotype" w:cs="Arial"/>
                <w:i/>
                <w:color w:val="0A0D14"/>
                <w:sz w:val="20"/>
                <w:szCs w:val="20"/>
              </w:rPr>
            </w:pPr>
            <w:r w:rsidRPr="00BF3E35">
              <w:rPr>
                <w:rFonts w:ascii="Palatino Linotype" w:hAnsi="Palatino Linotype" w:cs="Arial"/>
                <w:i/>
                <w:color w:val="0A0D14"/>
                <w:sz w:val="20"/>
                <w:szCs w:val="20"/>
              </w:rPr>
              <w:t>Las contrataciones públicas si bien es cierto que involucra erogación de recursos públicos, también lo es que la contratación del servicio de parquímetros que se opera durante esta administración 2022-2024, se desarrollara y llevara a cabo en ciertas calles para la recaudación de ingresos del Municipio y en el expediente formalizado se describen todas y cada una de las características de operación para llevar a cabo una buena recaudación. Al divulgar la información descrita podría representar una amenaza al programa de recaudación pública municipal.</w:t>
            </w:r>
          </w:p>
          <w:p w14:paraId="134B8F43" w14:textId="77777777" w:rsidR="00443E1A" w:rsidRPr="00BF3E35" w:rsidRDefault="00443E1A" w:rsidP="00BF3E35">
            <w:pPr>
              <w:autoSpaceDE w:val="0"/>
              <w:autoSpaceDN w:val="0"/>
              <w:adjustRightInd w:val="0"/>
              <w:jc w:val="both"/>
              <w:rPr>
                <w:sz w:val="20"/>
                <w:szCs w:val="20"/>
              </w:rPr>
            </w:pPr>
          </w:p>
        </w:tc>
      </w:tr>
      <w:tr w:rsidR="00443E1A" w:rsidRPr="00BF3E35" w14:paraId="0166DA32" w14:textId="77777777" w:rsidTr="005909B1">
        <w:tc>
          <w:tcPr>
            <w:tcW w:w="9072" w:type="dxa"/>
            <w:gridSpan w:val="3"/>
            <w:shd w:val="clear" w:color="auto" w:fill="D9D9D9" w:themeFill="background1" w:themeFillShade="D9"/>
            <w:vAlign w:val="center"/>
          </w:tcPr>
          <w:p w14:paraId="725D53DB" w14:textId="77777777" w:rsidR="00443E1A" w:rsidRPr="00BF3E35" w:rsidRDefault="00443E1A" w:rsidP="00BF3E35">
            <w:pPr>
              <w:ind w:left="29" w:firstLine="18"/>
              <w:jc w:val="center"/>
              <w:rPr>
                <w:rFonts w:ascii="Palatino Linotype" w:eastAsia="Times New Roman" w:hAnsi="Palatino Linotype" w:cs="Times New Roman"/>
                <w:sz w:val="18"/>
                <w:szCs w:val="20"/>
                <w:lang w:val="es-ES" w:eastAsia="es-ES"/>
              </w:rPr>
            </w:pPr>
            <w:r w:rsidRPr="00BF3E35">
              <w:rPr>
                <w:rFonts w:ascii="Palatino Linotype" w:eastAsia="Times New Roman" w:hAnsi="Palatino Linotype" w:cs="Times New Roman"/>
                <w:b/>
                <w:sz w:val="18"/>
                <w:szCs w:val="20"/>
                <w:lang w:val="es-ES" w:eastAsia="es-ES"/>
              </w:rPr>
              <w:lastRenderedPageBreak/>
              <w:t>Prueba de Daño</w:t>
            </w:r>
          </w:p>
        </w:tc>
      </w:tr>
      <w:tr w:rsidR="00443E1A" w:rsidRPr="00BF3E35" w14:paraId="1BF748B1" w14:textId="77777777" w:rsidTr="005909B1">
        <w:tc>
          <w:tcPr>
            <w:tcW w:w="1560" w:type="dxa"/>
            <w:shd w:val="clear" w:color="auto" w:fill="F2F2F2" w:themeFill="background1" w:themeFillShade="F2"/>
            <w:vAlign w:val="center"/>
          </w:tcPr>
          <w:p w14:paraId="61CD575A" w14:textId="77777777" w:rsidR="00443E1A" w:rsidRPr="00BF3E35" w:rsidRDefault="00443E1A" w:rsidP="00BF3E35">
            <w:pPr>
              <w:jc w:val="center"/>
              <w:rPr>
                <w:rFonts w:ascii="Palatino Linotype" w:hAnsi="Palatino Linotype"/>
                <w:b/>
                <w:sz w:val="18"/>
                <w:szCs w:val="20"/>
              </w:rPr>
            </w:pPr>
            <w:r w:rsidRPr="00BF3E35">
              <w:rPr>
                <w:rFonts w:ascii="Palatino Linotype" w:hAnsi="Palatino Linotype"/>
                <w:b/>
                <w:sz w:val="18"/>
                <w:szCs w:val="20"/>
              </w:rPr>
              <w:t>Riesgo Real, Demostrable e Identificable</w:t>
            </w:r>
          </w:p>
          <w:p w14:paraId="1D9CF177" w14:textId="77777777" w:rsidR="00443E1A" w:rsidRPr="00BF3E35" w:rsidRDefault="00443E1A" w:rsidP="00BF3E35">
            <w:pPr>
              <w:jc w:val="center"/>
              <w:rPr>
                <w:rFonts w:ascii="Palatino Linotype" w:hAnsi="Palatino Linotype"/>
                <w:b/>
                <w:sz w:val="18"/>
                <w:szCs w:val="20"/>
              </w:rPr>
            </w:pPr>
            <w:r w:rsidRPr="00BF3E35">
              <w:rPr>
                <w:rFonts w:ascii="Palatino Linotype" w:hAnsi="Palatino Linotype"/>
                <w:b/>
                <w:sz w:val="18"/>
                <w:szCs w:val="20"/>
              </w:rPr>
              <w:t>(Modo, Tiempo y Lugar)</w:t>
            </w:r>
          </w:p>
        </w:tc>
        <w:tc>
          <w:tcPr>
            <w:tcW w:w="1417" w:type="dxa"/>
            <w:shd w:val="clear" w:color="auto" w:fill="F2F2F2" w:themeFill="background1" w:themeFillShade="F2"/>
            <w:vAlign w:val="center"/>
          </w:tcPr>
          <w:p w14:paraId="28E81209" w14:textId="77777777" w:rsidR="00443E1A" w:rsidRPr="00BF3E35" w:rsidRDefault="00684F59" w:rsidP="00BF3E35">
            <w:pPr>
              <w:ind w:left="29" w:firstLine="18"/>
              <w:jc w:val="center"/>
              <w:rPr>
                <w:rFonts w:ascii="Palatino Linotype" w:eastAsia="Times New Roman" w:hAnsi="Palatino Linotype" w:cs="Times New Roman"/>
                <w:b/>
                <w:sz w:val="20"/>
                <w:szCs w:val="20"/>
                <w:lang w:val="es-ES" w:eastAsia="es-ES"/>
              </w:rPr>
            </w:pPr>
            <w:r w:rsidRPr="00BF3E35">
              <w:rPr>
                <w:rFonts w:ascii="Palatino Linotype" w:eastAsia="Times New Roman" w:hAnsi="Palatino Linotype" w:cs="Times New Roman"/>
                <w:b/>
                <w:sz w:val="20"/>
                <w:szCs w:val="20"/>
                <w:lang w:val="es-ES" w:eastAsia="es-ES"/>
              </w:rPr>
              <w:t>No</w:t>
            </w:r>
          </w:p>
        </w:tc>
        <w:tc>
          <w:tcPr>
            <w:tcW w:w="6095" w:type="dxa"/>
            <w:shd w:val="clear" w:color="auto" w:fill="F2F2F2" w:themeFill="background1" w:themeFillShade="F2"/>
            <w:vAlign w:val="center"/>
          </w:tcPr>
          <w:p w14:paraId="6A08B8C3" w14:textId="77777777" w:rsidR="00F5673D" w:rsidRPr="00BF3E35" w:rsidRDefault="00F5673D" w:rsidP="00BF3E35">
            <w:pPr>
              <w:ind w:left="29" w:firstLine="18"/>
              <w:jc w:val="both"/>
              <w:rPr>
                <w:rFonts w:ascii="Palatino Linotype" w:eastAsia="Times New Roman" w:hAnsi="Palatino Linotype" w:cs="Times New Roman"/>
                <w:b/>
                <w:i/>
                <w:sz w:val="20"/>
                <w:szCs w:val="20"/>
                <w:lang w:val="es-ES" w:eastAsia="es-ES"/>
              </w:rPr>
            </w:pPr>
            <w:r w:rsidRPr="00BF3E35">
              <w:rPr>
                <w:rFonts w:ascii="Palatino Linotype" w:eastAsia="Times New Roman" w:hAnsi="Palatino Linotype" w:cs="Times New Roman"/>
                <w:b/>
                <w:i/>
                <w:sz w:val="20"/>
                <w:szCs w:val="20"/>
                <w:lang w:val="es-ES" w:eastAsia="es-ES"/>
              </w:rPr>
              <w:t>RIESGO REAL</w:t>
            </w:r>
          </w:p>
          <w:p w14:paraId="6BA4F458" w14:textId="77777777" w:rsidR="00F5673D" w:rsidRPr="00BF3E35" w:rsidRDefault="00F5673D" w:rsidP="00BF3E35">
            <w:pPr>
              <w:ind w:left="29" w:firstLine="18"/>
              <w:jc w:val="both"/>
              <w:rPr>
                <w:rFonts w:ascii="Palatino Linotype" w:eastAsia="Times New Roman" w:hAnsi="Palatino Linotype" w:cs="Times New Roman"/>
                <w:i/>
                <w:sz w:val="20"/>
                <w:szCs w:val="20"/>
                <w:lang w:val="es-ES" w:eastAsia="es-ES"/>
              </w:rPr>
            </w:pPr>
            <w:r w:rsidRPr="00BF3E35">
              <w:rPr>
                <w:rFonts w:ascii="Palatino Linotype" w:eastAsia="Times New Roman" w:hAnsi="Palatino Linotype" w:cs="Times New Roman"/>
                <w:i/>
                <w:sz w:val="20"/>
                <w:szCs w:val="20"/>
                <w:lang w:val="es-ES" w:eastAsia="es-ES"/>
              </w:rPr>
              <w:t xml:space="preserve">El otorgamiento de la información requerida, </w:t>
            </w:r>
            <w:r w:rsidRPr="00BF3E35">
              <w:rPr>
                <w:rFonts w:ascii="Palatino Linotype" w:eastAsia="Times New Roman" w:hAnsi="Palatino Linotype" w:cs="Times New Roman"/>
                <w:i/>
                <w:sz w:val="20"/>
                <w:szCs w:val="20"/>
                <w:u w:val="single"/>
                <w:lang w:val="es-ES" w:eastAsia="es-ES"/>
              </w:rPr>
              <w:t>representa una amenaza porque puede vulnerarse la recaudación por concepto de ocupación de la vía pública y lugares de uso común para estacionamiento de vehículos automotores</w:t>
            </w:r>
            <w:r w:rsidRPr="00BF3E35">
              <w:rPr>
                <w:rFonts w:ascii="Palatino Linotype" w:eastAsia="Times New Roman" w:hAnsi="Palatino Linotype" w:cs="Times New Roman"/>
                <w:i/>
                <w:sz w:val="20"/>
                <w:szCs w:val="20"/>
                <w:lang w:val="es-ES" w:eastAsia="es-ES"/>
              </w:rPr>
              <w:t xml:space="preserve"> por medio de los </w:t>
            </w:r>
            <w:proofErr w:type="spellStart"/>
            <w:r w:rsidRPr="00BF3E35">
              <w:rPr>
                <w:rFonts w:ascii="Palatino Linotype" w:eastAsia="Times New Roman" w:hAnsi="Palatino Linotype" w:cs="Times New Roman"/>
                <w:i/>
                <w:sz w:val="20"/>
                <w:szCs w:val="20"/>
                <w:lang w:val="es-ES" w:eastAsia="es-ES"/>
              </w:rPr>
              <w:t>estacionómetros</w:t>
            </w:r>
            <w:proofErr w:type="spellEnd"/>
            <w:r w:rsidRPr="00BF3E35">
              <w:rPr>
                <w:rFonts w:ascii="Palatino Linotype" w:eastAsia="Times New Roman" w:hAnsi="Palatino Linotype" w:cs="Times New Roman"/>
                <w:i/>
                <w:sz w:val="20"/>
                <w:szCs w:val="20"/>
                <w:lang w:val="es-ES" w:eastAsia="es-ES"/>
              </w:rPr>
              <w:t>: al desconocerse la identidad y los fines de quién la solicita, en este caso el riesgo de perjuicio supera el interés de quien requiera dicha información, ello de conformidad con lo dispuesto en los artículos 140 fracción V, de la Ley de Transparencia y Acceso a la Información Pública del Estado de México y Municipios, en relación con el artículo 3.21 fracción IV del Código Reglamentario Municipal de Toluca.</w:t>
            </w:r>
          </w:p>
          <w:p w14:paraId="323EB633" w14:textId="77777777" w:rsidR="00F5673D" w:rsidRPr="00BF3E35" w:rsidRDefault="00F5673D" w:rsidP="00BF3E35">
            <w:pPr>
              <w:ind w:left="29" w:firstLine="18"/>
              <w:jc w:val="both"/>
              <w:rPr>
                <w:rFonts w:ascii="Palatino Linotype" w:eastAsia="Times New Roman" w:hAnsi="Palatino Linotype" w:cs="Times New Roman"/>
                <w:i/>
                <w:sz w:val="20"/>
                <w:szCs w:val="20"/>
                <w:lang w:val="es-ES" w:eastAsia="es-ES"/>
              </w:rPr>
            </w:pPr>
          </w:p>
          <w:p w14:paraId="2AE0A177" w14:textId="77777777" w:rsidR="00F5673D" w:rsidRPr="00BF3E35" w:rsidRDefault="00F5673D" w:rsidP="00BF3E35">
            <w:pPr>
              <w:ind w:left="29" w:firstLine="18"/>
              <w:jc w:val="both"/>
              <w:rPr>
                <w:rFonts w:ascii="Palatino Linotype" w:eastAsia="Times New Roman" w:hAnsi="Palatino Linotype" w:cs="Times New Roman"/>
                <w:b/>
                <w:i/>
                <w:sz w:val="20"/>
                <w:szCs w:val="20"/>
                <w:lang w:val="es-ES" w:eastAsia="es-ES"/>
              </w:rPr>
            </w:pPr>
            <w:r w:rsidRPr="00BF3E35">
              <w:rPr>
                <w:rFonts w:ascii="Palatino Linotype" w:eastAsia="Times New Roman" w:hAnsi="Palatino Linotype" w:cs="Times New Roman"/>
                <w:b/>
                <w:i/>
                <w:sz w:val="20"/>
                <w:szCs w:val="20"/>
                <w:lang w:val="es-ES" w:eastAsia="es-ES"/>
              </w:rPr>
              <w:t>DAÑO PROBABLE:</w:t>
            </w:r>
          </w:p>
          <w:p w14:paraId="069F0B08" w14:textId="77777777" w:rsidR="00F5673D" w:rsidRPr="00BF3E35" w:rsidRDefault="00F5673D" w:rsidP="00BF3E35">
            <w:pPr>
              <w:ind w:left="29" w:firstLine="18"/>
              <w:jc w:val="both"/>
              <w:rPr>
                <w:rFonts w:ascii="Palatino Linotype" w:eastAsia="Times New Roman" w:hAnsi="Palatino Linotype" w:cs="Times New Roman"/>
                <w:i/>
                <w:sz w:val="20"/>
                <w:szCs w:val="20"/>
                <w:lang w:val="es-ES" w:eastAsia="es-ES"/>
              </w:rPr>
            </w:pPr>
            <w:r w:rsidRPr="00BF3E35">
              <w:rPr>
                <w:rFonts w:ascii="Palatino Linotype" w:eastAsia="Times New Roman" w:hAnsi="Palatino Linotype" w:cs="Times New Roman"/>
                <w:i/>
                <w:sz w:val="20"/>
                <w:szCs w:val="20"/>
                <w:lang w:val="es-ES" w:eastAsia="es-ES"/>
              </w:rPr>
              <w:t xml:space="preserve">El tener acceso a la información solicitada, </w:t>
            </w:r>
            <w:r w:rsidRPr="00BF3E35">
              <w:rPr>
                <w:rFonts w:ascii="Palatino Linotype" w:eastAsia="Times New Roman" w:hAnsi="Palatino Linotype" w:cs="Times New Roman"/>
                <w:i/>
                <w:sz w:val="20"/>
                <w:szCs w:val="20"/>
                <w:u w:val="single"/>
                <w:lang w:val="es-ES" w:eastAsia="es-ES"/>
              </w:rPr>
              <w:t>puede obstaculizar el desarrollo del programa de recaudación municipal</w:t>
            </w:r>
            <w:r w:rsidRPr="00BF3E35">
              <w:rPr>
                <w:rFonts w:ascii="Palatino Linotype" w:eastAsia="Times New Roman" w:hAnsi="Palatino Linotype" w:cs="Times New Roman"/>
                <w:i/>
                <w:sz w:val="20"/>
                <w:szCs w:val="20"/>
                <w:lang w:val="es-ES" w:eastAsia="es-ES"/>
              </w:rPr>
              <w:t>.</w:t>
            </w:r>
          </w:p>
          <w:p w14:paraId="1E76D93F" w14:textId="77777777" w:rsidR="00F5673D" w:rsidRPr="00BF3E35" w:rsidRDefault="00F5673D" w:rsidP="00BF3E35">
            <w:pPr>
              <w:ind w:left="29" w:firstLine="18"/>
              <w:jc w:val="both"/>
              <w:rPr>
                <w:rFonts w:ascii="Palatino Linotype" w:eastAsia="Times New Roman" w:hAnsi="Palatino Linotype" w:cs="Times New Roman"/>
                <w:i/>
                <w:sz w:val="20"/>
                <w:szCs w:val="20"/>
                <w:lang w:val="es-ES" w:eastAsia="es-ES"/>
              </w:rPr>
            </w:pPr>
          </w:p>
          <w:p w14:paraId="50790739" w14:textId="77777777" w:rsidR="00F5673D" w:rsidRPr="00BF3E35" w:rsidRDefault="00F5673D" w:rsidP="00BF3E35">
            <w:pPr>
              <w:ind w:left="29" w:firstLine="18"/>
              <w:jc w:val="both"/>
              <w:rPr>
                <w:rFonts w:ascii="Palatino Linotype" w:eastAsia="Times New Roman" w:hAnsi="Palatino Linotype" w:cs="Times New Roman"/>
                <w:b/>
                <w:i/>
                <w:sz w:val="20"/>
                <w:szCs w:val="20"/>
                <w:lang w:val="es-ES" w:eastAsia="es-ES"/>
              </w:rPr>
            </w:pPr>
            <w:r w:rsidRPr="00BF3E35">
              <w:rPr>
                <w:rFonts w:ascii="Palatino Linotype" w:eastAsia="Times New Roman" w:hAnsi="Palatino Linotype" w:cs="Times New Roman"/>
                <w:b/>
                <w:i/>
                <w:sz w:val="20"/>
                <w:szCs w:val="20"/>
                <w:lang w:val="es-ES" w:eastAsia="es-ES"/>
              </w:rPr>
              <w:t>DAÑO ESPECÍFICO</w:t>
            </w:r>
          </w:p>
          <w:p w14:paraId="4E16FE88" w14:textId="77777777" w:rsidR="00F5673D" w:rsidRPr="00BF3E35" w:rsidRDefault="00F5673D" w:rsidP="00BF3E35">
            <w:pPr>
              <w:ind w:left="29" w:firstLine="18"/>
              <w:jc w:val="both"/>
              <w:rPr>
                <w:rFonts w:ascii="Palatino Linotype" w:eastAsia="Times New Roman" w:hAnsi="Palatino Linotype" w:cs="Times New Roman"/>
                <w:i/>
                <w:sz w:val="20"/>
                <w:szCs w:val="20"/>
                <w:lang w:val="es-ES" w:eastAsia="es-ES"/>
              </w:rPr>
            </w:pPr>
            <w:r w:rsidRPr="00BF3E35">
              <w:rPr>
                <w:rFonts w:ascii="Palatino Linotype" w:eastAsia="Times New Roman" w:hAnsi="Palatino Linotype" w:cs="Times New Roman"/>
                <w:i/>
                <w:sz w:val="20"/>
                <w:szCs w:val="20"/>
                <w:lang w:val="es-ES" w:eastAsia="es-ES"/>
              </w:rPr>
              <w:t xml:space="preserve">Entregar dicha información representa una amenaza porque </w:t>
            </w:r>
            <w:r w:rsidRPr="00BF3E35">
              <w:rPr>
                <w:rFonts w:ascii="Palatino Linotype" w:eastAsia="Times New Roman" w:hAnsi="Palatino Linotype" w:cs="Times New Roman"/>
                <w:i/>
                <w:sz w:val="20"/>
                <w:szCs w:val="20"/>
                <w:u w:val="single"/>
                <w:lang w:val="es-ES" w:eastAsia="es-ES"/>
              </w:rPr>
              <w:t>puede vulnerarse la recaudación por concepto de ocupación de la vía pública</w:t>
            </w:r>
            <w:r w:rsidRPr="00BF3E35">
              <w:rPr>
                <w:rFonts w:ascii="Palatino Linotype" w:eastAsia="Times New Roman" w:hAnsi="Palatino Linotype" w:cs="Times New Roman"/>
                <w:i/>
                <w:sz w:val="20"/>
                <w:szCs w:val="20"/>
                <w:lang w:val="es-ES" w:eastAsia="es-ES"/>
              </w:rPr>
              <w:t xml:space="preserve"> y lugares de uso común para estacionamiento de vehículos automotores por medio de los </w:t>
            </w:r>
            <w:proofErr w:type="spellStart"/>
            <w:r w:rsidRPr="00BF3E35">
              <w:rPr>
                <w:rFonts w:ascii="Palatino Linotype" w:eastAsia="Times New Roman" w:hAnsi="Palatino Linotype" w:cs="Times New Roman"/>
                <w:i/>
                <w:sz w:val="20"/>
                <w:szCs w:val="20"/>
                <w:lang w:val="es-ES" w:eastAsia="es-ES"/>
              </w:rPr>
              <w:t>estacionómetros</w:t>
            </w:r>
            <w:proofErr w:type="spellEnd"/>
            <w:r w:rsidRPr="00BF3E35">
              <w:rPr>
                <w:rFonts w:ascii="Palatino Linotype" w:eastAsia="Times New Roman" w:hAnsi="Palatino Linotype" w:cs="Times New Roman"/>
                <w:i/>
                <w:sz w:val="20"/>
                <w:szCs w:val="20"/>
                <w:lang w:val="es-ES" w:eastAsia="es-ES"/>
              </w:rPr>
              <w:t>.</w:t>
            </w:r>
          </w:p>
          <w:p w14:paraId="632F85AA" w14:textId="77777777" w:rsidR="00F5673D" w:rsidRPr="00BF3E35" w:rsidRDefault="00F5673D" w:rsidP="00BF3E35">
            <w:pPr>
              <w:ind w:left="29" w:firstLine="18"/>
              <w:jc w:val="both"/>
              <w:rPr>
                <w:rFonts w:ascii="Palatino Linotype" w:eastAsia="Times New Roman" w:hAnsi="Palatino Linotype" w:cs="Times New Roman"/>
                <w:i/>
                <w:sz w:val="20"/>
                <w:szCs w:val="20"/>
                <w:lang w:val="es-ES" w:eastAsia="es-ES"/>
              </w:rPr>
            </w:pPr>
          </w:p>
          <w:p w14:paraId="3127B7EE" w14:textId="77777777" w:rsidR="00F5673D" w:rsidRPr="00BF3E35" w:rsidRDefault="00F5673D" w:rsidP="00BF3E35">
            <w:pPr>
              <w:ind w:left="29" w:firstLine="18"/>
              <w:jc w:val="both"/>
              <w:rPr>
                <w:rFonts w:ascii="Palatino Linotype" w:eastAsia="Times New Roman" w:hAnsi="Palatino Linotype" w:cs="Times New Roman"/>
                <w:b/>
                <w:i/>
                <w:sz w:val="20"/>
                <w:szCs w:val="20"/>
                <w:lang w:val="es-ES" w:eastAsia="es-ES"/>
              </w:rPr>
            </w:pPr>
            <w:r w:rsidRPr="00BF3E35">
              <w:rPr>
                <w:rFonts w:ascii="Palatino Linotype" w:eastAsia="Times New Roman" w:hAnsi="Palatino Linotype" w:cs="Times New Roman"/>
                <w:b/>
                <w:i/>
                <w:sz w:val="20"/>
                <w:szCs w:val="20"/>
                <w:lang w:val="es-ES" w:eastAsia="es-ES"/>
              </w:rPr>
              <w:t>ACREDITACIÓN DE MODO, TIEMPO Y LUGAR DEL DAÑO</w:t>
            </w:r>
          </w:p>
          <w:p w14:paraId="5BC7F1E3" w14:textId="77777777" w:rsidR="00F5673D" w:rsidRPr="00BF3E35" w:rsidRDefault="00F5673D" w:rsidP="00BF3E35">
            <w:pPr>
              <w:ind w:left="29" w:firstLine="18"/>
              <w:jc w:val="both"/>
              <w:rPr>
                <w:rFonts w:ascii="Palatino Linotype" w:eastAsia="Times New Roman" w:hAnsi="Palatino Linotype" w:cs="Times New Roman"/>
                <w:i/>
                <w:sz w:val="20"/>
                <w:szCs w:val="20"/>
                <w:lang w:val="es-ES" w:eastAsia="es-ES"/>
              </w:rPr>
            </w:pPr>
            <w:r w:rsidRPr="00BF3E35">
              <w:rPr>
                <w:rFonts w:ascii="Palatino Linotype" w:eastAsia="Times New Roman" w:hAnsi="Palatino Linotype" w:cs="Times New Roman"/>
                <w:i/>
                <w:sz w:val="20"/>
                <w:szCs w:val="20"/>
                <w:lang w:val="es-ES" w:eastAsia="es-ES"/>
              </w:rPr>
              <w:lastRenderedPageBreak/>
              <w:t xml:space="preserve">Al dejar a la vista datos que deben ser protegidos, se compromete el desarrollo de la contratación del servicio de parquímetros, al exponer la información que es parte sustancial de dicho contrato, </w:t>
            </w:r>
            <w:r w:rsidRPr="00BF3E35">
              <w:rPr>
                <w:rFonts w:ascii="Palatino Linotype" w:eastAsia="Times New Roman" w:hAnsi="Palatino Linotype" w:cs="Times New Roman"/>
                <w:i/>
                <w:sz w:val="20"/>
                <w:szCs w:val="20"/>
                <w:u w:val="single"/>
                <w:lang w:val="es-ES" w:eastAsia="es-ES"/>
              </w:rPr>
              <w:t>potenciando una amenaza y perjuicios a recaudación municipal, ya que se podría hacer mal uso de la información.</w:t>
            </w:r>
          </w:p>
          <w:p w14:paraId="209775CC" w14:textId="77777777" w:rsidR="00F5673D" w:rsidRPr="00BF3E35" w:rsidRDefault="00F5673D" w:rsidP="00BF3E35">
            <w:pPr>
              <w:ind w:left="29" w:firstLine="18"/>
              <w:jc w:val="both"/>
              <w:rPr>
                <w:rFonts w:ascii="Palatino Linotype" w:eastAsia="Times New Roman" w:hAnsi="Palatino Linotype" w:cs="Times New Roman"/>
                <w:i/>
                <w:sz w:val="20"/>
                <w:szCs w:val="20"/>
                <w:lang w:val="es-ES" w:eastAsia="es-ES"/>
              </w:rPr>
            </w:pPr>
          </w:p>
          <w:p w14:paraId="6D8ECEE6" w14:textId="77777777" w:rsidR="00F5673D" w:rsidRPr="00BF3E35" w:rsidRDefault="00F5673D" w:rsidP="00BF3E35">
            <w:pPr>
              <w:ind w:left="29" w:firstLine="18"/>
              <w:jc w:val="both"/>
              <w:rPr>
                <w:rFonts w:ascii="Palatino Linotype" w:eastAsia="Times New Roman" w:hAnsi="Palatino Linotype" w:cs="Times New Roman"/>
                <w:i/>
                <w:sz w:val="20"/>
                <w:szCs w:val="20"/>
                <w:lang w:val="es-ES" w:eastAsia="es-ES"/>
              </w:rPr>
            </w:pPr>
            <w:r w:rsidRPr="00BF3E35">
              <w:rPr>
                <w:rFonts w:ascii="Palatino Linotype" w:eastAsia="Times New Roman" w:hAnsi="Palatino Linotype" w:cs="Times New Roman"/>
                <w:i/>
                <w:sz w:val="20"/>
                <w:szCs w:val="20"/>
                <w:lang w:val="es-ES" w:eastAsia="es-ES"/>
              </w:rPr>
              <w:t xml:space="preserve">Las atribuciones de esta Dirección General de Administración, tienen como fin Intervenir, vigilar y dar el seguimiento correspondiente a todos los procedimientos de adquisición, arrendamiento de inmuebles, contratación de servicios, enajenación y subasta de bienes, conforme a los lineamientos establecidos en la normatividad correspondiente; considerando que la información referida debe reservarse por un período de 2 años, de conformidad con el artículo 125 y 140 fracción V de la Ley de Transparencia y </w:t>
            </w:r>
            <w:r w:rsidR="00A0710E" w:rsidRPr="00BF3E35">
              <w:rPr>
                <w:rFonts w:ascii="Palatino Linotype" w:eastAsia="Times New Roman" w:hAnsi="Palatino Linotype" w:cs="Times New Roman"/>
                <w:i/>
                <w:sz w:val="20"/>
                <w:szCs w:val="20"/>
                <w:lang w:val="es-ES" w:eastAsia="es-ES"/>
              </w:rPr>
              <w:t>Acceso</w:t>
            </w:r>
            <w:r w:rsidRPr="00BF3E35">
              <w:rPr>
                <w:rFonts w:ascii="Palatino Linotype" w:eastAsia="Times New Roman" w:hAnsi="Palatino Linotype" w:cs="Times New Roman"/>
                <w:i/>
                <w:sz w:val="20"/>
                <w:szCs w:val="20"/>
                <w:lang w:val="es-ES" w:eastAsia="es-ES"/>
              </w:rPr>
              <w:t xml:space="preserve"> a la Información Pública del Estado de México y Municipios.</w:t>
            </w:r>
          </w:p>
          <w:p w14:paraId="1AA44BD0" w14:textId="77777777" w:rsidR="00F5673D" w:rsidRPr="00BF3E35" w:rsidRDefault="00F5673D" w:rsidP="00BF3E35">
            <w:pPr>
              <w:ind w:left="29" w:firstLine="18"/>
              <w:jc w:val="both"/>
              <w:rPr>
                <w:rFonts w:ascii="Palatino Linotype" w:eastAsia="Times New Roman" w:hAnsi="Palatino Linotype" w:cs="Times New Roman"/>
                <w:i/>
                <w:sz w:val="20"/>
                <w:szCs w:val="20"/>
                <w:lang w:val="es-ES" w:eastAsia="es-ES"/>
              </w:rPr>
            </w:pPr>
          </w:p>
          <w:p w14:paraId="2BFD2096" w14:textId="77777777" w:rsidR="00F5673D" w:rsidRPr="00BF3E35" w:rsidRDefault="00F5673D" w:rsidP="00BF3E35">
            <w:pPr>
              <w:ind w:left="29" w:firstLine="18"/>
              <w:jc w:val="both"/>
              <w:rPr>
                <w:rFonts w:ascii="Palatino Linotype" w:eastAsia="Times New Roman" w:hAnsi="Palatino Linotype" w:cs="Times New Roman"/>
                <w:b/>
                <w:i/>
                <w:sz w:val="20"/>
                <w:szCs w:val="20"/>
                <w:lang w:val="es-ES" w:eastAsia="es-ES"/>
              </w:rPr>
            </w:pPr>
            <w:r w:rsidRPr="00BF3E35">
              <w:rPr>
                <w:rFonts w:ascii="Palatino Linotype" w:eastAsia="Times New Roman" w:hAnsi="Palatino Linotype" w:cs="Times New Roman"/>
                <w:b/>
                <w:i/>
                <w:sz w:val="20"/>
                <w:szCs w:val="20"/>
                <w:lang w:val="es-ES" w:eastAsia="es-ES"/>
              </w:rPr>
              <w:t>LA LIMITACIÓN DE LA PUBLICACIÓN DE LA INFORMACIÓN SE ADECUA AL PRINCIPIO DE PROPORCIONALIDAD</w:t>
            </w:r>
          </w:p>
          <w:p w14:paraId="28D7F2E9" w14:textId="77777777" w:rsidR="00F5673D" w:rsidRPr="00BF3E35" w:rsidRDefault="00F5673D" w:rsidP="00BF3E35">
            <w:pPr>
              <w:ind w:left="29" w:firstLine="18"/>
              <w:jc w:val="both"/>
              <w:rPr>
                <w:rFonts w:ascii="Palatino Linotype" w:eastAsia="Times New Roman" w:hAnsi="Palatino Linotype" w:cs="Times New Roman"/>
                <w:i/>
                <w:sz w:val="20"/>
                <w:szCs w:val="20"/>
                <w:lang w:val="es-ES" w:eastAsia="es-ES"/>
              </w:rPr>
            </w:pPr>
            <w:r w:rsidRPr="00BF3E35">
              <w:rPr>
                <w:rFonts w:ascii="Palatino Linotype" w:eastAsia="Times New Roman" w:hAnsi="Palatino Linotype" w:cs="Times New Roman"/>
                <w:i/>
                <w:sz w:val="20"/>
                <w:szCs w:val="20"/>
                <w:lang w:val="es-ES" w:eastAsia="es-ES"/>
              </w:rPr>
              <w:t xml:space="preserve">Respecto a que </w:t>
            </w:r>
            <w:r w:rsidRPr="00BF3E35">
              <w:rPr>
                <w:rFonts w:ascii="Palatino Linotype" w:eastAsia="Times New Roman" w:hAnsi="Palatino Linotype" w:cs="Times New Roman"/>
                <w:i/>
                <w:sz w:val="20"/>
                <w:szCs w:val="20"/>
                <w:u w:val="single"/>
                <w:lang w:val="es-ES" w:eastAsia="es-ES"/>
              </w:rPr>
              <w:t>debe existir una ponderación entre las ventajas y los perjuicios que se generen cuando se limita un derecho a fin de proteger otro, en definitiva ello implica que los medios elegidos mantienen una relación razonable con el resultado perseguido, en este orden de ideas</w:t>
            </w:r>
            <w:r w:rsidRPr="00BF3E35">
              <w:rPr>
                <w:rFonts w:ascii="Palatino Linotype" w:eastAsia="Times New Roman" w:hAnsi="Palatino Linotype" w:cs="Times New Roman"/>
                <w:i/>
                <w:sz w:val="20"/>
                <w:szCs w:val="20"/>
                <w:lang w:val="es-ES" w:eastAsia="es-ES"/>
              </w:rPr>
              <w:t>, la presente solicitud de clasificación para reservar datos que se consideran reservados para su divulgación siendo lo menos restrictivos posible, toda vez que la contratación de servicios es una función de orden público e interés social, a cargo de los tres órdenes de gobierno que tiene como fines abastecer, dotar y suministrar bienes y servicios, sin embargo lo que conlleva por el momento no es y no deberá ser de interés público e interés social, puesto que supera al interés del solicitante, con lo que se da cabal cumplimiento al artículo 129 de la Ley de Transparencia y Acceso a la Información Pública del Estado de México y M</w:t>
            </w:r>
            <w:r w:rsidR="00227A86" w:rsidRPr="00BF3E35">
              <w:rPr>
                <w:rFonts w:ascii="Palatino Linotype" w:eastAsia="Times New Roman" w:hAnsi="Palatino Linotype" w:cs="Times New Roman"/>
                <w:i/>
                <w:sz w:val="20"/>
                <w:szCs w:val="20"/>
                <w:lang w:val="es-ES" w:eastAsia="es-ES"/>
              </w:rPr>
              <w:t>unicipios.</w:t>
            </w:r>
          </w:p>
          <w:p w14:paraId="7F8E9501" w14:textId="77777777" w:rsidR="00443E1A" w:rsidRPr="00BF3E35" w:rsidRDefault="00443E1A" w:rsidP="00BF3E35">
            <w:pPr>
              <w:ind w:left="29" w:firstLine="18"/>
              <w:jc w:val="both"/>
              <w:rPr>
                <w:rFonts w:ascii="Palatino Linotype" w:eastAsia="Times New Roman" w:hAnsi="Palatino Linotype" w:cs="Times New Roman"/>
                <w:sz w:val="20"/>
                <w:szCs w:val="20"/>
                <w:lang w:val="es-ES" w:eastAsia="es-ES"/>
              </w:rPr>
            </w:pPr>
          </w:p>
        </w:tc>
      </w:tr>
      <w:tr w:rsidR="00443E1A" w:rsidRPr="00BF3E35" w14:paraId="2FAC11C3" w14:textId="77777777" w:rsidTr="005909B1">
        <w:tc>
          <w:tcPr>
            <w:tcW w:w="1560" w:type="dxa"/>
            <w:shd w:val="clear" w:color="auto" w:fill="D5DCE4" w:themeFill="text2" w:themeFillTint="33"/>
            <w:vAlign w:val="center"/>
          </w:tcPr>
          <w:p w14:paraId="78AC758E" w14:textId="77777777" w:rsidR="00443E1A" w:rsidRPr="00BF3E35" w:rsidRDefault="00443E1A" w:rsidP="00BF3E35">
            <w:pPr>
              <w:jc w:val="center"/>
              <w:rPr>
                <w:rFonts w:ascii="Palatino Linotype" w:hAnsi="Palatino Linotype"/>
                <w:b/>
                <w:sz w:val="18"/>
                <w:szCs w:val="20"/>
              </w:rPr>
            </w:pPr>
            <w:r w:rsidRPr="00BF3E35">
              <w:rPr>
                <w:rFonts w:ascii="Palatino Linotype" w:hAnsi="Palatino Linotype"/>
                <w:b/>
                <w:sz w:val="18"/>
                <w:szCs w:val="20"/>
              </w:rPr>
              <w:lastRenderedPageBreak/>
              <w:t>Temporalidad de la Reserva de la información</w:t>
            </w:r>
          </w:p>
        </w:tc>
        <w:tc>
          <w:tcPr>
            <w:tcW w:w="1417" w:type="dxa"/>
            <w:shd w:val="clear" w:color="auto" w:fill="D5DCE4" w:themeFill="text2" w:themeFillTint="33"/>
            <w:vAlign w:val="center"/>
          </w:tcPr>
          <w:p w14:paraId="0B26BED4" w14:textId="77777777" w:rsidR="00443E1A" w:rsidRPr="00BF3E35" w:rsidRDefault="00443E1A" w:rsidP="00BF3E35">
            <w:pPr>
              <w:ind w:left="29" w:firstLine="18"/>
              <w:jc w:val="center"/>
              <w:rPr>
                <w:rFonts w:ascii="Palatino Linotype" w:eastAsia="Times New Roman" w:hAnsi="Palatino Linotype" w:cs="Times New Roman"/>
                <w:b/>
                <w:sz w:val="20"/>
                <w:szCs w:val="20"/>
                <w:lang w:val="es-ES" w:eastAsia="es-ES"/>
              </w:rPr>
            </w:pPr>
            <w:r w:rsidRPr="00BF3E35">
              <w:rPr>
                <w:rFonts w:ascii="Palatino Linotype" w:eastAsia="Times New Roman" w:hAnsi="Palatino Linotype" w:cs="Times New Roman"/>
                <w:b/>
                <w:sz w:val="20"/>
                <w:szCs w:val="20"/>
                <w:lang w:val="es-ES" w:eastAsia="es-ES"/>
              </w:rPr>
              <w:t>Sí</w:t>
            </w:r>
          </w:p>
        </w:tc>
        <w:tc>
          <w:tcPr>
            <w:tcW w:w="6095" w:type="dxa"/>
            <w:shd w:val="clear" w:color="auto" w:fill="D5DCE4" w:themeFill="text2" w:themeFillTint="33"/>
            <w:vAlign w:val="center"/>
          </w:tcPr>
          <w:p w14:paraId="68737067" w14:textId="77777777" w:rsidR="00443E1A" w:rsidRPr="00BF3E35" w:rsidRDefault="00F5673D" w:rsidP="00BF3E35">
            <w:pPr>
              <w:ind w:left="29" w:firstLine="18"/>
              <w:jc w:val="both"/>
              <w:rPr>
                <w:rFonts w:ascii="Palatino Linotype" w:eastAsia="Times New Roman" w:hAnsi="Palatino Linotype" w:cs="Times New Roman"/>
                <w:i/>
                <w:sz w:val="20"/>
                <w:szCs w:val="20"/>
                <w:lang w:eastAsia="es-ES"/>
              </w:rPr>
            </w:pPr>
            <w:r w:rsidRPr="00BF3E35">
              <w:rPr>
                <w:rFonts w:ascii="Palatino Linotype" w:eastAsia="Times New Roman" w:hAnsi="Palatino Linotype" w:cs="Times New Roman"/>
                <w:i/>
                <w:sz w:val="20"/>
                <w:szCs w:val="20"/>
                <w:lang w:eastAsia="es-ES"/>
              </w:rPr>
              <w:t xml:space="preserve">Con fundamento en lo dispuesto por el artículo 59 fracción V de la citada Ley de Transparencia Estatal, por unanimidad de votos se clasifica como reserva total la información concerniente a “…contratación de servicio de parquímetros…” (sic) por </w:t>
            </w:r>
            <w:r w:rsidRPr="00BF3E35">
              <w:rPr>
                <w:rFonts w:ascii="Palatino Linotype" w:eastAsia="Times New Roman" w:hAnsi="Palatino Linotype" w:cs="Times New Roman"/>
                <w:b/>
                <w:i/>
                <w:sz w:val="20"/>
                <w:szCs w:val="20"/>
                <w:lang w:eastAsia="es-ES"/>
              </w:rPr>
              <w:t>un periodo de dos años.</w:t>
            </w:r>
          </w:p>
        </w:tc>
      </w:tr>
      <w:tr w:rsidR="00443E1A" w:rsidRPr="00BF3E35" w14:paraId="2DB7753E" w14:textId="77777777" w:rsidTr="005909B1">
        <w:trPr>
          <w:trHeight w:val="1204"/>
        </w:trPr>
        <w:tc>
          <w:tcPr>
            <w:tcW w:w="1560" w:type="dxa"/>
            <w:shd w:val="clear" w:color="auto" w:fill="F2F2F2" w:themeFill="background1" w:themeFillShade="F2"/>
            <w:vAlign w:val="center"/>
          </w:tcPr>
          <w:p w14:paraId="7732205B" w14:textId="77777777" w:rsidR="00443E1A" w:rsidRPr="00BF3E35" w:rsidRDefault="00443E1A" w:rsidP="00BF3E35">
            <w:pPr>
              <w:tabs>
                <w:tab w:val="left" w:pos="317"/>
              </w:tabs>
              <w:jc w:val="center"/>
              <w:rPr>
                <w:rFonts w:ascii="Palatino Linotype" w:hAnsi="Palatino Linotype"/>
                <w:b/>
                <w:sz w:val="18"/>
                <w:szCs w:val="20"/>
              </w:rPr>
            </w:pPr>
            <w:r w:rsidRPr="00BF3E35">
              <w:rPr>
                <w:rFonts w:ascii="Palatino Linotype" w:hAnsi="Palatino Linotype"/>
                <w:b/>
                <w:sz w:val="18"/>
                <w:szCs w:val="20"/>
              </w:rPr>
              <w:t>Autoridades competentes.</w:t>
            </w:r>
          </w:p>
        </w:tc>
        <w:tc>
          <w:tcPr>
            <w:tcW w:w="1417" w:type="dxa"/>
            <w:shd w:val="clear" w:color="auto" w:fill="F2F2F2" w:themeFill="background1" w:themeFillShade="F2"/>
            <w:vAlign w:val="center"/>
          </w:tcPr>
          <w:p w14:paraId="59103DF1" w14:textId="77777777" w:rsidR="00443E1A" w:rsidRPr="00BF3E35" w:rsidRDefault="00F5673D" w:rsidP="00BF3E35">
            <w:pPr>
              <w:ind w:left="29" w:firstLine="18"/>
              <w:jc w:val="center"/>
              <w:rPr>
                <w:rFonts w:ascii="Palatino Linotype" w:eastAsia="Times New Roman" w:hAnsi="Palatino Linotype" w:cs="Times New Roman"/>
                <w:b/>
                <w:sz w:val="20"/>
                <w:szCs w:val="20"/>
                <w:lang w:val="es-ES" w:eastAsia="es-ES"/>
              </w:rPr>
            </w:pPr>
            <w:r w:rsidRPr="00BF3E35">
              <w:rPr>
                <w:rFonts w:ascii="Palatino Linotype" w:eastAsia="Times New Roman" w:hAnsi="Palatino Linotype" w:cs="Times New Roman"/>
                <w:b/>
                <w:sz w:val="20"/>
                <w:szCs w:val="20"/>
                <w:lang w:val="es-ES" w:eastAsia="es-ES"/>
              </w:rPr>
              <w:t>Sí</w:t>
            </w:r>
          </w:p>
        </w:tc>
        <w:tc>
          <w:tcPr>
            <w:tcW w:w="6095" w:type="dxa"/>
            <w:shd w:val="clear" w:color="auto" w:fill="F2F2F2" w:themeFill="background1" w:themeFillShade="F2"/>
          </w:tcPr>
          <w:p w14:paraId="5F251C31" w14:textId="77777777" w:rsidR="00443E1A" w:rsidRPr="00BF3E35" w:rsidRDefault="00227A86" w:rsidP="00BF3E35">
            <w:pPr>
              <w:jc w:val="both"/>
              <w:rPr>
                <w:rFonts w:ascii="Palatino Linotype" w:hAnsi="Palatino Linotype"/>
                <w:sz w:val="20"/>
                <w:szCs w:val="20"/>
              </w:rPr>
            </w:pPr>
            <w:r w:rsidRPr="00BF3E35">
              <w:rPr>
                <w:rFonts w:ascii="Palatino Linotype" w:hAnsi="Palatino Linotype"/>
                <w:noProof/>
                <w:sz w:val="20"/>
                <w:szCs w:val="20"/>
                <w:lang w:eastAsia="es-MX"/>
              </w:rPr>
              <w:t>Contiene las firmas de las titular de la Unidad de TRansaprencia y Presidenta del Comité de Transparencia; de la Jefa de Archivo de Concentración y Suplente de la Responsable del Área Coordinadora de Archivos; dela Delegada yy Suplente del Contralor Municipal, de la Directora de Administración y del Jefe del Departamento de Protección de Datos Personales.</w:t>
            </w:r>
          </w:p>
        </w:tc>
      </w:tr>
    </w:tbl>
    <w:p w14:paraId="7219A582" w14:textId="77777777" w:rsidR="00443E1A" w:rsidRPr="00443E1A" w:rsidRDefault="00443E1A" w:rsidP="00BF3E35">
      <w:pPr>
        <w:spacing w:after="0" w:line="360" w:lineRule="auto"/>
        <w:jc w:val="both"/>
        <w:rPr>
          <w:rFonts w:ascii="Palatino Linotype" w:hAnsi="Palatino Linotype"/>
          <w:sz w:val="24"/>
          <w:szCs w:val="24"/>
        </w:rPr>
      </w:pPr>
    </w:p>
    <w:p w14:paraId="5CEF7232" w14:textId="77777777" w:rsidR="00443E1A" w:rsidRPr="00443E1A" w:rsidRDefault="00443E1A" w:rsidP="00BF3E35">
      <w:pPr>
        <w:spacing w:after="0" w:line="360" w:lineRule="auto"/>
        <w:jc w:val="both"/>
        <w:rPr>
          <w:rFonts w:ascii="Palatino Linotype" w:hAnsi="Palatino Linotype"/>
          <w:sz w:val="24"/>
          <w:szCs w:val="24"/>
        </w:rPr>
      </w:pPr>
      <w:r w:rsidRPr="00443E1A">
        <w:rPr>
          <w:rFonts w:ascii="Palatino Linotype" w:hAnsi="Palatino Linotype"/>
          <w:sz w:val="24"/>
          <w:szCs w:val="24"/>
        </w:rPr>
        <w:lastRenderedPageBreak/>
        <w:t xml:space="preserve">En razón de lo anterior, se destaca que la pauta metodológica necesaria para clasificar la información como reservada se desprende inicialmente de identificar las causales aplicables, por ello, resulta oportuno realizar un análisis sistemático del numeral 140 de la Ley de Transparencia y Acceso a la Información Pública del Estado de México y Municipios, </w:t>
      </w:r>
      <w:r w:rsidRPr="00443E1A">
        <w:rPr>
          <w:rFonts w:ascii="Palatino Linotype" w:hAnsi="Palatino Linotype"/>
          <w:b/>
          <w:sz w:val="24"/>
          <w:szCs w:val="24"/>
        </w:rPr>
        <w:t>así como el artículo 113 de la Ley General de Transparencia</w:t>
      </w:r>
      <w:r w:rsidRPr="00443E1A">
        <w:rPr>
          <w:rFonts w:ascii="Palatino Linotype" w:hAnsi="Palatino Linotype"/>
          <w:sz w:val="24"/>
          <w:szCs w:val="24"/>
        </w:rPr>
        <w:t xml:space="preserve">, que disponen a la literalidad lo siguiente: </w:t>
      </w:r>
    </w:p>
    <w:p w14:paraId="68FCDFAC" w14:textId="77777777" w:rsidR="00443E1A" w:rsidRPr="00443E1A" w:rsidRDefault="00443E1A" w:rsidP="00BF3E35">
      <w:pPr>
        <w:spacing w:after="0" w:line="360" w:lineRule="auto"/>
        <w:jc w:val="both"/>
        <w:rPr>
          <w:rFonts w:ascii="Palatino Linotype" w:hAnsi="Palatino Linotype"/>
          <w:sz w:val="24"/>
          <w:szCs w:val="24"/>
        </w:rPr>
      </w:pPr>
    </w:p>
    <w:p w14:paraId="481DBED2" w14:textId="77777777" w:rsidR="00443E1A" w:rsidRPr="00443E1A" w:rsidRDefault="00443E1A" w:rsidP="00BF3E35">
      <w:pPr>
        <w:spacing w:after="0" w:line="240" w:lineRule="auto"/>
        <w:ind w:left="567" w:right="567"/>
        <w:jc w:val="center"/>
        <w:rPr>
          <w:rFonts w:ascii="Palatino Linotype" w:hAnsi="Palatino Linotype" w:cs="Arial"/>
          <w:b/>
          <w:i/>
        </w:rPr>
      </w:pPr>
      <w:r w:rsidRPr="00443E1A">
        <w:rPr>
          <w:rFonts w:ascii="Palatino Linotype" w:hAnsi="Palatino Linotype" w:cs="Arial"/>
          <w:b/>
          <w:i/>
        </w:rPr>
        <w:t xml:space="preserve">Ley de Transparencia y Acceso a la Información Pública del </w:t>
      </w:r>
    </w:p>
    <w:p w14:paraId="382E695D" w14:textId="77777777" w:rsidR="00443E1A" w:rsidRPr="00443E1A" w:rsidRDefault="00443E1A" w:rsidP="00BF3E35">
      <w:pPr>
        <w:spacing w:after="0" w:line="240" w:lineRule="auto"/>
        <w:ind w:left="567" w:right="567"/>
        <w:jc w:val="center"/>
        <w:rPr>
          <w:rFonts w:ascii="Palatino Linotype" w:hAnsi="Palatino Linotype" w:cs="Arial"/>
          <w:b/>
          <w:i/>
        </w:rPr>
      </w:pPr>
      <w:r w:rsidRPr="00443E1A">
        <w:rPr>
          <w:rFonts w:ascii="Palatino Linotype" w:hAnsi="Palatino Linotype" w:cs="Arial"/>
          <w:b/>
          <w:i/>
        </w:rPr>
        <w:t xml:space="preserve">Estado de México y Municipios </w:t>
      </w:r>
    </w:p>
    <w:p w14:paraId="678CDDEA" w14:textId="77777777" w:rsidR="00443E1A" w:rsidRPr="00443E1A" w:rsidRDefault="00443E1A" w:rsidP="00BF3E35">
      <w:pPr>
        <w:spacing w:after="0" w:line="240" w:lineRule="auto"/>
        <w:ind w:left="567" w:right="567"/>
        <w:jc w:val="center"/>
        <w:rPr>
          <w:rFonts w:ascii="Palatino Linotype" w:hAnsi="Palatino Linotype" w:cs="Arial"/>
          <w:b/>
          <w:i/>
        </w:rPr>
      </w:pPr>
    </w:p>
    <w:p w14:paraId="222A3EA3"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w:t>
      </w:r>
      <w:r w:rsidRPr="00443E1A">
        <w:rPr>
          <w:rFonts w:ascii="Palatino Linotype" w:hAnsi="Palatino Linotype" w:cs="Arial"/>
          <w:b/>
          <w:i/>
        </w:rPr>
        <w:t>Artículo 140.</w:t>
      </w:r>
      <w:r w:rsidRPr="00443E1A">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 </w:t>
      </w:r>
    </w:p>
    <w:p w14:paraId="49B1CAE1" w14:textId="77777777" w:rsidR="00443E1A" w:rsidRPr="00443E1A" w:rsidRDefault="00443E1A" w:rsidP="00BF3E35">
      <w:pPr>
        <w:spacing w:after="0" w:line="240" w:lineRule="auto"/>
        <w:ind w:left="567" w:right="567"/>
        <w:jc w:val="both"/>
        <w:rPr>
          <w:rFonts w:ascii="Palatino Linotype" w:hAnsi="Palatino Linotype" w:cs="Arial"/>
          <w:i/>
        </w:rPr>
      </w:pPr>
      <w:r w:rsidRPr="00A0710E">
        <w:rPr>
          <w:rFonts w:ascii="Palatino Linotype" w:hAnsi="Palatino Linotype" w:cs="Arial"/>
          <w:b/>
          <w:i/>
        </w:rPr>
        <w:t>I.</w:t>
      </w:r>
      <w:r w:rsidRPr="00443E1A">
        <w:rPr>
          <w:rFonts w:ascii="Palatino Linotype" w:hAnsi="Palatino Linotype" w:cs="Arial"/>
          <w:i/>
        </w:rPr>
        <w:t xml:space="preserve"> </w:t>
      </w:r>
      <w:r w:rsidRPr="00A0710E">
        <w:rPr>
          <w:rFonts w:ascii="Palatino Linotype" w:hAnsi="Palatino Linotype" w:cs="Arial"/>
          <w:i/>
          <w:u w:val="single"/>
        </w:rPr>
        <w:t>Comprometa la seguridad pública y cuente con un propósito genuino y un efecto demostrable;</w:t>
      </w:r>
      <w:r w:rsidRPr="00443E1A">
        <w:rPr>
          <w:rFonts w:ascii="Palatino Linotype" w:hAnsi="Palatino Linotype" w:cs="Arial"/>
          <w:i/>
        </w:rPr>
        <w:t xml:space="preserve"> </w:t>
      </w:r>
    </w:p>
    <w:p w14:paraId="44C10782"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II. Pueda menoscabar la conducción de las negociaciones y relaciones internacionales; </w:t>
      </w:r>
    </w:p>
    <w:p w14:paraId="3C49E40A"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9BE16FD"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IV. Ponga en riesgo la vida, la seguridad o la salud de una persona física; </w:t>
      </w:r>
    </w:p>
    <w:p w14:paraId="0C84F36E" w14:textId="77777777" w:rsidR="00443E1A" w:rsidRPr="00443E1A" w:rsidRDefault="00443E1A" w:rsidP="00BF3E35">
      <w:pPr>
        <w:spacing w:after="0" w:line="240" w:lineRule="auto"/>
        <w:ind w:left="567" w:right="567"/>
        <w:jc w:val="both"/>
        <w:rPr>
          <w:rFonts w:ascii="Palatino Linotype" w:hAnsi="Palatino Linotype" w:cs="Arial"/>
          <w:i/>
        </w:rPr>
      </w:pPr>
      <w:r w:rsidRPr="00A0710E">
        <w:rPr>
          <w:rFonts w:ascii="Palatino Linotype" w:hAnsi="Palatino Linotype" w:cs="Arial"/>
          <w:b/>
          <w:i/>
        </w:rPr>
        <w:t>V.</w:t>
      </w:r>
      <w:r w:rsidRPr="00443E1A">
        <w:rPr>
          <w:rFonts w:ascii="Palatino Linotype" w:hAnsi="Palatino Linotype" w:cs="Arial"/>
          <w:i/>
        </w:rPr>
        <w:t xml:space="preserve"> </w:t>
      </w:r>
      <w:r w:rsidRPr="00A0710E">
        <w:rPr>
          <w:rFonts w:ascii="Palatino Linotype" w:hAnsi="Palatino Linotype" w:cs="Arial"/>
          <w:i/>
          <w:u w:val="single"/>
        </w:rPr>
        <w:t>Aquella cuya divulgación obstruya o pueda causar un serio perjuicio a</w:t>
      </w:r>
      <w:r w:rsidRPr="00443E1A">
        <w:rPr>
          <w:rFonts w:ascii="Palatino Linotype" w:hAnsi="Palatino Linotype" w:cs="Arial"/>
          <w:i/>
        </w:rPr>
        <w:t xml:space="preserve">: </w:t>
      </w:r>
    </w:p>
    <w:p w14:paraId="637B7ED4" w14:textId="77777777" w:rsidR="00443E1A" w:rsidRPr="00443E1A" w:rsidRDefault="00443E1A" w:rsidP="00BF3E35">
      <w:pPr>
        <w:spacing w:after="0" w:line="240" w:lineRule="auto"/>
        <w:ind w:left="993" w:right="567" w:hanging="284"/>
        <w:jc w:val="both"/>
        <w:rPr>
          <w:rFonts w:ascii="Palatino Linotype" w:hAnsi="Palatino Linotype" w:cs="Arial"/>
          <w:i/>
        </w:rPr>
      </w:pPr>
      <w:r w:rsidRPr="00443E1A">
        <w:rPr>
          <w:rFonts w:ascii="Palatino Linotype" w:hAnsi="Palatino Linotype" w:cs="Arial"/>
          <w:i/>
        </w:rPr>
        <w:t xml:space="preserve">1. Las actividades de fiscalización, verificación, inspección, comprobación y auditoría sobre el cumplimiento de las Leyes; o </w:t>
      </w:r>
    </w:p>
    <w:p w14:paraId="13BD69E1" w14:textId="77777777" w:rsidR="00443E1A" w:rsidRPr="00443E1A" w:rsidRDefault="00443E1A" w:rsidP="00BF3E35">
      <w:pPr>
        <w:spacing w:after="0" w:line="240" w:lineRule="auto"/>
        <w:ind w:left="993" w:right="567" w:hanging="284"/>
        <w:jc w:val="both"/>
        <w:rPr>
          <w:rFonts w:ascii="Palatino Linotype" w:hAnsi="Palatino Linotype" w:cs="Arial"/>
          <w:i/>
        </w:rPr>
      </w:pPr>
      <w:r w:rsidRPr="00443E1A">
        <w:rPr>
          <w:rFonts w:ascii="Palatino Linotype" w:hAnsi="Palatino Linotype" w:cs="Arial"/>
          <w:i/>
        </w:rPr>
        <w:t xml:space="preserve">2. </w:t>
      </w:r>
      <w:r w:rsidRPr="00A0710E">
        <w:rPr>
          <w:rFonts w:ascii="Palatino Linotype" w:hAnsi="Palatino Linotype" w:cs="Arial"/>
          <w:i/>
          <w:u w:val="single"/>
        </w:rPr>
        <w:t>La recaudación de las contribuciones.</w:t>
      </w:r>
      <w:r w:rsidRPr="00443E1A">
        <w:rPr>
          <w:rFonts w:ascii="Palatino Linotype" w:hAnsi="Palatino Linotype" w:cs="Arial"/>
          <w:i/>
        </w:rPr>
        <w:t xml:space="preserve"> </w:t>
      </w:r>
    </w:p>
    <w:p w14:paraId="64938E90" w14:textId="77777777" w:rsidR="00443E1A" w:rsidRPr="00A0710E" w:rsidRDefault="00443E1A" w:rsidP="00BF3E35">
      <w:pPr>
        <w:spacing w:after="0" w:line="240" w:lineRule="auto"/>
        <w:ind w:left="567" w:right="567"/>
        <w:jc w:val="both"/>
        <w:rPr>
          <w:rFonts w:ascii="Palatino Linotype" w:hAnsi="Palatino Linotype" w:cs="Arial"/>
          <w:i/>
        </w:rPr>
      </w:pPr>
      <w:r w:rsidRPr="00A0710E">
        <w:rPr>
          <w:rFonts w:ascii="Palatino Linotype" w:hAnsi="Palatino Linotype" w:cs="Arial"/>
          <w:i/>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0BD12280"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VII. La que contengan las opiniones, recomendaciones o puntos de vista que formen parte del proceso deliberativo de los servidores públicos, hasta en tanto sea adoptada la decisión definitiva, la cual deberá estar documentada; </w:t>
      </w:r>
    </w:p>
    <w:p w14:paraId="71254976"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VIII. Vulnere la conducción de los expedientes judiciales o de los procedimientos administrativos seguidos en forma de juicio, en tanto no hayan quedado firmes; </w:t>
      </w:r>
    </w:p>
    <w:p w14:paraId="3E802037"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lastRenderedPageBreak/>
        <w:t xml:space="preserve">IX. Se encuentre contenida dentro de las investigaciones de hechos que la Ley señale como delitos y se tramiten ante el Ministerio Público; </w:t>
      </w:r>
    </w:p>
    <w:p w14:paraId="5460AAA2" w14:textId="77777777" w:rsidR="00443E1A" w:rsidRPr="00A0710E"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b/>
          <w:i/>
        </w:rPr>
        <w:t>X</w:t>
      </w:r>
      <w:r w:rsidRPr="00A0710E">
        <w:rPr>
          <w:rFonts w:ascii="Palatino Linotype" w:hAnsi="Palatino Linotype" w:cs="Arial"/>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1B7EDBBA"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6CC01DFF"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14:paraId="214BBF04" w14:textId="77777777" w:rsidR="00443E1A" w:rsidRPr="00443E1A" w:rsidRDefault="00443E1A" w:rsidP="00BF3E35">
      <w:pPr>
        <w:spacing w:after="0" w:line="240" w:lineRule="auto"/>
        <w:ind w:left="567" w:right="567"/>
        <w:jc w:val="both"/>
        <w:rPr>
          <w:rFonts w:ascii="Palatino Linotype" w:hAnsi="Palatino Linotype" w:cs="Arial"/>
          <w:i/>
        </w:rPr>
      </w:pPr>
    </w:p>
    <w:p w14:paraId="71EBCE32" w14:textId="77777777" w:rsidR="00443E1A" w:rsidRPr="00443E1A" w:rsidRDefault="00443E1A" w:rsidP="00BF3E35">
      <w:pPr>
        <w:spacing w:after="0" w:line="240" w:lineRule="auto"/>
        <w:ind w:left="567" w:right="567"/>
        <w:jc w:val="center"/>
        <w:rPr>
          <w:rFonts w:ascii="Palatino Linotype" w:hAnsi="Palatino Linotype" w:cs="Arial"/>
          <w:b/>
          <w:i/>
        </w:rPr>
      </w:pPr>
      <w:r w:rsidRPr="00443E1A">
        <w:rPr>
          <w:rFonts w:ascii="Palatino Linotype" w:hAnsi="Palatino Linotype" w:cs="Arial"/>
          <w:b/>
          <w:i/>
        </w:rPr>
        <w:t xml:space="preserve">LEY GENERAL DE TRANSPARENCIA Y ACCESO A </w:t>
      </w:r>
    </w:p>
    <w:p w14:paraId="7E525AE2" w14:textId="77777777" w:rsidR="00443E1A" w:rsidRPr="00443E1A" w:rsidRDefault="00443E1A" w:rsidP="00BF3E35">
      <w:pPr>
        <w:spacing w:after="0" w:line="240" w:lineRule="auto"/>
        <w:ind w:left="567" w:right="567"/>
        <w:jc w:val="center"/>
        <w:rPr>
          <w:rFonts w:ascii="Palatino Linotype" w:hAnsi="Palatino Linotype" w:cs="Arial"/>
          <w:b/>
          <w:i/>
        </w:rPr>
      </w:pPr>
      <w:r w:rsidRPr="00443E1A">
        <w:rPr>
          <w:rFonts w:ascii="Palatino Linotype" w:hAnsi="Palatino Linotype" w:cs="Arial"/>
          <w:b/>
          <w:i/>
        </w:rPr>
        <w:t>LA INFORMACIÓN PÚBLICA</w:t>
      </w:r>
    </w:p>
    <w:p w14:paraId="387580B8" w14:textId="77777777" w:rsidR="00443E1A" w:rsidRPr="00443E1A" w:rsidRDefault="00443E1A" w:rsidP="00BF3E35">
      <w:pPr>
        <w:spacing w:after="0" w:line="240" w:lineRule="auto"/>
        <w:ind w:left="567" w:right="567"/>
        <w:jc w:val="both"/>
        <w:rPr>
          <w:rFonts w:ascii="Palatino Linotype" w:hAnsi="Palatino Linotype" w:cs="Arial"/>
          <w:i/>
        </w:rPr>
      </w:pPr>
    </w:p>
    <w:p w14:paraId="0ED7ECFC"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b/>
          <w:i/>
        </w:rPr>
        <w:t>Artículo 113.</w:t>
      </w:r>
      <w:r w:rsidRPr="00443E1A">
        <w:rPr>
          <w:rFonts w:ascii="Palatino Linotype" w:hAnsi="Palatino Linotype" w:cs="Arial"/>
          <w:i/>
        </w:rPr>
        <w:t xml:space="preserve"> Como información reservada podrá clasificarse aquella cuya publicación: </w:t>
      </w:r>
    </w:p>
    <w:p w14:paraId="0CAB46BB"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I. Comprometa la seguridad nacional, la seguridad pública o la defensa nacional y cuente con un propósito genuino y un efecto demostrable; </w:t>
      </w:r>
    </w:p>
    <w:p w14:paraId="21C53CD7"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II. Pueda menoscabar la conducción de las negociaciones y relaciones internacionales; </w:t>
      </w:r>
    </w:p>
    <w:p w14:paraId="26BBD3D5"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III.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14:paraId="0EBA500C"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IV.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14:paraId="1C9DA2A5"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V. Pueda poner en riesgo la vida, seguridad o salud de una persona física; </w:t>
      </w:r>
    </w:p>
    <w:p w14:paraId="667555F4" w14:textId="77777777" w:rsidR="00443E1A" w:rsidRPr="00443E1A" w:rsidRDefault="00443E1A" w:rsidP="00BF3E35">
      <w:pPr>
        <w:spacing w:after="0" w:line="240" w:lineRule="auto"/>
        <w:ind w:left="567" w:right="567"/>
        <w:jc w:val="both"/>
        <w:rPr>
          <w:rFonts w:ascii="Palatino Linotype" w:hAnsi="Palatino Linotype" w:cs="Arial"/>
          <w:i/>
        </w:rPr>
      </w:pPr>
      <w:r w:rsidRPr="00A0710E">
        <w:rPr>
          <w:rFonts w:ascii="Palatino Linotype" w:hAnsi="Palatino Linotype" w:cs="Arial"/>
          <w:b/>
          <w:i/>
        </w:rPr>
        <w:t>VI.</w:t>
      </w:r>
      <w:r w:rsidRPr="00443E1A">
        <w:rPr>
          <w:rFonts w:ascii="Palatino Linotype" w:hAnsi="Palatino Linotype" w:cs="Arial"/>
          <w:i/>
        </w:rPr>
        <w:t xml:space="preserve"> Obstruya las actividades de verificación, inspección y auditoría relativas al cumplimiento de las leyes o </w:t>
      </w:r>
      <w:r w:rsidRPr="00A0710E">
        <w:rPr>
          <w:rFonts w:ascii="Palatino Linotype" w:hAnsi="Palatino Linotype" w:cs="Arial"/>
          <w:i/>
          <w:u w:val="single"/>
        </w:rPr>
        <w:t>afecte la recaudación de contribuciones;</w:t>
      </w:r>
      <w:r w:rsidRPr="00443E1A">
        <w:rPr>
          <w:rFonts w:ascii="Palatino Linotype" w:hAnsi="Palatino Linotype" w:cs="Arial"/>
          <w:i/>
        </w:rPr>
        <w:t xml:space="preserve"> </w:t>
      </w:r>
    </w:p>
    <w:p w14:paraId="3E6F4C74"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VII. Obstruya la prevención o persecución de los delitos; </w:t>
      </w:r>
    </w:p>
    <w:p w14:paraId="4ED4DDAC" w14:textId="77777777" w:rsidR="00443E1A" w:rsidRPr="00A0710E" w:rsidRDefault="00443E1A" w:rsidP="00BF3E35">
      <w:pPr>
        <w:spacing w:after="0" w:line="240" w:lineRule="auto"/>
        <w:ind w:left="567" w:right="567"/>
        <w:jc w:val="both"/>
        <w:rPr>
          <w:rFonts w:ascii="Palatino Linotype" w:hAnsi="Palatino Linotype" w:cs="Arial"/>
          <w:i/>
        </w:rPr>
      </w:pPr>
      <w:r w:rsidRPr="00A0710E">
        <w:rPr>
          <w:rFonts w:ascii="Palatino Linotype" w:hAnsi="Palatino Linotype" w:cs="Arial"/>
          <w:i/>
        </w:rPr>
        <w:t xml:space="preserve">VIII. La que contenga las opiniones, recomendaciones o puntos de vista que formen parte del proceso deliberativo de los servidores públicos, hasta en tanto no sea adoptada la decisión definitiva, la cual deberá estar documentada; </w:t>
      </w:r>
    </w:p>
    <w:p w14:paraId="57490007"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IX. Obstruya los procedimientos para fincar responsabilidad a los Servidores Públicos, en tanto no se haya dictado la resolución administrativa;</w:t>
      </w:r>
    </w:p>
    <w:p w14:paraId="2692DFA4"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X. Afecte los derechos del debido proceso; </w:t>
      </w:r>
    </w:p>
    <w:p w14:paraId="6B9A5AE9"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lastRenderedPageBreak/>
        <w:t xml:space="preserve">XI. Vulnere la conducción de los Expedientes judiciales o de los procedimientos administrativos seguidos en forma de juicio, en tanto no hayan causado estado; </w:t>
      </w:r>
    </w:p>
    <w:p w14:paraId="1B9E8FA9"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 xml:space="preserve">XII. Se encuentre contenida dentro de las investigaciones de hechos que la ley señale como delitos y se tramiten ante el Ministerio Público, y </w:t>
      </w:r>
    </w:p>
    <w:p w14:paraId="2CFA1957"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rPr>
        <w:t>XIII. Las que por disposición expresa de una ley tengan tal carácter, siempre que sean acordes con las bases, principios y disposiciones establecidos en esta Ley y no la contravengan; así como las previstas en tratados internacionales.</w:t>
      </w:r>
    </w:p>
    <w:p w14:paraId="11AAFB5F" w14:textId="77777777" w:rsidR="00443E1A" w:rsidRPr="00443E1A" w:rsidRDefault="00443E1A" w:rsidP="00BF3E35">
      <w:pPr>
        <w:spacing w:after="0" w:line="240" w:lineRule="auto"/>
        <w:ind w:left="567" w:right="567"/>
        <w:jc w:val="both"/>
        <w:rPr>
          <w:rFonts w:ascii="Palatino Linotype" w:hAnsi="Palatino Linotype" w:cs="Arial"/>
        </w:rPr>
      </w:pPr>
    </w:p>
    <w:p w14:paraId="677A1A0A" w14:textId="77777777" w:rsidR="00443E1A" w:rsidRPr="00443E1A" w:rsidRDefault="00443E1A" w:rsidP="00BF3E35">
      <w:pPr>
        <w:spacing w:after="0" w:line="240" w:lineRule="auto"/>
        <w:ind w:left="567" w:right="567"/>
        <w:jc w:val="right"/>
        <w:rPr>
          <w:rFonts w:ascii="Palatino Linotype" w:hAnsi="Palatino Linotype" w:cs="Arial"/>
          <w:sz w:val="24"/>
          <w:szCs w:val="24"/>
        </w:rPr>
      </w:pPr>
      <w:r w:rsidRPr="00443E1A">
        <w:rPr>
          <w:rFonts w:ascii="Palatino Linotype" w:hAnsi="Palatino Linotype" w:cs="Arial"/>
        </w:rPr>
        <w:t>(Énfasis añadido)</w:t>
      </w:r>
    </w:p>
    <w:p w14:paraId="5245EA1E" w14:textId="77777777" w:rsidR="00443E1A" w:rsidRPr="00443E1A" w:rsidRDefault="00443E1A" w:rsidP="00BF3E35">
      <w:pPr>
        <w:spacing w:after="0" w:line="360" w:lineRule="auto"/>
        <w:jc w:val="both"/>
        <w:rPr>
          <w:rFonts w:ascii="Palatino Linotype" w:hAnsi="Palatino Linotype"/>
          <w:sz w:val="24"/>
          <w:szCs w:val="24"/>
        </w:rPr>
      </w:pPr>
    </w:p>
    <w:p w14:paraId="5F335DBC" w14:textId="77777777" w:rsidR="00443E1A" w:rsidRDefault="00443E1A" w:rsidP="00BF3E35">
      <w:pPr>
        <w:spacing w:after="0" w:line="360" w:lineRule="auto"/>
        <w:jc w:val="both"/>
        <w:rPr>
          <w:rFonts w:ascii="Palatino Linotype" w:hAnsi="Palatino Linotype"/>
          <w:sz w:val="24"/>
          <w:szCs w:val="24"/>
        </w:rPr>
      </w:pPr>
      <w:r w:rsidRPr="00443E1A">
        <w:rPr>
          <w:rFonts w:ascii="Palatino Linotype" w:hAnsi="Palatino Linotype"/>
          <w:sz w:val="24"/>
          <w:szCs w:val="24"/>
        </w:rPr>
        <w:t xml:space="preserve">Bajo este contexto, para delimitar las fronteras conceptuales entre </w:t>
      </w:r>
      <w:r w:rsidRPr="00443E1A">
        <w:rPr>
          <w:rFonts w:ascii="Palatino Linotype" w:hAnsi="Palatino Linotype"/>
          <w:b/>
          <w:sz w:val="24"/>
          <w:szCs w:val="24"/>
          <w:u w:val="single"/>
        </w:rPr>
        <w:t>falta</w:t>
      </w:r>
      <w:r w:rsidRPr="00443E1A">
        <w:rPr>
          <w:rFonts w:ascii="Palatino Linotype" w:hAnsi="Palatino Linotype"/>
          <w:sz w:val="24"/>
          <w:szCs w:val="24"/>
        </w:rPr>
        <w:t xml:space="preserve"> e </w:t>
      </w:r>
      <w:r w:rsidRPr="00443E1A">
        <w:rPr>
          <w:rFonts w:ascii="Palatino Linotype" w:hAnsi="Palatino Linotype"/>
          <w:b/>
          <w:sz w:val="24"/>
          <w:szCs w:val="24"/>
        </w:rPr>
        <w:t>indebida</w:t>
      </w:r>
      <w:r w:rsidRPr="00443E1A">
        <w:rPr>
          <w:rFonts w:ascii="Palatino Linotype" w:hAnsi="Palatino Linotype"/>
          <w:sz w:val="24"/>
          <w:szCs w:val="24"/>
        </w:rPr>
        <w:t xml:space="preserve"> </w:t>
      </w:r>
      <w:r w:rsidRPr="00443E1A">
        <w:rPr>
          <w:rFonts w:ascii="Palatino Linotype" w:hAnsi="Palatino Linotype"/>
          <w:b/>
          <w:sz w:val="24"/>
          <w:szCs w:val="24"/>
        </w:rPr>
        <w:t>fundamentación y motivación</w:t>
      </w:r>
      <w:r w:rsidRPr="00443E1A">
        <w:rPr>
          <w:rFonts w:ascii="Palatino Linotype" w:hAnsi="Palatino Linotype"/>
          <w:sz w:val="24"/>
          <w:szCs w:val="24"/>
        </w:rPr>
        <w:t xml:space="preserve">, cobra particular relevancia la corriente que emana del Tercer Tribunal Colegiado en Materia Civil del Primer Circuito, a través de la jurisprudencia con número de registro digital </w:t>
      </w:r>
      <w:r w:rsidRPr="00443E1A">
        <w:rPr>
          <w:rFonts w:ascii="Palatino Linotype" w:hAnsi="Palatino Linotype"/>
          <w:b/>
          <w:sz w:val="24"/>
          <w:szCs w:val="24"/>
        </w:rPr>
        <w:t xml:space="preserve">170307 </w:t>
      </w:r>
      <w:r w:rsidRPr="00443E1A">
        <w:rPr>
          <w:rFonts w:ascii="Palatino Linotype" w:hAnsi="Palatino Linotype"/>
          <w:sz w:val="24"/>
          <w:szCs w:val="24"/>
        </w:rPr>
        <w:t xml:space="preserve">de la Novena Época, visible en el Semanario Judicial de la Federación y su Gaceta, Tomo XXVII, de febrero de 2008, tesis </w:t>
      </w:r>
      <w:proofErr w:type="spellStart"/>
      <w:r w:rsidRPr="00443E1A">
        <w:rPr>
          <w:rFonts w:ascii="Palatino Linotype" w:hAnsi="Palatino Linotype"/>
          <w:sz w:val="24"/>
          <w:szCs w:val="24"/>
        </w:rPr>
        <w:t>I.3o.C</w:t>
      </w:r>
      <w:proofErr w:type="spellEnd"/>
      <w:r w:rsidRPr="00443E1A">
        <w:rPr>
          <w:rFonts w:ascii="Palatino Linotype" w:hAnsi="Palatino Linotype"/>
          <w:sz w:val="24"/>
          <w:szCs w:val="24"/>
        </w:rPr>
        <w:t>. J/47 en materia común, en la que establece lo siguiente:</w:t>
      </w:r>
    </w:p>
    <w:p w14:paraId="509FD129" w14:textId="77777777" w:rsidR="00BF3E35" w:rsidRPr="00443E1A" w:rsidRDefault="00BF3E35" w:rsidP="00BF3E35">
      <w:pPr>
        <w:spacing w:after="0" w:line="360" w:lineRule="auto"/>
        <w:jc w:val="both"/>
        <w:rPr>
          <w:rFonts w:ascii="Palatino Linotype" w:hAnsi="Palatino Linotype"/>
          <w:sz w:val="24"/>
          <w:szCs w:val="24"/>
        </w:rPr>
      </w:pPr>
    </w:p>
    <w:p w14:paraId="1E27DFE6" w14:textId="77777777" w:rsidR="00443E1A" w:rsidRPr="00443E1A" w:rsidRDefault="00443E1A" w:rsidP="00BF3E35">
      <w:pPr>
        <w:spacing w:after="0" w:line="240" w:lineRule="auto"/>
        <w:ind w:left="567" w:right="567"/>
        <w:jc w:val="both"/>
        <w:rPr>
          <w:rFonts w:ascii="Palatino Linotype" w:hAnsi="Palatino Linotype" w:cs="Arial"/>
          <w:b/>
          <w:i/>
        </w:rPr>
      </w:pPr>
      <w:r w:rsidRPr="00443E1A">
        <w:rPr>
          <w:rFonts w:ascii="Palatino Linotype" w:hAnsi="Palatino Linotype" w:cs="Arial"/>
          <w:b/>
          <w:i/>
        </w:rPr>
        <w:t>“FUNDAMENTACIÓN Y MOTIVACIÓN. LA DIFERENCIA ENTRE LA FALTA Y LA INDEBIDA SATISFACCIÓN DE AMBOS REQUISITOS CONSTITUCIONALES TRASCIENDE AL ORDEN EN QUE DEBEN ESTUDIARSE LOS CONCEPTOS DE VIOLACIÓN Y A LOS EFECTOS DEL FALLO PROTECTOR.</w:t>
      </w:r>
    </w:p>
    <w:p w14:paraId="7AC53166" w14:textId="77777777" w:rsidR="00443E1A" w:rsidRPr="00443E1A" w:rsidRDefault="00443E1A" w:rsidP="00BF3E35">
      <w:pPr>
        <w:spacing w:after="0" w:line="240" w:lineRule="auto"/>
        <w:ind w:left="567" w:right="567"/>
        <w:jc w:val="both"/>
        <w:rPr>
          <w:rFonts w:ascii="Palatino Linotype" w:hAnsi="Palatino Linotype" w:cs="Arial"/>
          <w:i/>
        </w:rPr>
      </w:pPr>
      <w:r w:rsidRPr="00443E1A">
        <w:rPr>
          <w:rFonts w:ascii="Palatino Linotype" w:hAnsi="Palatino Linotype" w:cs="Arial"/>
          <w:i/>
          <w:u w:val="single"/>
        </w:rPr>
        <w:t>La falta de fundamentación y motivación es una violación formal</w:t>
      </w:r>
      <w:r w:rsidRPr="00443E1A">
        <w:rPr>
          <w:rFonts w:ascii="Palatino Linotype" w:hAnsi="Palatino Linotype" w:cs="Arial"/>
          <w:i/>
        </w:rPr>
        <w:t xml:space="preserve"> diversa a la </w:t>
      </w:r>
      <w:r w:rsidRPr="001178DA">
        <w:rPr>
          <w:rFonts w:ascii="Palatino Linotype" w:hAnsi="Palatino Linotype" w:cs="Arial"/>
          <w:i/>
          <w:u w:val="single"/>
        </w:rPr>
        <w:t>indebida</w:t>
      </w:r>
      <w:r w:rsidRPr="00443E1A">
        <w:rPr>
          <w:rFonts w:ascii="Palatino Linotype" w:hAnsi="Palatino Linotype" w:cs="Arial"/>
          <w:i/>
        </w:rPr>
        <w:t xml:space="preserve"> o </w:t>
      </w:r>
      <w:r w:rsidRPr="001178DA">
        <w:rPr>
          <w:rFonts w:ascii="Palatino Linotype" w:hAnsi="Palatino Linotype" w:cs="Arial"/>
          <w:i/>
          <w:u w:val="single"/>
        </w:rPr>
        <w:t>incorrecta fundamentación</w:t>
      </w:r>
      <w:r w:rsidRPr="00443E1A">
        <w:rPr>
          <w:rFonts w:ascii="Palatino Linotype" w:hAnsi="Palatino Linotype" w:cs="Arial"/>
          <w:i/>
        </w:rPr>
        <w:t xml:space="preserve"> y motivación, que es una violación material o de fondo, siendo distintos los efectos que genera la existencia de una u otra, por lo que el estudio de aquella omisión debe hacerse de manera previa. En efecto, el artículo </w:t>
      </w:r>
      <w:hyperlink r:id="rId8" w:history="1">
        <w:r w:rsidRPr="00443E1A">
          <w:rPr>
            <w:rFonts w:ascii="Palatino Linotype" w:hAnsi="Palatino Linotype" w:cs="Arial"/>
            <w:i/>
          </w:rPr>
          <w:t>16 constitucional</w:t>
        </w:r>
      </w:hyperlink>
      <w:r w:rsidRPr="00443E1A">
        <w:rPr>
          <w:rFonts w:ascii="Palatino Linotype" w:hAnsi="Palatino Linotype" w:cs="Arial"/>
          <w:i/>
        </w:rPr>
        <w:t xml:space="preserve">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w:t>
      </w:r>
      <w:r w:rsidRPr="00443E1A">
        <w:rPr>
          <w:rFonts w:ascii="Palatino Linotype" w:hAnsi="Palatino Linotype" w:cs="Arial"/>
          <w:b/>
          <w:i/>
        </w:rPr>
        <w:t>la falta de fundamentación y motivación</w:t>
      </w:r>
      <w:r w:rsidRPr="00443E1A">
        <w:rPr>
          <w:rFonts w:ascii="Palatino Linotype" w:hAnsi="Palatino Linotype" w:cs="Arial"/>
          <w:i/>
        </w:rPr>
        <w:t xml:space="preserve">, cuando </w:t>
      </w:r>
      <w:r w:rsidRPr="00443E1A">
        <w:rPr>
          <w:rFonts w:ascii="Palatino Linotype" w:hAnsi="Palatino Linotype" w:cs="Arial"/>
          <w:i/>
          <w:u w:val="single"/>
        </w:rPr>
        <w:t>se omite expresar el dispositivo legal aplicable al asunto y las razones que se hayan considerado para estimar que el caso puede subsumirse en la hipótesis prevista en esa norma jurídica</w:t>
      </w:r>
      <w:r w:rsidRPr="00443E1A">
        <w:rPr>
          <w:rFonts w:ascii="Palatino Linotype" w:hAnsi="Palatino Linotype" w:cs="Arial"/>
          <w:i/>
        </w:rPr>
        <w:t xml:space="preserve">. En cambio, hay una </w:t>
      </w:r>
      <w:r w:rsidRPr="00443E1A">
        <w:rPr>
          <w:rFonts w:ascii="Palatino Linotype" w:hAnsi="Palatino Linotype" w:cs="Arial"/>
          <w:b/>
          <w:i/>
        </w:rPr>
        <w:t>indebida fundamentación</w:t>
      </w:r>
      <w:r w:rsidRPr="00443E1A">
        <w:rPr>
          <w:rFonts w:ascii="Palatino Linotype" w:hAnsi="Palatino Linotype" w:cs="Arial"/>
          <w:i/>
        </w:rPr>
        <w:t xml:space="preserve"> cuando en </w:t>
      </w:r>
      <w:r w:rsidRPr="00443E1A">
        <w:rPr>
          <w:rFonts w:ascii="Palatino Linotype" w:hAnsi="Palatino Linotype" w:cs="Arial"/>
          <w:i/>
          <w:u w:val="single"/>
        </w:rPr>
        <w:t>el acto de autoridad sí se invoca el precepto legal, sin embargo, resulta inaplicable al asunto por las características específicas de éste que impiden su adecuación o encuadre en la hipótesis normativa;</w:t>
      </w:r>
      <w:r w:rsidRPr="00443E1A">
        <w:rPr>
          <w:rFonts w:ascii="Palatino Linotype" w:hAnsi="Palatino Linotype" w:cs="Arial"/>
          <w:i/>
        </w:rPr>
        <w:t xml:space="preserve"> y una incorrecta motivación, en el </w:t>
      </w:r>
      <w:r w:rsidRPr="00443E1A">
        <w:rPr>
          <w:rFonts w:ascii="Palatino Linotype" w:hAnsi="Palatino Linotype" w:cs="Arial"/>
          <w:i/>
        </w:rPr>
        <w:lastRenderedPageBreak/>
        <w:t xml:space="preserve">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w:t>
      </w:r>
      <w:proofErr w:type="gramStart"/>
      <w:r w:rsidRPr="00443E1A">
        <w:rPr>
          <w:rFonts w:ascii="Palatino Linotype" w:hAnsi="Palatino Linotype" w:cs="Arial"/>
          <w:i/>
        </w:rPr>
        <w:t>pues</w:t>
      </w:r>
      <w:proofErr w:type="gramEnd"/>
      <w:r w:rsidRPr="00443E1A">
        <w:rPr>
          <w:rFonts w:ascii="Palatino Linotype" w:hAnsi="Palatino Linotype" w:cs="Arial"/>
          <w:i/>
        </w:rPr>
        <w:t xml:space="preserve">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A0514C1" w14:textId="77777777" w:rsidR="00443E1A" w:rsidRPr="00443E1A" w:rsidRDefault="00443E1A" w:rsidP="00BF3E35">
      <w:pPr>
        <w:spacing w:after="0" w:line="240" w:lineRule="auto"/>
        <w:ind w:left="567" w:right="567"/>
        <w:jc w:val="both"/>
        <w:rPr>
          <w:rFonts w:ascii="Palatino Linotype" w:hAnsi="Palatino Linotype" w:cs="Arial"/>
          <w:i/>
          <w:sz w:val="18"/>
        </w:rPr>
      </w:pPr>
      <w:r w:rsidRPr="00443E1A">
        <w:rPr>
          <w:rFonts w:ascii="Palatino Linotype" w:hAnsi="Palatino Linotype" w:cs="Arial"/>
          <w:i/>
          <w:sz w:val="18"/>
        </w:rPr>
        <w:t>TERCER TRIBUNAL COLEGIADO EN MATERIA CIVIL DEL PRIMER CIRCUITO.</w:t>
      </w:r>
    </w:p>
    <w:p w14:paraId="2FFA3650" w14:textId="77777777" w:rsidR="00443E1A" w:rsidRPr="00443E1A" w:rsidRDefault="00443E1A" w:rsidP="00BF3E35">
      <w:pPr>
        <w:spacing w:after="0" w:line="240" w:lineRule="auto"/>
        <w:ind w:left="567" w:right="567"/>
        <w:jc w:val="both"/>
        <w:rPr>
          <w:rFonts w:ascii="Palatino Linotype" w:hAnsi="Palatino Linotype" w:cs="Arial"/>
          <w:i/>
          <w:sz w:val="18"/>
        </w:rPr>
      </w:pPr>
      <w:r w:rsidRPr="00443E1A">
        <w:rPr>
          <w:rFonts w:ascii="Palatino Linotype" w:hAnsi="Palatino Linotype" w:cs="Arial"/>
          <w:i/>
          <w:sz w:val="18"/>
        </w:rPr>
        <w:t xml:space="preserve">Amparo directo 551/2005. Jorge Luis Almaral Mendívil. 20 de octubre de 2005. Unanimidad de votos. Ponente: Neófito López Ramos. Secretario: Raúl Alfaro </w:t>
      </w:r>
      <w:proofErr w:type="spellStart"/>
      <w:r w:rsidRPr="00443E1A">
        <w:rPr>
          <w:rFonts w:ascii="Palatino Linotype" w:hAnsi="Palatino Linotype" w:cs="Arial"/>
          <w:i/>
          <w:sz w:val="18"/>
        </w:rPr>
        <w:t>Telpalo</w:t>
      </w:r>
      <w:proofErr w:type="spellEnd"/>
      <w:r w:rsidRPr="00443E1A">
        <w:rPr>
          <w:rFonts w:ascii="Palatino Linotype" w:hAnsi="Palatino Linotype" w:cs="Arial"/>
          <w:i/>
          <w:sz w:val="18"/>
        </w:rPr>
        <w:t>.</w:t>
      </w:r>
    </w:p>
    <w:p w14:paraId="2D025AD4" w14:textId="77777777" w:rsidR="00443E1A" w:rsidRPr="00443E1A" w:rsidRDefault="00443E1A" w:rsidP="00BF3E35">
      <w:pPr>
        <w:spacing w:after="0" w:line="240" w:lineRule="auto"/>
        <w:ind w:left="567" w:right="567"/>
        <w:jc w:val="both"/>
        <w:rPr>
          <w:rFonts w:ascii="Palatino Linotype" w:hAnsi="Palatino Linotype" w:cs="Arial"/>
          <w:i/>
          <w:sz w:val="18"/>
        </w:rPr>
      </w:pPr>
      <w:r w:rsidRPr="00443E1A">
        <w:rPr>
          <w:rFonts w:ascii="Palatino Linotype" w:hAnsi="Palatino Linotype" w:cs="Arial"/>
          <w:i/>
          <w:sz w:val="18"/>
        </w:rPr>
        <w:t xml:space="preserve">Amparo directo 66/2007. Juan Ramón Jaime Alcántara. 15 de febrero de 2007. Unanimidad de votos. Ponente: Neófito López Ramos. Secretario: Raúl Alfaro </w:t>
      </w:r>
      <w:proofErr w:type="spellStart"/>
      <w:r w:rsidRPr="00443E1A">
        <w:rPr>
          <w:rFonts w:ascii="Palatino Linotype" w:hAnsi="Palatino Linotype" w:cs="Arial"/>
          <w:i/>
          <w:sz w:val="18"/>
        </w:rPr>
        <w:t>Telpalo</w:t>
      </w:r>
      <w:proofErr w:type="spellEnd"/>
      <w:r w:rsidRPr="00443E1A">
        <w:rPr>
          <w:rFonts w:ascii="Palatino Linotype" w:hAnsi="Palatino Linotype" w:cs="Arial"/>
          <w:i/>
          <w:sz w:val="18"/>
        </w:rPr>
        <w:t>.</w:t>
      </w:r>
    </w:p>
    <w:p w14:paraId="4E634098" w14:textId="77777777" w:rsidR="00443E1A" w:rsidRPr="00443E1A" w:rsidRDefault="00443E1A" w:rsidP="00BF3E35">
      <w:pPr>
        <w:spacing w:after="0" w:line="240" w:lineRule="auto"/>
        <w:ind w:left="567" w:right="567"/>
        <w:jc w:val="both"/>
        <w:rPr>
          <w:rFonts w:ascii="Palatino Linotype" w:hAnsi="Palatino Linotype" w:cs="Arial"/>
          <w:i/>
          <w:sz w:val="18"/>
        </w:rPr>
      </w:pPr>
      <w:r w:rsidRPr="00443E1A">
        <w:rPr>
          <w:rFonts w:ascii="Palatino Linotype" w:hAnsi="Palatino Linotype" w:cs="Arial"/>
          <w:i/>
          <w:sz w:val="18"/>
        </w:rPr>
        <w:t>Amparo directo 364/2007. Guadalupe Rodríguez Daniel. 6 de julio de 2007. Unanimidad de votos. Ponente: Neófito López Ramos. Secretaria: Greta Lozada Amezcua.</w:t>
      </w:r>
    </w:p>
    <w:p w14:paraId="50B1EF4B" w14:textId="77777777" w:rsidR="00443E1A" w:rsidRPr="00443E1A" w:rsidRDefault="00443E1A" w:rsidP="00BF3E35">
      <w:pPr>
        <w:spacing w:after="0" w:line="240" w:lineRule="auto"/>
        <w:ind w:left="567" w:right="567"/>
        <w:jc w:val="both"/>
        <w:rPr>
          <w:rFonts w:ascii="Palatino Linotype" w:hAnsi="Palatino Linotype" w:cs="Arial"/>
          <w:i/>
          <w:sz w:val="18"/>
        </w:rPr>
      </w:pPr>
      <w:r w:rsidRPr="00443E1A">
        <w:rPr>
          <w:rFonts w:ascii="Palatino Linotype" w:hAnsi="Palatino Linotype" w:cs="Arial"/>
          <w:i/>
          <w:sz w:val="18"/>
        </w:rPr>
        <w:t xml:space="preserve">Amparo directo 513/2007. Autofinanciamiento México, S.A. de C.V. 4 de octubre de 2007. Unanimidad de votos. Ponente: Neófito López Ramos. Secretario: Raúl Alfaro </w:t>
      </w:r>
      <w:proofErr w:type="spellStart"/>
      <w:r w:rsidRPr="00443E1A">
        <w:rPr>
          <w:rFonts w:ascii="Palatino Linotype" w:hAnsi="Palatino Linotype" w:cs="Arial"/>
          <w:i/>
          <w:sz w:val="18"/>
        </w:rPr>
        <w:t>Telpalo</w:t>
      </w:r>
      <w:proofErr w:type="spellEnd"/>
      <w:r w:rsidRPr="00443E1A">
        <w:rPr>
          <w:rFonts w:ascii="Palatino Linotype" w:hAnsi="Palatino Linotype" w:cs="Arial"/>
          <w:i/>
          <w:sz w:val="18"/>
        </w:rPr>
        <w:t>.</w:t>
      </w:r>
    </w:p>
    <w:p w14:paraId="5535F58C" w14:textId="77777777" w:rsidR="00443E1A" w:rsidRPr="00443E1A" w:rsidRDefault="00443E1A" w:rsidP="00BF3E35">
      <w:pPr>
        <w:spacing w:after="0" w:line="240" w:lineRule="auto"/>
        <w:ind w:left="567" w:right="567"/>
        <w:jc w:val="both"/>
        <w:rPr>
          <w:rFonts w:ascii="Palatino Linotype" w:hAnsi="Palatino Linotype" w:cs="Arial"/>
          <w:b/>
          <w:i/>
          <w:sz w:val="18"/>
        </w:rPr>
      </w:pPr>
      <w:r w:rsidRPr="00443E1A">
        <w:rPr>
          <w:rFonts w:ascii="Palatino Linotype" w:hAnsi="Palatino Linotype" w:cs="Arial"/>
          <w:i/>
          <w:sz w:val="18"/>
        </w:rPr>
        <w:t xml:space="preserve">Amparo directo 562/2007. Arenas y Gravas </w:t>
      </w:r>
      <w:proofErr w:type="spellStart"/>
      <w:r w:rsidRPr="00443E1A">
        <w:rPr>
          <w:rFonts w:ascii="Palatino Linotype" w:hAnsi="Palatino Linotype" w:cs="Arial"/>
          <w:i/>
          <w:sz w:val="18"/>
        </w:rPr>
        <w:t>Xaltepec</w:t>
      </w:r>
      <w:proofErr w:type="spellEnd"/>
      <w:r w:rsidRPr="00443E1A">
        <w:rPr>
          <w:rFonts w:ascii="Palatino Linotype" w:hAnsi="Palatino Linotype" w:cs="Arial"/>
          <w:i/>
          <w:sz w:val="18"/>
        </w:rPr>
        <w:t xml:space="preserve">, S.A. 11 de octubre de 2007. Unanimidad de votos. Ponente: Neófito López Ramos. Secretario: Raúl Alfaro </w:t>
      </w:r>
      <w:proofErr w:type="spellStart"/>
      <w:r w:rsidRPr="00443E1A">
        <w:rPr>
          <w:rFonts w:ascii="Palatino Linotype" w:hAnsi="Palatino Linotype" w:cs="Arial"/>
          <w:i/>
          <w:sz w:val="18"/>
        </w:rPr>
        <w:t>Telpalo</w:t>
      </w:r>
      <w:proofErr w:type="spellEnd"/>
      <w:r w:rsidRPr="00443E1A">
        <w:rPr>
          <w:rFonts w:ascii="Palatino Linotype" w:hAnsi="Palatino Linotype" w:cs="Arial"/>
          <w:i/>
          <w:sz w:val="18"/>
        </w:rPr>
        <w:t>.” (Sic)</w:t>
      </w:r>
    </w:p>
    <w:p w14:paraId="1219EBE1" w14:textId="77777777" w:rsidR="00443E1A" w:rsidRPr="00443E1A" w:rsidRDefault="00443E1A" w:rsidP="00BF3E35">
      <w:pPr>
        <w:spacing w:after="0" w:line="360" w:lineRule="auto"/>
        <w:jc w:val="both"/>
        <w:rPr>
          <w:rFonts w:ascii="Palatino Linotype" w:hAnsi="Palatino Linotype" w:cs="Arial"/>
          <w:noProof/>
          <w:color w:val="000000"/>
          <w:sz w:val="24"/>
          <w:lang w:eastAsia="es-MX"/>
        </w:rPr>
      </w:pPr>
    </w:p>
    <w:p w14:paraId="077ADF6C" w14:textId="77777777" w:rsidR="00443E1A" w:rsidRPr="00443E1A" w:rsidRDefault="00443E1A" w:rsidP="00BF3E35">
      <w:pPr>
        <w:spacing w:after="0" w:line="360" w:lineRule="auto"/>
        <w:jc w:val="both"/>
        <w:rPr>
          <w:rFonts w:ascii="Palatino Linotype" w:hAnsi="Palatino Linotype" w:cs="Arial"/>
          <w:sz w:val="24"/>
          <w:szCs w:val="24"/>
        </w:rPr>
      </w:pPr>
      <w:r w:rsidRPr="00443E1A">
        <w:rPr>
          <w:rFonts w:ascii="Palatino Linotype" w:hAnsi="Palatino Linotype" w:cs="Arial"/>
          <w:noProof/>
          <w:color w:val="000000"/>
          <w:sz w:val="24"/>
          <w:szCs w:val="24"/>
          <w:lang w:eastAsia="es-MX"/>
        </w:rPr>
        <w:t xml:space="preserve">Con base en lo anteriormente expuesto, se arriba a la conclusión de que </w:t>
      </w:r>
      <w:r w:rsidRPr="00443E1A">
        <w:rPr>
          <w:rFonts w:ascii="Palatino Linotype" w:hAnsi="Palatino Linotype" w:cs="Arial"/>
          <w:b/>
          <w:noProof/>
          <w:color w:val="000000"/>
          <w:sz w:val="24"/>
          <w:szCs w:val="24"/>
          <w:lang w:eastAsia="es-MX"/>
        </w:rPr>
        <w:t>el acuerdo de clasificación remitido no cumple con la pauta metodologica</w:t>
      </w:r>
      <w:r w:rsidRPr="00443E1A">
        <w:rPr>
          <w:rFonts w:ascii="Palatino Linotype" w:hAnsi="Palatino Linotype" w:cs="Arial"/>
          <w:noProof/>
          <w:color w:val="000000"/>
          <w:sz w:val="24"/>
          <w:szCs w:val="24"/>
          <w:lang w:eastAsia="es-MX"/>
        </w:rPr>
        <w:t xml:space="preserve"> prevista en los </w:t>
      </w:r>
      <w:r w:rsidRPr="00443E1A">
        <w:rPr>
          <w:rFonts w:ascii="Palatino Linotype" w:hAnsi="Palatino Linotype" w:cs="Arial"/>
          <w:sz w:val="24"/>
          <w:szCs w:val="24"/>
        </w:rPr>
        <w:lastRenderedPageBreak/>
        <w:t xml:space="preserve">Lineamientos Generales en Materia de Clasificación y Desclasificación de la Información, así como para la Elaboración de Versiones Públicas, y demás normatividad aplicable, lo anterior al tomar en consideración que </w:t>
      </w:r>
      <w:r w:rsidRPr="00443E1A">
        <w:rPr>
          <w:rFonts w:ascii="Palatino Linotype" w:hAnsi="Palatino Linotype" w:cs="Arial"/>
          <w:b/>
          <w:sz w:val="24"/>
          <w:szCs w:val="24"/>
        </w:rPr>
        <w:t xml:space="preserve">el acuerdo remitido refleja </w:t>
      </w:r>
      <w:r w:rsidR="00A0710E">
        <w:rPr>
          <w:rFonts w:ascii="Palatino Linotype" w:hAnsi="Palatino Linotype" w:cs="Arial"/>
          <w:b/>
          <w:sz w:val="24"/>
          <w:szCs w:val="24"/>
        </w:rPr>
        <w:t>indebida fundamentación, así como la falta de</w:t>
      </w:r>
      <w:r w:rsidRPr="00443E1A">
        <w:rPr>
          <w:rFonts w:ascii="Palatino Linotype" w:hAnsi="Palatino Linotype" w:cs="Arial"/>
          <w:b/>
          <w:sz w:val="24"/>
          <w:szCs w:val="24"/>
        </w:rPr>
        <w:t xml:space="preserve"> motivación.</w:t>
      </w:r>
    </w:p>
    <w:p w14:paraId="0FD9ED0E" w14:textId="77777777" w:rsidR="00443E1A" w:rsidRPr="00443E1A" w:rsidRDefault="00443E1A" w:rsidP="00BF3E35">
      <w:pPr>
        <w:spacing w:after="0" w:line="360" w:lineRule="auto"/>
        <w:jc w:val="both"/>
        <w:rPr>
          <w:rFonts w:ascii="Palatino Linotype" w:hAnsi="Palatino Linotype" w:cs="Arial"/>
          <w:sz w:val="24"/>
          <w:szCs w:val="24"/>
        </w:rPr>
      </w:pPr>
    </w:p>
    <w:p w14:paraId="3667FC1E" w14:textId="77777777" w:rsidR="00A0710E" w:rsidRDefault="00443E1A" w:rsidP="00BF3E35">
      <w:pPr>
        <w:spacing w:after="0" w:line="360" w:lineRule="auto"/>
        <w:jc w:val="both"/>
        <w:rPr>
          <w:rFonts w:ascii="Palatino Linotype" w:hAnsi="Palatino Linotype" w:cs="Arial"/>
          <w:sz w:val="24"/>
          <w:szCs w:val="24"/>
        </w:rPr>
      </w:pPr>
      <w:r w:rsidRPr="00443E1A">
        <w:rPr>
          <w:rFonts w:ascii="Palatino Linotype" w:hAnsi="Palatino Linotype" w:cs="Arial"/>
          <w:sz w:val="24"/>
          <w:szCs w:val="24"/>
        </w:rPr>
        <w:t xml:space="preserve">Ello es así, atendiendo que como se observa en el cuadro inserto en párrafos previos, se acredita que el </w:t>
      </w:r>
      <w:r w:rsidRPr="00443E1A">
        <w:rPr>
          <w:rFonts w:ascii="Palatino Linotype" w:hAnsi="Palatino Linotype" w:cs="Arial"/>
          <w:b/>
          <w:sz w:val="24"/>
          <w:szCs w:val="24"/>
        </w:rPr>
        <w:t>Sujeto Obligado</w:t>
      </w:r>
      <w:r w:rsidRPr="00443E1A">
        <w:rPr>
          <w:rFonts w:ascii="Palatino Linotype" w:hAnsi="Palatino Linotype" w:cs="Arial"/>
          <w:sz w:val="24"/>
          <w:szCs w:val="24"/>
        </w:rPr>
        <w:t xml:space="preserve"> </w:t>
      </w:r>
      <w:r w:rsidR="00A0710E">
        <w:rPr>
          <w:rFonts w:ascii="Palatino Linotype" w:hAnsi="Palatino Linotype" w:cs="Arial"/>
          <w:sz w:val="24"/>
          <w:szCs w:val="24"/>
        </w:rPr>
        <w:t xml:space="preserve">de manera errónea señala la como la fracción I del artículo 140 como aquella que establece el supuesto de clasificación como reservada por la afectación de la recaudación de las contribuciones, siendo la fracción correcta </w:t>
      </w:r>
      <w:proofErr w:type="gramStart"/>
      <w:r w:rsidR="00A0710E">
        <w:rPr>
          <w:rFonts w:ascii="Palatino Linotype" w:hAnsi="Palatino Linotype" w:cs="Arial"/>
          <w:sz w:val="24"/>
          <w:szCs w:val="24"/>
        </w:rPr>
        <w:t>la número</w:t>
      </w:r>
      <w:proofErr w:type="gramEnd"/>
      <w:r w:rsidR="00A0710E">
        <w:rPr>
          <w:rFonts w:ascii="Palatino Linotype" w:hAnsi="Palatino Linotype" w:cs="Arial"/>
          <w:sz w:val="24"/>
          <w:szCs w:val="24"/>
        </w:rPr>
        <w:t xml:space="preserve"> V</w:t>
      </w:r>
      <w:r w:rsidR="001178DA">
        <w:rPr>
          <w:rFonts w:ascii="Palatino Linotype" w:hAnsi="Palatino Linotype" w:cs="Arial"/>
          <w:sz w:val="24"/>
          <w:szCs w:val="24"/>
        </w:rPr>
        <w:t>, numeral 2, del citado artículo 140 de la Ley de Transparencia Local.</w:t>
      </w:r>
    </w:p>
    <w:p w14:paraId="4E3FD00F" w14:textId="77777777" w:rsidR="00A0710E" w:rsidRDefault="00A0710E" w:rsidP="00BF3E35">
      <w:pPr>
        <w:spacing w:after="0" w:line="360" w:lineRule="auto"/>
        <w:jc w:val="both"/>
        <w:rPr>
          <w:rFonts w:ascii="Palatino Linotype" w:hAnsi="Palatino Linotype" w:cs="Arial"/>
          <w:sz w:val="24"/>
          <w:szCs w:val="24"/>
        </w:rPr>
      </w:pPr>
    </w:p>
    <w:p w14:paraId="011D9C08" w14:textId="77777777" w:rsidR="001178DA" w:rsidRDefault="001178DA" w:rsidP="00BF3E3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el sujeto Obligado </w:t>
      </w:r>
      <w:r w:rsidR="00443E1A" w:rsidRPr="00443E1A">
        <w:rPr>
          <w:rFonts w:ascii="Palatino Linotype" w:hAnsi="Palatino Linotype" w:cs="Arial"/>
          <w:sz w:val="24"/>
          <w:szCs w:val="24"/>
        </w:rPr>
        <w:t xml:space="preserve">fue omiso en realizar </w:t>
      </w:r>
      <w:r>
        <w:rPr>
          <w:rFonts w:ascii="Palatino Linotype" w:hAnsi="Palatino Linotype" w:cs="Arial"/>
          <w:sz w:val="24"/>
          <w:szCs w:val="24"/>
        </w:rPr>
        <w:t xml:space="preserve">una debida motivación (justificación) en </w:t>
      </w:r>
      <w:r w:rsidR="00443E1A" w:rsidRPr="00443E1A">
        <w:rPr>
          <w:rFonts w:ascii="Palatino Linotype" w:hAnsi="Palatino Linotype" w:cs="Arial"/>
          <w:sz w:val="24"/>
          <w:szCs w:val="24"/>
        </w:rPr>
        <w:t xml:space="preserve">su prueba de daño, al no señalar de manera precisa el </w:t>
      </w:r>
      <w:r w:rsidR="00443E1A" w:rsidRPr="00443E1A">
        <w:rPr>
          <w:rFonts w:ascii="Palatino Linotype" w:hAnsi="Palatino Linotype" w:cs="Arial"/>
          <w:b/>
          <w:sz w:val="24"/>
          <w:szCs w:val="24"/>
        </w:rPr>
        <w:t>riesgo real, demostrable e identificable</w:t>
      </w:r>
      <w:r w:rsidR="00443E1A" w:rsidRPr="00443E1A">
        <w:rPr>
          <w:rFonts w:ascii="Palatino Linotype" w:hAnsi="Palatino Linotype" w:cs="Arial"/>
          <w:sz w:val="24"/>
          <w:szCs w:val="24"/>
        </w:rPr>
        <w:t>.</w:t>
      </w:r>
      <w:r w:rsidR="0056186E">
        <w:rPr>
          <w:rFonts w:ascii="Palatino Linotype" w:hAnsi="Palatino Linotype" w:cs="Arial"/>
          <w:sz w:val="24"/>
          <w:szCs w:val="24"/>
        </w:rPr>
        <w:t xml:space="preserve"> Ello es así, toda vez que, únicamente se sirve en manifestar que la publicidad pudiera vulnerar la recaudación de las contribuciones por concepto</w:t>
      </w:r>
      <w:r w:rsidR="00A76E44">
        <w:rPr>
          <w:rFonts w:ascii="Palatino Linotype" w:hAnsi="Palatino Linotype" w:cs="Arial"/>
          <w:sz w:val="24"/>
          <w:szCs w:val="24"/>
        </w:rPr>
        <w:t xml:space="preserve"> de ocupación de la vía pública, sin señalar de manera precisa la forma en que la publicidad de la información causaría el posible daño. En consecuencia, las c</w:t>
      </w:r>
      <w:r w:rsidR="0056186E">
        <w:rPr>
          <w:rFonts w:ascii="Palatino Linotype" w:hAnsi="Palatino Linotype" w:cs="Arial"/>
          <w:sz w:val="24"/>
          <w:szCs w:val="24"/>
        </w:rPr>
        <w:t>onsideraci</w:t>
      </w:r>
      <w:r w:rsidR="00BD0A9F">
        <w:rPr>
          <w:rFonts w:ascii="Palatino Linotype" w:hAnsi="Palatino Linotype" w:cs="Arial"/>
          <w:sz w:val="24"/>
          <w:szCs w:val="24"/>
        </w:rPr>
        <w:t>ones resultan vagas e inciertas,</w:t>
      </w:r>
      <w:r w:rsidR="0056186E">
        <w:rPr>
          <w:rFonts w:ascii="Palatino Linotype" w:hAnsi="Palatino Linotype" w:cs="Arial"/>
          <w:sz w:val="24"/>
          <w:szCs w:val="24"/>
        </w:rPr>
        <w:t xml:space="preserve"> no</w:t>
      </w:r>
      <w:r w:rsidR="00BD0A9F">
        <w:rPr>
          <w:rFonts w:ascii="Palatino Linotype" w:hAnsi="Palatino Linotype" w:cs="Arial"/>
          <w:sz w:val="24"/>
          <w:szCs w:val="24"/>
        </w:rPr>
        <w:t xml:space="preserve"> logrando acreditar </w:t>
      </w:r>
      <w:r w:rsidR="0056186E">
        <w:rPr>
          <w:rFonts w:ascii="Palatino Linotype" w:hAnsi="Palatino Linotype" w:cs="Arial"/>
          <w:sz w:val="24"/>
          <w:szCs w:val="24"/>
        </w:rPr>
        <w:t>un riesgo probable y específico.</w:t>
      </w:r>
    </w:p>
    <w:p w14:paraId="67F78471" w14:textId="77777777" w:rsidR="0056186E" w:rsidRDefault="0056186E" w:rsidP="00BF3E35">
      <w:pPr>
        <w:spacing w:after="0" w:line="360" w:lineRule="auto"/>
        <w:jc w:val="both"/>
        <w:rPr>
          <w:rFonts w:ascii="Palatino Linotype" w:hAnsi="Palatino Linotype" w:cs="Arial"/>
          <w:sz w:val="24"/>
          <w:szCs w:val="24"/>
        </w:rPr>
      </w:pPr>
    </w:p>
    <w:p w14:paraId="1DA0E355" w14:textId="77777777" w:rsidR="00443E1A" w:rsidRDefault="00443E1A" w:rsidP="00BF3E35">
      <w:pPr>
        <w:spacing w:after="0" w:line="360" w:lineRule="auto"/>
        <w:jc w:val="both"/>
        <w:rPr>
          <w:rFonts w:ascii="Palatino Linotype" w:hAnsi="Palatino Linotype" w:cs="Arial"/>
          <w:sz w:val="24"/>
          <w:szCs w:val="24"/>
        </w:rPr>
      </w:pPr>
      <w:r w:rsidRPr="00443E1A">
        <w:rPr>
          <w:rFonts w:ascii="Palatino Linotype" w:hAnsi="Palatino Linotype" w:cs="Arial"/>
          <w:sz w:val="24"/>
          <w:szCs w:val="24"/>
        </w:rPr>
        <w:t xml:space="preserve">Circunstancias </w:t>
      </w:r>
      <w:proofErr w:type="gramStart"/>
      <w:r w:rsidRPr="00443E1A">
        <w:rPr>
          <w:rFonts w:ascii="Palatino Linotype" w:hAnsi="Palatino Linotype" w:cs="Arial"/>
          <w:sz w:val="24"/>
          <w:szCs w:val="24"/>
        </w:rPr>
        <w:t>que</w:t>
      </w:r>
      <w:proofErr w:type="gramEnd"/>
      <w:r w:rsidRPr="00443E1A">
        <w:rPr>
          <w:rFonts w:ascii="Palatino Linotype" w:hAnsi="Palatino Linotype" w:cs="Arial"/>
          <w:sz w:val="24"/>
          <w:szCs w:val="24"/>
        </w:rPr>
        <w:t xml:space="preserve"> al tenerse por acreditadas, generan una afectación al </w:t>
      </w:r>
      <w:r w:rsidRPr="00443E1A">
        <w:rPr>
          <w:rFonts w:ascii="Palatino Linotype" w:hAnsi="Palatino Linotype" w:cs="Arial"/>
          <w:b/>
          <w:sz w:val="24"/>
          <w:szCs w:val="24"/>
        </w:rPr>
        <w:t>Recurrente</w:t>
      </w:r>
      <w:r w:rsidRPr="00443E1A">
        <w:rPr>
          <w:rFonts w:ascii="Palatino Linotype" w:hAnsi="Palatino Linotype" w:cs="Arial"/>
          <w:sz w:val="24"/>
          <w:szCs w:val="24"/>
        </w:rPr>
        <w:t>, quien se encuentra en estado de incertidumbre, al no contar con las consideraciones de hecho (debida justificación) y de derecho (validez) que sirvieron de base para la pretendida clasificación como reservada de la información.</w:t>
      </w:r>
    </w:p>
    <w:p w14:paraId="403DF19F" w14:textId="77777777" w:rsidR="003523C4" w:rsidRDefault="003523C4" w:rsidP="00BF3E35">
      <w:pPr>
        <w:spacing w:after="0" w:line="360" w:lineRule="auto"/>
        <w:jc w:val="both"/>
        <w:rPr>
          <w:rFonts w:ascii="Palatino Linotype" w:hAnsi="Palatino Linotype" w:cs="Arial"/>
          <w:sz w:val="24"/>
          <w:szCs w:val="24"/>
        </w:rPr>
      </w:pPr>
    </w:p>
    <w:p w14:paraId="236B2E04" w14:textId="77777777" w:rsidR="003523C4" w:rsidRDefault="003523C4" w:rsidP="00BF3E3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Respecto del</w:t>
      </w:r>
      <w:r w:rsidR="009915A9">
        <w:rPr>
          <w:rFonts w:ascii="Palatino Linotype" w:hAnsi="Palatino Linotype" w:cs="Arial"/>
          <w:sz w:val="24"/>
          <w:szCs w:val="24"/>
        </w:rPr>
        <w:t xml:space="preserve"> numeral</w:t>
      </w:r>
      <w:r>
        <w:rPr>
          <w:rFonts w:ascii="Palatino Linotype" w:hAnsi="Palatino Linotype" w:cs="Arial"/>
          <w:sz w:val="24"/>
          <w:szCs w:val="24"/>
        </w:rPr>
        <w:t xml:space="preserve"> </w:t>
      </w:r>
      <w:r w:rsidRPr="003523C4">
        <w:rPr>
          <w:rFonts w:ascii="Palatino Linotype" w:hAnsi="Palatino Linotype" w:cs="Arial"/>
          <w:b/>
          <w:sz w:val="26"/>
          <w:szCs w:val="26"/>
        </w:rPr>
        <w:t>2</w:t>
      </w:r>
      <w:r w:rsidR="009915A9">
        <w:rPr>
          <w:rFonts w:ascii="Palatino Linotype" w:hAnsi="Palatino Linotype" w:cs="Arial"/>
          <w:sz w:val="24"/>
          <w:szCs w:val="24"/>
        </w:rPr>
        <w:t>, relativos al costo de los parquímetros, e</w:t>
      </w:r>
      <w:r>
        <w:rPr>
          <w:rFonts w:ascii="Palatino Linotype" w:hAnsi="Palatino Linotype" w:cs="Arial"/>
          <w:sz w:val="24"/>
          <w:szCs w:val="24"/>
        </w:rPr>
        <w:t>l Sujeto Obligado informó el costo de las tarifas por uso de los parquímetros</w:t>
      </w:r>
      <w:r w:rsidR="009915A9">
        <w:rPr>
          <w:rFonts w:ascii="Palatino Linotype" w:hAnsi="Palatino Linotype" w:cs="Arial"/>
          <w:sz w:val="24"/>
          <w:szCs w:val="24"/>
        </w:rPr>
        <w:t>. Información que no corresponde con lo solicitado, atendiendo que el requerimiento de manera precisa establece el costo por la adquisición de los parquímetros, no así el costo que debe cubrir la ciudadanía por el uso de tales parquímetros.</w:t>
      </w:r>
    </w:p>
    <w:p w14:paraId="61D10D58" w14:textId="77777777" w:rsidR="009915A9" w:rsidRDefault="009915A9" w:rsidP="00BF3E35">
      <w:pPr>
        <w:spacing w:after="0" w:line="360" w:lineRule="auto"/>
        <w:jc w:val="both"/>
        <w:rPr>
          <w:rFonts w:ascii="Palatino Linotype" w:hAnsi="Palatino Linotype" w:cs="Arial"/>
          <w:sz w:val="24"/>
          <w:szCs w:val="24"/>
        </w:rPr>
      </w:pPr>
    </w:p>
    <w:p w14:paraId="2BF9C428" w14:textId="77777777" w:rsidR="00DF1A16" w:rsidRDefault="00FE7456" w:rsidP="00BF3E3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Consecuentemente, podemos concluir que no se tiene por atendido el requerimiento de información, al hacer entrega de información que no corresponde con lo peticionado. Ahora bien, el soporte documental </w:t>
      </w:r>
      <w:r w:rsidRPr="00BD56D0">
        <w:rPr>
          <w:rFonts w:ascii="Palatino Linotype" w:hAnsi="Palatino Linotype" w:cs="Arial"/>
          <w:sz w:val="24"/>
          <w:szCs w:val="24"/>
        </w:rPr>
        <w:t xml:space="preserve">en que </w:t>
      </w:r>
      <w:r w:rsidR="00FC5293">
        <w:rPr>
          <w:rFonts w:ascii="Palatino Linotype" w:hAnsi="Palatino Linotype" w:cs="Arial"/>
          <w:sz w:val="24"/>
          <w:szCs w:val="24"/>
        </w:rPr>
        <w:t xml:space="preserve">debe </w:t>
      </w:r>
      <w:r w:rsidRPr="00BD56D0">
        <w:rPr>
          <w:rFonts w:ascii="Palatino Linotype" w:hAnsi="Palatino Linotype" w:cs="Arial"/>
          <w:sz w:val="24"/>
          <w:szCs w:val="24"/>
        </w:rPr>
        <w:t>obra</w:t>
      </w:r>
      <w:r w:rsidR="00FC5293">
        <w:rPr>
          <w:rFonts w:ascii="Palatino Linotype" w:hAnsi="Palatino Linotype" w:cs="Arial"/>
          <w:sz w:val="24"/>
          <w:szCs w:val="24"/>
        </w:rPr>
        <w:t>r</w:t>
      </w:r>
      <w:r w:rsidRPr="00BD56D0">
        <w:rPr>
          <w:rFonts w:ascii="Palatino Linotype" w:hAnsi="Palatino Linotype" w:cs="Arial"/>
          <w:sz w:val="24"/>
          <w:szCs w:val="24"/>
        </w:rPr>
        <w:t xml:space="preserve"> la información, corresponde </w:t>
      </w:r>
      <w:r w:rsidR="00FC5293">
        <w:rPr>
          <w:rFonts w:ascii="Palatino Linotype" w:hAnsi="Palatino Linotype" w:cs="Arial"/>
          <w:sz w:val="24"/>
          <w:szCs w:val="24"/>
        </w:rPr>
        <w:t>tanto a</w:t>
      </w:r>
      <w:r w:rsidRPr="00BD56D0">
        <w:rPr>
          <w:rFonts w:ascii="Palatino Linotype" w:hAnsi="Palatino Linotype" w:cs="Arial"/>
          <w:sz w:val="24"/>
          <w:szCs w:val="24"/>
        </w:rPr>
        <w:t>l contrat</w:t>
      </w:r>
      <w:r w:rsidR="00FC5293">
        <w:rPr>
          <w:rFonts w:ascii="Palatino Linotype" w:hAnsi="Palatino Linotype" w:cs="Arial"/>
          <w:sz w:val="24"/>
          <w:szCs w:val="24"/>
        </w:rPr>
        <w:t xml:space="preserve">o </w:t>
      </w:r>
      <w:proofErr w:type="spellStart"/>
      <w:r w:rsidR="00FC5293">
        <w:rPr>
          <w:rFonts w:ascii="Palatino Linotype" w:hAnsi="Palatino Linotype" w:cs="Arial"/>
          <w:sz w:val="24"/>
          <w:szCs w:val="24"/>
        </w:rPr>
        <w:t>HAT</w:t>
      </w:r>
      <w:proofErr w:type="spellEnd"/>
      <w:r w:rsidR="00FC5293">
        <w:rPr>
          <w:rFonts w:ascii="Palatino Linotype" w:hAnsi="Palatino Linotype" w:cs="Arial"/>
          <w:sz w:val="24"/>
          <w:szCs w:val="24"/>
        </w:rPr>
        <w:t>/</w:t>
      </w:r>
      <w:proofErr w:type="spellStart"/>
      <w:r w:rsidR="00FC5293">
        <w:rPr>
          <w:rFonts w:ascii="Palatino Linotype" w:hAnsi="Palatino Linotype" w:cs="Arial"/>
          <w:sz w:val="24"/>
          <w:szCs w:val="24"/>
        </w:rPr>
        <w:t>CAYS</w:t>
      </w:r>
      <w:proofErr w:type="spellEnd"/>
      <w:r w:rsidR="00FC5293">
        <w:rPr>
          <w:rFonts w:ascii="Palatino Linotype" w:hAnsi="Palatino Linotype" w:cs="Arial"/>
          <w:sz w:val="24"/>
          <w:szCs w:val="24"/>
        </w:rPr>
        <w:t>/AD-</w:t>
      </w:r>
      <w:proofErr w:type="spellStart"/>
      <w:r w:rsidR="00FC5293">
        <w:rPr>
          <w:rFonts w:ascii="Palatino Linotype" w:hAnsi="Palatino Linotype" w:cs="Arial"/>
          <w:sz w:val="24"/>
          <w:szCs w:val="24"/>
        </w:rPr>
        <w:t>SERV</w:t>
      </w:r>
      <w:proofErr w:type="spellEnd"/>
      <w:r w:rsidR="00FC5293">
        <w:rPr>
          <w:rFonts w:ascii="Palatino Linotype" w:hAnsi="Palatino Linotype" w:cs="Arial"/>
          <w:sz w:val="24"/>
          <w:szCs w:val="24"/>
        </w:rPr>
        <w:t xml:space="preserve">-030/RP/2022, así como a las facturas de pago. Documentos </w:t>
      </w:r>
      <w:proofErr w:type="gramStart"/>
      <w:r w:rsidR="00FC5293">
        <w:rPr>
          <w:rFonts w:ascii="Palatino Linotype" w:hAnsi="Palatino Linotype" w:cs="Arial"/>
          <w:sz w:val="24"/>
          <w:szCs w:val="24"/>
        </w:rPr>
        <w:t>que</w:t>
      </w:r>
      <w:proofErr w:type="gramEnd"/>
      <w:r w:rsidR="00FC5293">
        <w:rPr>
          <w:rFonts w:ascii="Palatino Linotype" w:hAnsi="Palatino Linotype" w:cs="Arial"/>
          <w:sz w:val="24"/>
          <w:szCs w:val="24"/>
        </w:rPr>
        <w:t xml:space="preserve"> atendiendo a su naturaleza, se establecen los elementos adquiridos como su costo. Soporte documental que ya quedó acreditado en párrafos previos, el Sujeto Obligado </w:t>
      </w:r>
      <w:r w:rsidRPr="00BD56D0">
        <w:rPr>
          <w:rFonts w:ascii="Palatino Linotype" w:hAnsi="Palatino Linotype" w:cs="Arial"/>
          <w:sz w:val="24"/>
          <w:szCs w:val="24"/>
        </w:rPr>
        <w:t>pretendió clasificar como reserva</w:t>
      </w:r>
      <w:r w:rsidR="00FC5293">
        <w:rPr>
          <w:rFonts w:ascii="Palatino Linotype" w:hAnsi="Palatino Linotype" w:cs="Arial"/>
          <w:sz w:val="24"/>
          <w:szCs w:val="24"/>
        </w:rPr>
        <w:t>do, sin acreditar debidamente los elementos para su procedencia. En consecuencia, resulta dable ordenar su entrega, debiendo observar lo relativo a la clasificación de los datos de carácter sensible y personal.</w:t>
      </w:r>
    </w:p>
    <w:p w14:paraId="27E70E8C" w14:textId="77777777" w:rsidR="00BD0A9F" w:rsidRDefault="00BD0A9F" w:rsidP="00BF3E35">
      <w:pPr>
        <w:spacing w:after="0" w:line="360" w:lineRule="auto"/>
        <w:jc w:val="both"/>
        <w:rPr>
          <w:rFonts w:ascii="Palatino Linotype" w:hAnsi="Palatino Linotype" w:cs="Arial"/>
          <w:sz w:val="24"/>
          <w:szCs w:val="24"/>
        </w:rPr>
      </w:pPr>
    </w:p>
    <w:p w14:paraId="6625C66E" w14:textId="77777777" w:rsidR="00BD56D0" w:rsidRDefault="00FC5293" w:rsidP="00BF3E3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Relativo a los requerimientos con numerales </w:t>
      </w:r>
      <w:r w:rsidRPr="00FC5293">
        <w:rPr>
          <w:rFonts w:ascii="Palatino Linotype" w:hAnsi="Palatino Linotype" w:cs="Arial"/>
          <w:b/>
          <w:sz w:val="26"/>
          <w:szCs w:val="26"/>
        </w:rPr>
        <w:t>3</w:t>
      </w:r>
      <w:r>
        <w:rPr>
          <w:rFonts w:ascii="Palatino Linotype" w:hAnsi="Palatino Linotype" w:cs="Arial"/>
          <w:sz w:val="24"/>
          <w:szCs w:val="24"/>
        </w:rPr>
        <w:t xml:space="preserve"> y </w:t>
      </w:r>
      <w:r w:rsidRPr="00FC5293">
        <w:rPr>
          <w:rFonts w:ascii="Palatino Linotype" w:hAnsi="Palatino Linotype" w:cs="Arial"/>
          <w:b/>
          <w:sz w:val="26"/>
          <w:szCs w:val="26"/>
        </w:rPr>
        <w:t>4</w:t>
      </w:r>
      <w:r>
        <w:rPr>
          <w:rFonts w:ascii="Palatino Linotype" w:hAnsi="Palatino Linotype" w:cs="Arial"/>
          <w:sz w:val="24"/>
          <w:szCs w:val="24"/>
        </w:rPr>
        <w:t>, cantidad de parquímetros virtuales puestos y el criterio de colocación de los señalamientos. El Sujeto Obligado informó haber puesto 1,005 (un mil cinco) parquímetros virtuales y que el criterio de colocación de éstos, se encuentra contenido en el Dictamen Técnico del Polígono de calles que realiza la Dirección de Sustentabilidad Vial.</w:t>
      </w:r>
    </w:p>
    <w:p w14:paraId="523A654B" w14:textId="77777777" w:rsidR="00BD56D0" w:rsidRDefault="00BD56D0" w:rsidP="00BF3E35">
      <w:pPr>
        <w:spacing w:after="0" w:line="360" w:lineRule="auto"/>
        <w:jc w:val="both"/>
        <w:rPr>
          <w:rFonts w:ascii="Palatino Linotype" w:hAnsi="Palatino Linotype" w:cs="Arial"/>
          <w:sz w:val="24"/>
          <w:szCs w:val="24"/>
        </w:rPr>
      </w:pPr>
    </w:p>
    <w:p w14:paraId="254CC756" w14:textId="77777777" w:rsidR="00FC5293" w:rsidRDefault="00FC5293" w:rsidP="00BF3E3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Respuesta que únicamente satisface el requerimiento de información con numeral </w:t>
      </w:r>
      <w:r w:rsidRPr="00FC5293">
        <w:rPr>
          <w:rFonts w:ascii="Palatino Linotype" w:hAnsi="Palatino Linotype" w:cs="Arial"/>
          <w:b/>
          <w:sz w:val="26"/>
          <w:szCs w:val="26"/>
        </w:rPr>
        <w:t>3</w:t>
      </w:r>
      <w:r>
        <w:rPr>
          <w:rFonts w:ascii="Palatino Linotype" w:hAnsi="Palatino Linotype" w:cs="Arial"/>
          <w:sz w:val="24"/>
          <w:szCs w:val="24"/>
        </w:rPr>
        <w:t xml:space="preserve">, al informar de manera clara y precisa la cantidad de parquímetros virtuales instalados, </w:t>
      </w:r>
      <w:r>
        <w:rPr>
          <w:rFonts w:ascii="Palatino Linotype" w:hAnsi="Palatino Linotype" w:cs="Arial"/>
          <w:sz w:val="24"/>
          <w:szCs w:val="24"/>
        </w:rPr>
        <w:lastRenderedPageBreak/>
        <w:t xml:space="preserve">ello atendiendo que, si bien es cierto, </w:t>
      </w:r>
      <w:r w:rsidRPr="00FC5293">
        <w:rPr>
          <w:rFonts w:ascii="Palatino Linotype" w:hAnsi="Palatino Linotype" w:cs="Arial"/>
          <w:sz w:val="24"/>
          <w:szCs w:val="24"/>
        </w:rPr>
        <w:t xml:space="preserve">la obligación de acceso a la información se tendrá por cumplida cuando el solicitante tenga a su disposición la información requerida, </w:t>
      </w:r>
      <w:r w:rsidR="009F505E">
        <w:rPr>
          <w:rFonts w:ascii="Palatino Linotype" w:hAnsi="Palatino Linotype" w:cs="Arial"/>
          <w:sz w:val="24"/>
          <w:szCs w:val="24"/>
        </w:rPr>
        <w:t>también lo es que, de la redacción del requerimiento, se observa no desear acceder a un soporte documental, sino que simplemente le sea informado un dato numérico, circunstancia que fue cumplida y atendida por el Ayuntamiento de Toluca.</w:t>
      </w:r>
    </w:p>
    <w:p w14:paraId="0D8806F6" w14:textId="77777777" w:rsidR="00FC5293" w:rsidRDefault="00FC5293" w:rsidP="00BF3E35">
      <w:pPr>
        <w:spacing w:after="0" w:line="360" w:lineRule="auto"/>
        <w:jc w:val="both"/>
        <w:rPr>
          <w:rFonts w:ascii="Palatino Linotype" w:hAnsi="Palatino Linotype" w:cs="Arial"/>
          <w:sz w:val="24"/>
          <w:szCs w:val="24"/>
        </w:rPr>
      </w:pPr>
    </w:p>
    <w:p w14:paraId="367FC13E" w14:textId="77777777" w:rsidR="00FC5293" w:rsidRDefault="009F505E" w:rsidP="00BF3E3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relativo al criterio de colocación de los </w:t>
      </w:r>
      <w:r>
        <w:rPr>
          <w:rFonts w:ascii="Palatino Linotype" w:hAnsi="Palatino Linotype" w:cs="Arial"/>
          <w:b/>
          <w:sz w:val="24"/>
          <w:szCs w:val="24"/>
        </w:rPr>
        <w:t xml:space="preserve">señalamientos </w:t>
      </w:r>
      <w:r w:rsidRPr="009F505E">
        <w:rPr>
          <w:rFonts w:ascii="Palatino Linotype" w:hAnsi="Palatino Linotype" w:cs="Arial"/>
          <w:sz w:val="24"/>
          <w:szCs w:val="24"/>
        </w:rPr>
        <w:t>de los parquímetros virtuales, debemos partir que se entiende por señalamiento</w:t>
      </w:r>
      <w:r>
        <w:rPr>
          <w:rFonts w:ascii="Palatino Linotype" w:hAnsi="Palatino Linotype" w:cs="Arial"/>
          <w:sz w:val="24"/>
          <w:szCs w:val="24"/>
        </w:rPr>
        <w:t xml:space="preserve">, las </w:t>
      </w:r>
      <w:r w:rsidRPr="009F505E">
        <w:rPr>
          <w:rFonts w:ascii="Palatino Linotype" w:hAnsi="Palatino Linotype" w:cs="Arial"/>
          <w:sz w:val="24"/>
          <w:szCs w:val="24"/>
        </w:rPr>
        <w:t xml:space="preserve">señales que contienen leyendas o símbolos cuyo objetivo es guiar y orientar al usuario a lo largo de su itinerario por las </w:t>
      </w:r>
      <w:r>
        <w:rPr>
          <w:rFonts w:ascii="Palatino Linotype" w:hAnsi="Palatino Linotype" w:cs="Arial"/>
          <w:sz w:val="24"/>
          <w:szCs w:val="24"/>
        </w:rPr>
        <w:t>calles</w:t>
      </w:r>
      <w:r w:rsidRPr="009F505E">
        <w:rPr>
          <w:rFonts w:ascii="Palatino Linotype" w:hAnsi="Palatino Linotype" w:cs="Arial"/>
          <w:sz w:val="24"/>
          <w:szCs w:val="24"/>
        </w:rPr>
        <w:t>, e informarle sobre nombres y ubicaciones de: poblaciones, lugares de in</w:t>
      </w:r>
      <w:r>
        <w:rPr>
          <w:rFonts w:ascii="Palatino Linotype" w:hAnsi="Palatino Linotype" w:cs="Arial"/>
          <w:sz w:val="24"/>
          <w:szCs w:val="24"/>
        </w:rPr>
        <w:t>terés, servicios, kilometrajes, etcétera.</w:t>
      </w:r>
    </w:p>
    <w:p w14:paraId="5E253200" w14:textId="77777777" w:rsidR="009F505E" w:rsidRDefault="009F505E" w:rsidP="00BF3E35">
      <w:pPr>
        <w:spacing w:after="0" w:line="360" w:lineRule="auto"/>
        <w:jc w:val="both"/>
        <w:rPr>
          <w:rFonts w:ascii="Palatino Linotype" w:hAnsi="Palatino Linotype" w:cs="Arial"/>
          <w:sz w:val="24"/>
          <w:szCs w:val="24"/>
        </w:rPr>
      </w:pPr>
    </w:p>
    <w:p w14:paraId="53FC18F8" w14:textId="77777777" w:rsidR="009F505E" w:rsidRDefault="009F505E" w:rsidP="00BF3E3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caso particular, </w:t>
      </w:r>
      <w:r w:rsidR="00DA4C40">
        <w:rPr>
          <w:rFonts w:ascii="Palatino Linotype" w:hAnsi="Palatino Linotype" w:cs="Arial"/>
          <w:sz w:val="24"/>
          <w:szCs w:val="24"/>
        </w:rPr>
        <w:t xml:space="preserve">respecto del </w:t>
      </w:r>
      <w:r w:rsidR="00037AD5">
        <w:rPr>
          <w:rFonts w:ascii="Palatino Linotype" w:hAnsi="Palatino Linotype" w:cs="Arial"/>
          <w:sz w:val="24"/>
          <w:szCs w:val="24"/>
        </w:rPr>
        <w:t>criterio de colocación de los señalamientos que informan, guían y orientan a los usuarios de los parquímetros virtuales</w:t>
      </w:r>
      <w:r w:rsidR="00DA4C40">
        <w:rPr>
          <w:rFonts w:ascii="Palatino Linotype" w:hAnsi="Palatino Linotype" w:cs="Arial"/>
          <w:sz w:val="24"/>
          <w:szCs w:val="24"/>
        </w:rPr>
        <w:t>, e</w:t>
      </w:r>
      <w:r w:rsidR="00037AD5">
        <w:rPr>
          <w:rFonts w:ascii="Palatino Linotype" w:hAnsi="Palatino Linotype" w:cs="Arial"/>
          <w:sz w:val="24"/>
          <w:szCs w:val="24"/>
        </w:rPr>
        <w:t xml:space="preserve">l Sujeto Obligado informó únicamente que se encuentra contenido en el Dictamen </w:t>
      </w:r>
      <w:r w:rsidR="00037AD5" w:rsidRPr="00037AD5">
        <w:rPr>
          <w:rFonts w:ascii="Palatino Linotype" w:hAnsi="Palatino Linotype" w:cs="Arial"/>
          <w:sz w:val="24"/>
          <w:szCs w:val="24"/>
        </w:rPr>
        <w:t>Técnico del Polígono de calles que realiza la Dirección de Sustentabilidad Vial</w:t>
      </w:r>
      <w:r w:rsidR="00037AD5">
        <w:rPr>
          <w:rFonts w:ascii="Palatino Linotype" w:hAnsi="Palatino Linotype" w:cs="Arial"/>
          <w:sz w:val="24"/>
          <w:szCs w:val="24"/>
        </w:rPr>
        <w:t>, sin hacer entrega del documento referido</w:t>
      </w:r>
      <w:r w:rsidR="002C528B">
        <w:rPr>
          <w:rFonts w:ascii="Palatino Linotype" w:hAnsi="Palatino Linotype" w:cs="Arial"/>
          <w:sz w:val="24"/>
          <w:szCs w:val="24"/>
        </w:rPr>
        <w:t>, a pesar de haber sido peticionado</w:t>
      </w:r>
      <w:r w:rsidR="00BD0A9F">
        <w:rPr>
          <w:rFonts w:ascii="Palatino Linotype" w:hAnsi="Palatino Linotype" w:cs="Arial"/>
          <w:sz w:val="24"/>
          <w:szCs w:val="24"/>
        </w:rPr>
        <w:t>.</w:t>
      </w:r>
    </w:p>
    <w:p w14:paraId="0956BC50" w14:textId="77777777" w:rsidR="00BD0A9F" w:rsidRPr="009F505E" w:rsidRDefault="00BD0A9F" w:rsidP="00BF3E35">
      <w:pPr>
        <w:spacing w:after="0" w:line="360" w:lineRule="auto"/>
        <w:jc w:val="both"/>
        <w:rPr>
          <w:rFonts w:ascii="Palatino Linotype" w:hAnsi="Palatino Linotype" w:cs="Arial"/>
          <w:sz w:val="24"/>
          <w:szCs w:val="24"/>
        </w:rPr>
      </w:pPr>
    </w:p>
    <w:p w14:paraId="5F82F0D9" w14:textId="77777777" w:rsidR="00443E1A" w:rsidRPr="00443E1A" w:rsidRDefault="00443E1A" w:rsidP="00BF3E35">
      <w:pPr>
        <w:spacing w:after="0" w:line="360" w:lineRule="auto"/>
        <w:jc w:val="both"/>
        <w:rPr>
          <w:rFonts w:ascii="Palatino Linotype" w:eastAsia="Calibri" w:hAnsi="Palatino Linotype" w:cs="Times New Roman"/>
          <w:sz w:val="24"/>
          <w:szCs w:val="24"/>
          <w:lang w:val="es-ES_tradnl" w:eastAsia="es-ES"/>
        </w:rPr>
      </w:pPr>
      <w:r w:rsidRPr="00443E1A">
        <w:rPr>
          <w:rFonts w:ascii="Palatino Linotype" w:eastAsia="Calibri" w:hAnsi="Palatino Linotype" w:cs="Times New Roman"/>
          <w:sz w:val="24"/>
          <w:szCs w:val="24"/>
          <w:lang w:val="es-ES_tradnl" w:eastAsia="es-ES"/>
        </w:rPr>
        <w:t xml:space="preserve">Es con base en las consideraciones de hecho y de derecho señaladas previamente, que se puede concluir que el </w:t>
      </w:r>
      <w:r w:rsidRPr="00443E1A">
        <w:rPr>
          <w:rFonts w:ascii="Palatino Linotype" w:eastAsia="Calibri" w:hAnsi="Palatino Linotype" w:cs="Times New Roman"/>
          <w:b/>
          <w:sz w:val="24"/>
          <w:szCs w:val="24"/>
          <w:lang w:val="es-ES_tradnl" w:eastAsia="es-ES"/>
        </w:rPr>
        <w:t>Sujeto Obligado</w:t>
      </w:r>
      <w:r w:rsidRPr="00443E1A">
        <w:rPr>
          <w:rFonts w:ascii="Palatino Linotype" w:eastAsia="Calibri" w:hAnsi="Palatino Linotype" w:cs="Times New Roman"/>
          <w:sz w:val="24"/>
          <w:szCs w:val="24"/>
          <w:lang w:val="es-ES_tradnl" w:eastAsia="es-ES"/>
        </w:rPr>
        <w:t xml:space="preserve"> no satisface </w:t>
      </w:r>
      <w:r w:rsidR="00D651DC">
        <w:rPr>
          <w:rFonts w:ascii="Palatino Linotype" w:eastAsia="Calibri" w:hAnsi="Palatino Linotype" w:cs="Times New Roman"/>
          <w:sz w:val="24"/>
          <w:szCs w:val="24"/>
          <w:lang w:val="es-ES_tradnl" w:eastAsia="es-ES"/>
        </w:rPr>
        <w:t>los</w:t>
      </w:r>
      <w:r w:rsidRPr="00443E1A">
        <w:rPr>
          <w:rFonts w:ascii="Palatino Linotype" w:eastAsia="Calibri" w:hAnsi="Palatino Linotype" w:cs="Times New Roman"/>
          <w:sz w:val="24"/>
          <w:szCs w:val="24"/>
          <w:lang w:val="es-ES_tradnl" w:eastAsia="es-ES"/>
        </w:rPr>
        <w:t xml:space="preserve"> requerimiento</w:t>
      </w:r>
      <w:r w:rsidR="00D651DC">
        <w:rPr>
          <w:rFonts w:ascii="Palatino Linotype" w:eastAsia="Calibri" w:hAnsi="Palatino Linotype" w:cs="Times New Roman"/>
          <w:sz w:val="24"/>
          <w:szCs w:val="24"/>
          <w:lang w:val="es-ES_tradnl" w:eastAsia="es-ES"/>
        </w:rPr>
        <w:t>s</w:t>
      </w:r>
      <w:r w:rsidRPr="00443E1A">
        <w:rPr>
          <w:rFonts w:ascii="Palatino Linotype" w:eastAsia="Calibri" w:hAnsi="Palatino Linotype" w:cs="Times New Roman"/>
          <w:sz w:val="24"/>
          <w:szCs w:val="24"/>
          <w:lang w:val="es-ES_tradnl" w:eastAsia="es-ES"/>
        </w:rPr>
        <w:t xml:space="preserve"> de información del </w:t>
      </w:r>
      <w:r w:rsidRPr="00443E1A">
        <w:rPr>
          <w:rFonts w:ascii="Palatino Linotype" w:eastAsia="Calibri" w:hAnsi="Palatino Linotype" w:cs="Times New Roman"/>
          <w:b/>
          <w:sz w:val="24"/>
          <w:szCs w:val="24"/>
          <w:lang w:val="es-ES_tradnl" w:eastAsia="es-ES"/>
        </w:rPr>
        <w:t>Recurrente</w:t>
      </w:r>
      <w:r w:rsidRPr="00443E1A">
        <w:rPr>
          <w:rFonts w:ascii="Palatino Linotype" w:eastAsia="Calibri" w:hAnsi="Palatino Linotype" w:cs="Times New Roman"/>
          <w:sz w:val="24"/>
          <w:szCs w:val="24"/>
          <w:lang w:val="es-ES_tradnl" w:eastAsia="es-ES"/>
        </w:rPr>
        <w:t>, consecuentemente, resulta dable ordenar su entrega debiendo observar lo relativo a la información de carácter sensible y confidencial.</w:t>
      </w:r>
    </w:p>
    <w:p w14:paraId="3D5E9FFB" w14:textId="77777777" w:rsidR="000A5A5A" w:rsidRPr="00443E1A" w:rsidRDefault="000A5A5A" w:rsidP="00BF3E35">
      <w:pPr>
        <w:spacing w:after="0" w:line="360" w:lineRule="auto"/>
        <w:jc w:val="both"/>
        <w:rPr>
          <w:rFonts w:ascii="Palatino Linotype" w:eastAsia="Calibri" w:hAnsi="Palatino Linotype" w:cs="Arial"/>
          <w:color w:val="000000" w:themeColor="text1"/>
          <w:sz w:val="24"/>
          <w:lang w:val="es-ES_tradnl" w:eastAsia="es-MX"/>
        </w:rPr>
      </w:pPr>
    </w:p>
    <w:p w14:paraId="722C3047" w14:textId="77777777" w:rsidR="00B45B91" w:rsidRPr="00660089" w:rsidRDefault="00B45B91" w:rsidP="00BF3E35">
      <w:pPr>
        <w:numPr>
          <w:ilvl w:val="0"/>
          <w:numId w:val="1"/>
        </w:numPr>
        <w:shd w:val="clear" w:color="auto" w:fill="FFFFFF"/>
        <w:spacing w:after="0" w:line="360" w:lineRule="auto"/>
        <w:ind w:left="426"/>
        <w:jc w:val="both"/>
        <w:rPr>
          <w:rFonts w:ascii="Palatino Linotype" w:eastAsia="Times New Roman" w:hAnsi="Palatino Linotype" w:cs="Times New Roman"/>
          <w:color w:val="222222"/>
          <w:sz w:val="28"/>
          <w:szCs w:val="24"/>
          <w:lang w:val="es-ES" w:eastAsia="es-MX"/>
        </w:rPr>
      </w:pPr>
      <w:r w:rsidRPr="00660089">
        <w:rPr>
          <w:rFonts w:ascii="Palatino Linotype" w:eastAsia="Times New Roman" w:hAnsi="Palatino Linotype" w:cs="Times New Roman"/>
          <w:b/>
          <w:bCs/>
          <w:i/>
          <w:iCs/>
          <w:color w:val="222222"/>
          <w:sz w:val="28"/>
          <w:szCs w:val="24"/>
          <w:lang w:val="es-ES" w:eastAsia="es-MX"/>
        </w:rPr>
        <w:t>De la versión pública.</w:t>
      </w:r>
    </w:p>
    <w:p w14:paraId="24451AAA"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p>
    <w:p w14:paraId="0A1CC3CD"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lastRenderedPageBreak/>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0C90535C"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p>
    <w:p w14:paraId="17DAB9A1"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Artículo 3. Para los efectos de la presente Ley se entenderá por:</w:t>
      </w:r>
    </w:p>
    <w:p w14:paraId="3D101AB9"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14:paraId="2DDDFEC1"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IX. Datos personales: </w:t>
      </w:r>
      <w:r w:rsidRPr="00660089">
        <w:rPr>
          <w:rFonts w:ascii="Palatino Linotype" w:hAnsi="Palatino Linotype"/>
          <w:bCs/>
          <w:i/>
          <w:iCs/>
          <w:color w:val="222222"/>
          <w:lang w:eastAsia="es-MX"/>
        </w:rPr>
        <w:t>La información concerniente a una persona, identificada o identificable según lo dispuesto por la Ley de Protección de Datos Personales del Estado de México;</w:t>
      </w:r>
    </w:p>
    <w:p w14:paraId="3882F9E5"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14:paraId="13B9A07C"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XLV. Versión pública: </w:t>
      </w:r>
      <w:r w:rsidRPr="00660089">
        <w:rPr>
          <w:rFonts w:ascii="Palatino Linotype" w:hAnsi="Palatino Linotype"/>
          <w:bCs/>
          <w:i/>
          <w:iCs/>
          <w:color w:val="222222"/>
          <w:lang w:eastAsia="es-MX"/>
        </w:rPr>
        <w:t>Documento en el que se elimine, suprime o borra la información clasificada como reservada o confidencial para permitir su acceso.</w:t>
      </w:r>
    </w:p>
    <w:p w14:paraId="534E63CD" w14:textId="77777777" w:rsidR="00B45B91" w:rsidRPr="00660089" w:rsidRDefault="00B45B91" w:rsidP="00BF3E35">
      <w:pPr>
        <w:shd w:val="clear" w:color="auto" w:fill="FFFFFF"/>
        <w:spacing w:after="0" w:line="240" w:lineRule="auto"/>
        <w:ind w:left="567" w:right="567"/>
        <w:jc w:val="both"/>
        <w:rPr>
          <w:rFonts w:ascii="Palatino Linotype" w:hAnsi="Palatino Linotype"/>
          <w:b/>
          <w:bCs/>
          <w:i/>
          <w:iCs/>
          <w:color w:val="222222"/>
          <w:lang w:eastAsia="es-MX"/>
        </w:rPr>
      </w:pPr>
    </w:p>
    <w:p w14:paraId="01579681"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Artículo 122. </w:t>
      </w:r>
      <w:r w:rsidRPr="00660089">
        <w:rPr>
          <w:rFonts w:ascii="Palatino Linotype" w:hAnsi="Palatino Linotype"/>
          <w:i/>
          <w:iCs/>
          <w:color w:val="222222"/>
          <w:lang w:eastAsia="es-MX"/>
        </w:rPr>
        <w:t xml:space="preserve">La clasificación es el proceso mediante el cual el sujeto obligado determina que la información en su poder </w:t>
      </w:r>
      <w:proofErr w:type="spellStart"/>
      <w:r w:rsidRPr="00660089">
        <w:rPr>
          <w:rFonts w:ascii="Palatino Linotype" w:hAnsi="Palatino Linotype"/>
          <w:i/>
          <w:iCs/>
          <w:color w:val="222222"/>
          <w:lang w:eastAsia="es-MX"/>
        </w:rPr>
        <w:t>actualiza</w:t>
      </w:r>
      <w:proofErr w:type="spellEnd"/>
      <w:r w:rsidRPr="00660089">
        <w:rPr>
          <w:rFonts w:ascii="Palatino Linotype" w:hAnsi="Palatino Linotype"/>
          <w:i/>
          <w:iCs/>
          <w:color w:val="222222"/>
          <w:lang w:eastAsia="es-MX"/>
        </w:rPr>
        <w:t xml:space="preserve"> alguno de los supuestos de reserva o confidencialidad, de conformidad con lo dispuesto en el presente título.</w:t>
      </w:r>
    </w:p>
    <w:p w14:paraId="18357CFA"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14:paraId="57083971"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Artículo 132.</w:t>
      </w:r>
      <w:r w:rsidRPr="00660089">
        <w:rPr>
          <w:rFonts w:ascii="Palatino Linotype" w:hAnsi="Palatino Linotype"/>
          <w:i/>
          <w:iCs/>
          <w:color w:val="222222"/>
          <w:lang w:eastAsia="es-MX"/>
        </w:rPr>
        <w:t xml:space="preserve"> La clasificación de la información se llevará a cabo en el momento en que:</w:t>
      </w:r>
    </w:p>
    <w:p w14:paraId="71909959"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14:paraId="5357E610"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II. Se determine mediante resolución de autoridad competente; o</w:t>
      </w:r>
    </w:p>
    <w:p w14:paraId="6E21E208" w14:textId="77777777" w:rsidR="00B45B91" w:rsidRPr="00660089" w:rsidRDefault="00B45B91" w:rsidP="00BF3E35">
      <w:pPr>
        <w:shd w:val="clear" w:color="auto" w:fill="FFFFFF"/>
        <w:spacing w:after="0" w:line="240" w:lineRule="auto"/>
        <w:ind w:left="567" w:right="567"/>
        <w:jc w:val="both"/>
        <w:rPr>
          <w:rFonts w:ascii="Palatino Linotype" w:hAnsi="Palatino Linotype"/>
          <w:b/>
          <w:bCs/>
          <w:i/>
          <w:iCs/>
          <w:color w:val="222222"/>
          <w:lang w:eastAsia="es-MX"/>
        </w:rPr>
      </w:pPr>
    </w:p>
    <w:p w14:paraId="24E92E2A"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Artículo 137. </w:t>
      </w:r>
      <w:r w:rsidRPr="00DC04E4">
        <w:rPr>
          <w:rFonts w:ascii="Palatino Linotype" w:hAnsi="Palatino Linotype"/>
          <w:bCs/>
          <w:i/>
          <w:iCs/>
          <w:color w:val="222222"/>
          <w:lang w:eastAsia="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C04E4">
        <w:rPr>
          <w:rFonts w:ascii="Palatino Linotype" w:hAnsi="Palatino Linotype"/>
          <w:bCs/>
          <w:i/>
          <w:iCs/>
          <w:color w:val="222222"/>
          <w:u w:val="single"/>
          <w:lang w:eastAsia="es-MX"/>
        </w:rPr>
        <w:t>de manera genérica y fundando y motivando su clasificación.”</w:t>
      </w:r>
    </w:p>
    <w:p w14:paraId="209CD268"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p>
    <w:p w14:paraId="3B40AEC2" w14:textId="77777777" w:rsidR="00B45B91" w:rsidRPr="00660089" w:rsidRDefault="00B45B91" w:rsidP="00BF3E35">
      <w:pPr>
        <w:shd w:val="clear" w:color="auto" w:fill="FFFFFF"/>
        <w:spacing w:after="0" w:line="240" w:lineRule="auto"/>
        <w:ind w:left="567" w:right="567"/>
        <w:jc w:val="right"/>
        <w:rPr>
          <w:rFonts w:ascii="Palatino Linotype" w:hAnsi="Palatino Linotype"/>
          <w:color w:val="222222"/>
          <w:lang w:eastAsia="es-MX"/>
        </w:rPr>
      </w:pPr>
      <w:r w:rsidRPr="00660089">
        <w:rPr>
          <w:rFonts w:ascii="Palatino Linotype" w:hAnsi="Palatino Linotype"/>
          <w:color w:val="222222"/>
          <w:lang w:eastAsia="es-MX"/>
        </w:rPr>
        <w:t>(Énfasis añadido)</w:t>
      </w:r>
    </w:p>
    <w:p w14:paraId="3B7D0D30"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lastRenderedPageBreak/>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476FB391"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p>
    <w:p w14:paraId="2348A64E"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520D601"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7BEABC5" w14:textId="77777777" w:rsidR="00BF3E35" w:rsidRDefault="00BF3E35" w:rsidP="00BF3E35">
      <w:pPr>
        <w:tabs>
          <w:tab w:val="left" w:pos="7938"/>
        </w:tabs>
        <w:spacing w:after="0" w:line="360" w:lineRule="auto"/>
        <w:jc w:val="both"/>
        <w:rPr>
          <w:rFonts w:ascii="Palatino Linotype" w:eastAsia="Arial Unicode MS" w:hAnsi="Palatino Linotype" w:cs="Arial"/>
          <w:sz w:val="24"/>
        </w:rPr>
      </w:pPr>
    </w:p>
    <w:p w14:paraId="78D08260"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72268699"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p>
    <w:p w14:paraId="4B0680CF"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r w:rsidRPr="00660089">
        <w:rPr>
          <w:rFonts w:ascii="Palatino Linotype" w:hAnsi="Palatino Linotype"/>
          <w:b/>
          <w:bCs/>
          <w:i/>
          <w:iCs/>
          <w:color w:val="222222"/>
          <w:lang w:eastAsia="es-MX"/>
        </w:rPr>
        <w:t>Registro Federal de Contribuyente</w:t>
      </w:r>
      <w:r>
        <w:rPr>
          <w:rFonts w:ascii="Palatino Linotype" w:hAnsi="Palatino Linotype"/>
          <w:b/>
          <w:bCs/>
          <w:i/>
          <w:iCs/>
          <w:color w:val="222222"/>
          <w:lang w:eastAsia="es-MX"/>
        </w:rPr>
        <w:t xml:space="preserve">s (RFC) de personas físicas. </w:t>
      </w:r>
      <w:r w:rsidRPr="0066008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53886E53"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Resoluciones:</w:t>
      </w:r>
    </w:p>
    <w:p w14:paraId="33FD39EC"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xml:space="preserve">• </w:t>
      </w:r>
      <w:proofErr w:type="spellStart"/>
      <w:r w:rsidRPr="00660089">
        <w:rPr>
          <w:rFonts w:ascii="Palatino Linotype" w:hAnsi="Palatino Linotype"/>
          <w:i/>
          <w:iCs/>
          <w:color w:val="222222"/>
          <w:lang w:eastAsia="es-MX"/>
        </w:rPr>
        <w:t>RRA</w:t>
      </w:r>
      <w:proofErr w:type="spellEnd"/>
      <w:r w:rsidRPr="00660089">
        <w:rPr>
          <w:rFonts w:ascii="Palatino Linotype" w:hAnsi="Palatino Linotype"/>
          <w:i/>
          <w:iCs/>
          <w:color w:val="222222"/>
          <w:lang w:eastAsia="es-MX"/>
        </w:rPr>
        <w:t xml:space="preserve"> 0189/17. Morena. 08 de febrero de 2017. Por unanimidad. Comisionado Ponente Joel Salas Suárez.</w:t>
      </w:r>
    </w:p>
    <w:p w14:paraId="14A3EF6C"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xml:space="preserve">• </w:t>
      </w:r>
      <w:proofErr w:type="spellStart"/>
      <w:r w:rsidRPr="00660089">
        <w:rPr>
          <w:rFonts w:ascii="Palatino Linotype" w:hAnsi="Palatino Linotype"/>
          <w:i/>
          <w:iCs/>
          <w:color w:val="222222"/>
          <w:lang w:eastAsia="es-MX"/>
        </w:rPr>
        <w:t>RRA</w:t>
      </w:r>
      <w:proofErr w:type="spellEnd"/>
      <w:r w:rsidRPr="00660089">
        <w:rPr>
          <w:rFonts w:ascii="Palatino Linotype" w:hAnsi="Palatino Linotype"/>
          <w:i/>
          <w:iCs/>
          <w:color w:val="222222"/>
          <w:lang w:eastAsia="es-MX"/>
        </w:rPr>
        <w:t xml:space="preserve"> 0677/17. Universidad Nacional Autónoma de México. 08 de marzo de 2017. Por unanimidad. Comisionado Ponente </w:t>
      </w:r>
      <w:proofErr w:type="spellStart"/>
      <w:r w:rsidRPr="00660089">
        <w:rPr>
          <w:rFonts w:ascii="Palatino Linotype" w:hAnsi="Palatino Linotype"/>
          <w:i/>
          <w:iCs/>
          <w:color w:val="222222"/>
          <w:lang w:eastAsia="es-MX"/>
        </w:rPr>
        <w:t>Rosendoevgueni</w:t>
      </w:r>
      <w:proofErr w:type="spellEnd"/>
      <w:r w:rsidRPr="00660089">
        <w:rPr>
          <w:rFonts w:ascii="Palatino Linotype" w:hAnsi="Palatino Linotype"/>
          <w:i/>
          <w:iCs/>
          <w:color w:val="222222"/>
          <w:lang w:eastAsia="es-MX"/>
        </w:rPr>
        <w:t xml:space="preserve"> Monterrey </w:t>
      </w:r>
      <w:proofErr w:type="spellStart"/>
      <w:r w:rsidRPr="00660089">
        <w:rPr>
          <w:rFonts w:ascii="Palatino Linotype" w:hAnsi="Palatino Linotype"/>
          <w:i/>
          <w:iCs/>
          <w:color w:val="222222"/>
          <w:lang w:eastAsia="es-MX"/>
        </w:rPr>
        <w:t>Chepov</w:t>
      </w:r>
      <w:proofErr w:type="spellEnd"/>
      <w:r w:rsidRPr="00660089">
        <w:rPr>
          <w:rFonts w:ascii="Palatino Linotype" w:hAnsi="Palatino Linotype"/>
          <w:i/>
          <w:iCs/>
          <w:color w:val="222222"/>
          <w:lang w:eastAsia="es-MX"/>
        </w:rPr>
        <w:t>.</w:t>
      </w:r>
    </w:p>
    <w:p w14:paraId="7024D028"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xml:space="preserve">• </w:t>
      </w:r>
      <w:proofErr w:type="spellStart"/>
      <w:r w:rsidRPr="00660089">
        <w:rPr>
          <w:rFonts w:ascii="Palatino Linotype" w:hAnsi="Palatino Linotype"/>
          <w:i/>
          <w:iCs/>
          <w:color w:val="222222"/>
          <w:lang w:eastAsia="es-MX"/>
        </w:rPr>
        <w:t>RRA</w:t>
      </w:r>
      <w:proofErr w:type="spellEnd"/>
      <w:r w:rsidRPr="00660089">
        <w:rPr>
          <w:rFonts w:ascii="Palatino Linotype" w:hAnsi="Palatino Linotype"/>
          <w:i/>
          <w:iCs/>
          <w:color w:val="222222"/>
          <w:lang w:eastAsia="es-MX"/>
        </w:rPr>
        <w:t xml:space="preserve"> 1564/17. Tribunal Electoral del Poder Judicial de la Federación. 26 de abril de 2017. Por unanimidad. Comisionado Ponente Oscar Mauricio Guerra Ford.”</w:t>
      </w:r>
    </w:p>
    <w:p w14:paraId="4F528B23"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lastRenderedPageBreak/>
        <w:t xml:space="preserve">Así, el RFC se vincula al nombre de su titular, permite identificar la edad de la persona, su fecha de nacimiento, así como su </w:t>
      </w:r>
      <w:proofErr w:type="spellStart"/>
      <w:r w:rsidRPr="00660089">
        <w:rPr>
          <w:rFonts w:ascii="Palatino Linotype" w:eastAsia="Arial Unicode MS" w:hAnsi="Palatino Linotype" w:cs="Arial"/>
          <w:sz w:val="24"/>
        </w:rPr>
        <w:t>homoclave</w:t>
      </w:r>
      <w:proofErr w:type="spellEnd"/>
      <w:r w:rsidRPr="00660089">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2CB09A41"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p>
    <w:p w14:paraId="0E1A6F9B"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2738456F"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p>
    <w:p w14:paraId="34CC68AD" w14:textId="77777777" w:rsidR="00B45B91"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cuanto a la Clave Única de Registro de Población (CURP) en virtud de que éste se</w:t>
      </w:r>
      <w:r>
        <w:rPr>
          <w:rFonts w:ascii="Palatino Linotype" w:eastAsia="Arial Unicode MS" w:hAnsi="Palatino Linotype" w:cs="Arial"/>
          <w:sz w:val="24"/>
        </w:rPr>
        <w:t xml:space="preserve"> </w:t>
      </w:r>
      <w:r w:rsidRPr="00660089">
        <w:rPr>
          <w:rFonts w:ascii="Palatino Linotype" w:eastAsia="Arial Unicode MS" w:hAnsi="Palatino Linotype" w:cs="Arial"/>
          <w:sz w:val="24"/>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0D874EA" w14:textId="77777777" w:rsidR="00EA519A" w:rsidRPr="00660089" w:rsidRDefault="00EA519A" w:rsidP="00BF3E35">
      <w:pPr>
        <w:tabs>
          <w:tab w:val="left" w:pos="7938"/>
        </w:tabs>
        <w:spacing w:after="0" w:line="360" w:lineRule="auto"/>
        <w:jc w:val="both"/>
        <w:rPr>
          <w:rFonts w:ascii="Palatino Linotype" w:eastAsia="Arial Unicode MS" w:hAnsi="Palatino Linotype" w:cs="Arial"/>
          <w:sz w:val="24"/>
        </w:rPr>
      </w:pPr>
    </w:p>
    <w:p w14:paraId="2B09F419" w14:textId="77777777" w:rsidR="00B45B91"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Argum</w:t>
      </w:r>
      <w:r>
        <w:rPr>
          <w:rFonts w:ascii="Palatino Linotype" w:eastAsia="Arial Unicode MS" w:hAnsi="Palatino Linotype" w:cs="Arial"/>
          <w:sz w:val="24"/>
        </w:rPr>
        <w:t xml:space="preserve">ento que es compartido por el </w:t>
      </w:r>
      <w:r w:rsidRPr="00660089">
        <w:rPr>
          <w:rFonts w:ascii="Palatino Linotype" w:eastAsia="Arial Unicode MS" w:hAnsi="Palatino Linotype" w:cs="Arial"/>
          <w:sz w:val="24"/>
        </w:rPr>
        <w:t>Instituto Nacional de Transparencia, Acceso a la Información Pública y Protección de Datos Personales, conforme al criterio número 18/17 de la segunda época, el cual refiere:</w:t>
      </w:r>
    </w:p>
    <w:p w14:paraId="37E63AAD" w14:textId="77777777" w:rsidR="00F879CC" w:rsidRPr="00660089" w:rsidRDefault="00F879CC" w:rsidP="00BF3E35">
      <w:pPr>
        <w:tabs>
          <w:tab w:val="left" w:pos="7938"/>
        </w:tabs>
        <w:spacing w:after="0" w:line="360" w:lineRule="auto"/>
        <w:jc w:val="both"/>
        <w:rPr>
          <w:rFonts w:ascii="Palatino Linotype" w:eastAsia="Arial Unicode MS" w:hAnsi="Palatino Linotype" w:cs="Arial"/>
          <w:sz w:val="24"/>
        </w:rPr>
      </w:pPr>
    </w:p>
    <w:p w14:paraId="1665BF4A"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r w:rsidRPr="00660089">
        <w:rPr>
          <w:rFonts w:ascii="Palatino Linotype" w:hAnsi="Palatino Linotype"/>
          <w:b/>
          <w:bCs/>
          <w:i/>
          <w:iCs/>
          <w:color w:val="222222"/>
          <w:lang w:eastAsia="es-MX"/>
        </w:rPr>
        <w:t>Clave Única de Registro de Población (CURP).</w:t>
      </w:r>
      <w:r>
        <w:rPr>
          <w:rFonts w:ascii="Palatino Linotype" w:hAnsi="Palatino Linotype"/>
          <w:b/>
          <w:bCs/>
          <w:i/>
          <w:iCs/>
          <w:color w:val="222222"/>
          <w:lang w:eastAsia="es-MX"/>
        </w:rPr>
        <w:t xml:space="preserve"> </w:t>
      </w:r>
      <w:r w:rsidRPr="00660089">
        <w:rPr>
          <w:rFonts w:ascii="Palatino Linotype" w:hAnsi="Palatino Linotype"/>
          <w:i/>
          <w:iCs/>
          <w:color w:val="222222"/>
          <w:lang w:eastAsia="es-MX"/>
        </w:rPr>
        <w:t xml:space="preserve">La Clave Única de Registro de Población se integra por datos personales que sólo conciernen al particular titular de la misma, como lo son su nombre, apellidos, fecha de nacimiento, lugar de nacimiento y sexo. </w:t>
      </w:r>
      <w:r w:rsidRPr="00660089">
        <w:rPr>
          <w:rFonts w:ascii="Palatino Linotype" w:hAnsi="Palatino Linotype"/>
          <w:i/>
          <w:iCs/>
          <w:color w:val="222222"/>
          <w:lang w:eastAsia="es-MX"/>
        </w:rPr>
        <w:lastRenderedPageBreak/>
        <w:t>Dichos datos, constituyen información que distingue plenamente a una persona física del resto de los habitantes del país, por lo que la CURP está considerada como información confidencial.</w:t>
      </w:r>
    </w:p>
    <w:p w14:paraId="58683573"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Resoluciones:</w:t>
      </w:r>
    </w:p>
    <w:p w14:paraId="30D76621"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xml:space="preserve">• </w:t>
      </w:r>
      <w:proofErr w:type="spellStart"/>
      <w:r w:rsidRPr="00660089">
        <w:rPr>
          <w:rFonts w:ascii="Palatino Linotype" w:hAnsi="Palatino Linotype"/>
          <w:i/>
          <w:iCs/>
          <w:color w:val="222222"/>
          <w:lang w:eastAsia="es-MX"/>
        </w:rPr>
        <w:t>RRA</w:t>
      </w:r>
      <w:proofErr w:type="spellEnd"/>
      <w:r w:rsidRPr="00660089">
        <w:rPr>
          <w:rFonts w:ascii="Palatino Linotype" w:hAnsi="Palatino Linotype"/>
          <w:i/>
          <w:iCs/>
          <w:color w:val="222222"/>
          <w:lang w:eastAsia="es-MX"/>
        </w:rPr>
        <w:t xml:space="preserve"> 3995/16. Secretaría de la Defensa Nacional. 1 de febrero de 2017. Por unanimidad. Comisionado Ponente </w:t>
      </w:r>
      <w:proofErr w:type="spellStart"/>
      <w:r w:rsidRPr="00660089">
        <w:rPr>
          <w:rFonts w:ascii="Palatino Linotype" w:hAnsi="Palatino Linotype"/>
          <w:i/>
          <w:iCs/>
          <w:color w:val="222222"/>
          <w:lang w:eastAsia="es-MX"/>
        </w:rPr>
        <w:t>Rosendoevgueni</w:t>
      </w:r>
      <w:proofErr w:type="spellEnd"/>
      <w:r w:rsidRPr="00660089">
        <w:rPr>
          <w:rFonts w:ascii="Palatino Linotype" w:hAnsi="Palatino Linotype"/>
          <w:i/>
          <w:iCs/>
          <w:color w:val="222222"/>
          <w:lang w:eastAsia="es-MX"/>
        </w:rPr>
        <w:t xml:space="preserve"> Monterrey </w:t>
      </w:r>
      <w:proofErr w:type="spellStart"/>
      <w:r w:rsidRPr="00660089">
        <w:rPr>
          <w:rFonts w:ascii="Palatino Linotype" w:hAnsi="Palatino Linotype"/>
          <w:i/>
          <w:iCs/>
          <w:color w:val="222222"/>
          <w:lang w:eastAsia="es-MX"/>
        </w:rPr>
        <w:t>Chepov</w:t>
      </w:r>
      <w:proofErr w:type="spellEnd"/>
      <w:r w:rsidRPr="00660089">
        <w:rPr>
          <w:rFonts w:ascii="Palatino Linotype" w:hAnsi="Palatino Linotype"/>
          <w:i/>
          <w:iCs/>
          <w:color w:val="222222"/>
          <w:lang w:eastAsia="es-MX"/>
        </w:rPr>
        <w:t>.</w:t>
      </w:r>
    </w:p>
    <w:p w14:paraId="5275C24D"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xml:space="preserve">• </w:t>
      </w:r>
      <w:proofErr w:type="spellStart"/>
      <w:r w:rsidRPr="00660089">
        <w:rPr>
          <w:rFonts w:ascii="Palatino Linotype" w:hAnsi="Palatino Linotype"/>
          <w:i/>
          <w:iCs/>
          <w:color w:val="222222"/>
          <w:lang w:eastAsia="es-MX"/>
        </w:rPr>
        <w:t>RRA</w:t>
      </w:r>
      <w:proofErr w:type="spellEnd"/>
      <w:r w:rsidRPr="00660089">
        <w:rPr>
          <w:rFonts w:ascii="Palatino Linotype" w:hAnsi="Palatino Linotype"/>
          <w:i/>
          <w:iCs/>
          <w:color w:val="222222"/>
          <w:lang w:eastAsia="es-MX"/>
        </w:rPr>
        <w:t xml:space="preserve"> 0937/17. Senado de la República. 15 de marzo de 2017. Por unanimidad. Comisionada Ponente Ximena Puente de la Mora.</w:t>
      </w:r>
    </w:p>
    <w:p w14:paraId="0AABD44D" w14:textId="77777777" w:rsidR="00B45B91" w:rsidRPr="00660089" w:rsidRDefault="00B45B91" w:rsidP="00BF3E35">
      <w:pPr>
        <w:shd w:val="clear" w:color="auto" w:fill="FFFFFF"/>
        <w:spacing w:after="0" w:line="240" w:lineRule="auto"/>
        <w:ind w:left="567" w:right="567"/>
        <w:jc w:val="both"/>
        <w:rPr>
          <w:rFonts w:ascii="Palatino Linotype" w:hAnsi="Palatino Linotype"/>
          <w:color w:val="222222"/>
          <w:lang w:eastAsia="es-MX"/>
        </w:rPr>
      </w:pPr>
      <w:proofErr w:type="spellStart"/>
      <w:r w:rsidRPr="00660089">
        <w:rPr>
          <w:rFonts w:ascii="Palatino Linotype" w:hAnsi="Palatino Linotype"/>
          <w:i/>
          <w:iCs/>
          <w:color w:val="222222"/>
          <w:lang w:eastAsia="es-MX"/>
        </w:rPr>
        <w:t>RRA</w:t>
      </w:r>
      <w:proofErr w:type="spellEnd"/>
      <w:r w:rsidRPr="00660089">
        <w:rPr>
          <w:rFonts w:ascii="Palatino Linotype" w:hAnsi="Palatino Linotype"/>
          <w:i/>
          <w:iCs/>
          <w:color w:val="222222"/>
          <w:lang w:eastAsia="es-MX"/>
        </w:rPr>
        <w:t xml:space="preserve"> 0478/17. Secretaría de Relaciones Exteriores. 26 de abril de 2017. Por unanimidad. Comisionada Ponente Areli Cano Guadiana.” (sic)</w:t>
      </w:r>
    </w:p>
    <w:p w14:paraId="7CFC36A8"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p>
    <w:p w14:paraId="72C9BD12"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40674710"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p>
    <w:p w14:paraId="551DFD77" w14:textId="77777777" w:rsidR="00B45B91" w:rsidRPr="00660089" w:rsidRDefault="00B45B91" w:rsidP="00BF3E35">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b/>
          <w:bCs/>
          <w:i/>
          <w:iCs/>
          <w:color w:val="000000"/>
          <w:lang w:val="es-ES_tradnl" w:eastAsia="es-MX"/>
        </w:rPr>
        <w:t>“FUNDAMENTACIÓN Y MOTIVACIÓN.</w:t>
      </w:r>
      <w:r w:rsidRPr="00660089">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A919119" w14:textId="77777777" w:rsidR="00B45B91" w:rsidRPr="00F879CC" w:rsidRDefault="00B45B91" w:rsidP="00BF3E35">
      <w:pPr>
        <w:shd w:val="clear" w:color="auto" w:fill="FFFFFF"/>
        <w:spacing w:after="0" w:line="240" w:lineRule="auto"/>
        <w:ind w:left="567" w:right="567"/>
        <w:jc w:val="both"/>
        <w:rPr>
          <w:rFonts w:ascii="Palatino Linotype" w:hAnsi="Palatino Linotype" w:cs="Arial"/>
          <w:color w:val="222222"/>
          <w:sz w:val="20"/>
          <w:lang w:eastAsia="es-MX"/>
        </w:rPr>
      </w:pPr>
      <w:r w:rsidRPr="00F879CC">
        <w:rPr>
          <w:rFonts w:ascii="Palatino Linotype" w:hAnsi="Palatino Linotype" w:cs="Arial"/>
          <w:i/>
          <w:iCs/>
          <w:color w:val="000000"/>
          <w:sz w:val="20"/>
          <w:lang w:val="es-ES_tradnl" w:eastAsia="es-MX"/>
        </w:rPr>
        <w:t>SEGUNDO TRIBUNAL COLEGIADO DEL SEXTO CIRCUITO.</w:t>
      </w:r>
    </w:p>
    <w:p w14:paraId="3D78683D" w14:textId="77777777" w:rsidR="00B45B91" w:rsidRPr="00F879CC" w:rsidRDefault="00B45B91" w:rsidP="00BF3E35">
      <w:pPr>
        <w:shd w:val="clear" w:color="auto" w:fill="FFFFFF"/>
        <w:spacing w:after="0" w:line="240" w:lineRule="auto"/>
        <w:ind w:left="567" w:right="567"/>
        <w:jc w:val="both"/>
        <w:rPr>
          <w:rFonts w:ascii="Palatino Linotype" w:hAnsi="Palatino Linotype" w:cs="Arial"/>
          <w:color w:val="222222"/>
          <w:sz w:val="20"/>
          <w:lang w:eastAsia="es-MX"/>
        </w:rPr>
      </w:pPr>
      <w:r w:rsidRPr="00F879CC">
        <w:rPr>
          <w:rFonts w:ascii="Palatino Linotype" w:hAnsi="Palatino Linotype" w:cs="Arial"/>
          <w:i/>
          <w:iCs/>
          <w:color w:val="000000"/>
          <w:sz w:val="20"/>
          <w:lang w:val="es-ES_tradnl" w:eastAsia="es-MX"/>
        </w:rPr>
        <w:t>Amparo directo 194/88. Bufete Industrial Construcciones, S.A. de C.V. 28 de junio de 1988. Unanimidad de votos. Ponente: Gustavo Calvillo Rangel. Secretario: Jorge Alberto González Álvarez.</w:t>
      </w:r>
    </w:p>
    <w:p w14:paraId="4F43C540" w14:textId="77777777" w:rsidR="00B45B91" w:rsidRPr="00F879CC" w:rsidRDefault="00B45B91" w:rsidP="00BF3E35">
      <w:pPr>
        <w:shd w:val="clear" w:color="auto" w:fill="FFFFFF"/>
        <w:spacing w:after="0" w:line="240" w:lineRule="auto"/>
        <w:ind w:left="567" w:right="567"/>
        <w:jc w:val="both"/>
        <w:rPr>
          <w:rFonts w:ascii="Palatino Linotype" w:hAnsi="Palatino Linotype" w:cs="Arial"/>
          <w:color w:val="222222"/>
          <w:sz w:val="20"/>
          <w:lang w:eastAsia="es-MX"/>
        </w:rPr>
      </w:pPr>
      <w:r w:rsidRPr="00F879CC">
        <w:rPr>
          <w:rFonts w:ascii="Palatino Linotype" w:hAnsi="Palatino Linotype" w:cs="Arial"/>
          <w:i/>
          <w:iCs/>
          <w:color w:val="000000"/>
          <w:sz w:val="20"/>
          <w:lang w:val="es-ES_tradnl" w:eastAsia="es-MX"/>
        </w:rPr>
        <w:t>Revisión fiscal 103/88. Instituto Mexicano del Seguro Social. 18 de octubre de 1988. Unanimidad de votos. Ponente: Arnoldo Nájera Virgen. Secretario: Alejandro Esponda Rincón.</w:t>
      </w:r>
    </w:p>
    <w:p w14:paraId="75F300F6" w14:textId="77777777" w:rsidR="00B45B91" w:rsidRPr="00F879CC" w:rsidRDefault="00B45B91" w:rsidP="00BF3E35">
      <w:pPr>
        <w:shd w:val="clear" w:color="auto" w:fill="FFFFFF"/>
        <w:spacing w:after="0" w:line="240" w:lineRule="auto"/>
        <w:ind w:left="567" w:right="567"/>
        <w:jc w:val="both"/>
        <w:rPr>
          <w:rFonts w:ascii="Palatino Linotype" w:hAnsi="Palatino Linotype" w:cs="Arial"/>
          <w:color w:val="222222"/>
          <w:sz w:val="20"/>
          <w:lang w:eastAsia="es-MX"/>
        </w:rPr>
      </w:pPr>
      <w:r w:rsidRPr="00F879CC">
        <w:rPr>
          <w:rFonts w:ascii="Palatino Linotype" w:hAnsi="Palatino Linotype" w:cs="Arial"/>
          <w:i/>
          <w:iCs/>
          <w:color w:val="000000"/>
          <w:sz w:val="20"/>
          <w:lang w:val="es-ES_tradnl" w:eastAsia="es-MX"/>
        </w:rPr>
        <w:t>Amparo en revisión 333/88. Adilia Romero. 26 de octubre de 1988. Unanimidad de votos. Ponente: Arnoldo Nájera Virgen. Secretario: Enrique Crispín Campos Ramírez.</w:t>
      </w:r>
    </w:p>
    <w:p w14:paraId="0678DFF9" w14:textId="77777777" w:rsidR="00B45B91" w:rsidRPr="00F879CC" w:rsidRDefault="00B45B91" w:rsidP="00BF3E35">
      <w:pPr>
        <w:shd w:val="clear" w:color="auto" w:fill="FFFFFF"/>
        <w:spacing w:after="0" w:line="240" w:lineRule="auto"/>
        <w:ind w:left="567" w:right="567"/>
        <w:jc w:val="both"/>
        <w:rPr>
          <w:rFonts w:ascii="Palatino Linotype" w:hAnsi="Palatino Linotype" w:cs="Arial"/>
          <w:color w:val="222222"/>
          <w:sz w:val="20"/>
          <w:lang w:eastAsia="es-MX"/>
        </w:rPr>
      </w:pPr>
      <w:r w:rsidRPr="00F879CC">
        <w:rPr>
          <w:rFonts w:ascii="Palatino Linotype" w:hAnsi="Palatino Linotype" w:cs="Arial"/>
          <w:i/>
          <w:iCs/>
          <w:color w:val="000000"/>
          <w:sz w:val="20"/>
          <w:lang w:val="es-ES_tradnl" w:eastAsia="es-MX"/>
        </w:rPr>
        <w:t>Amparo en revisión 597/95. Emilio Maurer Bretón. 15 de noviembre de 1995. Unanimidad de votos. Ponente: Clementina Ramírez Moguel Goyzueta. Secretario: Gonzalo Carrera Molina.</w:t>
      </w:r>
    </w:p>
    <w:p w14:paraId="6634F7A5" w14:textId="77777777" w:rsidR="00B45B91" w:rsidRPr="00F879CC" w:rsidRDefault="00B45B91" w:rsidP="00BF3E35">
      <w:pPr>
        <w:shd w:val="clear" w:color="auto" w:fill="FFFFFF"/>
        <w:spacing w:after="0" w:line="240" w:lineRule="auto"/>
        <w:ind w:left="567" w:right="567"/>
        <w:jc w:val="both"/>
        <w:rPr>
          <w:rFonts w:ascii="Palatino Linotype" w:hAnsi="Palatino Linotype" w:cs="Arial"/>
          <w:color w:val="222222"/>
          <w:sz w:val="20"/>
          <w:lang w:eastAsia="es-MX"/>
        </w:rPr>
      </w:pPr>
      <w:r w:rsidRPr="00F879CC">
        <w:rPr>
          <w:rFonts w:ascii="Palatino Linotype" w:hAnsi="Palatino Linotype" w:cs="Arial"/>
          <w:i/>
          <w:iCs/>
          <w:color w:val="000000"/>
          <w:sz w:val="20"/>
          <w:lang w:val="es-ES_tradnl" w:eastAsia="es-MX"/>
        </w:rPr>
        <w:t xml:space="preserve">Amparo directo 7/96. Pedro Vicente López Miro. 21 de febrero de 1996. Unanimidad de votos. Ponente: María Eugenia Estela Martínez Cardiel. Secretario: Enrique </w:t>
      </w:r>
      <w:proofErr w:type="spellStart"/>
      <w:r w:rsidRPr="00F879CC">
        <w:rPr>
          <w:rFonts w:ascii="Palatino Linotype" w:hAnsi="Palatino Linotype" w:cs="Arial"/>
          <w:i/>
          <w:iCs/>
          <w:color w:val="000000"/>
          <w:sz w:val="20"/>
          <w:lang w:val="es-ES_tradnl" w:eastAsia="es-MX"/>
        </w:rPr>
        <w:t>Baigts</w:t>
      </w:r>
      <w:proofErr w:type="spellEnd"/>
      <w:r w:rsidRPr="00F879CC">
        <w:rPr>
          <w:rFonts w:ascii="Palatino Linotype" w:hAnsi="Palatino Linotype" w:cs="Arial"/>
          <w:i/>
          <w:iCs/>
          <w:color w:val="000000"/>
          <w:sz w:val="20"/>
          <w:lang w:val="es-ES_tradnl" w:eastAsia="es-MX"/>
        </w:rPr>
        <w:t xml:space="preserve"> Muñoz.” (sic)</w:t>
      </w:r>
    </w:p>
    <w:p w14:paraId="190D6AE2"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p>
    <w:p w14:paraId="32CA0FD5"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CCE2CE8"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p>
    <w:p w14:paraId="5C9D818B"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217F935B" w14:textId="77777777" w:rsidR="00B45B91" w:rsidRPr="00660089"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14:paraId="3644C614" w14:textId="77777777" w:rsidR="00B45B91" w:rsidRDefault="00B45B91" w:rsidP="00BF3E3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076FB3B4" w14:textId="77777777" w:rsidR="00B45B91" w:rsidRDefault="00B45B91" w:rsidP="00BF3E35">
      <w:pPr>
        <w:tabs>
          <w:tab w:val="left" w:pos="7938"/>
        </w:tabs>
        <w:spacing w:after="0" w:line="360" w:lineRule="auto"/>
        <w:jc w:val="both"/>
        <w:rPr>
          <w:rFonts w:ascii="Palatino Linotype" w:eastAsia="Arial Unicode MS" w:hAnsi="Palatino Linotype" w:cs="Arial"/>
          <w:sz w:val="24"/>
        </w:rPr>
      </w:pPr>
    </w:p>
    <w:p w14:paraId="634DA9F9" w14:textId="77777777" w:rsidR="00B45B91" w:rsidRPr="00660089" w:rsidRDefault="00B45B91" w:rsidP="00BF3E35">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Por lo tanto, en mérito de lo expuesto en líneas anteriores, con fundamento en la </w:t>
      </w:r>
      <w:r>
        <w:rPr>
          <w:rFonts w:ascii="Palatino Linotype" w:hAnsi="Palatino Linotype" w:cs="Arial"/>
          <w:sz w:val="24"/>
          <w:szCs w:val="24"/>
        </w:rPr>
        <w:t xml:space="preserve">primera hipótesis de la </w:t>
      </w:r>
      <w:r w:rsidRPr="00660089">
        <w:rPr>
          <w:rFonts w:ascii="Palatino Linotype" w:hAnsi="Palatino Linotype" w:cs="Arial"/>
          <w:sz w:val="24"/>
          <w:szCs w:val="24"/>
        </w:rPr>
        <w:t>fracción I</w:t>
      </w:r>
      <w:r>
        <w:rPr>
          <w:rFonts w:ascii="Palatino Linotype" w:hAnsi="Palatino Linotype" w:cs="Arial"/>
          <w:sz w:val="24"/>
          <w:szCs w:val="24"/>
        </w:rPr>
        <w:t>II</w:t>
      </w:r>
      <w:r w:rsidRPr="00660089">
        <w:rPr>
          <w:rFonts w:ascii="Palatino Linotype" w:hAnsi="Palatino Linotype" w:cs="Arial"/>
          <w:sz w:val="24"/>
          <w:szCs w:val="24"/>
        </w:rPr>
        <w:t xml:space="preserve"> del artículo 186, de la Ley de Transparencia y Acceso a la Información Pública del Estado de México y Municipios, se </w:t>
      </w:r>
      <w:r w:rsidR="00F86316">
        <w:rPr>
          <w:rFonts w:ascii="Palatino Linotype" w:hAnsi="Palatino Linotype" w:cs="Arial"/>
          <w:b/>
          <w:sz w:val="24"/>
          <w:szCs w:val="24"/>
        </w:rPr>
        <w:t>MODIFICA</w:t>
      </w:r>
      <w:r w:rsidR="00F86316" w:rsidRPr="00F86316">
        <w:rPr>
          <w:rFonts w:ascii="Palatino Linotype" w:hAnsi="Palatino Linotype" w:cs="Arial"/>
          <w:sz w:val="24"/>
          <w:szCs w:val="24"/>
        </w:rPr>
        <w:t xml:space="preserve"> la respuesta otorgada por el</w:t>
      </w:r>
      <w:r w:rsidRPr="00660089">
        <w:rPr>
          <w:rFonts w:ascii="Palatino Linotype" w:hAnsi="Palatino Linotype" w:cs="Arial"/>
          <w:sz w:val="24"/>
          <w:szCs w:val="24"/>
        </w:rPr>
        <w:t xml:space="preserve">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w:t>
      </w:r>
      <w:r w:rsidR="00F86316">
        <w:rPr>
          <w:rFonts w:ascii="Palatino Linotype" w:hAnsi="Palatino Linotype" w:cs="Arial"/>
          <w:sz w:val="24"/>
          <w:szCs w:val="24"/>
        </w:rPr>
        <w:t>a la solicitud</w:t>
      </w:r>
      <w:r w:rsidRPr="00660089">
        <w:rPr>
          <w:rFonts w:ascii="Palatino Linotype" w:hAnsi="Palatino Linotype" w:cs="Arial"/>
          <w:sz w:val="24"/>
          <w:szCs w:val="24"/>
        </w:rPr>
        <w:t xml:space="preserve"> de información</w:t>
      </w:r>
      <w:r>
        <w:rPr>
          <w:rFonts w:ascii="Palatino Linotype" w:hAnsi="Palatino Linotype" w:cs="Arial"/>
          <w:sz w:val="24"/>
          <w:szCs w:val="24"/>
        </w:rPr>
        <w:t xml:space="preserve"> </w:t>
      </w:r>
      <w:r w:rsidRPr="00B45B91">
        <w:rPr>
          <w:rFonts w:ascii="Palatino Linotype" w:hAnsi="Palatino Linotype" w:cs="Arial"/>
          <w:b/>
          <w:sz w:val="24"/>
          <w:szCs w:val="24"/>
        </w:rPr>
        <w:t>00124/TOLUCA/IP/2023</w:t>
      </w:r>
      <w:r>
        <w:rPr>
          <w:rFonts w:ascii="Palatino Linotype" w:hAnsi="Palatino Linotype" w:cs="Arial"/>
          <w:sz w:val="24"/>
          <w:szCs w:val="24"/>
        </w:rPr>
        <w:t xml:space="preserve">, la cual </w:t>
      </w:r>
      <w:r w:rsidRPr="00660089">
        <w:rPr>
          <w:rFonts w:ascii="Palatino Linotype" w:hAnsi="Palatino Linotype" w:cs="Arial"/>
          <w:sz w:val="24"/>
          <w:szCs w:val="24"/>
        </w:rPr>
        <w:t>ha sido materia del presente fallo.</w:t>
      </w:r>
    </w:p>
    <w:p w14:paraId="357EAE64" w14:textId="77777777" w:rsidR="00B45B91" w:rsidRPr="00660089" w:rsidRDefault="00B45B91" w:rsidP="00BF3E35">
      <w:pPr>
        <w:autoSpaceDE w:val="0"/>
        <w:autoSpaceDN w:val="0"/>
        <w:adjustRightInd w:val="0"/>
        <w:spacing w:after="0" w:line="360" w:lineRule="auto"/>
        <w:jc w:val="both"/>
        <w:rPr>
          <w:rFonts w:ascii="Palatino Linotype" w:hAnsi="Palatino Linotype" w:cs="Arial"/>
          <w:sz w:val="24"/>
          <w:szCs w:val="24"/>
        </w:rPr>
      </w:pPr>
    </w:p>
    <w:p w14:paraId="57F5129C" w14:textId="77777777" w:rsidR="00B45B91" w:rsidRDefault="00B45B91" w:rsidP="00BF3E35">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Por lo antes expuesto y fundado es de resolverse y,</w:t>
      </w:r>
    </w:p>
    <w:p w14:paraId="6FD7D42B" w14:textId="77777777" w:rsidR="00F879CC" w:rsidRPr="00660089" w:rsidRDefault="00F879CC" w:rsidP="00BF3E35">
      <w:pPr>
        <w:autoSpaceDE w:val="0"/>
        <w:autoSpaceDN w:val="0"/>
        <w:adjustRightInd w:val="0"/>
        <w:spacing w:after="0" w:line="360" w:lineRule="auto"/>
        <w:jc w:val="both"/>
        <w:rPr>
          <w:rFonts w:ascii="Palatino Linotype" w:hAnsi="Palatino Linotype" w:cs="Arial"/>
          <w:sz w:val="24"/>
          <w:szCs w:val="24"/>
        </w:rPr>
      </w:pPr>
    </w:p>
    <w:p w14:paraId="45F36C3C" w14:textId="77777777" w:rsidR="00B45B91" w:rsidRPr="00660089" w:rsidRDefault="00B45B91" w:rsidP="00BF3E35">
      <w:pPr>
        <w:spacing w:after="0" w:line="360" w:lineRule="auto"/>
        <w:ind w:left="426"/>
        <w:jc w:val="center"/>
        <w:rPr>
          <w:rFonts w:ascii="Palatino Linotype" w:eastAsia="Times New Roman" w:hAnsi="Palatino Linotype" w:cs="Times New Roman"/>
          <w:color w:val="000000"/>
          <w:sz w:val="24"/>
          <w:szCs w:val="24"/>
          <w:lang w:val="es-ES" w:eastAsia="es-ES"/>
        </w:rPr>
      </w:pPr>
      <w:r w:rsidRPr="00660089">
        <w:rPr>
          <w:rFonts w:ascii="Palatino Linotype" w:eastAsia="Times New Roman" w:hAnsi="Palatino Linotype" w:cs="Times New Roman"/>
          <w:b/>
          <w:color w:val="000000"/>
          <w:sz w:val="28"/>
          <w:szCs w:val="24"/>
          <w:lang w:val="es-ES" w:eastAsia="es-ES"/>
        </w:rPr>
        <w:t>SE    RESUELVE</w:t>
      </w:r>
    </w:p>
    <w:p w14:paraId="268C01F4" w14:textId="77777777" w:rsidR="00B45B91" w:rsidRPr="00660089" w:rsidRDefault="00B45B91" w:rsidP="00BF3E35">
      <w:pPr>
        <w:spacing w:after="0" w:line="360" w:lineRule="auto"/>
        <w:ind w:left="426"/>
        <w:jc w:val="center"/>
        <w:rPr>
          <w:rFonts w:ascii="Palatino Linotype" w:eastAsia="Times New Roman" w:hAnsi="Palatino Linotype" w:cs="Times New Roman"/>
          <w:color w:val="000000"/>
          <w:sz w:val="24"/>
          <w:szCs w:val="24"/>
          <w:lang w:val="es-ES" w:eastAsia="es-ES"/>
        </w:rPr>
      </w:pPr>
    </w:p>
    <w:p w14:paraId="6433C468" w14:textId="77777777" w:rsidR="00B45B91" w:rsidRPr="00043D47" w:rsidRDefault="00B45B91" w:rsidP="00BF3E35">
      <w:pPr>
        <w:spacing w:after="0" w:line="360" w:lineRule="auto"/>
        <w:jc w:val="both"/>
        <w:rPr>
          <w:rFonts w:ascii="Palatino Linotype" w:eastAsia="Times New Roman" w:hAnsi="Palatino Linotype" w:cs="Arial"/>
          <w:b/>
          <w:sz w:val="24"/>
          <w:szCs w:val="24"/>
          <w:lang w:eastAsia="es-ES"/>
        </w:rPr>
      </w:pPr>
      <w:r w:rsidRPr="00043D47">
        <w:rPr>
          <w:rFonts w:ascii="Palatino Linotype" w:eastAsia="Times New Roman" w:hAnsi="Palatino Linotype" w:cs="Arial"/>
          <w:b/>
          <w:sz w:val="28"/>
          <w:szCs w:val="24"/>
          <w:lang w:eastAsia="es-ES"/>
        </w:rPr>
        <w:t>PRIMERO</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Se</w:t>
      </w:r>
      <w:r w:rsidRPr="00043D47">
        <w:rPr>
          <w:rFonts w:ascii="Palatino Linotype" w:eastAsia="Times New Roman" w:hAnsi="Palatino Linotype" w:cs="Arial"/>
          <w:b/>
          <w:sz w:val="24"/>
          <w:szCs w:val="24"/>
          <w:lang w:eastAsia="es-ES"/>
        </w:rPr>
        <w:t xml:space="preserve"> </w:t>
      </w:r>
      <w:r w:rsidR="00F86316">
        <w:rPr>
          <w:rFonts w:ascii="Palatino Linotype" w:eastAsia="Times New Roman" w:hAnsi="Palatino Linotype" w:cs="Arial"/>
          <w:b/>
          <w:sz w:val="24"/>
          <w:szCs w:val="24"/>
          <w:lang w:eastAsia="es-ES"/>
        </w:rPr>
        <w:t>MODIFICA</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 xml:space="preserve">la respuesta del </w:t>
      </w:r>
      <w:r w:rsidRPr="00043D47">
        <w:rPr>
          <w:rFonts w:ascii="Palatino Linotype" w:eastAsia="Times New Roman" w:hAnsi="Palatino Linotype" w:cs="Arial"/>
          <w:b/>
          <w:sz w:val="24"/>
          <w:szCs w:val="24"/>
          <w:lang w:eastAsia="es-ES"/>
        </w:rPr>
        <w:t>Sujeto Obligado</w:t>
      </w:r>
      <w:r w:rsidRPr="00043D47">
        <w:rPr>
          <w:rFonts w:ascii="Palatino Linotype" w:eastAsia="Times New Roman" w:hAnsi="Palatino Linotype" w:cs="Arial"/>
          <w:sz w:val="24"/>
          <w:szCs w:val="24"/>
          <w:lang w:eastAsia="es-ES"/>
        </w:rPr>
        <w:t xml:space="preserve"> a la solicitud de acceso a la información pública</w:t>
      </w:r>
      <w:r w:rsidRPr="0035086A">
        <w:rPr>
          <w:rFonts w:ascii="Palatino Linotype" w:eastAsia="Times New Roman" w:hAnsi="Palatino Linotype" w:cs="Arial"/>
          <w:sz w:val="24"/>
          <w:szCs w:val="24"/>
          <w:lang w:eastAsia="es-ES"/>
        </w:rPr>
        <w:t xml:space="preserve"> </w:t>
      </w:r>
      <w:r w:rsidRPr="00B45B91">
        <w:rPr>
          <w:rFonts w:ascii="Palatino Linotype" w:eastAsia="Calibri" w:hAnsi="Palatino Linotype" w:cs="Arial"/>
          <w:b/>
          <w:sz w:val="24"/>
          <w:szCs w:val="24"/>
          <w:lang w:eastAsia="es-MX"/>
        </w:rPr>
        <w:t>00124/TOLUCA/IP/2023</w:t>
      </w:r>
      <w:r w:rsidRPr="009E4150">
        <w:rPr>
          <w:rFonts w:ascii="Palatino Linotype" w:eastAsia="Calibri" w:hAnsi="Palatino Linotype" w:cs="Arial"/>
          <w:sz w:val="24"/>
          <w:szCs w:val="24"/>
          <w:lang w:eastAsia="es-MX"/>
        </w:rPr>
        <w:t xml:space="preserve"> </w:t>
      </w:r>
      <w:r w:rsidRPr="00043D47">
        <w:rPr>
          <w:rFonts w:ascii="Palatino Linotype" w:eastAsia="Times New Roman" w:hAnsi="Palatino Linotype" w:cs="Arial"/>
          <w:sz w:val="24"/>
          <w:szCs w:val="24"/>
          <w:lang w:eastAsia="es-ES"/>
        </w:rPr>
        <w:t xml:space="preserve">por resultar </w:t>
      </w:r>
      <w:r w:rsidRPr="00043D47">
        <w:rPr>
          <w:rFonts w:ascii="Palatino Linotype" w:eastAsia="Times New Roman" w:hAnsi="Palatino Linotype" w:cs="Arial"/>
          <w:b/>
          <w:sz w:val="24"/>
          <w:szCs w:val="24"/>
          <w:lang w:eastAsia="es-ES"/>
        </w:rPr>
        <w:t xml:space="preserve">fundados </w:t>
      </w:r>
      <w:r w:rsidRPr="00043D47">
        <w:rPr>
          <w:rFonts w:ascii="Palatino Linotype" w:eastAsia="Times New Roman" w:hAnsi="Palatino Linotype" w:cs="Arial"/>
          <w:sz w:val="24"/>
          <w:szCs w:val="24"/>
          <w:lang w:eastAsia="es-ES"/>
        </w:rPr>
        <w:t xml:space="preserve">los motivos </w:t>
      </w:r>
      <w:r w:rsidRPr="00043D47">
        <w:rPr>
          <w:rFonts w:ascii="Palatino Linotype" w:eastAsia="Times New Roman" w:hAnsi="Palatino Linotype" w:cs="Arial"/>
          <w:sz w:val="24"/>
          <w:szCs w:val="24"/>
          <w:lang w:eastAsia="es-ES"/>
        </w:rPr>
        <w:lastRenderedPageBreak/>
        <w:t xml:space="preserve">de inconformidad vertidos por el </w:t>
      </w:r>
      <w:r w:rsidRPr="00043D47">
        <w:rPr>
          <w:rFonts w:ascii="Palatino Linotype" w:eastAsia="Times New Roman" w:hAnsi="Palatino Linotype" w:cs="Arial"/>
          <w:b/>
          <w:sz w:val="24"/>
          <w:szCs w:val="24"/>
          <w:lang w:eastAsia="es-ES"/>
        </w:rPr>
        <w:t>Recurrente</w:t>
      </w:r>
      <w:r w:rsidRPr="00043D47">
        <w:rPr>
          <w:rFonts w:ascii="Palatino Linotype" w:eastAsia="Times New Roman" w:hAnsi="Palatino Linotype" w:cs="Arial"/>
          <w:sz w:val="24"/>
          <w:szCs w:val="24"/>
          <w:lang w:eastAsia="es-ES"/>
        </w:rPr>
        <w:t xml:space="preserve">, en términos </w:t>
      </w:r>
      <w:proofErr w:type="gramStart"/>
      <w:r w:rsidRPr="00043D47">
        <w:rPr>
          <w:rFonts w:ascii="Palatino Linotype" w:eastAsia="Times New Roman" w:hAnsi="Palatino Linotype" w:cs="Arial"/>
          <w:sz w:val="24"/>
          <w:szCs w:val="24"/>
          <w:lang w:eastAsia="es-ES"/>
        </w:rPr>
        <w:t>del considerandos</w:t>
      </w:r>
      <w:proofErr w:type="gramEnd"/>
      <w:r w:rsidRPr="00043D47">
        <w:rPr>
          <w:rFonts w:ascii="Palatino Linotype" w:eastAsia="Times New Roman" w:hAnsi="Palatino Linotype" w:cs="Arial"/>
          <w:b/>
          <w:sz w:val="24"/>
          <w:szCs w:val="24"/>
          <w:lang w:eastAsia="es-ES"/>
        </w:rPr>
        <w:t xml:space="preserve"> CUARTO </w:t>
      </w:r>
      <w:r w:rsidRPr="00043D47">
        <w:rPr>
          <w:rFonts w:ascii="Palatino Linotype" w:eastAsia="Times New Roman" w:hAnsi="Palatino Linotype" w:cs="Arial"/>
          <w:sz w:val="24"/>
          <w:szCs w:val="24"/>
          <w:lang w:eastAsia="es-ES"/>
        </w:rPr>
        <w:t>de la presente Resolución.</w:t>
      </w:r>
    </w:p>
    <w:p w14:paraId="3102B0A9" w14:textId="77777777" w:rsidR="00B45B91" w:rsidRPr="00043D47" w:rsidRDefault="00B45B91" w:rsidP="00BF3E35">
      <w:pPr>
        <w:spacing w:after="0" w:line="360" w:lineRule="auto"/>
        <w:ind w:right="-595"/>
        <w:jc w:val="both"/>
        <w:rPr>
          <w:rFonts w:ascii="Palatino Linotype" w:eastAsia="Times New Roman" w:hAnsi="Palatino Linotype" w:cs="Arial"/>
          <w:b/>
          <w:sz w:val="24"/>
          <w:szCs w:val="24"/>
          <w:lang w:eastAsia="es-ES"/>
        </w:rPr>
      </w:pPr>
    </w:p>
    <w:p w14:paraId="4F4005EE" w14:textId="77777777" w:rsidR="00B45B91" w:rsidRPr="00043D47" w:rsidRDefault="00B45B91" w:rsidP="00BF3E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4"/>
          <w:lang w:eastAsia="es-ES"/>
        </w:rPr>
        <w:t>SEGUNDO</w:t>
      </w:r>
      <w:r w:rsidRPr="00043D47">
        <w:rPr>
          <w:rFonts w:ascii="Palatino Linotype" w:eastAsia="Times New Roman" w:hAnsi="Palatino Linotype" w:cs="Arial"/>
          <w:b/>
          <w:sz w:val="24"/>
          <w:szCs w:val="24"/>
          <w:lang w:eastAsia="es-ES"/>
        </w:rPr>
        <w:t>.</w:t>
      </w:r>
      <w:r w:rsidRPr="00043D47">
        <w:rPr>
          <w:rFonts w:ascii="Palatino Linotype" w:eastAsia="Times New Roman" w:hAnsi="Palatino Linotype" w:cs="Tahoma"/>
          <w:sz w:val="24"/>
          <w:szCs w:val="24"/>
          <w:lang w:eastAsia="es-ES"/>
        </w:rPr>
        <w:t xml:space="preserve"> Se </w:t>
      </w:r>
      <w:r w:rsidRPr="00043D47">
        <w:rPr>
          <w:rFonts w:ascii="Palatino Linotype" w:eastAsia="Times New Roman" w:hAnsi="Palatino Linotype" w:cs="Tahoma"/>
          <w:b/>
          <w:sz w:val="24"/>
          <w:szCs w:val="24"/>
          <w:lang w:eastAsia="es-ES"/>
        </w:rPr>
        <w:t xml:space="preserve">ORDENA </w:t>
      </w:r>
      <w:r w:rsidRPr="00043D47">
        <w:rPr>
          <w:rFonts w:ascii="Palatino Linotype" w:eastAsia="Times New Roman" w:hAnsi="Palatino Linotype" w:cs="Tahoma"/>
          <w:sz w:val="24"/>
          <w:szCs w:val="24"/>
          <w:lang w:eastAsia="es-ES"/>
        </w:rPr>
        <w:t>al Sujeto Obligado</w:t>
      </w:r>
      <w:r w:rsidRPr="00043D47">
        <w:rPr>
          <w:rFonts w:ascii="Palatino Linotype" w:eastAsia="Times New Roman" w:hAnsi="Palatino Linotype" w:cs="Tahoma"/>
          <w:b/>
          <w:sz w:val="24"/>
          <w:szCs w:val="24"/>
          <w:lang w:eastAsia="es-ES"/>
        </w:rPr>
        <w:t xml:space="preserve">, </w:t>
      </w:r>
      <w:r w:rsidRPr="00043D47">
        <w:rPr>
          <w:rFonts w:ascii="Palatino Linotype" w:eastAsia="Times New Roman" w:hAnsi="Palatino Linotype" w:cs="Tahoma"/>
          <w:sz w:val="24"/>
          <w:szCs w:val="24"/>
          <w:lang w:eastAsia="es-ES"/>
        </w:rPr>
        <w:t>a efecto de que entregue, vía</w:t>
      </w:r>
      <w:r w:rsidRPr="00043D47">
        <w:rPr>
          <w:rFonts w:ascii="Palatino Linotype" w:eastAsia="Times New Roman" w:hAnsi="Palatino Linotype" w:cs="Tahoma"/>
          <w:b/>
          <w:sz w:val="24"/>
          <w:szCs w:val="24"/>
          <w:lang w:eastAsia="es-ES"/>
        </w:rPr>
        <w:t xml:space="preserve"> </w:t>
      </w:r>
      <w:r w:rsidRPr="00043D47">
        <w:rPr>
          <w:rFonts w:ascii="Palatino Linotype" w:eastAsia="Calibri" w:hAnsi="Palatino Linotype" w:cs="Tahoma"/>
          <w:bCs/>
          <w:sz w:val="24"/>
          <w:szCs w:val="24"/>
          <w:lang w:eastAsia="es-MX"/>
        </w:rPr>
        <w:t>Sistema de Acceso a la Información Mexiquense (</w:t>
      </w:r>
      <w:proofErr w:type="spellStart"/>
      <w:r w:rsidRPr="00043D47">
        <w:rPr>
          <w:rFonts w:ascii="Palatino Linotype" w:eastAsia="Calibri" w:hAnsi="Palatino Linotype" w:cs="Tahoma"/>
          <w:bCs/>
          <w:sz w:val="24"/>
          <w:szCs w:val="24"/>
          <w:lang w:eastAsia="es-MX"/>
        </w:rPr>
        <w:t>SAIMEX</w:t>
      </w:r>
      <w:proofErr w:type="spellEnd"/>
      <w:r w:rsidRPr="00043D47">
        <w:rPr>
          <w:rFonts w:ascii="Palatino Linotype" w:eastAsia="Calibri" w:hAnsi="Palatino Linotype" w:cs="Tahoma"/>
          <w:bCs/>
          <w:sz w:val="24"/>
          <w:szCs w:val="24"/>
          <w:lang w:eastAsia="es-MX"/>
        </w:rPr>
        <w:t>)</w:t>
      </w:r>
      <w:r w:rsidR="00F86316">
        <w:rPr>
          <w:rFonts w:ascii="Palatino Linotype" w:eastAsia="Calibri" w:hAnsi="Palatino Linotype" w:cs="Tahoma"/>
          <w:bCs/>
          <w:sz w:val="24"/>
          <w:szCs w:val="24"/>
          <w:lang w:eastAsia="es-MX"/>
        </w:rPr>
        <w:t xml:space="preserve"> y correo electrónico</w:t>
      </w:r>
      <w:r w:rsidRPr="00043D47">
        <w:rPr>
          <w:rFonts w:ascii="Palatino Linotype" w:eastAsia="Calibri" w:hAnsi="Palatino Linotype" w:cs="Tahoma"/>
          <w:bCs/>
          <w:sz w:val="24"/>
          <w:szCs w:val="24"/>
          <w:lang w:eastAsia="es-MX"/>
        </w:rPr>
        <w:t>,</w:t>
      </w:r>
      <w:r>
        <w:rPr>
          <w:rFonts w:ascii="Palatino Linotype" w:eastAsia="Calibri" w:hAnsi="Palatino Linotype" w:cs="Tahoma"/>
          <w:bCs/>
          <w:sz w:val="24"/>
          <w:szCs w:val="24"/>
          <w:lang w:eastAsia="es-MX"/>
        </w:rPr>
        <w:t xml:space="preserve"> de ser procedente </w:t>
      </w:r>
      <w:r w:rsidRPr="00043D47">
        <w:rPr>
          <w:rFonts w:ascii="Palatino Linotype" w:eastAsia="Calibri" w:hAnsi="Palatino Linotype" w:cs="Tahoma"/>
          <w:bCs/>
          <w:sz w:val="24"/>
          <w:szCs w:val="24"/>
          <w:lang w:eastAsia="es-MX"/>
        </w:rPr>
        <w:t xml:space="preserve">en versión pública, </w:t>
      </w:r>
      <w:r>
        <w:rPr>
          <w:rFonts w:ascii="Palatino Linotype" w:eastAsia="Calibri" w:hAnsi="Palatino Linotype" w:cs="Tahoma"/>
          <w:bCs/>
          <w:sz w:val="24"/>
          <w:szCs w:val="24"/>
          <w:lang w:eastAsia="es-MX"/>
        </w:rPr>
        <w:t>d</w:t>
      </w:r>
      <w:r w:rsidRPr="00043D47">
        <w:rPr>
          <w:rFonts w:ascii="Palatino Linotype" w:eastAsia="Calibri" w:hAnsi="Palatino Linotype" w:cs="Tahoma"/>
          <w:bCs/>
          <w:sz w:val="24"/>
          <w:szCs w:val="24"/>
          <w:lang w:eastAsia="es-MX"/>
        </w:rPr>
        <w:t xml:space="preserve">el soporte documental, en que obre </w:t>
      </w:r>
      <w:r w:rsidRPr="00043D47">
        <w:rPr>
          <w:rFonts w:ascii="Palatino Linotype" w:eastAsia="Times New Roman" w:hAnsi="Palatino Linotype" w:cs="Arial"/>
          <w:sz w:val="24"/>
          <w:szCs w:val="24"/>
          <w:lang w:val="es-ES" w:eastAsia="es-ES"/>
        </w:rPr>
        <w:t>lo siguiente:</w:t>
      </w:r>
    </w:p>
    <w:p w14:paraId="663060B0" w14:textId="77777777" w:rsidR="00B45B91" w:rsidRDefault="00B45B91" w:rsidP="00BF3E35">
      <w:pPr>
        <w:spacing w:after="0" w:line="360" w:lineRule="auto"/>
        <w:jc w:val="both"/>
        <w:rPr>
          <w:rFonts w:ascii="Palatino Linotype" w:eastAsia="Calibri" w:hAnsi="Palatino Linotype" w:cs="Arial"/>
          <w:sz w:val="24"/>
          <w:lang w:val="es-ES" w:eastAsia="es-MX"/>
        </w:rPr>
      </w:pPr>
    </w:p>
    <w:p w14:paraId="68FA28FC" w14:textId="77777777" w:rsidR="00EA519A" w:rsidRDefault="00F879CC" w:rsidP="00BF3E35">
      <w:pPr>
        <w:pStyle w:val="Prrafodelista"/>
        <w:numPr>
          <w:ilvl w:val="0"/>
          <w:numId w:val="10"/>
        </w:numPr>
        <w:spacing w:line="360" w:lineRule="auto"/>
        <w:jc w:val="both"/>
        <w:rPr>
          <w:rFonts w:ascii="Palatino Linotype" w:hAnsi="Palatino Linotype"/>
        </w:rPr>
      </w:pPr>
      <w:r>
        <w:rPr>
          <w:rFonts w:ascii="Palatino Linotype" w:hAnsi="Palatino Linotype"/>
        </w:rPr>
        <w:t>C</w:t>
      </w:r>
      <w:r w:rsidR="00EA519A" w:rsidRPr="00202FE2">
        <w:rPr>
          <w:rFonts w:ascii="Palatino Linotype" w:hAnsi="Palatino Linotype"/>
        </w:rPr>
        <w:t>osto de la aplica</w:t>
      </w:r>
      <w:r w:rsidR="00EA519A">
        <w:rPr>
          <w:rFonts w:ascii="Palatino Linotype" w:hAnsi="Palatino Linotype"/>
        </w:rPr>
        <w:t xml:space="preserve">ción utilizada para los nuevos </w:t>
      </w:r>
      <w:r w:rsidR="00EA519A" w:rsidRPr="00202FE2">
        <w:rPr>
          <w:rFonts w:ascii="Palatino Linotype" w:hAnsi="Palatino Linotype"/>
        </w:rPr>
        <w:t>Parquímetros Virtuales</w:t>
      </w:r>
      <w:r w:rsidR="00EA519A">
        <w:rPr>
          <w:rFonts w:ascii="Palatino Linotype" w:hAnsi="Palatino Linotype"/>
        </w:rPr>
        <w:t>;</w:t>
      </w:r>
    </w:p>
    <w:p w14:paraId="60033EB6" w14:textId="77777777" w:rsidR="00EA519A" w:rsidRDefault="00F879CC" w:rsidP="00BF3E35">
      <w:pPr>
        <w:pStyle w:val="Prrafodelista"/>
        <w:numPr>
          <w:ilvl w:val="0"/>
          <w:numId w:val="10"/>
        </w:numPr>
        <w:spacing w:line="360" w:lineRule="auto"/>
        <w:jc w:val="both"/>
        <w:rPr>
          <w:rFonts w:ascii="Palatino Linotype" w:hAnsi="Palatino Linotype"/>
        </w:rPr>
      </w:pPr>
      <w:r>
        <w:rPr>
          <w:rFonts w:ascii="Palatino Linotype" w:hAnsi="Palatino Linotype"/>
        </w:rPr>
        <w:t>C</w:t>
      </w:r>
      <w:r w:rsidR="00EA519A" w:rsidRPr="00BD56D0">
        <w:rPr>
          <w:rFonts w:ascii="Palatino Linotype" w:hAnsi="Palatino Linotype"/>
        </w:rPr>
        <w:t xml:space="preserve">osto de los parquímetros virtuales; </w:t>
      </w:r>
      <w:r w:rsidR="00EA519A">
        <w:rPr>
          <w:rFonts w:ascii="Palatino Linotype" w:hAnsi="Palatino Linotype"/>
        </w:rPr>
        <w:t>y</w:t>
      </w:r>
    </w:p>
    <w:p w14:paraId="7789ACEC" w14:textId="77777777" w:rsidR="00EA519A" w:rsidRPr="00BD56D0" w:rsidRDefault="00F879CC" w:rsidP="00BF3E35">
      <w:pPr>
        <w:pStyle w:val="Prrafodelista"/>
        <w:numPr>
          <w:ilvl w:val="0"/>
          <w:numId w:val="10"/>
        </w:numPr>
        <w:spacing w:line="360" w:lineRule="auto"/>
        <w:jc w:val="both"/>
        <w:rPr>
          <w:rFonts w:ascii="Palatino Linotype" w:hAnsi="Palatino Linotype"/>
        </w:rPr>
      </w:pPr>
      <w:r>
        <w:rPr>
          <w:rFonts w:ascii="Palatino Linotype" w:hAnsi="Palatino Linotype"/>
        </w:rPr>
        <w:t>C</w:t>
      </w:r>
      <w:r w:rsidR="00EA519A" w:rsidRPr="00BD56D0">
        <w:rPr>
          <w:rFonts w:ascii="Palatino Linotype" w:hAnsi="Palatino Linotype"/>
        </w:rPr>
        <w:t>riterio de colocación</w:t>
      </w:r>
      <w:r w:rsidR="00EA519A">
        <w:rPr>
          <w:rFonts w:ascii="Palatino Linotype" w:hAnsi="Palatino Linotype"/>
        </w:rPr>
        <w:t xml:space="preserve"> de los señalamientos de los parquímetros virtuales.</w:t>
      </w:r>
    </w:p>
    <w:p w14:paraId="77BBCDA5" w14:textId="77777777" w:rsidR="00B45B91" w:rsidRDefault="00B45B91" w:rsidP="00BF3E35">
      <w:pPr>
        <w:spacing w:after="0" w:line="360" w:lineRule="auto"/>
        <w:jc w:val="both"/>
        <w:rPr>
          <w:rFonts w:ascii="Palatino Linotype" w:eastAsia="Calibri" w:hAnsi="Palatino Linotype" w:cs="Arial"/>
          <w:sz w:val="24"/>
          <w:lang w:val="es-ES" w:eastAsia="es-MX"/>
        </w:rPr>
      </w:pPr>
    </w:p>
    <w:p w14:paraId="7ACD3324" w14:textId="77777777" w:rsidR="00B45B91" w:rsidRDefault="00B45B91" w:rsidP="00BF3E35">
      <w:pPr>
        <w:spacing w:after="0" w:line="360" w:lineRule="auto"/>
        <w:jc w:val="both"/>
        <w:rPr>
          <w:rFonts w:ascii="Palatino Linotype" w:eastAsia="Times New Roman" w:hAnsi="Palatino Linotype" w:cs="Arial"/>
          <w:sz w:val="24"/>
          <w:szCs w:val="24"/>
          <w:lang w:eastAsia="es-ES"/>
        </w:rPr>
      </w:pPr>
      <w:r w:rsidRPr="00043D47">
        <w:rPr>
          <w:rFonts w:ascii="Palatino Linotype" w:eastAsia="Times New Roman" w:hAnsi="Palatino Linotype" w:cs="Arial"/>
          <w:sz w:val="24"/>
          <w:szCs w:val="24"/>
          <w:lang w:eastAsia="es-ES"/>
        </w:rPr>
        <w:t xml:space="preserve">De ser procedente la versión pública, debiendo emitir y hacer entrega del </w:t>
      </w:r>
      <w:r w:rsidRPr="003F3CC3">
        <w:rPr>
          <w:rFonts w:ascii="Palatino Linotype" w:eastAsia="Times New Roman" w:hAnsi="Palatino Linotype" w:cs="Arial"/>
          <w:sz w:val="24"/>
          <w:szCs w:val="24"/>
          <w:lang w:eastAsia="es-ES"/>
        </w:rPr>
        <w:t>Acuerdo del Comité de Transparencia</w:t>
      </w:r>
      <w:r w:rsidRPr="00043D47">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2D2FE431" w14:textId="77777777" w:rsidR="00F86316" w:rsidRDefault="00F86316" w:rsidP="00BF3E35">
      <w:pPr>
        <w:spacing w:after="0" w:line="360" w:lineRule="auto"/>
        <w:jc w:val="both"/>
        <w:rPr>
          <w:rFonts w:ascii="Palatino Linotype" w:eastAsia="Times New Roman" w:hAnsi="Palatino Linotype" w:cs="Tahoma"/>
          <w:sz w:val="24"/>
          <w:szCs w:val="24"/>
          <w:lang w:eastAsia="es-ES"/>
        </w:rPr>
      </w:pPr>
    </w:p>
    <w:p w14:paraId="2151E5DF" w14:textId="77777777" w:rsidR="00376236" w:rsidRDefault="00376236" w:rsidP="00BF3E3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7D2B5B">
        <w:rPr>
          <w:rFonts w:ascii="Palatino Linotype" w:eastAsia="Palatino Linotype" w:hAnsi="Palatino Linotype" w:cs="Palatino Linotype"/>
          <w:b/>
          <w:color w:val="000000"/>
          <w:sz w:val="26"/>
          <w:szCs w:val="26"/>
          <w:lang w:eastAsia="es-MX"/>
        </w:rPr>
        <w:t>TERCERO</w:t>
      </w:r>
      <w:r w:rsidRPr="007D2B5B">
        <w:rPr>
          <w:rFonts w:ascii="Palatino Linotype" w:eastAsia="Palatino Linotype" w:hAnsi="Palatino Linotype" w:cs="Palatino Linotype"/>
          <w:b/>
          <w:color w:val="000000"/>
          <w:sz w:val="24"/>
          <w:szCs w:val="24"/>
          <w:lang w:eastAsia="es-MX"/>
        </w:rPr>
        <w:t xml:space="preserve">. </w:t>
      </w:r>
      <w:r w:rsidRPr="00664D33">
        <w:rPr>
          <w:rFonts w:ascii="Palatino Linotype" w:eastAsia="Palatino Linotype" w:hAnsi="Palatino Linotype" w:cs="Palatino Linotype"/>
          <w:b/>
          <w:color w:val="000000"/>
          <w:sz w:val="24"/>
          <w:szCs w:val="24"/>
          <w:lang w:eastAsia="es-MX"/>
        </w:rPr>
        <w:t>NOTIFÍQUESE</w:t>
      </w:r>
      <w:r w:rsidRPr="00664D33">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664D33">
        <w:rPr>
          <w:rFonts w:ascii="Palatino Linotype" w:eastAsia="Palatino Linotype" w:hAnsi="Palatino Linotype" w:cs="Palatino Linotype"/>
          <w:color w:val="000000"/>
          <w:sz w:val="24"/>
          <w:szCs w:val="24"/>
          <w:lang w:eastAsia="es-MX"/>
        </w:rPr>
        <w:lastRenderedPageBreak/>
        <w:t>fracción III; 214, 215 y 216 de la Ley  de Transparencia y Acceso a la Información Pública del Estado de México y Municipios.</w:t>
      </w:r>
    </w:p>
    <w:p w14:paraId="5DEC6D15" w14:textId="77777777" w:rsidR="00B45B91" w:rsidRPr="00043D47" w:rsidRDefault="00B45B91" w:rsidP="00BF3E35">
      <w:pPr>
        <w:spacing w:after="0" w:line="360" w:lineRule="auto"/>
        <w:ind w:right="-595"/>
        <w:jc w:val="both"/>
        <w:rPr>
          <w:rFonts w:ascii="Palatino Linotype" w:eastAsia="Times New Roman" w:hAnsi="Palatino Linotype" w:cs="Tahoma"/>
          <w:bCs/>
          <w:sz w:val="24"/>
          <w:szCs w:val="24"/>
          <w:lang w:eastAsia="es-ES"/>
        </w:rPr>
      </w:pPr>
    </w:p>
    <w:p w14:paraId="5221ACFF" w14:textId="77777777" w:rsidR="00B45B91" w:rsidRPr="00043D47" w:rsidRDefault="00B45B91" w:rsidP="00BF3E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8"/>
          <w:lang w:val="es-ES" w:eastAsia="es-ES"/>
        </w:rPr>
        <w:t>CUARTO.</w:t>
      </w:r>
      <w:r w:rsidRPr="00043D47">
        <w:rPr>
          <w:rFonts w:ascii="Palatino Linotype" w:eastAsia="Times New Roman" w:hAnsi="Palatino Linotype" w:cs="Arial"/>
          <w:b/>
          <w:sz w:val="24"/>
          <w:szCs w:val="24"/>
          <w:lang w:val="es-ES" w:eastAsia="es-ES"/>
        </w:rPr>
        <w:t xml:space="preserve"> </w:t>
      </w:r>
      <w:r w:rsidRPr="00043D4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43D47">
        <w:rPr>
          <w:rFonts w:ascii="Palatino Linotype" w:eastAsia="Times New Roman" w:hAnsi="Palatino Linotype" w:cs="Arial"/>
          <w:b/>
          <w:sz w:val="24"/>
          <w:szCs w:val="24"/>
          <w:lang w:val="es-ES" w:eastAsia="es-ES"/>
        </w:rPr>
        <w:t>Sujeto Obligado</w:t>
      </w:r>
      <w:r w:rsidRPr="00043D4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70F6A1D4" w14:textId="77777777" w:rsidR="00B45B91" w:rsidRPr="00043D47" w:rsidRDefault="00B45B91" w:rsidP="00BF3E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0AB3122" w14:textId="77777777" w:rsidR="00B45B91" w:rsidRPr="0035086A" w:rsidRDefault="00B45B91" w:rsidP="00BF3E35">
      <w:pPr>
        <w:autoSpaceDE w:val="0"/>
        <w:autoSpaceDN w:val="0"/>
        <w:adjustRightInd w:val="0"/>
        <w:spacing w:after="0" w:line="360" w:lineRule="auto"/>
        <w:jc w:val="both"/>
        <w:rPr>
          <w:rFonts w:ascii="Palatino Linotype" w:hAnsi="Palatino Linotype" w:cs="Arial"/>
          <w:sz w:val="24"/>
          <w:szCs w:val="24"/>
        </w:rPr>
      </w:pPr>
      <w:r w:rsidRPr="0035086A">
        <w:rPr>
          <w:rFonts w:ascii="Palatino Linotype" w:hAnsi="Palatino Linotype"/>
          <w:b/>
          <w:sz w:val="28"/>
          <w:szCs w:val="28"/>
        </w:rPr>
        <w:t>QUINTO</w:t>
      </w:r>
      <w:r w:rsidRPr="0035086A">
        <w:rPr>
          <w:rFonts w:ascii="Palatino Linotype" w:hAnsi="Palatino Linotype"/>
          <w:b/>
          <w:sz w:val="24"/>
          <w:szCs w:val="24"/>
        </w:rPr>
        <w:t xml:space="preserve">. </w:t>
      </w:r>
      <w:r w:rsidRPr="0035086A">
        <w:rPr>
          <w:rFonts w:ascii="Palatino Linotype" w:hAnsi="Palatino Linotype" w:cs="Arial"/>
          <w:b/>
          <w:sz w:val="24"/>
          <w:szCs w:val="24"/>
        </w:rPr>
        <w:t>NOTIFÍQUESE</w:t>
      </w:r>
      <w:r w:rsidRPr="0035086A">
        <w:rPr>
          <w:rFonts w:ascii="Palatino Linotype" w:hAnsi="Palatino Linotype" w:cs="Arial"/>
          <w:sz w:val="24"/>
          <w:szCs w:val="24"/>
        </w:rPr>
        <w:t xml:space="preserve"> a través del Sistema de Acceso a la </w:t>
      </w:r>
      <w:r w:rsidR="00F86316">
        <w:rPr>
          <w:rFonts w:ascii="Palatino Linotype" w:hAnsi="Palatino Linotype" w:cs="Arial"/>
          <w:sz w:val="24"/>
          <w:szCs w:val="24"/>
        </w:rPr>
        <w:t>Información Mexiquense (</w:t>
      </w:r>
      <w:proofErr w:type="spellStart"/>
      <w:r w:rsidR="00F86316">
        <w:rPr>
          <w:rFonts w:ascii="Palatino Linotype" w:hAnsi="Palatino Linotype" w:cs="Arial"/>
          <w:sz w:val="24"/>
          <w:szCs w:val="24"/>
        </w:rPr>
        <w:t>SAIMEX</w:t>
      </w:r>
      <w:proofErr w:type="spellEnd"/>
      <w:r w:rsidR="00F86316">
        <w:rPr>
          <w:rFonts w:ascii="Palatino Linotype" w:hAnsi="Palatino Linotype" w:cs="Arial"/>
          <w:sz w:val="24"/>
          <w:szCs w:val="24"/>
        </w:rPr>
        <w:t xml:space="preserve">) y correo electrónico </w:t>
      </w:r>
      <w:r w:rsidRPr="0035086A">
        <w:rPr>
          <w:rFonts w:ascii="Palatino Linotype" w:hAnsi="Palatino Linotype" w:cs="Arial"/>
          <w:sz w:val="24"/>
          <w:szCs w:val="24"/>
        </w:rPr>
        <w:t xml:space="preserve">al </w:t>
      </w:r>
      <w:r w:rsidRPr="0035086A">
        <w:rPr>
          <w:rFonts w:ascii="Palatino Linotype" w:hAnsi="Palatino Linotype" w:cs="Arial"/>
          <w:b/>
          <w:sz w:val="24"/>
          <w:szCs w:val="24"/>
        </w:rPr>
        <w:t>Recurrente</w:t>
      </w:r>
      <w:r w:rsidRPr="0035086A">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288CD95" w14:textId="77777777" w:rsidR="00B45B91" w:rsidRPr="00660089" w:rsidRDefault="00B45B91" w:rsidP="00BF3E35">
      <w:pPr>
        <w:spacing w:after="0" w:line="360" w:lineRule="auto"/>
        <w:jc w:val="both"/>
        <w:rPr>
          <w:rFonts w:ascii="Palatino Linotype" w:eastAsia="Calibri" w:hAnsi="Palatino Linotype" w:cs="Times New Roman"/>
          <w:sz w:val="24"/>
          <w:szCs w:val="24"/>
          <w:lang w:eastAsia="es-ES_tradnl"/>
        </w:rPr>
      </w:pPr>
    </w:p>
    <w:p w14:paraId="554373A4" w14:textId="77777777" w:rsidR="00B45B91" w:rsidRDefault="00B45B91" w:rsidP="00BF3E35">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 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DÉCIMA </w:t>
      </w:r>
      <w:r w:rsidR="00F879CC">
        <w:rPr>
          <w:rFonts w:ascii="Palatino Linotype" w:hAnsi="Palatino Linotype" w:cs="Arial"/>
          <w:sz w:val="24"/>
          <w:szCs w:val="24"/>
        </w:rPr>
        <w:t>SEXTA</w:t>
      </w:r>
      <w:r w:rsidRPr="00660089">
        <w:rPr>
          <w:rFonts w:ascii="Palatino Linotype" w:hAnsi="Palatino Linotype" w:cs="Arial"/>
          <w:sz w:val="24"/>
          <w:szCs w:val="24"/>
        </w:rPr>
        <w:t xml:space="preserve"> SESIÓN ORDINARIA CELEBRADA EL </w:t>
      </w:r>
      <w:r w:rsidR="00BF3E35">
        <w:rPr>
          <w:rFonts w:ascii="Palatino Linotype" w:hAnsi="Palatino Linotype" w:cs="Arial"/>
          <w:sz w:val="24"/>
          <w:szCs w:val="24"/>
        </w:rPr>
        <w:t>CUATRO</w:t>
      </w:r>
      <w:r w:rsidR="00F879CC">
        <w:rPr>
          <w:rFonts w:ascii="Palatino Linotype" w:hAnsi="Palatino Linotype" w:cs="Arial"/>
          <w:sz w:val="24"/>
          <w:szCs w:val="24"/>
        </w:rPr>
        <w:t xml:space="preserve"> DE MAYO </w:t>
      </w:r>
      <w:r w:rsidRPr="00660089">
        <w:rPr>
          <w:rFonts w:ascii="Palatino Linotype" w:hAnsi="Palatino Linotype" w:cs="Arial"/>
          <w:sz w:val="24"/>
          <w:szCs w:val="24"/>
        </w:rPr>
        <w:t>DE DOS MIL VEINTI</w:t>
      </w:r>
      <w:r>
        <w:rPr>
          <w:rFonts w:ascii="Palatino Linotype" w:hAnsi="Palatino Linotype" w:cs="Arial"/>
          <w:sz w:val="24"/>
          <w:szCs w:val="24"/>
        </w:rPr>
        <w:t>TRÉS</w:t>
      </w:r>
      <w:r w:rsidRPr="00660089">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660089">
        <w:rPr>
          <w:rFonts w:ascii="Palatino Linotype" w:hAnsi="Palatino Linotype" w:cs="Arial"/>
          <w:sz w:val="24"/>
          <w:szCs w:val="24"/>
        </w:rPr>
        <w:t>-------------</w:t>
      </w:r>
    </w:p>
    <w:p w14:paraId="17B8425C" w14:textId="77777777" w:rsidR="00B45B91" w:rsidRPr="0016590E" w:rsidRDefault="00B45B91" w:rsidP="00BF3E35">
      <w:pPr>
        <w:spacing w:after="0" w:line="360" w:lineRule="auto"/>
        <w:jc w:val="both"/>
        <w:rPr>
          <w:rFonts w:ascii="Palatino Linotype" w:hAnsi="Palatino Linotype" w:cs="Arial"/>
          <w:sz w:val="20"/>
        </w:rPr>
      </w:pPr>
      <w:proofErr w:type="spellStart"/>
      <w:r w:rsidRPr="00660089">
        <w:rPr>
          <w:rFonts w:ascii="Palatino Linotype" w:hAnsi="Palatino Linotype" w:cs="Arial"/>
          <w:sz w:val="20"/>
        </w:rPr>
        <w:t>CCR</w:t>
      </w:r>
      <w:proofErr w:type="spellEnd"/>
      <w:r w:rsidRPr="00660089">
        <w:rPr>
          <w:rFonts w:ascii="Palatino Linotype" w:hAnsi="Palatino Linotype" w:cs="Arial"/>
          <w:sz w:val="20"/>
        </w:rPr>
        <w:t>/</w:t>
      </w:r>
      <w:r>
        <w:rPr>
          <w:rFonts w:ascii="Palatino Linotype" w:hAnsi="Palatino Linotype" w:cs="Arial"/>
          <w:sz w:val="20"/>
        </w:rPr>
        <w:t>*</w:t>
      </w:r>
    </w:p>
    <w:p w14:paraId="12D67D7F" w14:textId="77777777" w:rsidR="00B45B91" w:rsidRPr="0016590E" w:rsidRDefault="00B45B91" w:rsidP="00BF3E35">
      <w:pPr>
        <w:spacing w:after="0" w:line="360" w:lineRule="auto"/>
        <w:jc w:val="both"/>
        <w:rPr>
          <w:rFonts w:ascii="Palatino Linotype" w:hAnsi="Palatino Linotype" w:cs="Arial"/>
          <w:sz w:val="24"/>
          <w:szCs w:val="24"/>
        </w:rPr>
      </w:pPr>
    </w:p>
    <w:p w14:paraId="49991BD8" w14:textId="77777777" w:rsidR="00B45B91" w:rsidRPr="0016590E" w:rsidRDefault="00B45B91" w:rsidP="00BF3E35">
      <w:pPr>
        <w:spacing w:after="0" w:line="360" w:lineRule="auto"/>
        <w:jc w:val="both"/>
        <w:rPr>
          <w:rFonts w:ascii="Palatino Linotype" w:hAnsi="Palatino Linotype" w:cs="Arial"/>
          <w:sz w:val="24"/>
          <w:szCs w:val="24"/>
        </w:rPr>
      </w:pPr>
    </w:p>
    <w:p w14:paraId="11CE1BD7" w14:textId="77777777" w:rsidR="00B45B91" w:rsidRPr="0016590E" w:rsidRDefault="00B45B91" w:rsidP="00BF3E35">
      <w:pPr>
        <w:spacing w:after="0" w:line="360" w:lineRule="auto"/>
        <w:jc w:val="both"/>
        <w:rPr>
          <w:rFonts w:ascii="Palatino Linotype" w:hAnsi="Palatino Linotype" w:cs="Arial"/>
          <w:sz w:val="24"/>
          <w:szCs w:val="24"/>
        </w:rPr>
      </w:pPr>
    </w:p>
    <w:p w14:paraId="2B0ECFF0" w14:textId="77777777" w:rsidR="00B45B91" w:rsidRPr="0016590E" w:rsidRDefault="00B45B91" w:rsidP="00BF3E35">
      <w:pPr>
        <w:spacing w:after="0"/>
        <w:rPr>
          <w:rFonts w:ascii="Palatino Linotype" w:hAnsi="Palatino Linotype"/>
        </w:rPr>
      </w:pPr>
    </w:p>
    <w:p w14:paraId="724BF2F1" w14:textId="77777777" w:rsidR="00B45B91" w:rsidRPr="0016590E" w:rsidRDefault="00B45B91" w:rsidP="00BF3E35">
      <w:pPr>
        <w:spacing w:after="0"/>
        <w:rPr>
          <w:rFonts w:ascii="Palatino Linotype" w:hAnsi="Palatino Linotype"/>
        </w:rPr>
      </w:pPr>
    </w:p>
    <w:p w14:paraId="66B3EFB3" w14:textId="77777777" w:rsidR="00B45B91" w:rsidRPr="0016590E" w:rsidRDefault="00B45B91" w:rsidP="00BF3E35">
      <w:pPr>
        <w:spacing w:after="0"/>
        <w:rPr>
          <w:rFonts w:ascii="Palatino Linotype" w:hAnsi="Palatino Linotype"/>
        </w:rPr>
      </w:pPr>
    </w:p>
    <w:p w14:paraId="1FFF9273" w14:textId="77777777" w:rsidR="00B45B91" w:rsidRPr="0016590E" w:rsidRDefault="00B45B91" w:rsidP="00BF3E35">
      <w:pPr>
        <w:spacing w:after="0"/>
        <w:rPr>
          <w:rFonts w:ascii="Palatino Linotype" w:hAnsi="Palatino Linotype"/>
        </w:rPr>
      </w:pPr>
    </w:p>
    <w:p w14:paraId="2AA21940" w14:textId="77777777" w:rsidR="00B45B91" w:rsidRPr="0016590E" w:rsidRDefault="00B45B91" w:rsidP="00BF3E35">
      <w:pPr>
        <w:spacing w:after="0"/>
        <w:rPr>
          <w:rFonts w:ascii="Palatino Linotype" w:hAnsi="Palatino Linotype"/>
        </w:rPr>
      </w:pPr>
    </w:p>
    <w:p w14:paraId="27AF6D11" w14:textId="77777777" w:rsidR="00B45B91" w:rsidRPr="0016590E" w:rsidRDefault="00B45B91" w:rsidP="00BF3E35">
      <w:pPr>
        <w:spacing w:after="0"/>
        <w:rPr>
          <w:rFonts w:ascii="Palatino Linotype" w:hAnsi="Palatino Linotype"/>
        </w:rPr>
      </w:pPr>
    </w:p>
    <w:p w14:paraId="0FF7DD3A" w14:textId="77777777" w:rsidR="00B45B91" w:rsidRPr="0016590E" w:rsidRDefault="00B45B91" w:rsidP="00BF3E35">
      <w:pPr>
        <w:spacing w:after="0"/>
        <w:rPr>
          <w:rFonts w:ascii="Palatino Linotype" w:hAnsi="Palatino Linotype"/>
        </w:rPr>
      </w:pPr>
    </w:p>
    <w:p w14:paraId="32EEA874" w14:textId="77777777" w:rsidR="00B45B91" w:rsidRPr="0016590E" w:rsidRDefault="00B45B91" w:rsidP="00BF3E35">
      <w:pPr>
        <w:spacing w:after="0"/>
        <w:rPr>
          <w:rFonts w:ascii="Palatino Linotype" w:hAnsi="Palatino Linotype"/>
        </w:rPr>
      </w:pPr>
    </w:p>
    <w:p w14:paraId="08C12E54" w14:textId="77777777" w:rsidR="00B45B91" w:rsidRPr="0016590E" w:rsidRDefault="00B45B91" w:rsidP="00BF3E35">
      <w:pPr>
        <w:spacing w:after="0"/>
        <w:rPr>
          <w:rFonts w:ascii="Palatino Linotype" w:hAnsi="Palatino Linotype"/>
        </w:rPr>
      </w:pPr>
    </w:p>
    <w:p w14:paraId="761B0B3A" w14:textId="77777777" w:rsidR="00B45B91" w:rsidRDefault="00B45B91" w:rsidP="00BF3E35">
      <w:pPr>
        <w:spacing w:after="0"/>
      </w:pPr>
    </w:p>
    <w:p w14:paraId="068AB18D" w14:textId="77777777" w:rsidR="00B45B91" w:rsidRPr="00791D5A" w:rsidRDefault="00B45B91" w:rsidP="00BF3E35">
      <w:pPr>
        <w:spacing w:after="0"/>
      </w:pPr>
    </w:p>
    <w:p w14:paraId="11CA1CE8" w14:textId="77777777" w:rsidR="00B45B91" w:rsidRDefault="00B45B91" w:rsidP="00BF3E35">
      <w:pPr>
        <w:spacing w:after="0"/>
      </w:pPr>
    </w:p>
    <w:p w14:paraId="11C3A9FB" w14:textId="77777777" w:rsidR="00B45B91" w:rsidRDefault="00B45B91" w:rsidP="00BF3E35">
      <w:pPr>
        <w:spacing w:after="0"/>
      </w:pPr>
    </w:p>
    <w:p w14:paraId="1A5CB06B" w14:textId="77777777" w:rsidR="00B45B91" w:rsidRDefault="00B45B91" w:rsidP="00BF3E35">
      <w:pPr>
        <w:spacing w:after="0"/>
      </w:pPr>
    </w:p>
    <w:p w14:paraId="70E8AF1E" w14:textId="77777777" w:rsidR="00B45B91" w:rsidRDefault="00B45B91" w:rsidP="00BF3E35">
      <w:pPr>
        <w:spacing w:after="0"/>
      </w:pPr>
    </w:p>
    <w:p w14:paraId="2992FF38" w14:textId="77777777" w:rsidR="00B45B91" w:rsidRDefault="00B45B91" w:rsidP="00BF3E35">
      <w:pPr>
        <w:spacing w:after="0"/>
      </w:pPr>
    </w:p>
    <w:p w14:paraId="0755E1C9" w14:textId="77777777" w:rsidR="00460B11" w:rsidRDefault="00460B11" w:rsidP="00BF3E35">
      <w:pPr>
        <w:spacing w:after="0"/>
      </w:pPr>
    </w:p>
    <w:sectPr w:rsidR="00460B11" w:rsidSect="00460B11">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42B7" w14:textId="77777777" w:rsidR="004A7B6F" w:rsidRDefault="004A7B6F" w:rsidP="00B45B91">
      <w:pPr>
        <w:spacing w:after="0" w:line="240" w:lineRule="auto"/>
      </w:pPr>
      <w:r>
        <w:separator/>
      </w:r>
    </w:p>
  </w:endnote>
  <w:endnote w:type="continuationSeparator" w:id="0">
    <w:p w14:paraId="191AB25F" w14:textId="77777777" w:rsidR="004A7B6F" w:rsidRDefault="004A7B6F" w:rsidP="00B4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79048782" w14:textId="77777777" w:rsidR="006A7CCC" w:rsidRPr="002D6DD8" w:rsidRDefault="006A7CCC" w:rsidP="00460B1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1B37">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21B37">
              <w:rPr>
                <w:rFonts w:ascii="Palatino Linotype" w:hAnsi="Palatino Linotype"/>
                <w:bCs/>
                <w:noProof/>
                <w:sz w:val="20"/>
              </w:rPr>
              <w:t>41</w:t>
            </w:r>
            <w:r>
              <w:rPr>
                <w:rFonts w:ascii="Palatino Linotype" w:hAnsi="Palatino Linotype"/>
                <w:bCs/>
                <w:noProof/>
                <w:sz w:val="20"/>
              </w:rPr>
              <w:fldChar w:fldCharType="end"/>
            </w:r>
          </w:p>
        </w:sdtContent>
      </w:sdt>
    </w:sdtContent>
  </w:sdt>
  <w:p w14:paraId="3DCF854E" w14:textId="77777777" w:rsidR="006A7CCC" w:rsidRDefault="006A7C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C567" w14:textId="77777777" w:rsidR="006A7CCC" w:rsidRPr="000B69FA" w:rsidRDefault="006A7CCC" w:rsidP="00460B1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1B3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21B37">
      <w:rPr>
        <w:rFonts w:ascii="Palatino Linotype" w:hAnsi="Palatino Linotype"/>
        <w:bCs/>
        <w:noProof/>
        <w:sz w:val="20"/>
      </w:rPr>
      <w:t>41</w:t>
    </w:r>
    <w:r>
      <w:rPr>
        <w:rFonts w:ascii="Palatino Linotype" w:hAnsi="Palatino Linotype"/>
        <w:bCs/>
        <w:noProof/>
        <w:sz w:val="20"/>
      </w:rPr>
      <w:fldChar w:fldCharType="end"/>
    </w:r>
  </w:p>
  <w:p w14:paraId="21D5C115" w14:textId="77777777" w:rsidR="006A7CCC" w:rsidRDefault="006A7C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4DB9" w14:textId="77777777" w:rsidR="004A7B6F" w:rsidRDefault="004A7B6F" w:rsidP="00B45B91">
      <w:pPr>
        <w:spacing w:after="0" w:line="240" w:lineRule="auto"/>
      </w:pPr>
      <w:r>
        <w:separator/>
      </w:r>
    </w:p>
  </w:footnote>
  <w:footnote w:type="continuationSeparator" w:id="0">
    <w:p w14:paraId="16C75BEB" w14:textId="77777777" w:rsidR="004A7B6F" w:rsidRDefault="004A7B6F" w:rsidP="00B45B91">
      <w:pPr>
        <w:spacing w:after="0" w:line="240" w:lineRule="auto"/>
      </w:pPr>
      <w:r>
        <w:continuationSeparator/>
      </w:r>
    </w:p>
  </w:footnote>
  <w:footnote w:id="1">
    <w:p w14:paraId="4D427CA8" w14:textId="77777777" w:rsidR="006A7CCC" w:rsidRDefault="006A7CCC" w:rsidP="00B45B91">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0AB51BDE" w14:textId="77777777" w:rsidR="006A7CCC" w:rsidRDefault="006A7CCC" w:rsidP="00B45B91">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60FAB72A" w14:textId="77777777" w:rsidR="006A7CCC" w:rsidRDefault="006A7CCC" w:rsidP="00B45B91">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D51A3D9" w14:textId="77777777" w:rsidR="006A7CCC" w:rsidRDefault="006A7CCC" w:rsidP="00B45B91">
      <w:pPr>
        <w:jc w:val="both"/>
        <w:rPr>
          <w:rFonts w:ascii="Palatino Linotype" w:eastAsia="Palatino Linotype" w:hAnsi="Palatino Linotype" w:cs="Palatino Linotype"/>
          <w:b/>
          <w:i/>
          <w:sz w:val="20"/>
          <w:szCs w:val="20"/>
        </w:rPr>
      </w:pPr>
    </w:p>
    <w:p w14:paraId="10076A4A" w14:textId="77777777" w:rsidR="006A7CCC" w:rsidRDefault="006A7CCC" w:rsidP="00B45B91">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785640A" w14:textId="77777777" w:rsidR="006A7CCC" w:rsidRPr="00AD2934" w:rsidRDefault="006A7CCC" w:rsidP="00AD2934">
      <w:pPr>
        <w:pStyle w:val="Textonotapie"/>
        <w:jc w:val="both"/>
        <w:rPr>
          <w:rFonts w:ascii="Palatino Linotype" w:hAnsi="Palatino Linotype"/>
          <w:i/>
        </w:rPr>
      </w:pPr>
      <w:r>
        <w:rPr>
          <w:rStyle w:val="Refdenotaalpie"/>
        </w:rPr>
        <w:footnoteRef/>
      </w:r>
      <w:r>
        <w:t xml:space="preserve"> </w:t>
      </w:r>
      <w:r w:rsidRPr="00AD2934">
        <w:rPr>
          <w:rFonts w:ascii="Palatino Linotype" w:hAnsi="Palatino Linotype"/>
          <w:b/>
          <w:i/>
        </w:rPr>
        <w:t>Artículo 181</w:t>
      </w:r>
      <w:r>
        <w:rPr>
          <w:rFonts w:ascii="Palatino Linotype" w:hAnsi="Palatino Linotype"/>
          <w:i/>
        </w:rPr>
        <w:t>..</w:t>
      </w:r>
      <w:r w:rsidRPr="00AD2934">
        <w:rPr>
          <w:rFonts w:ascii="Palatino Linotype" w:hAnsi="Palatino Linotype"/>
          <w:i/>
        </w:rPr>
        <w:t>.</w:t>
      </w:r>
    </w:p>
    <w:p w14:paraId="235B8E3B" w14:textId="77777777" w:rsidR="006A7CCC" w:rsidRPr="00AD2934" w:rsidRDefault="006A7CCC" w:rsidP="00AD2934">
      <w:pPr>
        <w:pStyle w:val="Textonotapie"/>
        <w:jc w:val="both"/>
        <w:rPr>
          <w:rFonts w:ascii="Palatino Linotype" w:hAnsi="Palatino Linotype"/>
          <w:i/>
        </w:rPr>
      </w:pPr>
      <w:r w:rsidRPr="00AD2934">
        <w:rPr>
          <w:rFonts w:ascii="Palatino Linotype" w:hAnsi="Palatino Linotype"/>
          <w:i/>
        </w:rPr>
        <w:t>…</w:t>
      </w:r>
    </w:p>
    <w:p w14:paraId="0A6C2290" w14:textId="77777777" w:rsidR="006A7CCC" w:rsidRPr="00AD2934" w:rsidRDefault="006A7CCC" w:rsidP="00AD2934">
      <w:pPr>
        <w:pStyle w:val="Textonotapie"/>
        <w:jc w:val="both"/>
        <w:rPr>
          <w:lang w:val="es-419"/>
        </w:rPr>
      </w:pPr>
      <w:r w:rsidRPr="00AD2934">
        <w:rPr>
          <w:rFonts w:ascii="Palatino Linotype" w:hAnsi="Palatino Linotype"/>
          <w:i/>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14:paraId="71769978" w14:textId="77777777" w:rsidR="006A7CCC" w:rsidRPr="00AD2934" w:rsidRDefault="006A7CCC" w:rsidP="00AD2934">
      <w:pPr>
        <w:pStyle w:val="Textonotapie"/>
        <w:jc w:val="both"/>
        <w:rPr>
          <w:rFonts w:ascii="Palatino Linotype" w:hAnsi="Palatino Linotype"/>
          <w:i/>
        </w:rPr>
      </w:pPr>
      <w:r>
        <w:rPr>
          <w:rStyle w:val="Refdenotaalpie"/>
        </w:rPr>
        <w:footnoteRef/>
      </w:r>
      <w:r>
        <w:t xml:space="preserve"> </w:t>
      </w:r>
      <w:r w:rsidRPr="00AD2934">
        <w:rPr>
          <w:rFonts w:ascii="Palatino Linotype" w:hAnsi="Palatino Linotype"/>
          <w:b/>
          <w:i/>
        </w:rPr>
        <w:t>Artículo 179.</w:t>
      </w:r>
      <w:r w:rsidRPr="00AD2934">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6DEA8268" w14:textId="77777777" w:rsidR="006A7CCC" w:rsidRPr="00AD2934" w:rsidRDefault="006A7CCC" w:rsidP="00AD2934">
      <w:pPr>
        <w:pStyle w:val="Textonotapie"/>
        <w:jc w:val="both"/>
        <w:rPr>
          <w:rFonts w:ascii="Palatino Linotype" w:hAnsi="Palatino Linotype"/>
          <w:i/>
        </w:rPr>
      </w:pPr>
      <w:r w:rsidRPr="00AD2934">
        <w:rPr>
          <w:rFonts w:ascii="Palatino Linotype" w:hAnsi="Palatino Linotype"/>
          <w:i/>
        </w:rPr>
        <w:t xml:space="preserve">I. …; </w:t>
      </w:r>
    </w:p>
    <w:p w14:paraId="5899CCAF" w14:textId="77777777" w:rsidR="006A7CCC" w:rsidRPr="00AD2934" w:rsidRDefault="006A7CCC" w:rsidP="00AD2934">
      <w:pPr>
        <w:pStyle w:val="Textonotapie"/>
        <w:jc w:val="both"/>
        <w:rPr>
          <w:rFonts w:ascii="Palatino Linotype" w:hAnsi="Palatino Linotype"/>
          <w:i/>
        </w:rPr>
      </w:pPr>
      <w:r w:rsidRPr="00AD2934">
        <w:rPr>
          <w:rFonts w:ascii="Palatino Linotype" w:hAnsi="Palatino Linotype"/>
          <w:i/>
        </w:rPr>
        <w:t>II. La clasificación de la información;</w:t>
      </w:r>
    </w:p>
    <w:p w14:paraId="1F4E4DFC" w14:textId="77777777" w:rsidR="006A7CCC" w:rsidRPr="00AD2934" w:rsidRDefault="006A7CCC" w:rsidP="00AD2934">
      <w:pPr>
        <w:pStyle w:val="Textonotapie"/>
        <w:jc w:val="both"/>
        <w:rPr>
          <w:rFonts w:ascii="Palatino Linotype" w:hAnsi="Palatino Linotype"/>
          <w:i/>
        </w:rPr>
      </w:pPr>
      <w:r w:rsidRPr="00AD2934">
        <w:rPr>
          <w:rFonts w:ascii="Palatino Linotype" w:hAnsi="Palatino Linotype"/>
          <w:i/>
        </w:rPr>
        <w:t>…</w:t>
      </w:r>
    </w:p>
    <w:p w14:paraId="1A12926B" w14:textId="77777777" w:rsidR="006A7CCC" w:rsidRPr="00AD2934" w:rsidRDefault="006A7CCC" w:rsidP="00AD2934">
      <w:pPr>
        <w:pStyle w:val="Textonotapie"/>
        <w:jc w:val="both"/>
        <w:rPr>
          <w:lang w:val="es-419"/>
        </w:rPr>
      </w:pPr>
      <w:r w:rsidRPr="00AD2934">
        <w:rPr>
          <w:rFonts w:ascii="Palatino Linotype" w:hAnsi="Palatino Linotype"/>
          <w:i/>
        </w:rPr>
        <w:t>V. La entrega de información incompleta;</w:t>
      </w:r>
    </w:p>
  </w:footnote>
  <w:footnote w:id="4">
    <w:p w14:paraId="5587CC7D" w14:textId="77777777" w:rsidR="006A7CCC" w:rsidRPr="0005476D" w:rsidRDefault="006A7CCC" w:rsidP="00443E1A">
      <w:pPr>
        <w:pStyle w:val="Textonotapie"/>
        <w:jc w:val="both"/>
        <w:rPr>
          <w:rFonts w:ascii="Palatino Linotype" w:hAnsi="Palatino Linotype"/>
          <w:i/>
          <w:sz w:val="18"/>
        </w:rPr>
      </w:pPr>
      <w:r>
        <w:rPr>
          <w:rStyle w:val="Refdenotaalpie"/>
        </w:rPr>
        <w:footnoteRef/>
      </w:r>
      <w:r>
        <w:t xml:space="preserve"> </w:t>
      </w:r>
      <w:r w:rsidRPr="0005476D">
        <w:rPr>
          <w:rFonts w:ascii="Palatino Linotype" w:hAnsi="Palatino Linotype"/>
          <w:b/>
          <w:i/>
          <w:sz w:val="18"/>
        </w:rPr>
        <w:t>Artículo 18.</w:t>
      </w:r>
      <w:r w:rsidRPr="0005476D">
        <w:rPr>
          <w:rFonts w:ascii="Palatino Linotype" w:hAnsi="Palatino Linotype"/>
          <w:i/>
          <w:sz w:val="18"/>
        </w:rPr>
        <w:t xml:space="preserve"> Los sujetos obligados deberán documentar todo acto que derive del ejercicio de sus facultades, competencias o funciones, considerando desde su origen la eventual publicidad y reutilización de la información que generen. </w:t>
      </w:r>
    </w:p>
    <w:p w14:paraId="55BCCB66" w14:textId="77777777" w:rsidR="006A7CCC" w:rsidRPr="0005476D" w:rsidRDefault="006A7CCC" w:rsidP="00443E1A">
      <w:pPr>
        <w:pStyle w:val="Textonotapie"/>
        <w:jc w:val="both"/>
        <w:rPr>
          <w:rFonts w:ascii="Palatino Linotype" w:hAnsi="Palatino Linotype"/>
          <w:i/>
          <w:sz w:val="18"/>
        </w:rPr>
      </w:pPr>
    </w:p>
    <w:p w14:paraId="46D3E8C9" w14:textId="77777777" w:rsidR="006A7CCC" w:rsidRPr="00EF7063" w:rsidRDefault="006A7CCC" w:rsidP="00443E1A">
      <w:pPr>
        <w:pStyle w:val="Textonotapie"/>
        <w:jc w:val="both"/>
      </w:pPr>
      <w:r w:rsidRPr="0005476D">
        <w:rPr>
          <w:rFonts w:ascii="Palatino Linotype" w:hAnsi="Palatino Linotype"/>
          <w:b/>
          <w:i/>
          <w:sz w:val="18"/>
        </w:rPr>
        <w:t>Artículo 19.</w:t>
      </w:r>
      <w:r w:rsidRPr="0005476D">
        <w:rPr>
          <w:rFonts w:ascii="Palatino Linotype" w:hAnsi="Palatino Linotype"/>
          <w:i/>
          <w:sz w:val="18"/>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 w:id="5">
    <w:p w14:paraId="4A9653F7" w14:textId="77777777" w:rsidR="006A7CCC" w:rsidRDefault="006A7CCC" w:rsidP="00443E1A">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6">
    <w:p w14:paraId="0420089F" w14:textId="77777777" w:rsidR="006A7CCC" w:rsidRDefault="006A7CCC" w:rsidP="00443E1A">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7">
    <w:p w14:paraId="5BF75FBA" w14:textId="77777777" w:rsidR="006A7CCC" w:rsidRPr="005E797B" w:rsidRDefault="006A7CCC" w:rsidP="00443E1A">
      <w:pPr>
        <w:jc w:val="both"/>
        <w:rPr>
          <w:rFonts w:ascii="Palatino Linotype" w:eastAsia="Times New Roman" w:hAnsi="Palatino Linotype" w:cs="Times New Roman"/>
          <w:i/>
          <w:color w:val="000000" w:themeColor="text1"/>
          <w:sz w:val="18"/>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5E797B">
        <w:rPr>
          <w:rFonts w:ascii="Palatino Linotype" w:hAnsi="Palatino Linotype"/>
          <w:i/>
          <w:color w:val="000000" w:themeColor="text1"/>
          <w:sz w:val="18"/>
          <w:szCs w:val="16"/>
          <w:lang w:val="es-ES"/>
        </w:rPr>
        <w:t>“</w:t>
      </w:r>
      <w:r w:rsidRPr="005E797B">
        <w:rPr>
          <w:rFonts w:ascii="Palatino Linotype" w:eastAsia="Times New Roman" w:hAnsi="Palatino Linotype" w:cs="Arial"/>
          <w:i/>
          <w:color w:val="000000" w:themeColor="text1"/>
          <w:sz w:val="18"/>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8">
    <w:p w14:paraId="3C20439A" w14:textId="77777777" w:rsidR="006A7CCC" w:rsidRPr="00D75A73" w:rsidRDefault="006A7CCC" w:rsidP="00443E1A">
      <w:pPr>
        <w:pStyle w:val="Textonotapie"/>
        <w:jc w:val="both"/>
        <w:rPr>
          <w:rFonts w:ascii="Palatino Linotype" w:hAnsi="Palatino Linotype"/>
          <w:color w:val="000000" w:themeColor="text1"/>
          <w:sz w:val="16"/>
          <w:szCs w:val="16"/>
        </w:rPr>
      </w:pPr>
      <w:r w:rsidRPr="005E797B">
        <w:rPr>
          <w:rStyle w:val="Refdenotaalpie"/>
          <w:rFonts w:ascii="Palatino Linotype" w:hAnsi="Palatino Linotype"/>
          <w:i/>
          <w:color w:val="000000" w:themeColor="text1"/>
          <w:sz w:val="18"/>
          <w:szCs w:val="16"/>
        </w:rPr>
        <w:footnoteRef/>
      </w:r>
      <w:r w:rsidRPr="005E797B">
        <w:rPr>
          <w:rFonts w:ascii="Palatino Linotype" w:hAnsi="Palatino Linotype"/>
          <w:i/>
          <w:color w:val="000000" w:themeColor="text1"/>
          <w:sz w:val="18"/>
          <w:szCs w:val="16"/>
        </w:rPr>
        <w:t xml:space="preserve"> 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A7CCC" w14:paraId="139388B7" w14:textId="77777777" w:rsidTr="00460B11">
      <w:trPr>
        <w:trHeight w:val="227"/>
      </w:trPr>
      <w:tc>
        <w:tcPr>
          <w:tcW w:w="5246" w:type="dxa"/>
          <w:hideMark/>
        </w:tcPr>
        <w:p w14:paraId="4FC535C7" w14:textId="77777777" w:rsidR="006A7CCC" w:rsidRPr="00641471" w:rsidRDefault="006A7CCC" w:rsidP="00460B1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5BACE9D5" w14:textId="77777777" w:rsidR="006A7CCC" w:rsidRPr="00641471" w:rsidRDefault="006A7CCC" w:rsidP="00460B1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0820/</w:t>
          </w:r>
          <w:proofErr w:type="spellStart"/>
          <w:r>
            <w:rPr>
              <w:rFonts w:ascii="Palatino Linotype" w:hAnsi="Palatino Linotype" w:cs="Arial"/>
              <w:b/>
              <w:bCs/>
              <w:sz w:val="24"/>
              <w:lang w:eastAsia="es-MX"/>
            </w:rPr>
            <w:t>INFOEM</w:t>
          </w:r>
          <w:proofErr w:type="spellEnd"/>
          <w:r>
            <w:rPr>
              <w:rFonts w:ascii="Palatino Linotype" w:hAnsi="Palatino Linotype" w:cs="Arial"/>
              <w:b/>
              <w:bCs/>
              <w:sz w:val="24"/>
              <w:lang w:eastAsia="es-MX"/>
            </w:rPr>
            <w:t>/IP/</w:t>
          </w:r>
          <w:proofErr w:type="spellStart"/>
          <w:r>
            <w:rPr>
              <w:rFonts w:ascii="Palatino Linotype" w:hAnsi="Palatino Linotype" w:cs="Arial"/>
              <w:b/>
              <w:bCs/>
              <w:sz w:val="24"/>
              <w:lang w:eastAsia="es-MX"/>
            </w:rPr>
            <w:t>RR</w:t>
          </w:r>
          <w:proofErr w:type="spellEnd"/>
          <w:r>
            <w:rPr>
              <w:rFonts w:ascii="Palatino Linotype" w:hAnsi="Palatino Linotype" w:cs="Arial"/>
              <w:b/>
              <w:bCs/>
              <w:sz w:val="24"/>
              <w:lang w:eastAsia="es-MX"/>
            </w:rPr>
            <w:t>/2023</w:t>
          </w:r>
        </w:p>
      </w:tc>
    </w:tr>
    <w:tr w:rsidR="006A7CCC" w14:paraId="4D859138" w14:textId="77777777" w:rsidTr="00460B11">
      <w:trPr>
        <w:trHeight w:val="242"/>
      </w:trPr>
      <w:tc>
        <w:tcPr>
          <w:tcW w:w="5246" w:type="dxa"/>
          <w:hideMark/>
        </w:tcPr>
        <w:p w14:paraId="1DF0A362" w14:textId="77777777" w:rsidR="006A7CCC" w:rsidRPr="00641471" w:rsidRDefault="006A7CCC" w:rsidP="00460B1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3B8A458" w14:textId="77777777" w:rsidR="006A7CCC" w:rsidRPr="00641471" w:rsidRDefault="006A7CCC" w:rsidP="00B45B91">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 xml:space="preserve">Ayuntamiento de </w:t>
          </w:r>
          <w:r>
            <w:rPr>
              <w:rFonts w:ascii="Palatino Linotype" w:hAnsi="Palatino Linotype" w:cs="Arial"/>
              <w:b/>
              <w:szCs w:val="20"/>
            </w:rPr>
            <w:t>Toluca</w:t>
          </w:r>
        </w:p>
      </w:tc>
    </w:tr>
    <w:tr w:rsidR="006A7CCC" w14:paraId="589B6694" w14:textId="77777777" w:rsidTr="00460B11">
      <w:trPr>
        <w:trHeight w:val="342"/>
      </w:trPr>
      <w:tc>
        <w:tcPr>
          <w:tcW w:w="5246" w:type="dxa"/>
          <w:hideMark/>
        </w:tcPr>
        <w:p w14:paraId="1820F59A" w14:textId="77777777" w:rsidR="006A7CCC" w:rsidRPr="00641471" w:rsidRDefault="006A7CCC" w:rsidP="00460B1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37AC9C5" w14:textId="77777777" w:rsidR="006A7CCC" w:rsidRPr="00641471" w:rsidRDefault="006A7CCC" w:rsidP="00460B1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CBB17B4" w14:textId="77777777" w:rsidR="006A7CCC" w:rsidRPr="00AE046A" w:rsidRDefault="006A7CCC" w:rsidP="00460B1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A1ACAC3" wp14:editId="30E1609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A7CCC" w14:paraId="072AB1F9" w14:textId="77777777" w:rsidTr="00460B11">
      <w:trPr>
        <w:trHeight w:val="227"/>
      </w:trPr>
      <w:tc>
        <w:tcPr>
          <w:tcW w:w="5104" w:type="dxa"/>
          <w:hideMark/>
        </w:tcPr>
        <w:p w14:paraId="0FF61AE2" w14:textId="77777777" w:rsidR="006A7CCC" w:rsidRPr="00641471" w:rsidRDefault="006A7CCC" w:rsidP="00460B1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6F7218B4" w14:textId="77777777" w:rsidR="006A7CCC" w:rsidRPr="00641471" w:rsidRDefault="006A7CCC" w:rsidP="00B45B9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0820/</w:t>
          </w:r>
          <w:proofErr w:type="spellStart"/>
          <w:r>
            <w:rPr>
              <w:rFonts w:ascii="Palatino Linotype" w:hAnsi="Palatino Linotype" w:cs="Arial"/>
              <w:b/>
              <w:bCs/>
              <w:sz w:val="24"/>
              <w:lang w:eastAsia="es-MX"/>
            </w:rPr>
            <w:t>INFOEM</w:t>
          </w:r>
          <w:proofErr w:type="spellEnd"/>
          <w:r>
            <w:rPr>
              <w:rFonts w:ascii="Palatino Linotype" w:hAnsi="Palatino Linotype" w:cs="Arial"/>
              <w:b/>
              <w:bCs/>
              <w:sz w:val="24"/>
              <w:lang w:eastAsia="es-MX"/>
            </w:rPr>
            <w:t>/IP/</w:t>
          </w:r>
          <w:proofErr w:type="spellStart"/>
          <w:r>
            <w:rPr>
              <w:rFonts w:ascii="Palatino Linotype" w:hAnsi="Palatino Linotype" w:cs="Arial"/>
              <w:b/>
              <w:bCs/>
              <w:sz w:val="24"/>
              <w:lang w:eastAsia="es-MX"/>
            </w:rPr>
            <w:t>RR</w:t>
          </w:r>
          <w:proofErr w:type="spellEnd"/>
          <w:r>
            <w:rPr>
              <w:rFonts w:ascii="Palatino Linotype" w:hAnsi="Palatino Linotype" w:cs="Arial"/>
              <w:b/>
              <w:bCs/>
              <w:sz w:val="24"/>
              <w:lang w:eastAsia="es-MX"/>
            </w:rPr>
            <w:t>/2023</w:t>
          </w:r>
        </w:p>
      </w:tc>
    </w:tr>
    <w:tr w:rsidR="006A7CCC" w14:paraId="65870495" w14:textId="77777777" w:rsidTr="00460B11">
      <w:trPr>
        <w:trHeight w:val="242"/>
      </w:trPr>
      <w:tc>
        <w:tcPr>
          <w:tcW w:w="5104" w:type="dxa"/>
          <w:hideMark/>
        </w:tcPr>
        <w:p w14:paraId="0BFA453F" w14:textId="77777777" w:rsidR="006A7CCC" w:rsidRPr="00641471" w:rsidRDefault="006A7CCC" w:rsidP="00460B1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B3F46AC" w14:textId="77777777" w:rsidR="006A7CCC" w:rsidRPr="00641471" w:rsidRDefault="006A7CCC" w:rsidP="00B45B91">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 xml:space="preserve">Ayuntamiento de </w:t>
          </w:r>
          <w:r>
            <w:rPr>
              <w:rFonts w:ascii="Palatino Linotype" w:hAnsi="Palatino Linotype" w:cs="Arial"/>
              <w:b/>
              <w:szCs w:val="20"/>
            </w:rPr>
            <w:t>Toluca</w:t>
          </w:r>
        </w:p>
      </w:tc>
    </w:tr>
    <w:tr w:rsidR="006A7CCC" w14:paraId="5AA9A0DC" w14:textId="77777777" w:rsidTr="00460B11">
      <w:trPr>
        <w:trHeight w:val="342"/>
      </w:trPr>
      <w:tc>
        <w:tcPr>
          <w:tcW w:w="5104" w:type="dxa"/>
        </w:tcPr>
        <w:p w14:paraId="07C7A8A4" w14:textId="77777777" w:rsidR="006A7CCC" w:rsidRPr="00641471" w:rsidRDefault="006A7CCC" w:rsidP="00460B1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19D4D42" w14:textId="6A819133" w:rsidR="006A7CCC" w:rsidRPr="00641471" w:rsidRDefault="006A7CCC" w:rsidP="00460B11">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143AB8B" wp14:editId="2C18C4CB">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35EA6">
            <w:rPr>
              <w:rFonts w:ascii="Palatino Linotype" w:hAnsi="Palatino Linotype" w:cs="Arial"/>
              <w:b/>
            </w:rPr>
            <w:t>XXXX</w:t>
          </w:r>
          <w:proofErr w:type="spellEnd"/>
        </w:p>
      </w:tc>
    </w:tr>
    <w:tr w:rsidR="006A7CCC" w14:paraId="663C4A45" w14:textId="77777777" w:rsidTr="00460B11">
      <w:trPr>
        <w:trHeight w:val="342"/>
      </w:trPr>
      <w:tc>
        <w:tcPr>
          <w:tcW w:w="5104" w:type="dxa"/>
        </w:tcPr>
        <w:p w14:paraId="388D077E" w14:textId="77777777" w:rsidR="006A7CCC" w:rsidRPr="00641471" w:rsidRDefault="006A7CCC" w:rsidP="00460B1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5653203" w14:textId="77777777" w:rsidR="006A7CCC" w:rsidRPr="00641471" w:rsidRDefault="006A7CCC" w:rsidP="00460B1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1FA2736" w14:textId="77777777" w:rsidR="006A7CCC" w:rsidRPr="00C222C0" w:rsidRDefault="006A7CCC">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1896"/>
    <w:multiLevelType w:val="hybridMultilevel"/>
    <w:tmpl w:val="322AF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E82392"/>
    <w:multiLevelType w:val="hybridMultilevel"/>
    <w:tmpl w:val="11F89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6D4A9E"/>
    <w:multiLevelType w:val="hybridMultilevel"/>
    <w:tmpl w:val="C8B661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F22623D"/>
    <w:multiLevelType w:val="multilevel"/>
    <w:tmpl w:val="0C16080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CD6109E"/>
    <w:multiLevelType w:val="hybridMultilevel"/>
    <w:tmpl w:val="C8B661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755942"/>
    <w:multiLevelType w:val="hybridMultilevel"/>
    <w:tmpl w:val="F9D0330C"/>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67E61FFE"/>
    <w:multiLevelType w:val="multilevel"/>
    <w:tmpl w:val="0C16080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433985559">
    <w:abstractNumId w:val="5"/>
  </w:num>
  <w:num w:numId="2" w16cid:durableId="2010211505">
    <w:abstractNumId w:val="2"/>
  </w:num>
  <w:num w:numId="3" w16cid:durableId="1774784352">
    <w:abstractNumId w:val="1"/>
  </w:num>
  <w:num w:numId="4" w16cid:durableId="944193928">
    <w:abstractNumId w:val="9"/>
  </w:num>
  <w:num w:numId="5" w16cid:durableId="302194810">
    <w:abstractNumId w:val="3"/>
  </w:num>
  <w:num w:numId="6" w16cid:durableId="619342828">
    <w:abstractNumId w:val="8"/>
  </w:num>
  <w:num w:numId="7" w16cid:durableId="417990723">
    <w:abstractNumId w:val="7"/>
  </w:num>
  <w:num w:numId="8" w16cid:durableId="656886606">
    <w:abstractNumId w:val="4"/>
  </w:num>
  <w:num w:numId="9" w16cid:durableId="467548356">
    <w:abstractNumId w:val="0"/>
  </w:num>
  <w:num w:numId="10" w16cid:durableId="830832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91"/>
    <w:rsid w:val="00035EA6"/>
    <w:rsid w:val="00037AD5"/>
    <w:rsid w:val="000A5A5A"/>
    <w:rsid w:val="00106010"/>
    <w:rsid w:val="001178DA"/>
    <w:rsid w:val="001700AB"/>
    <w:rsid w:val="00202FE2"/>
    <w:rsid w:val="00227A86"/>
    <w:rsid w:val="00293081"/>
    <w:rsid w:val="002C4599"/>
    <w:rsid w:val="002C528B"/>
    <w:rsid w:val="00334773"/>
    <w:rsid w:val="003523C4"/>
    <w:rsid w:val="00376236"/>
    <w:rsid w:val="003B14E0"/>
    <w:rsid w:val="00443E1A"/>
    <w:rsid w:val="00460B11"/>
    <w:rsid w:val="004A5ECC"/>
    <w:rsid w:val="004A7B6F"/>
    <w:rsid w:val="004B0D33"/>
    <w:rsid w:val="004F490B"/>
    <w:rsid w:val="0056186E"/>
    <w:rsid w:val="005909B1"/>
    <w:rsid w:val="005D2C70"/>
    <w:rsid w:val="00683403"/>
    <w:rsid w:val="00684F59"/>
    <w:rsid w:val="006A7CCC"/>
    <w:rsid w:val="007E2BAA"/>
    <w:rsid w:val="00830B55"/>
    <w:rsid w:val="00864990"/>
    <w:rsid w:val="00892710"/>
    <w:rsid w:val="00921B37"/>
    <w:rsid w:val="009915A9"/>
    <w:rsid w:val="009D3512"/>
    <w:rsid w:val="009D67C8"/>
    <w:rsid w:val="009F505E"/>
    <w:rsid w:val="00A0710E"/>
    <w:rsid w:val="00A34ECC"/>
    <w:rsid w:val="00A76E44"/>
    <w:rsid w:val="00AD2934"/>
    <w:rsid w:val="00B45B91"/>
    <w:rsid w:val="00B4755D"/>
    <w:rsid w:val="00BA60F5"/>
    <w:rsid w:val="00BD0A9F"/>
    <w:rsid w:val="00BD56D0"/>
    <w:rsid w:val="00BF3E35"/>
    <w:rsid w:val="00C07766"/>
    <w:rsid w:val="00C467F2"/>
    <w:rsid w:val="00CC3A7B"/>
    <w:rsid w:val="00D17F4C"/>
    <w:rsid w:val="00D651DC"/>
    <w:rsid w:val="00DA4C40"/>
    <w:rsid w:val="00DC58A1"/>
    <w:rsid w:val="00DC5E84"/>
    <w:rsid w:val="00DD5E55"/>
    <w:rsid w:val="00DF1A16"/>
    <w:rsid w:val="00E87C3A"/>
    <w:rsid w:val="00EA519A"/>
    <w:rsid w:val="00F5673D"/>
    <w:rsid w:val="00F86316"/>
    <w:rsid w:val="00F878D2"/>
    <w:rsid w:val="00F879CC"/>
    <w:rsid w:val="00FC5293"/>
    <w:rsid w:val="00FE1FC7"/>
    <w:rsid w:val="00FE74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9851E"/>
  <w15:chartTrackingRefBased/>
  <w15:docId w15:val="{939B4987-C8E6-40A3-BD4B-A76DE836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B9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45B9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45B9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45B9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5B9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5B91"/>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AD29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293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D2934"/>
    <w:rPr>
      <w:vertAlign w:val="superscript"/>
    </w:rPr>
  </w:style>
  <w:style w:type="table" w:styleId="Tablaconcuadrcula">
    <w:name w:val="Table Grid"/>
    <w:basedOn w:val="Tablanormal"/>
    <w:uiPriority w:val="39"/>
    <w:rsid w:val="00170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4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077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7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236">
      <w:bodyDiv w:val="1"/>
      <w:marLeft w:val="0"/>
      <w:marRight w:val="0"/>
      <w:marTop w:val="0"/>
      <w:marBottom w:val="0"/>
      <w:divBdr>
        <w:top w:val="none" w:sz="0" w:space="0" w:color="auto"/>
        <w:left w:val="none" w:sz="0" w:space="0" w:color="auto"/>
        <w:bottom w:val="none" w:sz="0" w:space="0" w:color="auto"/>
        <w:right w:val="none" w:sz="0" w:space="0" w:color="auto"/>
      </w:divBdr>
    </w:div>
    <w:div w:id="42029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41</Pages>
  <Words>11231</Words>
  <Characters>61772</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527223751651</cp:lastModifiedBy>
  <cp:revision>20</cp:revision>
  <dcterms:created xsi:type="dcterms:W3CDTF">2023-04-10T17:14:00Z</dcterms:created>
  <dcterms:modified xsi:type="dcterms:W3CDTF">2023-05-15T15:32:00Z</dcterms:modified>
</cp:coreProperties>
</file>