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22" w:rsidRPr="002D6522" w:rsidRDefault="00B30EEC">
      <w:pPr>
        <w:spacing w:before="240" w:line="360" w:lineRule="auto"/>
        <w:jc w:val="both"/>
        <w:rPr>
          <w:rFonts w:ascii="Palatino Linotype" w:eastAsia="Palatino Linotype" w:hAnsi="Palatino Linotype" w:cs="Palatino Linotype"/>
          <w:b/>
        </w:rPr>
      </w:pPr>
      <w:bookmarkStart w:id="0" w:name="_heading=h.30j0zll" w:colFirst="0" w:colLast="0"/>
      <w:bookmarkEnd w:id="0"/>
      <w:r w:rsidRPr="002D652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C4117" w:rsidRPr="002D6522">
        <w:rPr>
          <w:rFonts w:ascii="Palatino Linotype" w:eastAsia="Palatino Linotype" w:hAnsi="Palatino Linotype" w:cs="Palatino Linotype"/>
          <w:b/>
        </w:rPr>
        <w:t>catorce</w:t>
      </w:r>
      <w:r w:rsidRPr="002D6522">
        <w:rPr>
          <w:rFonts w:ascii="Palatino Linotype" w:eastAsia="Palatino Linotype" w:hAnsi="Palatino Linotype" w:cs="Palatino Linotype"/>
          <w:b/>
        </w:rPr>
        <w:t xml:space="preserve"> de junio del dos mil veintitrés.</w:t>
      </w:r>
    </w:p>
    <w:p w:rsidR="00895922" w:rsidRPr="002D6522" w:rsidRDefault="00895922">
      <w:pPr>
        <w:spacing w:line="360" w:lineRule="auto"/>
        <w:jc w:val="both"/>
        <w:rPr>
          <w:rFonts w:ascii="Palatino Linotype" w:eastAsia="Palatino Linotype" w:hAnsi="Palatino Linotype" w:cs="Palatino Linotype"/>
          <w:b/>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Visto el expediente relativo al recurso de revisión </w:t>
      </w:r>
      <w:r w:rsidRPr="002D6522">
        <w:rPr>
          <w:rFonts w:ascii="Palatino Linotype" w:eastAsia="Palatino Linotype" w:hAnsi="Palatino Linotype" w:cs="Palatino Linotype"/>
          <w:color w:val="000000"/>
        </w:rPr>
        <w:t>00169/INFOEM/ICR-199/IP/RR/2023</w:t>
      </w:r>
      <w:r w:rsidRPr="002D6522">
        <w:rPr>
          <w:rFonts w:ascii="Palatino Linotype" w:eastAsia="Palatino Linotype" w:hAnsi="Palatino Linotype" w:cs="Palatino Linotype"/>
        </w:rPr>
        <w:t xml:space="preserve">, interpuesto por una </w:t>
      </w:r>
      <w:bookmarkStart w:id="1" w:name="_GoBack"/>
      <w:bookmarkEnd w:id="1"/>
      <w:r w:rsidRPr="002D6522">
        <w:rPr>
          <w:rFonts w:ascii="Palatino Linotype" w:eastAsia="Palatino Linotype" w:hAnsi="Palatino Linotype" w:cs="Palatino Linotype"/>
        </w:rPr>
        <w:t xml:space="preserve">persona usuaria del Sistema de Acceso a la Información Mexiquense (SAIMEX) que no proporcionó nombre o seudónimo, quien en lo sucesivo será identificado como  </w:t>
      </w:r>
      <w:r w:rsidRPr="002D6522">
        <w:rPr>
          <w:rFonts w:ascii="Palatino Linotype" w:eastAsia="Palatino Linotype" w:hAnsi="Palatino Linotype" w:cs="Palatino Linotype"/>
          <w:b/>
        </w:rPr>
        <w:t>LA PARTE RECURRENTE</w:t>
      </w:r>
      <w:r w:rsidRPr="002D6522">
        <w:rPr>
          <w:rFonts w:ascii="Palatino Linotype" w:eastAsia="Palatino Linotype" w:hAnsi="Palatino Linotype" w:cs="Palatino Linotype"/>
        </w:rPr>
        <w:t xml:space="preserve">, en contra de la falta de respuesta a la solicitud de información con número de folio </w:t>
      </w:r>
      <w:r w:rsidRPr="002D6522">
        <w:rPr>
          <w:rFonts w:ascii="Palatino Linotype" w:eastAsia="Palatino Linotype" w:hAnsi="Palatino Linotype" w:cs="Palatino Linotype"/>
          <w:b/>
        </w:rPr>
        <w:t>01340/ZINACANT/IP/2022</w:t>
      </w:r>
      <w:r w:rsidRPr="002D6522">
        <w:rPr>
          <w:rFonts w:ascii="Palatino Linotype" w:eastAsia="Palatino Linotype" w:hAnsi="Palatino Linotype" w:cs="Palatino Linotype"/>
        </w:rPr>
        <w:t xml:space="preserve">, por parte del Ayuntamiento de Zinacantepec, en lo sucesivo </w:t>
      </w:r>
      <w:r w:rsidRPr="002D6522">
        <w:rPr>
          <w:rFonts w:ascii="Palatino Linotype" w:eastAsia="Palatino Linotype" w:hAnsi="Palatino Linotype" w:cs="Palatino Linotype"/>
          <w:b/>
        </w:rPr>
        <w:t>EL SUJETO OBLIGADO</w:t>
      </w:r>
      <w:r w:rsidRPr="002D6522">
        <w:rPr>
          <w:rFonts w:ascii="Palatino Linotype" w:eastAsia="Palatino Linotype" w:hAnsi="Palatino Linotype" w:cs="Palatino Linotype"/>
        </w:rPr>
        <w:t xml:space="preserve">; en cumplimiento a la determinación del diverso con número </w:t>
      </w:r>
      <w:r w:rsidRPr="002D6522">
        <w:rPr>
          <w:rFonts w:ascii="Palatino Linotype" w:eastAsia="Palatino Linotype" w:hAnsi="Palatino Linotype" w:cs="Palatino Linotype"/>
          <w:color w:val="000000"/>
        </w:rPr>
        <w:t>00169/INFOEM/ICR-199/IP/RR/2023</w:t>
      </w:r>
      <w:r w:rsidRPr="002D6522">
        <w:rPr>
          <w:rFonts w:ascii="Palatino Linotype" w:eastAsia="Palatino Linotype" w:hAnsi="Palatino Linotype" w:cs="Palatino Linotype"/>
          <w:color w:val="FF0000"/>
        </w:rPr>
        <w:t xml:space="preserve"> </w:t>
      </w:r>
      <w:r w:rsidRPr="002D6522">
        <w:rPr>
          <w:rFonts w:ascii="Palatino Linotype" w:eastAsia="Palatino Linotype" w:hAnsi="Palatino Linotype" w:cs="Palatino Linotype"/>
        </w:rPr>
        <w:t>se procede a dictar la presente resolución con base en los siguientes:</w:t>
      </w:r>
    </w:p>
    <w:p w:rsidR="00895922" w:rsidRPr="002D6522" w:rsidRDefault="00895922">
      <w:pPr>
        <w:rPr>
          <w:rFonts w:ascii="Palatino Linotype" w:eastAsia="Palatino Linotype" w:hAnsi="Palatino Linotype" w:cs="Palatino Linotype"/>
        </w:rPr>
      </w:pPr>
    </w:p>
    <w:p w:rsidR="00895922" w:rsidRPr="002D6522" w:rsidRDefault="00B30EEC">
      <w:pPr>
        <w:pBdr>
          <w:top w:val="nil"/>
          <w:left w:val="nil"/>
          <w:bottom w:val="nil"/>
          <w:right w:val="nil"/>
          <w:between w:val="nil"/>
        </w:pBdr>
        <w:spacing w:line="360" w:lineRule="auto"/>
        <w:jc w:val="center"/>
        <w:rPr>
          <w:rFonts w:ascii="Palatino Linotype" w:eastAsia="Palatino Linotype" w:hAnsi="Palatino Linotype" w:cs="Palatino Linotype"/>
          <w:b/>
        </w:rPr>
      </w:pPr>
      <w:r w:rsidRPr="002D6522">
        <w:rPr>
          <w:rFonts w:ascii="Palatino Linotype" w:eastAsia="Palatino Linotype" w:hAnsi="Palatino Linotype" w:cs="Palatino Linotype"/>
          <w:b/>
        </w:rPr>
        <w:t>A N T E C E D E N T E S</w:t>
      </w:r>
    </w:p>
    <w:p w:rsidR="00895922" w:rsidRPr="002D6522" w:rsidRDefault="00895922">
      <w:pPr>
        <w:pBdr>
          <w:top w:val="nil"/>
          <w:left w:val="nil"/>
          <w:bottom w:val="nil"/>
          <w:right w:val="nil"/>
          <w:between w:val="nil"/>
        </w:pBdr>
        <w:spacing w:line="360" w:lineRule="auto"/>
        <w:jc w:val="center"/>
        <w:rPr>
          <w:rFonts w:ascii="Palatino Linotype" w:eastAsia="Palatino Linotype" w:hAnsi="Palatino Linotype" w:cs="Palatino Linotype"/>
          <w:b/>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 xml:space="preserve">1. SOLICITUD DE ACCESO A LA INFORMACIÓN. </w:t>
      </w:r>
      <w:r w:rsidRPr="002D6522">
        <w:rPr>
          <w:rFonts w:ascii="Palatino Linotype" w:eastAsia="Palatino Linotype" w:hAnsi="Palatino Linotype" w:cs="Palatino Linotype"/>
        </w:rPr>
        <w:t xml:space="preserve">El </w:t>
      </w:r>
      <w:r w:rsidRPr="002D6522">
        <w:rPr>
          <w:rFonts w:ascii="Palatino Linotype" w:eastAsia="Palatino Linotype" w:hAnsi="Palatino Linotype" w:cs="Palatino Linotype"/>
          <w:b/>
        </w:rPr>
        <w:t>veinticinco de noviembre de dos mil veintidós</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LA PARTE RECURRENTE</w:t>
      </w:r>
      <w:r w:rsidRPr="002D6522">
        <w:rPr>
          <w:rFonts w:ascii="Palatino Linotype" w:eastAsia="Palatino Linotype" w:hAnsi="Palatino Linotype" w:cs="Palatino Linotype"/>
        </w:rPr>
        <w:t xml:space="preserve"> formuló su solicitud de acceso a información pública al </w:t>
      </w:r>
      <w:r w:rsidRPr="002D6522">
        <w:rPr>
          <w:rFonts w:ascii="Palatino Linotype" w:eastAsia="Palatino Linotype" w:hAnsi="Palatino Linotype" w:cs="Palatino Linotype"/>
          <w:b/>
        </w:rPr>
        <w:t>Sujeto Obligado</w:t>
      </w:r>
      <w:r w:rsidRPr="002D6522">
        <w:rPr>
          <w:rFonts w:ascii="Palatino Linotype" w:eastAsia="Palatino Linotype" w:hAnsi="Palatino Linotype" w:cs="Palatino Linotype"/>
        </w:rPr>
        <w:t xml:space="preserve"> a través del Sistema de Acceso a la Información Mexiquense, en adelante </w:t>
      </w:r>
      <w:r w:rsidRPr="002D6522">
        <w:rPr>
          <w:rFonts w:ascii="Palatino Linotype" w:eastAsia="Palatino Linotype" w:hAnsi="Palatino Linotype" w:cs="Palatino Linotype"/>
          <w:b/>
        </w:rPr>
        <w:t>SAIMEX,</w:t>
      </w:r>
      <w:r w:rsidRPr="002D6522">
        <w:rPr>
          <w:rFonts w:ascii="Palatino Linotype" w:eastAsia="Palatino Linotype" w:hAnsi="Palatino Linotype" w:cs="Palatino Linotype"/>
        </w:rPr>
        <w:t xml:space="preserve"> requiriendo lo siguiente:</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pBdr>
          <w:top w:val="nil"/>
          <w:left w:val="nil"/>
          <w:bottom w:val="nil"/>
          <w:right w:val="nil"/>
          <w:between w:val="nil"/>
        </w:pBdr>
        <w:spacing w:line="276"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w:t>
      </w:r>
      <w:r w:rsidRPr="002D6522">
        <w:rPr>
          <w:rFonts w:ascii="Palatino Linotype" w:eastAsia="Palatino Linotype" w:hAnsi="Palatino Linotype" w:cs="Palatino Linotype"/>
          <w:b/>
          <w:i/>
          <w:sz w:val="22"/>
          <w:szCs w:val="22"/>
        </w:rPr>
        <w:t>SOLICITO TODAS LAS FACTURAS DE PAGO POR CUALQUIER CONCEPTO DEL MES DE NOVIEMBRE DE 2022</w:t>
      </w:r>
      <w:r w:rsidRPr="002D6522">
        <w:rPr>
          <w:rFonts w:ascii="Palatino Linotype" w:eastAsia="Palatino Linotype" w:hAnsi="Palatino Linotype" w:cs="Palatino Linotype"/>
          <w:i/>
          <w:sz w:val="22"/>
          <w:szCs w:val="22"/>
        </w:rPr>
        <w:t>” (Sic)</w:t>
      </w:r>
    </w:p>
    <w:p w:rsidR="00895922" w:rsidRPr="002D6522" w:rsidRDefault="00895922">
      <w:pPr>
        <w:pBdr>
          <w:top w:val="nil"/>
          <w:left w:val="nil"/>
          <w:bottom w:val="nil"/>
          <w:right w:val="nil"/>
          <w:between w:val="nil"/>
        </w:pBdr>
        <w:spacing w:line="360" w:lineRule="auto"/>
        <w:ind w:left="851" w:right="900"/>
        <w:jc w:val="both"/>
        <w:rPr>
          <w:rFonts w:ascii="Palatino Linotype" w:eastAsia="Palatino Linotype" w:hAnsi="Palatino Linotype" w:cs="Palatino Linotype"/>
          <w:i/>
          <w:sz w:val="22"/>
          <w:szCs w:val="22"/>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lastRenderedPageBreak/>
        <w:t xml:space="preserve">Modalidad elegida para la entrega de la información: </w:t>
      </w:r>
      <w:r w:rsidRPr="002D6522">
        <w:rPr>
          <w:rFonts w:ascii="Palatino Linotype" w:eastAsia="Palatino Linotype" w:hAnsi="Palatino Linotype" w:cs="Palatino Linotype"/>
        </w:rPr>
        <w:t>a través del SAIMEX.</w:t>
      </w:r>
    </w:p>
    <w:p w:rsidR="00895922" w:rsidRPr="002D6522" w:rsidRDefault="00895922"/>
    <w:p w:rsidR="00895922" w:rsidRPr="002D6522" w:rsidRDefault="00B30EEC">
      <w:pPr>
        <w:spacing w:line="360" w:lineRule="auto"/>
        <w:jc w:val="both"/>
      </w:pPr>
      <w:r w:rsidRPr="002D6522">
        <w:rPr>
          <w:rFonts w:ascii="Palatino Linotype" w:eastAsia="Palatino Linotype" w:hAnsi="Palatino Linotype" w:cs="Palatino Linotype"/>
          <w:b/>
        </w:rPr>
        <w:t xml:space="preserve">2. DE LA SOLICITUD DE ACLARACIÓN. </w:t>
      </w:r>
      <w:r w:rsidRPr="002D6522">
        <w:rPr>
          <w:rFonts w:ascii="Palatino Linotype" w:eastAsia="Palatino Linotype" w:hAnsi="Palatino Linotype" w:cs="Palatino Linotype"/>
        </w:rPr>
        <w:t xml:space="preserve">Con fecha dos de diciembre del dos mil veintidós, </w:t>
      </w:r>
      <w:r w:rsidRPr="002D6522">
        <w:rPr>
          <w:rFonts w:ascii="Palatino Linotype" w:eastAsia="Palatino Linotype" w:hAnsi="Palatino Linotype" w:cs="Palatino Linotype"/>
          <w:b/>
        </w:rPr>
        <w:t>EL SUJETO OBLIGADO</w:t>
      </w:r>
      <w:r w:rsidRPr="002D6522">
        <w:rPr>
          <w:rFonts w:ascii="Palatino Linotype" w:eastAsia="Palatino Linotype" w:hAnsi="Palatino Linotype" w:cs="Palatino Linotype"/>
        </w:rPr>
        <w:t xml:space="preserve"> solicitó aclaración, a través del SAIMEX, a la solicitud de acceso a la información, de la siguiente manera:</w:t>
      </w:r>
      <w:r w:rsidRPr="002D6522">
        <w:t xml:space="preserve"> </w:t>
      </w:r>
    </w:p>
    <w:p w:rsidR="00895922" w:rsidRPr="002D6522" w:rsidRDefault="00895922">
      <w:pPr>
        <w:spacing w:line="360" w:lineRule="auto"/>
        <w:jc w:val="both"/>
        <w:rPr>
          <w:rFonts w:ascii="Palatino Linotype" w:eastAsia="Palatino Linotype" w:hAnsi="Palatino Linotype" w:cs="Palatino Linotype"/>
          <w:b/>
        </w:rPr>
      </w:pPr>
    </w:p>
    <w:p w:rsidR="00895922" w:rsidRPr="002D6522" w:rsidRDefault="00B30EEC">
      <w:pPr>
        <w:spacing w:line="276"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rsidR="00895922" w:rsidRPr="002D6522" w:rsidRDefault="00B30EEC">
      <w:pPr>
        <w:spacing w:line="276"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895922" w:rsidRPr="002D6522" w:rsidRDefault="00B30EEC">
      <w:pPr>
        <w:spacing w:line="276"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895922" w:rsidRPr="002D6522" w:rsidRDefault="00B30EEC">
      <w:pPr>
        <w:spacing w:line="276"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ATENTAMENTE</w:t>
      </w: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ING. JESUS EMMANUEL ENCASTIN RENDON”</w:t>
      </w:r>
    </w:p>
    <w:p w:rsidR="00895922" w:rsidRPr="002D6522" w:rsidRDefault="00895922">
      <w:pPr>
        <w:spacing w:line="360" w:lineRule="auto"/>
      </w:pPr>
    </w:p>
    <w:p w:rsidR="00895922" w:rsidRPr="002D6522" w:rsidRDefault="00B30EEC">
      <w:pPr>
        <w:spacing w:line="360" w:lineRule="auto"/>
        <w:jc w:val="both"/>
        <w:rPr>
          <w:rFonts w:ascii="Palatino Linotype" w:eastAsia="Palatino Linotype" w:hAnsi="Palatino Linotype" w:cs="Palatino Linotype"/>
          <w:b/>
        </w:rPr>
      </w:pPr>
      <w:r w:rsidRPr="002D6522">
        <w:rPr>
          <w:rFonts w:ascii="Palatino Linotype" w:eastAsia="Palatino Linotype" w:hAnsi="Palatino Linotype" w:cs="Palatino Linotype"/>
          <w:b/>
        </w:rPr>
        <w:t xml:space="preserve">3. DE LA RESPUESTA DE ACLARACIÓN. </w:t>
      </w:r>
      <w:r w:rsidRPr="002D6522">
        <w:rPr>
          <w:rFonts w:ascii="Palatino Linotype" w:eastAsia="Palatino Linotype" w:hAnsi="Palatino Linotype" w:cs="Palatino Linotype"/>
        </w:rPr>
        <w:t>Con fecha dos de diciembre del dos mil veintidós, el particular dio atención a la solicitud de la aclaración, en el siguiente término:</w:t>
      </w:r>
    </w:p>
    <w:p w:rsidR="00895922" w:rsidRPr="002D6522" w:rsidRDefault="00B30EEC">
      <w:pPr>
        <w:spacing w:line="276" w:lineRule="auto"/>
        <w:ind w:left="567" w:right="616"/>
        <w:jc w:val="both"/>
        <w:rPr>
          <w:rFonts w:ascii="Palatino Linotype" w:eastAsia="Palatino Linotype" w:hAnsi="Palatino Linotype" w:cs="Palatino Linotype"/>
          <w:i/>
        </w:rPr>
      </w:pPr>
      <w:r w:rsidRPr="002D6522">
        <w:rPr>
          <w:rFonts w:ascii="Palatino Linotype" w:eastAsia="Palatino Linotype" w:hAnsi="Palatino Linotype" w:cs="Palatino Linotype"/>
          <w:i/>
        </w:rPr>
        <w:t xml:space="preserve"> “LA SOLICITUD ES MUY ESPECÍFICA” (Sic)</w:t>
      </w: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lastRenderedPageBreak/>
        <w:t xml:space="preserve">4. RESPUESTA. </w:t>
      </w:r>
      <w:r w:rsidRPr="002D6522">
        <w:rPr>
          <w:rFonts w:ascii="Palatino Linotype" w:eastAsia="Palatino Linotype" w:hAnsi="Palatino Linotype" w:cs="Palatino Linotype"/>
        </w:rPr>
        <w:t xml:space="preserve">De las constancias que obran en </w:t>
      </w:r>
      <w:r w:rsidRPr="002D6522">
        <w:rPr>
          <w:rFonts w:ascii="Palatino Linotype" w:eastAsia="Palatino Linotype" w:hAnsi="Palatino Linotype" w:cs="Palatino Linotype"/>
          <w:b/>
        </w:rPr>
        <w:t>SAIMEX</w:t>
      </w:r>
      <w:r w:rsidRPr="002D6522">
        <w:rPr>
          <w:rFonts w:ascii="Palatino Linotype" w:eastAsia="Palatino Linotype" w:hAnsi="Palatino Linotype" w:cs="Palatino Linotype"/>
        </w:rPr>
        <w:t xml:space="preserve">, se observa que </w:t>
      </w:r>
      <w:r w:rsidRPr="002D6522">
        <w:rPr>
          <w:rFonts w:ascii="Palatino Linotype" w:eastAsia="Palatino Linotype" w:hAnsi="Palatino Linotype" w:cs="Palatino Linotype"/>
          <w:b/>
        </w:rPr>
        <w:t xml:space="preserve">el SUJETO OBLIGADO </w:t>
      </w:r>
      <w:r w:rsidRPr="002D6522">
        <w:rPr>
          <w:rFonts w:ascii="Palatino Linotype" w:eastAsia="Palatino Linotype" w:hAnsi="Palatino Linotype" w:cs="Palatino Linotype"/>
        </w:rPr>
        <w:t xml:space="preserve">no emitió respuesta a la solicitud de información formulada por la parte </w:t>
      </w:r>
      <w:r w:rsidRPr="002D6522">
        <w:rPr>
          <w:rFonts w:ascii="Palatino Linotype" w:eastAsia="Palatino Linotype" w:hAnsi="Palatino Linotype" w:cs="Palatino Linotype"/>
          <w:b/>
        </w:rPr>
        <w:t>RECURRENTE</w:t>
      </w:r>
      <w:r w:rsidRPr="002D6522">
        <w:rPr>
          <w:rFonts w:ascii="Palatino Linotype" w:eastAsia="Palatino Linotype" w:hAnsi="Palatino Linotype" w:cs="Palatino Linotype"/>
        </w:rPr>
        <w:t>.</w:t>
      </w:r>
    </w:p>
    <w:p w:rsidR="00895922" w:rsidRPr="002D6522" w:rsidRDefault="00895922">
      <w:pPr>
        <w:spacing w:line="360" w:lineRule="auto"/>
        <w:ind w:right="-234"/>
        <w:jc w:val="both"/>
      </w:pPr>
    </w:p>
    <w:p w:rsidR="00895922" w:rsidRPr="002D6522" w:rsidRDefault="00B30EEC">
      <w:pPr>
        <w:spacing w:line="360" w:lineRule="auto"/>
        <w:ind w:right="-234"/>
        <w:jc w:val="both"/>
        <w:rPr>
          <w:rFonts w:ascii="Palatino Linotype" w:eastAsia="Palatino Linotype" w:hAnsi="Palatino Linotype" w:cs="Palatino Linotype"/>
          <w:b/>
          <w:color w:val="000000"/>
        </w:rPr>
      </w:pPr>
      <w:r w:rsidRPr="002D6522">
        <w:rPr>
          <w:rFonts w:ascii="Palatino Linotype" w:eastAsia="Palatino Linotype" w:hAnsi="Palatino Linotype" w:cs="Palatino Linotype"/>
          <w:b/>
        </w:rPr>
        <w:t xml:space="preserve">5. DEL RECURSO DE REVISIÓN. </w:t>
      </w:r>
      <w:r w:rsidRPr="002D6522">
        <w:rPr>
          <w:rFonts w:ascii="Palatino Linotype" w:eastAsia="Palatino Linotype" w:hAnsi="Palatino Linotype" w:cs="Palatino Linotype"/>
        </w:rPr>
        <w:t>Inconforme con la falta de respuesta del</w:t>
      </w:r>
      <w:r w:rsidRPr="002D6522">
        <w:rPr>
          <w:rFonts w:ascii="Palatino Linotype" w:eastAsia="Palatino Linotype" w:hAnsi="Palatino Linotype" w:cs="Palatino Linotype"/>
          <w:b/>
        </w:rPr>
        <w:t xml:space="preserve"> SUJETO OBLIGADO, </w:t>
      </w:r>
      <w:r w:rsidRPr="002D6522">
        <w:rPr>
          <w:rFonts w:ascii="Palatino Linotype" w:eastAsia="Palatino Linotype" w:hAnsi="Palatino Linotype" w:cs="Palatino Linotype"/>
        </w:rPr>
        <w:t>en fecha once de enero de dos mil veintitrés</w:t>
      </w:r>
      <w:r w:rsidRPr="002D6522">
        <w:rPr>
          <w:rFonts w:ascii="Palatino Linotype" w:eastAsia="Palatino Linotype" w:hAnsi="Palatino Linotype" w:cs="Palatino Linotype"/>
          <w:b/>
        </w:rPr>
        <w:t xml:space="preserve">, EL RECURRENTE </w:t>
      </w:r>
      <w:r w:rsidRPr="002D6522">
        <w:rPr>
          <w:rFonts w:ascii="Palatino Linotype" w:eastAsia="Palatino Linotype" w:hAnsi="Palatino Linotype" w:cs="Palatino Linotype"/>
        </w:rPr>
        <w:t xml:space="preserve">interpuso el recurso de revisión, en el cual manifiesta, lo siguiente: </w:t>
      </w:r>
    </w:p>
    <w:p w:rsidR="00895922" w:rsidRPr="002D6522" w:rsidRDefault="00B30EEC">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rPr>
      </w:pPr>
      <w:r w:rsidRPr="002D6522">
        <w:rPr>
          <w:rFonts w:ascii="Palatino Linotype" w:eastAsia="Palatino Linotype" w:hAnsi="Palatino Linotype" w:cs="Palatino Linotype"/>
          <w:b/>
          <w:i/>
          <w:color w:val="000000"/>
        </w:rPr>
        <w:t>Acto Impugnado:</w:t>
      </w:r>
    </w:p>
    <w:p w:rsidR="00895922" w:rsidRPr="002D6522" w:rsidRDefault="00B30EEC">
      <w:pPr>
        <w:tabs>
          <w:tab w:val="left" w:pos="8222"/>
        </w:tabs>
        <w:spacing w:before="240" w:after="240" w:line="276" w:lineRule="auto"/>
        <w:ind w:left="851" w:right="616"/>
        <w:jc w:val="both"/>
        <w:rPr>
          <w:rFonts w:ascii="Palatino Linotype" w:eastAsia="Palatino Linotype" w:hAnsi="Palatino Linotype" w:cs="Palatino Linotype"/>
          <w:i/>
        </w:rPr>
      </w:pPr>
      <w:r w:rsidRPr="002D6522">
        <w:rPr>
          <w:rFonts w:ascii="Palatino Linotype" w:eastAsia="Palatino Linotype" w:hAnsi="Palatino Linotype" w:cs="Palatino Linotype"/>
          <w:i/>
        </w:rPr>
        <w:t>“</w:t>
      </w:r>
      <w:r w:rsidRPr="002D6522">
        <w:rPr>
          <w:rFonts w:ascii="Palatino Linotype" w:eastAsia="Palatino Linotype" w:hAnsi="Palatino Linotype" w:cs="Palatino Linotype"/>
          <w:i/>
          <w:color w:val="000000"/>
        </w:rPr>
        <w:t>NO ENTREGA INFORMACIÓN</w:t>
      </w:r>
      <w:r w:rsidRPr="002D6522">
        <w:rPr>
          <w:rFonts w:ascii="Palatino Linotype" w:eastAsia="Palatino Linotype" w:hAnsi="Palatino Linotype" w:cs="Palatino Linotype"/>
          <w:i/>
        </w:rPr>
        <w:t>” [sic]</w:t>
      </w:r>
    </w:p>
    <w:p w:rsidR="00895922" w:rsidRPr="002D6522" w:rsidRDefault="00B30EEC">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rPr>
      </w:pPr>
      <w:r w:rsidRPr="002D6522">
        <w:rPr>
          <w:rFonts w:ascii="Palatino Linotype" w:eastAsia="Palatino Linotype" w:hAnsi="Palatino Linotype" w:cs="Palatino Linotype"/>
          <w:b/>
          <w:i/>
          <w:color w:val="000000"/>
        </w:rPr>
        <w:t>Razones o Motivos de Inconformidad</w:t>
      </w:r>
      <w:r w:rsidRPr="002D6522">
        <w:rPr>
          <w:rFonts w:ascii="Palatino Linotype" w:eastAsia="Palatino Linotype" w:hAnsi="Palatino Linotype" w:cs="Palatino Linotype"/>
          <w:i/>
          <w:color w:val="000000"/>
        </w:rPr>
        <w:t>:</w:t>
      </w:r>
    </w:p>
    <w:p w:rsidR="00895922" w:rsidRPr="002D6522" w:rsidRDefault="00B30EEC">
      <w:pPr>
        <w:spacing w:before="240" w:line="360" w:lineRule="auto"/>
        <w:ind w:left="851" w:right="616"/>
        <w:jc w:val="both"/>
        <w:rPr>
          <w:rFonts w:ascii="Palatino Linotype" w:eastAsia="Palatino Linotype" w:hAnsi="Palatino Linotype" w:cs="Palatino Linotype"/>
          <w:i/>
        </w:rPr>
      </w:pPr>
      <w:r w:rsidRPr="002D6522">
        <w:rPr>
          <w:rFonts w:ascii="Palatino Linotype" w:eastAsia="Palatino Linotype" w:hAnsi="Palatino Linotype" w:cs="Palatino Linotype"/>
          <w:i/>
          <w:color w:val="000000"/>
        </w:rPr>
        <w:t xml:space="preserve">“NO ENTREGA INFORMACIÓN” </w:t>
      </w:r>
      <w:r w:rsidRPr="002D6522">
        <w:rPr>
          <w:rFonts w:ascii="Palatino Linotype" w:eastAsia="Palatino Linotype" w:hAnsi="Palatino Linotype" w:cs="Palatino Linotype"/>
          <w:i/>
        </w:rPr>
        <w:t>[sic]</w:t>
      </w:r>
    </w:p>
    <w:p w:rsidR="00895922" w:rsidRPr="002D6522" w:rsidRDefault="00895922">
      <w:pPr>
        <w:spacing w:line="360" w:lineRule="auto"/>
      </w:pPr>
    </w:p>
    <w:p w:rsidR="00895922" w:rsidRPr="002D6522" w:rsidRDefault="00B30EEC">
      <w:pPr>
        <w:spacing w:line="360" w:lineRule="auto"/>
        <w:jc w:val="both"/>
        <w:rPr>
          <w:rFonts w:ascii="Palatino Linotype" w:eastAsia="Palatino Linotype" w:hAnsi="Palatino Linotype" w:cs="Palatino Linotype"/>
          <w:b/>
        </w:rPr>
      </w:pPr>
      <w:r w:rsidRPr="002D6522">
        <w:rPr>
          <w:rFonts w:ascii="Palatino Linotype" w:eastAsia="Palatino Linotype" w:hAnsi="Palatino Linotype" w:cs="Palatino Linotype"/>
          <w:b/>
        </w:rPr>
        <w:t>6.  TRÁMITE DEL RECURSO DE REVISIÓN ANTE EL INSTITUTO.</w:t>
      </w:r>
    </w:p>
    <w:p w:rsidR="00895922" w:rsidRPr="002D6522" w:rsidRDefault="00895922">
      <w:pPr>
        <w:spacing w:line="360" w:lineRule="auto"/>
        <w:jc w:val="both"/>
        <w:rPr>
          <w:rFonts w:ascii="Palatino Linotype" w:eastAsia="Palatino Linotype" w:hAnsi="Palatino Linotype" w:cs="Palatino Linotype"/>
          <w:b/>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 xml:space="preserve">a. Turno. </w:t>
      </w:r>
      <w:r w:rsidRPr="002D652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D6522">
        <w:rPr>
          <w:rFonts w:ascii="Palatino Linotype" w:eastAsia="Palatino Linotype" w:hAnsi="Palatino Linotype" w:cs="Palatino Linotype"/>
          <w:b/>
        </w:rPr>
        <w:t xml:space="preserve">Guadalupe Ramírez Peña, </w:t>
      </w:r>
      <w:r w:rsidRPr="002D6522">
        <w:rPr>
          <w:rFonts w:ascii="Palatino Linotype" w:eastAsia="Palatino Linotype" w:hAnsi="Palatino Linotype" w:cs="Palatino Linotype"/>
        </w:rPr>
        <w:t>a efecto de que analizara sobre su admisión o su desechamiento.</w:t>
      </w:r>
    </w:p>
    <w:p w:rsidR="00895922" w:rsidRPr="002D6522" w:rsidRDefault="00895922">
      <w:pPr>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b. Admisión del recurso de revisión.</w:t>
      </w:r>
      <w:r w:rsidRPr="002D6522">
        <w:rPr>
          <w:rFonts w:ascii="Palatino Linotype" w:eastAsia="Palatino Linotype" w:hAnsi="Palatino Linotype" w:cs="Palatino Linotype"/>
        </w:rPr>
        <w:t xml:space="preserve"> Con fecha</w:t>
      </w:r>
      <w:r w:rsidRPr="002D6522">
        <w:rPr>
          <w:rFonts w:ascii="Palatino Linotype" w:eastAsia="Palatino Linotype" w:hAnsi="Palatino Linotype" w:cs="Palatino Linotype"/>
          <w:b/>
        </w:rPr>
        <w:t xml:space="preserve"> dieciséis de enero de dos mil veintitrés, </w:t>
      </w:r>
      <w:r w:rsidRPr="002D6522">
        <w:rPr>
          <w:rFonts w:ascii="Palatino Linotype" w:eastAsia="Palatino Linotype" w:hAnsi="Palatino Linotype" w:cs="Palatino Linotype"/>
        </w:rPr>
        <w:t xml:space="preserve">este Instituto de Transparencia, Acceso a la Información Pública y </w:t>
      </w:r>
      <w:r w:rsidRPr="002D6522">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D6522">
        <w:rPr>
          <w:rFonts w:ascii="Palatino Linotype" w:eastAsia="Palatino Linotype" w:hAnsi="Palatino Linotype" w:cs="Palatino Linotype"/>
          <w:b/>
        </w:rPr>
        <w:t xml:space="preserve">SUJETO OBLIGADO </w:t>
      </w:r>
      <w:r w:rsidRPr="002D6522">
        <w:rPr>
          <w:rFonts w:ascii="Palatino Linotype" w:eastAsia="Palatino Linotype" w:hAnsi="Palatino Linotype" w:cs="Palatino Linotype"/>
        </w:rPr>
        <w:t>presentará su informe justificado.</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b/>
        </w:rPr>
        <w:t>c. Manifestaciones.</w:t>
      </w:r>
      <w:r w:rsidRPr="002D6522">
        <w:rPr>
          <w:rFonts w:ascii="Palatino Linotype" w:eastAsia="Palatino Linotype" w:hAnsi="Palatino Linotype" w:cs="Palatino Linotype"/>
        </w:rPr>
        <w:t xml:space="preserve"> El diecinueve de enero de dos mil veintitrés se recibió, a través del Sistema de Acceso a la Información Mexiquense (SAIMEX), el Informe Justificado del </w:t>
      </w:r>
      <w:r w:rsidRPr="002D6522">
        <w:rPr>
          <w:rFonts w:ascii="Palatino Linotype" w:eastAsia="Palatino Linotype" w:hAnsi="Palatino Linotype" w:cs="Palatino Linotype"/>
          <w:b/>
        </w:rPr>
        <w:t>SUJETO OBLIGADO</w:t>
      </w:r>
      <w:r w:rsidRPr="002D6522">
        <w:rPr>
          <w:rFonts w:ascii="Palatino Linotype" w:eastAsia="Palatino Linotype" w:hAnsi="Palatino Linotype" w:cs="Palatino Linotype"/>
        </w:rPr>
        <w:t>,</w:t>
      </w:r>
      <w:r w:rsidRPr="002D6522">
        <w:rPr>
          <w:rFonts w:ascii="Palatino Linotype" w:eastAsia="Palatino Linotype" w:hAnsi="Palatino Linotype" w:cs="Palatino Linotype"/>
          <w:b/>
        </w:rPr>
        <w:t xml:space="preserve"> </w:t>
      </w:r>
      <w:r w:rsidRPr="002D6522">
        <w:rPr>
          <w:rFonts w:ascii="Palatino Linotype" w:eastAsia="Palatino Linotype" w:hAnsi="Palatino Linotype" w:cs="Palatino Linotype"/>
        </w:rPr>
        <w:t xml:space="preserve">a través del siguiente archivo electrónico: </w:t>
      </w:r>
    </w:p>
    <w:p w:rsidR="00895922" w:rsidRPr="002D6522" w:rsidRDefault="00B30EEC">
      <w:pPr>
        <w:spacing w:before="160"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b/>
          <w:i/>
          <w:u w:val="single"/>
        </w:rPr>
        <w:t>“respuesta de solicitud 1340-22R.pdf”</w:t>
      </w:r>
      <w:r w:rsidRPr="002D6522">
        <w:rPr>
          <w:rFonts w:ascii="Palatino Linotype" w:eastAsia="Palatino Linotype" w:hAnsi="Palatino Linotype" w:cs="Palatino Linotype"/>
        </w:rPr>
        <w:t>: Oficio signado por el Titular de la Unidad de Transparencia mediante el cual refiere que la solicitud fue turnada al servidor público habilitado competente quien señaló que la información solicitada puede ser consultada dentro del sistema de Información Pública de Oficio Mexiquense (IPOMEX), proporcionando la siguiente liga electrónica:</w:t>
      </w:r>
    </w:p>
    <w:p w:rsidR="00895922" w:rsidRPr="002D6522" w:rsidRDefault="00B30EEC">
      <w:pPr>
        <w:spacing w:before="160" w:line="360" w:lineRule="auto"/>
        <w:ind w:right="49"/>
        <w:jc w:val="center"/>
        <w:rPr>
          <w:rFonts w:ascii="Palatino Linotype" w:eastAsia="Palatino Linotype" w:hAnsi="Palatino Linotype" w:cs="Palatino Linotype"/>
        </w:rPr>
      </w:pPr>
      <w:r w:rsidRPr="002D6522">
        <w:rPr>
          <w:rFonts w:ascii="Palatino Linotype" w:eastAsia="Palatino Linotype" w:hAnsi="Palatino Linotype" w:cs="Palatino Linotype"/>
        </w:rPr>
        <w:t>https://www.ipomex.org.mx/ipo3/lgt/indice/ZINACANTEPEC/art_92_xxxv_a.web</w:t>
      </w:r>
      <w:r w:rsidRPr="002D6522">
        <w:rPr>
          <w:rFonts w:ascii="Palatino Linotype" w:eastAsia="Palatino Linotype" w:hAnsi="Palatino Linotype" w:cs="Palatino Linotype"/>
        </w:rPr>
        <w:br/>
      </w:r>
      <w:r w:rsidRPr="002D6522">
        <w:rPr>
          <w:noProof/>
          <w:lang w:eastAsia="es-MX"/>
        </w:rPr>
        <w:drawing>
          <wp:inline distT="0" distB="0" distL="0" distR="0">
            <wp:extent cx="5105400" cy="1733550"/>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105400" cy="1733550"/>
                    </a:xfrm>
                    <a:prstGeom prst="rect">
                      <a:avLst/>
                    </a:prstGeom>
                    <a:ln/>
                  </pic:spPr>
                </pic:pic>
              </a:graphicData>
            </a:graphic>
          </wp:inline>
        </w:drawing>
      </w: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 xml:space="preserve">Por lo que corresponde a </w:t>
      </w:r>
      <w:r w:rsidRPr="002D6522">
        <w:rPr>
          <w:rFonts w:ascii="Palatino Linotype" w:eastAsia="Palatino Linotype" w:hAnsi="Palatino Linotype" w:cs="Palatino Linotype"/>
          <w:b/>
          <w:color w:val="000000"/>
        </w:rPr>
        <w:t xml:space="preserve">LA PARTE RECURRENTE </w:t>
      </w:r>
      <w:r w:rsidRPr="002D6522">
        <w:rPr>
          <w:rFonts w:ascii="Palatino Linotype" w:eastAsia="Palatino Linotype" w:hAnsi="Palatino Linotype" w:cs="Palatino Linotype"/>
          <w:color w:val="000000"/>
        </w:rPr>
        <w:t>este resulto omiso de emitir sus manifestaciones, conforme a derecho le corresponde.</w:t>
      </w: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b/>
        </w:rPr>
        <w:lastRenderedPageBreak/>
        <w:t xml:space="preserve">d. Cierre de Instrucción. </w:t>
      </w:r>
      <w:r w:rsidRPr="002D6522">
        <w:rPr>
          <w:rFonts w:ascii="Palatino Linotype" w:eastAsia="Palatino Linotype" w:hAnsi="Palatino Linotype" w:cs="Palatino Linotype"/>
          <w:color w:val="000000"/>
        </w:rPr>
        <w:t>El veintidós de febrero de dos mil veintitrés,</w:t>
      </w:r>
      <w:r w:rsidRPr="002D6522">
        <w:rPr>
          <w:rFonts w:ascii="Palatino Linotype" w:eastAsia="Palatino Linotype" w:hAnsi="Palatino Linotype" w:cs="Palatino Linotype"/>
          <w:color w:val="FF0000"/>
        </w:rPr>
        <w:t xml:space="preserve"> </w:t>
      </w:r>
      <w:r w:rsidRPr="002D6522">
        <w:rPr>
          <w:rFonts w:ascii="Palatino Linotype" w:eastAsia="Palatino Linotype" w:hAnsi="Palatino Linotype" w:cs="Palatino Linotype"/>
          <w:color w:val="000000"/>
        </w:rPr>
        <w:t>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pBdr>
          <w:top w:val="nil"/>
          <w:left w:val="nil"/>
          <w:bottom w:val="nil"/>
          <w:right w:val="nil"/>
          <w:between w:val="nil"/>
        </w:pBdr>
        <w:spacing w:line="360" w:lineRule="auto"/>
        <w:jc w:val="both"/>
        <w:rPr>
          <w:sz w:val="22"/>
          <w:szCs w:val="22"/>
        </w:rPr>
      </w:pPr>
      <w:r w:rsidRPr="002D6522">
        <w:rPr>
          <w:rFonts w:ascii="Palatino Linotype" w:eastAsia="Palatino Linotype" w:hAnsi="Palatino Linotype" w:cs="Palatino Linotype"/>
          <w:b/>
        </w:rPr>
        <w:t xml:space="preserve">e. Resolución del Recurso de Revisión. </w:t>
      </w:r>
      <w:r w:rsidRPr="002D6522">
        <w:rPr>
          <w:rFonts w:ascii="Palatino Linotype" w:eastAsia="Palatino Linotype" w:hAnsi="Palatino Linotype" w:cs="Palatino Linotype"/>
        </w:rPr>
        <w:t xml:space="preserve">El </w:t>
      </w:r>
      <w:r w:rsidRPr="002D6522">
        <w:rPr>
          <w:rFonts w:ascii="Palatino Linotype" w:eastAsia="Palatino Linotype" w:hAnsi="Palatino Linotype" w:cs="Palatino Linotype"/>
          <w:b/>
        </w:rPr>
        <w:t>primero de marzo de dos mil veintitrés</w:t>
      </w:r>
      <w:r w:rsidRPr="002D6522">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w:t>
      </w:r>
      <w:r w:rsidRPr="002D6522">
        <w:rPr>
          <w:rFonts w:ascii="Palatino Linotype" w:eastAsia="Palatino Linotype" w:hAnsi="Palatino Linotype" w:cs="Palatino Linotype"/>
          <w:b/>
        </w:rPr>
        <w:t>Octava Sesión Ordinaria</w:t>
      </w:r>
      <w:r w:rsidRPr="002D6522">
        <w:rPr>
          <w:rFonts w:ascii="Palatino Linotype" w:eastAsia="Palatino Linotype" w:hAnsi="Palatino Linotype" w:cs="Palatino Linotype"/>
        </w:rPr>
        <w:t>, aprobó por unanimidad de votos, la resolución del recurso de revisión, en la cual se determinó lo siguiente:</w:t>
      </w:r>
    </w:p>
    <w:p w:rsidR="00895922" w:rsidRPr="002D6522" w:rsidRDefault="00B30EEC">
      <w:pPr>
        <w:spacing w:before="240" w:after="240" w:line="276" w:lineRule="auto"/>
        <w:ind w:left="567" w:right="616"/>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“SEGUNDO. Se Ordena al SUJETO OBLIGADO que en términos de los Considerandos Cuarto y Quinto de esta resolución haga entrega, previa búsqueda exhaustiva y razonable, de ser el caso en versión pública, a través del SAIMEX, de lo siguiente: </w:t>
      </w:r>
    </w:p>
    <w:p w:rsidR="00895922" w:rsidRPr="002D6522" w:rsidRDefault="00B30EEC">
      <w:pPr>
        <w:spacing w:before="240" w:after="240" w:line="276" w:lineRule="auto"/>
        <w:ind w:left="567" w:right="616"/>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w:t>
      </w:r>
      <w:r w:rsidRPr="002D6522">
        <w:rPr>
          <w:rFonts w:ascii="Palatino Linotype" w:eastAsia="Palatino Linotype" w:hAnsi="Palatino Linotype" w:cs="Palatino Linotype"/>
          <w:i/>
          <w:sz w:val="22"/>
          <w:szCs w:val="22"/>
        </w:rPr>
        <w:tab/>
        <w:t xml:space="preserve">Facturas de pago por cualquier concepto del mes de noviembre de 2022. </w:t>
      </w:r>
    </w:p>
    <w:p w:rsidR="00895922" w:rsidRPr="002D6522" w:rsidRDefault="00B30EEC">
      <w:pPr>
        <w:spacing w:before="240" w:line="276" w:lineRule="auto"/>
        <w:ind w:left="567" w:right="616"/>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 </w:t>
      </w:r>
    </w:p>
    <w:p w:rsidR="00895922" w:rsidRPr="002D6522" w:rsidRDefault="00895922">
      <w:pPr>
        <w:spacing w:line="360" w:lineRule="auto"/>
        <w:ind w:left="567" w:right="616"/>
        <w:jc w:val="both"/>
        <w:rPr>
          <w:rFonts w:ascii="Palatino Linotype" w:eastAsia="Palatino Linotype" w:hAnsi="Palatino Linotype" w:cs="Palatino Linotype"/>
          <w:i/>
          <w:sz w:val="22"/>
          <w:szCs w:val="22"/>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 xml:space="preserve">f. Notificación de la Resolución del Recurso de Revisión 00169/INFOEM/IP/RR/2023. </w:t>
      </w:r>
      <w:r w:rsidRPr="002D6522">
        <w:rPr>
          <w:rFonts w:ascii="Palatino Linotype" w:eastAsia="Palatino Linotype" w:hAnsi="Palatino Linotype" w:cs="Palatino Linotype"/>
        </w:rPr>
        <w:t xml:space="preserve">El </w:t>
      </w:r>
      <w:r w:rsidRPr="002D6522">
        <w:rPr>
          <w:rFonts w:ascii="Palatino Linotype" w:eastAsia="Palatino Linotype" w:hAnsi="Palatino Linotype" w:cs="Palatino Linotype"/>
          <w:b/>
        </w:rPr>
        <w:t>siete de marzo</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de dos mil veintitrés</w:t>
      </w:r>
      <w:r w:rsidRPr="002D6522">
        <w:rPr>
          <w:rFonts w:ascii="Palatino Linotype" w:eastAsia="Palatino Linotype" w:hAnsi="Palatino Linotype" w:cs="Palatino Linotype"/>
        </w:rPr>
        <w:t xml:space="preserve">, se notificó a </w:t>
      </w:r>
      <w:r w:rsidRPr="002D6522">
        <w:rPr>
          <w:rFonts w:ascii="Palatino Linotype" w:eastAsia="Palatino Linotype" w:hAnsi="Palatino Linotype" w:cs="Palatino Linotype"/>
        </w:rPr>
        <w:lastRenderedPageBreak/>
        <w:t xml:space="preserve">las partes la resolución del Medio de Impugnación previamente referido, por medio del Sistema de Acceso a la Información Mexiquense (SAIMEX).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b/>
          <w:sz w:val="22"/>
          <w:szCs w:val="22"/>
        </w:rPr>
      </w:pPr>
      <w:r w:rsidRPr="002D6522">
        <w:rPr>
          <w:rFonts w:ascii="Palatino Linotype" w:eastAsia="Palatino Linotype" w:hAnsi="Palatino Linotype" w:cs="Palatino Linotype"/>
          <w:b/>
        </w:rPr>
        <w:t xml:space="preserve">g. Acuerdo de Cumplimiento/Incumplimiento del Recurso de Revisión. </w:t>
      </w:r>
      <w:r w:rsidRPr="002D6522">
        <w:rPr>
          <w:rFonts w:ascii="Palatino Linotype" w:eastAsia="Palatino Linotype" w:hAnsi="Palatino Linotype" w:cs="Palatino Linotype"/>
        </w:rPr>
        <w:t xml:space="preserve">El </w:t>
      </w:r>
      <w:r w:rsidRPr="002D6522">
        <w:rPr>
          <w:rFonts w:ascii="Palatino Linotype" w:eastAsia="Palatino Linotype" w:hAnsi="Palatino Linotype" w:cs="Palatino Linotype"/>
          <w:b/>
        </w:rPr>
        <w:t>treinta de marzo de dos mil veintidós</w:t>
      </w:r>
      <w:r w:rsidRPr="002D6522">
        <w:rPr>
          <w:rFonts w:ascii="Palatino Linotype" w:eastAsia="Palatino Linotype" w:hAnsi="Palatino Linotype" w:cs="Palatino Linotype"/>
        </w:rPr>
        <w:t xml:space="preserve">, la Dirección de Cumplimientos de este Instituto notificó a las partes, el acuerdo de incumplimiento a la resolución del recurso de revisión </w:t>
      </w:r>
      <w:r w:rsidRPr="002D6522">
        <w:rPr>
          <w:rFonts w:ascii="Palatino Linotype" w:eastAsia="Palatino Linotype" w:hAnsi="Palatino Linotype" w:cs="Palatino Linotype"/>
          <w:b/>
          <w:sz w:val="22"/>
          <w:szCs w:val="22"/>
        </w:rPr>
        <w:t xml:space="preserve">00169/INFOEM/IP/RR/2023: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 que deriva de la solicitud de información señalada, para su conocimiento y efectos legales procedentes.” (Sic) </w:t>
      </w:r>
    </w:p>
    <w:p w:rsidR="00895922" w:rsidRPr="002D6522" w:rsidRDefault="00895922">
      <w:pPr>
        <w:spacing w:line="276" w:lineRule="auto"/>
        <w:ind w:left="567" w:right="851"/>
        <w:jc w:val="both"/>
        <w:rPr>
          <w:rFonts w:ascii="Palatino Linotype" w:eastAsia="Palatino Linotype" w:hAnsi="Palatino Linotype" w:cs="Palatino Linotype"/>
          <w:i/>
          <w:sz w:val="22"/>
          <w:szCs w:val="22"/>
        </w:rPr>
      </w:pPr>
    </w:p>
    <w:p w:rsidR="00895922" w:rsidRPr="002D6522" w:rsidRDefault="00B30EEC">
      <w:pPr>
        <w:spacing w:line="276" w:lineRule="auto"/>
        <w:ind w:left="567" w:right="851"/>
        <w:jc w:val="both"/>
        <w:rPr>
          <w:rFonts w:ascii="Palatino Linotype" w:eastAsia="Palatino Linotype" w:hAnsi="Palatino Linotype" w:cs="Palatino Linotype"/>
          <w:b/>
          <w:sz w:val="22"/>
          <w:szCs w:val="22"/>
        </w:rPr>
      </w:pPr>
      <w:r w:rsidRPr="002D6522">
        <w:rPr>
          <w:rFonts w:ascii="Palatino Linotype" w:eastAsia="Palatino Linotype" w:hAnsi="Palatino Linotype" w:cs="Palatino Linotype"/>
          <w:b/>
        </w:rPr>
        <w:t>Archivos adjuntos</w:t>
      </w:r>
      <w:r w:rsidRPr="002D6522">
        <w:rPr>
          <w:rFonts w:ascii="Palatino Linotype" w:eastAsia="Palatino Linotype" w:hAnsi="Palatino Linotype" w:cs="Palatino Linotype"/>
          <w:b/>
          <w:sz w:val="22"/>
          <w:szCs w:val="22"/>
        </w:rPr>
        <w:t>:</w:t>
      </w:r>
    </w:p>
    <w:p w:rsidR="00895922" w:rsidRPr="002D6522" w:rsidRDefault="00895922">
      <w:pPr>
        <w:spacing w:line="276" w:lineRule="auto"/>
        <w:ind w:left="567" w:right="851"/>
        <w:jc w:val="both"/>
        <w:rPr>
          <w:rFonts w:ascii="Palatino Linotype" w:eastAsia="Palatino Linotype" w:hAnsi="Palatino Linotype" w:cs="Palatino Linotype"/>
          <w:b/>
          <w:sz w:val="22"/>
          <w:szCs w:val="22"/>
        </w:rPr>
      </w:pPr>
    </w:p>
    <w:p w:rsidR="00895922" w:rsidRPr="002D6522" w:rsidRDefault="00B30EEC">
      <w:pPr>
        <w:spacing w:line="360" w:lineRule="auto"/>
        <w:ind w:left="567" w:right="851"/>
        <w:jc w:val="both"/>
        <w:rPr>
          <w:rFonts w:ascii="Palatino Linotype" w:eastAsia="Palatino Linotype" w:hAnsi="Palatino Linotype" w:cs="Palatino Linotype"/>
        </w:rPr>
      </w:pPr>
      <w:r w:rsidRPr="002D6522">
        <w:rPr>
          <w:rFonts w:ascii="Palatino Linotype" w:eastAsia="Palatino Linotype" w:hAnsi="Palatino Linotype" w:cs="Palatino Linotype"/>
          <w:b/>
          <w:i/>
          <w:sz w:val="22"/>
          <w:szCs w:val="22"/>
        </w:rPr>
        <w:t>“</w:t>
      </w:r>
      <w:r w:rsidRPr="002D6522">
        <w:rPr>
          <w:rFonts w:ascii="Palatino Linotype" w:eastAsia="Palatino Linotype" w:hAnsi="Palatino Linotype" w:cs="Palatino Linotype"/>
          <w:b/>
          <w:i/>
          <w:u w:val="single"/>
        </w:rPr>
        <w:t>AI-RR-00169-2023.pdf</w:t>
      </w:r>
      <w:r w:rsidRPr="002D6522">
        <w:rPr>
          <w:rFonts w:ascii="Palatino Linotype" w:eastAsia="Palatino Linotype" w:hAnsi="Palatino Linotype" w:cs="Palatino Linotype"/>
          <w:b/>
          <w:i/>
          <w:sz w:val="22"/>
          <w:szCs w:val="22"/>
        </w:rPr>
        <w:t xml:space="preserve">”: </w:t>
      </w:r>
      <w:r w:rsidRPr="002D6522">
        <w:rPr>
          <w:rFonts w:ascii="Palatino Linotype" w:eastAsia="Palatino Linotype" w:hAnsi="Palatino Linotype" w:cs="Palatino Linotype"/>
        </w:rPr>
        <w:t>Acuerdo de Incumplimiento de fecha treinta de marzo de dos mil veintitrés, mediante el cual, el Director de Cumplimientos da cuenta del incumplimiento a la resolución citada al rubro y adicionalmente, solicita se notifique el incumplimiento al Superior Jerárquico del responsable de dar cumplimiento a la Resolución de mérito, así como al área competente del INFOEM para efecto de que, en uso de sus atribuciones, se impongan las medidas de apremio procedentes al Sujeto Obligado implicado a fin de garantizar el cumplimiento de la Resolución del Recurso de Revisión de mérito.</w:t>
      </w:r>
    </w:p>
    <w:p w:rsidR="00895922" w:rsidRPr="002D6522" w:rsidRDefault="00895922">
      <w:pPr>
        <w:spacing w:line="360" w:lineRule="auto"/>
        <w:ind w:left="567" w:right="851"/>
        <w:jc w:val="both"/>
        <w:rPr>
          <w:rFonts w:ascii="Palatino Linotype" w:eastAsia="Palatino Linotype" w:hAnsi="Palatino Linotype" w:cs="Palatino Linotype"/>
        </w:rPr>
      </w:pPr>
    </w:p>
    <w:p w:rsidR="00895922" w:rsidRPr="002D6522" w:rsidRDefault="00B30EEC">
      <w:pPr>
        <w:spacing w:line="360" w:lineRule="auto"/>
        <w:ind w:left="567" w:right="851"/>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w:t>
      </w:r>
      <w:r w:rsidRPr="002D6522">
        <w:rPr>
          <w:rFonts w:ascii="Palatino Linotype" w:eastAsia="Palatino Linotype" w:hAnsi="Palatino Linotype" w:cs="Palatino Linotype"/>
          <w:b/>
          <w:i/>
          <w:u w:val="single"/>
        </w:rPr>
        <w:t>OF-SJ-RR-00169-2023.pdf</w:t>
      </w:r>
      <w:r w:rsidRPr="002D6522">
        <w:rPr>
          <w:rFonts w:ascii="Palatino Linotype" w:eastAsia="Palatino Linotype" w:hAnsi="Palatino Linotype" w:cs="Palatino Linotype"/>
        </w:rPr>
        <w:t>”: Oficio INFOEM/STP/DC/1627/2023, signado por el Director de Cumplimientos, mediante el cual se solicita que se notifique al superior jerárquico del responsable de dar cumplimiento a la resolución de mérito, a efecto de que dé cumplimiento a la misma en un periodo no mayor a cinco días hábiles.</w:t>
      </w:r>
    </w:p>
    <w:p w:rsidR="00895922" w:rsidRPr="002D6522" w:rsidRDefault="00895922">
      <w:pPr>
        <w:spacing w:line="360" w:lineRule="auto"/>
        <w:jc w:val="both"/>
        <w:rPr>
          <w:rFonts w:ascii="Palatino Linotype" w:eastAsia="Palatino Linotype" w:hAnsi="Palatino Linotype" w:cs="Palatino Linotype"/>
          <w:b/>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 xml:space="preserve">7. INTERPOSICIÓN DEL SEGUNDO RECURSO DE REVISIÓN 00169/INFOEM/ICR-199/IP/RR/2023. </w:t>
      </w:r>
      <w:r w:rsidRPr="002D6522">
        <w:rPr>
          <w:rFonts w:ascii="Palatino Linotype" w:eastAsia="Palatino Linotype" w:hAnsi="Palatino Linotype" w:cs="Palatino Linotype"/>
        </w:rPr>
        <w:t xml:space="preserve">El </w:t>
      </w:r>
      <w:r w:rsidRPr="002D6522">
        <w:rPr>
          <w:rFonts w:ascii="Palatino Linotype" w:eastAsia="Palatino Linotype" w:hAnsi="Palatino Linotype" w:cs="Palatino Linotype"/>
          <w:b/>
        </w:rPr>
        <w:t>once de abril de dos mil veintitrés</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LA PARTE</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 xml:space="preserve">RECURRENTE </w:t>
      </w:r>
      <w:r w:rsidRPr="002D6522">
        <w:rPr>
          <w:rFonts w:ascii="Palatino Linotype" w:eastAsia="Palatino Linotype" w:hAnsi="Palatino Linotype" w:cs="Palatino Linotype"/>
        </w:rPr>
        <w:t xml:space="preserve">interpuso el Recurso de Revisión en este Instituto, a través del Sistema de Acceso a la Información Mexiquense (SAIMEX), en contra de la falta de respuesta del </w:t>
      </w:r>
      <w:r w:rsidRPr="002D6522">
        <w:rPr>
          <w:rFonts w:ascii="Palatino Linotype" w:eastAsia="Palatino Linotype" w:hAnsi="Palatino Linotype" w:cs="Palatino Linotype"/>
          <w:b/>
        </w:rPr>
        <w:t>SUJETO OBLIGADO,</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color w:val="000000"/>
        </w:rPr>
        <w:t xml:space="preserve">en cumplimiento a la resolución 00169/INFOEM/IP/RR/2023 </w:t>
      </w:r>
      <w:r w:rsidRPr="002D6522">
        <w:rPr>
          <w:rFonts w:ascii="Palatino Linotype" w:eastAsia="Palatino Linotype" w:hAnsi="Palatino Linotype" w:cs="Palatino Linotype"/>
        </w:rPr>
        <w:t>en donde se inconformó de lo siguiente</w:t>
      </w:r>
      <w:r w:rsidRPr="002D6522">
        <w:rPr>
          <w:rFonts w:ascii="Palatino Linotype" w:eastAsia="Palatino Linotype" w:hAnsi="Palatino Linotype" w:cs="Palatino Linotype"/>
          <w:b/>
        </w:rPr>
        <w:t>:</w:t>
      </w:r>
    </w:p>
    <w:p w:rsidR="00895922" w:rsidRPr="002D6522" w:rsidRDefault="00895922">
      <w:pPr>
        <w:widowControl w:val="0"/>
        <w:spacing w:line="360" w:lineRule="auto"/>
        <w:jc w:val="both"/>
        <w:rPr>
          <w:rFonts w:ascii="Palatino Linotype" w:eastAsia="Palatino Linotype" w:hAnsi="Palatino Linotype" w:cs="Palatino Linotype"/>
          <w:b/>
        </w:rPr>
      </w:pPr>
    </w:p>
    <w:p w:rsidR="00895922" w:rsidRPr="002D6522" w:rsidRDefault="00B30EEC">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2D6522">
        <w:rPr>
          <w:rFonts w:ascii="Palatino Linotype" w:eastAsia="Palatino Linotype" w:hAnsi="Palatino Linotype" w:cs="Palatino Linotype"/>
          <w:b/>
          <w:color w:val="000000"/>
        </w:rPr>
        <w:t>Acto Impugnado</w:t>
      </w:r>
    </w:p>
    <w:p w:rsidR="00895922" w:rsidRPr="002D6522" w:rsidRDefault="00B30EEC">
      <w:pPr>
        <w:ind w:left="567" w:right="1013"/>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“NO ENTREGA INFORMACIÓN” (Sic.)</w:t>
      </w:r>
    </w:p>
    <w:p w:rsidR="00895922" w:rsidRPr="002D6522" w:rsidRDefault="00895922">
      <w:pPr>
        <w:spacing w:line="360" w:lineRule="auto"/>
        <w:ind w:left="567" w:right="567"/>
        <w:jc w:val="both"/>
        <w:rPr>
          <w:rFonts w:ascii="Palatino Linotype" w:eastAsia="Palatino Linotype" w:hAnsi="Palatino Linotype" w:cs="Palatino Linotype"/>
          <w:i/>
        </w:rPr>
      </w:pPr>
    </w:p>
    <w:p w:rsidR="00895922" w:rsidRPr="002D6522" w:rsidRDefault="00B30EEC">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2D6522">
        <w:rPr>
          <w:rFonts w:ascii="Palatino Linotype" w:eastAsia="Palatino Linotype" w:hAnsi="Palatino Linotype" w:cs="Palatino Linotype"/>
          <w:b/>
          <w:color w:val="000000"/>
        </w:rPr>
        <w:t>Razones o Motivos de la Inconformidad</w:t>
      </w:r>
    </w:p>
    <w:p w:rsidR="00895922" w:rsidRPr="002D6522" w:rsidRDefault="00B30EEC">
      <w:pPr>
        <w:spacing w:line="276" w:lineRule="auto"/>
        <w:ind w:left="567" w:right="567"/>
        <w:jc w:val="both"/>
        <w:rPr>
          <w:rFonts w:ascii="Palatino Linotype" w:eastAsia="Palatino Linotype" w:hAnsi="Palatino Linotype" w:cs="Palatino Linotype"/>
          <w:sz w:val="22"/>
          <w:szCs w:val="22"/>
        </w:rPr>
      </w:pPr>
      <w:r w:rsidRPr="002D6522">
        <w:rPr>
          <w:rFonts w:ascii="Palatino Linotype" w:eastAsia="Palatino Linotype" w:hAnsi="Palatino Linotype" w:cs="Palatino Linotype"/>
          <w:i/>
          <w:sz w:val="22"/>
          <w:szCs w:val="22"/>
        </w:rPr>
        <w:t>“NO ENTREGA INFORMACIÓN” (Sic)</w:t>
      </w:r>
    </w:p>
    <w:p w:rsidR="00895922" w:rsidRPr="002D6522" w:rsidRDefault="00895922">
      <w:pPr>
        <w:widowControl w:val="0"/>
        <w:spacing w:line="360" w:lineRule="auto"/>
        <w:jc w:val="both"/>
        <w:rPr>
          <w:rFonts w:ascii="Palatino Linotype" w:eastAsia="Palatino Linotype" w:hAnsi="Palatino Linotype" w:cs="Palatino Linotype"/>
          <w:b/>
        </w:rPr>
      </w:pP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b/>
          <w:color w:val="000000"/>
        </w:rPr>
        <w:t xml:space="preserve">8. </w:t>
      </w:r>
      <w:r w:rsidRPr="002D6522">
        <w:rPr>
          <w:rFonts w:ascii="Palatino Linotype" w:eastAsia="Palatino Linotype" w:hAnsi="Palatino Linotype" w:cs="Palatino Linotype"/>
          <w:b/>
        </w:rPr>
        <w:t>TRÁMITE DEL RECURSO DE REVISIÓN CON NÚMERO 00169/INFOEM/ICR-199/IP/RR/2023 ANTE EL INSTITUTO.</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 xml:space="preserve">a) Turno del Recurso de Revisión. </w:t>
      </w:r>
      <w:r w:rsidRPr="002D6522">
        <w:rPr>
          <w:rFonts w:ascii="Palatino Linotype" w:eastAsia="Palatino Linotype" w:hAnsi="Palatino Linotype" w:cs="Palatino Linotype"/>
        </w:rPr>
        <w:t xml:space="preserve">El </w:t>
      </w:r>
      <w:r w:rsidRPr="002D6522">
        <w:rPr>
          <w:rFonts w:ascii="Palatino Linotype" w:eastAsia="Palatino Linotype" w:hAnsi="Palatino Linotype" w:cs="Palatino Linotype"/>
          <w:b/>
          <w:color w:val="000000"/>
        </w:rPr>
        <w:t>once de abril de dos mil veintitrés</w:t>
      </w:r>
      <w:r w:rsidRPr="002D6522">
        <w:rPr>
          <w:rFonts w:ascii="Palatino Linotype" w:eastAsia="Palatino Linotype" w:hAnsi="Palatino Linotype" w:cs="Palatino Linotype"/>
        </w:rPr>
        <w:t xml:space="preserve">, el Sistema de Acceso a la Información Mexiquense (SAIMEX), asignó el número de expediente </w:t>
      </w:r>
      <w:r w:rsidRPr="002D6522">
        <w:rPr>
          <w:rFonts w:ascii="Palatino Linotype" w:eastAsia="Palatino Linotype" w:hAnsi="Palatino Linotype" w:cs="Palatino Linotype"/>
          <w:b/>
        </w:rPr>
        <w:lastRenderedPageBreak/>
        <w:t xml:space="preserve">00169/INFOEM/ICR-199/IP/RR/2023, </w:t>
      </w:r>
      <w:r w:rsidRPr="002D6522">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2D6522">
        <w:rPr>
          <w:rFonts w:ascii="Palatino Linotype" w:eastAsia="Palatino Linotype" w:hAnsi="Palatino Linotype" w:cs="Palatino Linotype"/>
          <w:b/>
        </w:rPr>
        <w:t>Comisionada Ponente Guadalupe Ramírez Peña</w:t>
      </w:r>
      <w:r w:rsidRPr="002D6522">
        <w:rPr>
          <w:rFonts w:ascii="Palatino Linotype" w:eastAsia="Palatino Linotype" w:hAnsi="Palatino Linotype" w:cs="Palatino Linotype"/>
        </w:rPr>
        <w:t>, para los efectos del artículo 185, fracción I de la Ley de Transparencia y Acceso a la Información Pública del Estado de México y Municipios.</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spacing w:line="360" w:lineRule="auto"/>
        <w:jc w:val="both"/>
        <w:rPr>
          <w:rFonts w:ascii="Palatino Linotype" w:eastAsia="Palatino Linotype" w:hAnsi="Palatino Linotype" w:cs="Palatino Linotype"/>
          <w:b/>
        </w:rPr>
      </w:pPr>
      <w:r w:rsidRPr="002D6522">
        <w:rPr>
          <w:rFonts w:ascii="Palatino Linotype" w:eastAsia="Palatino Linotype" w:hAnsi="Palatino Linotype" w:cs="Palatino Linotype"/>
          <w:b/>
        </w:rPr>
        <w:t xml:space="preserve">b) Admisión del Recurso de Revisión. </w:t>
      </w:r>
      <w:r w:rsidRPr="002D6522">
        <w:rPr>
          <w:rFonts w:ascii="Palatino Linotype" w:eastAsia="Palatino Linotype" w:hAnsi="Palatino Linotype" w:cs="Palatino Linotype"/>
        </w:rPr>
        <w:t xml:space="preserve">El </w:t>
      </w:r>
      <w:r w:rsidRPr="002D6522">
        <w:rPr>
          <w:rFonts w:ascii="Palatino Linotype" w:eastAsia="Palatino Linotype" w:hAnsi="Palatino Linotype" w:cs="Palatino Linotype"/>
          <w:b/>
        </w:rPr>
        <w:t>catorce de abril de dos mil veintitrés</w:t>
      </w:r>
      <w:r w:rsidRPr="002D6522">
        <w:rPr>
          <w:rFonts w:ascii="Palatino Linotype" w:eastAsia="Palatino Linotype" w:hAnsi="Palatino Linotype" w:cs="Palatino Linotype"/>
        </w:rPr>
        <w:t xml:space="preserve">, se acordó la admisión del Recurso de Revisión interpuesto por </w:t>
      </w:r>
      <w:r w:rsidRPr="002D6522">
        <w:rPr>
          <w:rFonts w:ascii="Palatino Linotype" w:eastAsia="Palatino Linotype" w:hAnsi="Palatino Linotype" w:cs="Palatino Linotype"/>
          <w:b/>
        </w:rPr>
        <w:t>LA PARTE RECURRENTE</w:t>
      </w:r>
      <w:r w:rsidRPr="002D6522">
        <w:rPr>
          <w:rFonts w:ascii="Palatino Linotype" w:eastAsia="Palatino Linotype" w:hAnsi="Palatino Linotype" w:cs="Palatino Linotype"/>
        </w:rPr>
        <w:t xml:space="preserve"> en contra del </w:t>
      </w:r>
      <w:r w:rsidRPr="002D6522">
        <w:rPr>
          <w:rFonts w:ascii="Palatino Linotype" w:eastAsia="Palatino Linotype" w:hAnsi="Palatino Linotype" w:cs="Palatino Linotype"/>
          <w:b/>
        </w:rPr>
        <w:t>SUJETO OBLIGADO</w:t>
      </w:r>
      <w:r w:rsidRPr="002D6522">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2D6522">
        <w:rPr>
          <w:rFonts w:ascii="Palatino Linotype" w:eastAsia="Palatino Linotype" w:hAnsi="Palatino Linotype" w:cs="Palatino Linotype"/>
          <w:b/>
        </w:rPr>
        <w:t xml:space="preserve"> </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b/>
        </w:rPr>
        <w:t xml:space="preserve">8. MANIFESTACIONES O INFORME JUSTIFICADO. </w:t>
      </w:r>
      <w:r w:rsidRPr="002D6522">
        <w:rPr>
          <w:rFonts w:ascii="Palatino Linotype" w:eastAsia="Palatino Linotype" w:hAnsi="Palatino Linotype" w:cs="Palatino Linotype"/>
        </w:rPr>
        <w:t>De las constancias del expediente electrónico del SAIMEX, se observa que las partes fueron omisas en emitir su informe justificado o manifestaciones que a su derecho convenga</w:t>
      </w:r>
      <w:r w:rsidRPr="002D6522">
        <w:rPr>
          <w:rFonts w:ascii="Palatino Linotype" w:eastAsia="Palatino Linotype" w:hAnsi="Palatino Linotype" w:cs="Palatino Linotype"/>
          <w:color w:val="000000"/>
        </w:rPr>
        <w:t>, por lo que se tiene por precluido su derecho para tal efecto.</w:t>
      </w:r>
    </w:p>
    <w:p w:rsidR="00895922" w:rsidRPr="002D6522" w:rsidRDefault="00B30EEC">
      <w:pPr>
        <w:spacing w:line="360" w:lineRule="auto"/>
        <w:jc w:val="both"/>
        <w:rPr>
          <w:rFonts w:ascii="Palatino Linotype" w:eastAsia="Palatino Linotype" w:hAnsi="Palatino Linotype" w:cs="Palatino Linotype"/>
          <w:color w:val="000000"/>
        </w:rPr>
      </w:pPr>
      <w:r w:rsidRPr="002D6522">
        <w:rPr>
          <w:noProof/>
          <w:lang w:eastAsia="es-MX"/>
        </w:rPr>
        <w:lastRenderedPageBreak/>
        <w:drawing>
          <wp:inline distT="0" distB="0" distL="0" distR="0">
            <wp:extent cx="5579246" cy="1607894"/>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5261" t="25045" r="53157" b="53648"/>
                    <a:stretch>
                      <a:fillRect/>
                    </a:stretch>
                  </pic:blipFill>
                  <pic:spPr>
                    <a:xfrm>
                      <a:off x="0" y="0"/>
                      <a:ext cx="5579246" cy="1607894"/>
                    </a:xfrm>
                    <a:prstGeom prst="rect">
                      <a:avLst/>
                    </a:prstGeom>
                    <a:ln/>
                  </pic:spPr>
                </pic:pic>
              </a:graphicData>
            </a:graphic>
          </wp:inline>
        </w:drawing>
      </w:r>
    </w:p>
    <w:p w:rsidR="00895922" w:rsidRPr="002D6522" w:rsidRDefault="00895922">
      <w:pPr>
        <w:spacing w:line="360" w:lineRule="auto"/>
        <w:jc w:val="both"/>
        <w:rPr>
          <w:rFonts w:ascii="Palatino Linotype" w:eastAsia="Palatino Linotype" w:hAnsi="Palatino Linotype" w:cs="Palatino Linotype"/>
          <w:b/>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9. AMPLIACIÓN DEL TÉRMINO PARA RESOLVER</w:t>
      </w:r>
      <w:r w:rsidRPr="002D6522">
        <w:rPr>
          <w:rFonts w:ascii="Palatino Linotype" w:eastAsia="Palatino Linotype" w:hAnsi="Palatino Linotype" w:cs="Palatino Linotype"/>
        </w:rPr>
        <w:t xml:space="preserve">. El </w:t>
      </w:r>
      <w:r w:rsidRPr="002D6522">
        <w:rPr>
          <w:rFonts w:ascii="Palatino Linotype" w:eastAsia="Palatino Linotype" w:hAnsi="Palatino Linotype" w:cs="Palatino Linotype"/>
          <w:color w:val="000000"/>
        </w:rPr>
        <w:t xml:space="preserve">treinta y uno </w:t>
      </w:r>
      <w:r w:rsidRPr="002D6522">
        <w:rPr>
          <w:rFonts w:ascii="Palatino Linotype" w:eastAsia="Palatino Linotype" w:hAnsi="Palatino Linotype" w:cs="Palatino Linotype"/>
        </w:rPr>
        <w:t>de mayo</w:t>
      </w:r>
      <w:r w:rsidRPr="002D6522">
        <w:rPr>
          <w:rFonts w:ascii="Palatino Linotype" w:eastAsia="Palatino Linotype" w:hAnsi="Palatino Linotype" w:cs="Palatino Linotype"/>
          <w:color w:val="000000"/>
        </w:rPr>
        <w:t xml:space="preserve"> de dos mil veintitrés</w:t>
      </w:r>
      <w:r w:rsidRPr="002D6522">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2D6522">
        <w:rPr>
          <w:rFonts w:ascii="Palatino Linotype" w:eastAsia="Palatino Linotype" w:hAnsi="Palatino Linotype" w:cs="Palatino Linotype"/>
        </w:rPr>
        <w:lastRenderedPageBreak/>
        <w:t>órganos jurisdiccionales federales, aplicables también en procedimientos análogos, como el que nos ocupa.</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895922" w:rsidRPr="002D6522" w:rsidRDefault="00895922">
      <w:pPr>
        <w:spacing w:line="360" w:lineRule="auto"/>
        <w:jc w:val="both"/>
        <w:rPr>
          <w:rFonts w:ascii="Palatino Linotype" w:eastAsia="Palatino Linotype" w:hAnsi="Palatino Linotype" w:cs="Palatino Linotype"/>
          <w:strike/>
          <w:color w:val="FF0000"/>
        </w:rPr>
      </w:pPr>
    </w:p>
    <w:p w:rsidR="00895922" w:rsidRPr="002D6522" w:rsidRDefault="00B30EEC">
      <w:pPr>
        <w:numPr>
          <w:ilvl w:val="0"/>
          <w:numId w:val="1"/>
        </w:num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895922" w:rsidRPr="002D6522" w:rsidRDefault="00B30EEC">
      <w:pPr>
        <w:numPr>
          <w:ilvl w:val="0"/>
          <w:numId w:val="1"/>
        </w:num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Actividad Procesal del interesado. Acciones u omisiones del interesado.</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numPr>
          <w:ilvl w:val="0"/>
          <w:numId w:val="1"/>
        </w:num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Conducta de la Autoridad: Las Acciones u omisiones realizadas en el procedimiento. Así como si la autoridad actuó con la debida diligencia.</w:t>
      </w:r>
    </w:p>
    <w:p w:rsidR="00895922" w:rsidRPr="002D6522" w:rsidRDefault="00895922">
      <w:pPr>
        <w:spacing w:line="360" w:lineRule="auto"/>
        <w:ind w:left="708"/>
        <w:rPr>
          <w:rFonts w:ascii="Palatino Linotype" w:eastAsia="Palatino Linotype" w:hAnsi="Palatino Linotype" w:cs="Palatino Linotype"/>
        </w:rPr>
      </w:pPr>
    </w:p>
    <w:p w:rsidR="00895922" w:rsidRPr="002D6522" w:rsidRDefault="00B30EEC">
      <w:pPr>
        <w:spacing w:line="360" w:lineRule="auto"/>
        <w:ind w:left="567"/>
        <w:jc w:val="both"/>
        <w:rPr>
          <w:rFonts w:ascii="Palatino Linotype" w:eastAsia="Palatino Linotype" w:hAnsi="Palatino Linotype" w:cs="Palatino Linotype"/>
        </w:rPr>
      </w:pPr>
      <w:r w:rsidRPr="002D6522">
        <w:rPr>
          <w:rFonts w:ascii="Palatino Linotype" w:eastAsia="Palatino Linotype" w:hAnsi="Palatino Linotype" w:cs="Palatino Linotype"/>
        </w:rPr>
        <w:t>d) La afectación generada en la situación jurídica de la persona involucrada en el proceso: Violación a sus derechos humanos.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b/>
        </w:rPr>
      </w:pPr>
      <w:r w:rsidRPr="002D652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D652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D6522">
        <w:rPr>
          <w:rFonts w:ascii="Palatino Linotype" w:eastAsia="Palatino Linotype" w:hAnsi="Palatino Linotype" w:cs="Palatino Linotype"/>
        </w:rPr>
        <w:t>, visible en la Gaceta del Seminario Judicial de la Federación con el registro digital 205635.</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2D6522">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i/>
        </w:rPr>
        <w:t>“PLAZO RAZONABLE PARA RESOLVER. DIMENSIÓN Y EFECTOS DE ESTE CONCEPTO CUANDO SE ADUCE EXCESIVA CARGA DE TRABAJO.”</w:t>
      </w:r>
      <w:r w:rsidRPr="002D6522">
        <w:rPr>
          <w:rFonts w:ascii="Palatino Linotype" w:eastAsia="Palatino Linotype" w:hAnsi="Palatino Linotype" w:cs="Palatino Linotype"/>
        </w:rPr>
        <w:t xml:space="preserve"> consultable en el Seminario Judicial de la Federación y su gaceta, con el registro digital 2002351.</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i/>
        </w:rPr>
        <w:t>“PLAZO RAZONABLE PARA RESOLVER. CONCEPTO Y ELEMENTOS QUE LO INTEGRAN A LA LUZ DEL DERECHO INTERNACIONAL DE LOS DERECHOS HUMANOS.”</w:t>
      </w:r>
      <w:r w:rsidRPr="002D6522">
        <w:rPr>
          <w:rFonts w:ascii="Palatino Linotype" w:eastAsia="Palatino Linotype" w:hAnsi="Palatino Linotype" w:cs="Palatino Linotype"/>
        </w:rPr>
        <w:t>, visible en el Seminario Judicial de la Federación y su gaceta, con el registro digital 2002350.</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widowControl w:val="0"/>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10. CIERRE DE INSTRUCCIÓN.</w:t>
      </w:r>
      <w:r w:rsidRPr="002D6522">
        <w:rPr>
          <w:rFonts w:ascii="Palatino Linotype" w:eastAsia="Palatino Linotype" w:hAnsi="Palatino Linotype" w:cs="Palatino Linotype"/>
        </w:rPr>
        <w:t xml:space="preserve"> El </w:t>
      </w:r>
      <w:r w:rsidRPr="002D6522">
        <w:rPr>
          <w:rFonts w:ascii="Palatino Linotype" w:eastAsia="Palatino Linotype" w:hAnsi="Palatino Linotype" w:cs="Palatino Linotype"/>
          <w:b/>
        </w:rPr>
        <w:t>treinta y uno de mayo de dos mil veintitrés</w:t>
      </w:r>
      <w:r w:rsidRPr="002D6522">
        <w:rPr>
          <w:rFonts w:ascii="Palatino Linotype" w:eastAsia="Palatino Linotype" w:hAnsi="Palatino Linotype" w:cs="Palatino Linotype"/>
        </w:rPr>
        <w:t xml:space="preserve">, al </w:t>
      </w:r>
      <w:r w:rsidRPr="002D6522">
        <w:rPr>
          <w:rFonts w:ascii="Palatino Linotype" w:eastAsia="Palatino Linotype" w:hAnsi="Palatino Linotype" w:cs="Palatino Linotype"/>
        </w:rPr>
        <w:lastRenderedPageBreak/>
        <w:t xml:space="preserve">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rsidR="00895922" w:rsidRPr="002D6522" w:rsidRDefault="00895922">
      <w:pPr>
        <w:widowControl w:val="0"/>
        <w:spacing w:line="360" w:lineRule="auto"/>
        <w:jc w:val="both"/>
        <w:rPr>
          <w:rFonts w:ascii="Palatino Linotype" w:eastAsia="Palatino Linotype" w:hAnsi="Palatino Linotype" w:cs="Palatino Linotype"/>
        </w:rPr>
      </w:pPr>
    </w:p>
    <w:p w:rsidR="00895922" w:rsidRPr="002D6522" w:rsidRDefault="00B30EEC">
      <w:pPr>
        <w:pBdr>
          <w:top w:val="nil"/>
          <w:left w:val="nil"/>
          <w:bottom w:val="nil"/>
          <w:right w:val="nil"/>
          <w:between w:val="nil"/>
        </w:pBdr>
        <w:spacing w:line="360" w:lineRule="auto"/>
        <w:jc w:val="both"/>
      </w:pPr>
      <w:r w:rsidRPr="002D6522">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pBdr>
          <w:top w:val="nil"/>
          <w:left w:val="nil"/>
          <w:bottom w:val="nil"/>
          <w:right w:val="nil"/>
          <w:between w:val="nil"/>
        </w:pBdr>
        <w:spacing w:line="360" w:lineRule="auto"/>
        <w:jc w:val="center"/>
        <w:rPr>
          <w:rFonts w:ascii="Palatino Linotype" w:eastAsia="Palatino Linotype" w:hAnsi="Palatino Linotype" w:cs="Palatino Linotype"/>
          <w:b/>
        </w:rPr>
      </w:pPr>
      <w:r w:rsidRPr="002D6522">
        <w:rPr>
          <w:rFonts w:ascii="Palatino Linotype" w:eastAsia="Palatino Linotype" w:hAnsi="Palatino Linotype" w:cs="Palatino Linotype"/>
          <w:b/>
        </w:rPr>
        <w:t>C O N S I D E R A N D O S</w:t>
      </w:r>
    </w:p>
    <w:p w:rsidR="00895922" w:rsidRPr="002D6522" w:rsidRDefault="00895922">
      <w:pPr>
        <w:pBdr>
          <w:top w:val="nil"/>
          <w:left w:val="nil"/>
          <w:bottom w:val="nil"/>
          <w:right w:val="nil"/>
          <w:between w:val="nil"/>
        </w:pBdr>
        <w:spacing w:line="360" w:lineRule="auto"/>
        <w:jc w:val="center"/>
        <w:rPr>
          <w:rFonts w:ascii="Palatino Linotype" w:eastAsia="Palatino Linotype" w:hAnsi="Palatino Linotype" w:cs="Palatino Linotype"/>
          <w:b/>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PRIMERO. COMPETENCIA.</w:t>
      </w:r>
      <w:r w:rsidRPr="002D652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2D6522">
        <w:rPr>
          <w:rFonts w:ascii="Palatino Linotype" w:eastAsia="Palatino Linotype" w:hAnsi="Palatino Linotype" w:cs="Palatino Linotype"/>
          <w:b/>
        </w:rPr>
        <w:t>la parte</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Recurrente</w:t>
      </w:r>
      <w:r w:rsidRPr="002D6522">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2D6522">
        <w:rPr>
          <w:rFonts w:ascii="Palatino Linotype" w:eastAsia="Palatino Linotype" w:hAnsi="Palatino Linotype" w:cs="Palatino Linotype"/>
        </w:rPr>
        <w:lastRenderedPageBreak/>
        <w:t>Información Pública y Protección de Datos Personales del Estado de México y Municipios.</w:t>
      </w:r>
    </w:p>
    <w:p w:rsidR="00895922" w:rsidRPr="002D6522" w:rsidRDefault="00895922">
      <w:pPr>
        <w:spacing w:line="360" w:lineRule="auto"/>
        <w:jc w:val="both"/>
        <w:rPr>
          <w:rFonts w:ascii="Palatino Linotype" w:eastAsia="Palatino Linotype" w:hAnsi="Palatino Linotype" w:cs="Palatino Linotype"/>
          <w:color w:val="FF0000"/>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SEGUNDO. OPORTUNIDAD Y PROCEDIBILIDAD.</w:t>
      </w:r>
      <w:r w:rsidRPr="002D6522">
        <w:t xml:space="preserve"> </w:t>
      </w:r>
      <w:r w:rsidRPr="002D6522">
        <w:rPr>
          <w:rFonts w:ascii="Palatino Linotype" w:eastAsia="Palatino Linotype" w:hAnsi="Palatino Linotype" w:cs="Palatino Linotype"/>
        </w:rPr>
        <w:t xml:space="preserve">Es de precisar que la Ley de Transparencia y Acceso a la Información Pública del Estado de México y Municipios, describe el mecanismo de procedencia de los recursos de revisión, como se dispone en los artículos 163 y 166, del tenor literal siguiente: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 </w:t>
      </w: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Artículo 166. […] </w:t>
      </w: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y en el asunto que se resuelve, el Pleno de este Instituto otorgó al Sujeto Obligado el plazo de diez días hábiles para el cumplimiento de la resolución del recurso de revisión </w:t>
      </w:r>
      <w:r w:rsidRPr="002D6522">
        <w:rPr>
          <w:rFonts w:ascii="Palatino Linotype" w:eastAsia="Palatino Linotype" w:hAnsi="Palatino Linotype" w:cs="Palatino Linotype"/>
          <w:color w:val="000000"/>
        </w:rPr>
        <w:t>00169/INFOEM/IP/RR/2023</w:t>
      </w:r>
      <w:r w:rsidRPr="002D6522">
        <w:rPr>
          <w:rFonts w:ascii="Palatino Linotype" w:eastAsia="Palatino Linotype" w:hAnsi="Palatino Linotype" w:cs="Palatino Linotype"/>
        </w:rPr>
        <w:t xml:space="preserve">; es así que, en los casos en que transcurre el referido, sin que los Sujetos Obligados entreguen información que dé </w:t>
      </w:r>
      <w:r w:rsidRPr="002D6522">
        <w:rPr>
          <w:rFonts w:ascii="Palatino Linotype" w:eastAsia="Palatino Linotype" w:hAnsi="Palatino Linotype" w:cs="Palatino Linotype"/>
        </w:rPr>
        <w:lastRenderedPageBreak/>
        <w:t xml:space="preserve">respuesta a la solicitud de información, esta se considera negada; por lo que a la persona solicitante le asiste el derecho para presentar el recurso de revisión.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Por su parte, el artículo 178 del citado ordenamiento, establece: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895922" w:rsidRPr="002D6522" w:rsidRDefault="00895922">
      <w:pPr>
        <w:spacing w:line="360" w:lineRule="auto"/>
        <w:jc w:val="both"/>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Sujeto Obligado da respuesta a la solicitud de información; sin embargo, tratándose de negativa ficta no </w:t>
      </w:r>
      <w:r w:rsidRPr="002D6522">
        <w:rPr>
          <w:rFonts w:ascii="Palatino Linotype" w:eastAsia="Palatino Linotype" w:hAnsi="Palatino Linotype" w:cs="Palatino Linotype"/>
        </w:rPr>
        <w:lastRenderedPageBreak/>
        <w:t>existe resolución que se haga del conocimiento de la persona solicitante a partir de la cual pueda computarse dicho plazo, por lo que se concluye que la interposición del recurso de revisión puede ser en cualquier momento.</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La negativa ficta constituye una presunción legal, en el entendido de que donde no hubo respuesta por parte del Sujeto Obligado 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Por lo tanto, con la finalidad de no reducir ni limitar el derecho de acceso a la información y concederle una protección más eficaz al solicitante para impugnar el silencio del Sujeto Obligado,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95922" w:rsidRPr="002D6522" w:rsidRDefault="00895922">
      <w:pPr>
        <w:spacing w:line="360" w:lineRule="auto"/>
        <w:jc w:val="both"/>
      </w:pP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“CRITERIO 0001-15. NEGATIVA FICTA. PLAZO PARA INTERPONER EL RECURSO DE REVISIÓN TRATÁNDOSE DE.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2D6522">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p>
    <w:p w:rsidR="00895922" w:rsidRPr="002D6522" w:rsidRDefault="00895922">
      <w:pPr>
        <w:spacing w:line="360" w:lineRule="auto"/>
        <w:jc w:val="both"/>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Por otro lado, es de suma importancia mencionar que, si bien </w:t>
      </w:r>
      <w:r w:rsidRPr="002D6522">
        <w:rPr>
          <w:rFonts w:ascii="Palatino Linotype" w:eastAsia="Palatino Linotype" w:hAnsi="Palatino Linotype" w:cs="Palatino Linotype"/>
          <w:b/>
        </w:rPr>
        <w:t>LA PARTE RECURRENTE</w:t>
      </w:r>
      <w:r w:rsidRPr="002D6522">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"Las solicitudes anónimas, con nombre incompleto o seudónimo serán procedentes para su trámite por parte del sujeto obligado ante quien se presente. No podrá requerirse información adicional con motivo del nombre proporcionado por el solicitante."</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895922" w:rsidRPr="002D6522" w:rsidRDefault="00895922">
      <w:pPr>
        <w:spacing w:line="360" w:lineRule="auto"/>
        <w:jc w:val="both"/>
      </w:pP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“Artículo 179. El recurso de revisión es un medio de protección que la Ley otorga a los particulares, para hacer valer su derecho de acceso a la información pública, y procederá en contra de las siguientes causas:</w:t>
      </w: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 </w:t>
      </w: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VII. La falta de respuesta a una solicitud de acceso a la información; </w:t>
      </w:r>
    </w:p>
    <w:p w:rsidR="00895922" w:rsidRPr="002D6522" w:rsidRDefault="00895922">
      <w:pPr>
        <w:spacing w:line="360" w:lineRule="auto"/>
        <w:ind w:left="284" w:right="900"/>
        <w:jc w:val="both"/>
        <w:rPr>
          <w:rFonts w:ascii="Palatino Linotype" w:eastAsia="Palatino Linotype" w:hAnsi="Palatino Linotype" w:cs="Palatino Linotype"/>
          <w:i/>
          <w:sz w:val="22"/>
          <w:szCs w:val="22"/>
        </w:rPr>
      </w:pPr>
    </w:p>
    <w:p w:rsidR="00895922" w:rsidRPr="002D6522" w:rsidRDefault="00B30EEC">
      <w:pPr>
        <w:spacing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895922" w:rsidRPr="002D6522" w:rsidRDefault="00895922">
      <w:pPr>
        <w:spacing w:line="360" w:lineRule="auto"/>
        <w:ind w:right="49"/>
        <w:jc w:val="both"/>
        <w:rPr>
          <w:rFonts w:ascii="Palatino Linotype" w:eastAsia="Palatino Linotype" w:hAnsi="Palatino Linotype" w:cs="Palatino Linotype"/>
        </w:rPr>
      </w:pPr>
    </w:p>
    <w:p w:rsidR="00895922" w:rsidRPr="002D6522" w:rsidRDefault="00B30EEC">
      <w:pPr>
        <w:spacing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El precepto legal citado, establece como supuesto de procedencia del recurso de revisión, en aquellos casos en que la parte Recurrente estime negado el acceso a la </w:t>
      </w:r>
      <w:r w:rsidRPr="002D6522">
        <w:rPr>
          <w:rFonts w:ascii="Palatino Linotype" w:eastAsia="Palatino Linotype" w:hAnsi="Palatino Linotype" w:cs="Palatino Linotype"/>
        </w:rPr>
        <w:lastRenderedPageBreak/>
        <w:t xml:space="preserve">información por la falta de respuesta por el Sujeto Obligado, en este asunto se actualiza la hipótesis jurídica citada, en atención a que la parte Recurrente combate falta de trámite por el Sujeto Obligado y expresa motivos de inconformidad en contra de dicha circunstancia. </w:t>
      </w:r>
    </w:p>
    <w:p w:rsidR="00895922" w:rsidRPr="002D6522" w:rsidRDefault="00895922">
      <w:pPr>
        <w:spacing w:line="360" w:lineRule="auto"/>
        <w:jc w:val="both"/>
        <w:rPr>
          <w:rFonts w:ascii="Palatino Linotype" w:eastAsia="Palatino Linotype" w:hAnsi="Palatino Linotype" w:cs="Palatino Linotype"/>
          <w:b/>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TERCERO. MATERIA DE LA REVISIÓN</w:t>
      </w:r>
      <w:r w:rsidRPr="002D6522">
        <w:rPr>
          <w:rFonts w:ascii="Palatino Linotype" w:eastAsia="Palatino Linotype" w:hAnsi="Palatino Linotype" w:cs="Palatino Linotype"/>
        </w:rPr>
        <w:t>. 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 xml:space="preserve">CUARTO. ESTUDIO DEL ASUNTO. </w:t>
      </w:r>
      <w:r w:rsidRPr="002D6522">
        <w:rPr>
          <w:rFonts w:ascii="Palatino Linotype" w:eastAsia="Palatino Linotype" w:hAnsi="Palatino Linotype" w:cs="Palatino Linotype"/>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tabs>
          <w:tab w:val="left" w:pos="709"/>
        </w:tabs>
        <w:ind w:left="851" w:right="85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D652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95922" w:rsidRPr="002D6522" w:rsidRDefault="00B30EEC">
      <w:pPr>
        <w:tabs>
          <w:tab w:val="left" w:pos="709"/>
        </w:tabs>
        <w:ind w:left="851" w:right="850"/>
        <w:jc w:val="both"/>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2D6522">
        <w:rPr>
          <w:rFonts w:ascii="Palatino Linotype" w:eastAsia="Palatino Linotype" w:hAnsi="Palatino Linotype" w:cs="Palatino Linotype"/>
          <w:b/>
          <w:i/>
          <w:sz w:val="22"/>
          <w:szCs w:val="22"/>
        </w:rPr>
        <w:lastRenderedPageBreak/>
        <w:t>la materia favoreciendo en todo tiempo a las personas la protección más amplia.</w:t>
      </w:r>
    </w:p>
    <w:p w:rsidR="00895922" w:rsidRPr="002D6522" w:rsidRDefault="00B30EEC">
      <w:pPr>
        <w:tabs>
          <w:tab w:val="left" w:pos="709"/>
        </w:tabs>
        <w:ind w:left="851" w:right="85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D652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95922" w:rsidRPr="002D6522" w:rsidRDefault="00B30EEC">
      <w:pPr>
        <w:tabs>
          <w:tab w:val="left" w:pos="709"/>
        </w:tabs>
        <w:ind w:left="851" w:right="85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w:t>
      </w:r>
    </w:p>
    <w:p w:rsidR="00895922" w:rsidRPr="002D6522" w:rsidRDefault="00B30EEC">
      <w:pPr>
        <w:ind w:left="851" w:right="90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“Artículo 6o.</w:t>
      </w:r>
    </w:p>
    <w:p w:rsidR="00895922" w:rsidRPr="002D6522" w:rsidRDefault="00B30EEC">
      <w:pPr>
        <w:ind w:left="851" w:right="90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w:t>
      </w: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A. Para el ejercicio del derecho de acceso a la información, la Federación y </w:t>
      </w:r>
      <w:r w:rsidRPr="002D6522">
        <w:rPr>
          <w:rFonts w:ascii="Palatino Linotype" w:eastAsia="Palatino Linotype" w:hAnsi="Palatino Linotype" w:cs="Palatino Linotype"/>
          <w:b/>
          <w:i/>
          <w:sz w:val="22"/>
          <w:szCs w:val="22"/>
          <w:u w:val="single"/>
        </w:rPr>
        <w:t>las entidades federativas</w:t>
      </w:r>
      <w:r w:rsidRPr="002D6522">
        <w:rPr>
          <w:rFonts w:ascii="Palatino Linotype" w:eastAsia="Palatino Linotype" w:hAnsi="Palatino Linotype" w:cs="Palatino Linotype"/>
          <w:b/>
          <w:i/>
          <w:sz w:val="22"/>
          <w:szCs w:val="22"/>
        </w:rPr>
        <w:t>,</w:t>
      </w:r>
      <w:r w:rsidRPr="002D6522">
        <w:rPr>
          <w:rFonts w:ascii="Palatino Linotype" w:eastAsia="Palatino Linotype" w:hAnsi="Palatino Linotype" w:cs="Palatino Linotype"/>
          <w:i/>
          <w:sz w:val="22"/>
          <w:szCs w:val="22"/>
        </w:rPr>
        <w:t xml:space="preserve"> en el ámbito de sus respectivas competencias, se regirán por los siguientes principios y bases:</w:t>
      </w: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w:t>
      </w: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I. </w:t>
      </w:r>
      <w:r w:rsidRPr="002D652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D6522">
        <w:rPr>
          <w:rFonts w:ascii="Palatino Linotype" w:eastAsia="Palatino Linotype" w:hAnsi="Palatino Linotype" w:cs="Palatino Linotype"/>
          <w:i/>
          <w:sz w:val="22"/>
          <w:szCs w:val="22"/>
        </w:rPr>
        <w:t xml:space="preserve"> Ejecutivo, Legislativo </w:t>
      </w:r>
      <w:r w:rsidRPr="002D6522">
        <w:rPr>
          <w:rFonts w:ascii="Palatino Linotype" w:eastAsia="Palatino Linotype" w:hAnsi="Palatino Linotype" w:cs="Palatino Linotype"/>
          <w:b/>
          <w:i/>
          <w:sz w:val="22"/>
          <w:szCs w:val="22"/>
          <w:u w:val="single"/>
        </w:rPr>
        <w:t>y Judicial</w:t>
      </w:r>
      <w:r w:rsidRPr="002D652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D6522">
        <w:rPr>
          <w:rFonts w:ascii="Palatino Linotype" w:eastAsia="Palatino Linotype" w:hAnsi="Palatino Linotype" w:cs="Palatino Linotype"/>
          <w:b/>
          <w:i/>
          <w:sz w:val="22"/>
          <w:szCs w:val="22"/>
        </w:rPr>
        <w:t>es pública y sólo podrá ser reservada temporalmente por razones de interés público y seguridad nacional,</w:t>
      </w:r>
      <w:r w:rsidRPr="002D652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w:t>
      </w:r>
    </w:p>
    <w:p w:rsidR="00895922" w:rsidRPr="002D6522" w:rsidRDefault="00B30EEC">
      <w:pPr>
        <w:spacing w:line="276" w:lineRule="auto"/>
        <w:ind w:left="851" w:right="851"/>
        <w:jc w:val="both"/>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III. </w:t>
      </w:r>
      <w:r w:rsidRPr="002D652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D6522">
        <w:rPr>
          <w:rFonts w:ascii="Palatino Linotype" w:eastAsia="Palatino Linotype" w:hAnsi="Palatino Linotype" w:cs="Palatino Linotype"/>
          <w:i/>
          <w:sz w:val="22"/>
          <w:szCs w:val="22"/>
        </w:rPr>
        <w:t xml:space="preserve"> a sus datos personales o a la rectificación de éstos.</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IV. </w:t>
      </w:r>
      <w:r w:rsidRPr="002D652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95922" w:rsidRPr="002D6522" w:rsidRDefault="00895922">
      <w:pPr>
        <w:spacing w:line="276" w:lineRule="auto"/>
        <w:ind w:left="851" w:right="851"/>
        <w:jc w:val="both"/>
        <w:rPr>
          <w:rFonts w:ascii="Palatino Linotype" w:eastAsia="Palatino Linotype" w:hAnsi="Palatino Linotype" w:cs="Palatino Linotype"/>
          <w:i/>
          <w:sz w:val="22"/>
          <w:szCs w:val="22"/>
        </w:rPr>
      </w:pP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V. </w:t>
      </w:r>
      <w:r w:rsidRPr="002D652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VI. </w:t>
      </w:r>
      <w:r w:rsidRPr="002D652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VII. </w:t>
      </w:r>
      <w:r w:rsidRPr="002D652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895922" w:rsidRPr="002D6522" w:rsidRDefault="00895922">
      <w:pPr>
        <w:spacing w:line="360" w:lineRule="auto"/>
        <w:ind w:right="851"/>
        <w:jc w:val="both"/>
        <w:rPr>
          <w:rFonts w:ascii="Palatino Linotype" w:eastAsia="Palatino Linotype" w:hAnsi="Palatino Linotype" w:cs="Palatino Linotype"/>
        </w:rPr>
      </w:pPr>
    </w:p>
    <w:p w:rsidR="00895922" w:rsidRPr="002D6522" w:rsidRDefault="00B30EEC">
      <w:pPr>
        <w:tabs>
          <w:tab w:val="left" w:pos="709"/>
        </w:tabs>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w:t>
      </w:r>
      <w:r w:rsidRPr="002D6522">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ind w:left="709" w:right="76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w:t>
      </w:r>
      <w:r w:rsidRPr="002D6522">
        <w:rPr>
          <w:rFonts w:ascii="Palatino Linotype" w:eastAsia="Palatino Linotype" w:hAnsi="Palatino Linotype" w:cs="Palatino Linotype"/>
          <w:b/>
          <w:i/>
          <w:sz w:val="22"/>
          <w:szCs w:val="22"/>
        </w:rPr>
        <w:t>Artículo 4</w:t>
      </w:r>
      <w:r w:rsidRPr="002D652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95922" w:rsidRPr="002D6522" w:rsidRDefault="00B30EEC">
      <w:pPr>
        <w:ind w:left="709" w:right="760"/>
        <w:jc w:val="both"/>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95922" w:rsidRPr="002D6522" w:rsidRDefault="00B30EEC">
      <w:pPr>
        <w:ind w:left="709" w:right="76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2D6522">
        <w:rPr>
          <w:rFonts w:ascii="Palatino Linotype" w:eastAsia="Palatino Linotype" w:hAnsi="Palatino Linotype" w:cs="Palatino Linotype"/>
          <w:b/>
        </w:rPr>
        <w:t>artículo 12</w:t>
      </w:r>
      <w:r w:rsidRPr="002D6522">
        <w:rPr>
          <w:rFonts w:ascii="Palatino Linotype" w:eastAsia="Palatino Linotype" w:hAnsi="Palatino Linotype" w:cs="Palatino Linotype"/>
        </w:rPr>
        <w:t xml:space="preserve"> de la Ley de Transparencia y Acceso a la Información Pública del Estado de México y Municipios, el cual a la letra dice:</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lastRenderedPageBreak/>
        <w:t>“</w:t>
      </w:r>
      <w:r w:rsidRPr="002D6522">
        <w:rPr>
          <w:rFonts w:ascii="Palatino Linotype" w:eastAsia="Palatino Linotype" w:hAnsi="Palatino Linotype" w:cs="Palatino Linotype"/>
          <w:b/>
          <w:i/>
          <w:sz w:val="22"/>
          <w:szCs w:val="22"/>
        </w:rPr>
        <w:t>Artículo 12</w:t>
      </w:r>
      <w:r w:rsidRPr="002D652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95922" w:rsidRPr="002D6522" w:rsidRDefault="00895922">
      <w:pPr>
        <w:ind w:left="851" w:right="851"/>
        <w:jc w:val="both"/>
        <w:rPr>
          <w:rFonts w:ascii="Palatino Linotype" w:eastAsia="Palatino Linotype" w:hAnsi="Palatino Linotype" w:cs="Palatino Linotype"/>
          <w:i/>
          <w:sz w:val="22"/>
          <w:szCs w:val="22"/>
        </w:rPr>
      </w:pP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2D6522">
        <w:rPr>
          <w:rFonts w:ascii="Palatino Linotype" w:eastAsia="Palatino Linotype" w:hAnsi="Palatino Linotype" w:cs="Palatino Linotype"/>
          <w:b/>
        </w:rPr>
        <w:t xml:space="preserve"> </w:t>
      </w:r>
      <w:r w:rsidRPr="002D6522">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2D6522">
        <w:rPr>
          <w:rFonts w:ascii="Palatino Linotype" w:eastAsia="Palatino Linotype" w:hAnsi="Palatino Linotype" w:cs="Palatino Linotype"/>
          <w:i/>
        </w:rPr>
        <w:t>ad hoc</w:t>
      </w:r>
      <w:r w:rsidRPr="002D6522">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rsidR="00895922" w:rsidRPr="002D6522" w:rsidRDefault="00B30EEC">
      <w:pPr>
        <w:ind w:left="851" w:right="851"/>
        <w:jc w:val="both"/>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03/17</w:t>
      </w:r>
    </w:p>
    <w:p w:rsidR="00895922" w:rsidRPr="002D6522" w:rsidRDefault="00B30EEC">
      <w:pPr>
        <w:ind w:left="851" w:right="851"/>
        <w:jc w:val="both"/>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“NO EXISTE OBLIGACIÓN DE ELABORAR DOCUMENTOS AD HOC PARA ATENDER LAS SOLICITUDES DE ACCESO A LA INFORM ACIÓN.</w:t>
      </w: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 xml:space="preserve">Por otra parte, conviene mencionar que la Ley de Transparencia vigente en el Estado de México refiere: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“Artículo 18.</w:t>
      </w:r>
      <w:r w:rsidRPr="002D6522">
        <w:rPr>
          <w:rFonts w:ascii="Palatino Linotype" w:eastAsia="Palatino Linotype" w:hAnsi="Palatino Linotype" w:cs="Palatino Linotype"/>
          <w:i/>
          <w:sz w:val="22"/>
          <w:szCs w:val="22"/>
        </w:rPr>
        <w:t xml:space="preserve"> </w:t>
      </w:r>
      <w:r w:rsidRPr="002D6522">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2D6522">
        <w:rPr>
          <w:rFonts w:ascii="Palatino Linotype" w:eastAsia="Palatino Linotype" w:hAnsi="Palatino Linotype" w:cs="Palatino Linotype"/>
          <w:i/>
          <w:sz w:val="22"/>
          <w:szCs w:val="22"/>
        </w:rPr>
        <w:t xml:space="preserve"> y reutilización de la información que generen.</w:t>
      </w:r>
    </w:p>
    <w:p w:rsidR="00895922" w:rsidRPr="002D6522" w:rsidRDefault="00895922">
      <w:pPr>
        <w:ind w:left="851" w:right="851"/>
        <w:jc w:val="both"/>
        <w:rPr>
          <w:rFonts w:ascii="Palatino Linotype" w:eastAsia="Palatino Linotype" w:hAnsi="Palatino Linotype" w:cs="Palatino Linotype"/>
          <w:b/>
          <w:i/>
          <w:sz w:val="22"/>
          <w:szCs w:val="22"/>
        </w:rPr>
      </w:pP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Artículo 19. </w:t>
      </w:r>
      <w:r w:rsidRPr="002D6522">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2D6522">
        <w:rPr>
          <w:rFonts w:ascii="Palatino Linotype" w:eastAsia="Palatino Linotype" w:hAnsi="Palatino Linotype" w:cs="Palatino Linotype"/>
          <w:i/>
          <w:sz w:val="22"/>
          <w:szCs w:val="22"/>
        </w:rPr>
        <w:t>.</w:t>
      </w:r>
    </w:p>
    <w:p w:rsidR="00895922" w:rsidRPr="002D6522" w:rsidRDefault="00895922">
      <w:pPr>
        <w:ind w:left="851" w:right="851"/>
        <w:jc w:val="both"/>
        <w:rPr>
          <w:rFonts w:ascii="Palatino Linotype" w:eastAsia="Palatino Linotype" w:hAnsi="Palatino Linotype" w:cs="Palatino Linotype"/>
          <w:i/>
          <w:sz w:val="22"/>
          <w:szCs w:val="22"/>
        </w:rPr>
      </w:pPr>
    </w:p>
    <w:p w:rsidR="00895922" w:rsidRPr="002D6522" w:rsidRDefault="00B30EEC">
      <w:pPr>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95922" w:rsidRPr="002D6522" w:rsidRDefault="00895922">
      <w:pPr>
        <w:spacing w:line="276" w:lineRule="auto"/>
        <w:ind w:left="851" w:right="851"/>
        <w:jc w:val="both"/>
        <w:rPr>
          <w:rFonts w:ascii="Palatino Linotype" w:eastAsia="Palatino Linotype" w:hAnsi="Palatino Linotype" w:cs="Palatino Linotype"/>
          <w:i/>
          <w:sz w:val="22"/>
          <w:szCs w:val="22"/>
        </w:rPr>
      </w:pPr>
    </w:p>
    <w:p w:rsidR="00895922" w:rsidRPr="002D6522" w:rsidRDefault="00B30EEC">
      <w:pPr>
        <w:spacing w:line="276" w:lineRule="auto"/>
        <w:ind w:left="851" w:right="851"/>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(Énfasis añadido)</w:t>
      </w:r>
    </w:p>
    <w:p w:rsidR="00895922" w:rsidRPr="002D6522" w:rsidRDefault="00895922">
      <w:pPr>
        <w:spacing w:line="360" w:lineRule="auto"/>
        <w:ind w:left="851" w:right="851"/>
        <w:jc w:val="both"/>
        <w:rPr>
          <w:rFonts w:ascii="Palatino Linotype" w:eastAsia="Palatino Linotype" w:hAnsi="Palatino Linotype" w:cs="Palatino Linotype"/>
          <w:i/>
          <w:sz w:val="22"/>
          <w:szCs w:val="22"/>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2D6522">
        <w:rPr>
          <w:rFonts w:ascii="Palatino Linotype" w:eastAsia="Palatino Linotype" w:hAnsi="Palatino Linotype" w:cs="Palatino Linotype"/>
        </w:rPr>
        <w:lastRenderedPageBreak/>
        <w:t>establece en la Ley de Transparencia y Acceso a la Información Pública del Estado de México y Municipios.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b/>
        </w:rPr>
      </w:pPr>
      <w:r w:rsidRPr="002D652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2D6522">
        <w:rPr>
          <w:rFonts w:ascii="Palatino Linotype" w:eastAsia="Palatino Linotype" w:hAnsi="Palatino Linotype" w:cs="Palatino Linotype"/>
          <w:b/>
        </w:rPr>
        <w:t>cualquier otro registro que documente el ejercicio de las facultades, funciones, obligaciones y competencias de los Sujetos Obligados</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los que, podrán estar en cualquier medio</w:t>
      </w:r>
      <w:r w:rsidRPr="002D6522">
        <w:rPr>
          <w:rFonts w:ascii="Palatino Linotype" w:eastAsia="Palatino Linotype" w:hAnsi="Palatino Linotype" w:cs="Palatino Linotype"/>
        </w:rPr>
        <w:t xml:space="preserve">, sea escrito, impreso, sonoro, visual, </w:t>
      </w:r>
      <w:r w:rsidRPr="002D6522">
        <w:rPr>
          <w:rFonts w:ascii="Palatino Linotype" w:eastAsia="Palatino Linotype" w:hAnsi="Palatino Linotype" w:cs="Palatino Linotype"/>
          <w:b/>
        </w:rPr>
        <w:t>electrónico</w:t>
      </w:r>
      <w:r w:rsidRPr="002D6522">
        <w:rPr>
          <w:rFonts w:ascii="Palatino Linotype" w:eastAsia="Palatino Linotype" w:hAnsi="Palatino Linotype" w:cs="Palatino Linotype"/>
        </w:rPr>
        <w:t xml:space="preserve">, informático u holográfico, esto es, </w:t>
      </w:r>
      <w:r w:rsidRPr="002D6522">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De ahí que </w:t>
      </w:r>
      <w:r w:rsidRPr="002D6522">
        <w:rPr>
          <w:rFonts w:ascii="Palatino Linotype" w:eastAsia="Palatino Linotype" w:hAnsi="Palatino Linotype" w:cs="Palatino Linotype"/>
          <w:b/>
        </w:rPr>
        <w:t>EL SUJETO OBLIGADO</w:t>
      </w:r>
      <w:r w:rsidRPr="002D6522">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2D6522">
        <w:rPr>
          <w:rFonts w:ascii="Palatino Linotype" w:eastAsia="Palatino Linotype" w:hAnsi="Palatino Linotype" w:cs="Palatino Linotype"/>
        </w:rPr>
        <w:lastRenderedPageBreak/>
        <w:t>señaladas por la Ley en la materia</w:t>
      </w:r>
      <w:r w:rsidRPr="002D6522">
        <w:rPr>
          <w:rFonts w:ascii="Palatino Linotype" w:eastAsia="Palatino Linotype" w:hAnsi="Palatino Linotype" w:cs="Palatino Linotype"/>
          <w:vertAlign w:val="superscript"/>
        </w:rPr>
        <w:footnoteReference w:id="1"/>
      </w:r>
      <w:r w:rsidRPr="002D6522">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D6522">
        <w:rPr>
          <w:rFonts w:ascii="Palatino Linotype" w:eastAsia="Palatino Linotype" w:hAnsi="Palatino Linotype" w:cs="Palatino Linotype"/>
          <w:vertAlign w:val="superscript"/>
        </w:rPr>
        <w:footnoteReference w:id="2"/>
      </w:r>
      <w:r w:rsidRPr="002D6522">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rPr>
        <w:t>En este sentido, es conveniente recordar y analizar el requerimiento formulado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rsidR="00895922" w:rsidRPr="002D6522" w:rsidRDefault="0089592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895922" w:rsidRPr="002D6522" w:rsidRDefault="00B30EE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 xml:space="preserve">Precisado lo anterior, conviene señalar que el particular requirió al </w:t>
      </w:r>
      <w:r w:rsidRPr="002D6522">
        <w:rPr>
          <w:rFonts w:ascii="Palatino Linotype" w:eastAsia="Palatino Linotype" w:hAnsi="Palatino Linotype" w:cs="Palatino Linotype"/>
          <w:b/>
          <w:color w:val="000000"/>
        </w:rPr>
        <w:t>SUJETO OBLIGADO</w:t>
      </w:r>
      <w:r w:rsidRPr="002D6522">
        <w:rPr>
          <w:rFonts w:ascii="Palatino Linotype" w:eastAsia="Palatino Linotype" w:hAnsi="Palatino Linotype" w:cs="Palatino Linotype"/>
          <w:color w:val="000000"/>
        </w:rPr>
        <w:t>, lo siguiente:</w:t>
      </w:r>
    </w:p>
    <w:p w:rsidR="00895922" w:rsidRPr="002D6522" w:rsidRDefault="0089592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895922" w:rsidRPr="002D6522" w:rsidRDefault="00B30EEC">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 xml:space="preserve">Facturas de pago por cualquier concepto del mes de noviembre de 2022. </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spacing w:before="120" w:after="120"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color w:val="000000"/>
        </w:rPr>
        <w:lastRenderedPageBreak/>
        <w:t xml:space="preserve">Resulta importante señalar que </w:t>
      </w:r>
      <w:r w:rsidRPr="002D6522">
        <w:rPr>
          <w:rFonts w:ascii="Palatino Linotype" w:eastAsia="Palatino Linotype" w:hAnsi="Palatino Linotype" w:cs="Palatino Linotype"/>
          <w:b/>
          <w:color w:val="000000"/>
        </w:rPr>
        <w:t xml:space="preserve">EL SUJETO OBLIGADO </w:t>
      </w:r>
      <w:r w:rsidRPr="002D6522">
        <w:rPr>
          <w:rFonts w:ascii="Palatino Linotype" w:eastAsia="Palatino Linotype" w:hAnsi="Palatino Linotype" w:cs="Palatino Linotype"/>
          <w:color w:val="000000"/>
        </w:rPr>
        <w:t>fue</w:t>
      </w:r>
      <w:r w:rsidRPr="002D6522">
        <w:rPr>
          <w:rFonts w:ascii="Palatino Linotype" w:eastAsia="Palatino Linotype" w:hAnsi="Palatino Linotype" w:cs="Palatino Linotype"/>
          <w:b/>
          <w:color w:val="000000"/>
        </w:rPr>
        <w:t xml:space="preserve"> </w:t>
      </w:r>
      <w:r w:rsidRPr="002D6522">
        <w:rPr>
          <w:rFonts w:ascii="Palatino Linotype" w:eastAsia="Palatino Linotype" w:hAnsi="Palatino Linotype" w:cs="Palatino Linotype"/>
          <w:color w:val="000000"/>
        </w:rPr>
        <w:t xml:space="preserve">omiso en emitir su repuesta a la solicitud de información, por lo cual, </w:t>
      </w:r>
      <w:r w:rsidRPr="002D6522">
        <w:rPr>
          <w:rFonts w:ascii="Palatino Linotype" w:eastAsia="Palatino Linotype" w:hAnsi="Palatino Linotype" w:cs="Palatino Linotype"/>
          <w:b/>
        </w:rPr>
        <w:t>LA PARTE</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RECURRENTE</w:t>
      </w:r>
      <w:r w:rsidRPr="002D6522">
        <w:rPr>
          <w:rFonts w:ascii="Palatino Linotype" w:eastAsia="Palatino Linotype" w:hAnsi="Palatino Linotype" w:cs="Palatino Linotype"/>
        </w:rPr>
        <w:t xml:space="preserve">, se inconformó por la falta de respuesta; sin embargo, con posterioridad mediante informe justificado remite un documento signado por el Titular de la Unidad de Transparencia, </w:t>
      </w:r>
      <w:r w:rsidRPr="002D6522">
        <w:rPr>
          <w:rFonts w:ascii="Palatino Linotype" w:eastAsia="Palatino Linotype" w:hAnsi="Palatino Linotype" w:cs="Palatino Linotype"/>
          <w:color w:val="000000"/>
        </w:rPr>
        <w:t>en donde</w:t>
      </w:r>
      <w:r w:rsidRPr="002D6522">
        <w:rPr>
          <w:rFonts w:ascii="Palatino Linotype" w:eastAsia="Palatino Linotype" w:hAnsi="Palatino Linotype" w:cs="Palatino Linotype"/>
          <w:b/>
          <w:color w:val="000000"/>
        </w:rPr>
        <w:t xml:space="preserve"> </w:t>
      </w:r>
      <w:r w:rsidRPr="002D6522">
        <w:rPr>
          <w:rFonts w:ascii="Palatino Linotype" w:eastAsia="Palatino Linotype" w:hAnsi="Palatino Linotype" w:cs="Palatino Linotype"/>
          <w:color w:val="000000"/>
        </w:rPr>
        <w:t xml:space="preserve">señala que la información está disponible en la siguiente liga electrónica </w:t>
      </w:r>
      <w:r w:rsidRPr="002D6522">
        <w:rPr>
          <w:rFonts w:ascii="Palatino Linotype" w:eastAsia="Palatino Linotype" w:hAnsi="Palatino Linotype" w:cs="Palatino Linotype"/>
          <w:color w:val="0000FF"/>
          <w:u w:val="single"/>
        </w:rPr>
        <w:t>https://www.ipomex.org.mx/ipo3/lgt/indice/ZINACANTEPEC/art_92_xxxv_a.web</w:t>
      </w:r>
      <w:r w:rsidRPr="002D6522">
        <w:rPr>
          <w:rFonts w:ascii="Palatino Linotype" w:eastAsia="Palatino Linotype" w:hAnsi="Palatino Linotype" w:cs="Palatino Linotype"/>
        </w:rPr>
        <w:t xml:space="preserve">, por lo que este Organismo Garante procedió a consultar la información disponible en dicho portal, en el cual se observa lo siguiente: </w:t>
      </w:r>
    </w:p>
    <w:p w:rsidR="00895922" w:rsidRPr="002D6522" w:rsidRDefault="00895922">
      <w:pPr>
        <w:spacing w:before="120" w:after="120" w:line="360" w:lineRule="auto"/>
        <w:ind w:right="49"/>
        <w:jc w:val="both"/>
      </w:pPr>
    </w:p>
    <w:p w:rsidR="00895922" w:rsidRPr="002D6522" w:rsidRDefault="00B30EEC">
      <w:pPr>
        <w:spacing w:before="120" w:after="120" w:line="360" w:lineRule="auto"/>
        <w:ind w:right="49"/>
        <w:jc w:val="both"/>
        <w:rPr>
          <w:rFonts w:ascii="Palatino Linotype" w:eastAsia="Palatino Linotype" w:hAnsi="Palatino Linotype" w:cs="Palatino Linotype"/>
          <w:color w:val="0000FF"/>
          <w:u w:val="single"/>
        </w:rPr>
      </w:pPr>
      <w:r w:rsidRPr="002D6522">
        <w:rPr>
          <w:noProof/>
          <w:lang w:eastAsia="es-MX"/>
        </w:rPr>
        <w:drawing>
          <wp:inline distT="0" distB="0" distL="0" distR="0">
            <wp:extent cx="5610060" cy="3930042"/>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4780" t="35319" r="43482" b="25136"/>
                    <a:stretch>
                      <a:fillRect/>
                    </a:stretch>
                  </pic:blipFill>
                  <pic:spPr>
                    <a:xfrm>
                      <a:off x="0" y="0"/>
                      <a:ext cx="5610060" cy="3930042"/>
                    </a:xfrm>
                    <a:prstGeom prst="rect">
                      <a:avLst/>
                    </a:prstGeom>
                    <a:ln/>
                  </pic:spPr>
                </pic:pic>
              </a:graphicData>
            </a:graphic>
          </wp:inline>
        </w:drawing>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En el cual se observó que se limitó a proporcionar la dirección electrónica</w:t>
      </w:r>
      <w:r w:rsidRPr="002D6522">
        <w:rPr>
          <w:rFonts w:ascii="Palatino Linotype" w:eastAsia="Palatino Linotype" w:hAnsi="Palatino Linotype" w:cs="Palatino Linotype"/>
          <w:color w:val="000000"/>
        </w:rPr>
        <w:t xml:space="preserve"> del IPOMEX fracción XXXV </w:t>
      </w:r>
      <w:r w:rsidRPr="002D6522">
        <w:rPr>
          <w:rFonts w:ascii="Palatino Linotype" w:eastAsia="Palatino Linotype" w:hAnsi="Palatino Linotype" w:cs="Palatino Linotype"/>
        </w:rPr>
        <w:t xml:space="preserve">consistente en el gasto por capítulo, concepto y partida </w:t>
      </w:r>
      <w:r w:rsidRPr="002D6522">
        <w:rPr>
          <w:rFonts w:ascii="Palatino Linotype" w:eastAsia="Palatino Linotype" w:hAnsi="Palatino Linotype" w:cs="Palatino Linotype"/>
          <w:color w:val="000000"/>
        </w:rPr>
        <w:t xml:space="preserve">del </w:t>
      </w:r>
      <w:r w:rsidRPr="002D6522">
        <w:rPr>
          <w:rFonts w:ascii="Palatino Linotype" w:eastAsia="Palatino Linotype" w:hAnsi="Palatino Linotype" w:cs="Palatino Linotype"/>
          <w:b/>
          <w:color w:val="000000"/>
        </w:rPr>
        <w:t>SUJETO OBLIGADO</w:t>
      </w:r>
      <w:r w:rsidRPr="002D6522">
        <w:rPr>
          <w:rFonts w:ascii="Palatino Linotype" w:eastAsia="Palatino Linotype" w:hAnsi="Palatino Linotype" w:cs="Palatino Linotype"/>
        </w:rPr>
        <w:t>, esto, sin exponer de manera clara y precisa, la forma en la que la persona solicitante podría llevar a cabo la consulta, en caso de que la información se encontrara alojada en el portal IPOMEX, por lo que no se atendió a lo previsto en el artículo 161</w:t>
      </w:r>
      <w:r w:rsidRPr="002D6522">
        <w:rPr>
          <w:rFonts w:ascii="Palatino Linotype" w:eastAsia="Palatino Linotype" w:hAnsi="Palatino Linotype" w:cs="Palatino Linotype"/>
          <w:vertAlign w:val="superscript"/>
        </w:rPr>
        <w:footnoteReference w:id="3"/>
      </w:r>
      <w:r w:rsidRPr="002D6522">
        <w:rPr>
          <w:rFonts w:ascii="Palatino Linotype" w:eastAsia="Palatino Linotype" w:hAnsi="Palatino Linotype" w:cs="Palatino Linotype"/>
        </w:rPr>
        <w:t xml:space="preserve"> de la Ley de Transparencia y Acceso a la Información Pública del Estado de México y Municipios.</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Aunado a lo anterior, como se advierte, la dirección electrónica proporcionada dirige al IPOMEX fracción XXXV de la Ley de Transparencia y Acceso a la Información Pública del Estado de México y Municipios, consistente en lo siguiente:</w:t>
      </w:r>
    </w:p>
    <w:p w:rsidR="00895922" w:rsidRPr="002D6522" w:rsidRDefault="00895922">
      <w:pPr>
        <w:spacing w:line="360" w:lineRule="auto"/>
        <w:ind w:right="51"/>
        <w:jc w:val="both"/>
      </w:pP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 xml:space="preserve">... </w:t>
      </w:r>
    </w:p>
    <w:p w:rsidR="00895922" w:rsidRPr="002D6522" w:rsidRDefault="00B30EEC">
      <w:pPr>
        <w:spacing w:line="360" w:lineRule="auto"/>
        <w:ind w:left="851" w:right="900"/>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XXXV. Informes de avances programáticos o presupuestales, balances generales y estado financiero;”</w:t>
      </w:r>
    </w:p>
    <w:p w:rsidR="00895922" w:rsidRPr="002D6522" w:rsidRDefault="00895922">
      <w:pPr>
        <w:spacing w:line="360" w:lineRule="auto"/>
        <w:ind w:right="51"/>
        <w:jc w:val="both"/>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y actualizar la información financiera registrada en su Sistema de Contabilidad Gubernamental (SCG), en cumplimiento de la Ley General de Contabilidad Gubernamental, el Acuerdo por el que se emite el Marco Conceptual de Contabilidad Gubernamental publicado en el DOF el 20 de agosto de 2009 y demás normatividad aplicable. </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Tal como lo establece el artículo 46 de la Ley General de Contabilidad Gubernamental, la Federación, los sistemas contables de los poderes Ejecutivo, Legislativo y Judicial, las entidades de la Administración Pública Paraestatal y los órganos autónomos generarán de manera periódica la información financiera establecida en el artículo referido. </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Asimismo, de conformidad con el artículo 47 de la Ley General de Contabilidad Gubernamental, las entidades federativas, los sistemas contables de los poderes Ejecutivo, Legislativo y Judicial, las entidades de la administración pública paraestatal y los órganos autónomos deberán producir, en la medida que </w:t>
      </w:r>
      <w:r w:rsidRPr="002D6522">
        <w:rPr>
          <w:rFonts w:ascii="Palatino Linotype" w:eastAsia="Palatino Linotype" w:hAnsi="Palatino Linotype" w:cs="Palatino Linotype"/>
        </w:rPr>
        <w:lastRenderedPageBreak/>
        <w:t>corresponda, la información referida en el artículo 46 de esta Ley, con excepción de la fracción I, inciso i) de dicho artículo.</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En ese sentido, cada sujeto obligado publicará la información sobre los estados financieros contables, presupuestales y programáticos conforme a las normas, estructura, formatos y contenido de la información, que para tal efecto estableció el Consejo de Armonización Contable y que en su momento entregó a la Secretaría de Hacienda y Crédito Público (SHCP), las secretarías de finanzas o sus equivalentes en las entidades federativas, así como las tesorerías de los municipios y sus análogas en las demarcaciones territoriales de la Ciudad de México, de conformidad con el artículo 51 de la Ley General de Contabilidad Gubernamental.</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Por su parte, la SHCP, las secretarías de finanzas o análogas de las entidades federativas, así como las tesorerías de los municipios y sus equivalentes en las demarcaciones territoriales de la Ciudad de México, además de la información consolidada que, en ejercicio de sus atribuciones deben generar y publicar, incluirán en su respectiva página de Internet los enlaces electrónicos que permitan acceder a la información financiera de todos los sujetos obligados que conforman el correspondiente orden de gobierno, como lo establece el artículo 57 de la Ley General de Contabilidad Gubernamental. </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La información deberá publicarse y actualizarse trimestralmente a más tardar 30 días naturales después de concluido el trimestre y se deberá conservar publicada en el sitio de Internet la información relativa a los últimos seis ejercicios, tal como está </w:t>
      </w:r>
      <w:r w:rsidRPr="002D6522">
        <w:rPr>
          <w:rFonts w:ascii="Palatino Linotype" w:eastAsia="Palatino Linotype" w:hAnsi="Palatino Linotype" w:cs="Palatino Linotype"/>
        </w:rPr>
        <w:lastRenderedPageBreak/>
        <w:t>establecido en los artículos 51 y 58, respectivamente, de la Ley General de Contabilidad Gubernamental.</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Asimismo, los Lineamientos establecen los siguientes formatos para la publicación de la información:</w:t>
      </w:r>
    </w:p>
    <w:p w:rsidR="00895922" w:rsidRPr="002D6522" w:rsidRDefault="00B30EEC">
      <w:pPr>
        <w:spacing w:after="240" w:line="360" w:lineRule="auto"/>
        <w:ind w:right="51"/>
        <w:jc w:val="center"/>
        <w:rPr>
          <w:rFonts w:ascii="Palatino Linotype" w:eastAsia="Palatino Linotype" w:hAnsi="Palatino Linotype" w:cs="Palatino Linotype"/>
        </w:rPr>
      </w:pPr>
      <w:r w:rsidRPr="002D6522">
        <w:rPr>
          <w:rFonts w:ascii="Palatino Linotype" w:eastAsia="Palatino Linotype" w:hAnsi="Palatino Linotype" w:cs="Palatino Linotype"/>
          <w:noProof/>
          <w:lang w:eastAsia="es-MX"/>
        </w:rPr>
        <w:drawing>
          <wp:inline distT="0" distB="0" distL="0" distR="0">
            <wp:extent cx="4680000" cy="3257725"/>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680000" cy="3257725"/>
                    </a:xfrm>
                    <a:prstGeom prst="rect">
                      <a:avLst/>
                    </a:prstGeom>
                    <a:ln/>
                  </pic:spPr>
                </pic:pic>
              </a:graphicData>
            </a:graphic>
          </wp:inline>
        </w:drawing>
      </w:r>
    </w:p>
    <w:p w:rsidR="00895922" w:rsidRPr="002D6522" w:rsidRDefault="00895922">
      <w:pPr>
        <w:spacing w:before="240" w:after="240" w:line="360" w:lineRule="auto"/>
        <w:ind w:right="51"/>
        <w:jc w:val="both"/>
        <w:rPr>
          <w:rFonts w:ascii="Palatino Linotype" w:eastAsia="Palatino Linotype" w:hAnsi="Palatino Linotype" w:cs="Palatino Linotype"/>
        </w:rPr>
      </w:pPr>
    </w:p>
    <w:p w:rsidR="00895922" w:rsidRPr="002D6522" w:rsidRDefault="00B30EEC">
      <w:pPr>
        <w:spacing w:before="240" w:after="240" w:line="360" w:lineRule="auto"/>
        <w:ind w:right="51"/>
        <w:jc w:val="center"/>
        <w:rPr>
          <w:rFonts w:ascii="Palatino Linotype" w:eastAsia="Palatino Linotype" w:hAnsi="Palatino Linotype" w:cs="Palatino Linotype"/>
        </w:rPr>
      </w:pPr>
      <w:r w:rsidRPr="002D6522">
        <w:rPr>
          <w:rFonts w:ascii="Palatino Linotype" w:eastAsia="Palatino Linotype" w:hAnsi="Palatino Linotype" w:cs="Palatino Linotype"/>
          <w:noProof/>
          <w:lang w:eastAsia="es-MX"/>
        </w:rPr>
        <w:lastRenderedPageBreak/>
        <w:drawing>
          <wp:inline distT="0" distB="0" distL="0" distR="0">
            <wp:extent cx="4680000" cy="1914675"/>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61811"/>
                    <a:stretch>
                      <a:fillRect/>
                    </a:stretch>
                  </pic:blipFill>
                  <pic:spPr>
                    <a:xfrm>
                      <a:off x="0" y="0"/>
                      <a:ext cx="4680000" cy="1914675"/>
                    </a:xfrm>
                    <a:prstGeom prst="rect">
                      <a:avLst/>
                    </a:prstGeom>
                    <a:ln/>
                  </pic:spPr>
                </pic:pic>
              </a:graphicData>
            </a:graphic>
          </wp:inline>
        </w:drawing>
      </w:r>
      <w:r w:rsidRPr="002D6522">
        <w:rPr>
          <w:rFonts w:ascii="Palatino Linotype" w:eastAsia="Palatino Linotype" w:hAnsi="Palatino Linotype" w:cs="Palatino Linotype"/>
          <w:noProof/>
          <w:lang w:eastAsia="es-MX"/>
        </w:rPr>
        <w:drawing>
          <wp:inline distT="0" distB="0" distL="0" distR="0">
            <wp:extent cx="4680000" cy="619216"/>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88163" b="-513"/>
                    <a:stretch>
                      <a:fillRect/>
                    </a:stretch>
                  </pic:blipFill>
                  <pic:spPr>
                    <a:xfrm>
                      <a:off x="0" y="0"/>
                      <a:ext cx="4680000" cy="619216"/>
                    </a:xfrm>
                    <a:prstGeom prst="rect">
                      <a:avLst/>
                    </a:prstGeom>
                    <a:ln/>
                  </pic:spPr>
                </pic:pic>
              </a:graphicData>
            </a:graphic>
          </wp:inline>
        </w:drawing>
      </w:r>
    </w:p>
    <w:p w:rsidR="00895922" w:rsidRPr="002D6522" w:rsidRDefault="00B30EEC">
      <w:pPr>
        <w:spacing w:before="240"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Como se advierte, si bien la información contenida en el portal IPOMEX se relaciona con la información financiera del </w:t>
      </w:r>
      <w:r w:rsidRPr="002D6522">
        <w:rPr>
          <w:rFonts w:ascii="Palatino Linotype" w:eastAsia="Palatino Linotype" w:hAnsi="Palatino Linotype" w:cs="Palatino Linotype"/>
          <w:b/>
        </w:rPr>
        <w:t xml:space="preserve">SUJETO OBLIGADO, no debe perderse de vista que la pretensión de la persona es conocer las facturas, </w:t>
      </w:r>
      <w:r w:rsidRPr="002D6522">
        <w:rPr>
          <w:rFonts w:ascii="Palatino Linotype" w:eastAsia="Palatino Linotype" w:hAnsi="Palatino Linotype" w:cs="Palatino Linotype"/>
        </w:rPr>
        <w:t xml:space="preserve">mientras que la información contenida en el portal corresponde con los avances los estados financieros contables, presupuestales y programáticos conforme a las normas, estructura, formatos y contenido de la información establecidos, siendo evidente que la información solicitada no se localiza a tal grado de detalle en dicha obligación de transparencia, por ello se ordenó, en la primer resolución, la entrega de la información, sin embargo resultó omiso en dar cumplimiento a dicha determinación. </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Ahora bien, respecto a la naturaleza de la información resulta de suma importancia invocar el contenido de los artículos 162, 163, 164 y 165 de la Ley de Transparencia </w:t>
      </w:r>
      <w:r w:rsidRPr="002D6522">
        <w:rPr>
          <w:rFonts w:ascii="Palatino Linotype" w:eastAsia="Palatino Linotype" w:hAnsi="Palatino Linotype" w:cs="Palatino Linotype"/>
        </w:rPr>
        <w:lastRenderedPageBreak/>
        <w:t>y Acceso a la Información Pública del Estado de México y Municipios, que rezan así:</w:t>
      </w:r>
    </w:p>
    <w:p w:rsidR="00895922" w:rsidRPr="002D6522" w:rsidRDefault="00895922">
      <w:pPr>
        <w:spacing w:line="360" w:lineRule="auto"/>
        <w:ind w:right="49"/>
        <w:jc w:val="both"/>
        <w:rPr>
          <w:rFonts w:ascii="Palatino Linotype" w:eastAsia="Palatino Linotype" w:hAnsi="Palatino Linotype" w:cs="Palatino Linotype"/>
        </w:rPr>
      </w:pPr>
    </w:p>
    <w:p w:rsidR="00895922" w:rsidRPr="002D6522" w:rsidRDefault="00B30EEC">
      <w:pPr>
        <w:spacing w:after="120"/>
        <w:ind w:left="851" w:right="900"/>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162.</w:t>
      </w:r>
      <w:r w:rsidRPr="002D6522">
        <w:rPr>
          <w:rFonts w:ascii="Palatino Linotype" w:eastAsia="Palatino Linotype" w:hAnsi="Palatino Linotype" w:cs="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895922" w:rsidRPr="002D6522" w:rsidRDefault="00B30EEC">
      <w:pPr>
        <w:spacing w:after="120"/>
        <w:ind w:left="851" w:right="900"/>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163.</w:t>
      </w:r>
      <w:r w:rsidRPr="002D6522">
        <w:rPr>
          <w:rFonts w:ascii="Palatino Linotype" w:eastAsia="Palatino Linotype" w:hAnsi="Palatino Linotype" w:cs="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895922" w:rsidRPr="002D6522" w:rsidRDefault="00B30EEC">
      <w:pPr>
        <w:spacing w:after="120"/>
        <w:ind w:left="851" w:right="900"/>
        <w:jc w:val="both"/>
        <w:rPr>
          <w:rFonts w:ascii="Palatino Linotype" w:eastAsia="Palatino Linotype" w:hAnsi="Palatino Linotype" w:cs="Palatino Linotype"/>
          <w:i/>
        </w:rPr>
      </w:pPr>
      <w:r w:rsidRPr="002D6522">
        <w:rPr>
          <w:rFonts w:ascii="Palatino Linotype" w:eastAsia="Palatino Linotype" w:hAnsi="Palatino Linotype" w:cs="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95922" w:rsidRPr="002D6522" w:rsidRDefault="00B30EEC">
      <w:pPr>
        <w:spacing w:after="120"/>
        <w:ind w:left="851" w:right="900"/>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164.</w:t>
      </w:r>
      <w:r w:rsidRPr="002D6522">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895922" w:rsidRPr="002D6522" w:rsidRDefault="00B30EEC">
      <w:pPr>
        <w:spacing w:after="120"/>
        <w:ind w:left="851" w:right="900"/>
        <w:jc w:val="both"/>
        <w:rPr>
          <w:rFonts w:ascii="Palatino Linotype" w:eastAsia="Palatino Linotype" w:hAnsi="Palatino Linotype" w:cs="Palatino Linotype"/>
          <w:i/>
        </w:rPr>
      </w:pPr>
      <w:r w:rsidRPr="002D6522">
        <w:rPr>
          <w:rFonts w:ascii="Palatino Linotype" w:eastAsia="Palatino Linotype" w:hAnsi="Palatino Linotype" w:cs="Palatino Linotype"/>
          <w:i/>
        </w:rPr>
        <w:t xml:space="preserve">En cualquier caso, se deberá fundar y motivar la necesidad de ofrecer otras modalidades.  </w:t>
      </w:r>
    </w:p>
    <w:p w:rsidR="00895922" w:rsidRPr="002D6522" w:rsidRDefault="00B30EEC">
      <w:pPr>
        <w:spacing w:after="120"/>
        <w:ind w:left="851" w:right="900"/>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165.</w:t>
      </w:r>
      <w:r w:rsidRPr="002D6522">
        <w:rPr>
          <w:rFonts w:ascii="Palatino Linotype" w:eastAsia="Palatino Linotype" w:hAnsi="Palatino Linotype" w:cs="Palatino Linotype"/>
          <w:i/>
        </w:rPr>
        <w:t xml:space="preserve"> Los sujetos obligados establecerán la forma y términos en que darán trámite interno a las solicitudes en materia de acceso a la información…”</w:t>
      </w:r>
    </w:p>
    <w:p w:rsidR="00895922" w:rsidRPr="002D6522" w:rsidRDefault="00895922">
      <w:pPr>
        <w:spacing w:after="120"/>
        <w:ind w:left="851" w:right="900"/>
        <w:jc w:val="both"/>
        <w:rPr>
          <w:rFonts w:ascii="Palatino Linotype" w:eastAsia="Palatino Linotype" w:hAnsi="Palatino Linotype" w:cs="Palatino Linotype"/>
          <w:i/>
        </w:rPr>
      </w:pPr>
    </w:p>
    <w:p w:rsidR="00895922" w:rsidRPr="002D6522" w:rsidRDefault="00B30EEC">
      <w:pPr>
        <w:spacing w:before="120"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Del cuerpo normativo transcrito, se advierte que las unidades de transparencia deberán garantizar que las solicitudes se turnen a todas las áreas que cuenten con </w:t>
      </w:r>
      <w:r w:rsidRPr="002D6522">
        <w:rPr>
          <w:rFonts w:ascii="Palatino Linotype" w:eastAsia="Palatino Linotype" w:hAnsi="Palatino Linotype" w:cs="Palatino Linotype"/>
        </w:rPr>
        <w:lastRenderedPageBreak/>
        <w:t>la información o que deban tenerla de acuerdo a sus facultades, competencias o funciones.</w:t>
      </w:r>
    </w:p>
    <w:p w:rsidR="00895922" w:rsidRPr="002D6522" w:rsidRDefault="00895922">
      <w:pPr>
        <w:spacing w:line="360" w:lineRule="auto"/>
        <w:ind w:right="49"/>
        <w:jc w:val="both"/>
        <w:rPr>
          <w:rFonts w:ascii="Palatino Linotype" w:eastAsia="Palatino Linotype" w:hAnsi="Palatino Linotype" w:cs="Palatino Linotype"/>
        </w:rPr>
      </w:pPr>
    </w:p>
    <w:p w:rsidR="00895922" w:rsidRPr="002D6522" w:rsidRDefault="00B30EEC">
      <w:pPr>
        <w:spacing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rsidR="00895922" w:rsidRPr="002D6522" w:rsidRDefault="00895922">
      <w:pPr>
        <w:spacing w:line="360" w:lineRule="auto"/>
        <w:ind w:right="49"/>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En el caso concreto, derivado de las constancias que obran en el expediente electrónico, no se advierte que el Titular de la Unidad de Transparencia hubiera turnado la solicitud de información a las áreas competentes para contar con la información solicitada, como pudiera ser l</w:t>
      </w:r>
      <w:r w:rsidRPr="002D6522">
        <w:rPr>
          <w:rFonts w:ascii="Palatino Linotype" w:eastAsia="Palatino Linotype" w:hAnsi="Palatino Linotype" w:cs="Palatino Linotype"/>
          <w:b/>
          <w:u w:val="single"/>
        </w:rPr>
        <w:t xml:space="preserve">a Tesorería Municipal o la Dirección de Administración, </w:t>
      </w:r>
      <w:r w:rsidRPr="002D6522">
        <w:rPr>
          <w:rFonts w:ascii="Palatino Linotype" w:eastAsia="Palatino Linotype" w:hAnsi="Palatino Linotype" w:cs="Palatino Linotype"/>
        </w:rPr>
        <w:t xml:space="preserve">siendo la primera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mientras que la segunda tiene a su cargo, entre otras atribuciones las de vigilar el cumplimiento de los lineamientos sobre los procesos de selección, adquisición y mantenimiento del mobiliario y recursos materiales; proveer de insumos, bienes y servicios generales que requieran las distintas áreas que conforman la Administración Pública Municipal, para su buen funcionamiento; y llevar a cabo las adquisiciones de bienes, arrendamiento de bienes muebles y la </w:t>
      </w:r>
      <w:r w:rsidRPr="002D6522">
        <w:rPr>
          <w:rFonts w:ascii="Palatino Linotype" w:eastAsia="Palatino Linotype" w:hAnsi="Palatino Linotype" w:cs="Palatino Linotype"/>
        </w:rPr>
        <w:lastRenderedPageBreak/>
        <w:t>contratación de servicios que requieran las distintas áreas, ajustándose en su caso las disposiciones legales de la materia.</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widowControl w:val="0"/>
        <w:spacing w:line="360" w:lineRule="auto"/>
        <w:jc w:val="both"/>
        <w:rPr>
          <w:rFonts w:ascii="Palatino Linotype" w:eastAsia="Palatino Linotype" w:hAnsi="Palatino Linotype" w:cs="Palatino Linotype"/>
          <w:color w:val="0D0D0D"/>
        </w:rPr>
      </w:pPr>
      <w:r w:rsidRPr="002D6522">
        <w:rPr>
          <w:rFonts w:ascii="Palatino Linotype" w:eastAsia="Palatino Linotype" w:hAnsi="Palatino Linotype" w:cs="Palatino Linotype"/>
        </w:rPr>
        <w:t xml:space="preserve">Aunado a ello </w:t>
      </w:r>
      <w:r w:rsidRPr="002D6522">
        <w:rPr>
          <w:rFonts w:ascii="Palatino Linotype" w:eastAsia="Palatino Linotype" w:hAnsi="Palatino Linotype" w:cs="Palatino Linotype"/>
          <w:color w:val="0D0D0D"/>
        </w:rPr>
        <w:t xml:space="preserve">los </w:t>
      </w:r>
      <w:r w:rsidRPr="002D6522">
        <w:rPr>
          <w:rFonts w:ascii="Palatino Linotype" w:eastAsia="Palatino Linotype" w:hAnsi="Palatino Linotype" w:cs="Palatino Linotype"/>
        </w:rPr>
        <w:t>artículos 342, 343, 344 y 345 del Código Financiero del Estado de México y Municipios mismos que disponen el sistema y las políticas que deben seguirse para llevar el registro contable y presupuestal de las operaciones financieras, en los siguientes términos:</w:t>
      </w:r>
    </w:p>
    <w:p w:rsidR="00895922" w:rsidRPr="002D6522" w:rsidRDefault="00895922">
      <w:pPr>
        <w:widowControl w:val="0"/>
        <w:spacing w:line="360" w:lineRule="auto"/>
        <w:jc w:val="both"/>
        <w:rPr>
          <w:rFonts w:ascii="Palatino Linotype" w:eastAsia="Palatino Linotype" w:hAnsi="Palatino Linotype" w:cs="Palatino Linotype"/>
        </w:rPr>
      </w:pPr>
    </w:p>
    <w:p w:rsidR="00895922" w:rsidRPr="002D6522" w:rsidRDefault="00B30EEC">
      <w:pPr>
        <w:spacing w:after="120"/>
        <w:ind w:left="851" w:right="850"/>
        <w:jc w:val="both"/>
        <w:rPr>
          <w:rFonts w:ascii="Palatino Linotype" w:eastAsia="Palatino Linotype" w:hAnsi="Palatino Linotype" w:cs="Palatino Linotype"/>
          <w:i/>
        </w:rPr>
      </w:pPr>
      <w:r w:rsidRPr="002D6522">
        <w:rPr>
          <w:rFonts w:ascii="Palatino Linotype" w:eastAsia="Palatino Linotype" w:hAnsi="Palatino Linotype" w:cs="Palatino Linotype"/>
          <w:i/>
          <w:color w:val="000000"/>
        </w:rPr>
        <w:t>“</w:t>
      </w:r>
      <w:r w:rsidRPr="002D6522">
        <w:rPr>
          <w:rFonts w:ascii="Palatino Linotype" w:eastAsia="Palatino Linotype" w:hAnsi="Palatino Linotype" w:cs="Palatino Linotype"/>
          <w:b/>
          <w:i/>
        </w:rPr>
        <w:t>Artículo 342.-</w:t>
      </w:r>
      <w:r w:rsidRPr="002D6522">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w:t>
      </w:r>
      <w:r w:rsidRPr="002D6522">
        <w:rPr>
          <w:rFonts w:ascii="Palatino Linotype" w:eastAsia="Palatino Linotype" w:hAnsi="Palatino Linotype" w:cs="Palatino Linotype"/>
          <w:i/>
          <w:color w:val="000000"/>
        </w:rPr>
        <w:t>planeación</w:t>
      </w:r>
      <w:r w:rsidRPr="002D6522">
        <w:rPr>
          <w:rFonts w:ascii="Palatino Linotype" w:eastAsia="Palatino Linotype" w:hAnsi="Palatino Linotype" w:cs="Palatino Linotype"/>
          <w:i/>
        </w:rPr>
        <w:t xml:space="preserve">, programación, presupuestación, evaluación y </w:t>
      </w:r>
      <w:r w:rsidRPr="002D6522">
        <w:rPr>
          <w:rFonts w:ascii="Palatino Linotype" w:eastAsia="Palatino Linotype" w:hAnsi="Palatino Linotype" w:cs="Palatino Linotype"/>
          <w:i/>
          <w:color w:val="000000"/>
        </w:rPr>
        <w:t>contabilidad</w:t>
      </w:r>
      <w:r w:rsidRPr="002D6522">
        <w:rPr>
          <w:rFonts w:ascii="Palatino Linotype" w:eastAsia="Palatino Linotype" w:hAnsi="Palatino Linotype" w:cs="Palatino Linotype"/>
          <w:i/>
        </w:rPr>
        <w:t xml:space="preserve"> gubernamental. </w:t>
      </w:r>
    </w:p>
    <w:p w:rsidR="00895922" w:rsidRPr="002D6522" w:rsidRDefault="00B30EEC">
      <w:pPr>
        <w:spacing w:before="120" w:after="120"/>
        <w:ind w:left="851" w:right="850"/>
        <w:jc w:val="both"/>
        <w:rPr>
          <w:rFonts w:ascii="Palatino Linotype" w:eastAsia="Palatino Linotype" w:hAnsi="Palatino Linotype" w:cs="Palatino Linotype"/>
          <w:b/>
          <w:i/>
        </w:rPr>
      </w:pPr>
      <w:r w:rsidRPr="002D6522">
        <w:rPr>
          <w:rFonts w:ascii="Palatino Linotype" w:eastAsia="Palatino Linotype" w:hAnsi="Palatino Linotype" w:cs="Palatino Linotype"/>
          <w:b/>
          <w:i/>
          <w:color w:val="000000"/>
        </w:rPr>
        <w:t>…</w:t>
      </w:r>
    </w:p>
    <w:p w:rsidR="00895922" w:rsidRPr="002D6522" w:rsidRDefault="00B30EEC">
      <w:pPr>
        <w:spacing w:before="120" w:after="120"/>
        <w:ind w:left="851" w:right="850"/>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343.-</w:t>
      </w:r>
      <w:r w:rsidRPr="002D6522">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895922" w:rsidRPr="002D6522" w:rsidRDefault="00B30EEC">
      <w:pPr>
        <w:spacing w:before="120" w:after="120"/>
        <w:ind w:left="851" w:right="850"/>
        <w:jc w:val="both"/>
        <w:rPr>
          <w:rFonts w:ascii="Palatino Linotype" w:eastAsia="Palatino Linotype" w:hAnsi="Palatino Linotype" w:cs="Palatino Linotype"/>
          <w:i/>
        </w:rPr>
      </w:pPr>
      <w:r w:rsidRPr="002D6522">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rsidR="00895922" w:rsidRPr="002D6522" w:rsidRDefault="00B30EEC">
      <w:pPr>
        <w:spacing w:before="120" w:after="120"/>
        <w:ind w:left="851" w:right="850"/>
        <w:jc w:val="both"/>
        <w:rPr>
          <w:rFonts w:ascii="Palatino Linotype" w:eastAsia="Palatino Linotype" w:hAnsi="Palatino Linotype" w:cs="Palatino Linotype"/>
          <w:i/>
        </w:rPr>
      </w:pPr>
      <w:r w:rsidRPr="002D6522">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2D6522">
        <w:rPr>
          <w:rFonts w:ascii="Palatino Linotype" w:eastAsia="Palatino Linotype" w:hAnsi="Palatino Linotype" w:cs="Palatino Linotype"/>
          <w:i/>
        </w:rPr>
        <w:t xml:space="preserve">en el caso de los Municipios se hará por la Tesorería. </w:t>
      </w:r>
    </w:p>
    <w:p w:rsidR="00895922" w:rsidRPr="002D6522" w:rsidRDefault="00B30EEC">
      <w:pPr>
        <w:spacing w:before="120" w:after="120"/>
        <w:ind w:left="851" w:right="51"/>
        <w:jc w:val="both"/>
        <w:rPr>
          <w:rFonts w:ascii="Palatino Linotype" w:eastAsia="Palatino Linotype" w:hAnsi="Palatino Linotype" w:cs="Palatino Linotype"/>
          <w:i/>
        </w:rPr>
      </w:pPr>
      <w:r w:rsidRPr="002D6522">
        <w:rPr>
          <w:rFonts w:ascii="Palatino Linotype" w:eastAsia="Palatino Linotype" w:hAnsi="Palatino Linotype" w:cs="Palatino Linotype"/>
          <w:i/>
        </w:rPr>
        <w:t xml:space="preserve">Derogado. </w:t>
      </w:r>
    </w:p>
    <w:p w:rsidR="00895922" w:rsidRPr="002D6522" w:rsidRDefault="00B30EEC">
      <w:pPr>
        <w:spacing w:before="120" w:after="120"/>
        <w:ind w:left="851" w:right="850"/>
        <w:jc w:val="both"/>
        <w:rPr>
          <w:rFonts w:ascii="Palatino Linotype" w:eastAsia="Palatino Linotype" w:hAnsi="Palatino Linotype" w:cs="Palatino Linotype"/>
          <w:i/>
        </w:rPr>
      </w:pPr>
      <w:r w:rsidRPr="002D6522">
        <w:rPr>
          <w:rFonts w:ascii="Palatino Linotype" w:eastAsia="Palatino Linotype" w:hAnsi="Palatino Linotype" w:cs="Palatino Linotype"/>
          <w:b/>
          <w:i/>
        </w:rPr>
        <w:t xml:space="preserve">Todo registro contable y presupuestal deberá estar soportado con los documentos comprobatorios originales, los que deberán </w:t>
      </w:r>
      <w:r w:rsidRPr="002D6522">
        <w:rPr>
          <w:rFonts w:ascii="Palatino Linotype" w:eastAsia="Palatino Linotype" w:hAnsi="Palatino Linotype" w:cs="Palatino Linotype"/>
          <w:b/>
          <w:i/>
        </w:rPr>
        <w:lastRenderedPageBreak/>
        <w:t>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2D6522">
        <w:rPr>
          <w:rFonts w:ascii="Palatino Linotype" w:eastAsia="Palatino Linotype" w:hAnsi="Palatino Linotype" w:cs="Palatino Linotype"/>
          <w:i/>
        </w:rPr>
        <w:t xml:space="preserve"> a partir del ejercicio presupuestal siguiente al que corresponda, en el caso de los municipios se hará por la Tesorería. </w:t>
      </w:r>
    </w:p>
    <w:p w:rsidR="00895922" w:rsidRPr="002D6522" w:rsidRDefault="00B30EEC">
      <w:pPr>
        <w:spacing w:before="120" w:after="120"/>
        <w:ind w:left="851" w:right="51"/>
        <w:jc w:val="both"/>
        <w:rPr>
          <w:rFonts w:ascii="Palatino Linotype" w:eastAsia="Palatino Linotype" w:hAnsi="Palatino Linotype" w:cs="Palatino Linotype"/>
          <w:i/>
        </w:rPr>
      </w:pPr>
      <w:r w:rsidRPr="002D6522">
        <w:rPr>
          <w:rFonts w:ascii="Palatino Linotype" w:eastAsia="Palatino Linotype" w:hAnsi="Palatino Linotype" w:cs="Palatino Linotype"/>
          <w:i/>
        </w:rPr>
        <w:t>…</w:t>
      </w:r>
    </w:p>
    <w:p w:rsidR="00895922" w:rsidRPr="002D6522" w:rsidRDefault="00B30EEC">
      <w:pPr>
        <w:spacing w:before="120" w:after="120"/>
        <w:ind w:left="851" w:right="850"/>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345.-</w:t>
      </w:r>
      <w:r w:rsidRPr="002D6522">
        <w:rPr>
          <w:rFonts w:ascii="Palatino Linotype" w:eastAsia="Palatino Linotype" w:hAnsi="Palatino Linotype" w:cs="Palatino Linotype"/>
          <w:i/>
        </w:rPr>
        <w:t xml:space="preserve"> </w:t>
      </w:r>
      <w:r w:rsidRPr="002D6522">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2D6522">
        <w:rPr>
          <w:rFonts w:ascii="Palatino Linotype" w:eastAsia="Palatino Linotype" w:hAnsi="Palatino Linotype" w:cs="Palatino Linotype"/>
          <w:i/>
        </w:rPr>
        <w:t xml:space="preserve">, la remitirán en un plazo que no excederá de seis meses al Archivo Contable Gubernamental. </w:t>
      </w:r>
      <w:r w:rsidRPr="002D6522">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2D6522">
        <w:rPr>
          <w:rFonts w:ascii="Palatino Linotype" w:eastAsia="Palatino Linotype" w:hAnsi="Palatino Linotype" w:cs="Palatino Linotype"/>
          <w:i/>
        </w:rPr>
        <w:t xml:space="preserve">. </w:t>
      </w:r>
    </w:p>
    <w:p w:rsidR="00895922" w:rsidRPr="002D6522" w:rsidRDefault="00B30EEC">
      <w:pPr>
        <w:spacing w:before="120" w:after="120"/>
        <w:ind w:left="851" w:right="850"/>
        <w:jc w:val="both"/>
        <w:rPr>
          <w:rFonts w:ascii="Palatino Linotype" w:eastAsia="Palatino Linotype" w:hAnsi="Palatino Linotype" w:cs="Palatino Linotype"/>
          <w:i/>
          <w:color w:val="000000"/>
        </w:rPr>
      </w:pPr>
      <w:r w:rsidRPr="002D6522">
        <w:rPr>
          <w:rFonts w:ascii="Palatino Linotype" w:eastAsia="Palatino Linotype" w:hAnsi="Palatino Linotype" w:cs="Palatino Linotype"/>
          <w:i/>
        </w:rPr>
        <w:t>El plazo señalado en el párrafo anterior, empezará a contar a partir de la publicación en el Periódico Oficial, del decreto correspondiente.</w:t>
      </w:r>
      <w:r w:rsidRPr="002D6522">
        <w:rPr>
          <w:rFonts w:ascii="Palatino Linotype" w:eastAsia="Palatino Linotype" w:hAnsi="Palatino Linotype" w:cs="Palatino Linotype"/>
          <w:i/>
          <w:color w:val="000000"/>
        </w:rPr>
        <w:t xml:space="preserve"> “</w:t>
      </w:r>
      <w:r w:rsidRPr="002D6522">
        <w:rPr>
          <w:rFonts w:ascii="Palatino Linotype" w:eastAsia="Palatino Linotype" w:hAnsi="Palatino Linotype" w:cs="Palatino Linotype"/>
          <w:i/>
        </w:rPr>
        <w:t>(Sic)</w:t>
      </w:r>
      <w:r w:rsidRPr="002D6522">
        <w:rPr>
          <w:rFonts w:ascii="Palatino Linotype" w:eastAsia="Palatino Linotype" w:hAnsi="Palatino Linotype" w:cs="Palatino Linotype"/>
          <w:i/>
          <w:color w:val="000000"/>
        </w:rPr>
        <w:t xml:space="preserve"> </w:t>
      </w:r>
    </w:p>
    <w:p w:rsidR="00895922" w:rsidRPr="002D6522" w:rsidRDefault="00895922">
      <w:pPr>
        <w:spacing w:before="120"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rPr>
        <w:t>De una interpretación sistemática de los artículos transcritos, se desprende primeramente que el</w:t>
      </w:r>
      <w:r w:rsidRPr="002D6522">
        <w:rPr>
          <w:rFonts w:ascii="Palatino Linotype" w:eastAsia="Palatino Linotype" w:hAnsi="Palatino Linotype" w:cs="Palatino Linotype"/>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spacing w:line="360" w:lineRule="auto"/>
        <w:jc w:val="both"/>
        <w:rPr>
          <w:rFonts w:ascii="Palatino Linotype" w:eastAsia="Palatino Linotype" w:hAnsi="Palatino Linotype" w:cs="Palatino Linotype"/>
          <w:sz w:val="28"/>
          <w:szCs w:val="28"/>
        </w:rPr>
      </w:pPr>
      <w:r w:rsidRPr="002D6522">
        <w:rPr>
          <w:rFonts w:ascii="Palatino Linotype" w:eastAsia="Palatino Linotype" w:hAnsi="Palatino Linotype" w:cs="Palatino Linotype"/>
          <w:color w:val="000000"/>
        </w:rPr>
        <w:t>Asimismo, es conveniente citar los artículos 31, fracción XVIII y 95, fracciones I y IV de la Ley Orgánica Municipal del Estado de México, que establecen:</w:t>
      </w:r>
    </w:p>
    <w:p w:rsidR="00895922" w:rsidRPr="002D6522" w:rsidRDefault="00895922">
      <w:pPr>
        <w:ind w:left="851" w:right="901"/>
        <w:jc w:val="both"/>
        <w:rPr>
          <w:rFonts w:ascii="Palatino Linotype" w:eastAsia="Palatino Linotype" w:hAnsi="Palatino Linotype" w:cs="Palatino Linotype"/>
          <w:i/>
        </w:rPr>
      </w:pP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i/>
        </w:rPr>
        <w:t>“</w:t>
      </w:r>
      <w:r w:rsidRPr="002D6522">
        <w:rPr>
          <w:rFonts w:ascii="Palatino Linotype" w:eastAsia="Palatino Linotype" w:hAnsi="Palatino Linotype" w:cs="Palatino Linotype"/>
          <w:b/>
          <w:i/>
        </w:rPr>
        <w:t>Artículo 31.-</w:t>
      </w:r>
      <w:r w:rsidRPr="002D6522">
        <w:rPr>
          <w:rFonts w:ascii="Palatino Linotype" w:eastAsia="Palatino Linotype" w:hAnsi="Palatino Linotype" w:cs="Palatino Linotype"/>
          <w:i/>
        </w:rPr>
        <w:t xml:space="preserve"> Son atribuciones de los ayuntamientos:</w:t>
      </w: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i/>
        </w:rPr>
        <w:lastRenderedPageBreak/>
        <w:t>…</w:t>
      </w: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b/>
          <w:i/>
        </w:rPr>
        <w:t>XVIII.</w:t>
      </w:r>
      <w:r w:rsidRPr="002D6522">
        <w:rPr>
          <w:rFonts w:ascii="Palatino Linotype" w:eastAsia="Palatino Linotype" w:hAnsi="Palatino Linotype" w:cs="Palatino Linotype"/>
          <w:i/>
        </w:rPr>
        <w:t xml:space="preserve"> </w:t>
      </w:r>
      <w:r w:rsidRPr="002D6522">
        <w:rPr>
          <w:rFonts w:ascii="Palatino Linotype" w:eastAsia="Palatino Linotype" w:hAnsi="Palatino Linotype" w:cs="Palatino Linotype"/>
          <w:b/>
          <w:i/>
        </w:rPr>
        <w:t>Administrar su hacienda</w:t>
      </w:r>
      <w:r w:rsidRPr="002D6522">
        <w:rPr>
          <w:rFonts w:ascii="Palatino Linotype" w:eastAsia="Palatino Linotype" w:hAnsi="Palatino Linotype" w:cs="Palatino Linotype"/>
          <w:i/>
        </w:rPr>
        <w:t xml:space="preserve"> en términos de ley, y controlar a través del presidente y síndico la aplicación del presupuesto de egresos del municipio;</w:t>
      </w: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i/>
        </w:rPr>
        <w:t>…</w:t>
      </w: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95.-</w:t>
      </w:r>
      <w:r w:rsidRPr="002D6522">
        <w:rPr>
          <w:rFonts w:ascii="Palatino Linotype" w:eastAsia="Palatino Linotype" w:hAnsi="Palatino Linotype" w:cs="Palatino Linotype"/>
          <w:i/>
        </w:rPr>
        <w:t xml:space="preserve"> Son atribuciones del tesorero municipal:</w:t>
      </w: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b/>
          <w:i/>
        </w:rPr>
        <w:t>I.</w:t>
      </w:r>
      <w:r w:rsidRPr="002D6522">
        <w:rPr>
          <w:rFonts w:ascii="Palatino Linotype" w:eastAsia="Palatino Linotype" w:hAnsi="Palatino Linotype" w:cs="Palatino Linotype"/>
          <w:i/>
        </w:rPr>
        <w:t xml:space="preserve"> </w:t>
      </w:r>
      <w:r w:rsidRPr="002D6522">
        <w:rPr>
          <w:rFonts w:ascii="Palatino Linotype" w:eastAsia="Palatino Linotype" w:hAnsi="Palatino Linotype" w:cs="Palatino Linotype"/>
          <w:b/>
          <w:i/>
        </w:rPr>
        <w:t>Administrar la hacienda pública municipal</w:t>
      </w:r>
      <w:r w:rsidRPr="002D6522">
        <w:rPr>
          <w:rFonts w:ascii="Palatino Linotype" w:eastAsia="Palatino Linotype" w:hAnsi="Palatino Linotype" w:cs="Palatino Linotype"/>
          <w:i/>
        </w:rPr>
        <w:t>, de conformidad con las disposiciones legales aplicables;</w:t>
      </w: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i/>
        </w:rPr>
        <w:t>…</w:t>
      </w: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b/>
          <w:i/>
        </w:rPr>
        <w:t>IV.</w:t>
      </w:r>
      <w:r w:rsidRPr="002D6522">
        <w:rPr>
          <w:rFonts w:ascii="Palatino Linotype" w:eastAsia="Palatino Linotype" w:hAnsi="Palatino Linotype" w:cs="Palatino Linotype"/>
          <w:i/>
        </w:rPr>
        <w:t xml:space="preserve"> </w:t>
      </w:r>
      <w:r w:rsidRPr="002D6522">
        <w:rPr>
          <w:rFonts w:ascii="Palatino Linotype" w:eastAsia="Palatino Linotype" w:hAnsi="Palatino Linotype" w:cs="Palatino Linotype"/>
          <w:b/>
          <w:i/>
        </w:rPr>
        <w:t>Llevar los registros contables, financieros y administrativos</w:t>
      </w:r>
      <w:r w:rsidRPr="002D6522">
        <w:rPr>
          <w:rFonts w:ascii="Palatino Linotype" w:eastAsia="Palatino Linotype" w:hAnsi="Palatino Linotype" w:cs="Palatino Linotype"/>
          <w:i/>
        </w:rPr>
        <w:t xml:space="preserve"> de los ingresos, </w:t>
      </w:r>
      <w:r w:rsidRPr="002D6522">
        <w:rPr>
          <w:rFonts w:ascii="Palatino Linotype" w:eastAsia="Palatino Linotype" w:hAnsi="Palatino Linotype" w:cs="Palatino Linotype"/>
          <w:b/>
          <w:i/>
        </w:rPr>
        <w:t>egresos</w:t>
      </w:r>
      <w:r w:rsidRPr="002D6522">
        <w:rPr>
          <w:rFonts w:ascii="Palatino Linotype" w:eastAsia="Palatino Linotype" w:hAnsi="Palatino Linotype" w:cs="Palatino Linotype"/>
          <w:i/>
        </w:rPr>
        <w:t>, e inventarios;”</w:t>
      </w:r>
    </w:p>
    <w:p w:rsidR="00895922" w:rsidRPr="002D6522" w:rsidRDefault="00B30EEC">
      <w:pPr>
        <w:ind w:left="851" w:right="901"/>
        <w:jc w:val="both"/>
        <w:rPr>
          <w:rFonts w:ascii="Palatino Linotype" w:eastAsia="Palatino Linotype" w:hAnsi="Palatino Linotype" w:cs="Palatino Linotype"/>
          <w:i/>
        </w:rPr>
      </w:pPr>
      <w:r w:rsidRPr="002D6522">
        <w:rPr>
          <w:rFonts w:ascii="Palatino Linotype" w:eastAsia="Palatino Linotype" w:hAnsi="Palatino Linotype" w:cs="Palatino Linotype"/>
          <w:i/>
        </w:rPr>
        <w:t>(Énfasis añadido)</w:t>
      </w:r>
    </w:p>
    <w:p w:rsidR="00895922" w:rsidRPr="002D6522" w:rsidRDefault="00895922">
      <w:pPr>
        <w:ind w:left="851" w:right="901"/>
        <w:jc w:val="both"/>
        <w:rPr>
          <w:rFonts w:ascii="Palatino Linotype" w:eastAsia="Palatino Linotype" w:hAnsi="Palatino Linotype" w:cs="Palatino Linotype"/>
          <w:i/>
        </w:rPr>
      </w:pP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spacing w:line="360" w:lineRule="auto"/>
        <w:ind w:right="-232"/>
        <w:jc w:val="both"/>
        <w:rPr>
          <w:rFonts w:ascii="Palatino Linotype" w:eastAsia="Palatino Linotype" w:hAnsi="Palatino Linotype" w:cs="Palatino Linotype"/>
        </w:rPr>
      </w:pPr>
      <w:r w:rsidRPr="002D6522">
        <w:rPr>
          <w:rFonts w:ascii="Palatino Linotype" w:eastAsia="Palatino Linotype" w:hAnsi="Palatino Linotype" w:cs="Palatino Linotype"/>
        </w:rPr>
        <w:t>En ese sentido, debe decirse que las facturas emitidas en favor de los proveedores, contratistas o prestadores de servicios, la cual se encuentra definida en el Glosario de Términos Hacendarios que emite el Instituto Hacendario del Estado de México, como:</w:t>
      </w:r>
    </w:p>
    <w:p w:rsidR="00895922" w:rsidRPr="002D6522" w:rsidRDefault="00895922">
      <w:pPr>
        <w:spacing w:line="360" w:lineRule="auto"/>
        <w:ind w:right="-232"/>
        <w:jc w:val="both"/>
        <w:rPr>
          <w:rFonts w:ascii="Palatino Linotype" w:eastAsia="Palatino Linotype" w:hAnsi="Palatino Linotype" w:cs="Palatino Linotype"/>
        </w:rPr>
      </w:pPr>
    </w:p>
    <w:p w:rsidR="00895922" w:rsidRPr="002D6522" w:rsidRDefault="00B30EEC">
      <w:pPr>
        <w:spacing w:after="120"/>
        <w:ind w:left="851" w:right="902"/>
        <w:jc w:val="both"/>
        <w:rPr>
          <w:rFonts w:ascii="Palatino Linotype" w:eastAsia="Palatino Linotype" w:hAnsi="Palatino Linotype" w:cs="Palatino Linotype"/>
          <w:b/>
          <w:i/>
        </w:rPr>
      </w:pPr>
      <w:r w:rsidRPr="002D6522">
        <w:rPr>
          <w:rFonts w:ascii="Palatino Linotype" w:eastAsia="Palatino Linotype" w:hAnsi="Palatino Linotype" w:cs="Palatino Linotype"/>
          <w:i/>
        </w:rPr>
        <w:t>“</w:t>
      </w:r>
      <w:r w:rsidRPr="002D6522">
        <w:rPr>
          <w:rFonts w:ascii="Palatino Linotype" w:eastAsia="Palatino Linotype" w:hAnsi="Palatino Linotype" w:cs="Palatino Linotype"/>
          <w:b/>
          <w:i/>
        </w:rPr>
        <w:t>FACTURA</w:t>
      </w:r>
    </w:p>
    <w:p w:rsidR="00895922" w:rsidRPr="002D6522" w:rsidRDefault="00B30EEC">
      <w:pPr>
        <w:spacing w:before="120" w:after="120"/>
        <w:ind w:left="851" w:right="902"/>
        <w:jc w:val="both"/>
        <w:rPr>
          <w:rFonts w:ascii="Palatino Linotype" w:eastAsia="Palatino Linotype" w:hAnsi="Palatino Linotype" w:cs="Palatino Linotype"/>
          <w:i/>
        </w:rPr>
      </w:pPr>
      <w:r w:rsidRPr="002D6522">
        <w:rPr>
          <w:rFonts w:ascii="Palatino Linotype" w:eastAsia="Palatino Linotype" w:hAnsi="Palatino Linotype" w:cs="Palatino Linotype"/>
          <w:i/>
        </w:rPr>
        <w:t>Es el documento fiscal que emite la persona física o moral para comprobar la venta o adquisición de un bien y/o servicio.” (Sic)</w:t>
      </w:r>
    </w:p>
    <w:p w:rsidR="00895922" w:rsidRPr="002D6522" w:rsidRDefault="00895922">
      <w:pPr>
        <w:spacing w:before="120" w:after="120"/>
        <w:ind w:left="851" w:right="902"/>
        <w:jc w:val="both"/>
        <w:rPr>
          <w:rFonts w:ascii="Palatino Linotype" w:eastAsia="Palatino Linotype" w:hAnsi="Palatino Linotype" w:cs="Palatino Linotype"/>
          <w:i/>
        </w:rPr>
      </w:pPr>
    </w:p>
    <w:p w:rsidR="00895922" w:rsidRPr="002D6522" w:rsidRDefault="00B30EEC">
      <w:pPr>
        <w:spacing w:before="120"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rPr>
        <w:t xml:space="preserve">Luego entonces las facturas son comprobantes que amparan las erogaciones que se realizan con erario público tienen naturaleza pública pues, constituyen los medios </w:t>
      </w:r>
      <w:r w:rsidRPr="002D6522">
        <w:rPr>
          <w:rFonts w:ascii="Palatino Linotype" w:eastAsia="Palatino Linotype" w:hAnsi="Palatino Linotype" w:cs="Palatino Linotype"/>
        </w:rPr>
        <w:lastRenderedPageBreak/>
        <w:t>idóneos de evidencia del gasto realizado con recursos públicos, de ahí que convenga precisar que la Constitución Política del Estado Libre y Soberano de México en su artículo 129 señala que l</w:t>
      </w:r>
      <w:r w:rsidRPr="002D6522">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after="120"/>
        <w:ind w:firstLine="708"/>
        <w:jc w:val="both"/>
        <w:rPr>
          <w:rFonts w:ascii="Palatino Linotype" w:eastAsia="Palatino Linotype" w:hAnsi="Palatino Linotype" w:cs="Palatino Linotype"/>
          <w:b/>
          <w:i/>
        </w:rPr>
      </w:pPr>
      <w:r w:rsidRPr="002D6522">
        <w:rPr>
          <w:rFonts w:ascii="Palatino Linotype" w:eastAsia="Palatino Linotype" w:hAnsi="Palatino Linotype" w:cs="Palatino Linotype"/>
          <w:b/>
          <w:i/>
        </w:rPr>
        <w:t xml:space="preserve">“REGISTRO CONTABLE </w:t>
      </w:r>
    </w:p>
    <w:p w:rsidR="00895922" w:rsidRPr="002D6522" w:rsidRDefault="00B30EEC">
      <w:pPr>
        <w:spacing w:before="120" w:after="120"/>
        <w:ind w:left="851" w:right="899"/>
        <w:jc w:val="both"/>
        <w:rPr>
          <w:rFonts w:ascii="Palatino Linotype" w:eastAsia="Palatino Linotype" w:hAnsi="Palatino Linotype" w:cs="Palatino Linotype"/>
          <w:i/>
        </w:rPr>
      </w:pPr>
      <w:r w:rsidRPr="002D6522">
        <w:rPr>
          <w:rFonts w:ascii="Palatino Linotype" w:eastAsia="Palatino Linotype" w:hAnsi="Palatino Linotype" w:cs="Palatino Linotype"/>
          <w:i/>
        </w:rPr>
        <w:t>Asiento que se realiza en los libros de contabilidad de las actividades relacionadas con el ingreso y egresos de un ente económico.” (Sic)</w:t>
      </w:r>
    </w:p>
    <w:p w:rsidR="00895922" w:rsidRPr="002D6522" w:rsidRDefault="00B30EEC">
      <w:pPr>
        <w:spacing w:before="120" w:after="120"/>
        <w:ind w:right="899" w:firstLine="708"/>
        <w:jc w:val="both"/>
        <w:rPr>
          <w:rFonts w:ascii="Palatino Linotype" w:eastAsia="Palatino Linotype" w:hAnsi="Palatino Linotype" w:cs="Palatino Linotype"/>
          <w:b/>
          <w:i/>
        </w:rPr>
      </w:pPr>
      <w:r w:rsidRPr="002D6522">
        <w:rPr>
          <w:rFonts w:ascii="Palatino Linotype" w:eastAsia="Palatino Linotype" w:hAnsi="Palatino Linotype" w:cs="Palatino Linotype"/>
          <w:b/>
          <w:i/>
        </w:rPr>
        <w:t>“REGISTRO PRESUPUESTARIO</w:t>
      </w:r>
    </w:p>
    <w:p w:rsidR="00895922" w:rsidRPr="002D6522" w:rsidRDefault="00B30EEC">
      <w:pPr>
        <w:spacing w:before="120" w:after="120"/>
        <w:ind w:left="708" w:right="899"/>
        <w:jc w:val="both"/>
        <w:rPr>
          <w:rFonts w:ascii="Palatino Linotype" w:eastAsia="Palatino Linotype" w:hAnsi="Palatino Linotype" w:cs="Palatino Linotype"/>
          <w:i/>
        </w:rPr>
      </w:pPr>
      <w:r w:rsidRPr="002D6522">
        <w:rPr>
          <w:rFonts w:ascii="Palatino Linotype" w:eastAsia="Palatino Linotype" w:hAnsi="Palatino Linotype" w:cs="Palatino Linotype"/>
          <w:i/>
        </w:rPr>
        <w:lastRenderedPageBreak/>
        <w:t>Asiento contable de las erogaciones realizadas por las dependencias y entidades con relación a la asignación, modificación y ejercicio de los recursos presupuestarios que se les hayan autorizado.” (Sic)</w:t>
      </w:r>
    </w:p>
    <w:p w:rsidR="00895922" w:rsidRPr="002D6522" w:rsidRDefault="00895922">
      <w:pPr>
        <w:spacing w:before="120" w:line="360" w:lineRule="auto"/>
        <w:jc w:val="both"/>
        <w:rPr>
          <w:rFonts w:ascii="Palatino Linotype" w:eastAsia="Palatino Linotype" w:hAnsi="Palatino Linotype" w:cs="Palatino Linotype"/>
          <w:color w:val="000000"/>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Por otra parte, se establece que el sistema de contabilidad sobre base acumulativa total se sustentará en los principios de contabilidad gubernamental.</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Correlativo a lo anterior, es preciso referir una definición de </w:t>
      </w:r>
      <w:r w:rsidRPr="002D6522">
        <w:rPr>
          <w:rFonts w:ascii="Palatino Linotype" w:eastAsia="Palatino Linotype" w:hAnsi="Palatino Linotype" w:cs="Palatino Linotype"/>
          <w:i/>
        </w:rPr>
        <w:t>póliza contable</w:t>
      </w:r>
      <w:r w:rsidRPr="002D6522">
        <w:rPr>
          <w:rFonts w:ascii="Palatino Linotype" w:eastAsia="Palatino Linotype" w:hAnsi="Palatino Linotype" w:cs="Palatino Linotype"/>
        </w:rPr>
        <w:t xml:space="preserve">, la cual, primeramente, no está definida en el Código Financiero del Estado de México y Municipios; no obstante, los ya mencionados Glosarios la definen como: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after="120"/>
        <w:ind w:left="851" w:right="899"/>
        <w:jc w:val="both"/>
        <w:rPr>
          <w:rFonts w:ascii="Palatino Linotype" w:eastAsia="Palatino Linotype" w:hAnsi="Palatino Linotype" w:cs="Palatino Linotype"/>
          <w:b/>
          <w:i/>
        </w:rPr>
      </w:pPr>
      <w:r w:rsidRPr="002D6522">
        <w:rPr>
          <w:rFonts w:ascii="Palatino Linotype" w:eastAsia="Palatino Linotype" w:hAnsi="Palatino Linotype" w:cs="Palatino Linotype"/>
          <w:i/>
        </w:rPr>
        <w:t>“</w:t>
      </w:r>
      <w:r w:rsidRPr="002D6522">
        <w:rPr>
          <w:rFonts w:ascii="Palatino Linotype" w:eastAsia="Palatino Linotype" w:hAnsi="Palatino Linotype" w:cs="Palatino Linotype"/>
          <w:b/>
          <w:i/>
        </w:rPr>
        <w:t>PÓLIZA CONTABLE</w:t>
      </w:r>
    </w:p>
    <w:p w:rsidR="00895922" w:rsidRPr="002D6522" w:rsidRDefault="00B30EEC">
      <w:pPr>
        <w:spacing w:before="120" w:after="120"/>
        <w:ind w:left="851" w:right="899"/>
        <w:jc w:val="both"/>
        <w:rPr>
          <w:rFonts w:ascii="Palatino Linotype" w:eastAsia="Palatino Linotype" w:hAnsi="Palatino Linotype" w:cs="Palatino Linotype"/>
          <w:i/>
        </w:rPr>
      </w:pPr>
      <w:r w:rsidRPr="002D6522">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rsidR="00895922" w:rsidRPr="002D6522" w:rsidRDefault="00895922">
      <w:pPr>
        <w:spacing w:before="120" w:after="120"/>
        <w:ind w:left="851" w:right="899"/>
        <w:jc w:val="both"/>
        <w:rPr>
          <w:rFonts w:ascii="Palatino Linotype" w:eastAsia="Palatino Linotype" w:hAnsi="Palatino Linotype" w:cs="Palatino Linotype"/>
          <w:i/>
        </w:rPr>
      </w:pPr>
    </w:p>
    <w:p w:rsidR="00895922" w:rsidRPr="002D6522" w:rsidRDefault="00B30EEC">
      <w:pPr>
        <w:spacing w:before="120"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Así, se advierte que la </w:t>
      </w:r>
      <w:r w:rsidRPr="002D6522">
        <w:rPr>
          <w:rFonts w:ascii="Palatino Linotype" w:eastAsia="Palatino Linotype" w:hAnsi="Palatino Linotype" w:cs="Palatino Linotype"/>
          <w:i/>
        </w:rPr>
        <w:t>póliza contable</w:t>
      </w:r>
      <w:r w:rsidRPr="002D6522">
        <w:rPr>
          <w:rFonts w:ascii="Palatino Linotype" w:eastAsia="Palatino Linotype" w:hAnsi="Palatino Linotype" w:cs="Palatino Linotype"/>
        </w:rPr>
        <w:t xml:space="preserve"> constituye un registro contable y presupuestal con el que cuentan los Municipios para el registro de sus operaciones relacionadas con sus ingresos y egresos y </w:t>
      </w:r>
      <w:r w:rsidRPr="002D6522">
        <w:rPr>
          <w:rFonts w:ascii="Palatino Linotype" w:eastAsia="Palatino Linotype" w:hAnsi="Palatino Linotype" w:cs="Palatino Linotype"/>
          <w:b/>
          <w:u w:val="single"/>
        </w:rPr>
        <w:t>se anexan los documentos o comprobantes que justifiquen las anotaciones y cantidades en ellas registradas</w:t>
      </w:r>
      <w:r w:rsidRPr="002D6522">
        <w:rPr>
          <w:rFonts w:ascii="Palatino Linotype" w:eastAsia="Palatino Linotype" w:hAnsi="Palatino Linotype" w:cs="Palatino Linotype"/>
        </w:rPr>
        <w:t>, lo que permite la identificación plena de dichas operaciones como lo son las facturas.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En este sentido, existen diversos tipos de pólizas contables de acuerdo a las operaciones realizadas, dentro de las cuales, encontramos las llamadas </w:t>
      </w:r>
      <w:r w:rsidRPr="002D6522">
        <w:rPr>
          <w:rFonts w:ascii="Palatino Linotype" w:eastAsia="Palatino Linotype" w:hAnsi="Palatino Linotype" w:cs="Palatino Linotype"/>
          <w:i/>
        </w:rPr>
        <w:t>pólizas de egresos</w:t>
      </w:r>
      <w:r w:rsidRPr="002D6522">
        <w:rPr>
          <w:rFonts w:ascii="Palatino Linotype" w:eastAsia="Palatino Linotype" w:hAnsi="Palatino Linotype" w:cs="Palatino Linotype"/>
        </w:rPr>
        <w:t xml:space="preserve">, son aquellas en las cuales se anotan diariamente las operaciones que representan gastos, es decir, salidas de dinero para el </w:t>
      </w:r>
      <w:r w:rsidRPr="002D6522">
        <w:rPr>
          <w:rFonts w:ascii="Palatino Linotype" w:eastAsia="Palatino Linotype" w:hAnsi="Palatino Linotype" w:cs="Palatino Linotype"/>
          <w:b/>
        </w:rPr>
        <w:t>SUJETO OBLIGADO</w:t>
      </w:r>
      <w:r w:rsidRPr="002D6522">
        <w:rPr>
          <w:rFonts w:ascii="Palatino Linotype" w:eastAsia="Palatino Linotype" w:hAnsi="Palatino Linotype" w:cs="Palatino Linotype"/>
        </w:rPr>
        <w:t xml:space="preserve">, las que, además, deben encontrarse acompañadas de las documentales que sirven de soporte de dicho movimiento.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ind w:right="50"/>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 xml:space="preserve">De este modo, </w:t>
      </w:r>
      <w:r w:rsidRPr="002D6522">
        <w:rPr>
          <w:rFonts w:ascii="Palatino Linotype" w:eastAsia="Palatino Linotype" w:hAnsi="Palatino Linotype" w:cs="Palatino Linotype"/>
          <w:b/>
          <w:color w:val="000000"/>
        </w:rPr>
        <w:t>EL SUJETO OBLIGADO</w:t>
      </w:r>
      <w:r w:rsidRPr="002D6522">
        <w:rPr>
          <w:rFonts w:ascii="Palatino Linotype" w:eastAsia="Palatino Linotype" w:hAnsi="Palatino Linotype" w:cs="Palatino Linotype"/>
          <w:color w:val="000000"/>
        </w:rPr>
        <w:t xml:space="preserve"> debe tener registro de la expedición de las pólizas de egresos; ya que con tales documentales acredita y soporta el gasto realizado, es decir se hace del conocimiento de los particulares el uso y destino de los recursos públicos.  </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0"/>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 xml:space="preserve">De igual forma, es de suma importancia destacar que el penúltimo párrafo, del artículo 23 de la </w:t>
      </w:r>
      <w:r w:rsidRPr="002D6522">
        <w:rPr>
          <w:rFonts w:ascii="Palatino Linotype" w:eastAsia="Palatino Linotype" w:hAnsi="Palatino Linotype" w:cs="Palatino Linotype"/>
        </w:rPr>
        <w:t>Ley de Transparencia y Acceso a la Información Pública del Estado de México y Municipios</w:t>
      </w:r>
      <w:r w:rsidRPr="002D6522">
        <w:rPr>
          <w:rFonts w:ascii="Palatino Linotype" w:eastAsia="Palatino Linotype" w:hAnsi="Palatino Linotype" w:cs="Palatino Linotype"/>
          <w:color w:val="000000"/>
        </w:rPr>
        <w:t xml:space="preserve">, establece como deber de los sujetos obligados de hacer pública toda la información relativa a los montos y personas a quienes se entreguen recursos públicos, con la única finalidad de dar a conocer a la ciudadanía la forma, </w:t>
      </w:r>
      <w:r w:rsidRPr="002D6522">
        <w:rPr>
          <w:rFonts w:ascii="Palatino Linotype" w:eastAsia="Palatino Linotype" w:hAnsi="Palatino Linotype" w:cs="Palatino Linotype"/>
          <w:color w:val="000000"/>
        </w:rPr>
        <w:lastRenderedPageBreak/>
        <w:t xml:space="preserve">términos y montos en que se aplican los recursos públicos y con ello transparentar la forma, términos, causas y finalidad en la disposición de esos recursos; ya que este precepto legal que establece: </w:t>
      </w:r>
    </w:p>
    <w:p w:rsidR="00895922" w:rsidRPr="002D6522" w:rsidRDefault="00895922">
      <w:pPr>
        <w:ind w:right="50"/>
        <w:jc w:val="both"/>
        <w:rPr>
          <w:rFonts w:ascii="Palatino Linotype" w:eastAsia="Palatino Linotype" w:hAnsi="Palatino Linotype" w:cs="Palatino Linotype"/>
          <w:color w:val="000000"/>
        </w:rPr>
      </w:pPr>
    </w:p>
    <w:p w:rsidR="00895922" w:rsidRPr="002D6522" w:rsidRDefault="00B30EEC">
      <w:pPr>
        <w:ind w:left="851" w:right="901"/>
        <w:jc w:val="both"/>
        <w:rPr>
          <w:rFonts w:ascii="Palatino Linotype" w:eastAsia="Palatino Linotype" w:hAnsi="Palatino Linotype" w:cs="Palatino Linotype"/>
          <w:b/>
          <w:i/>
        </w:rPr>
      </w:pPr>
      <w:r w:rsidRPr="002D6522">
        <w:rPr>
          <w:rFonts w:ascii="Palatino Linotype" w:eastAsia="Palatino Linotype" w:hAnsi="Palatino Linotype" w:cs="Palatino Linotype"/>
          <w:b/>
          <w:i/>
        </w:rPr>
        <w:t>“Artículo 23…</w:t>
      </w:r>
    </w:p>
    <w:p w:rsidR="00895922" w:rsidRPr="002D6522" w:rsidRDefault="00895922">
      <w:pPr>
        <w:ind w:left="851" w:right="901"/>
        <w:jc w:val="both"/>
        <w:rPr>
          <w:rFonts w:ascii="Palatino Linotype" w:eastAsia="Palatino Linotype" w:hAnsi="Palatino Linotype" w:cs="Palatino Linotype"/>
          <w:i/>
        </w:rPr>
      </w:pPr>
    </w:p>
    <w:p w:rsidR="00895922" w:rsidRPr="002D6522" w:rsidRDefault="00B30EEC">
      <w:pPr>
        <w:ind w:left="851" w:right="901"/>
        <w:jc w:val="both"/>
        <w:rPr>
          <w:rFonts w:ascii="Palatino Linotype" w:eastAsia="Palatino Linotype" w:hAnsi="Palatino Linotype" w:cs="Palatino Linotype"/>
          <w:i/>
          <w:color w:val="000000"/>
        </w:rPr>
      </w:pPr>
      <w:r w:rsidRPr="002D6522">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95922" w:rsidRPr="002D6522" w:rsidRDefault="00B30EEC">
      <w:pPr>
        <w:ind w:left="851" w:right="850"/>
        <w:jc w:val="both"/>
        <w:rPr>
          <w:rFonts w:ascii="Palatino Linotype" w:eastAsia="Palatino Linotype" w:hAnsi="Palatino Linotype" w:cs="Palatino Linotype"/>
          <w:i/>
          <w:color w:val="000000"/>
        </w:rPr>
      </w:pPr>
      <w:r w:rsidRPr="002D6522">
        <w:rPr>
          <w:rFonts w:ascii="Palatino Linotype" w:eastAsia="Palatino Linotype" w:hAnsi="Palatino Linotype" w:cs="Palatino Linotype"/>
          <w:i/>
          <w:color w:val="000000"/>
        </w:rPr>
        <w:t xml:space="preserve"> (…)”</w:t>
      </w:r>
    </w:p>
    <w:p w:rsidR="00895922" w:rsidRPr="002D6522" w:rsidRDefault="00895922">
      <w:pPr>
        <w:ind w:left="851" w:right="850"/>
        <w:jc w:val="both"/>
        <w:rPr>
          <w:rFonts w:ascii="Palatino Linotype" w:eastAsia="Palatino Linotype" w:hAnsi="Palatino Linotype" w:cs="Palatino Linotype"/>
          <w:i/>
          <w:color w:val="000000"/>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En esta tesitura, se concluye que todos los datos en que consten gastos efectuados por </w:t>
      </w:r>
      <w:r w:rsidRPr="002D6522">
        <w:rPr>
          <w:rFonts w:ascii="Palatino Linotype" w:eastAsia="Palatino Linotype" w:hAnsi="Palatino Linotype" w:cs="Palatino Linotype"/>
          <w:b/>
        </w:rPr>
        <w:t>EL SUJETO OBLIGADO</w:t>
      </w:r>
      <w:r w:rsidRPr="002D6522">
        <w:rPr>
          <w:rFonts w:ascii="Palatino Linotype" w:eastAsia="Palatino Linotype" w:hAnsi="Palatino Linotype" w:cs="Palatino Linotype"/>
        </w:rPr>
        <w:t xml:space="preserve">, es información pública; por ende, los pagos realizados mediante facturas son públicas y susceptibles de ser entregados si son solicitados en ejercicio del derecho de acceso a la información pública.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 xml:space="preserve">Como ya se mencionó anteriormente </w:t>
      </w:r>
      <w:r w:rsidRPr="002D6522">
        <w:rPr>
          <w:rFonts w:ascii="Palatino Linotype" w:eastAsia="Palatino Linotype" w:hAnsi="Palatino Linotype" w:cs="Palatino Linotype"/>
          <w:b/>
          <w:color w:val="000000"/>
        </w:rPr>
        <w:t xml:space="preserve">EL SUJETO OBLIGADO </w:t>
      </w:r>
      <w:r w:rsidRPr="002D6522">
        <w:rPr>
          <w:rFonts w:ascii="Palatino Linotype" w:eastAsia="Palatino Linotype" w:hAnsi="Palatino Linotype" w:cs="Palatino Linotype"/>
          <w:color w:val="000000"/>
        </w:rPr>
        <w:t>tiene la obligatoriedad de registrar contablemente el efecto patrimonial y presupuestal de las operaciones financieras que realizan, en el momento en que ocurran.</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widowControl w:val="0"/>
        <w:spacing w:line="360" w:lineRule="auto"/>
        <w:jc w:val="both"/>
        <w:rPr>
          <w:rFonts w:ascii="Palatino Linotype" w:eastAsia="Palatino Linotype" w:hAnsi="Palatino Linotype" w:cs="Palatino Linotype"/>
          <w:color w:val="0D0D0D"/>
        </w:rPr>
      </w:pPr>
      <w:r w:rsidRPr="002D6522">
        <w:rPr>
          <w:rFonts w:ascii="Palatino Linotype" w:eastAsia="Palatino Linotype" w:hAnsi="Palatino Linotype" w:cs="Palatino Linotype"/>
          <w:color w:val="000000"/>
        </w:rPr>
        <w:t xml:space="preserve">En consecuencia, podemos concluir que </w:t>
      </w:r>
      <w:r w:rsidRPr="002D6522">
        <w:rPr>
          <w:rFonts w:ascii="Palatino Linotype" w:eastAsia="Palatino Linotype" w:hAnsi="Palatino Linotype" w:cs="Palatino Linotype"/>
          <w:b/>
          <w:color w:val="000000"/>
        </w:rPr>
        <w:t xml:space="preserve">EL SUJETO OBLIGADO </w:t>
      </w:r>
      <w:r w:rsidRPr="002D6522">
        <w:rPr>
          <w:rFonts w:ascii="Palatino Linotype" w:eastAsia="Palatino Linotype" w:hAnsi="Palatino Linotype" w:cs="Palatino Linotype"/>
          <w:color w:val="000000"/>
        </w:rPr>
        <w:t xml:space="preserve">se encuentra en posibilidad de atender lo solicitado. </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widowControl w:val="0"/>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Por lo que resulta procedente ORDENAR haga entrega facturas de pago por cualquier concepto del mes de</w:t>
      </w:r>
      <w:r w:rsidR="00ED6CFC" w:rsidRPr="002D6522">
        <w:rPr>
          <w:rFonts w:ascii="Palatino Linotype" w:eastAsia="Palatino Linotype" w:hAnsi="Palatino Linotype" w:cs="Palatino Linotype"/>
          <w:color w:val="000000"/>
        </w:rPr>
        <w:t>l primero al veinticinco</w:t>
      </w:r>
      <w:r w:rsidRPr="002D6522">
        <w:rPr>
          <w:rFonts w:ascii="Palatino Linotype" w:eastAsia="Palatino Linotype" w:hAnsi="Palatino Linotype" w:cs="Palatino Linotype"/>
          <w:color w:val="000000"/>
        </w:rPr>
        <w:t xml:space="preserve"> noviembre de 2022, d</w:t>
      </w:r>
      <w:r w:rsidRPr="002D6522">
        <w:rPr>
          <w:rFonts w:ascii="Palatino Linotype" w:eastAsia="Palatino Linotype" w:hAnsi="Palatino Linotype" w:cs="Palatino Linotype"/>
        </w:rPr>
        <w:t xml:space="preserve">e ser el caso </w:t>
      </w:r>
      <w:r w:rsidRPr="002D6522">
        <w:rPr>
          <w:rFonts w:ascii="Palatino Linotype" w:eastAsia="Palatino Linotype" w:hAnsi="Palatino Linotype" w:cs="Palatino Linotype"/>
          <w:color w:val="000000"/>
        </w:rPr>
        <w:t>en términos del considerando quinto.</w:t>
      </w:r>
    </w:p>
    <w:p w:rsidR="00895922" w:rsidRPr="002D6522" w:rsidRDefault="00895922">
      <w:pPr>
        <w:widowControl w:val="0"/>
        <w:spacing w:line="360" w:lineRule="auto"/>
        <w:jc w:val="both"/>
        <w:rPr>
          <w:rFonts w:ascii="Palatino Linotype" w:eastAsia="Palatino Linotype" w:hAnsi="Palatino Linotype" w:cs="Palatino Linotype"/>
          <w:color w:val="000000"/>
        </w:rPr>
      </w:pPr>
    </w:p>
    <w:p w:rsidR="00895922" w:rsidRPr="002D6522" w:rsidRDefault="00B30EEC">
      <w:pPr>
        <w:spacing w:line="360" w:lineRule="auto"/>
        <w:jc w:val="both"/>
        <w:rPr>
          <w:rFonts w:ascii="Palatino Linotype" w:eastAsia="Palatino Linotype" w:hAnsi="Palatino Linotype" w:cs="Palatino Linotype"/>
        </w:rPr>
      </w:pPr>
      <w:bookmarkStart w:id="2" w:name="_heading=h.gjdgxs" w:colFirst="0" w:colLast="0"/>
      <w:bookmarkEnd w:id="2"/>
      <w:r w:rsidRPr="002D6522">
        <w:rPr>
          <w:rFonts w:ascii="Palatino Linotype" w:eastAsia="Palatino Linotype" w:hAnsi="Palatino Linotype" w:cs="Palatino Linotype"/>
          <w:b/>
        </w:rPr>
        <w:t xml:space="preserve">QUINTO. VERSIÓN PÚBLICA. </w:t>
      </w:r>
      <w:r w:rsidRPr="002D6522">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2D6522">
        <w:rPr>
          <w:rFonts w:ascii="Palatino Linotype" w:eastAsia="Palatino Linotype" w:hAnsi="Palatino Linotype" w:cs="Palatino Linotype"/>
          <w:b/>
        </w:rPr>
        <w:t>RECURRENTE</w:t>
      </w:r>
      <w:r w:rsidRPr="002D6522">
        <w:rPr>
          <w:rFonts w:ascii="Palatino Linotype" w:eastAsia="Palatino Linotype" w:hAnsi="Palatino Linotype" w:cs="Palatino Linotype"/>
        </w:rPr>
        <w:t xml:space="preserve"> sin menoscabar el derecho a la protección de los datos personales de terceros.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ind w:right="50"/>
        <w:jc w:val="both"/>
        <w:rPr>
          <w:rFonts w:ascii="Palatino Linotype" w:eastAsia="Palatino Linotype" w:hAnsi="Palatino Linotype" w:cs="Palatino Linotype"/>
        </w:rPr>
      </w:pPr>
      <w:r w:rsidRPr="002D6522">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895922" w:rsidRPr="002D6522" w:rsidRDefault="00895922">
      <w:pPr>
        <w:spacing w:line="360" w:lineRule="auto"/>
        <w:ind w:right="50"/>
        <w:jc w:val="both"/>
        <w:rPr>
          <w:rFonts w:ascii="Palatino Linotype" w:eastAsia="Palatino Linotype" w:hAnsi="Palatino Linotype" w:cs="Palatino Linotype"/>
        </w:rPr>
      </w:pPr>
    </w:p>
    <w:p w:rsidR="00895922" w:rsidRPr="002D6522" w:rsidRDefault="00B30EEC">
      <w:pPr>
        <w:ind w:left="993" w:right="1041"/>
        <w:jc w:val="both"/>
        <w:rPr>
          <w:rFonts w:ascii="Palatino Linotype" w:eastAsia="Palatino Linotype" w:hAnsi="Palatino Linotype" w:cs="Palatino Linotype"/>
          <w:b/>
          <w:i/>
        </w:rPr>
      </w:pPr>
      <w:r w:rsidRPr="002D6522">
        <w:rPr>
          <w:rFonts w:ascii="Palatino Linotype" w:eastAsia="Palatino Linotype" w:hAnsi="Palatino Linotype" w:cs="Palatino Linotype"/>
          <w:b/>
          <w:i/>
        </w:rPr>
        <w:t xml:space="preserve"> “Artículo 3. Para los efectos de la presente Ley se entenderá por:</w:t>
      </w: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b/>
          <w:i/>
        </w:rPr>
        <w:t>IX. Datos personales:</w:t>
      </w:r>
      <w:r w:rsidRPr="002D6522">
        <w:rPr>
          <w:rFonts w:ascii="Palatino Linotype" w:eastAsia="Palatino Linotype" w:hAnsi="Palatino Linotype" w:cs="Palatino Linotype"/>
          <w:i/>
        </w:rPr>
        <w:t xml:space="preserve"> </w:t>
      </w:r>
      <w:r w:rsidRPr="002D6522">
        <w:rPr>
          <w:rFonts w:ascii="Palatino Linotype" w:eastAsia="Palatino Linotype" w:hAnsi="Palatino Linotype" w:cs="Palatino Linotype"/>
          <w:b/>
          <w:i/>
        </w:rPr>
        <w:t>La información concerniente a una persona, identificada o identificable</w:t>
      </w:r>
      <w:r w:rsidRPr="002D6522">
        <w:rPr>
          <w:rFonts w:ascii="Palatino Linotype" w:eastAsia="Palatino Linotype" w:hAnsi="Palatino Linotype" w:cs="Palatino Linotype"/>
          <w:i/>
        </w:rPr>
        <w:t xml:space="preserve"> según lo dispuesto por la Ley de Protección de Datos Personales del Estado de México;</w:t>
      </w: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b/>
          <w:i/>
        </w:rPr>
        <w:t>XX. Información clasificada:</w:t>
      </w:r>
      <w:r w:rsidRPr="002D6522">
        <w:rPr>
          <w:rFonts w:ascii="Palatino Linotype" w:eastAsia="Palatino Linotype" w:hAnsi="Palatino Linotype" w:cs="Palatino Linotype"/>
          <w:i/>
        </w:rPr>
        <w:t xml:space="preserve"> Aquella considerada por la presente Ley como reservada o confidencial;</w:t>
      </w: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b/>
          <w:i/>
        </w:rPr>
        <w:t>XXXII. Protección de Datos Personales:</w:t>
      </w:r>
      <w:r w:rsidRPr="002D6522">
        <w:rPr>
          <w:rFonts w:ascii="Palatino Linotype" w:eastAsia="Palatino Linotype" w:hAnsi="Palatino Linotype" w:cs="Palatino Linotype"/>
          <w:i/>
        </w:rPr>
        <w:t xml:space="preserve"> Derecho humano que tutela la privacidad de datos personales en poder de los sujetos obligados y sujetos particulares;</w:t>
      </w: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b/>
          <w:i/>
        </w:rPr>
        <w:lastRenderedPageBreak/>
        <w:t>XLV. Versión pública</w:t>
      </w:r>
      <w:r w:rsidRPr="002D6522">
        <w:rPr>
          <w:rFonts w:ascii="Palatino Linotype" w:eastAsia="Palatino Linotype" w:hAnsi="Palatino Linotype" w:cs="Palatino Linotype"/>
          <w:i/>
        </w:rPr>
        <w:t>: Documento en el que se elimine, suprime o borra la información clasificada como reservada o confidencial para permitir su acceso.”</w:t>
      </w:r>
    </w:p>
    <w:p w:rsidR="00895922" w:rsidRPr="002D6522" w:rsidRDefault="00895922">
      <w:pPr>
        <w:ind w:left="993" w:right="1041"/>
        <w:jc w:val="both"/>
        <w:rPr>
          <w:rFonts w:ascii="Palatino Linotype" w:eastAsia="Palatino Linotype" w:hAnsi="Palatino Linotype" w:cs="Palatino Linotype"/>
          <w:i/>
        </w:rPr>
      </w:pP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6.</w:t>
      </w:r>
      <w:r w:rsidRPr="002D6522">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95922" w:rsidRPr="002D6522" w:rsidRDefault="00895922">
      <w:pPr>
        <w:ind w:left="993" w:right="1041"/>
        <w:jc w:val="both"/>
        <w:rPr>
          <w:rFonts w:ascii="Palatino Linotype" w:eastAsia="Palatino Linotype" w:hAnsi="Palatino Linotype" w:cs="Palatino Linotype"/>
          <w:i/>
        </w:rPr>
      </w:pPr>
    </w:p>
    <w:p w:rsidR="00895922" w:rsidRPr="002D6522" w:rsidRDefault="00B30EEC">
      <w:pPr>
        <w:ind w:left="993" w:right="1041"/>
        <w:jc w:val="both"/>
        <w:rPr>
          <w:rFonts w:ascii="Palatino Linotype" w:eastAsia="Palatino Linotype" w:hAnsi="Palatino Linotype" w:cs="Palatino Linotype"/>
          <w:b/>
          <w:i/>
        </w:rPr>
      </w:pPr>
      <w:r w:rsidRPr="002D6522">
        <w:rPr>
          <w:rFonts w:ascii="Palatino Linotype" w:eastAsia="Palatino Linotype" w:hAnsi="Palatino Linotype" w:cs="Palatino Linotype"/>
          <w:b/>
          <w:i/>
        </w:rPr>
        <w:t>“Artículo 137.</w:t>
      </w:r>
      <w:r w:rsidRPr="002D6522">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95922" w:rsidRPr="002D6522" w:rsidRDefault="00895922">
      <w:pPr>
        <w:ind w:left="993" w:right="1041"/>
        <w:jc w:val="both"/>
        <w:rPr>
          <w:rFonts w:ascii="Palatino Linotype" w:eastAsia="Palatino Linotype" w:hAnsi="Palatino Linotype" w:cs="Palatino Linotype"/>
          <w:b/>
          <w:i/>
        </w:rPr>
      </w:pP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b/>
          <w:i/>
        </w:rPr>
        <w:t>“Artículo 143</w:t>
      </w:r>
      <w:r w:rsidRPr="002D6522">
        <w:rPr>
          <w:rFonts w:ascii="Palatino Linotype" w:eastAsia="Palatino Linotype" w:hAnsi="Palatino Linotype" w:cs="Palatino Linotype"/>
          <w:i/>
        </w:rPr>
        <w:t>. Para los efectos de esta Ley se considera información confidencial, la clasificada como tal, de manera permanente, por su naturaleza, cuando:</w:t>
      </w: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b/>
          <w:i/>
        </w:rPr>
        <w:t>I.</w:t>
      </w:r>
      <w:r w:rsidRPr="002D6522">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895922" w:rsidRPr="002D6522" w:rsidRDefault="00B30EEC">
      <w:pPr>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i/>
        </w:rPr>
        <w:t>III. La que presenten los particulares a los sujetos obligados, de conformidad con lo dispuesto por las leyes o los tratados internacionales.” (Sic)</w:t>
      </w:r>
    </w:p>
    <w:p w:rsidR="00895922" w:rsidRPr="002D6522" w:rsidRDefault="00895922">
      <w:pPr>
        <w:ind w:left="993" w:right="1041"/>
        <w:jc w:val="both"/>
        <w:rPr>
          <w:rFonts w:ascii="Palatino Linotype" w:eastAsia="Palatino Linotype" w:hAnsi="Palatino Linotype" w:cs="Palatino Linotype"/>
          <w:i/>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2D6522">
        <w:rPr>
          <w:rFonts w:ascii="Palatino Linotype" w:eastAsia="Palatino Linotype" w:hAnsi="Palatino Linotype" w:cs="Palatino Linotype"/>
          <w:b/>
        </w:rPr>
        <w:t>RECURRENTE</w:t>
      </w:r>
      <w:r w:rsidRPr="002D6522">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0"/>
        <w:jc w:val="both"/>
        <w:rPr>
          <w:rFonts w:ascii="Palatino Linotype" w:eastAsia="Palatino Linotype" w:hAnsi="Palatino Linotype" w:cs="Palatino Linotype"/>
        </w:rPr>
      </w:pPr>
      <w:r w:rsidRPr="002D6522">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895922" w:rsidRPr="002D6522" w:rsidRDefault="00895922">
      <w:pPr>
        <w:spacing w:line="360" w:lineRule="auto"/>
        <w:ind w:right="50"/>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2D6522">
        <w:rPr>
          <w:rFonts w:ascii="Palatino Linotype" w:eastAsia="Palatino Linotype" w:hAnsi="Palatino Linotype" w:cs="Palatino Linotype"/>
          <w:b/>
        </w:rPr>
        <w:t>SUJETO OBLIGADO</w:t>
      </w:r>
      <w:r w:rsidRPr="002D6522">
        <w:rPr>
          <w:rFonts w:ascii="Palatino Linotype" w:eastAsia="Palatino Linotype" w:hAnsi="Palatino Linotype" w:cs="Palatino Linotype"/>
        </w:rPr>
        <w:t xml:space="preserve">, sino que ello deberá realizarse en </w:t>
      </w:r>
      <w:r w:rsidRPr="002D6522">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rsidR="00895922" w:rsidRPr="002D6522" w:rsidRDefault="00895922">
      <w:pPr>
        <w:spacing w:line="360" w:lineRule="auto"/>
        <w:ind w:right="51"/>
        <w:jc w:val="both"/>
        <w:rPr>
          <w:rFonts w:ascii="Palatino Linotype" w:eastAsia="Palatino Linotype" w:hAnsi="Palatino Linotype" w:cs="Palatino Linotype"/>
          <w:sz w:val="22"/>
        </w:rPr>
      </w:pPr>
    </w:p>
    <w:p w:rsidR="00895922" w:rsidRPr="002D6522" w:rsidRDefault="00B30EEC">
      <w:pPr>
        <w:ind w:left="992" w:right="1043"/>
        <w:jc w:val="both"/>
        <w:rPr>
          <w:rFonts w:ascii="Palatino Linotype" w:eastAsia="Palatino Linotype" w:hAnsi="Palatino Linotype" w:cs="Palatino Linotype"/>
          <w:i/>
          <w:sz w:val="22"/>
        </w:rPr>
      </w:pPr>
      <w:r w:rsidRPr="002D6522">
        <w:rPr>
          <w:rFonts w:ascii="Palatino Linotype" w:eastAsia="Palatino Linotype" w:hAnsi="Palatino Linotype" w:cs="Palatino Linotype"/>
          <w:b/>
          <w:i/>
          <w:sz w:val="22"/>
        </w:rPr>
        <w:t>“Artículo 49.</w:t>
      </w:r>
      <w:r w:rsidRPr="002D6522">
        <w:rPr>
          <w:rFonts w:ascii="Palatino Linotype" w:eastAsia="Palatino Linotype" w:hAnsi="Palatino Linotype" w:cs="Palatino Linotype"/>
          <w:i/>
          <w:sz w:val="22"/>
        </w:rPr>
        <w:t xml:space="preserve"> </w:t>
      </w:r>
      <w:r w:rsidRPr="002D6522">
        <w:rPr>
          <w:rFonts w:ascii="Palatino Linotype" w:eastAsia="Palatino Linotype" w:hAnsi="Palatino Linotype" w:cs="Palatino Linotype"/>
          <w:b/>
          <w:i/>
          <w:sz w:val="22"/>
        </w:rPr>
        <w:t>Los Comités de Transparencia</w:t>
      </w:r>
      <w:r w:rsidRPr="002D6522">
        <w:rPr>
          <w:rFonts w:ascii="Palatino Linotype" w:eastAsia="Palatino Linotype" w:hAnsi="Palatino Linotype" w:cs="Palatino Linotype"/>
          <w:i/>
          <w:sz w:val="22"/>
        </w:rPr>
        <w:t xml:space="preserve"> tendrán las siguientes atribuciones:</w:t>
      </w:r>
    </w:p>
    <w:p w:rsidR="00895922" w:rsidRPr="002D6522" w:rsidRDefault="00B30EEC">
      <w:pPr>
        <w:ind w:left="992" w:right="1043"/>
        <w:jc w:val="both"/>
        <w:rPr>
          <w:rFonts w:ascii="Palatino Linotype" w:eastAsia="Palatino Linotype" w:hAnsi="Palatino Linotype" w:cs="Palatino Linotype"/>
          <w:i/>
          <w:sz w:val="22"/>
        </w:rPr>
      </w:pPr>
      <w:r w:rsidRPr="002D6522">
        <w:rPr>
          <w:rFonts w:ascii="Palatino Linotype" w:eastAsia="Palatino Linotype" w:hAnsi="Palatino Linotype" w:cs="Palatino Linotype"/>
          <w:b/>
          <w:i/>
          <w:sz w:val="22"/>
        </w:rPr>
        <w:t>VIII. Aprobar, modificar o revocar la clasificación de la información</w:t>
      </w:r>
      <w:r w:rsidRPr="002D6522">
        <w:rPr>
          <w:rFonts w:ascii="Palatino Linotype" w:eastAsia="Palatino Linotype" w:hAnsi="Palatino Linotype" w:cs="Palatino Linotype"/>
          <w:i/>
          <w:sz w:val="22"/>
        </w:rPr>
        <w:t>…”</w:t>
      </w:r>
    </w:p>
    <w:p w:rsidR="00895922" w:rsidRPr="002D6522" w:rsidRDefault="00B30EEC">
      <w:pPr>
        <w:spacing w:line="276" w:lineRule="auto"/>
        <w:ind w:left="992" w:right="1043"/>
        <w:jc w:val="both"/>
        <w:rPr>
          <w:rFonts w:ascii="Palatino Linotype" w:eastAsia="Palatino Linotype" w:hAnsi="Palatino Linotype" w:cs="Palatino Linotype"/>
          <w:i/>
          <w:sz w:val="22"/>
        </w:rPr>
      </w:pPr>
      <w:r w:rsidRPr="002D6522">
        <w:rPr>
          <w:rFonts w:ascii="Palatino Linotype" w:eastAsia="Palatino Linotype" w:hAnsi="Palatino Linotype" w:cs="Palatino Linotype"/>
          <w:i/>
          <w:sz w:val="22"/>
        </w:rPr>
        <w:t>“</w:t>
      </w:r>
      <w:r w:rsidRPr="002D6522">
        <w:rPr>
          <w:rFonts w:ascii="Palatino Linotype" w:eastAsia="Palatino Linotype" w:hAnsi="Palatino Linotype" w:cs="Palatino Linotype"/>
          <w:b/>
          <w:i/>
          <w:sz w:val="22"/>
        </w:rPr>
        <w:t>Artículo 53.</w:t>
      </w:r>
      <w:r w:rsidRPr="002D6522">
        <w:rPr>
          <w:rFonts w:ascii="Palatino Linotype" w:eastAsia="Palatino Linotype" w:hAnsi="Palatino Linotype" w:cs="Palatino Linotype"/>
          <w:i/>
          <w:sz w:val="22"/>
        </w:rPr>
        <w:t xml:space="preserve"> Las </w:t>
      </w:r>
      <w:r w:rsidRPr="002D6522">
        <w:rPr>
          <w:rFonts w:ascii="Palatino Linotype" w:eastAsia="Palatino Linotype" w:hAnsi="Palatino Linotype" w:cs="Palatino Linotype"/>
          <w:b/>
          <w:i/>
          <w:sz w:val="22"/>
        </w:rPr>
        <w:t>Unidades de Transparencia</w:t>
      </w:r>
      <w:r w:rsidRPr="002D6522">
        <w:rPr>
          <w:rFonts w:ascii="Palatino Linotype" w:eastAsia="Palatino Linotype" w:hAnsi="Palatino Linotype" w:cs="Palatino Linotype"/>
          <w:i/>
          <w:sz w:val="22"/>
        </w:rPr>
        <w:t xml:space="preserve"> tendrán las siguientes </w:t>
      </w:r>
      <w:r w:rsidRPr="002D6522">
        <w:rPr>
          <w:rFonts w:ascii="Palatino Linotype" w:eastAsia="Palatino Linotype" w:hAnsi="Palatino Linotype" w:cs="Palatino Linotype"/>
          <w:b/>
          <w:i/>
          <w:sz w:val="22"/>
        </w:rPr>
        <w:t>funciones</w:t>
      </w:r>
      <w:r w:rsidRPr="002D6522">
        <w:rPr>
          <w:rFonts w:ascii="Palatino Linotype" w:eastAsia="Palatino Linotype" w:hAnsi="Palatino Linotype" w:cs="Palatino Linotype"/>
          <w:i/>
          <w:sz w:val="22"/>
        </w:rPr>
        <w:t>:</w:t>
      </w:r>
    </w:p>
    <w:p w:rsidR="00895922" w:rsidRPr="002D6522" w:rsidRDefault="00B30EEC">
      <w:pPr>
        <w:spacing w:line="276" w:lineRule="auto"/>
        <w:ind w:left="992" w:right="1043"/>
        <w:jc w:val="both"/>
        <w:rPr>
          <w:rFonts w:ascii="Palatino Linotype" w:eastAsia="Palatino Linotype" w:hAnsi="Palatino Linotype" w:cs="Palatino Linotype"/>
          <w:i/>
          <w:sz w:val="22"/>
        </w:rPr>
      </w:pPr>
      <w:r w:rsidRPr="002D6522">
        <w:rPr>
          <w:rFonts w:ascii="Palatino Linotype" w:eastAsia="Palatino Linotype" w:hAnsi="Palatino Linotype" w:cs="Palatino Linotype"/>
          <w:b/>
          <w:i/>
          <w:sz w:val="22"/>
        </w:rPr>
        <w:t>X. Presentar ante el Comité, el proyecto de clasificación de información</w:t>
      </w:r>
      <w:r w:rsidRPr="002D6522">
        <w:rPr>
          <w:rFonts w:ascii="Palatino Linotype" w:eastAsia="Palatino Linotype" w:hAnsi="Palatino Linotype" w:cs="Palatino Linotype"/>
          <w:i/>
          <w:sz w:val="22"/>
        </w:rPr>
        <w:t xml:space="preserve">…” </w:t>
      </w:r>
    </w:p>
    <w:p w:rsidR="00895922" w:rsidRPr="002D6522" w:rsidRDefault="00B30EEC">
      <w:pPr>
        <w:spacing w:line="276" w:lineRule="auto"/>
        <w:ind w:left="992" w:right="1043"/>
        <w:jc w:val="both"/>
        <w:rPr>
          <w:rFonts w:ascii="Palatino Linotype" w:eastAsia="Palatino Linotype" w:hAnsi="Palatino Linotype" w:cs="Palatino Linotype"/>
          <w:i/>
          <w:sz w:val="22"/>
        </w:rPr>
      </w:pPr>
      <w:r w:rsidRPr="002D6522">
        <w:rPr>
          <w:rFonts w:ascii="Palatino Linotype" w:eastAsia="Palatino Linotype" w:hAnsi="Palatino Linotype" w:cs="Palatino Linotype"/>
          <w:b/>
          <w:i/>
          <w:sz w:val="22"/>
        </w:rPr>
        <w:t>“Artículo 59.</w:t>
      </w:r>
      <w:r w:rsidRPr="002D6522">
        <w:rPr>
          <w:rFonts w:ascii="Palatino Linotype" w:eastAsia="Palatino Linotype" w:hAnsi="Palatino Linotype" w:cs="Palatino Linotype"/>
          <w:i/>
          <w:sz w:val="22"/>
        </w:rPr>
        <w:t xml:space="preserve"> Los </w:t>
      </w:r>
      <w:r w:rsidRPr="002D6522">
        <w:rPr>
          <w:rFonts w:ascii="Palatino Linotype" w:eastAsia="Palatino Linotype" w:hAnsi="Palatino Linotype" w:cs="Palatino Linotype"/>
          <w:b/>
          <w:i/>
          <w:sz w:val="22"/>
        </w:rPr>
        <w:t>servidores públicos habilitados</w:t>
      </w:r>
      <w:r w:rsidRPr="002D6522">
        <w:rPr>
          <w:rFonts w:ascii="Palatino Linotype" w:eastAsia="Palatino Linotype" w:hAnsi="Palatino Linotype" w:cs="Palatino Linotype"/>
          <w:i/>
          <w:sz w:val="22"/>
        </w:rPr>
        <w:t xml:space="preserve"> tendrán las </w:t>
      </w:r>
      <w:r w:rsidRPr="002D6522">
        <w:rPr>
          <w:rFonts w:ascii="Palatino Linotype" w:eastAsia="Palatino Linotype" w:hAnsi="Palatino Linotype" w:cs="Palatino Linotype"/>
          <w:b/>
          <w:i/>
          <w:sz w:val="22"/>
        </w:rPr>
        <w:t>funciones</w:t>
      </w:r>
      <w:r w:rsidRPr="002D6522">
        <w:rPr>
          <w:rFonts w:ascii="Palatino Linotype" w:eastAsia="Palatino Linotype" w:hAnsi="Palatino Linotype" w:cs="Palatino Linotype"/>
          <w:i/>
          <w:sz w:val="22"/>
        </w:rPr>
        <w:t xml:space="preserve"> siguientes:</w:t>
      </w:r>
    </w:p>
    <w:p w:rsidR="00895922" w:rsidRPr="002D6522" w:rsidRDefault="00B30EEC">
      <w:pPr>
        <w:spacing w:line="276" w:lineRule="auto"/>
        <w:ind w:left="992" w:right="1043"/>
        <w:jc w:val="both"/>
        <w:rPr>
          <w:rFonts w:ascii="Palatino Linotype" w:eastAsia="Palatino Linotype" w:hAnsi="Palatino Linotype" w:cs="Palatino Linotype"/>
          <w:i/>
          <w:sz w:val="22"/>
        </w:rPr>
      </w:pPr>
      <w:r w:rsidRPr="002D6522">
        <w:rPr>
          <w:rFonts w:ascii="Palatino Linotype" w:eastAsia="Palatino Linotype" w:hAnsi="Palatino Linotype" w:cs="Palatino Linotype"/>
          <w:b/>
          <w:i/>
          <w:sz w:val="22"/>
        </w:rPr>
        <w:t>V. Integrar y presentar al responsable de la Unidad de Transparencia la propuesta de clasificación de información</w:t>
      </w:r>
      <w:r w:rsidRPr="002D6522">
        <w:rPr>
          <w:rFonts w:ascii="Palatino Linotype" w:eastAsia="Palatino Linotype" w:hAnsi="Palatino Linotype" w:cs="Palatino Linotype"/>
          <w:i/>
          <w:sz w:val="22"/>
        </w:rPr>
        <w:t>, la cual tendrá los fundamentos y argumentos en que se basa dicha propuesta…” (Sic)</w:t>
      </w:r>
    </w:p>
    <w:p w:rsidR="00895922" w:rsidRPr="002D6522" w:rsidRDefault="00895922">
      <w:pPr>
        <w:spacing w:line="360" w:lineRule="auto"/>
        <w:ind w:left="992" w:right="1043"/>
        <w:jc w:val="both"/>
        <w:rPr>
          <w:rFonts w:ascii="Palatino Linotype" w:eastAsia="Palatino Linotype" w:hAnsi="Palatino Linotype" w:cs="Palatino Linotype"/>
          <w:i/>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276" w:lineRule="auto"/>
        <w:ind w:left="993" w:right="1041"/>
        <w:jc w:val="both"/>
        <w:rPr>
          <w:rFonts w:ascii="Palatino Linotype" w:eastAsia="Palatino Linotype" w:hAnsi="Palatino Linotype" w:cs="Palatino Linotype"/>
          <w:i/>
        </w:rPr>
      </w:pPr>
      <w:r w:rsidRPr="002D6522">
        <w:rPr>
          <w:rFonts w:ascii="Palatino Linotype" w:eastAsia="Palatino Linotype" w:hAnsi="Palatino Linotype" w:cs="Palatino Linotype"/>
          <w:i/>
          <w:sz w:val="22"/>
        </w:rPr>
        <w:t>“</w:t>
      </w:r>
      <w:r w:rsidRPr="002D6522">
        <w:rPr>
          <w:rFonts w:ascii="Palatino Linotype" w:eastAsia="Palatino Linotype" w:hAnsi="Palatino Linotype" w:cs="Palatino Linotype"/>
          <w:b/>
          <w:i/>
          <w:sz w:val="22"/>
        </w:rPr>
        <w:t>Artículo 149.</w:t>
      </w:r>
      <w:r w:rsidRPr="002D6522">
        <w:rPr>
          <w:rFonts w:ascii="Palatino Linotype" w:eastAsia="Palatino Linotype" w:hAnsi="Palatino Linotype" w:cs="Palatino Linotype"/>
          <w:i/>
          <w:sz w:val="22"/>
        </w:rPr>
        <w:t xml:space="preserve"> El </w:t>
      </w:r>
      <w:r w:rsidRPr="002D6522">
        <w:rPr>
          <w:rFonts w:ascii="Palatino Linotype" w:eastAsia="Palatino Linotype" w:hAnsi="Palatino Linotype" w:cs="Palatino Linotype"/>
          <w:b/>
          <w:i/>
          <w:sz w:val="22"/>
        </w:rPr>
        <w:t>acuerdo que clasifique la información como confidencial</w:t>
      </w:r>
      <w:r w:rsidRPr="002D6522">
        <w:rPr>
          <w:rFonts w:ascii="Palatino Linotype" w:eastAsia="Palatino Linotype" w:hAnsi="Palatino Linotype" w:cs="Palatino Linotype"/>
          <w:i/>
          <w:sz w:val="22"/>
        </w:rPr>
        <w:t xml:space="preserve"> deberá contener un razonamiento lógico en el que demuestre que la información se encuentra en alguna o algunas de las hipótesis previstas en la presente Ley.”(Sic</w:t>
      </w:r>
      <w:r w:rsidRPr="002D6522">
        <w:rPr>
          <w:rFonts w:ascii="Palatino Linotype" w:eastAsia="Palatino Linotype" w:hAnsi="Palatino Linotype" w:cs="Palatino Linotype"/>
          <w:i/>
        </w:rPr>
        <w:t>)</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Es decir, el </w:t>
      </w:r>
      <w:r w:rsidRPr="002D6522">
        <w:rPr>
          <w:rFonts w:ascii="Palatino Linotype" w:eastAsia="Palatino Linotype" w:hAnsi="Palatino Linotype" w:cs="Palatino Linotype"/>
          <w:b/>
        </w:rPr>
        <w:t>SUJETO OBLIGADO</w:t>
      </w:r>
      <w:r w:rsidRPr="002D6522">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895922" w:rsidRPr="002D6522" w:rsidRDefault="00895922">
      <w:pPr>
        <w:spacing w:line="360" w:lineRule="auto"/>
        <w:ind w:right="51"/>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rsidR="00895922" w:rsidRPr="002D6522" w:rsidRDefault="00895922">
      <w:pPr>
        <w:spacing w:line="360" w:lineRule="auto"/>
        <w:ind w:right="50"/>
        <w:jc w:val="both"/>
        <w:rPr>
          <w:rFonts w:ascii="Palatino Linotype" w:eastAsia="Palatino Linotype" w:hAnsi="Palatino Linotype" w:cs="Palatino Linotype"/>
        </w:rPr>
      </w:pPr>
    </w:p>
    <w:p w:rsidR="00895922" w:rsidRPr="002D6522" w:rsidRDefault="00B30EEC">
      <w:pPr>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895922" w:rsidRPr="002D6522" w:rsidRDefault="00895922">
      <w:pPr>
        <w:spacing w:line="360" w:lineRule="auto"/>
        <w:ind w:right="50"/>
        <w:jc w:val="both"/>
        <w:rPr>
          <w:rFonts w:ascii="Palatino Linotype" w:eastAsia="Palatino Linotype" w:hAnsi="Palatino Linotype" w:cs="Palatino Linotype"/>
        </w:rPr>
      </w:pPr>
    </w:p>
    <w:p w:rsidR="00895922" w:rsidRPr="002D6522" w:rsidRDefault="00B30EEC">
      <w:pPr>
        <w:spacing w:line="360" w:lineRule="auto"/>
        <w:ind w:right="50"/>
        <w:jc w:val="both"/>
        <w:rPr>
          <w:rFonts w:ascii="Palatino Linotype" w:eastAsia="Palatino Linotype" w:hAnsi="Palatino Linotype" w:cs="Palatino Linotype"/>
        </w:rPr>
      </w:pPr>
      <w:r w:rsidRPr="002D6522">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rsidR="00895922" w:rsidRPr="002D6522" w:rsidRDefault="00895922">
      <w:pPr>
        <w:ind w:right="50"/>
        <w:jc w:val="both"/>
        <w:rPr>
          <w:rFonts w:ascii="Palatino Linotype" w:eastAsia="Palatino Linotype" w:hAnsi="Palatino Linotype" w:cs="Palatino Linotype"/>
        </w:rPr>
      </w:pPr>
    </w:p>
    <w:p w:rsidR="00895922" w:rsidRPr="002D6522" w:rsidRDefault="00B30EEC">
      <w:pPr>
        <w:spacing w:line="276" w:lineRule="auto"/>
        <w:ind w:left="851" w:right="1134"/>
        <w:jc w:val="both"/>
        <w:rPr>
          <w:rFonts w:ascii="Palatino Linotype" w:eastAsia="Palatino Linotype" w:hAnsi="Palatino Linotype" w:cs="Palatino Linotype"/>
          <w:i/>
          <w:sz w:val="22"/>
        </w:rPr>
      </w:pPr>
      <w:r w:rsidRPr="002D6522">
        <w:rPr>
          <w:rFonts w:ascii="Palatino Linotype" w:eastAsia="Palatino Linotype" w:hAnsi="Palatino Linotype" w:cs="Palatino Linotype"/>
          <w:b/>
          <w:i/>
          <w:sz w:val="22"/>
        </w:rPr>
        <w:t>“Cuentas bancarias y/o CLABE interbancaria de personas físicas y morales privadas.</w:t>
      </w:r>
      <w:r w:rsidRPr="002D6522">
        <w:rPr>
          <w:rFonts w:ascii="Palatino Linotype" w:eastAsia="Palatino Linotype" w:hAnsi="Palatino Linotype" w:cs="Palatino Linotype"/>
          <w:i/>
          <w:sz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95922" w:rsidRPr="002D6522" w:rsidRDefault="00895922">
      <w:pPr>
        <w:ind w:left="851" w:right="1134"/>
        <w:jc w:val="both"/>
        <w:rPr>
          <w:rFonts w:ascii="Palatino Linotype" w:eastAsia="Palatino Linotype" w:hAnsi="Palatino Linotype" w:cs="Palatino Linotype"/>
        </w:rPr>
      </w:pPr>
    </w:p>
    <w:p w:rsidR="00895922" w:rsidRPr="002D6522" w:rsidRDefault="00B30EEC">
      <w:pPr>
        <w:spacing w:line="360" w:lineRule="auto"/>
        <w:ind w:right="50"/>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w:t>
      </w:r>
      <w:r w:rsidRPr="002D6522">
        <w:rPr>
          <w:rFonts w:ascii="Palatino Linotype" w:eastAsia="Palatino Linotype" w:hAnsi="Palatino Linotype" w:cs="Palatino Linotype"/>
        </w:rPr>
        <w:lastRenderedPageBreak/>
        <w:t>Acceso a la Información Pública del Estado de México y Municipios, el cual para mayor referencia se inserta a continuación:</w:t>
      </w:r>
    </w:p>
    <w:p w:rsidR="00895922" w:rsidRPr="002D6522" w:rsidRDefault="00895922">
      <w:pPr>
        <w:ind w:right="50"/>
        <w:jc w:val="both"/>
        <w:rPr>
          <w:rFonts w:ascii="Palatino Linotype" w:eastAsia="Palatino Linotype" w:hAnsi="Palatino Linotype" w:cs="Palatino Linotype"/>
        </w:rPr>
      </w:pPr>
    </w:p>
    <w:p w:rsidR="00895922" w:rsidRPr="002D6522" w:rsidRDefault="00B30EEC">
      <w:pPr>
        <w:ind w:left="851" w:right="1134"/>
        <w:jc w:val="both"/>
        <w:rPr>
          <w:rFonts w:ascii="Palatino Linotype" w:eastAsia="Palatino Linotype" w:hAnsi="Palatino Linotype" w:cs="Palatino Linotype"/>
          <w:i/>
        </w:rPr>
      </w:pPr>
      <w:r w:rsidRPr="002D6522">
        <w:rPr>
          <w:rFonts w:ascii="Palatino Linotype" w:eastAsia="Palatino Linotype" w:hAnsi="Palatino Linotype" w:cs="Palatino Linotype"/>
          <w:i/>
          <w:sz w:val="22"/>
        </w:rPr>
        <w:t>“</w:t>
      </w:r>
      <w:r w:rsidRPr="002D6522">
        <w:rPr>
          <w:rFonts w:ascii="Palatino Linotype" w:eastAsia="Palatino Linotype" w:hAnsi="Palatino Linotype" w:cs="Palatino Linotype"/>
          <w:b/>
          <w:i/>
          <w:sz w:val="22"/>
        </w:rPr>
        <w:t>Cuentas bancarias y/o CLABE interbancaria de sujetos obligados que reciben y/o transfieren recursos públicos, son información pública.</w:t>
      </w:r>
      <w:r w:rsidRPr="002D6522">
        <w:rPr>
          <w:rFonts w:ascii="Palatino Linotype" w:eastAsia="Palatino Linotype" w:hAnsi="Palatino Linotype" w:cs="Palatino Linotype"/>
          <w:i/>
          <w:sz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r w:rsidRPr="002D6522">
        <w:rPr>
          <w:rFonts w:ascii="Palatino Linotype" w:eastAsia="Palatino Linotype" w:hAnsi="Palatino Linotype" w:cs="Palatino Linotype"/>
          <w:i/>
        </w:rPr>
        <w:t>“</w:t>
      </w:r>
    </w:p>
    <w:p w:rsidR="00ED6CFC" w:rsidRPr="002D6522" w:rsidRDefault="00ED6CFC" w:rsidP="00ED6CFC">
      <w:pPr>
        <w:spacing w:before="240" w:after="240" w:line="360" w:lineRule="auto"/>
        <w:ind w:right="40"/>
        <w:contextualSpacing/>
        <w:jc w:val="both"/>
        <w:rPr>
          <w:rFonts w:ascii="Palatino Linotype" w:eastAsia="Palatino Linotype" w:hAnsi="Palatino Linotype" w:cs="Palatino Linotype"/>
        </w:rPr>
      </w:pPr>
    </w:p>
    <w:p w:rsidR="00895922" w:rsidRPr="002D6522" w:rsidRDefault="00B30EEC" w:rsidP="00ED6CFC">
      <w:pPr>
        <w:spacing w:before="240" w:after="240" w:line="360" w:lineRule="auto"/>
        <w:ind w:right="40"/>
        <w:contextualSpacing/>
        <w:jc w:val="both"/>
        <w:rPr>
          <w:rFonts w:ascii="Palatino Linotype" w:eastAsia="Palatino Linotype" w:hAnsi="Palatino Linotype" w:cs="Palatino Linotype"/>
        </w:rPr>
      </w:pPr>
      <w:r w:rsidRPr="002D6522">
        <w:rPr>
          <w:rFonts w:ascii="Palatino Linotype" w:eastAsia="Palatino Linotype" w:hAnsi="Palatino Linotype" w:cs="Palatino Linotype"/>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los contratos que vayan a ser entregados.</w:t>
      </w:r>
    </w:p>
    <w:p w:rsidR="00ED6CFC" w:rsidRPr="002D6522" w:rsidRDefault="00B30EEC" w:rsidP="00ED6CFC">
      <w:pPr>
        <w:spacing w:before="240" w:after="240" w:line="360" w:lineRule="auto"/>
        <w:ind w:right="40"/>
        <w:contextualSpacing/>
        <w:jc w:val="both"/>
        <w:rPr>
          <w:rFonts w:ascii="Palatino Linotype" w:eastAsia="Palatino Linotype" w:hAnsi="Palatino Linotype" w:cs="Palatino Linotype"/>
        </w:rPr>
      </w:pPr>
      <w:r w:rsidRPr="002D6522">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ED6CFC" w:rsidRPr="002D6522" w:rsidRDefault="00ED6CFC" w:rsidP="00ED6CFC">
      <w:pPr>
        <w:spacing w:before="240" w:after="240" w:line="360" w:lineRule="auto"/>
        <w:ind w:right="40"/>
        <w:contextualSpacing/>
        <w:jc w:val="both"/>
        <w:rPr>
          <w:rFonts w:ascii="Palatino Linotype" w:eastAsia="Palatino Linotype" w:hAnsi="Palatino Linotype" w:cs="Palatino Linotype"/>
        </w:rPr>
      </w:pPr>
    </w:p>
    <w:p w:rsidR="00895922" w:rsidRPr="002D6522" w:rsidRDefault="00B30EEC" w:rsidP="00ED6CFC">
      <w:pPr>
        <w:spacing w:before="240" w:after="240" w:line="360" w:lineRule="auto"/>
        <w:ind w:right="40"/>
        <w:contextualSpacing/>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w:t>
      </w:r>
      <w:r w:rsidRPr="002D6522">
        <w:rPr>
          <w:rFonts w:ascii="Palatino Linotype" w:eastAsia="Palatino Linotype" w:hAnsi="Palatino Linotype" w:cs="Palatino Linotype"/>
        </w:rPr>
        <w:lastRenderedPageBreak/>
        <w:t>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ED6CFC" w:rsidRPr="002D6522" w:rsidRDefault="00ED6CFC" w:rsidP="00ED6CFC">
      <w:pPr>
        <w:spacing w:before="240" w:after="240" w:line="360" w:lineRule="auto"/>
        <w:ind w:right="40"/>
        <w:contextualSpacing/>
        <w:jc w:val="both"/>
        <w:rPr>
          <w:rFonts w:ascii="Palatino Linotype" w:eastAsia="Palatino Linotype" w:hAnsi="Palatino Linotype" w:cs="Palatino Linotype"/>
        </w:rPr>
      </w:pPr>
    </w:p>
    <w:p w:rsidR="00895922" w:rsidRPr="002D6522" w:rsidRDefault="00B30EEC" w:rsidP="00ED6CFC">
      <w:pPr>
        <w:spacing w:before="240" w:after="240" w:line="360" w:lineRule="auto"/>
        <w:ind w:right="40"/>
        <w:contextualSpacing/>
        <w:jc w:val="both"/>
        <w:rPr>
          <w:rFonts w:ascii="Palatino Linotype" w:eastAsia="Palatino Linotype" w:hAnsi="Palatino Linotype" w:cs="Palatino Linotype"/>
        </w:rPr>
      </w:pPr>
      <w:r w:rsidRPr="002D6522">
        <w:rPr>
          <w:rFonts w:ascii="Palatino Linotype" w:eastAsia="Palatino Linotype" w:hAnsi="Palatino Linotype" w:cs="Palatino Linotype"/>
        </w:rPr>
        <w:t>Robustece lo anterior el criterio SO/004/2021 del Instituto Nacional de Transparencia, Acceso a la Información y Protección de Datos Personales que señala:</w:t>
      </w:r>
    </w:p>
    <w:p w:rsidR="00895922" w:rsidRPr="002D6522" w:rsidRDefault="00B30EEC" w:rsidP="00E2527B">
      <w:pPr>
        <w:spacing w:line="276" w:lineRule="auto"/>
        <w:ind w:left="851" w:right="900"/>
        <w:jc w:val="both"/>
        <w:rPr>
          <w:rFonts w:ascii="Palatino Linotype" w:eastAsia="Palatino Linotype" w:hAnsi="Palatino Linotype" w:cs="Palatino Linotype"/>
          <w:i/>
          <w:sz w:val="22"/>
        </w:rPr>
      </w:pPr>
      <w:r w:rsidRPr="002D6522">
        <w:rPr>
          <w:rFonts w:ascii="Palatino Linotype" w:eastAsia="Palatino Linotype" w:hAnsi="Palatino Linotype" w:cs="Palatino Linotype"/>
          <w:b/>
          <w:i/>
          <w:sz w:val="22"/>
        </w:rPr>
        <w:t xml:space="preserve">Registro Federal de Contribuyentes (RFC) de personas físicas proveedores o contratistas. </w:t>
      </w:r>
      <w:r w:rsidRPr="002D6522">
        <w:rPr>
          <w:rFonts w:ascii="Palatino Linotype" w:eastAsia="Palatino Linotype" w:hAnsi="Palatino Linotype" w:cs="Palatino Linotype"/>
          <w:i/>
          <w:sz w:val="22"/>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rsidR="00895922" w:rsidRPr="002D6522" w:rsidRDefault="00B30EEC" w:rsidP="00E2527B">
      <w:pPr>
        <w:spacing w:line="276" w:lineRule="auto"/>
        <w:ind w:left="851" w:right="900"/>
        <w:jc w:val="both"/>
        <w:rPr>
          <w:rFonts w:ascii="Palatino Linotype" w:eastAsia="Palatino Linotype" w:hAnsi="Palatino Linotype" w:cs="Palatino Linotype"/>
          <w:i/>
          <w:sz w:val="22"/>
        </w:rPr>
      </w:pPr>
      <w:r w:rsidRPr="002D6522">
        <w:rPr>
          <w:rFonts w:ascii="Palatino Linotype" w:eastAsia="Palatino Linotype" w:hAnsi="Palatino Linotype" w:cs="Palatino Linotype"/>
          <w:i/>
          <w:sz w:val="22"/>
        </w:rPr>
        <w:t xml:space="preserve"> </w:t>
      </w:r>
    </w:p>
    <w:p w:rsidR="00895922" w:rsidRPr="002D6522" w:rsidRDefault="00B30EEC" w:rsidP="00E2527B">
      <w:pPr>
        <w:spacing w:line="276" w:lineRule="auto"/>
        <w:ind w:left="851" w:right="900"/>
        <w:jc w:val="both"/>
        <w:rPr>
          <w:rFonts w:ascii="Palatino Linotype" w:eastAsia="Palatino Linotype" w:hAnsi="Palatino Linotype" w:cs="Palatino Linotype"/>
          <w:b/>
          <w:i/>
          <w:sz w:val="22"/>
        </w:rPr>
      </w:pPr>
      <w:r w:rsidRPr="002D6522">
        <w:rPr>
          <w:rFonts w:ascii="Palatino Linotype" w:eastAsia="Palatino Linotype" w:hAnsi="Palatino Linotype" w:cs="Palatino Linotype"/>
          <w:b/>
          <w:i/>
          <w:sz w:val="22"/>
        </w:rPr>
        <w:t>Precedentes:</w:t>
      </w:r>
    </w:p>
    <w:p w:rsidR="00895922" w:rsidRPr="002D6522" w:rsidRDefault="00B30EEC" w:rsidP="00E2527B">
      <w:pPr>
        <w:spacing w:line="276" w:lineRule="auto"/>
        <w:ind w:left="851" w:right="900"/>
        <w:jc w:val="both"/>
        <w:rPr>
          <w:rFonts w:ascii="Palatino Linotype" w:eastAsia="Palatino Linotype" w:hAnsi="Palatino Linotype" w:cs="Palatino Linotype"/>
          <w:i/>
          <w:sz w:val="22"/>
        </w:rPr>
      </w:pPr>
      <w:r w:rsidRPr="002D6522">
        <w:rPr>
          <w:rFonts w:ascii="Palatino Linotype" w:eastAsia="Palatino Linotype" w:hAnsi="Palatino Linotype" w:cs="Palatino Linotype"/>
          <w:sz w:val="22"/>
        </w:rPr>
        <w:t>·</w:t>
      </w:r>
      <w:r w:rsidRPr="002D6522">
        <w:rPr>
          <w:sz w:val="12"/>
          <w:szCs w:val="14"/>
        </w:rPr>
        <w:t xml:space="preserve">         </w:t>
      </w:r>
      <w:r w:rsidRPr="002D6522">
        <w:rPr>
          <w:rFonts w:ascii="Palatino Linotype" w:eastAsia="Palatino Linotype" w:hAnsi="Palatino Linotype" w:cs="Palatino Linotype"/>
          <w:i/>
          <w:sz w:val="22"/>
        </w:rPr>
        <w:t>Acceso a la información Pública. RRA 3639/19.</w:t>
      </w:r>
      <w:r w:rsidRPr="002D6522">
        <w:rPr>
          <w:rFonts w:ascii="Palatino Linotype" w:eastAsia="Palatino Linotype" w:hAnsi="Palatino Linotype" w:cs="Palatino Linotype"/>
          <w:b/>
          <w:i/>
          <w:sz w:val="22"/>
        </w:rPr>
        <w:t xml:space="preserve"> </w:t>
      </w:r>
      <w:r w:rsidRPr="002D6522">
        <w:rPr>
          <w:rFonts w:ascii="Palatino Linotype" w:eastAsia="Palatino Linotype" w:hAnsi="Palatino Linotype" w:cs="Palatino Linotype"/>
          <w:i/>
          <w:sz w:val="22"/>
        </w:rPr>
        <w:t>Sesión del 10 de julio de 2019. Votación por mayoría. Con voto disidente del Comisionado Joel Salas Suárez. Instituto para la Protección del Ahorro Bancario. Comisionada Ponente María Patricia Kurczyn Villalobos.</w:t>
      </w:r>
    </w:p>
    <w:p w:rsidR="00895922" w:rsidRPr="002D6522" w:rsidRDefault="00B30EEC" w:rsidP="00E2527B">
      <w:pPr>
        <w:spacing w:line="276" w:lineRule="auto"/>
        <w:ind w:left="851" w:right="900"/>
        <w:jc w:val="both"/>
        <w:rPr>
          <w:rFonts w:ascii="Palatino Linotype" w:eastAsia="Palatino Linotype" w:hAnsi="Palatino Linotype" w:cs="Palatino Linotype"/>
          <w:i/>
          <w:sz w:val="22"/>
        </w:rPr>
      </w:pPr>
      <w:r w:rsidRPr="002D6522">
        <w:rPr>
          <w:rFonts w:ascii="Palatino Linotype" w:eastAsia="Palatino Linotype" w:hAnsi="Palatino Linotype" w:cs="Palatino Linotype"/>
          <w:sz w:val="22"/>
        </w:rPr>
        <w:t>·</w:t>
      </w:r>
      <w:r w:rsidRPr="002D6522">
        <w:rPr>
          <w:sz w:val="12"/>
          <w:szCs w:val="14"/>
        </w:rPr>
        <w:t xml:space="preserve">         </w:t>
      </w:r>
      <w:r w:rsidRPr="002D6522">
        <w:rPr>
          <w:rFonts w:ascii="Palatino Linotype" w:eastAsia="Palatino Linotype" w:hAnsi="Palatino Linotype" w:cs="Palatino Linotype"/>
          <w:i/>
          <w:sz w:val="22"/>
        </w:rPr>
        <w:t>Acceso a la información Pública. RRA 7709/19.</w:t>
      </w:r>
      <w:r w:rsidRPr="002D6522">
        <w:rPr>
          <w:rFonts w:ascii="Palatino Linotype" w:eastAsia="Palatino Linotype" w:hAnsi="Palatino Linotype" w:cs="Palatino Linotype"/>
          <w:b/>
          <w:i/>
          <w:sz w:val="22"/>
        </w:rPr>
        <w:t xml:space="preserve"> </w:t>
      </w:r>
      <w:r w:rsidRPr="002D6522">
        <w:rPr>
          <w:rFonts w:ascii="Palatino Linotype" w:eastAsia="Palatino Linotype" w:hAnsi="Palatino Linotype" w:cs="Palatino Linotype"/>
          <w:i/>
          <w:sz w:val="22"/>
        </w:rPr>
        <w:t>Sesión del 13 de agosto de 2019. Votación por unanimidad. Con voto particular de la Comisionada Josefina Román Vergara. Suprema Corte de Justicia de la Nación. Comisionada Ponente Josefina Román Vergara.</w:t>
      </w:r>
    </w:p>
    <w:p w:rsidR="00895922" w:rsidRPr="002D6522" w:rsidRDefault="00B30EEC" w:rsidP="00E2527B">
      <w:pPr>
        <w:spacing w:line="276" w:lineRule="auto"/>
        <w:ind w:left="851" w:right="900"/>
        <w:jc w:val="both"/>
        <w:rPr>
          <w:rFonts w:ascii="Palatino Linotype" w:eastAsia="Palatino Linotype" w:hAnsi="Palatino Linotype" w:cs="Palatino Linotype"/>
          <w:sz w:val="22"/>
        </w:rPr>
      </w:pPr>
      <w:r w:rsidRPr="002D6522">
        <w:rPr>
          <w:rFonts w:ascii="Palatino Linotype" w:eastAsia="Palatino Linotype" w:hAnsi="Palatino Linotype" w:cs="Palatino Linotype"/>
          <w:sz w:val="22"/>
        </w:rPr>
        <w:t>·</w:t>
      </w:r>
      <w:r w:rsidRPr="002D6522">
        <w:rPr>
          <w:sz w:val="12"/>
          <w:szCs w:val="14"/>
        </w:rPr>
        <w:t xml:space="preserve">         </w:t>
      </w:r>
      <w:r w:rsidRPr="002D6522">
        <w:rPr>
          <w:rFonts w:ascii="Palatino Linotype" w:eastAsia="Palatino Linotype" w:hAnsi="Palatino Linotype" w:cs="Palatino Linotype"/>
          <w:i/>
          <w:sz w:val="22"/>
        </w:rPr>
        <w:t>Acceso a la información Pública. RRA 5774/19.</w:t>
      </w:r>
      <w:r w:rsidRPr="002D6522">
        <w:rPr>
          <w:rFonts w:ascii="Palatino Linotype" w:eastAsia="Palatino Linotype" w:hAnsi="Palatino Linotype" w:cs="Palatino Linotype"/>
          <w:b/>
          <w:i/>
          <w:sz w:val="22"/>
        </w:rPr>
        <w:t xml:space="preserve"> </w:t>
      </w:r>
      <w:r w:rsidRPr="002D6522">
        <w:rPr>
          <w:rFonts w:ascii="Palatino Linotype" w:eastAsia="Palatino Linotype" w:hAnsi="Palatino Linotype" w:cs="Palatino Linotype"/>
          <w:i/>
          <w:sz w:val="22"/>
        </w:rPr>
        <w:t>Sesión del 21 de agosto de 2019. Votación por mayoría. Con voto disidente del Comisionado Joel Salas Suárez. Secretaría de Marina. Comisionada Ponente Blanca Lilia Ibarra Cadena.</w:t>
      </w:r>
    </w:p>
    <w:p w:rsidR="00895922" w:rsidRPr="002D6522" w:rsidRDefault="00895922">
      <w:pPr>
        <w:spacing w:line="360" w:lineRule="auto"/>
        <w:ind w:right="50"/>
        <w:jc w:val="both"/>
        <w:rPr>
          <w:rFonts w:ascii="Palatino Linotype" w:eastAsia="Palatino Linotype" w:hAnsi="Palatino Linotype" w:cs="Palatino Linotype"/>
        </w:rPr>
      </w:pPr>
    </w:p>
    <w:p w:rsidR="00895922" w:rsidRPr="002D6522" w:rsidRDefault="00B30EEC">
      <w:pPr>
        <w:spacing w:line="360" w:lineRule="auto"/>
        <w:ind w:right="50"/>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895922" w:rsidRPr="002D6522" w:rsidRDefault="00895922">
      <w:pPr>
        <w:spacing w:line="360" w:lineRule="auto"/>
        <w:ind w:right="50"/>
        <w:jc w:val="both"/>
        <w:rPr>
          <w:rFonts w:ascii="Palatino Linotype" w:eastAsia="Palatino Linotype" w:hAnsi="Palatino Linotype" w:cs="Palatino Linotype"/>
        </w:rPr>
      </w:pPr>
    </w:p>
    <w:p w:rsidR="00895922" w:rsidRPr="002D6522" w:rsidRDefault="00B30EEC" w:rsidP="00E2527B">
      <w:pPr>
        <w:spacing w:line="360" w:lineRule="auto"/>
        <w:ind w:right="50"/>
        <w:contextualSpacing/>
        <w:jc w:val="both"/>
        <w:rPr>
          <w:rFonts w:ascii="Palatino Linotype" w:eastAsia="Palatino Linotype" w:hAnsi="Palatino Linotype" w:cs="Palatino Linotype"/>
        </w:rPr>
      </w:pPr>
      <w:r w:rsidRPr="002D6522">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895922" w:rsidRPr="002D6522" w:rsidRDefault="00895922" w:rsidP="00E2527B">
      <w:pPr>
        <w:spacing w:line="360" w:lineRule="auto"/>
        <w:ind w:right="50"/>
        <w:contextualSpacing/>
        <w:jc w:val="both"/>
        <w:rPr>
          <w:rFonts w:ascii="Palatino Linotype" w:eastAsia="Palatino Linotype" w:hAnsi="Palatino Linotype" w:cs="Palatino Linotype"/>
        </w:rPr>
      </w:pPr>
    </w:p>
    <w:p w:rsidR="00E2527B" w:rsidRPr="002D6522" w:rsidRDefault="00E2527B" w:rsidP="00E2527B">
      <w:pPr>
        <w:spacing w:before="240" w:after="240" w:line="360" w:lineRule="auto"/>
        <w:contextualSpacing/>
        <w:jc w:val="both"/>
        <w:rPr>
          <w:rFonts w:ascii="Palatino Linotype" w:hAnsi="Palatino Linotype" w:cs="Arial"/>
        </w:rPr>
      </w:pPr>
      <w:r w:rsidRPr="002D6522">
        <w:rPr>
          <w:rFonts w:ascii="Palatino Linotype" w:eastAsia="Palatino Linotype" w:hAnsi="Palatino Linotype" w:cs="Palatino Linotype"/>
        </w:rPr>
        <w:t xml:space="preserve">En el caso del </w:t>
      </w:r>
      <w:r w:rsidRPr="002D6522">
        <w:rPr>
          <w:rFonts w:ascii="Palatino Linotype" w:eastAsia="Palatino Linotype" w:hAnsi="Palatino Linotype" w:cs="Palatino Linotype"/>
          <w:b/>
        </w:rPr>
        <w:t>f</w:t>
      </w:r>
      <w:r w:rsidRPr="002D6522">
        <w:rPr>
          <w:rFonts w:ascii="Palatino Linotype" w:hAnsi="Palatino Linotype" w:cs="Arial"/>
          <w:b/>
        </w:rPr>
        <w:t>olio fiscal</w:t>
      </w:r>
      <w:r w:rsidRPr="002D6522">
        <w:rPr>
          <w:rFonts w:ascii="Palatino Linotype" w:hAnsi="Palatino Linotype" w:cs="Arial"/>
        </w:rPr>
        <w:t xml:space="preserve">, la </w:t>
      </w:r>
      <w:r w:rsidRPr="002D6522">
        <w:rPr>
          <w:rFonts w:ascii="Palatino Linotype" w:hAnsi="Palatino Linotype" w:cs="Arial"/>
          <w:b/>
        </w:rPr>
        <w:t xml:space="preserve">cadena original, </w:t>
      </w:r>
      <w:r w:rsidRPr="002D6522">
        <w:rPr>
          <w:rFonts w:ascii="Palatino Linotype" w:hAnsi="Palatino Linotype" w:cs="Arial"/>
        </w:rPr>
        <w:t>los</w:t>
      </w:r>
      <w:r w:rsidRPr="002D6522">
        <w:rPr>
          <w:rFonts w:ascii="Palatino Linotype" w:hAnsi="Palatino Linotype" w:cs="Arial"/>
          <w:b/>
        </w:rPr>
        <w:t xml:space="preserve"> códigos bidimensionales o códigos QR,</w:t>
      </w:r>
      <w:r w:rsidRPr="002D6522">
        <w:rPr>
          <w:rFonts w:ascii="Palatino Linotype" w:hAnsi="Palatino Linotype" w:cs="Arial"/>
        </w:rPr>
        <w:t xml:space="preserve"> y, en general, cualquier información de carácter fiscal, </w:t>
      </w:r>
      <w:r w:rsidRPr="002D6522">
        <w:rPr>
          <w:rFonts w:ascii="Palatino Linotype" w:eastAsia="Palatino Linotype" w:hAnsi="Palatino Linotype" w:cs="Palatino Linotype"/>
        </w:rPr>
        <w:t xml:space="preserve"> pudiera contener un Comprobante Fiscal Digital por Internet, CFDI,  se debe hacer un análisis caso por caso, con la finalidad de determinar si de dicha información se </w:t>
      </w:r>
      <w:r w:rsidRPr="002D6522">
        <w:rPr>
          <w:rFonts w:ascii="Palatino Linotype" w:hAnsi="Palatino Linotype" w:cs="Arial"/>
        </w:rPr>
        <w:t xml:space="preserve">pueden obtener datos personales que no sean susceptibles de conocimiento público, como por ejemplo la Clave Única del Registro de Población, que, de difundirse, pudieran hacer identificable a una persona, debiendo, por tanto, clasificarse como información confidencial, de manera fundada y motivada en términos del artículo 143, fracción I </w:t>
      </w:r>
      <w:r w:rsidRPr="002D6522">
        <w:rPr>
          <w:rFonts w:ascii="Palatino Linotype" w:hAnsi="Palatino Linotype" w:cs="Arial"/>
        </w:rPr>
        <w:lastRenderedPageBreak/>
        <w:t xml:space="preserve">de la Ley de Transparencia y Acceso a la Información Pública del Estado de México y Municipios, no obstante en caso de que el dato que se logre observar </w:t>
      </w:r>
      <w:r w:rsidR="00366376" w:rsidRPr="002D6522">
        <w:rPr>
          <w:rFonts w:ascii="Palatino Linotype" w:hAnsi="Palatino Linotype" w:cs="Arial"/>
        </w:rPr>
        <w:t xml:space="preserve"> en dichas </w:t>
      </w:r>
      <w:r w:rsidR="000B3C3A" w:rsidRPr="002D6522">
        <w:rPr>
          <w:rFonts w:ascii="Palatino Linotype" w:hAnsi="Palatino Linotype" w:cs="Arial"/>
        </w:rPr>
        <w:t xml:space="preserve"> cadenas o códigos </w:t>
      </w:r>
      <w:r w:rsidRPr="002D6522">
        <w:rPr>
          <w:rFonts w:ascii="Palatino Linotype" w:hAnsi="Palatino Linotype" w:cs="Arial"/>
        </w:rPr>
        <w:t>sea el Registro Federal de Contribu</w:t>
      </w:r>
      <w:r w:rsidR="000B3C3A" w:rsidRPr="002D6522">
        <w:rPr>
          <w:rFonts w:ascii="Palatino Linotype" w:hAnsi="Palatino Linotype" w:cs="Arial"/>
        </w:rPr>
        <w:t>yentes (RFC) del proveedor, estas</w:t>
      </w:r>
      <w:r w:rsidRPr="002D6522">
        <w:rPr>
          <w:rFonts w:ascii="Palatino Linotype" w:hAnsi="Palatino Linotype" w:cs="Arial"/>
        </w:rPr>
        <w:t xml:space="preserve"> será</w:t>
      </w:r>
      <w:r w:rsidR="000B3C3A" w:rsidRPr="002D6522">
        <w:rPr>
          <w:rFonts w:ascii="Palatino Linotype" w:hAnsi="Palatino Linotype" w:cs="Arial"/>
        </w:rPr>
        <w:t>n</w:t>
      </w:r>
      <w:r w:rsidRPr="002D6522">
        <w:rPr>
          <w:rFonts w:ascii="Palatino Linotype" w:hAnsi="Palatino Linotype" w:cs="Arial"/>
        </w:rPr>
        <w:t xml:space="preserve"> de acceso público, como se señaló con anterioridad. </w:t>
      </w:r>
    </w:p>
    <w:p w:rsidR="00E2527B" w:rsidRPr="002D6522" w:rsidRDefault="00E2527B" w:rsidP="00E2527B">
      <w:pPr>
        <w:spacing w:line="360" w:lineRule="auto"/>
        <w:ind w:right="50"/>
        <w:contextualSpacing/>
        <w:jc w:val="both"/>
        <w:rPr>
          <w:rFonts w:ascii="Palatino Linotype" w:eastAsia="Palatino Linotype" w:hAnsi="Palatino Linotype" w:cs="Palatino Linotype"/>
        </w:rPr>
      </w:pPr>
    </w:p>
    <w:p w:rsidR="00895922" w:rsidRPr="002D6522" w:rsidRDefault="00B30EEC" w:rsidP="00E2527B">
      <w:pPr>
        <w:spacing w:line="360" w:lineRule="auto"/>
        <w:contextualSpacing/>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D6522">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2D6522">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895922" w:rsidRPr="002D6522" w:rsidRDefault="00895922">
      <w:pPr>
        <w:ind w:left="709" w:right="709"/>
        <w:jc w:val="both"/>
        <w:rPr>
          <w:rFonts w:ascii="Palatino Linotype" w:eastAsia="Palatino Linotype" w:hAnsi="Palatino Linotype" w:cs="Palatino Linotype"/>
        </w:rPr>
      </w:pPr>
    </w:p>
    <w:p w:rsidR="00895922" w:rsidRPr="002D6522" w:rsidRDefault="00B30EEC">
      <w:pPr>
        <w:ind w:left="709" w:right="709"/>
        <w:jc w:val="both"/>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w:t>
      </w:r>
      <w:r w:rsidRPr="002D6522">
        <w:rPr>
          <w:rFonts w:ascii="Palatino Linotype" w:eastAsia="Palatino Linotype" w:hAnsi="Palatino Linotype" w:cs="Palatino Linotype"/>
          <w:b/>
          <w:i/>
          <w:sz w:val="22"/>
          <w:szCs w:val="22"/>
        </w:rPr>
        <w:t>Segundo.-</w:t>
      </w:r>
      <w:r w:rsidRPr="002D6522">
        <w:rPr>
          <w:rFonts w:ascii="Palatino Linotype" w:eastAsia="Palatino Linotype" w:hAnsi="Palatino Linotype" w:cs="Palatino Linotype"/>
          <w:i/>
          <w:sz w:val="22"/>
          <w:szCs w:val="22"/>
        </w:rPr>
        <w:t xml:space="preserve"> Para efectos de los presentes Lineamientos Generales, se entenderá por:</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XVIII.</w:t>
      </w:r>
      <w:r w:rsidRPr="002D6522">
        <w:rPr>
          <w:rFonts w:ascii="Palatino Linotype" w:eastAsia="Palatino Linotype" w:hAnsi="Palatino Linotype" w:cs="Palatino Linotype"/>
          <w:i/>
          <w:sz w:val="22"/>
          <w:szCs w:val="22"/>
        </w:rPr>
        <w:t xml:space="preserve"> </w:t>
      </w:r>
      <w:r w:rsidRPr="002D6522">
        <w:rPr>
          <w:rFonts w:ascii="Palatino Linotype" w:eastAsia="Palatino Linotype" w:hAnsi="Palatino Linotype" w:cs="Palatino Linotype"/>
          <w:b/>
          <w:i/>
          <w:sz w:val="22"/>
          <w:szCs w:val="22"/>
        </w:rPr>
        <w:t>Versión pública:</w:t>
      </w:r>
      <w:r w:rsidRPr="002D652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D6522">
        <w:rPr>
          <w:rFonts w:ascii="Palatino Linotype" w:eastAsia="Palatino Linotype" w:hAnsi="Palatino Linotype" w:cs="Palatino Linotype"/>
          <w:b/>
          <w:i/>
          <w:sz w:val="22"/>
          <w:szCs w:val="22"/>
          <w:u w:val="single"/>
        </w:rPr>
        <w:t>fundando y motivando la</w:t>
      </w:r>
      <w:r w:rsidRPr="002D6522">
        <w:rPr>
          <w:rFonts w:ascii="Palatino Linotype" w:eastAsia="Palatino Linotype" w:hAnsi="Palatino Linotype" w:cs="Palatino Linotype"/>
          <w:i/>
          <w:sz w:val="22"/>
          <w:szCs w:val="22"/>
        </w:rPr>
        <w:t xml:space="preserve"> reserva o </w:t>
      </w:r>
      <w:r w:rsidRPr="002D6522">
        <w:rPr>
          <w:rFonts w:ascii="Palatino Linotype" w:eastAsia="Palatino Linotype" w:hAnsi="Palatino Linotype" w:cs="Palatino Linotype"/>
          <w:b/>
          <w:i/>
          <w:sz w:val="22"/>
          <w:szCs w:val="22"/>
          <w:u w:val="single"/>
        </w:rPr>
        <w:t>confidencialidad</w:t>
      </w:r>
      <w:r w:rsidRPr="002D6522">
        <w:rPr>
          <w:rFonts w:ascii="Palatino Linotype" w:eastAsia="Palatino Linotype" w:hAnsi="Palatino Linotype" w:cs="Palatino Linotype"/>
          <w:i/>
          <w:sz w:val="22"/>
          <w:szCs w:val="22"/>
        </w:rPr>
        <w:t>, a través de la resolución que para tal efecto emita el Comité de Transparencia.</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lastRenderedPageBreak/>
        <w:t>Cuarto.</w:t>
      </w:r>
      <w:r w:rsidRPr="002D6522">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Quinto.</w:t>
      </w:r>
      <w:r w:rsidRPr="002D652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Sexto.</w:t>
      </w:r>
      <w:r w:rsidRPr="002D6522">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Séptimo.</w:t>
      </w:r>
      <w:r w:rsidRPr="002D6522">
        <w:rPr>
          <w:rFonts w:ascii="Palatino Linotype" w:eastAsia="Palatino Linotype" w:hAnsi="Palatino Linotype" w:cs="Palatino Linotype"/>
          <w:i/>
          <w:sz w:val="22"/>
          <w:szCs w:val="22"/>
        </w:rPr>
        <w:t xml:space="preserve"> La clasificación de la información se llevará a cabo en el momento en que:</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I.</w:t>
      </w:r>
      <w:r w:rsidRPr="002D6522">
        <w:rPr>
          <w:rFonts w:ascii="Palatino Linotype" w:eastAsia="Palatino Linotype" w:hAnsi="Palatino Linotype" w:cs="Palatino Linotype"/>
          <w:i/>
          <w:sz w:val="22"/>
          <w:szCs w:val="22"/>
        </w:rPr>
        <w:t xml:space="preserve"> Se reciba una solicitud de acceso a la información;</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II.</w:t>
      </w:r>
      <w:r w:rsidRPr="002D6522">
        <w:rPr>
          <w:rFonts w:ascii="Palatino Linotype" w:eastAsia="Palatino Linotype" w:hAnsi="Palatino Linotype" w:cs="Palatino Linotype"/>
          <w:i/>
          <w:sz w:val="22"/>
          <w:szCs w:val="22"/>
        </w:rPr>
        <w:t xml:space="preserve"> Se determine mediante resolución de autoridad competente, o</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III.</w:t>
      </w:r>
      <w:r w:rsidRPr="002D652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Octavo.</w:t>
      </w:r>
      <w:r w:rsidRPr="002D652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Noveno.</w:t>
      </w:r>
      <w:r w:rsidRPr="002D652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Décimo.</w:t>
      </w:r>
      <w:r w:rsidRPr="002D652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Décimo primero.</w:t>
      </w:r>
      <w:r w:rsidRPr="002D652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w:t>
      </w:r>
    </w:p>
    <w:p w:rsidR="00895922" w:rsidRPr="002D6522" w:rsidRDefault="00B30EEC">
      <w:pPr>
        <w:ind w:left="709" w:right="709"/>
        <w:jc w:val="center"/>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CAPÍTULO VIII</w:t>
      </w:r>
    </w:p>
    <w:p w:rsidR="00895922" w:rsidRPr="002D6522" w:rsidRDefault="00B30EEC">
      <w:pPr>
        <w:ind w:left="709" w:right="709"/>
        <w:jc w:val="center"/>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DE LA LEYENDA DE CLASIFICACIÓN</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Quincuagésimo. </w:t>
      </w:r>
      <w:r w:rsidRPr="002D6522">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2D6522">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w:t>
      </w:r>
    </w:p>
    <w:p w:rsidR="00895922" w:rsidRPr="002D6522" w:rsidRDefault="00B30EEC">
      <w:pPr>
        <w:ind w:left="709" w:right="709"/>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b/>
          <w:i/>
          <w:sz w:val="22"/>
          <w:szCs w:val="22"/>
        </w:rPr>
        <w:t xml:space="preserve">Quincuagésimo tercero. </w:t>
      </w:r>
      <w:r w:rsidRPr="002D6522">
        <w:rPr>
          <w:rFonts w:ascii="Palatino Linotype" w:eastAsia="Palatino Linotype" w:hAnsi="Palatino Linotype" w:cs="Palatino Linotype"/>
          <w:b/>
          <w:i/>
          <w:sz w:val="22"/>
          <w:szCs w:val="22"/>
          <w:u w:val="single"/>
        </w:rPr>
        <w:t>El formato para señalar la clasificación parcial de un documento</w:t>
      </w:r>
      <w:r w:rsidRPr="002D6522">
        <w:rPr>
          <w:rFonts w:ascii="Palatino Linotype" w:eastAsia="Palatino Linotype" w:hAnsi="Palatino Linotype" w:cs="Palatino Linotype"/>
          <w:i/>
          <w:sz w:val="22"/>
          <w:szCs w:val="22"/>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895922" w:rsidRPr="002D6522">
        <w:trPr>
          <w:jc w:val="center"/>
        </w:trPr>
        <w:tc>
          <w:tcPr>
            <w:tcW w:w="1159" w:type="dxa"/>
            <w:tcBorders>
              <w:top w:val="nil"/>
              <w:left w:val="nil"/>
              <w:bottom w:val="single" w:sz="4" w:space="0" w:color="000000"/>
              <w:right w:val="single" w:sz="4" w:space="0" w:color="000000"/>
            </w:tcBorders>
          </w:tcPr>
          <w:p w:rsidR="00895922" w:rsidRPr="002D6522" w:rsidRDefault="00895922">
            <w:pPr>
              <w:jc w:val="both"/>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Concepto</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t>Dónde:</w:t>
            </w:r>
          </w:p>
        </w:tc>
      </w:tr>
      <w:tr w:rsidR="00895922" w:rsidRPr="002D6522">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895922" w:rsidRPr="002D6522" w:rsidRDefault="00B30EEC">
            <w:pPr>
              <w:jc w:val="center"/>
              <w:rPr>
                <w:rFonts w:ascii="Palatino Linotype" w:eastAsia="Palatino Linotype" w:hAnsi="Palatino Linotype" w:cs="Palatino Linotype"/>
                <w:b/>
                <w:i/>
                <w:sz w:val="22"/>
                <w:szCs w:val="22"/>
              </w:rPr>
            </w:pPr>
            <w:r w:rsidRPr="002D6522">
              <w:rPr>
                <w:rFonts w:ascii="Palatino Linotype" w:eastAsia="Palatino Linotype" w:hAnsi="Palatino Linotype" w:cs="Palatino Linotype"/>
                <w:b/>
                <w:i/>
                <w:sz w:val="22"/>
                <w:szCs w:val="22"/>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Área</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Se señalará el nombre del área del cual es titular quien clasifica.</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Confidencial</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Rúbrica autógrafa de quien clasifica.</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both"/>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Se anotará la fecha en que se desclasifica el documento.</w:t>
            </w:r>
          </w:p>
        </w:tc>
      </w:tr>
      <w:tr w:rsidR="00895922" w:rsidRPr="002D6522">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95922" w:rsidRPr="002D6522" w:rsidRDefault="0089592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895922" w:rsidRPr="002D6522" w:rsidRDefault="00B30EEC">
            <w:pPr>
              <w:jc w:val="cente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895922" w:rsidRPr="002D6522" w:rsidRDefault="00B30EEC">
            <w:pPr>
              <w:rPr>
                <w:rFonts w:ascii="Palatino Linotype" w:eastAsia="Palatino Linotype" w:hAnsi="Palatino Linotype" w:cs="Palatino Linotype"/>
                <w:i/>
                <w:sz w:val="22"/>
                <w:szCs w:val="22"/>
              </w:rPr>
            </w:pPr>
            <w:r w:rsidRPr="002D6522">
              <w:rPr>
                <w:rFonts w:ascii="Palatino Linotype" w:eastAsia="Palatino Linotype" w:hAnsi="Palatino Linotype" w:cs="Palatino Linotype"/>
                <w:i/>
                <w:sz w:val="22"/>
                <w:szCs w:val="22"/>
              </w:rPr>
              <w:t>Rúbrica autógrafa de quien desclasifica.</w:t>
            </w:r>
          </w:p>
        </w:tc>
      </w:tr>
    </w:tbl>
    <w:p w:rsidR="00895922" w:rsidRPr="002D6522" w:rsidRDefault="00895922">
      <w:pPr>
        <w:spacing w:line="360" w:lineRule="auto"/>
        <w:jc w:val="both"/>
        <w:rPr>
          <w:rFonts w:ascii="Palatino Linotype" w:eastAsia="Palatino Linotype" w:hAnsi="Palatino Linotype" w:cs="Palatino Linotype"/>
          <w:sz w:val="22"/>
          <w:szCs w:val="22"/>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hd w:val="clear" w:color="auto" w:fill="FFFFFF"/>
        <w:spacing w:line="360" w:lineRule="auto"/>
        <w:ind w:right="51"/>
        <w:jc w:val="both"/>
        <w:rPr>
          <w:rFonts w:ascii="Palatino Linotype" w:eastAsia="Palatino Linotype" w:hAnsi="Palatino Linotype" w:cs="Palatino Linotype"/>
        </w:rPr>
      </w:pPr>
      <w:r w:rsidRPr="002D6522">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895922" w:rsidRPr="002D6522" w:rsidRDefault="00895922">
      <w:pPr>
        <w:shd w:val="clear" w:color="auto" w:fill="FFFFFF"/>
        <w:spacing w:line="360" w:lineRule="auto"/>
        <w:ind w:right="51"/>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pBdr>
          <w:top w:val="nil"/>
          <w:left w:val="nil"/>
          <w:bottom w:val="nil"/>
          <w:right w:val="nil"/>
          <w:between w:val="nil"/>
        </w:pBdr>
        <w:spacing w:after="40"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895922" w:rsidRPr="002D6522" w:rsidRDefault="00B30EEC">
      <w:pPr>
        <w:pBdr>
          <w:top w:val="nil"/>
          <w:left w:val="nil"/>
          <w:bottom w:val="nil"/>
          <w:right w:val="nil"/>
          <w:between w:val="nil"/>
        </w:pBdr>
        <w:spacing w:before="40" w:after="280" w:line="360" w:lineRule="auto"/>
        <w:jc w:val="center"/>
        <w:rPr>
          <w:rFonts w:ascii="Palatino Linotype" w:eastAsia="Palatino Linotype" w:hAnsi="Palatino Linotype" w:cs="Palatino Linotype"/>
          <w:b/>
        </w:rPr>
      </w:pPr>
      <w:r w:rsidRPr="002D6522">
        <w:rPr>
          <w:rFonts w:ascii="Palatino Linotype" w:eastAsia="Palatino Linotype" w:hAnsi="Palatino Linotype" w:cs="Palatino Linotype"/>
          <w:b/>
        </w:rPr>
        <w:t>R E S U E L V E</w:t>
      </w:r>
    </w:p>
    <w:p w:rsidR="00895922" w:rsidRPr="002D6522" w:rsidRDefault="00B30EEC">
      <w:pPr>
        <w:spacing w:line="360" w:lineRule="auto"/>
        <w:ind w:right="49"/>
        <w:jc w:val="both"/>
        <w:rPr>
          <w:rFonts w:ascii="Palatino Linotype" w:eastAsia="Palatino Linotype" w:hAnsi="Palatino Linotype" w:cs="Palatino Linotype"/>
        </w:rPr>
      </w:pPr>
      <w:bookmarkStart w:id="3" w:name="_heading=h.3znysh7" w:colFirst="0" w:colLast="0"/>
      <w:bookmarkEnd w:id="3"/>
      <w:r w:rsidRPr="002D6522">
        <w:rPr>
          <w:rFonts w:ascii="Palatino Linotype" w:eastAsia="Palatino Linotype" w:hAnsi="Palatino Linotype" w:cs="Palatino Linotype"/>
          <w:b/>
        </w:rPr>
        <w:t>PRIMERO.</w:t>
      </w:r>
      <w:r w:rsidRPr="002D6522">
        <w:rPr>
          <w:rFonts w:ascii="Palatino Linotype" w:eastAsia="Palatino Linotype" w:hAnsi="Palatino Linotype" w:cs="Palatino Linotype"/>
          <w:sz w:val="22"/>
          <w:szCs w:val="22"/>
        </w:rPr>
        <w:t xml:space="preserve"> </w:t>
      </w:r>
      <w:r w:rsidRPr="002D6522">
        <w:rPr>
          <w:rFonts w:ascii="Palatino Linotype" w:eastAsia="Palatino Linotype" w:hAnsi="Palatino Linotype" w:cs="Palatino Linotype"/>
        </w:rPr>
        <w:t xml:space="preserve">Resultan </w:t>
      </w:r>
      <w:r w:rsidRPr="002D6522">
        <w:rPr>
          <w:rFonts w:ascii="Palatino Linotype" w:eastAsia="Palatino Linotype" w:hAnsi="Palatino Linotype" w:cs="Palatino Linotype"/>
          <w:b/>
        </w:rPr>
        <w:t>fundadas</w:t>
      </w:r>
      <w:r w:rsidRPr="002D6522">
        <w:rPr>
          <w:rFonts w:ascii="Palatino Linotype" w:eastAsia="Palatino Linotype" w:hAnsi="Palatino Linotype" w:cs="Palatino Linotype"/>
        </w:rPr>
        <w:t xml:space="preserve"> las razones o motivos de inconformidad hechos valer por </w:t>
      </w:r>
      <w:r w:rsidRPr="002D6522">
        <w:rPr>
          <w:rFonts w:ascii="Palatino Linotype" w:eastAsia="Palatino Linotype" w:hAnsi="Palatino Linotype" w:cs="Palatino Linotype"/>
          <w:b/>
        </w:rPr>
        <w:t xml:space="preserve">LA PARTE RECURRENTE, </w:t>
      </w:r>
      <w:r w:rsidRPr="002D6522">
        <w:rPr>
          <w:rFonts w:ascii="Palatino Linotype" w:eastAsia="Palatino Linotype" w:hAnsi="Palatino Linotype" w:cs="Palatino Linotype"/>
        </w:rPr>
        <w:t>en el recurso de revisión</w:t>
      </w:r>
      <w:r w:rsidRPr="002D6522">
        <w:rPr>
          <w:rFonts w:ascii="Palatino Linotype" w:eastAsia="Palatino Linotype" w:hAnsi="Palatino Linotype" w:cs="Palatino Linotype"/>
          <w:b/>
        </w:rPr>
        <w:t xml:space="preserve"> 00169/INFOEM/ICR-199/IP/RR/2023</w:t>
      </w:r>
      <w:r w:rsidRPr="002D6522">
        <w:rPr>
          <w:rFonts w:ascii="Palatino Linotype" w:eastAsia="Palatino Linotype" w:hAnsi="Palatino Linotype" w:cs="Palatino Linotype"/>
        </w:rPr>
        <w:t>,</w:t>
      </w:r>
      <w:r w:rsidRPr="002D6522">
        <w:rPr>
          <w:rFonts w:ascii="Palatino Linotype" w:eastAsia="Palatino Linotype" w:hAnsi="Palatino Linotype" w:cs="Palatino Linotype"/>
          <w:b/>
        </w:rPr>
        <w:t xml:space="preserve"> </w:t>
      </w:r>
      <w:r w:rsidRPr="002D6522">
        <w:rPr>
          <w:rFonts w:ascii="Palatino Linotype" w:eastAsia="Palatino Linotype" w:hAnsi="Palatino Linotype" w:cs="Palatino Linotype"/>
        </w:rPr>
        <w:t xml:space="preserve">en términos del </w:t>
      </w:r>
      <w:r w:rsidRPr="002D6522">
        <w:rPr>
          <w:rFonts w:ascii="Palatino Linotype" w:eastAsia="Palatino Linotype" w:hAnsi="Palatino Linotype" w:cs="Palatino Linotype"/>
          <w:b/>
        </w:rPr>
        <w:t>Considerando</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 xml:space="preserve">Cuarto </w:t>
      </w:r>
      <w:r w:rsidRPr="002D6522">
        <w:rPr>
          <w:rFonts w:ascii="Palatino Linotype" w:eastAsia="Palatino Linotype" w:hAnsi="Palatino Linotype" w:cs="Palatino Linotype"/>
        </w:rPr>
        <w:t>de la presente resolución.</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strike/>
          <w:color w:val="FF0000"/>
        </w:rPr>
      </w:pPr>
      <w:bookmarkStart w:id="4" w:name="_heading=h.3dy6vkm" w:colFirst="0" w:colLast="0"/>
      <w:bookmarkEnd w:id="4"/>
      <w:r w:rsidRPr="002D6522">
        <w:rPr>
          <w:rFonts w:ascii="Palatino Linotype" w:eastAsia="Palatino Linotype" w:hAnsi="Palatino Linotype" w:cs="Palatino Linotype"/>
          <w:b/>
        </w:rPr>
        <w:t>SEGUNDO</w:t>
      </w:r>
      <w:r w:rsidRPr="002D6522">
        <w:rPr>
          <w:rFonts w:ascii="Palatino Linotype" w:eastAsia="Palatino Linotype" w:hAnsi="Palatino Linotype" w:cs="Palatino Linotype"/>
        </w:rPr>
        <w:t>. Se</w:t>
      </w:r>
      <w:r w:rsidRPr="002D6522">
        <w:rPr>
          <w:rFonts w:ascii="Palatino Linotype" w:eastAsia="Palatino Linotype" w:hAnsi="Palatino Linotype" w:cs="Palatino Linotype"/>
          <w:b/>
        </w:rPr>
        <w:t> ORDENA </w:t>
      </w:r>
      <w:r w:rsidRPr="002D6522">
        <w:rPr>
          <w:rFonts w:ascii="Palatino Linotype" w:eastAsia="Palatino Linotype" w:hAnsi="Palatino Linotype" w:cs="Palatino Linotype"/>
        </w:rPr>
        <w:t xml:space="preserve">al </w:t>
      </w:r>
      <w:r w:rsidRPr="002D6522">
        <w:rPr>
          <w:rFonts w:ascii="Palatino Linotype" w:eastAsia="Palatino Linotype" w:hAnsi="Palatino Linotype" w:cs="Palatino Linotype"/>
          <w:b/>
        </w:rPr>
        <w:t xml:space="preserve">Sujeto Obligado, </w:t>
      </w:r>
      <w:r w:rsidRPr="002D6522">
        <w:rPr>
          <w:rFonts w:ascii="Palatino Linotype" w:eastAsia="Palatino Linotype" w:hAnsi="Palatino Linotype" w:cs="Palatino Linotype"/>
        </w:rPr>
        <w:t xml:space="preserve">que en términos de los </w:t>
      </w:r>
      <w:r w:rsidRPr="002D6522">
        <w:rPr>
          <w:rFonts w:ascii="Palatino Linotype" w:eastAsia="Palatino Linotype" w:hAnsi="Palatino Linotype" w:cs="Palatino Linotype"/>
          <w:b/>
        </w:rPr>
        <w:t>Considerandos</w:t>
      </w:r>
      <w:r w:rsidRPr="002D6522">
        <w:rPr>
          <w:rFonts w:ascii="Palatino Linotype" w:eastAsia="Palatino Linotype" w:hAnsi="Palatino Linotype" w:cs="Palatino Linotype"/>
        </w:rPr>
        <w:t xml:space="preserve"> </w:t>
      </w:r>
      <w:r w:rsidRPr="002D6522">
        <w:rPr>
          <w:rFonts w:ascii="Palatino Linotype" w:eastAsia="Palatino Linotype" w:hAnsi="Palatino Linotype" w:cs="Palatino Linotype"/>
          <w:b/>
        </w:rPr>
        <w:t xml:space="preserve">Cuarto y Quinto </w:t>
      </w:r>
      <w:r w:rsidRPr="002D6522">
        <w:rPr>
          <w:rFonts w:ascii="Palatino Linotype" w:eastAsia="Palatino Linotype" w:hAnsi="Palatino Linotype" w:cs="Palatino Linotype"/>
        </w:rPr>
        <w:t>de esta resolución,  entregue a la parte Recurrente, previa búsqueda exhaustiva y razonable, vía Sistema de Acceso a la Información Mexiquense (SAIMEX), de ser el caso, en versión pública, de lo siguiente:</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widowControl w:val="0"/>
        <w:numPr>
          <w:ilvl w:val="0"/>
          <w:numId w:val="4"/>
        </w:num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color w:val="000000"/>
        </w:rPr>
        <w:t xml:space="preserve">Facturas de pago por cualquier concepto, correspondientes </w:t>
      </w:r>
      <w:r w:rsidR="00E2527B" w:rsidRPr="002D6522">
        <w:rPr>
          <w:rFonts w:ascii="Palatino Linotype" w:eastAsia="Palatino Linotype" w:hAnsi="Palatino Linotype" w:cs="Palatino Linotype"/>
          <w:color w:val="000000"/>
        </w:rPr>
        <w:t>del primero al veinticinco</w:t>
      </w:r>
      <w:r w:rsidRPr="002D6522">
        <w:rPr>
          <w:rFonts w:ascii="Palatino Linotype" w:eastAsia="Palatino Linotype" w:hAnsi="Palatino Linotype" w:cs="Palatino Linotype"/>
          <w:color w:val="000000"/>
        </w:rPr>
        <w:t xml:space="preserve"> de noviembre de 2022.</w:t>
      </w:r>
    </w:p>
    <w:p w:rsidR="00895922" w:rsidRPr="002D6522" w:rsidRDefault="00895922">
      <w:pPr>
        <w:widowControl w:val="0"/>
        <w:pBdr>
          <w:top w:val="nil"/>
          <w:left w:val="nil"/>
          <w:bottom w:val="nil"/>
          <w:right w:val="nil"/>
          <w:between w:val="nil"/>
        </w:pBdr>
        <w:spacing w:line="276" w:lineRule="auto"/>
        <w:ind w:left="567" w:right="851"/>
        <w:jc w:val="both"/>
        <w:rPr>
          <w:rFonts w:ascii="Palatino Linotype" w:eastAsia="Palatino Linotype" w:hAnsi="Palatino Linotype" w:cs="Palatino Linotype"/>
          <w:i/>
          <w:color w:val="000000"/>
          <w:sz w:val="22"/>
          <w:szCs w:val="22"/>
        </w:rPr>
      </w:pPr>
    </w:p>
    <w:p w:rsidR="00895922" w:rsidRPr="002D6522" w:rsidRDefault="00B30EEC">
      <w:pPr>
        <w:widowControl w:val="0"/>
        <w:pBdr>
          <w:top w:val="nil"/>
          <w:left w:val="nil"/>
          <w:bottom w:val="nil"/>
          <w:right w:val="nil"/>
          <w:between w:val="nil"/>
        </w:pBdr>
        <w:spacing w:after="160" w:line="276" w:lineRule="auto"/>
        <w:ind w:right="49"/>
        <w:jc w:val="both"/>
        <w:rPr>
          <w:rFonts w:ascii="Palatino Linotype" w:eastAsia="Palatino Linotype" w:hAnsi="Palatino Linotype" w:cs="Palatino Linotype"/>
          <w:i/>
          <w:color w:val="000000"/>
          <w:sz w:val="22"/>
          <w:szCs w:val="22"/>
        </w:rPr>
      </w:pPr>
      <w:r w:rsidRPr="002D6522">
        <w:rPr>
          <w:rFonts w:ascii="Palatino Linotype" w:eastAsia="Palatino Linotype" w:hAnsi="Palatino Linotype" w:cs="Palatino Linotype"/>
          <w:i/>
          <w:color w:val="000000"/>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lastRenderedPageBreak/>
        <w:t xml:space="preserve">TERCERO.  Notifíquese vía SAIMEX, </w:t>
      </w:r>
      <w:r w:rsidRPr="002D6522">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95922" w:rsidRPr="002D6522" w:rsidRDefault="00895922">
      <w:pPr>
        <w:spacing w:line="360" w:lineRule="auto"/>
        <w:jc w:val="both"/>
        <w:rPr>
          <w:rFonts w:ascii="Palatino Linotype" w:eastAsia="Palatino Linotype" w:hAnsi="Palatino Linotype" w:cs="Palatino Linotype"/>
        </w:rPr>
      </w:pPr>
    </w:p>
    <w:p w:rsidR="00895922" w:rsidRPr="002D6522" w:rsidRDefault="00B30EEC">
      <w:pPr>
        <w:spacing w:line="360" w:lineRule="auto"/>
        <w:jc w:val="both"/>
        <w:rPr>
          <w:rFonts w:ascii="Palatino Linotype" w:eastAsia="Palatino Linotype" w:hAnsi="Palatino Linotype" w:cs="Palatino Linotype"/>
        </w:rPr>
      </w:pPr>
      <w:r w:rsidRPr="002D6522">
        <w:rPr>
          <w:rFonts w:ascii="Palatino Linotype" w:eastAsia="Palatino Linotype" w:hAnsi="Palatino Linotype" w:cs="Palatino Linotype"/>
          <w:b/>
        </w:rPr>
        <w:t xml:space="preserve">CUARTO. </w:t>
      </w:r>
      <w:r w:rsidRPr="002D6522">
        <w:rPr>
          <w:rFonts w:ascii="Palatino Linotype" w:eastAsia="Palatino Linotype" w:hAnsi="Palatino Linotype" w:cs="Palatino Linotype"/>
        </w:rPr>
        <w:t xml:space="preserve">NOTIFÍQUESE vía SAIMEX al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rsidR="00895922" w:rsidRPr="002D6522" w:rsidRDefault="00895922">
      <w:pPr>
        <w:spacing w:line="360" w:lineRule="auto"/>
        <w:jc w:val="both"/>
        <w:rPr>
          <w:rFonts w:ascii="Palatino Linotype" w:eastAsia="Palatino Linotype" w:hAnsi="Palatino Linotype" w:cs="Palatino Linotype"/>
          <w:color w:val="000000"/>
        </w:rPr>
      </w:pPr>
    </w:p>
    <w:p w:rsidR="00895922" w:rsidRPr="002D6522" w:rsidRDefault="00B30EEC">
      <w:pPr>
        <w:spacing w:line="360" w:lineRule="auto"/>
        <w:ind w:right="49"/>
        <w:jc w:val="both"/>
        <w:rPr>
          <w:rFonts w:ascii="Palatino Linotype" w:eastAsia="Palatino Linotype" w:hAnsi="Palatino Linotype" w:cs="Palatino Linotype"/>
        </w:rPr>
      </w:pPr>
      <w:r w:rsidRPr="002D652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Pr="002D6522">
        <w:rPr>
          <w:rFonts w:ascii="Palatino Linotype" w:eastAsia="Palatino Linotype" w:hAnsi="Palatino Linotype" w:cs="Palatino Linotype"/>
          <w:color w:val="000000"/>
        </w:rPr>
        <w:t xml:space="preserve">SEGUNDA </w:t>
      </w:r>
      <w:r w:rsidRPr="002D6522">
        <w:rPr>
          <w:rFonts w:ascii="Palatino Linotype" w:eastAsia="Palatino Linotype" w:hAnsi="Palatino Linotype" w:cs="Palatino Linotype"/>
        </w:rPr>
        <w:t xml:space="preserve">SESIÓN ORDINARIA </w:t>
      </w:r>
      <w:r w:rsidRPr="002D6522">
        <w:rPr>
          <w:rFonts w:ascii="Palatino Linotype" w:eastAsia="Palatino Linotype" w:hAnsi="Palatino Linotype" w:cs="Palatino Linotype"/>
        </w:rPr>
        <w:lastRenderedPageBreak/>
        <w:t>CELEBRADA EL CATORCE DE JUNIO DE DOS MIL VEINTITRÉS, ANTE EL SECRETARIO TÉCNICO DEL PLENO ALEXIS TAPIA RAMÍREZ.</w:t>
      </w:r>
    </w:p>
    <w:p w:rsidR="00895922" w:rsidRPr="002D6522" w:rsidRDefault="008959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r w:rsidRPr="002D6522">
        <w:rPr>
          <w:rFonts w:ascii="Palatino Linotype" w:eastAsia="Palatino Linotype" w:hAnsi="Palatino Linotype" w:cs="Palatino Linotype"/>
          <w:noProof/>
          <w:color w:val="000000"/>
          <w:lang w:eastAsia="es-MX"/>
        </w:rPr>
        <mc:AlternateContent>
          <mc:Choice Requires="wps">
            <w:drawing>
              <wp:anchor distT="0" distB="0" distL="114300" distR="114300" simplePos="0" relativeHeight="251659264" behindDoc="0" locked="0" layoutInCell="1" allowOverlap="1">
                <wp:simplePos x="0" y="0"/>
                <wp:positionH relativeFrom="column">
                  <wp:posOffset>344627</wp:posOffset>
                </wp:positionH>
                <wp:positionV relativeFrom="paragraph">
                  <wp:posOffset>197410</wp:posOffset>
                </wp:positionV>
                <wp:extent cx="5326911" cy="5571461"/>
                <wp:effectExtent l="0" t="0" r="26670" b="29845"/>
                <wp:wrapNone/>
                <wp:docPr id="1" name="Conector recto 1"/>
                <wp:cNvGraphicFramePr/>
                <a:graphic xmlns:a="http://schemas.openxmlformats.org/drawingml/2006/main">
                  <a:graphicData uri="http://schemas.microsoft.com/office/word/2010/wordprocessingShape">
                    <wps:wsp>
                      <wps:cNvCnPr/>
                      <wps:spPr>
                        <a:xfrm>
                          <a:off x="0" y="0"/>
                          <a:ext cx="5326911" cy="55714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A9A8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15pt,15.55pt" to="446.6pt,4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" strokecolor="#5b9bd5 [3204]" strokeweight=".5pt">
                <v:stroke joinstyle="miter"/>
              </v:line>
            </w:pict>
          </mc:Fallback>
        </mc:AlternateContent>
      </w: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p w:rsidR="002D6522" w:rsidRDefault="002D6522">
      <w:pPr>
        <w:spacing w:line="360" w:lineRule="auto"/>
        <w:jc w:val="both"/>
        <w:rPr>
          <w:rFonts w:ascii="Palatino Linotype" w:eastAsia="Palatino Linotype" w:hAnsi="Palatino Linotype" w:cs="Palatino Linotype"/>
          <w:color w:val="000000"/>
        </w:rPr>
      </w:pPr>
    </w:p>
    <w:sectPr w:rsidR="002D6522">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9FE" w:rsidRDefault="00EA69FE">
      <w:r>
        <w:separator/>
      </w:r>
    </w:p>
  </w:endnote>
  <w:endnote w:type="continuationSeparator" w:id="0">
    <w:p w:rsidR="00EA69FE" w:rsidRDefault="00EA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22" w:rsidRDefault="00B30EEC">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0AF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0AF5">
      <w:rPr>
        <w:rFonts w:ascii="Arial" w:eastAsia="Arial" w:hAnsi="Arial" w:cs="Arial"/>
        <w:b/>
        <w:noProof/>
        <w:color w:val="000000"/>
        <w:sz w:val="20"/>
        <w:szCs w:val="20"/>
      </w:rPr>
      <w:t>60</w:t>
    </w:r>
    <w:r>
      <w:rPr>
        <w:rFonts w:ascii="Arial" w:eastAsia="Arial" w:hAnsi="Arial" w:cs="Arial"/>
        <w:b/>
        <w:color w:val="000000"/>
        <w:sz w:val="20"/>
        <w:szCs w:val="20"/>
      </w:rPr>
      <w:fldChar w:fldCharType="end"/>
    </w:r>
  </w:p>
  <w:p w:rsidR="00895922" w:rsidRDefault="0089592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9FE" w:rsidRDefault="00EA69FE">
      <w:r>
        <w:separator/>
      </w:r>
    </w:p>
  </w:footnote>
  <w:footnote w:type="continuationSeparator" w:id="0">
    <w:p w:rsidR="00EA69FE" w:rsidRDefault="00EA69FE">
      <w:r>
        <w:continuationSeparator/>
      </w:r>
    </w:p>
  </w:footnote>
  <w:footnote w:id="1">
    <w:p w:rsidR="00895922" w:rsidRDefault="00B30EE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895922" w:rsidRDefault="00B30EE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895922" w:rsidRDefault="00B30EE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22" w:rsidRDefault="0089592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10497" w:type="dxa"/>
      <w:tblInd w:w="-1633" w:type="dxa"/>
      <w:tblLayout w:type="fixed"/>
      <w:tblLook w:val="0400" w:firstRow="0" w:lastRow="0" w:firstColumn="0" w:lastColumn="0" w:noHBand="0" w:noVBand="1"/>
    </w:tblPr>
    <w:tblGrid>
      <w:gridCol w:w="5841"/>
      <w:gridCol w:w="4656"/>
    </w:tblGrid>
    <w:tr w:rsidR="00895922">
      <w:trPr>
        <w:trHeight w:val="254"/>
      </w:trPr>
      <w:tc>
        <w:tcPr>
          <w:tcW w:w="5841" w:type="dxa"/>
        </w:tcPr>
        <w:p w:rsidR="00895922" w:rsidRDefault="00B30EEC">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56" w:type="dxa"/>
        </w:tcPr>
        <w:p w:rsidR="00895922" w:rsidRDefault="00BC4117" w:rsidP="00BC4117">
          <w:pPr>
            <w:spacing w:after="120"/>
            <w:ind w:left="-252"/>
            <w:rPr>
              <w:rFonts w:ascii="Palatino Linotype" w:eastAsia="Palatino Linotype" w:hAnsi="Palatino Linotype" w:cs="Palatino Linotype"/>
            </w:rPr>
          </w:pPr>
          <w:r>
            <w:rPr>
              <w:rFonts w:ascii="Palatino Linotype" w:eastAsia="Palatino Linotype" w:hAnsi="Palatino Linotype" w:cs="Palatino Linotype"/>
            </w:rPr>
            <w:t xml:space="preserve">           </w:t>
          </w:r>
          <w:r w:rsidR="00B30EEC">
            <w:rPr>
              <w:rFonts w:ascii="Palatino Linotype" w:eastAsia="Palatino Linotype" w:hAnsi="Palatino Linotype" w:cs="Palatino Linotype"/>
            </w:rPr>
            <w:t>00169/INFOEM/ICR-199/IP/RR/2023.</w:t>
          </w:r>
        </w:p>
      </w:tc>
    </w:tr>
    <w:tr w:rsidR="00895922">
      <w:trPr>
        <w:trHeight w:val="219"/>
      </w:trPr>
      <w:tc>
        <w:tcPr>
          <w:tcW w:w="5841" w:type="dxa"/>
        </w:tcPr>
        <w:p w:rsidR="00895922" w:rsidRDefault="00B30EEC">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56" w:type="dxa"/>
        </w:tcPr>
        <w:p w:rsidR="00895922" w:rsidRDefault="00895922">
          <w:pPr>
            <w:spacing w:after="120"/>
            <w:ind w:left="-252" w:firstLine="567"/>
            <w:jc w:val="right"/>
            <w:rPr>
              <w:rFonts w:ascii="Palatino Linotype" w:eastAsia="Palatino Linotype" w:hAnsi="Palatino Linotype" w:cs="Palatino Linotype"/>
            </w:rPr>
          </w:pPr>
        </w:p>
      </w:tc>
    </w:tr>
    <w:tr w:rsidR="00895922">
      <w:trPr>
        <w:trHeight w:val="273"/>
      </w:trPr>
      <w:tc>
        <w:tcPr>
          <w:tcW w:w="5841" w:type="dxa"/>
        </w:tcPr>
        <w:p w:rsidR="00895922" w:rsidRDefault="00B30EEC">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56" w:type="dxa"/>
        </w:tcPr>
        <w:p w:rsidR="00895922" w:rsidRDefault="00B30EEC">
          <w:pPr>
            <w:pBdr>
              <w:top w:val="nil"/>
              <w:left w:val="nil"/>
              <w:bottom w:val="nil"/>
              <w:right w:val="nil"/>
              <w:between w:val="nil"/>
            </w:pBd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Ayuntamiento de Zinacantepec</w:t>
          </w:r>
        </w:p>
      </w:tc>
    </w:tr>
    <w:tr w:rsidR="00895922">
      <w:trPr>
        <w:trHeight w:val="386"/>
      </w:trPr>
      <w:tc>
        <w:tcPr>
          <w:tcW w:w="5841" w:type="dxa"/>
        </w:tcPr>
        <w:p w:rsidR="00895922" w:rsidRDefault="00B30EEC">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56" w:type="dxa"/>
        </w:tcPr>
        <w:p w:rsidR="00895922" w:rsidRDefault="00B30EEC">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895922" w:rsidRDefault="00B30EEC">
    <w:pPr>
      <w:pBdr>
        <w:top w:val="nil"/>
        <w:left w:val="nil"/>
        <w:bottom w:val="nil"/>
        <w:right w:val="nil"/>
        <w:between w:val="nil"/>
      </w:pBdr>
      <w:tabs>
        <w:tab w:val="center" w:pos="4419"/>
        <w:tab w:val="right" w:pos="8838"/>
      </w:tabs>
      <w:rPr>
        <w:color w:val="000000"/>
      </w:rPr>
    </w:pPr>
    <w:r>
      <w:rPr>
        <w:noProof/>
        <w:lang w:eastAsia="es-MX"/>
      </w:rPr>
      <w:drawing>
        <wp:anchor distT="0" distB="0" distL="0" distR="0" simplePos="0" relativeHeight="251658240" behindDoc="1" locked="0" layoutInCell="1" hidden="0" allowOverlap="1">
          <wp:simplePos x="0" y="0"/>
          <wp:positionH relativeFrom="column">
            <wp:posOffset>-721994</wp:posOffset>
          </wp:positionH>
          <wp:positionV relativeFrom="paragraph">
            <wp:posOffset>-1356994</wp:posOffset>
          </wp:positionV>
          <wp:extent cx="7353300" cy="865822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2548F0"/>
    <w:multiLevelType w:val="multilevel"/>
    <w:tmpl w:val="CD8AA4B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7515659"/>
    <w:multiLevelType w:val="multilevel"/>
    <w:tmpl w:val="D87C98CC"/>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C62306F"/>
    <w:multiLevelType w:val="multilevel"/>
    <w:tmpl w:val="A0DCA76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7B000B1F"/>
    <w:multiLevelType w:val="multilevel"/>
    <w:tmpl w:val="C1CAD97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22"/>
    <w:rsid w:val="000B3C3A"/>
    <w:rsid w:val="002D6522"/>
    <w:rsid w:val="00366376"/>
    <w:rsid w:val="003A0AF5"/>
    <w:rsid w:val="00895922"/>
    <w:rsid w:val="00900660"/>
    <w:rsid w:val="00B30EEC"/>
    <w:rsid w:val="00BC4117"/>
    <w:rsid w:val="00E2527B"/>
    <w:rsid w:val="00EA69FE"/>
    <w:rsid w:val="00ED6C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E5C22-1C4D-410D-9D48-71AFE110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8DB"/>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B68DB"/>
    <w:pPr>
      <w:tabs>
        <w:tab w:val="center" w:pos="4419"/>
        <w:tab w:val="right" w:pos="8838"/>
      </w:tabs>
    </w:pPr>
  </w:style>
  <w:style w:type="character" w:customStyle="1" w:styleId="EncabezadoCar">
    <w:name w:val="Encabezado Car"/>
    <w:basedOn w:val="Fuentedeprrafopredeter"/>
    <w:link w:val="Encabezado"/>
    <w:uiPriority w:val="99"/>
    <w:rsid w:val="002B68DB"/>
  </w:style>
  <w:style w:type="paragraph" w:styleId="Piedepgina">
    <w:name w:val="footer"/>
    <w:basedOn w:val="Normal"/>
    <w:link w:val="PiedepginaCar"/>
    <w:uiPriority w:val="99"/>
    <w:unhideWhenUsed/>
    <w:rsid w:val="002B68DB"/>
    <w:pPr>
      <w:tabs>
        <w:tab w:val="center" w:pos="4419"/>
        <w:tab w:val="right" w:pos="8838"/>
      </w:tabs>
    </w:pPr>
  </w:style>
  <w:style w:type="character" w:customStyle="1" w:styleId="PiedepginaCar">
    <w:name w:val="Pie de página Car"/>
    <w:basedOn w:val="Fuentedeprrafopredeter"/>
    <w:link w:val="Piedepgina"/>
    <w:uiPriority w:val="99"/>
    <w:rsid w:val="002B68D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911DC"/>
    <w:pPr>
      <w:ind w:left="720"/>
      <w:contextualSpacing/>
    </w:pPr>
  </w:style>
  <w:style w:type="character" w:styleId="Hipervnculo">
    <w:name w:val="Hyperlink"/>
    <w:basedOn w:val="Fuentedeprrafopredeter"/>
    <w:uiPriority w:val="99"/>
    <w:unhideWhenUsed/>
    <w:rsid w:val="00701056"/>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3B53"/>
    <w:rPr>
      <w:rFonts w:ascii="Times New Roman" w:eastAsia="Times New Roman" w:hAnsi="Times New Roman" w:cs="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45OEsS+UF+6289bezVx78KHkFw==">CgMxLjAyCWguMzBqMHpsbDIIaC5namRneHMyCWguM3pueXNoNzIJaC4zZHk2dmttOAByITE2NXVqMGRlaWJzYUpDSTJDcUE1dzZhblpIckJPbXZrZQ==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13393</Words>
  <Characters>73665</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2023-06-28T19:18:00Z</dcterms:created>
  <dcterms:modified xsi:type="dcterms:W3CDTF">2023-06-28T19:18:00Z</dcterms:modified>
</cp:coreProperties>
</file>