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CED4E15" w:rsidR="00DE3512" w:rsidRPr="00437FF8" w:rsidRDefault="00DE3512" w:rsidP="00430CB3">
      <w:pPr>
        <w:pBdr>
          <w:top w:val="nil"/>
          <w:left w:val="nil"/>
          <w:bottom w:val="nil"/>
          <w:right w:val="nil"/>
          <w:between w:val="nil"/>
        </w:pBdr>
        <w:ind w:right="-2"/>
        <w:rPr>
          <w:rFonts w:eastAsia="Palatino Linotype" w:cs="Palatino Linotype"/>
          <w:color w:val="000000"/>
          <w:szCs w:val="24"/>
        </w:rPr>
      </w:pPr>
      <w:r w:rsidRPr="00437FF8">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437FF8">
        <w:rPr>
          <w:rFonts w:eastAsia="Palatino Linotype" w:cs="Palatino Linotype"/>
          <w:color w:val="000000"/>
          <w:szCs w:val="24"/>
        </w:rPr>
        <w:t xml:space="preserve">o en Metepec, </w:t>
      </w:r>
      <w:r w:rsidR="00B64C91" w:rsidRPr="00437FF8">
        <w:rPr>
          <w:rFonts w:eastAsia="Palatino Linotype" w:cs="Palatino Linotype"/>
          <w:color w:val="000000"/>
          <w:szCs w:val="24"/>
        </w:rPr>
        <w:t>México, a</w:t>
      </w:r>
      <w:r w:rsidR="003E255C" w:rsidRPr="00437FF8">
        <w:rPr>
          <w:rFonts w:eastAsia="Palatino Linotype" w:cs="Palatino Linotype"/>
          <w:color w:val="000000"/>
          <w:szCs w:val="24"/>
        </w:rPr>
        <w:t xml:space="preserve"> </w:t>
      </w:r>
      <w:r w:rsidR="00E90394" w:rsidRPr="00437FF8">
        <w:rPr>
          <w:rFonts w:eastAsia="Palatino Linotype" w:cs="Palatino Linotype"/>
          <w:color w:val="000000"/>
          <w:szCs w:val="24"/>
        </w:rPr>
        <w:t>dieciséis</w:t>
      </w:r>
      <w:r w:rsidR="000C6161" w:rsidRPr="00437FF8">
        <w:rPr>
          <w:rFonts w:eastAsia="Palatino Linotype" w:cs="Palatino Linotype"/>
          <w:color w:val="000000"/>
          <w:szCs w:val="24"/>
        </w:rPr>
        <w:t xml:space="preserve"> de agosto</w:t>
      </w:r>
      <w:r w:rsidR="003E255C" w:rsidRPr="00437FF8">
        <w:rPr>
          <w:rFonts w:eastAsia="Palatino Linotype" w:cs="Palatino Linotype"/>
          <w:color w:val="000000"/>
          <w:szCs w:val="24"/>
        </w:rPr>
        <w:t xml:space="preserve"> de dos mil veintitrés</w:t>
      </w:r>
      <w:r w:rsidRPr="00437FF8">
        <w:rPr>
          <w:rFonts w:eastAsia="Palatino Linotype" w:cs="Palatino Linotype"/>
          <w:color w:val="000000"/>
          <w:szCs w:val="24"/>
        </w:rPr>
        <w:t>.</w:t>
      </w:r>
    </w:p>
    <w:p w14:paraId="4CA4A924"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63F9BAD8" w14:textId="7AE663EA" w:rsidR="00DE3512" w:rsidRPr="00437FF8" w:rsidRDefault="00DE3512"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b/>
          <w:color w:val="000000"/>
          <w:szCs w:val="24"/>
        </w:rPr>
        <w:t>VISTO</w:t>
      </w:r>
      <w:r w:rsidRPr="00437FF8">
        <w:rPr>
          <w:rFonts w:eastAsia="Palatino Linotype" w:cs="Palatino Linotype"/>
          <w:color w:val="000000"/>
          <w:szCs w:val="24"/>
        </w:rPr>
        <w:t xml:space="preserve"> el expediente electrónico formado con motivo del recurso de revisión número </w:t>
      </w:r>
      <w:r w:rsidR="004D766F" w:rsidRPr="00437FF8">
        <w:rPr>
          <w:rFonts w:eastAsia="Palatino Linotype" w:cs="Palatino Linotype"/>
          <w:b/>
          <w:color w:val="000000"/>
          <w:szCs w:val="24"/>
        </w:rPr>
        <w:t>16745</w:t>
      </w:r>
      <w:r w:rsidRPr="00437FF8">
        <w:rPr>
          <w:rFonts w:eastAsia="Palatino Linotype" w:cs="Palatino Linotype"/>
          <w:b/>
          <w:color w:val="000000"/>
          <w:szCs w:val="24"/>
        </w:rPr>
        <w:t>/INFOEM/</w:t>
      </w:r>
      <w:r w:rsidR="004D766F" w:rsidRPr="00437FF8">
        <w:rPr>
          <w:rFonts w:eastAsia="Palatino Linotype" w:cs="Palatino Linotype"/>
          <w:b/>
          <w:color w:val="000000"/>
          <w:szCs w:val="24"/>
        </w:rPr>
        <w:t>ICR-89</w:t>
      </w:r>
      <w:r w:rsidR="003B13D9" w:rsidRPr="00437FF8">
        <w:rPr>
          <w:rFonts w:eastAsia="Palatino Linotype" w:cs="Palatino Linotype"/>
          <w:b/>
          <w:color w:val="000000"/>
          <w:szCs w:val="24"/>
        </w:rPr>
        <w:t>/</w:t>
      </w:r>
      <w:r w:rsidR="003E255C" w:rsidRPr="00437FF8">
        <w:rPr>
          <w:rFonts w:eastAsia="Palatino Linotype" w:cs="Palatino Linotype"/>
          <w:b/>
          <w:color w:val="000000"/>
          <w:szCs w:val="24"/>
        </w:rPr>
        <w:t>IP/RR/2022</w:t>
      </w:r>
      <w:r w:rsidRPr="00437FF8">
        <w:rPr>
          <w:rFonts w:eastAsia="Palatino Linotype" w:cs="Palatino Linotype"/>
          <w:color w:val="000000"/>
          <w:szCs w:val="24"/>
        </w:rPr>
        <w:t xml:space="preserve"> interpuesto por </w:t>
      </w:r>
      <w:r w:rsidR="004B4283" w:rsidRPr="00437FF8">
        <w:rPr>
          <w:rFonts w:eastAsia="Palatino Linotype" w:cs="Palatino Linotype"/>
          <w:color w:val="000000"/>
          <w:szCs w:val="24"/>
        </w:rPr>
        <w:t>una persona de manera anónima</w:t>
      </w:r>
      <w:r w:rsidRPr="00437FF8">
        <w:rPr>
          <w:rFonts w:eastAsia="Palatino Linotype" w:cs="Palatino Linotype"/>
          <w:color w:val="000000"/>
          <w:szCs w:val="24"/>
        </w:rPr>
        <w:t>, en lo sucesivo el</w:t>
      </w:r>
      <w:r w:rsidRPr="00437FF8">
        <w:rPr>
          <w:rFonts w:eastAsia="Palatino Linotype" w:cs="Palatino Linotype"/>
          <w:b/>
          <w:color w:val="000000"/>
          <w:szCs w:val="24"/>
        </w:rPr>
        <w:t xml:space="preserve"> Recurrente</w:t>
      </w:r>
      <w:r w:rsidRPr="00437FF8">
        <w:rPr>
          <w:rFonts w:eastAsia="Palatino Linotype" w:cs="Palatino Linotype"/>
          <w:color w:val="000000"/>
          <w:szCs w:val="24"/>
        </w:rPr>
        <w:t>; en contra de</w:t>
      </w:r>
      <w:r w:rsidR="003B13D9" w:rsidRPr="00437FF8">
        <w:rPr>
          <w:rFonts w:eastAsia="Palatino Linotype" w:cs="Palatino Linotype"/>
          <w:color w:val="000000"/>
          <w:szCs w:val="24"/>
        </w:rPr>
        <w:t xml:space="preserve"> la</w:t>
      </w:r>
      <w:r w:rsidRPr="00437FF8">
        <w:rPr>
          <w:rFonts w:eastAsia="Palatino Linotype" w:cs="Palatino Linotype"/>
          <w:color w:val="000000"/>
          <w:szCs w:val="24"/>
        </w:rPr>
        <w:t xml:space="preserve"> </w:t>
      </w:r>
      <w:r w:rsidR="003E255C" w:rsidRPr="00437FF8">
        <w:rPr>
          <w:rFonts w:eastAsia="Palatino Linotype" w:cs="Palatino Linotype"/>
          <w:color w:val="000000"/>
          <w:szCs w:val="24"/>
        </w:rPr>
        <w:t xml:space="preserve">falta de </w:t>
      </w:r>
      <w:r w:rsidRPr="00437FF8">
        <w:rPr>
          <w:rFonts w:eastAsia="Palatino Linotype" w:cs="Palatino Linotype"/>
          <w:color w:val="000000"/>
          <w:szCs w:val="24"/>
        </w:rPr>
        <w:t xml:space="preserve">respuesta del </w:t>
      </w:r>
      <w:r w:rsidR="003E255C" w:rsidRPr="00437FF8">
        <w:rPr>
          <w:rFonts w:eastAsia="Palatino Linotype" w:cs="Palatino Linotype"/>
          <w:b/>
          <w:color w:val="000000"/>
          <w:szCs w:val="24"/>
        </w:rPr>
        <w:t>Ayuntamiento de Zinacantepec</w:t>
      </w:r>
      <w:r w:rsidR="003E255C" w:rsidRPr="00437FF8">
        <w:rPr>
          <w:rFonts w:eastAsia="Palatino Linotype" w:cs="Palatino Linotype"/>
          <w:color w:val="000000"/>
          <w:szCs w:val="24"/>
        </w:rPr>
        <w:t xml:space="preserve">, </w:t>
      </w:r>
      <w:r w:rsidRPr="00437FF8">
        <w:rPr>
          <w:rFonts w:eastAsia="Palatino Linotype" w:cs="Palatino Linotype"/>
          <w:color w:val="000000"/>
          <w:szCs w:val="24"/>
        </w:rPr>
        <w:t>en lo subsecuente</w:t>
      </w:r>
      <w:r w:rsidRPr="00437FF8">
        <w:rPr>
          <w:rFonts w:eastAsia="Palatino Linotype" w:cs="Palatino Linotype"/>
          <w:b/>
          <w:color w:val="000000"/>
          <w:szCs w:val="24"/>
        </w:rPr>
        <w:t xml:space="preserve"> </w:t>
      </w:r>
      <w:r w:rsidRPr="00437FF8">
        <w:rPr>
          <w:rFonts w:eastAsia="Palatino Linotype" w:cs="Palatino Linotype"/>
          <w:color w:val="000000"/>
          <w:szCs w:val="24"/>
        </w:rPr>
        <w:t>el</w:t>
      </w:r>
      <w:r w:rsidRPr="00437FF8">
        <w:rPr>
          <w:rFonts w:eastAsia="Palatino Linotype" w:cs="Palatino Linotype"/>
          <w:b/>
          <w:color w:val="000000"/>
          <w:szCs w:val="24"/>
        </w:rPr>
        <w:t xml:space="preserve"> Sujeto Obligado</w:t>
      </w:r>
      <w:r w:rsidRPr="00437FF8">
        <w:rPr>
          <w:rFonts w:eastAsia="Palatino Linotype" w:cs="Palatino Linotype"/>
          <w:color w:val="000000"/>
          <w:szCs w:val="24"/>
        </w:rPr>
        <w:t>,</w:t>
      </w:r>
      <w:r w:rsidRPr="00437FF8">
        <w:rPr>
          <w:rFonts w:eastAsia="Palatino Linotype" w:cs="Palatino Linotype"/>
          <w:bCs/>
          <w:color w:val="000000"/>
          <w:szCs w:val="24"/>
        </w:rPr>
        <w:t xml:space="preserve"> </w:t>
      </w:r>
      <w:r w:rsidR="003B13D9" w:rsidRPr="00437FF8">
        <w:rPr>
          <w:rFonts w:eastAsia="Palatino Linotype" w:cs="Palatino Linotype"/>
          <w:color w:val="000000"/>
          <w:szCs w:val="24"/>
        </w:rPr>
        <w:t xml:space="preserve">emitida en cumplimiento a la resolución del recurso de revisión número </w:t>
      </w:r>
      <w:r w:rsidR="004D766F" w:rsidRPr="00437FF8">
        <w:rPr>
          <w:rFonts w:eastAsia="Palatino Linotype" w:cs="Palatino Linotype"/>
          <w:b/>
          <w:color w:val="000000"/>
          <w:szCs w:val="24"/>
        </w:rPr>
        <w:t>16745</w:t>
      </w:r>
      <w:r w:rsidR="003B13D9" w:rsidRPr="00437FF8">
        <w:rPr>
          <w:rFonts w:eastAsia="Palatino Linotype" w:cs="Palatino Linotype"/>
          <w:b/>
          <w:color w:val="000000"/>
          <w:szCs w:val="24"/>
        </w:rPr>
        <w:t>/INFOEM/</w:t>
      </w:r>
      <w:r w:rsidR="003E255C" w:rsidRPr="00437FF8">
        <w:rPr>
          <w:rFonts w:eastAsia="Palatino Linotype" w:cs="Palatino Linotype"/>
          <w:b/>
          <w:color w:val="000000"/>
          <w:szCs w:val="24"/>
        </w:rPr>
        <w:t>IP/RR/2022</w:t>
      </w:r>
      <w:r w:rsidR="003B13D9" w:rsidRPr="00437FF8">
        <w:rPr>
          <w:rFonts w:eastAsia="Palatino Linotype" w:cs="Palatino Linotype"/>
          <w:color w:val="000000"/>
          <w:szCs w:val="24"/>
        </w:rPr>
        <w:t xml:space="preserve">, </w:t>
      </w:r>
      <w:r w:rsidRPr="00437FF8">
        <w:rPr>
          <w:rFonts w:eastAsia="Palatino Linotype" w:cs="Palatino Linotype"/>
          <w:color w:val="000000"/>
          <w:szCs w:val="24"/>
        </w:rPr>
        <w:t>se procede a dictar la presente resolución.</w:t>
      </w:r>
    </w:p>
    <w:p w14:paraId="7E81D877"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437FF8" w:rsidRDefault="00DE3512" w:rsidP="00DE3512">
      <w:pPr>
        <w:pBdr>
          <w:top w:val="nil"/>
          <w:left w:val="nil"/>
          <w:bottom w:val="nil"/>
          <w:right w:val="nil"/>
          <w:between w:val="nil"/>
        </w:pBdr>
        <w:jc w:val="center"/>
        <w:rPr>
          <w:rFonts w:eastAsia="Palatino Linotype" w:cs="Palatino Linotype"/>
          <w:b/>
          <w:color w:val="000000"/>
          <w:sz w:val="28"/>
          <w:szCs w:val="28"/>
        </w:rPr>
      </w:pPr>
      <w:r w:rsidRPr="00437FF8">
        <w:rPr>
          <w:rFonts w:eastAsia="Palatino Linotype" w:cs="Palatino Linotype"/>
          <w:b/>
          <w:color w:val="000000"/>
          <w:sz w:val="28"/>
          <w:szCs w:val="28"/>
        </w:rPr>
        <w:t>A N T E C E D E N T E S</w:t>
      </w:r>
    </w:p>
    <w:p w14:paraId="6205E54F" w14:textId="77777777" w:rsidR="00DE3512" w:rsidRPr="00437FF8" w:rsidRDefault="00DE3512" w:rsidP="00DE3512">
      <w:pPr>
        <w:pBdr>
          <w:top w:val="nil"/>
          <w:left w:val="nil"/>
          <w:bottom w:val="nil"/>
          <w:right w:val="nil"/>
          <w:between w:val="nil"/>
        </w:pBdr>
        <w:rPr>
          <w:rFonts w:eastAsia="Palatino Linotype" w:cs="Palatino Linotype"/>
          <w:b/>
          <w:color w:val="000000"/>
          <w:szCs w:val="24"/>
        </w:rPr>
      </w:pPr>
    </w:p>
    <w:p w14:paraId="173AFD57" w14:textId="77777777" w:rsidR="00DE3512" w:rsidRPr="00437FF8" w:rsidRDefault="00DE3512"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PRIMERO.</w:t>
      </w:r>
      <w:r w:rsidRPr="00437FF8">
        <w:rPr>
          <w:rFonts w:eastAsia="Palatino Linotype" w:cs="Palatino Linotype"/>
          <w:color w:val="000000"/>
          <w:sz w:val="26"/>
          <w:szCs w:val="26"/>
        </w:rPr>
        <w:t xml:space="preserve"> </w:t>
      </w:r>
      <w:r w:rsidRPr="00437FF8">
        <w:rPr>
          <w:rFonts w:eastAsia="Palatino Linotype" w:cs="Palatino Linotype"/>
          <w:b/>
          <w:color w:val="000000"/>
          <w:sz w:val="26"/>
          <w:szCs w:val="26"/>
        </w:rPr>
        <w:t>De la Solicitud de Información.</w:t>
      </w:r>
    </w:p>
    <w:p w14:paraId="57B0C7C2" w14:textId="77777777" w:rsidR="004D766F" w:rsidRPr="00437FF8" w:rsidRDefault="004D766F" w:rsidP="004D766F">
      <w:pPr>
        <w:pBdr>
          <w:top w:val="nil"/>
          <w:left w:val="nil"/>
          <w:bottom w:val="nil"/>
          <w:right w:val="nil"/>
          <w:between w:val="nil"/>
        </w:pBdr>
        <w:rPr>
          <w:rFonts w:eastAsia="Palatino Linotype" w:cs="Palatino Linotype"/>
          <w:b/>
          <w:bCs/>
          <w:color w:val="000000"/>
          <w:szCs w:val="24"/>
          <w:lang w:val="es-ES_tradnl"/>
        </w:rPr>
      </w:pPr>
      <w:r w:rsidRPr="00437FF8">
        <w:rPr>
          <w:rFonts w:eastAsia="Palatino Linotype" w:cs="Palatino Linotype"/>
          <w:color w:val="000000"/>
          <w:szCs w:val="24"/>
          <w:lang w:val="es-ES_tradnl"/>
        </w:rPr>
        <w:t>Con fecha veinte de octubre de dos mil veintidós, el Recurrente presentó a través del Sistema de Acceso a la Información Mexiquense (SAIMEX) ante el Sujeto Obligado, solicitud de acceso a la información pública registrada con el número de expediente</w:t>
      </w:r>
      <w:r w:rsidRPr="00437FF8">
        <w:rPr>
          <w:rFonts w:eastAsia="Palatino Linotype" w:cs="Palatino Linotype"/>
          <w:b/>
          <w:color w:val="000000"/>
          <w:szCs w:val="24"/>
          <w:lang w:val="es-ES_tradnl"/>
        </w:rPr>
        <w:t xml:space="preserve"> </w:t>
      </w:r>
      <w:r w:rsidRPr="00437FF8">
        <w:rPr>
          <w:rFonts w:eastAsia="Palatino Linotype" w:cs="Palatino Linotype"/>
          <w:b/>
          <w:bCs/>
          <w:color w:val="000000"/>
          <w:szCs w:val="24"/>
          <w:lang w:val="es-ES_tradnl"/>
        </w:rPr>
        <w:t>01128/ZINACANT/IP/2022</w:t>
      </w:r>
      <w:r w:rsidRPr="00437FF8">
        <w:rPr>
          <w:rFonts w:eastAsia="Palatino Linotype" w:cs="Palatino Linotype"/>
          <w:color w:val="000000"/>
          <w:szCs w:val="24"/>
          <w:lang w:val="es-ES_tradnl"/>
        </w:rPr>
        <w:t>,</w:t>
      </w:r>
      <w:r w:rsidRPr="00437FF8">
        <w:rPr>
          <w:rFonts w:eastAsia="Palatino Linotype" w:cs="Palatino Linotype"/>
          <w:b/>
          <w:color w:val="000000"/>
          <w:szCs w:val="24"/>
          <w:lang w:val="es-ES_tradnl"/>
        </w:rPr>
        <w:t xml:space="preserve"> </w:t>
      </w:r>
      <w:r w:rsidRPr="00437FF8">
        <w:rPr>
          <w:rFonts w:eastAsia="Palatino Linotype" w:cs="Palatino Linotype"/>
          <w:color w:val="000000"/>
          <w:szCs w:val="24"/>
          <w:lang w:val="es-ES_tradnl"/>
        </w:rPr>
        <w:t>mediante la cual solicitó información en el tenor siguiente:</w:t>
      </w:r>
    </w:p>
    <w:p w14:paraId="33EC50CB" w14:textId="77777777" w:rsidR="004D766F" w:rsidRPr="00437FF8" w:rsidRDefault="004D766F" w:rsidP="004D766F">
      <w:pPr>
        <w:pBdr>
          <w:top w:val="nil"/>
          <w:left w:val="nil"/>
          <w:bottom w:val="nil"/>
          <w:right w:val="nil"/>
          <w:between w:val="nil"/>
        </w:pBdr>
        <w:rPr>
          <w:rFonts w:eastAsia="Palatino Linotype" w:cs="Palatino Linotype"/>
          <w:color w:val="000000"/>
          <w:szCs w:val="24"/>
          <w:lang w:val="es-ES_tradnl"/>
        </w:rPr>
      </w:pPr>
    </w:p>
    <w:p w14:paraId="1E7834A8" w14:textId="0BE44421" w:rsidR="003E255C" w:rsidRPr="00437FF8" w:rsidRDefault="004D766F" w:rsidP="004D766F">
      <w:pPr>
        <w:pStyle w:val="Sinespaciado"/>
        <w:rPr>
          <w:rFonts w:eastAsia="Palatino Linotype"/>
          <w:u w:val="single"/>
          <w:lang w:val="es-ES_tradnl"/>
        </w:rPr>
      </w:pPr>
      <w:r w:rsidRPr="00437FF8">
        <w:rPr>
          <w:rFonts w:eastAsia="Palatino Linotype" w:cs="Palatino Linotype"/>
          <w:color w:val="000000"/>
          <w:lang w:val="es-ES_tradnl"/>
        </w:rPr>
        <w:t>“Se solicita conocer los protocolos sanitarios del Ayuntamiento 2022-2024.” (Sic)</w:t>
      </w:r>
    </w:p>
    <w:p w14:paraId="0488E3AE" w14:textId="77777777" w:rsidR="003E255C" w:rsidRPr="00437FF8" w:rsidRDefault="003E255C" w:rsidP="003E255C">
      <w:pPr>
        <w:pBdr>
          <w:top w:val="nil"/>
          <w:left w:val="nil"/>
          <w:bottom w:val="nil"/>
          <w:right w:val="nil"/>
          <w:between w:val="nil"/>
        </w:pBdr>
        <w:rPr>
          <w:rFonts w:eastAsia="Palatino Linotype" w:cs="Palatino Linotype"/>
          <w:color w:val="000000"/>
          <w:szCs w:val="24"/>
          <w:u w:val="single"/>
          <w:lang w:val="es-ES_tradnl"/>
        </w:rPr>
      </w:pPr>
    </w:p>
    <w:p w14:paraId="173728F6" w14:textId="12934B1A" w:rsidR="004C1525" w:rsidRPr="00437FF8" w:rsidRDefault="003E255C" w:rsidP="003E255C">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lang w:val="es-ES_tradnl"/>
        </w:rPr>
        <w:t xml:space="preserve">Modalidad de entrega: </w:t>
      </w:r>
      <w:r w:rsidRPr="00437FF8">
        <w:rPr>
          <w:rFonts w:eastAsia="Palatino Linotype" w:cs="Palatino Linotype"/>
          <w:b/>
          <w:color w:val="000000"/>
          <w:szCs w:val="24"/>
          <w:lang w:val="es-ES_tradnl"/>
        </w:rPr>
        <w:t>a través del SAIMEX.</w:t>
      </w:r>
    </w:p>
    <w:p w14:paraId="792C83C8"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23D5BE00" w14:textId="77777777" w:rsidR="003E255C" w:rsidRPr="00437FF8" w:rsidRDefault="003E255C" w:rsidP="003E255C">
      <w:pPr>
        <w:pBdr>
          <w:top w:val="nil"/>
          <w:left w:val="nil"/>
          <w:bottom w:val="nil"/>
          <w:right w:val="nil"/>
          <w:between w:val="nil"/>
        </w:pBdr>
        <w:rPr>
          <w:rFonts w:eastAsia="Palatino Linotype" w:cs="Palatino Linotype"/>
          <w:b/>
          <w:bCs/>
          <w:color w:val="000000"/>
          <w:sz w:val="26"/>
          <w:szCs w:val="26"/>
          <w:lang w:val="es-ES_tradnl"/>
        </w:rPr>
      </w:pPr>
      <w:r w:rsidRPr="00437FF8">
        <w:rPr>
          <w:rFonts w:eastAsia="Palatino Linotype" w:cs="Palatino Linotype"/>
          <w:b/>
          <w:bCs/>
          <w:color w:val="000000"/>
          <w:sz w:val="26"/>
          <w:szCs w:val="26"/>
          <w:lang w:val="es-ES_tradnl"/>
        </w:rPr>
        <w:t>SEGUNDO. De la petición de aclaración y posterior aclaración del Recurrente.</w:t>
      </w:r>
    </w:p>
    <w:p w14:paraId="6B7A73AB" w14:textId="77777777" w:rsidR="004D766F" w:rsidRPr="00437FF8" w:rsidRDefault="004D766F" w:rsidP="004D766F">
      <w:pPr>
        <w:pBdr>
          <w:top w:val="nil"/>
          <w:left w:val="nil"/>
          <w:bottom w:val="nil"/>
          <w:right w:val="nil"/>
          <w:between w:val="nil"/>
        </w:pBdr>
        <w:rPr>
          <w:rFonts w:eastAsia="Palatino Linotype" w:cs="Palatino Linotype"/>
          <w:color w:val="000000"/>
          <w:szCs w:val="24"/>
          <w:lang w:val="es-ES_tradnl"/>
        </w:rPr>
      </w:pPr>
      <w:r w:rsidRPr="00437FF8">
        <w:rPr>
          <w:rFonts w:eastAsia="Palatino Linotype" w:cs="Palatino Linotype"/>
          <w:color w:val="000000"/>
          <w:szCs w:val="24"/>
          <w:lang w:val="es-ES_tradnl"/>
        </w:rPr>
        <w:lastRenderedPageBreak/>
        <w:t>En fecha veintisiete de octubre de dos mil veintidós, el Sujeto Obligado requirió al Recurrente para que ampliara los datos de su solicitud a efecto de asegurar la continuidad del proceso de acceso a la información y para especificar correctamente los elementos solicitados. En la misma fecha, el hoy Recurrente respondió la petición del Sujeto Obligado manifestando lo siguiente:</w:t>
      </w:r>
    </w:p>
    <w:p w14:paraId="53B45FE8" w14:textId="77777777" w:rsidR="004D766F" w:rsidRPr="00437FF8" w:rsidRDefault="004D766F" w:rsidP="004D766F">
      <w:pPr>
        <w:pBdr>
          <w:top w:val="nil"/>
          <w:left w:val="nil"/>
          <w:bottom w:val="nil"/>
          <w:right w:val="nil"/>
          <w:between w:val="nil"/>
        </w:pBdr>
        <w:rPr>
          <w:rFonts w:eastAsia="Palatino Linotype" w:cs="Palatino Linotype"/>
          <w:color w:val="000000"/>
          <w:szCs w:val="24"/>
          <w:lang w:val="es-ES_tradnl"/>
        </w:rPr>
      </w:pPr>
    </w:p>
    <w:p w14:paraId="49D019A1" w14:textId="77777777" w:rsidR="004D766F" w:rsidRPr="00437FF8" w:rsidRDefault="004D766F" w:rsidP="004D766F">
      <w:pPr>
        <w:pStyle w:val="Sinespaciado"/>
        <w:rPr>
          <w:rFonts w:eastAsia="Palatino Linotype"/>
          <w:b/>
          <w:u w:val="single"/>
          <w:lang w:val="es-ES_tradnl"/>
        </w:rPr>
      </w:pPr>
      <w:r w:rsidRPr="00437FF8">
        <w:rPr>
          <w:rFonts w:eastAsia="Palatino Linotype"/>
          <w:lang w:val="es-ES_tradnl"/>
        </w:rPr>
        <w:t>“NO ENTIENDO QUE HAY QUE ACLARAR, LA SOLICITUD ES MUY ESPECÍFICA” (Sic)</w:t>
      </w:r>
    </w:p>
    <w:p w14:paraId="3186F67E" w14:textId="77777777" w:rsidR="003E255C" w:rsidRPr="00437FF8" w:rsidRDefault="003E255C" w:rsidP="00DE3512">
      <w:pPr>
        <w:pBdr>
          <w:top w:val="nil"/>
          <w:left w:val="nil"/>
          <w:bottom w:val="nil"/>
          <w:right w:val="nil"/>
          <w:between w:val="nil"/>
        </w:pBdr>
        <w:rPr>
          <w:rFonts w:eastAsia="Palatino Linotype" w:cs="Palatino Linotype"/>
          <w:color w:val="000000"/>
          <w:szCs w:val="24"/>
        </w:rPr>
      </w:pPr>
    </w:p>
    <w:p w14:paraId="30F3E818" w14:textId="77777777" w:rsidR="003E255C" w:rsidRPr="00437FF8" w:rsidRDefault="003E255C" w:rsidP="003E255C">
      <w:pPr>
        <w:pBdr>
          <w:top w:val="nil"/>
          <w:left w:val="nil"/>
          <w:bottom w:val="nil"/>
          <w:right w:val="nil"/>
          <w:between w:val="nil"/>
        </w:pBdr>
        <w:rPr>
          <w:rFonts w:eastAsia="Palatino Linotype" w:cs="Palatino Linotype"/>
          <w:color w:val="000000"/>
          <w:szCs w:val="24"/>
          <w:lang w:val="es-ES_tradnl"/>
        </w:rPr>
      </w:pPr>
      <w:r w:rsidRPr="00437FF8">
        <w:rPr>
          <w:rFonts w:eastAsia="Palatino Linotype" w:cs="Palatino Linotype"/>
          <w:b/>
          <w:color w:val="000000"/>
          <w:sz w:val="26"/>
          <w:szCs w:val="26"/>
          <w:lang w:val="es-ES_tradnl"/>
        </w:rPr>
        <w:t>TERCERO. De la falta de respuesta del Sujeto Obligado.</w:t>
      </w:r>
    </w:p>
    <w:p w14:paraId="181BAC8D" w14:textId="77777777" w:rsidR="003E255C" w:rsidRPr="00437FF8" w:rsidRDefault="003E255C" w:rsidP="003E255C">
      <w:pPr>
        <w:pBdr>
          <w:top w:val="nil"/>
          <w:left w:val="nil"/>
          <w:bottom w:val="nil"/>
          <w:right w:val="nil"/>
          <w:between w:val="nil"/>
        </w:pBdr>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En el expediente electrónico </w:t>
      </w:r>
      <w:r w:rsidRPr="00437FF8">
        <w:rPr>
          <w:rFonts w:eastAsia="Palatino Linotype" w:cs="Palatino Linotype"/>
          <w:bCs/>
          <w:color w:val="000000"/>
          <w:szCs w:val="24"/>
          <w:lang w:val="es-ES_tradnl"/>
        </w:rPr>
        <w:t>SAIMEX,</w:t>
      </w:r>
      <w:r w:rsidRPr="00437FF8">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437FF8">
        <w:rPr>
          <w:rFonts w:eastAsia="Palatino Linotype" w:cs="Palatino Linotype"/>
          <w:b/>
          <w:i/>
          <w:color w:val="000000"/>
          <w:szCs w:val="24"/>
          <w:lang w:val="es-ES_tradnl"/>
        </w:rPr>
        <w:t>Negativa Ficta</w:t>
      </w:r>
      <w:r w:rsidRPr="00437FF8">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079602A1" w14:textId="77777777" w:rsidR="003E255C" w:rsidRPr="00437FF8" w:rsidRDefault="003E255C" w:rsidP="003E255C">
      <w:pPr>
        <w:pBdr>
          <w:top w:val="nil"/>
          <w:left w:val="nil"/>
          <w:bottom w:val="nil"/>
          <w:right w:val="nil"/>
          <w:between w:val="nil"/>
        </w:pBdr>
        <w:rPr>
          <w:rFonts w:eastAsia="Palatino Linotype" w:cs="Palatino Linotype"/>
          <w:b/>
          <w:color w:val="000000"/>
          <w:sz w:val="26"/>
          <w:szCs w:val="26"/>
          <w:lang w:val="es-ES_tradnl"/>
        </w:rPr>
      </w:pPr>
      <w:r w:rsidRPr="00437FF8">
        <w:rPr>
          <w:rFonts w:eastAsia="Palatino Linotype" w:cs="Palatino Linotype"/>
          <w:b/>
          <w:color w:val="000000"/>
          <w:sz w:val="26"/>
          <w:szCs w:val="26"/>
          <w:lang w:val="es-ES_tradnl"/>
        </w:rPr>
        <w:t>CUARTO. Del recurso de revisión.</w:t>
      </w:r>
    </w:p>
    <w:p w14:paraId="20EF942F" w14:textId="35CA88F0" w:rsidR="003E255C" w:rsidRPr="00437FF8" w:rsidRDefault="004D766F" w:rsidP="003E255C">
      <w:pPr>
        <w:pBdr>
          <w:top w:val="nil"/>
          <w:left w:val="nil"/>
          <w:bottom w:val="nil"/>
          <w:right w:val="nil"/>
          <w:between w:val="nil"/>
        </w:pBdr>
        <w:rPr>
          <w:rFonts w:eastAsia="Palatino Linotype" w:cs="Palatino Linotype"/>
          <w:color w:val="000000"/>
          <w:szCs w:val="24"/>
          <w:lang w:val="es-ES_tradnl"/>
        </w:rPr>
      </w:pPr>
      <w:r w:rsidRPr="00437FF8">
        <w:rPr>
          <w:rFonts w:eastAsia="Palatino Linotype" w:cs="Palatino Linotype"/>
          <w:color w:val="000000"/>
          <w:szCs w:val="24"/>
          <w:lang w:val="es-ES_tradnl"/>
        </w:rPr>
        <w:t>En fecha veintidós de noviembre de dos mil veintidós, el Recurrente interpuso el presente recurso de revisión, el cual fue registrado en el SAIMEX con el expediente número 16745/INFOEM/IP/RR/2022, manifestando lo siguiente:</w:t>
      </w:r>
    </w:p>
    <w:p w14:paraId="202B1653"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65EA792A" w14:textId="7B17099D" w:rsidR="00F20BC5" w:rsidRPr="00437FF8" w:rsidRDefault="003E255C" w:rsidP="00F20BC5">
      <w:pPr>
        <w:pBdr>
          <w:top w:val="nil"/>
          <w:left w:val="nil"/>
          <w:bottom w:val="nil"/>
          <w:right w:val="nil"/>
          <w:between w:val="nil"/>
        </w:pBdr>
        <w:rPr>
          <w:rFonts w:eastAsia="Palatino Linotype" w:cs="Palatino Linotype"/>
          <w:b/>
          <w:color w:val="000000"/>
          <w:szCs w:val="24"/>
        </w:rPr>
      </w:pPr>
      <w:r w:rsidRPr="00437FF8">
        <w:rPr>
          <w:rFonts w:eastAsia="Palatino Linotype" w:cs="Palatino Linotype"/>
          <w:b/>
          <w:color w:val="000000"/>
          <w:szCs w:val="24"/>
        </w:rPr>
        <w:t>Acto Impugnado</w:t>
      </w:r>
      <w:r w:rsidR="00DE3512" w:rsidRPr="00437FF8">
        <w:rPr>
          <w:rFonts w:eastAsia="Palatino Linotype" w:cs="Palatino Linotype"/>
          <w:b/>
          <w:color w:val="000000"/>
          <w:szCs w:val="24"/>
        </w:rPr>
        <w:t xml:space="preserve">: </w:t>
      </w:r>
    </w:p>
    <w:p w14:paraId="30042CA5" w14:textId="25813BF1" w:rsidR="00DE3512" w:rsidRPr="00437FF8" w:rsidRDefault="00DE3512" w:rsidP="004D766F">
      <w:pPr>
        <w:pStyle w:val="Sinespaciado"/>
        <w:rPr>
          <w:rFonts w:eastAsia="Palatino Linotype"/>
        </w:rPr>
      </w:pPr>
      <w:r w:rsidRPr="00437FF8">
        <w:rPr>
          <w:rFonts w:eastAsia="Palatino Linotype"/>
        </w:rPr>
        <w:t>“</w:t>
      </w:r>
      <w:r w:rsidR="003E255C" w:rsidRPr="00437FF8">
        <w:rPr>
          <w:rFonts w:eastAsia="Palatino Linotype"/>
        </w:rPr>
        <w:t>NO ENTREGA INFORMACIÓN</w:t>
      </w:r>
      <w:r w:rsidRPr="00437FF8">
        <w:rPr>
          <w:rFonts w:eastAsia="Palatino Linotype"/>
        </w:rPr>
        <w:t xml:space="preserve">” (Sic) </w:t>
      </w:r>
    </w:p>
    <w:p w14:paraId="2B317C27" w14:textId="77777777" w:rsidR="00DE3512" w:rsidRPr="00437FF8" w:rsidRDefault="00DE3512" w:rsidP="00F20BC5">
      <w:pPr>
        <w:pBdr>
          <w:top w:val="nil"/>
          <w:left w:val="nil"/>
          <w:bottom w:val="nil"/>
          <w:right w:val="nil"/>
          <w:between w:val="nil"/>
        </w:pBdr>
        <w:rPr>
          <w:rFonts w:eastAsia="Palatino Linotype" w:cs="Palatino Linotype"/>
          <w:color w:val="000000"/>
          <w:szCs w:val="24"/>
        </w:rPr>
      </w:pPr>
    </w:p>
    <w:p w14:paraId="3269664E" w14:textId="77777777" w:rsidR="00F20BC5" w:rsidRPr="00437FF8" w:rsidRDefault="00DE3512" w:rsidP="00F20BC5">
      <w:pPr>
        <w:pBdr>
          <w:top w:val="nil"/>
          <w:left w:val="nil"/>
          <w:bottom w:val="nil"/>
          <w:right w:val="nil"/>
          <w:between w:val="nil"/>
        </w:pBdr>
        <w:rPr>
          <w:rFonts w:eastAsia="Palatino Linotype" w:cs="Palatino Linotype"/>
          <w:color w:val="000000"/>
          <w:szCs w:val="24"/>
        </w:rPr>
      </w:pPr>
      <w:r w:rsidRPr="00437FF8">
        <w:rPr>
          <w:rFonts w:eastAsia="Palatino Linotype" w:cs="Palatino Linotype"/>
          <w:b/>
          <w:color w:val="000000"/>
          <w:szCs w:val="24"/>
        </w:rPr>
        <w:t>Razones o Motivos de Inconformidad</w:t>
      </w:r>
      <w:r w:rsidRPr="00437FF8">
        <w:rPr>
          <w:rFonts w:eastAsia="Palatino Linotype" w:cs="Palatino Linotype"/>
          <w:color w:val="000000"/>
          <w:szCs w:val="24"/>
        </w:rPr>
        <w:t xml:space="preserve">: </w:t>
      </w:r>
    </w:p>
    <w:p w14:paraId="24749F37" w14:textId="789AE34E" w:rsidR="00DE3512" w:rsidRPr="00437FF8" w:rsidRDefault="00DE3512" w:rsidP="004D766F">
      <w:pPr>
        <w:pStyle w:val="Sinespaciado"/>
        <w:rPr>
          <w:rFonts w:eastAsia="Palatino Linotype"/>
        </w:rPr>
      </w:pPr>
      <w:r w:rsidRPr="00437FF8">
        <w:rPr>
          <w:rFonts w:eastAsia="Palatino Linotype"/>
        </w:rPr>
        <w:lastRenderedPageBreak/>
        <w:t>“</w:t>
      </w:r>
      <w:r w:rsidR="003E255C" w:rsidRPr="00437FF8">
        <w:rPr>
          <w:rFonts w:eastAsia="Palatino Linotype"/>
        </w:rPr>
        <w:t>NO ENTREGA INFORMACIÓN</w:t>
      </w:r>
      <w:r w:rsidRPr="00437FF8">
        <w:rPr>
          <w:rFonts w:eastAsia="Palatino Linotype"/>
        </w:rPr>
        <w:t xml:space="preserve">” (Sic) </w:t>
      </w:r>
    </w:p>
    <w:p w14:paraId="290CB98E" w14:textId="77777777" w:rsidR="00DE3512" w:rsidRPr="00437FF8" w:rsidRDefault="00DE3512" w:rsidP="00F20BC5">
      <w:pPr>
        <w:pBdr>
          <w:top w:val="nil"/>
          <w:left w:val="nil"/>
          <w:bottom w:val="nil"/>
          <w:right w:val="nil"/>
          <w:between w:val="nil"/>
        </w:pBdr>
        <w:ind w:right="567"/>
        <w:rPr>
          <w:rFonts w:eastAsia="Palatino Linotype" w:cs="Palatino Linotype"/>
          <w:color w:val="000000"/>
          <w:szCs w:val="24"/>
        </w:rPr>
      </w:pPr>
    </w:p>
    <w:p w14:paraId="3F816B93" w14:textId="0A640FB0" w:rsidR="00D47793" w:rsidRPr="00437FF8" w:rsidRDefault="003E255C"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QUIN</w:t>
      </w:r>
      <w:r w:rsidR="00DE3512" w:rsidRPr="00437FF8">
        <w:rPr>
          <w:rFonts w:eastAsia="Palatino Linotype" w:cs="Palatino Linotype"/>
          <w:b/>
          <w:color w:val="000000"/>
          <w:sz w:val="26"/>
          <w:szCs w:val="26"/>
        </w:rPr>
        <w:t xml:space="preserve">TO. </w:t>
      </w:r>
      <w:r w:rsidR="00D47793" w:rsidRPr="00437FF8">
        <w:rPr>
          <w:rFonts w:eastAsia="Palatino Linotype" w:cs="Palatino Linotype"/>
          <w:b/>
          <w:color w:val="000000"/>
          <w:sz w:val="26"/>
          <w:szCs w:val="26"/>
        </w:rPr>
        <w:t xml:space="preserve">Del trámite y sustanciación del recurso de revisión </w:t>
      </w:r>
      <w:r w:rsidR="00430CB3" w:rsidRPr="00437FF8">
        <w:rPr>
          <w:rFonts w:eastAsia="Palatino Linotype" w:cs="Palatino Linotype"/>
          <w:b/>
          <w:color w:val="000000"/>
          <w:sz w:val="26"/>
          <w:szCs w:val="26"/>
        </w:rPr>
        <w:t xml:space="preserve">número </w:t>
      </w:r>
      <w:r w:rsidR="0095318A" w:rsidRPr="00437FF8">
        <w:rPr>
          <w:rFonts w:eastAsia="Palatino Linotype" w:cs="Palatino Linotype"/>
          <w:b/>
          <w:color w:val="000000"/>
          <w:sz w:val="26"/>
          <w:szCs w:val="26"/>
        </w:rPr>
        <w:t>16745</w:t>
      </w:r>
      <w:r w:rsidRPr="00437FF8">
        <w:rPr>
          <w:rFonts w:eastAsia="Palatino Linotype" w:cs="Palatino Linotype"/>
          <w:b/>
          <w:color w:val="000000"/>
          <w:sz w:val="26"/>
          <w:szCs w:val="26"/>
        </w:rPr>
        <w:t>/INFOEM/IP/RR/2022</w:t>
      </w:r>
    </w:p>
    <w:p w14:paraId="4BEE634B" w14:textId="77777777" w:rsidR="0066278C" w:rsidRPr="00437FF8" w:rsidRDefault="0066278C" w:rsidP="0095318A"/>
    <w:p w14:paraId="68373561" w14:textId="0DCD2A4B" w:rsidR="00DE3512" w:rsidRPr="00437FF8" w:rsidRDefault="00D47793"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 xml:space="preserve">I. </w:t>
      </w:r>
      <w:r w:rsidR="00DE3512" w:rsidRPr="00437FF8">
        <w:rPr>
          <w:rFonts w:eastAsia="Palatino Linotype" w:cs="Palatino Linotype"/>
          <w:b/>
          <w:color w:val="000000"/>
          <w:sz w:val="26"/>
          <w:szCs w:val="26"/>
        </w:rPr>
        <w:t>Del turno y admisión del recurso de revisión.</w:t>
      </w:r>
    </w:p>
    <w:p w14:paraId="2907BE4E" w14:textId="2688CA66" w:rsidR="00DE3512" w:rsidRPr="00437FF8" w:rsidRDefault="003E255C"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E</w:t>
      </w:r>
      <w:r w:rsidR="00DE3512" w:rsidRPr="00437FF8">
        <w:rPr>
          <w:rFonts w:eastAsia="Palatino Linotype" w:cs="Palatino Linotype"/>
          <w:color w:val="000000"/>
          <w:szCs w:val="24"/>
        </w:rPr>
        <w:t xml:space="preserve">l recurso de revisión fue turnado al </w:t>
      </w:r>
      <w:r w:rsidRPr="00437FF8">
        <w:rPr>
          <w:rFonts w:eastAsia="Palatino Linotype" w:cs="Palatino Linotype"/>
          <w:b/>
          <w:bCs/>
          <w:color w:val="000000"/>
          <w:szCs w:val="24"/>
          <w:lang w:val="es-ES_tradnl"/>
        </w:rPr>
        <w:t>Comisionado Presidente J</w:t>
      </w:r>
      <w:r w:rsidRPr="00437FF8">
        <w:rPr>
          <w:rFonts w:eastAsia="Palatino Linotype" w:cs="Palatino Linotype"/>
          <w:b/>
          <w:color w:val="000000"/>
          <w:szCs w:val="24"/>
          <w:lang w:val="es-ES_tradnl"/>
        </w:rPr>
        <w:t>osé Martínez Vilchis</w:t>
      </w:r>
      <w:r w:rsidRPr="00437FF8">
        <w:rPr>
          <w:rFonts w:eastAsia="Palatino Linotype" w:cs="Palatino Linotype"/>
          <w:color w:val="000000"/>
          <w:szCs w:val="24"/>
          <w:lang w:val="es-ES_tradnl"/>
        </w:rPr>
        <w:t xml:space="preserve"> para su revisión y análisis sobre la admisión o desechamiento; por lo que en fecha </w:t>
      </w:r>
      <w:r w:rsidR="004D766F" w:rsidRPr="00437FF8">
        <w:rPr>
          <w:rFonts w:eastAsia="Palatino Linotype" w:cs="Palatino Linotype"/>
          <w:color w:val="000000"/>
          <w:szCs w:val="24"/>
          <w:lang w:val="es-ES_tradnl"/>
        </w:rPr>
        <w:t>veintiocho de noviembre de dos mil veintidós</w:t>
      </w:r>
      <w:r w:rsidRPr="00437FF8">
        <w:rPr>
          <w:rFonts w:eastAsia="Palatino Linotype" w:cs="Palatino Linotype"/>
          <w:color w:val="000000"/>
          <w:szCs w:val="24"/>
          <w:lang w:val="es-ES_tradnl"/>
        </w:rPr>
        <w:t>, el recurso de revisión fue admitido en la vía interpuesta determinándose en él un plazo de siete días para que las partes manifestaran lo que a su derecho corresponda en términos de las fracciones I, II y III del artículo previamente citado.</w:t>
      </w:r>
    </w:p>
    <w:p w14:paraId="291C77AD"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4427EA4F" w14:textId="12DC38DE" w:rsidR="00DE3512" w:rsidRPr="00437FF8" w:rsidRDefault="00D47793"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 xml:space="preserve">II. </w:t>
      </w:r>
      <w:r w:rsidR="00DE3512" w:rsidRPr="00437FF8">
        <w:rPr>
          <w:rFonts w:eastAsia="Palatino Linotype" w:cs="Palatino Linotype"/>
          <w:b/>
          <w:color w:val="000000"/>
          <w:sz w:val="26"/>
          <w:szCs w:val="26"/>
        </w:rPr>
        <w:t>De la etapa de instrucción.</w:t>
      </w:r>
    </w:p>
    <w:p w14:paraId="2EFBC22D" w14:textId="209C766E" w:rsidR="00DE3512" w:rsidRPr="00437FF8" w:rsidRDefault="004E5E43"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2D782D35" w14:textId="0F8D5B40" w:rsidR="004E5E43" w:rsidRPr="00437FF8" w:rsidRDefault="004E5E43" w:rsidP="00DE3512">
      <w:pPr>
        <w:pBdr>
          <w:top w:val="nil"/>
          <w:left w:val="nil"/>
          <w:bottom w:val="nil"/>
          <w:right w:val="nil"/>
          <w:between w:val="nil"/>
        </w:pBdr>
        <w:rPr>
          <w:rFonts w:eastAsia="Palatino Linotype" w:cs="Palatino Linotype"/>
          <w:color w:val="000000"/>
          <w:szCs w:val="24"/>
        </w:rPr>
      </w:pPr>
    </w:p>
    <w:p w14:paraId="0B5504C7" w14:textId="257E6A47" w:rsidR="00DE3512" w:rsidRPr="00437FF8" w:rsidRDefault="00D47793"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 xml:space="preserve">III. </w:t>
      </w:r>
      <w:r w:rsidR="00DE3512" w:rsidRPr="00437FF8">
        <w:rPr>
          <w:rFonts w:eastAsia="Palatino Linotype" w:cs="Palatino Linotype"/>
          <w:b/>
          <w:color w:val="000000"/>
          <w:sz w:val="26"/>
          <w:szCs w:val="26"/>
        </w:rPr>
        <w:t>Del cierre de instrucción.</w:t>
      </w:r>
    </w:p>
    <w:p w14:paraId="57A50442" w14:textId="2E861AE1" w:rsidR="00DE3512" w:rsidRPr="00437FF8" w:rsidRDefault="003E255C"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 xml:space="preserve">Así, una vez transcurrido el término legal, se decretó el cierre de instrucción en fecha </w:t>
      </w:r>
      <w:r w:rsidR="004D766F" w:rsidRPr="00437FF8">
        <w:rPr>
          <w:rFonts w:eastAsia="Palatino Linotype" w:cs="Palatino Linotype"/>
          <w:color w:val="000000"/>
          <w:szCs w:val="24"/>
        </w:rPr>
        <w:t>ocho de diciembre de dos mil veintidós</w:t>
      </w:r>
      <w:r w:rsidRPr="00437FF8">
        <w:rPr>
          <w:rFonts w:eastAsia="Palatino Linotype" w:cs="Palatino Linotype"/>
          <w:color w:val="000000"/>
          <w:szCs w:val="24"/>
        </w:rPr>
        <w:t>, en términos del artículo 185 fracción VI de la Ley de Transparencia y Acceso a la Información Pública del Estado de México y Municipios, iniciándose el término legal para dictar resolución definitiva del asunto.</w:t>
      </w:r>
    </w:p>
    <w:p w14:paraId="66F1B55E" w14:textId="61C7D567" w:rsidR="00D47793" w:rsidRPr="00437FF8" w:rsidRDefault="00D47793" w:rsidP="00DE3512">
      <w:pPr>
        <w:pBdr>
          <w:top w:val="nil"/>
          <w:left w:val="nil"/>
          <w:bottom w:val="nil"/>
          <w:right w:val="nil"/>
          <w:between w:val="nil"/>
        </w:pBdr>
        <w:rPr>
          <w:rFonts w:eastAsia="Palatino Linotype" w:cs="Palatino Linotype"/>
          <w:color w:val="000000"/>
          <w:szCs w:val="24"/>
        </w:rPr>
      </w:pPr>
    </w:p>
    <w:p w14:paraId="4A52ACBB" w14:textId="215885F8" w:rsidR="00D47793" w:rsidRPr="00437FF8" w:rsidRDefault="00D47793" w:rsidP="00DE3512">
      <w:pPr>
        <w:pBdr>
          <w:top w:val="nil"/>
          <w:left w:val="nil"/>
          <w:bottom w:val="nil"/>
          <w:right w:val="nil"/>
          <w:between w:val="nil"/>
        </w:pBdr>
        <w:rPr>
          <w:rFonts w:eastAsia="Palatino Linotype" w:cs="Palatino Linotype"/>
          <w:b/>
          <w:bCs/>
          <w:color w:val="000000"/>
          <w:sz w:val="26"/>
          <w:szCs w:val="26"/>
        </w:rPr>
      </w:pPr>
      <w:r w:rsidRPr="00437FF8">
        <w:rPr>
          <w:rFonts w:eastAsia="Palatino Linotype" w:cs="Palatino Linotype"/>
          <w:b/>
          <w:bCs/>
          <w:color w:val="000000"/>
          <w:sz w:val="26"/>
          <w:szCs w:val="26"/>
        </w:rPr>
        <w:lastRenderedPageBreak/>
        <w:t xml:space="preserve">IV. </w:t>
      </w:r>
      <w:r w:rsidR="006F6E94" w:rsidRPr="00437FF8">
        <w:rPr>
          <w:rFonts w:eastAsia="Palatino Linotype" w:cs="Palatino Linotype"/>
          <w:b/>
          <w:bCs/>
          <w:color w:val="000000"/>
          <w:sz w:val="26"/>
          <w:szCs w:val="26"/>
        </w:rPr>
        <w:t xml:space="preserve">De la resolución </w:t>
      </w:r>
      <w:r w:rsidR="004D766F" w:rsidRPr="00437FF8">
        <w:rPr>
          <w:rFonts w:eastAsia="Palatino Linotype" w:cs="Palatino Linotype"/>
          <w:b/>
          <w:bCs/>
          <w:color w:val="000000"/>
          <w:sz w:val="26"/>
          <w:szCs w:val="26"/>
        </w:rPr>
        <w:t>del recurso de revisión 16745</w:t>
      </w:r>
      <w:r w:rsidR="00D1198C" w:rsidRPr="00437FF8">
        <w:rPr>
          <w:rFonts w:eastAsia="Palatino Linotype" w:cs="Palatino Linotype"/>
          <w:b/>
          <w:bCs/>
          <w:color w:val="000000"/>
          <w:sz w:val="26"/>
          <w:szCs w:val="26"/>
        </w:rPr>
        <w:t>/INFOEM/IP/RR/2022</w:t>
      </w:r>
      <w:r w:rsidR="006F6E94" w:rsidRPr="00437FF8">
        <w:rPr>
          <w:rFonts w:eastAsia="Palatino Linotype" w:cs="Palatino Linotype"/>
          <w:b/>
          <w:bCs/>
          <w:color w:val="000000"/>
          <w:sz w:val="26"/>
          <w:szCs w:val="26"/>
        </w:rPr>
        <w:t>.</w:t>
      </w:r>
    </w:p>
    <w:p w14:paraId="21930710" w14:textId="7AEFA79E" w:rsidR="006F6E94" w:rsidRPr="00437FF8" w:rsidRDefault="006F6E94"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 xml:space="preserve">En la </w:t>
      </w:r>
      <w:r w:rsidR="004D766F" w:rsidRPr="00437FF8">
        <w:rPr>
          <w:rFonts w:eastAsia="Palatino Linotype" w:cs="Palatino Linotype"/>
          <w:color w:val="000000"/>
          <w:szCs w:val="24"/>
        </w:rPr>
        <w:t xml:space="preserve">Primera </w:t>
      </w:r>
      <w:r w:rsidRPr="00437FF8">
        <w:rPr>
          <w:rFonts w:eastAsia="Palatino Linotype" w:cs="Palatino Linotype"/>
          <w:color w:val="000000"/>
          <w:szCs w:val="24"/>
        </w:rPr>
        <w:t>Sesión O</w:t>
      </w:r>
      <w:r w:rsidR="003E255C" w:rsidRPr="00437FF8">
        <w:rPr>
          <w:rFonts w:eastAsia="Palatino Linotype" w:cs="Palatino Linotype"/>
          <w:color w:val="000000"/>
          <w:szCs w:val="24"/>
        </w:rPr>
        <w:t>rdinaria celebrada el</w:t>
      </w:r>
      <w:r w:rsidR="004D766F" w:rsidRPr="00437FF8">
        <w:rPr>
          <w:rFonts w:eastAsia="Palatino Linotype" w:cs="Palatino Linotype"/>
          <w:color w:val="000000"/>
          <w:szCs w:val="24"/>
        </w:rPr>
        <w:t xml:space="preserve"> once de enero de dos mil veintitrés</w:t>
      </w:r>
      <w:r w:rsidRPr="00437FF8">
        <w:rPr>
          <w:rFonts w:eastAsia="Palatino Linotype" w:cs="Palatino Linotype"/>
          <w:color w:val="000000"/>
          <w:szCs w:val="24"/>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35C20AD5" w14:textId="70264B58" w:rsidR="006F6E94" w:rsidRPr="00437FF8" w:rsidRDefault="006F6E94" w:rsidP="00DE3512">
      <w:pPr>
        <w:pBdr>
          <w:top w:val="nil"/>
          <w:left w:val="nil"/>
          <w:bottom w:val="nil"/>
          <w:right w:val="nil"/>
          <w:between w:val="nil"/>
        </w:pBdr>
        <w:rPr>
          <w:rFonts w:eastAsia="Palatino Linotype" w:cs="Palatino Linotype"/>
          <w:color w:val="000000"/>
          <w:szCs w:val="24"/>
        </w:rPr>
      </w:pPr>
    </w:p>
    <w:p w14:paraId="72262DEE" w14:textId="77777777" w:rsidR="00037EA0" w:rsidRPr="00437FF8" w:rsidRDefault="00037EA0" w:rsidP="00037EA0">
      <w:pPr>
        <w:pStyle w:val="Sinespaciado"/>
        <w:rPr>
          <w:rFonts w:eastAsiaTheme="minorHAnsi"/>
          <w:b/>
          <w:lang w:val="es-ES_tradnl"/>
        </w:rPr>
      </w:pPr>
      <w:r w:rsidRPr="00437FF8">
        <w:rPr>
          <w:rFonts w:eastAsiaTheme="minorHAnsi"/>
          <w:b/>
          <w:lang w:val="es-ES_tradnl"/>
        </w:rPr>
        <w:t>PRIMERO</w:t>
      </w:r>
      <w:r w:rsidRPr="00437FF8">
        <w:rPr>
          <w:rFonts w:eastAsiaTheme="minorHAnsi"/>
          <w:lang w:val="es-ES_tradnl"/>
        </w:rPr>
        <w:t xml:space="preserve">. Resultan fundadas las razones o motivos de inconformidad hechos valer por la Recurrente, en términos del </w:t>
      </w:r>
      <w:r w:rsidRPr="00437FF8">
        <w:rPr>
          <w:rFonts w:eastAsiaTheme="minorHAnsi"/>
          <w:b/>
          <w:lang w:val="es-ES_tradnl"/>
        </w:rPr>
        <w:t xml:space="preserve">Considerando QUINTO </w:t>
      </w:r>
      <w:r w:rsidRPr="00437FF8">
        <w:rPr>
          <w:rFonts w:eastAsiaTheme="minorHAnsi"/>
          <w:lang w:val="es-ES_tradnl"/>
        </w:rPr>
        <w:t>de la presente resolución.</w:t>
      </w:r>
    </w:p>
    <w:p w14:paraId="3DBCFCB2" w14:textId="77777777" w:rsidR="00037EA0" w:rsidRPr="00437FF8" w:rsidRDefault="00037EA0" w:rsidP="00037EA0">
      <w:pPr>
        <w:pStyle w:val="Sinespaciado"/>
        <w:rPr>
          <w:rFonts w:eastAsiaTheme="minorHAnsi"/>
          <w:b/>
          <w:lang w:val="es-ES_tradnl"/>
        </w:rPr>
      </w:pPr>
    </w:p>
    <w:p w14:paraId="16370E9C" w14:textId="63799076" w:rsidR="00037EA0" w:rsidRPr="00437FF8" w:rsidRDefault="00037EA0" w:rsidP="00037EA0">
      <w:pPr>
        <w:pStyle w:val="Sinespaciado"/>
        <w:rPr>
          <w:rFonts w:eastAsiaTheme="minorHAnsi"/>
          <w:b/>
          <w:lang w:val="es-ES_tradnl"/>
        </w:rPr>
      </w:pPr>
      <w:r w:rsidRPr="00437FF8">
        <w:rPr>
          <w:rFonts w:eastAsiaTheme="minorHAnsi"/>
          <w:b/>
          <w:lang w:val="es-ES_tradnl"/>
        </w:rPr>
        <w:t>SEGUNDO.</w:t>
      </w:r>
      <w:r w:rsidRPr="00437FF8">
        <w:rPr>
          <w:rFonts w:eastAsiaTheme="minorHAnsi"/>
          <w:lang w:val="es-ES_tradnl"/>
        </w:rPr>
        <w:t xml:space="preserve"> Se</w:t>
      </w:r>
      <w:r w:rsidRPr="00437FF8">
        <w:rPr>
          <w:rFonts w:eastAsiaTheme="minorHAnsi"/>
          <w:b/>
          <w:bCs/>
          <w:lang w:val="es-ES_tradnl"/>
        </w:rPr>
        <w:t xml:space="preserve"> ORDENA </w:t>
      </w:r>
      <w:r w:rsidRPr="00437FF8">
        <w:rPr>
          <w:rFonts w:eastAsiaTheme="minorHAnsi"/>
          <w:lang w:val="es-ES_tradnl"/>
        </w:rPr>
        <w:t>al Sujeto Obligado que</w:t>
      </w:r>
      <w:r w:rsidRPr="00437FF8">
        <w:rPr>
          <w:rFonts w:eastAsiaTheme="minorHAnsi"/>
          <w:bCs/>
          <w:lang w:val="es-ES_tradnl"/>
        </w:rPr>
        <w:t xml:space="preserve"> atienda la solicitud de información</w:t>
      </w:r>
      <w:r w:rsidRPr="00437FF8">
        <w:rPr>
          <w:rFonts w:eastAsiaTheme="minorHAnsi"/>
          <w:b/>
          <w:bCs/>
          <w:lang w:val="es-ES_tradnl"/>
        </w:rPr>
        <w:t xml:space="preserve"> </w:t>
      </w:r>
      <w:r w:rsidR="002C7524" w:rsidRPr="00437FF8">
        <w:rPr>
          <w:rFonts w:eastAsiaTheme="minorHAnsi"/>
          <w:b/>
          <w:bCs/>
        </w:rPr>
        <w:t>01128</w:t>
      </w:r>
      <w:r w:rsidRPr="00437FF8">
        <w:rPr>
          <w:rFonts w:eastAsiaTheme="minorHAnsi"/>
          <w:b/>
          <w:bCs/>
        </w:rPr>
        <w:t>/ZINACANT/IP/2022</w:t>
      </w:r>
      <w:r w:rsidRPr="00437FF8">
        <w:rPr>
          <w:rFonts w:eastAsiaTheme="minorHAnsi"/>
          <w:b/>
          <w:bCs/>
          <w:lang w:val="es-ES_tradnl"/>
        </w:rPr>
        <w:t xml:space="preserve"> </w:t>
      </w:r>
      <w:r w:rsidRPr="00437FF8">
        <w:rPr>
          <w:rFonts w:eastAsiaTheme="minorHAnsi"/>
          <w:lang w:val="es-ES_tradnl"/>
        </w:rPr>
        <w:t xml:space="preserve">en términos del </w:t>
      </w:r>
      <w:r w:rsidRPr="00437FF8">
        <w:rPr>
          <w:rFonts w:eastAsiaTheme="minorHAnsi"/>
          <w:b/>
          <w:lang w:val="es-ES_tradnl"/>
        </w:rPr>
        <w:t xml:space="preserve">Considerando </w:t>
      </w:r>
      <w:r w:rsidRPr="00437FF8">
        <w:rPr>
          <w:rFonts w:eastAsiaTheme="minorHAnsi"/>
          <w:b/>
          <w:bCs/>
          <w:lang w:val="es-ES_tradnl"/>
        </w:rPr>
        <w:t xml:space="preserve">QUINTO </w:t>
      </w:r>
      <w:r w:rsidRPr="00437FF8">
        <w:rPr>
          <w:rFonts w:eastAsiaTheme="minorHAnsi"/>
          <w:lang w:val="es-ES_tradnl"/>
        </w:rPr>
        <w:t>de esta resolución; vía Sistema de Acceso a la Información Mexiquense (SAIMEX)</w:t>
      </w:r>
      <w:r w:rsidRPr="00437FF8">
        <w:rPr>
          <w:rFonts w:eastAsiaTheme="minorHAnsi"/>
          <w:bCs/>
          <w:lang w:val="es-ES_tradnl"/>
        </w:rPr>
        <w:t>.</w:t>
      </w:r>
      <w:r w:rsidRPr="00437FF8">
        <w:rPr>
          <w:rFonts w:eastAsiaTheme="minorHAnsi"/>
          <w:b/>
          <w:bCs/>
          <w:lang w:val="es-ES_tradnl"/>
        </w:rPr>
        <w:t xml:space="preserve"> </w:t>
      </w:r>
    </w:p>
    <w:p w14:paraId="59383742" w14:textId="77777777" w:rsidR="00037EA0" w:rsidRPr="00437FF8" w:rsidRDefault="00037EA0" w:rsidP="00037EA0">
      <w:pPr>
        <w:pStyle w:val="Sinespaciado"/>
        <w:rPr>
          <w:rFonts w:eastAsiaTheme="minorHAnsi"/>
          <w:b/>
          <w:lang w:val="es-ES_tradnl"/>
        </w:rPr>
      </w:pPr>
    </w:p>
    <w:p w14:paraId="08255121" w14:textId="3A398DC8" w:rsidR="006F6E94" w:rsidRPr="00437FF8" w:rsidRDefault="00037EA0" w:rsidP="00037EA0">
      <w:pPr>
        <w:pStyle w:val="Sinespaciado"/>
        <w:rPr>
          <w:rFonts w:eastAsia="Palatino Linotype" w:cs="Palatino Linotype"/>
          <w:iCs/>
          <w:color w:val="000000"/>
        </w:rPr>
      </w:pPr>
      <w:r w:rsidRPr="00437FF8">
        <w:rPr>
          <w:rFonts w:eastAsiaTheme="minorHAnsi"/>
          <w:b/>
          <w:lang w:val="es-ES_tradnl"/>
        </w:rPr>
        <w:t xml:space="preserve">TERCERO. Notifíquese </w:t>
      </w:r>
      <w:r w:rsidRPr="00437FF8">
        <w:rPr>
          <w:rFonts w:eastAsiaTheme="minorHAnsi"/>
          <w:lang w:val="es-ES_tradnl"/>
        </w:rPr>
        <w:t>la presente resolución al Titular de la Unidad de Transparencia del 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DA3401" w14:textId="7D3E2DF3" w:rsidR="006F6E94" w:rsidRPr="00437FF8" w:rsidRDefault="006F6E94" w:rsidP="00DE3512">
      <w:pPr>
        <w:pBdr>
          <w:top w:val="nil"/>
          <w:left w:val="nil"/>
          <w:bottom w:val="nil"/>
          <w:right w:val="nil"/>
          <w:between w:val="nil"/>
        </w:pBdr>
        <w:rPr>
          <w:rFonts w:eastAsia="Palatino Linotype" w:cs="Palatino Linotype"/>
          <w:color w:val="000000"/>
          <w:szCs w:val="24"/>
        </w:rPr>
      </w:pPr>
    </w:p>
    <w:p w14:paraId="16C60B23" w14:textId="491CF350" w:rsidR="006F6E94" w:rsidRPr="00437FF8" w:rsidRDefault="0052348F" w:rsidP="00DE3512">
      <w:pPr>
        <w:pBdr>
          <w:top w:val="nil"/>
          <w:left w:val="nil"/>
          <w:bottom w:val="nil"/>
          <w:right w:val="nil"/>
          <w:between w:val="nil"/>
        </w:pBdr>
        <w:rPr>
          <w:rFonts w:eastAsia="Palatino Linotype" w:cs="Palatino Linotype"/>
          <w:b/>
          <w:bCs/>
          <w:color w:val="000000"/>
          <w:sz w:val="26"/>
          <w:szCs w:val="26"/>
        </w:rPr>
      </w:pPr>
      <w:r w:rsidRPr="00437FF8">
        <w:rPr>
          <w:rFonts w:eastAsia="Palatino Linotype" w:cs="Palatino Linotype"/>
          <w:b/>
          <w:bCs/>
          <w:color w:val="000000"/>
          <w:sz w:val="26"/>
          <w:szCs w:val="26"/>
        </w:rPr>
        <w:t>V.</w:t>
      </w:r>
      <w:r w:rsidR="008120D4" w:rsidRPr="00437FF8">
        <w:rPr>
          <w:rFonts w:eastAsia="Palatino Linotype" w:cs="Palatino Linotype"/>
          <w:b/>
          <w:bCs/>
          <w:color w:val="000000"/>
          <w:sz w:val="26"/>
          <w:szCs w:val="26"/>
        </w:rPr>
        <w:t xml:space="preserve"> </w:t>
      </w:r>
      <w:r w:rsidRPr="00437FF8">
        <w:rPr>
          <w:rFonts w:eastAsia="Palatino Linotype" w:cs="Palatino Linotype"/>
          <w:b/>
          <w:bCs/>
          <w:color w:val="000000"/>
          <w:sz w:val="26"/>
          <w:szCs w:val="26"/>
        </w:rPr>
        <w:t>De la notificación de</w:t>
      </w:r>
      <w:r w:rsidR="00D1198C" w:rsidRPr="00437FF8">
        <w:rPr>
          <w:rFonts w:eastAsia="Palatino Linotype" w:cs="Palatino Linotype"/>
          <w:b/>
          <w:bCs/>
          <w:color w:val="000000"/>
          <w:sz w:val="26"/>
          <w:szCs w:val="26"/>
        </w:rPr>
        <w:t xml:space="preserve"> la resolución del recurso </w:t>
      </w:r>
      <w:r w:rsidR="002C7524" w:rsidRPr="00437FF8">
        <w:rPr>
          <w:rFonts w:eastAsia="Palatino Linotype" w:cs="Palatino Linotype"/>
          <w:b/>
          <w:bCs/>
          <w:color w:val="000000"/>
          <w:sz w:val="26"/>
          <w:szCs w:val="26"/>
        </w:rPr>
        <w:t>16745</w:t>
      </w:r>
      <w:r w:rsidR="00D1198C" w:rsidRPr="00437FF8">
        <w:rPr>
          <w:rFonts w:eastAsia="Palatino Linotype" w:cs="Palatino Linotype"/>
          <w:b/>
          <w:bCs/>
          <w:color w:val="000000"/>
          <w:sz w:val="26"/>
          <w:szCs w:val="26"/>
        </w:rPr>
        <w:t>/INFOEM/IP/RR/2022</w:t>
      </w:r>
      <w:r w:rsidRPr="00437FF8">
        <w:rPr>
          <w:rFonts w:eastAsia="Palatino Linotype" w:cs="Palatino Linotype"/>
          <w:b/>
          <w:bCs/>
          <w:color w:val="000000"/>
          <w:sz w:val="26"/>
          <w:szCs w:val="26"/>
        </w:rPr>
        <w:t>.</w:t>
      </w:r>
    </w:p>
    <w:p w14:paraId="10EB0B63" w14:textId="6D3C1171" w:rsidR="006F6E94" w:rsidRPr="00437FF8" w:rsidRDefault="0052348F"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De conformidad con las constancias que integran el expediente electrónico</w:t>
      </w:r>
      <w:r w:rsidR="00D1198C" w:rsidRPr="00437FF8">
        <w:rPr>
          <w:rFonts w:eastAsia="Palatino Linotype" w:cs="Palatino Linotype"/>
          <w:color w:val="000000"/>
          <w:szCs w:val="24"/>
        </w:rPr>
        <w:t xml:space="preserve">, se advierte que el día </w:t>
      </w:r>
      <w:r w:rsidR="002C7524" w:rsidRPr="00437FF8">
        <w:rPr>
          <w:rFonts w:eastAsia="Palatino Linotype" w:cs="Palatino Linotype"/>
          <w:color w:val="000000"/>
          <w:szCs w:val="24"/>
        </w:rPr>
        <w:t xml:space="preserve">dieciséis de enero de dos mil veintitrés </w:t>
      </w:r>
      <w:r w:rsidRPr="00437FF8">
        <w:rPr>
          <w:rFonts w:eastAsia="Palatino Linotype" w:cs="Palatino Linotype"/>
          <w:color w:val="000000"/>
          <w:szCs w:val="24"/>
        </w:rPr>
        <w:t xml:space="preserve">se notificó a las partes por medio del Sistema de Acceso a la Información Mexiquense (SAIMEX), la resolución </w:t>
      </w:r>
      <w:r w:rsidR="00D1198C" w:rsidRPr="00437FF8">
        <w:rPr>
          <w:rFonts w:eastAsia="Palatino Linotype" w:cs="Palatino Linotype"/>
          <w:color w:val="000000"/>
          <w:szCs w:val="24"/>
        </w:rPr>
        <w:t>del recurso</w:t>
      </w:r>
      <w:r w:rsidRPr="00437FF8">
        <w:rPr>
          <w:rFonts w:eastAsia="Palatino Linotype" w:cs="Palatino Linotype"/>
          <w:color w:val="000000"/>
          <w:szCs w:val="24"/>
        </w:rPr>
        <w:t xml:space="preserve"> de revisión referido.</w:t>
      </w:r>
    </w:p>
    <w:p w14:paraId="0E029587" w14:textId="142F276D" w:rsidR="006F6E94" w:rsidRPr="00437FF8" w:rsidRDefault="006F6E94" w:rsidP="00DE3512">
      <w:pPr>
        <w:pBdr>
          <w:top w:val="nil"/>
          <w:left w:val="nil"/>
          <w:bottom w:val="nil"/>
          <w:right w:val="nil"/>
          <w:between w:val="nil"/>
        </w:pBdr>
        <w:rPr>
          <w:rFonts w:eastAsia="Palatino Linotype" w:cs="Palatino Linotype"/>
          <w:color w:val="000000"/>
          <w:szCs w:val="24"/>
        </w:rPr>
      </w:pPr>
    </w:p>
    <w:p w14:paraId="2154808F" w14:textId="427D2CEA" w:rsidR="002C7524" w:rsidRPr="00437FF8" w:rsidRDefault="0095318A"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V. Del acuerdo de incumplimiento a la resolución.</w:t>
      </w:r>
    </w:p>
    <w:p w14:paraId="0EE16508" w14:textId="4BEA948F" w:rsidR="0095318A" w:rsidRPr="00437FF8" w:rsidRDefault="0095318A" w:rsidP="0095318A">
      <w:r w:rsidRPr="00437FF8">
        <w:t>De conformidad con las constancias que integran el expediente virtual, se advierte que</w:t>
      </w:r>
      <w:r w:rsidR="00121870" w:rsidRPr="00437FF8">
        <w:t>, ante la falta de respuesta a lo ordenado en la resolución dictada,</w:t>
      </w:r>
      <w:r w:rsidRPr="00437FF8">
        <w:t xml:space="preserve"> el día treinta y uno de </w:t>
      </w:r>
      <w:r w:rsidRPr="00437FF8">
        <w:lastRenderedPageBreak/>
        <w:t>enero</w:t>
      </w:r>
      <w:r w:rsidR="00121870" w:rsidRPr="00437FF8">
        <w:t xml:space="preserve"> </w:t>
      </w:r>
      <w:r w:rsidRPr="00437FF8">
        <w:t>de dos mil veintitrés, se notificó a las partes, por medio del Sistema de Acceso a la Información Mexiquense (SAIMEX</w:t>
      </w:r>
      <w:r w:rsidR="00121870" w:rsidRPr="00437FF8">
        <w:t>)</w:t>
      </w:r>
      <w:r w:rsidRPr="00437FF8">
        <w:t xml:space="preserve">, </w:t>
      </w:r>
      <w:r w:rsidR="00121870" w:rsidRPr="00437FF8">
        <w:t>el acuerdo de incumplimiento emitido por la Dirección de Cumplimientos de este Instituto.</w:t>
      </w:r>
    </w:p>
    <w:p w14:paraId="0FF0AAA4" w14:textId="77777777" w:rsidR="0095318A" w:rsidRPr="00437FF8" w:rsidRDefault="0095318A" w:rsidP="0095318A"/>
    <w:p w14:paraId="6FEA8FB0" w14:textId="0DF9E59A" w:rsidR="00AC1ED8" w:rsidRPr="00437FF8" w:rsidRDefault="0095318A" w:rsidP="00AC1ED8">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SEXTO</w:t>
      </w:r>
      <w:r w:rsidR="00AC1ED8" w:rsidRPr="00437FF8">
        <w:rPr>
          <w:rFonts w:eastAsia="Palatino Linotype" w:cs="Palatino Linotype"/>
          <w:b/>
          <w:color w:val="000000"/>
          <w:sz w:val="26"/>
          <w:szCs w:val="26"/>
        </w:rPr>
        <w:t>. De la interpo</w:t>
      </w:r>
      <w:r w:rsidR="00D1198C" w:rsidRPr="00437FF8">
        <w:rPr>
          <w:rFonts w:eastAsia="Palatino Linotype" w:cs="Palatino Linotype"/>
          <w:b/>
          <w:color w:val="000000"/>
          <w:sz w:val="26"/>
          <w:szCs w:val="26"/>
        </w:rPr>
        <w:t>sici</w:t>
      </w:r>
      <w:r w:rsidR="002C7524" w:rsidRPr="00437FF8">
        <w:rPr>
          <w:rFonts w:eastAsia="Palatino Linotype" w:cs="Palatino Linotype"/>
          <w:b/>
          <w:color w:val="000000"/>
          <w:sz w:val="26"/>
          <w:szCs w:val="26"/>
        </w:rPr>
        <w:t>ón del recurso de revisión 16745</w:t>
      </w:r>
      <w:r w:rsidR="00AC1ED8" w:rsidRPr="00437FF8">
        <w:rPr>
          <w:rFonts w:eastAsia="Palatino Linotype" w:cs="Palatino Linotype"/>
          <w:b/>
          <w:color w:val="000000"/>
          <w:sz w:val="26"/>
          <w:szCs w:val="26"/>
        </w:rPr>
        <w:t>/INFOEM/ICR-</w:t>
      </w:r>
      <w:r w:rsidR="002C7524" w:rsidRPr="00437FF8">
        <w:rPr>
          <w:rFonts w:eastAsia="Palatino Linotype" w:cs="Palatino Linotype"/>
          <w:b/>
          <w:color w:val="000000"/>
          <w:sz w:val="26"/>
          <w:szCs w:val="26"/>
        </w:rPr>
        <w:t>89</w:t>
      </w:r>
      <w:r w:rsidR="00D1198C" w:rsidRPr="00437FF8">
        <w:rPr>
          <w:rFonts w:eastAsia="Palatino Linotype" w:cs="Palatino Linotype"/>
          <w:b/>
          <w:color w:val="000000"/>
          <w:sz w:val="26"/>
          <w:szCs w:val="26"/>
        </w:rPr>
        <w:t>/IP/RR/2022</w:t>
      </w:r>
      <w:r w:rsidR="007A5534" w:rsidRPr="00437FF8">
        <w:rPr>
          <w:rFonts w:eastAsia="Palatino Linotype" w:cs="Palatino Linotype"/>
          <w:b/>
          <w:color w:val="000000"/>
          <w:sz w:val="26"/>
          <w:szCs w:val="26"/>
        </w:rPr>
        <w:t>.</w:t>
      </w:r>
    </w:p>
    <w:p w14:paraId="149757A3" w14:textId="1216AC48" w:rsidR="00AC1ED8" w:rsidRPr="00437FF8" w:rsidRDefault="00AC1ED8" w:rsidP="00AC1ED8">
      <w:pPr>
        <w:pBdr>
          <w:top w:val="nil"/>
          <w:left w:val="nil"/>
          <w:bottom w:val="nil"/>
          <w:right w:val="nil"/>
          <w:between w:val="nil"/>
        </w:pBdr>
        <w:rPr>
          <w:rFonts w:eastAsia="Palatino Linotype" w:cs="Palatino Linotype"/>
          <w:color w:val="000000"/>
          <w:szCs w:val="24"/>
          <w:lang w:val="es-ES"/>
        </w:rPr>
      </w:pPr>
      <w:r w:rsidRPr="00437FF8">
        <w:rPr>
          <w:rFonts w:eastAsia="Palatino Linotype" w:cs="Palatino Linotype"/>
          <w:color w:val="000000"/>
          <w:szCs w:val="24"/>
        </w:rPr>
        <w:t xml:space="preserve">De las constancias que integran </w:t>
      </w:r>
      <w:r w:rsidR="008120D4" w:rsidRPr="00437FF8">
        <w:rPr>
          <w:rFonts w:eastAsia="Palatino Linotype" w:cs="Palatino Linotype"/>
          <w:color w:val="000000"/>
          <w:szCs w:val="24"/>
        </w:rPr>
        <w:t>el</w:t>
      </w:r>
      <w:r w:rsidRPr="00437FF8">
        <w:rPr>
          <w:rFonts w:eastAsia="Palatino Linotype" w:cs="Palatino Linotype"/>
          <w:color w:val="000000"/>
          <w:szCs w:val="24"/>
        </w:rPr>
        <w:t xml:space="preserve"> expedientes de</w:t>
      </w:r>
      <w:r w:rsidR="008120D4" w:rsidRPr="00437FF8">
        <w:rPr>
          <w:rFonts w:eastAsia="Palatino Linotype" w:cs="Palatino Linotype"/>
          <w:color w:val="000000"/>
          <w:szCs w:val="24"/>
        </w:rPr>
        <w:t>l</w:t>
      </w:r>
      <w:r w:rsidRPr="00437FF8">
        <w:rPr>
          <w:rFonts w:eastAsia="Palatino Linotype" w:cs="Palatino Linotype"/>
          <w:color w:val="000000"/>
          <w:szCs w:val="24"/>
        </w:rPr>
        <w:t xml:space="preserve"> recurso de revisión </w:t>
      </w:r>
      <w:r w:rsidR="002C7524" w:rsidRPr="00437FF8">
        <w:rPr>
          <w:rFonts w:eastAsia="Palatino Linotype" w:cs="Palatino Linotype"/>
          <w:b/>
          <w:bCs/>
          <w:color w:val="000000"/>
          <w:szCs w:val="24"/>
        </w:rPr>
        <w:t>16745/INFOEM/ICR-89</w:t>
      </w:r>
      <w:r w:rsidR="00D1198C" w:rsidRPr="00437FF8">
        <w:rPr>
          <w:rFonts w:eastAsia="Palatino Linotype" w:cs="Palatino Linotype"/>
          <w:b/>
          <w:bCs/>
          <w:color w:val="000000"/>
          <w:szCs w:val="24"/>
        </w:rPr>
        <w:t>/IP/RR/2022</w:t>
      </w:r>
      <w:r w:rsidRPr="00437FF8">
        <w:rPr>
          <w:rFonts w:eastAsia="Palatino Linotype" w:cs="Palatino Linotype"/>
          <w:color w:val="000000"/>
          <w:szCs w:val="24"/>
        </w:rPr>
        <w:t xml:space="preserve">, se observa que </w:t>
      </w:r>
      <w:r w:rsidR="00D14A61" w:rsidRPr="00437FF8">
        <w:rPr>
          <w:rFonts w:eastAsia="Palatino Linotype" w:cs="Palatino Linotype"/>
          <w:color w:val="000000"/>
          <w:szCs w:val="24"/>
        </w:rPr>
        <w:t>el día siete</w:t>
      </w:r>
      <w:r w:rsidR="008120D4" w:rsidRPr="00437FF8">
        <w:rPr>
          <w:rFonts w:eastAsia="Palatino Linotype" w:cs="Palatino Linotype"/>
          <w:color w:val="000000"/>
          <w:szCs w:val="24"/>
        </w:rPr>
        <w:t xml:space="preserve"> de </w:t>
      </w:r>
      <w:r w:rsidR="00D1198C" w:rsidRPr="00437FF8">
        <w:rPr>
          <w:rFonts w:eastAsia="Palatino Linotype" w:cs="Palatino Linotype"/>
          <w:color w:val="000000"/>
          <w:szCs w:val="24"/>
        </w:rPr>
        <w:t xml:space="preserve">febrero de dos mil veintitrés, </w:t>
      </w:r>
      <w:r w:rsidRPr="00437FF8">
        <w:rPr>
          <w:rFonts w:eastAsia="Palatino Linotype" w:cs="Palatino Linotype"/>
          <w:color w:val="000000"/>
          <w:szCs w:val="24"/>
          <w:lang w:val="es-ES"/>
        </w:rPr>
        <w:t xml:space="preserve">el </w:t>
      </w:r>
      <w:r w:rsidRPr="00437FF8">
        <w:rPr>
          <w:rFonts w:eastAsia="Palatino Linotype" w:cs="Palatino Linotype"/>
          <w:bCs/>
          <w:color w:val="000000"/>
          <w:szCs w:val="24"/>
          <w:lang w:val="es-ES"/>
        </w:rPr>
        <w:t xml:space="preserve">Recurrente </w:t>
      </w:r>
      <w:r w:rsidRPr="00437FF8">
        <w:rPr>
          <w:rFonts w:eastAsia="Palatino Linotype" w:cs="Palatino Linotype"/>
          <w:color w:val="000000"/>
          <w:szCs w:val="24"/>
          <w:lang w:val="es-ES"/>
        </w:rPr>
        <w:t xml:space="preserve">interpuso </w:t>
      </w:r>
      <w:r w:rsidR="0003590D" w:rsidRPr="00437FF8">
        <w:rPr>
          <w:rFonts w:eastAsia="Palatino Linotype" w:cs="Palatino Linotype"/>
          <w:color w:val="000000"/>
          <w:szCs w:val="24"/>
          <w:lang w:val="es-ES"/>
        </w:rPr>
        <w:t xml:space="preserve">un </w:t>
      </w:r>
      <w:r w:rsidRPr="00437FF8">
        <w:rPr>
          <w:rFonts w:eastAsia="Palatino Linotype" w:cs="Palatino Linotype"/>
          <w:color w:val="000000"/>
          <w:szCs w:val="24"/>
          <w:lang w:val="es-ES"/>
        </w:rPr>
        <w:t xml:space="preserve">nuevo recurso de revisión en este Instituto, a través del Sistema de Acceso a la Información Mexiquense (SAIMEX), en contra de la </w:t>
      </w:r>
      <w:r w:rsidR="0003590D" w:rsidRPr="00437FF8">
        <w:rPr>
          <w:rFonts w:eastAsia="Palatino Linotype" w:cs="Palatino Linotype"/>
          <w:color w:val="000000"/>
          <w:szCs w:val="24"/>
          <w:lang w:val="es-ES"/>
        </w:rPr>
        <w:t>negativa a la información solicitada, en el que se señaló lo siguiente:</w:t>
      </w:r>
    </w:p>
    <w:p w14:paraId="0D09D612" w14:textId="77777777" w:rsidR="00AC1ED8" w:rsidRPr="00437FF8" w:rsidRDefault="00AC1ED8" w:rsidP="00AC1ED8">
      <w:pPr>
        <w:pBdr>
          <w:top w:val="nil"/>
          <w:left w:val="nil"/>
          <w:bottom w:val="nil"/>
          <w:right w:val="nil"/>
          <w:between w:val="nil"/>
        </w:pBdr>
        <w:rPr>
          <w:rFonts w:eastAsia="Palatino Linotype" w:cs="Palatino Linotype"/>
          <w:color w:val="000000"/>
          <w:szCs w:val="24"/>
          <w:lang w:val="es-ES_tradnl"/>
        </w:rPr>
      </w:pPr>
    </w:p>
    <w:p w14:paraId="16909F9F" w14:textId="77777777" w:rsidR="002B100D" w:rsidRPr="00437FF8" w:rsidRDefault="00AC1ED8" w:rsidP="00AC1ED8">
      <w:pPr>
        <w:pBdr>
          <w:top w:val="nil"/>
          <w:left w:val="nil"/>
          <w:bottom w:val="nil"/>
          <w:right w:val="nil"/>
          <w:between w:val="nil"/>
        </w:pBdr>
        <w:rPr>
          <w:rFonts w:eastAsia="Palatino Linotype" w:cs="Palatino Linotype"/>
          <w:b/>
          <w:color w:val="000000"/>
          <w:szCs w:val="24"/>
          <w:lang w:val="es-ES"/>
        </w:rPr>
      </w:pPr>
      <w:r w:rsidRPr="00437FF8">
        <w:rPr>
          <w:rFonts w:eastAsia="Palatino Linotype" w:cs="Palatino Linotype"/>
          <w:b/>
          <w:color w:val="000000"/>
          <w:szCs w:val="24"/>
          <w:lang w:val="es-ES"/>
        </w:rPr>
        <w:t>Acto impugnado:</w:t>
      </w:r>
      <w:r w:rsidR="0003590D" w:rsidRPr="00437FF8">
        <w:rPr>
          <w:rFonts w:eastAsia="Palatino Linotype" w:cs="Palatino Linotype"/>
          <w:b/>
          <w:color w:val="000000"/>
          <w:szCs w:val="24"/>
          <w:lang w:val="es-ES"/>
        </w:rPr>
        <w:t xml:space="preserve"> </w:t>
      </w:r>
    </w:p>
    <w:p w14:paraId="39D1756F" w14:textId="70B61B29" w:rsidR="00AC1ED8" w:rsidRPr="00437FF8" w:rsidRDefault="00AC1ED8" w:rsidP="004D766F">
      <w:pPr>
        <w:pStyle w:val="Sinespaciado"/>
        <w:rPr>
          <w:rFonts w:eastAsia="Palatino Linotype"/>
          <w:b/>
          <w:lang w:val="es-ES"/>
        </w:rPr>
      </w:pPr>
      <w:r w:rsidRPr="00437FF8">
        <w:rPr>
          <w:rFonts w:eastAsia="Palatino Linotype"/>
          <w:lang w:val="es-ES"/>
        </w:rPr>
        <w:t>“</w:t>
      </w:r>
      <w:r w:rsidR="00D1198C" w:rsidRPr="00437FF8">
        <w:rPr>
          <w:rFonts w:eastAsia="Palatino Linotype"/>
          <w:lang w:val="es-ES"/>
        </w:rPr>
        <w:t>NO ENTREGA INFORMACIÓN</w:t>
      </w:r>
      <w:r w:rsidRPr="00437FF8">
        <w:rPr>
          <w:rFonts w:eastAsia="Palatino Linotype"/>
          <w:lang w:val="es-ES"/>
        </w:rPr>
        <w:t>”</w:t>
      </w:r>
      <w:r w:rsidR="007A5534" w:rsidRPr="00437FF8">
        <w:rPr>
          <w:rFonts w:eastAsia="Palatino Linotype"/>
          <w:lang w:val="es-ES"/>
        </w:rPr>
        <w:t xml:space="preserve"> (sic)</w:t>
      </w:r>
    </w:p>
    <w:p w14:paraId="3392E317" w14:textId="77777777" w:rsidR="00AC1ED8" w:rsidRPr="00437FF8" w:rsidRDefault="00AC1ED8" w:rsidP="00AC1ED8">
      <w:pPr>
        <w:pBdr>
          <w:top w:val="nil"/>
          <w:left w:val="nil"/>
          <w:bottom w:val="nil"/>
          <w:right w:val="nil"/>
          <w:between w:val="nil"/>
        </w:pBdr>
        <w:rPr>
          <w:rFonts w:eastAsia="Palatino Linotype" w:cs="Palatino Linotype"/>
          <w:color w:val="000000"/>
          <w:szCs w:val="24"/>
          <w:lang w:val="es-ES"/>
        </w:rPr>
      </w:pPr>
    </w:p>
    <w:p w14:paraId="0542EA92" w14:textId="77777777" w:rsidR="002B100D" w:rsidRPr="00437FF8" w:rsidRDefault="00AC1ED8" w:rsidP="00AC1ED8">
      <w:pPr>
        <w:pBdr>
          <w:top w:val="nil"/>
          <w:left w:val="nil"/>
          <w:bottom w:val="nil"/>
          <w:right w:val="nil"/>
          <w:between w:val="nil"/>
        </w:pBdr>
        <w:rPr>
          <w:rFonts w:eastAsia="Palatino Linotype" w:cs="Palatino Linotype"/>
          <w:b/>
          <w:color w:val="000000"/>
          <w:szCs w:val="24"/>
          <w:lang w:val="es-ES"/>
        </w:rPr>
      </w:pPr>
      <w:r w:rsidRPr="00437FF8">
        <w:rPr>
          <w:rFonts w:eastAsia="Palatino Linotype" w:cs="Palatino Linotype"/>
          <w:b/>
          <w:color w:val="000000"/>
          <w:szCs w:val="24"/>
          <w:lang w:val="es-ES"/>
        </w:rPr>
        <w:t>Razones o motivos de inconformidad:</w:t>
      </w:r>
      <w:r w:rsidR="007A5534" w:rsidRPr="00437FF8">
        <w:rPr>
          <w:rFonts w:eastAsia="Palatino Linotype" w:cs="Palatino Linotype"/>
          <w:b/>
          <w:color w:val="000000"/>
          <w:szCs w:val="24"/>
          <w:lang w:val="es-ES"/>
        </w:rPr>
        <w:t xml:space="preserve"> </w:t>
      </w:r>
    </w:p>
    <w:p w14:paraId="53B5F6DB" w14:textId="23F12B2E" w:rsidR="00AC1ED8" w:rsidRPr="00437FF8" w:rsidRDefault="00AC1ED8" w:rsidP="004D766F">
      <w:pPr>
        <w:pStyle w:val="Sinespaciado"/>
        <w:rPr>
          <w:rFonts w:eastAsia="Palatino Linotype"/>
          <w:b/>
          <w:lang w:val="es-ES"/>
        </w:rPr>
      </w:pPr>
      <w:r w:rsidRPr="00437FF8">
        <w:rPr>
          <w:rFonts w:eastAsia="Palatino Linotype"/>
          <w:lang w:val="es-ES"/>
        </w:rPr>
        <w:t>“</w:t>
      </w:r>
      <w:r w:rsidR="00D1198C" w:rsidRPr="00437FF8">
        <w:rPr>
          <w:rFonts w:eastAsia="Palatino Linotype"/>
          <w:lang w:val="es-ES"/>
        </w:rPr>
        <w:t>NO ENTREGA INFORMACIÓN</w:t>
      </w:r>
      <w:r w:rsidRPr="00437FF8">
        <w:rPr>
          <w:rFonts w:eastAsia="Palatino Linotype"/>
          <w:lang w:val="es-ES"/>
        </w:rPr>
        <w:t>”</w:t>
      </w:r>
      <w:r w:rsidR="007A5534" w:rsidRPr="00437FF8">
        <w:rPr>
          <w:rFonts w:eastAsia="Palatino Linotype"/>
          <w:lang w:val="es-ES"/>
        </w:rPr>
        <w:t xml:space="preserve"> (sic)</w:t>
      </w:r>
    </w:p>
    <w:p w14:paraId="6564A5DD" w14:textId="77777777" w:rsidR="0003590D" w:rsidRPr="00437FF8" w:rsidRDefault="0003590D" w:rsidP="00AC1ED8">
      <w:pPr>
        <w:pBdr>
          <w:top w:val="nil"/>
          <w:left w:val="nil"/>
          <w:bottom w:val="nil"/>
          <w:right w:val="nil"/>
          <w:between w:val="nil"/>
        </w:pBdr>
        <w:rPr>
          <w:rFonts w:eastAsia="Palatino Linotype" w:cs="Palatino Linotype"/>
          <w:b/>
          <w:color w:val="000000"/>
          <w:szCs w:val="24"/>
          <w:lang w:val="es-ES"/>
        </w:rPr>
      </w:pPr>
    </w:p>
    <w:p w14:paraId="14362660" w14:textId="2822146F" w:rsidR="007A5534" w:rsidRPr="00437FF8" w:rsidRDefault="0095318A" w:rsidP="00AC1ED8">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lang w:val="es-ES"/>
        </w:rPr>
        <w:t>SÉPTIMO</w:t>
      </w:r>
      <w:r w:rsidR="00AC1ED8" w:rsidRPr="00437FF8">
        <w:rPr>
          <w:rFonts w:eastAsia="Palatino Linotype" w:cs="Palatino Linotype"/>
          <w:b/>
          <w:color w:val="000000"/>
          <w:sz w:val="26"/>
          <w:szCs w:val="26"/>
          <w:lang w:val="es-ES"/>
        </w:rPr>
        <w:t>.</w:t>
      </w:r>
      <w:r w:rsidR="00AC1ED8" w:rsidRPr="00437FF8">
        <w:rPr>
          <w:rFonts w:eastAsia="Palatino Linotype" w:cs="Palatino Linotype"/>
          <w:color w:val="000000"/>
          <w:sz w:val="26"/>
          <w:szCs w:val="26"/>
          <w:lang w:val="es-ES"/>
        </w:rPr>
        <w:t xml:space="preserve"> </w:t>
      </w:r>
      <w:r w:rsidR="00AC1ED8" w:rsidRPr="00437FF8">
        <w:rPr>
          <w:rFonts w:eastAsia="Palatino Linotype" w:cs="Palatino Linotype"/>
          <w:b/>
          <w:color w:val="000000"/>
          <w:sz w:val="26"/>
          <w:szCs w:val="26"/>
          <w:lang w:val="es-ES"/>
        </w:rPr>
        <w:t xml:space="preserve">Del turno </w:t>
      </w:r>
      <w:r w:rsidR="007A5534" w:rsidRPr="00437FF8">
        <w:rPr>
          <w:rFonts w:eastAsia="Palatino Linotype" w:cs="Palatino Linotype"/>
          <w:b/>
          <w:color w:val="000000"/>
          <w:sz w:val="26"/>
          <w:szCs w:val="26"/>
          <w:lang w:val="es-ES"/>
        </w:rPr>
        <w:t xml:space="preserve">y admisión </w:t>
      </w:r>
      <w:r w:rsidR="007A5534" w:rsidRPr="00437FF8">
        <w:rPr>
          <w:rFonts w:eastAsia="Palatino Linotype" w:cs="Palatino Linotype"/>
          <w:b/>
          <w:color w:val="000000"/>
          <w:sz w:val="26"/>
          <w:szCs w:val="26"/>
        </w:rPr>
        <w:t xml:space="preserve">del recurso de revisión </w:t>
      </w:r>
      <w:r w:rsidR="00D14A61" w:rsidRPr="00437FF8">
        <w:rPr>
          <w:rFonts w:eastAsia="Palatino Linotype" w:cs="Palatino Linotype"/>
          <w:b/>
          <w:color w:val="000000"/>
          <w:sz w:val="26"/>
          <w:szCs w:val="26"/>
        </w:rPr>
        <w:t>16745/INFOEM/ICR-89</w:t>
      </w:r>
      <w:r w:rsidR="00D1198C" w:rsidRPr="00437FF8">
        <w:rPr>
          <w:rFonts w:eastAsia="Palatino Linotype" w:cs="Palatino Linotype"/>
          <w:b/>
          <w:color w:val="000000"/>
          <w:sz w:val="26"/>
          <w:szCs w:val="26"/>
        </w:rPr>
        <w:t>/IP/RR/2022</w:t>
      </w:r>
      <w:r w:rsidR="007A5534" w:rsidRPr="00437FF8">
        <w:rPr>
          <w:rFonts w:eastAsia="Palatino Linotype" w:cs="Palatino Linotype"/>
          <w:b/>
          <w:color w:val="000000"/>
          <w:sz w:val="26"/>
          <w:szCs w:val="26"/>
        </w:rPr>
        <w:t>.</w:t>
      </w:r>
    </w:p>
    <w:p w14:paraId="7EB70818" w14:textId="17B3C276" w:rsidR="0066278C" w:rsidRPr="00437FF8" w:rsidRDefault="0066278C" w:rsidP="0066278C">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del Estado de México y Municipios al </w:t>
      </w:r>
      <w:r w:rsidRPr="00437FF8">
        <w:rPr>
          <w:rFonts w:eastAsia="Palatino Linotype" w:cs="Palatino Linotype"/>
          <w:b/>
          <w:bCs/>
          <w:color w:val="000000"/>
          <w:szCs w:val="24"/>
        </w:rPr>
        <w:t>Comisionado Presidente José Martínez Vilchis</w:t>
      </w:r>
      <w:r w:rsidRPr="00437FF8">
        <w:rPr>
          <w:rFonts w:eastAsia="Palatino Linotype" w:cs="Palatino Linotype"/>
          <w:color w:val="000000"/>
          <w:szCs w:val="24"/>
        </w:rPr>
        <w:t>, para su revisión y análisis sobre la admisión o desechamiento; por lo que en fecha</w:t>
      </w:r>
      <w:r w:rsidR="00D14A61" w:rsidRPr="00437FF8">
        <w:rPr>
          <w:rFonts w:eastAsia="Palatino Linotype" w:cs="Palatino Linotype"/>
          <w:color w:val="000000"/>
          <w:szCs w:val="24"/>
        </w:rPr>
        <w:t xml:space="preserve"> doce</w:t>
      </w:r>
      <w:r w:rsidR="00D1198C" w:rsidRPr="00437FF8">
        <w:rPr>
          <w:rFonts w:eastAsia="Palatino Linotype" w:cs="Palatino Linotype"/>
          <w:color w:val="000000"/>
          <w:szCs w:val="24"/>
        </w:rPr>
        <w:t xml:space="preserve"> </w:t>
      </w:r>
      <w:r w:rsidR="00D1198C" w:rsidRPr="00437FF8">
        <w:rPr>
          <w:rFonts w:eastAsia="Palatino Linotype" w:cs="Palatino Linotype"/>
          <w:color w:val="000000"/>
          <w:szCs w:val="24"/>
        </w:rPr>
        <w:lastRenderedPageBreak/>
        <w:t>de febrero de dos mil veintitrés</w:t>
      </w:r>
      <w:r w:rsidRPr="00437FF8">
        <w:rPr>
          <w:rFonts w:eastAsia="Palatino Linotype" w:cs="Palatino Linotype"/>
          <w:color w:val="000000"/>
          <w:szCs w:val="24"/>
        </w:rPr>
        <w:t>, el recurso de revisión fue admitido en la vía interpuesta determinándose un plazo de siete días para que las partes manifestaran lo que a su derecho corresponda en términos de las fracciones I, II y III del artículo ya citado.</w:t>
      </w:r>
    </w:p>
    <w:p w14:paraId="5E690A31" w14:textId="48A22EEC" w:rsidR="00AC1ED8" w:rsidRPr="00437FF8" w:rsidRDefault="00AC1ED8" w:rsidP="00AC1ED8">
      <w:pPr>
        <w:pBdr>
          <w:top w:val="nil"/>
          <w:left w:val="nil"/>
          <w:bottom w:val="nil"/>
          <w:right w:val="nil"/>
          <w:between w:val="nil"/>
        </w:pBdr>
        <w:rPr>
          <w:rFonts w:eastAsia="Palatino Linotype" w:cs="Palatino Linotype"/>
          <w:color w:val="000000"/>
          <w:szCs w:val="24"/>
        </w:rPr>
      </w:pPr>
    </w:p>
    <w:p w14:paraId="2FA10797" w14:textId="7B4439E5" w:rsidR="0066278C" w:rsidRPr="00437FF8"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437FF8">
        <w:rPr>
          <w:rFonts w:eastAsia="Palatino Linotype" w:cs="Palatino Linotype"/>
          <w:b/>
          <w:color w:val="000000"/>
          <w:sz w:val="26"/>
          <w:szCs w:val="26"/>
          <w:lang w:val="es-ES_tradnl"/>
        </w:rPr>
        <w:t>OCTAVO</w:t>
      </w:r>
      <w:r w:rsidR="0066278C" w:rsidRPr="00437FF8">
        <w:rPr>
          <w:rFonts w:eastAsia="Palatino Linotype" w:cs="Palatino Linotype"/>
          <w:b/>
          <w:color w:val="000000"/>
          <w:sz w:val="26"/>
          <w:szCs w:val="26"/>
          <w:lang w:val="es-ES_tradnl"/>
        </w:rPr>
        <w:t>. De la etapa de instrucción.</w:t>
      </w:r>
    </w:p>
    <w:p w14:paraId="4FACF163" w14:textId="77777777" w:rsidR="0066278C" w:rsidRPr="00437FF8"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p>
    <w:p w14:paraId="38B55262" w14:textId="77777777" w:rsidR="0066278C" w:rsidRPr="00437FF8" w:rsidRDefault="0066278C" w:rsidP="0066278C">
      <w:pPr>
        <w:pBdr>
          <w:top w:val="nil"/>
          <w:left w:val="nil"/>
          <w:bottom w:val="nil"/>
          <w:right w:val="nil"/>
          <w:between w:val="nil"/>
        </w:pBdr>
        <w:contextualSpacing/>
        <w:rPr>
          <w:rFonts w:eastAsia="Palatino Linotype" w:cs="Palatino Linotype"/>
          <w:color w:val="000000"/>
          <w:szCs w:val="24"/>
          <w:lang w:val="es-ES_tradnl"/>
        </w:rPr>
      </w:pPr>
    </w:p>
    <w:p w14:paraId="1F265744" w14:textId="2D34D6D2" w:rsidR="0066278C" w:rsidRPr="00437FF8"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437FF8">
        <w:rPr>
          <w:rFonts w:eastAsia="Palatino Linotype" w:cs="Palatino Linotype"/>
          <w:b/>
          <w:color w:val="000000"/>
          <w:sz w:val="26"/>
          <w:szCs w:val="26"/>
          <w:lang w:val="es-ES_tradnl"/>
        </w:rPr>
        <w:t>NOVENO</w:t>
      </w:r>
      <w:r w:rsidR="0066278C" w:rsidRPr="00437FF8">
        <w:rPr>
          <w:rFonts w:eastAsia="Palatino Linotype" w:cs="Palatino Linotype"/>
          <w:b/>
          <w:color w:val="000000"/>
          <w:sz w:val="26"/>
          <w:szCs w:val="26"/>
          <w:lang w:val="es-ES_tradnl"/>
        </w:rPr>
        <w:t>. Del cierre de instrucción.</w:t>
      </w:r>
    </w:p>
    <w:p w14:paraId="1CEE8121" w14:textId="20DFE431" w:rsidR="0066278C" w:rsidRPr="00437FF8"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Así, transcurrido el término legal, se decretó el cierre de instrucción en fecha</w:t>
      </w:r>
      <w:r w:rsidR="00D1198C" w:rsidRPr="00437FF8">
        <w:rPr>
          <w:rFonts w:eastAsia="Palatino Linotype" w:cs="Palatino Linotype"/>
          <w:color w:val="000000"/>
          <w:szCs w:val="24"/>
          <w:lang w:val="es-ES_tradnl"/>
        </w:rPr>
        <w:t xml:space="preserve"> veintidós de febrero de dos mil veintitrés</w:t>
      </w:r>
      <w:r w:rsidRPr="00437FF8">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0618B47A" w14:textId="7CD06231" w:rsidR="002B100D" w:rsidRPr="00437FF8" w:rsidRDefault="002B100D" w:rsidP="0066278C">
      <w:pPr>
        <w:pBdr>
          <w:top w:val="nil"/>
          <w:left w:val="nil"/>
          <w:bottom w:val="nil"/>
          <w:right w:val="nil"/>
          <w:between w:val="nil"/>
        </w:pBdr>
        <w:contextualSpacing/>
        <w:rPr>
          <w:rFonts w:eastAsia="Palatino Linotype" w:cs="Palatino Linotype"/>
          <w:color w:val="000000"/>
          <w:szCs w:val="24"/>
          <w:lang w:val="es-ES_tradnl"/>
        </w:rPr>
      </w:pPr>
    </w:p>
    <w:p w14:paraId="1D741F27" w14:textId="1ECEB5A1" w:rsidR="0066278C" w:rsidRPr="00437FF8" w:rsidRDefault="0095318A" w:rsidP="0066278C">
      <w:pPr>
        <w:pBdr>
          <w:top w:val="nil"/>
          <w:left w:val="nil"/>
          <w:bottom w:val="nil"/>
          <w:right w:val="nil"/>
          <w:between w:val="nil"/>
        </w:pBdr>
        <w:contextualSpacing/>
        <w:rPr>
          <w:rFonts w:eastAsia="Palatino Linotype" w:cs="Palatino Linotype"/>
          <w:b/>
          <w:color w:val="000000"/>
          <w:sz w:val="26"/>
          <w:szCs w:val="26"/>
        </w:rPr>
      </w:pPr>
      <w:r w:rsidRPr="00437FF8">
        <w:rPr>
          <w:rFonts w:eastAsia="Palatino Linotype" w:cs="Palatino Linotype"/>
          <w:b/>
          <w:color w:val="000000"/>
          <w:sz w:val="26"/>
          <w:szCs w:val="26"/>
        </w:rPr>
        <w:t>DÉCIMO</w:t>
      </w:r>
      <w:r w:rsidR="0066278C" w:rsidRPr="00437FF8">
        <w:rPr>
          <w:rFonts w:eastAsia="Palatino Linotype" w:cs="Palatino Linotype"/>
          <w:b/>
          <w:color w:val="000000"/>
          <w:sz w:val="26"/>
          <w:szCs w:val="26"/>
        </w:rPr>
        <w:t>. De la ampliación del término para resolver.</w:t>
      </w:r>
    </w:p>
    <w:p w14:paraId="4FDCE24D" w14:textId="149929A9"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En fecha </w:t>
      </w:r>
      <w:r w:rsidR="00B44AD4" w:rsidRPr="00437FF8">
        <w:rPr>
          <w:rFonts w:eastAsia="Palatino Linotype" w:cs="Palatino Linotype"/>
          <w:color w:val="000000"/>
          <w:szCs w:val="24"/>
          <w:lang w:val="es-ES_tradnl"/>
        </w:rPr>
        <w:t xml:space="preserve">doce de abril </w:t>
      </w:r>
      <w:r w:rsidRPr="00437FF8">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7E292F0"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7A2C01C3"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w:t>
      </w:r>
      <w:r w:rsidRPr="00437FF8">
        <w:rPr>
          <w:rFonts w:eastAsia="Palatino Linotype" w:cs="Palatino Linotype"/>
          <w:color w:val="000000"/>
          <w:szCs w:val="24"/>
          <w:lang w:val="es-ES_tradnl"/>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4C8A5B"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 </w:t>
      </w:r>
    </w:p>
    <w:p w14:paraId="646489EA"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BD371"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 </w:t>
      </w:r>
    </w:p>
    <w:p w14:paraId="60BB4C13"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624D53"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 </w:t>
      </w:r>
    </w:p>
    <w:p w14:paraId="323D10CA"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B9F297"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 </w:t>
      </w:r>
    </w:p>
    <w:p w14:paraId="579C898F"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B5612C9"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201B68B6"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a)</w:t>
      </w:r>
      <w:r w:rsidRPr="00437FF8">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568CD0BA"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b)</w:t>
      </w:r>
      <w:r w:rsidRPr="00437FF8">
        <w:rPr>
          <w:rFonts w:eastAsia="Palatino Linotype" w:cs="Palatino Linotype"/>
          <w:color w:val="000000"/>
          <w:szCs w:val="24"/>
          <w:lang w:val="es-ES_tradnl"/>
        </w:rPr>
        <w:tab/>
        <w:t>Actividad Procesal del interesado: Acciones u omisiones del interesado.</w:t>
      </w:r>
    </w:p>
    <w:p w14:paraId="73305BC4"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c)</w:t>
      </w:r>
      <w:r w:rsidRPr="00437FF8">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213D5322"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d)</w:t>
      </w:r>
      <w:r w:rsidRPr="00437FF8">
        <w:rPr>
          <w:rFonts w:eastAsia="Palatino Linotype" w:cs="Palatino Linotype"/>
          <w:color w:val="000000"/>
          <w:szCs w:val="24"/>
          <w:lang w:val="es-ES_tradnl"/>
        </w:rPr>
        <w:tab/>
        <w:t>La afectación generada en la situación jurídica de la persona involucrada en el proceso: Violación a sus derechos humanos.</w:t>
      </w:r>
    </w:p>
    <w:p w14:paraId="48AB0C9A"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650F5433"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E03B8"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2815F7E"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940B6"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7745B16" w14:textId="0C28FE50"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 xml:space="preserve">Razones por las cuales cabe concluir que, la resolución al recurso de revisión se solventa hasta esta fecha, debido a que existe una excesiva carga de trabajo en desproporción a la </w:t>
      </w:r>
      <w:r w:rsidRPr="00437FF8">
        <w:rPr>
          <w:rFonts w:eastAsia="Palatino Linotype" w:cs="Palatino Linotype"/>
          <w:color w:val="000000"/>
          <w:szCs w:val="24"/>
          <w:lang w:val="es-ES_tradnl"/>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5D73415"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4BF5E258"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“PLAZO RAZONABLE PARA RESOLVER. DIMENSIÓN Y EFECTOS DE ESTE CONCEPTO CUANDO SE ADUCE EXCESIVA CARGA DE TRABAJO.” consultable en el Seminario Judicial de la Federación y su gaceta, con el registro digital 2002351.</w:t>
      </w:r>
    </w:p>
    <w:p w14:paraId="32F92635"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1B3B89BC"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561FB9E7" w14:textId="77777777" w:rsidR="00D119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0ADBCCC6" w14:textId="1A2BAD22" w:rsidR="0066278C" w:rsidRPr="00437FF8"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437FF8">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700829BB" w14:textId="77777777" w:rsidR="006F6E94" w:rsidRPr="00437FF8" w:rsidRDefault="006F6E94" w:rsidP="00DE3512">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437FF8" w:rsidRDefault="00DE3512" w:rsidP="00DE3512">
      <w:pPr>
        <w:pBdr>
          <w:top w:val="nil"/>
          <w:left w:val="nil"/>
          <w:bottom w:val="nil"/>
          <w:right w:val="nil"/>
          <w:between w:val="nil"/>
        </w:pBdr>
        <w:jc w:val="center"/>
        <w:rPr>
          <w:rFonts w:eastAsia="Palatino Linotype" w:cs="Palatino Linotype"/>
          <w:b/>
          <w:color w:val="000000"/>
          <w:sz w:val="28"/>
          <w:szCs w:val="28"/>
        </w:rPr>
      </w:pPr>
      <w:r w:rsidRPr="00437FF8">
        <w:rPr>
          <w:rFonts w:eastAsia="Palatino Linotype" w:cs="Palatino Linotype"/>
          <w:b/>
          <w:color w:val="000000"/>
          <w:sz w:val="28"/>
          <w:szCs w:val="28"/>
        </w:rPr>
        <w:t>C O N S I D E R A N D O</w:t>
      </w:r>
    </w:p>
    <w:p w14:paraId="56A2E0E9"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437FF8" w:rsidRDefault="00DE3512"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PRIMERO. De la competencia.</w:t>
      </w:r>
    </w:p>
    <w:p w14:paraId="46244C34" w14:textId="7C36EC3D" w:rsidR="00DE3512" w:rsidRPr="00437FF8" w:rsidRDefault="003514F6"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w:t>
      </w:r>
      <w:r w:rsidR="00D14A61" w:rsidRPr="00437FF8">
        <w:rPr>
          <w:rFonts w:eastAsia="Palatino Linotype" w:cs="Palatino Linotype"/>
          <w:color w:val="000000"/>
          <w:szCs w:val="24"/>
        </w:rPr>
        <w:t>fos trigésimo segundo y trigésimo tercero</w:t>
      </w:r>
      <w:r w:rsidRPr="00437FF8">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2ED2323" w14:textId="77777777" w:rsidR="005B2CC6" w:rsidRPr="00437FF8" w:rsidRDefault="005B2CC6" w:rsidP="00DE3512">
      <w:pPr>
        <w:pBdr>
          <w:top w:val="nil"/>
          <w:left w:val="nil"/>
          <w:bottom w:val="nil"/>
          <w:right w:val="nil"/>
          <w:between w:val="nil"/>
        </w:pBdr>
        <w:rPr>
          <w:rFonts w:eastAsia="Palatino Linotype" w:cs="Palatino Linotype"/>
          <w:color w:val="000000"/>
          <w:sz w:val="20"/>
          <w:szCs w:val="20"/>
        </w:rPr>
      </w:pPr>
    </w:p>
    <w:p w14:paraId="798C2E72" w14:textId="77777777" w:rsidR="00DE3512" w:rsidRPr="00437FF8" w:rsidRDefault="00DE3512"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 xml:space="preserve">SEGUNDO. Sobre los alcances del recurso de revisión. </w:t>
      </w:r>
    </w:p>
    <w:p w14:paraId="11DEB72A"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r w:rsidRPr="00437FF8">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41E6E585" w14:textId="77777777" w:rsidR="00DE3512" w:rsidRPr="00437FF8" w:rsidRDefault="00DE3512"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TERCERO. Cuestiones de previo y especial pronunciamiento.</w:t>
      </w:r>
    </w:p>
    <w:p w14:paraId="51FFF21D" w14:textId="77777777" w:rsidR="00DE3512" w:rsidRPr="00437FF8" w:rsidRDefault="00DE3512" w:rsidP="00DE3512">
      <w:pPr>
        <w:rPr>
          <w:rFonts w:eastAsia="Palatino Linotype" w:cs="Palatino Linotype"/>
          <w:szCs w:val="24"/>
        </w:rPr>
      </w:pPr>
      <w:r w:rsidRPr="00437FF8">
        <w:rPr>
          <w:rFonts w:eastAsia="Palatino Linotype" w:cs="Palatino Linotype"/>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437FF8" w:rsidRDefault="00DE3512" w:rsidP="00DE3512">
      <w:pPr>
        <w:rPr>
          <w:rFonts w:eastAsia="Palatino Linotype" w:cs="Palatino Linotype"/>
          <w:szCs w:val="24"/>
        </w:rPr>
      </w:pPr>
    </w:p>
    <w:p w14:paraId="61BED38E" w14:textId="77777777" w:rsidR="00DE3512" w:rsidRPr="00437FF8" w:rsidRDefault="00DE3512" w:rsidP="00D14A61">
      <w:pPr>
        <w:pStyle w:val="Sinespaciado"/>
        <w:rPr>
          <w:rFonts w:eastAsia="Palatino Linotype"/>
        </w:rPr>
      </w:pPr>
      <w:r w:rsidRPr="00437FF8">
        <w:rPr>
          <w:rFonts w:eastAsia="Palatino Linotype"/>
          <w:b/>
        </w:rPr>
        <w:t xml:space="preserve">Artículo 180. </w:t>
      </w:r>
      <w:r w:rsidRPr="00437FF8">
        <w:rPr>
          <w:rFonts w:eastAsia="Palatino Linotype"/>
        </w:rPr>
        <w:t>El recurso de revisión contendrá:</w:t>
      </w:r>
    </w:p>
    <w:p w14:paraId="70C6E652" w14:textId="77777777" w:rsidR="00DE3512" w:rsidRPr="00437FF8" w:rsidRDefault="00DE3512" w:rsidP="00D14A61">
      <w:pPr>
        <w:pStyle w:val="Sinespaciado"/>
        <w:rPr>
          <w:rFonts w:eastAsia="Palatino Linotype"/>
        </w:rPr>
      </w:pPr>
      <w:r w:rsidRPr="00437FF8">
        <w:rPr>
          <w:rFonts w:eastAsia="Palatino Linotype"/>
        </w:rPr>
        <w:t>I. El sujeto obligado ante la cual se presentó la solicitud;</w:t>
      </w:r>
    </w:p>
    <w:p w14:paraId="197EBBAC" w14:textId="77777777" w:rsidR="00DE3512" w:rsidRPr="00437FF8" w:rsidRDefault="00DE3512" w:rsidP="00D14A61">
      <w:pPr>
        <w:pStyle w:val="Sinespaciado"/>
        <w:rPr>
          <w:rFonts w:eastAsia="Palatino Linotype"/>
        </w:rPr>
      </w:pPr>
      <w:r w:rsidRPr="00437FF8">
        <w:rPr>
          <w:rFonts w:eastAsia="Palatino Linotype"/>
          <w:b/>
        </w:rPr>
        <w:t>II. El nombre del solicitante que recurre</w:t>
      </w:r>
      <w:r w:rsidRPr="00437FF8">
        <w:rPr>
          <w:rFonts w:eastAsia="Palatino Linotype"/>
        </w:rPr>
        <w:t xml:space="preserve"> o de su representante y, en su caso, del tercero interesado, así como la dirección o medio que señale para recibir notificaciones;</w:t>
      </w:r>
    </w:p>
    <w:p w14:paraId="2DF26DE8" w14:textId="77777777" w:rsidR="00DE3512" w:rsidRPr="00437FF8" w:rsidRDefault="00DE3512" w:rsidP="00D14A61">
      <w:pPr>
        <w:pStyle w:val="Sinespaciado"/>
        <w:rPr>
          <w:rFonts w:eastAsia="Palatino Linotype"/>
        </w:rPr>
      </w:pPr>
      <w:r w:rsidRPr="00437FF8">
        <w:rPr>
          <w:rFonts w:eastAsia="Palatino Linotype"/>
        </w:rPr>
        <w:t>III. El número de folio de respuesta de la solicitud de acceso;</w:t>
      </w:r>
    </w:p>
    <w:p w14:paraId="486F2E81" w14:textId="77777777" w:rsidR="00DE3512" w:rsidRPr="00437FF8" w:rsidRDefault="00DE3512" w:rsidP="00D14A61">
      <w:pPr>
        <w:pStyle w:val="Sinespaciado"/>
        <w:rPr>
          <w:rFonts w:eastAsia="Palatino Linotype"/>
        </w:rPr>
      </w:pPr>
      <w:r w:rsidRPr="00437FF8">
        <w:rPr>
          <w:rFonts w:eastAsia="Palatino Linotype"/>
        </w:rPr>
        <w:t>IV. La fecha en que fue notificada la respuesta al solicitante o tuvo conocimiento del acto reclamado, o de presentación de la solicitud, en caso de falta de respuesta;</w:t>
      </w:r>
    </w:p>
    <w:p w14:paraId="6C57E0CE" w14:textId="77777777" w:rsidR="00DE3512" w:rsidRPr="00437FF8" w:rsidRDefault="00DE3512" w:rsidP="00D14A61">
      <w:pPr>
        <w:pStyle w:val="Sinespaciado"/>
        <w:rPr>
          <w:rFonts w:eastAsia="Palatino Linotype"/>
        </w:rPr>
      </w:pPr>
      <w:r w:rsidRPr="00437FF8">
        <w:rPr>
          <w:rFonts w:eastAsia="Palatino Linotype"/>
        </w:rPr>
        <w:t>V. El acto que se recurre;</w:t>
      </w:r>
    </w:p>
    <w:p w14:paraId="025825CB" w14:textId="77777777" w:rsidR="00DE3512" w:rsidRPr="00437FF8" w:rsidRDefault="00DE3512" w:rsidP="00D14A61">
      <w:pPr>
        <w:pStyle w:val="Sinespaciado"/>
        <w:rPr>
          <w:rFonts w:eastAsia="Palatino Linotype"/>
        </w:rPr>
      </w:pPr>
      <w:r w:rsidRPr="00437FF8">
        <w:rPr>
          <w:rFonts w:eastAsia="Palatino Linotype"/>
        </w:rPr>
        <w:t>VI. Las razones o motivos de inconformidad;</w:t>
      </w:r>
    </w:p>
    <w:p w14:paraId="0AAE800A" w14:textId="77777777" w:rsidR="00DE3512" w:rsidRPr="00437FF8" w:rsidRDefault="00DE3512" w:rsidP="00D14A61">
      <w:pPr>
        <w:pStyle w:val="Sinespaciado"/>
        <w:rPr>
          <w:rFonts w:eastAsia="Palatino Linotype"/>
        </w:rPr>
      </w:pPr>
      <w:r w:rsidRPr="00437FF8">
        <w:rPr>
          <w:rFonts w:eastAsia="Palatino Linotype"/>
        </w:rPr>
        <w:t>VII. La copia de la respuesta que se impugna y, en su caso, de la notificación correspondiente, en el caso de respuesta de la solicitud; y</w:t>
      </w:r>
    </w:p>
    <w:p w14:paraId="6372C850" w14:textId="77777777" w:rsidR="00DE3512" w:rsidRPr="00437FF8" w:rsidRDefault="00DE3512" w:rsidP="00D14A61">
      <w:pPr>
        <w:pStyle w:val="Sinespaciado"/>
        <w:rPr>
          <w:rFonts w:eastAsia="Palatino Linotype"/>
        </w:rPr>
      </w:pPr>
      <w:r w:rsidRPr="00437FF8">
        <w:rPr>
          <w:rFonts w:eastAsia="Palatino Linotype"/>
        </w:rPr>
        <w:t>VIII. Firma del recurrente, en su caso, cuando se presente por escrito, requisito sin el cual se dará trámite al recurso.</w:t>
      </w:r>
    </w:p>
    <w:p w14:paraId="457B9D3D" w14:textId="77777777" w:rsidR="00DE3512" w:rsidRPr="00437FF8" w:rsidRDefault="00DE3512" w:rsidP="00D14A61">
      <w:pPr>
        <w:pStyle w:val="Sinespaciado"/>
        <w:rPr>
          <w:rFonts w:eastAsia="Palatino Linotype"/>
        </w:rPr>
      </w:pPr>
    </w:p>
    <w:p w14:paraId="324C0534" w14:textId="77777777" w:rsidR="00DE3512" w:rsidRPr="00437FF8" w:rsidRDefault="00DE3512" w:rsidP="00D14A61">
      <w:pPr>
        <w:pStyle w:val="Sinespaciado"/>
        <w:rPr>
          <w:rFonts w:eastAsia="Palatino Linotype"/>
        </w:rPr>
      </w:pPr>
      <w:r w:rsidRPr="00437FF8">
        <w:rPr>
          <w:rFonts w:eastAsia="Palatino Linotype"/>
        </w:rPr>
        <w:t>Adicionalmente, se podrán anexar las pruebas y demás elementos que considere procedentes someter a juicio del Instituto.</w:t>
      </w:r>
    </w:p>
    <w:p w14:paraId="29705FC7" w14:textId="77777777" w:rsidR="00DE3512" w:rsidRPr="00437FF8" w:rsidRDefault="00DE3512" w:rsidP="00D14A61">
      <w:pPr>
        <w:pStyle w:val="Sinespaciado"/>
        <w:rPr>
          <w:rFonts w:eastAsia="Palatino Linotype"/>
        </w:rPr>
      </w:pPr>
    </w:p>
    <w:p w14:paraId="57171E7F" w14:textId="77777777" w:rsidR="00DE3512" w:rsidRPr="00437FF8" w:rsidRDefault="00DE3512" w:rsidP="00D14A61">
      <w:pPr>
        <w:pStyle w:val="Sinespaciado"/>
        <w:rPr>
          <w:rFonts w:eastAsia="Palatino Linotype"/>
        </w:rPr>
      </w:pPr>
      <w:r w:rsidRPr="00437FF8">
        <w:rPr>
          <w:rFonts w:eastAsia="Palatino Linotype"/>
        </w:rPr>
        <w:t>En ningún caso será necesario que el particular ratifique el recurso de revisión interpuesto.</w:t>
      </w:r>
    </w:p>
    <w:p w14:paraId="2CF9D9BC" w14:textId="77777777" w:rsidR="00DE3512" w:rsidRPr="00437FF8" w:rsidRDefault="00DE3512" w:rsidP="00D14A61">
      <w:pPr>
        <w:pStyle w:val="Sinespaciado"/>
        <w:rPr>
          <w:rFonts w:eastAsia="Palatino Linotype"/>
        </w:rPr>
      </w:pPr>
    </w:p>
    <w:p w14:paraId="0822D4D8" w14:textId="77777777" w:rsidR="00DE3512" w:rsidRPr="00437FF8" w:rsidRDefault="00DE3512" w:rsidP="00D14A61">
      <w:pPr>
        <w:pStyle w:val="Sinespaciado"/>
        <w:rPr>
          <w:rFonts w:eastAsia="Palatino Linotype"/>
        </w:rPr>
      </w:pPr>
      <w:r w:rsidRPr="00437FF8">
        <w:rPr>
          <w:rFonts w:eastAsia="Palatino Linotype"/>
          <w:b/>
        </w:rPr>
        <w:t>En caso de que el recurso se interponga de manera electrónica no será indispensable que contengan los requisitos establecidos en las fracciones II</w:t>
      </w:r>
      <w:r w:rsidRPr="00437FF8">
        <w:rPr>
          <w:rFonts w:eastAsia="Palatino Linotype"/>
        </w:rPr>
        <w:t>, IV, VII y VIII.</w:t>
      </w:r>
    </w:p>
    <w:p w14:paraId="3B4C2A40" w14:textId="77777777" w:rsidR="00DE3512" w:rsidRPr="00437FF8" w:rsidRDefault="00DE3512" w:rsidP="00DE3512">
      <w:pPr>
        <w:rPr>
          <w:rFonts w:eastAsia="Palatino Linotype" w:cs="Palatino Linotype"/>
          <w:b/>
          <w:i/>
          <w:szCs w:val="24"/>
        </w:rPr>
      </w:pPr>
    </w:p>
    <w:p w14:paraId="73FDB389" w14:textId="2E8AA648" w:rsidR="00DE3512" w:rsidRPr="00437FF8" w:rsidRDefault="00DE3512" w:rsidP="00DE3512">
      <w:pPr>
        <w:rPr>
          <w:rFonts w:eastAsia="Palatino Linotype" w:cs="Palatino Linotype"/>
          <w:szCs w:val="24"/>
        </w:rPr>
      </w:pPr>
      <w:r w:rsidRPr="00437FF8">
        <w:rPr>
          <w:rFonts w:eastAsia="Palatino Linotype" w:cs="Palatino Linotype"/>
          <w:szCs w:val="24"/>
        </w:rPr>
        <w:t xml:space="preserve">Cabe señalar que </w:t>
      </w:r>
      <w:r w:rsidRPr="00437FF8">
        <w:rPr>
          <w:rFonts w:eastAsia="Palatino Linotype" w:cs="Palatino Linotype"/>
          <w:b/>
          <w:szCs w:val="24"/>
        </w:rPr>
        <w:t xml:space="preserve">el hoy Recurrente </w:t>
      </w:r>
      <w:r w:rsidR="00401D6E" w:rsidRPr="00437FF8">
        <w:rPr>
          <w:rFonts w:eastAsia="Palatino Linotype" w:cs="Palatino Linotype"/>
          <w:b/>
          <w:szCs w:val="24"/>
        </w:rPr>
        <w:t>realizó la solicitud de información de manera anónima.</w:t>
      </w:r>
      <w:r w:rsidR="00401D6E" w:rsidRPr="00437FF8">
        <w:rPr>
          <w:rFonts w:eastAsia="Palatino Linotype" w:cs="Palatino Linotype"/>
          <w:szCs w:val="24"/>
        </w:rPr>
        <w:t xml:space="preserve"> </w:t>
      </w:r>
      <w:r w:rsidRPr="00437FF8">
        <w:rPr>
          <w:rFonts w:eastAsia="Palatino Linotype" w:cs="Palatino Linotype"/>
          <w:szCs w:val="24"/>
        </w:rPr>
        <w:t xml:space="preserve">No obstante, </w:t>
      </w:r>
      <w:r w:rsidR="00A41B20" w:rsidRPr="00437FF8">
        <w:rPr>
          <w:rFonts w:eastAsia="Palatino Linotype" w:cs="Palatino Linotype"/>
          <w:szCs w:val="24"/>
        </w:rPr>
        <w:t xml:space="preserve">presentar solicitudes anónimas, con </w:t>
      </w:r>
      <w:r w:rsidRPr="00437FF8">
        <w:rPr>
          <w:rFonts w:eastAsia="Palatino Linotype" w:cs="Palatino Linotype"/>
          <w:szCs w:val="24"/>
        </w:rPr>
        <w:t xml:space="preserve">el nombre incompleto o </w:t>
      </w:r>
      <w:r w:rsidR="00A41B20" w:rsidRPr="00437FF8">
        <w:rPr>
          <w:rFonts w:eastAsia="Palatino Linotype" w:cs="Palatino Linotype"/>
          <w:szCs w:val="24"/>
        </w:rPr>
        <w:t>con un seudónimo no son</w:t>
      </w:r>
      <w:r w:rsidRPr="00437FF8">
        <w:rPr>
          <w:rFonts w:eastAsia="Palatino Linotype" w:cs="Palatino Linotype"/>
          <w:szCs w:val="24"/>
        </w:rPr>
        <w:t xml:space="preserve"> motivo</w:t>
      </w:r>
      <w:r w:rsidR="00A41B20" w:rsidRPr="00437FF8">
        <w:rPr>
          <w:rFonts w:eastAsia="Palatino Linotype" w:cs="Palatino Linotype"/>
          <w:szCs w:val="24"/>
        </w:rPr>
        <w:t>s</w:t>
      </w:r>
      <w:r w:rsidRPr="00437FF8">
        <w:rPr>
          <w:rFonts w:eastAsia="Palatino Linotype" w:cs="Palatino Linotype"/>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437FF8" w:rsidRDefault="00DE3512" w:rsidP="00DE3512">
      <w:pPr>
        <w:rPr>
          <w:rFonts w:eastAsia="Palatino Linotype" w:cs="Palatino Linotype"/>
          <w:szCs w:val="24"/>
        </w:rPr>
      </w:pPr>
    </w:p>
    <w:p w14:paraId="12078C4E" w14:textId="77777777" w:rsidR="00A41B20" w:rsidRPr="00437FF8" w:rsidRDefault="00A41B20" w:rsidP="00D14A61">
      <w:pPr>
        <w:pStyle w:val="Sinespaciado"/>
        <w:rPr>
          <w:rFonts w:eastAsia="Palatino Linotype"/>
        </w:rPr>
      </w:pPr>
      <w:r w:rsidRPr="00437FF8">
        <w:rPr>
          <w:rFonts w:eastAsia="Palatino Linotype"/>
          <w:b/>
        </w:rPr>
        <w:t>Artículo 155.</w:t>
      </w:r>
      <w:r w:rsidRPr="00437FF8">
        <w:rPr>
          <w:rFonts w:eastAsia="Palatino Linotype"/>
        </w:rPr>
        <w:t xml:space="preserve"> (…)</w:t>
      </w:r>
    </w:p>
    <w:p w14:paraId="411C9390" w14:textId="77777777" w:rsidR="00A41B20" w:rsidRPr="00437FF8" w:rsidRDefault="00A41B20" w:rsidP="00D14A61">
      <w:pPr>
        <w:pStyle w:val="Sinespaciado"/>
        <w:rPr>
          <w:rFonts w:eastAsia="Palatino Linotype"/>
        </w:rPr>
      </w:pPr>
    </w:p>
    <w:p w14:paraId="5C0DA046" w14:textId="469E4728" w:rsidR="00DE3512" w:rsidRPr="00437FF8" w:rsidRDefault="00DE3512" w:rsidP="00D14A61">
      <w:pPr>
        <w:pStyle w:val="Sinespaciado"/>
        <w:rPr>
          <w:rFonts w:eastAsia="Palatino Linotype"/>
        </w:rPr>
      </w:pPr>
      <w:r w:rsidRPr="00437FF8">
        <w:rPr>
          <w:rFonts w:eastAsia="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437FF8" w:rsidRDefault="00A41B20" w:rsidP="00D14A61">
      <w:pPr>
        <w:pStyle w:val="Sinespaciado"/>
        <w:rPr>
          <w:rFonts w:eastAsia="Palatino Linotype"/>
        </w:rPr>
      </w:pPr>
      <w:r w:rsidRPr="00437FF8">
        <w:rPr>
          <w:rFonts w:eastAsia="Palatino Linotype"/>
        </w:rPr>
        <w:t>(…)</w:t>
      </w:r>
    </w:p>
    <w:p w14:paraId="11CA9445" w14:textId="77777777" w:rsidR="00DE3512" w:rsidRPr="00437FF8" w:rsidRDefault="00DE3512" w:rsidP="00DE3512">
      <w:pPr>
        <w:rPr>
          <w:rFonts w:eastAsia="Palatino Linotype" w:cs="Palatino Linotype"/>
          <w:szCs w:val="24"/>
        </w:rPr>
      </w:pPr>
    </w:p>
    <w:p w14:paraId="23A6D1B1" w14:textId="77777777" w:rsidR="00DE3512" w:rsidRPr="00437FF8" w:rsidRDefault="00DE3512" w:rsidP="00DE3512">
      <w:pPr>
        <w:rPr>
          <w:rFonts w:eastAsia="Palatino Linotype" w:cs="Palatino Linotype"/>
          <w:szCs w:val="24"/>
        </w:rPr>
      </w:pPr>
      <w:r w:rsidRPr="00437FF8">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437FF8" w:rsidRDefault="00DE3512" w:rsidP="00DE3512">
      <w:pPr>
        <w:rPr>
          <w:rFonts w:eastAsia="Palatino Linotype" w:cs="Palatino Linotype"/>
          <w:szCs w:val="24"/>
        </w:rPr>
      </w:pPr>
    </w:p>
    <w:p w14:paraId="628BB66B" w14:textId="77777777" w:rsidR="00DE3512" w:rsidRPr="00437FF8" w:rsidRDefault="00DE3512" w:rsidP="00DE3512">
      <w:pPr>
        <w:spacing w:line="240" w:lineRule="auto"/>
        <w:ind w:left="567" w:right="567"/>
        <w:jc w:val="center"/>
        <w:rPr>
          <w:rFonts w:eastAsia="Palatino Linotype" w:cs="Palatino Linotype"/>
          <w:b/>
          <w:i/>
          <w:sz w:val="22"/>
          <w:u w:val="single"/>
        </w:rPr>
      </w:pPr>
      <w:r w:rsidRPr="00437FF8">
        <w:rPr>
          <w:rFonts w:eastAsia="Palatino Linotype" w:cs="Palatino Linotype"/>
          <w:b/>
          <w:i/>
          <w:sz w:val="22"/>
          <w:u w:val="single"/>
        </w:rPr>
        <w:t>Constitución Política de los Estados Unidos Mexicanos</w:t>
      </w:r>
    </w:p>
    <w:p w14:paraId="24E204D5"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t>Artículo 6</w:t>
      </w:r>
      <w:r w:rsidRPr="00437FF8">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6CB839C2"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 xml:space="preserve">Para efectos de lo dispuesto en el presente artículo se observará lo siguiente: </w:t>
      </w:r>
    </w:p>
    <w:p w14:paraId="728CAA4E"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3ACB854C"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437FF8" w:rsidRDefault="00DE3512" w:rsidP="00DE3512">
      <w:pPr>
        <w:spacing w:line="240" w:lineRule="auto"/>
        <w:ind w:left="567" w:right="567"/>
        <w:rPr>
          <w:rFonts w:eastAsia="Palatino Linotype" w:cs="Palatino Linotype"/>
          <w:i/>
          <w:sz w:val="22"/>
        </w:rPr>
      </w:pPr>
    </w:p>
    <w:p w14:paraId="5FEF4D56" w14:textId="77777777" w:rsidR="00DE3512" w:rsidRPr="00437FF8" w:rsidRDefault="00DE3512" w:rsidP="00DE3512">
      <w:pPr>
        <w:spacing w:line="240" w:lineRule="auto"/>
        <w:ind w:left="567" w:right="567"/>
        <w:jc w:val="center"/>
        <w:rPr>
          <w:rFonts w:eastAsia="Palatino Linotype" w:cs="Palatino Linotype"/>
          <w:b/>
          <w:i/>
          <w:sz w:val="22"/>
          <w:u w:val="single"/>
        </w:rPr>
      </w:pPr>
      <w:r w:rsidRPr="00437FF8">
        <w:rPr>
          <w:rFonts w:eastAsia="Palatino Linotype" w:cs="Palatino Linotype"/>
          <w:b/>
          <w:i/>
          <w:sz w:val="22"/>
          <w:u w:val="single"/>
        </w:rPr>
        <w:t>Constitución Política del Estado Libre y Soberano de México</w:t>
      </w:r>
    </w:p>
    <w:p w14:paraId="7A76C5F6"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t>Artículo 5</w:t>
      </w:r>
      <w:r w:rsidRPr="00437FF8">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437FF8">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3671B555"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7D6096D9"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7D87FB03" w14:textId="77777777" w:rsidR="00DE3512" w:rsidRPr="00437FF8" w:rsidRDefault="00DE3512" w:rsidP="00DE3512">
      <w:pPr>
        <w:spacing w:line="240" w:lineRule="auto"/>
        <w:ind w:left="567" w:right="567"/>
        <w:rPr>
          <w:rFonts w:eastAsia="Palatino Linotype" w:cs="Palatino Linotype"/>
          <w:i/>
          <w:sz w:val="22"/>
        </w:rPr>
      </w:pPr>
    </w:p>
    <w:p w14:paraId="64B5AFC7"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437FF8" w:rsidRDefault="00DE3512" w:rsidP="00DE3512">
      <w:pPr>
        <w:spacing w:line="240" w:lineRule="auto"/>
        <w:ind w:left="567" w:right="567"/>
        <w:rPr>
          <w:rFonts w:eastAsia="Palatino Linotype" w:cs="Palatino Linotype"/>
          <w:i/>
          <w:sz w:val="22"/>
        </w:rPr>
      </w:pPr>
    </w:p>
    <w:p w14:paraId="17BCACF4"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Este derecho se regirá por los principios y bases siguientes:</w:t>
      </w:r>
    </w:p>
    <w:p w14:paraId="3C43CD74"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102DB98E"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t>III.</w:t>
      </w:r>
      <w:r w:rsidRPr="00437FF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t>IV.</w:t>
      </w:r>
      <w:r w:rsidRPr="00437FF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1485F8E0"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t>VIII.</w:t>
      </w:r>
      <w:r w:rsidRPr="00437FF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w:t>
      </w:r>
    </w:p>
    <w:p w14:paraId="668FA68A" w14:textId="77777777" w:rsidR="00DE3512" w:rsidRPr="00437FF8" w:rsidRDefault="00DE3512" w:rsidP="00DE3512">
      <w:pPr>
        <w:ind w:left="567" w:right="567"/>
        <w:rPr>
          <w:rFonts w:eastAsia="Palatino Linotype" w:cs="Palatino Linotype"/>
          <w:szCs w:val="24"/>
        </w:rPr>
      </w:pPr>
    </w:p>
    <w:p w14:paraId="2FF4D812" w14:textId="77777777" w:rsidR="00DE3512" w:rsidRPr="00437FF8" w:rsidRDefault="00DE3512" w:rsidP="00DE3512">
      <w:pPr>
        <w:rPr>
          <w:rFonts w:eastAsia="Palatino Linotype" w:cs="Palatino Linotype"/>
          <w:szCs w:val="24"/>
        </w:rPr>
      </w:pPr>
      <w:r w:rsidRPr="00437FF8">
        <w:rPr>
          <w:rFonts w:eastAsia="Palatino Linotype" w:cs="Palatino Linotype"/>
          <w:szCs w:val="24"/>
        </w:rPr>
        <w:t>Por otra parte, del contenido del artículo 1 de la Constitución Política de los Estados Unidos Mexicanos, se destaca lo siguiente:</w:t>
      </w:r>
    </w:p>
    <w:p w14:paraId="5F11FF82" w14:textId="77777777" w:rsidR="00DE3512" w:rsidRPr="00437FF8" w:rsidRDefault="00DE3512" w:rsidP="00DE3512">
      <w:pPr>
        <w:spacing w:line="240" w:lineRule="auto"/>
        <w:ind w:left="567" w:right="567"/>
        <w:rPr>
          <w:rFonts w:eastAsia="Palatino Linotype" w:cs="Palatino Linotype"/>
          <w:szCs w:val="24"/>
        </w:rPr>
      </w:pPr>
    </w:p>
    <w:p w14:paraId="5083F751"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b/>
          <w:i/>
          <w:sz w:val="22"/>
        </w:rPr>
        <w:lastRenderedPageBreak/>
        <w:t>Artículo 1o</w:t>
      </w:r>
      <w:r w:rsidRPr="00437FF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437FF8" w:rsidRDefault="00DE3512" w:rsidP="00DE3512">
      <w:pPr>
        <w:spacing w:line="240" w:lineRule="auto"/>
        <w:ind w:left="567" w:right="567"/>
        <w:rPr>
          <w:rFonts w:eastAsia="Palatino Linotype" w:cs="Palatino Linotype"/>
          <w:i/>
          <w:sz w:val="22"/>
        </w:rPr>
      </w:pPr>
    </w:p>
    <w:p w14:paraId="1685BC51"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437FF8" w:rsidRDefault="00DE3512" w:rsidP="00DE3512">
      <w:pPr>
        <w:spacing w:line="240" w:lineRule="auto"/>
        <w:ind w:left="567" w:right="567"/>
        <w:rPr>
          <w:rFonts w:eastAsia="Palatino Linotype" w:cs="Palatino Linotype"/>
          <w:i/>
          <w:sz w:val="22"/>
        </w:rPr>
      </w:pPr>
    </w:p>
    <w:p w14:paraId="553B21C2" w14:textId="77777777" w:rsidR="00DE3512" w:rsidRPr="00437FF8" w:rsidRDefault="00DE3512" w:rsidP="00DE3512">
      <w:pPr>
        <w:spacing w:line="240" w:lineRule="auto"/>
        <w:ind w:left="567" w:right="567"/>
        <w:rPr>
          <w:rFonts w:eastAsia="Palatino Linotype" w:cs="Palatino Linotype"/>
          <w:i/>
          <w:sz w:val="22"/>
        </w:rPr>
      </w:pPr>
      <w:r w:rsidRPr="00437FF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437FF8" w:rsidRDefault="00DE3512" w:rsidP="00DE3512">
      <w:pPr>
        <w:ind w:left="567" w:right="567"/>
        <w:rPr>
          <w:rFonts w:eastAsia="Palatino Linotype" w:cs="Palatino Linotype"/>
          <w:szCs w:val="24"/>
        </w:rPr>
      </w:pPr>
    </w:p>
    <w:p w14:paraId="6395E090" w14:textId="77777777" w:rsidR="00DE3512" w:rsidRPr="00437FF8" w:rsidRDefault="00DE3512" w:rsidP="00DE3512">
      <w:pPr>
        <w:rPr>
          <w:rFonts w:eastAsia="Palatino Linotype" w:cs="Palatino Linotype"/>
          <w:szCs w:val="24"/>
        </w:rPr>
      </w:pPr>
      <w:r w:rsidRPr="00437FF8">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437FF8" w:rsidRDefault="00DE3512" w:rsidP="00DE3512">
      <w:pPr>
        <w:rPr>
          <w:rFonts w:eastAsia="Palatino Linotype" w:cs="Palatino Linotype"/>
          <w:szCs w:val="24"/>
        </w:rPr>
      </w:pPr>
    </w:p>
    <w:p w14:paraId="0C06680C" w14:textId="77777777" w:rsidR="00DE3512" w:rsidRPr="00437FF8" w:rsidRDefault="00DE3512" w:rsidP="00DE3512">
      <w:pPr>
        <w:pBdr>
          <w:top w:val="nil"/>
          <w:left w:val="nil"/>
          <w:bottom w:val="nil"/>
          <w:right w:val="nil"/>
          <w:between w:val="nil"/>
        </w:pBdr>
        <w:rPr>
          <w:rFonts w:eastAsia="Palatino Linotype" w:cs="Palatino Linotype"/>
          <w:b/>
          <w:color w:val="000000"/>
          <w:szCs w:val="24"/>
        </w:rPr>
      </w:pPr>
      <w:r w:rsidRPr="00437FF8">
        <w:rPr>
          <w:rFonts w:eastAsia="Palatino Linotype" w:cs="Palatino Linotype"/>
          <w:color w:val="000000"/>
          <w:szCs w:val="24"/>
        </w:rPr>
        <w:t>En conclusión, se cubrieron los requisitos de procedencia y procedibilidad y conforme a las constancias que obran en el expediente.</w:t>
      </w:r>
    </w:p>
    <w:p w14:paraId="6CD25060" w14:textId="77777777" w:rsidR="00DE3512" w:rsidRPr="00437FF8" w:rsidRDefault="00DE3512" w:rsidP="00DE3512">
      <w:pPr>
        <w:pBdr>
          <w:top w:val="nil"/>
          <w:left w:val="nil"/>
          <w:bottom w:val="nil"/>
          <w:right w:val="nil"/>
          <w:between w:val="nil"/>
        </w:pBdr>
        <w:rPr>
          <w:rFonts w:eastAsia="Palatino Linotype" w:cs="Palatino Linotype"/>
          <w:color w:val="000000"/>
          <w:szCs w:val="24"/>
        </w:rPr>
      </w:pPr>
    </w:p>
    <w:p w14:paraId="5B625FAB" w14:textId="42612E44" w:rsidR="00DE3512" w:rsidRPr="00437FF8" w:rsidRDefault="00DE3512" w:rsidP="00DE3512">
      <w:pPr>
        <w:pBdr>
          <w:top w:val="nil"/>
          <w:left w:val="nil"/>
          <w:bottom w:val="nil"/>
          <w:right w:val="nil"/>
          <w:between w:val="nil"/>
        </w:pBdr>
        <w:rPr>
          <w:rFonts w:eastAsia="Palatino Linotype" w:cs="Palatino Linotype"/>
          <w:b/>
          <w:color w:val="000000"/>
          <w:sz w:val="26"/>
          <w:szCs w:val="26"/>
        </w:rPr>
      </w:pPr>
      <w:r w:rsidRPr="00437FF8">
        <w:rPr>
          <w:rFonts w:eastAsia="Palatino Linotype" w:cs="Palatino Linotype"/>
          <w:b/>
          <w:color w:val="000000"/>
          <w:sz w:val="26"/>
          <w:szCs w:val="26"/>
        </w:rPr>
        <w:t xml:space="preserve">CUARTO. </w:t>
      </w:r>
      <w:r w:rsidR="00D14A61" w:rsidRPr="00437FF8">
        <w:rPr>
          <w:rFonts w:eastAsia="Palatino Linotype" w:cs="Palatino Linotype"/>
          <w:b/>
          <w:color w:val="000000"/>
          <w:sz w:val="26"/>
          <w:szCs w:val="26"/>
        </w:rPr>
        <w:t>Del estudio de las causas de improcedencia y sobreseimiento.</w:t>
      </w:r>
    </w:p>
    <w:p w14:paraId="339D95D1" w14:textId="76E041D3" w:rsidR="00D14A61" w:rsidRPr="00437FF8" w:rsidRDefault="00D14A61" w:rsidP="00A070D9">
      <w:pPr>
        <w:rPr>
          <w:lang w:val="es-ES_tradnl" w:eastAsia="es-ES"/>
        </w:rPr>
      </w:pPr>
      <w:r w:rsidRPr="00437FF8">
        <w:rPr>
          <w:lang w:val="es-ES_tradnl" w:eastAsia="es-ES"/>
        </w:rPr>
        <w:t xml:space="preserve">Es menester resaltar que en el procedimiento de acceso a la información pública y de los medios de impugnación de la materia, se advierten diversos supuestos de procedibilidad </w:t>
      </w:r>
      <w:r w:rsidRPr="00437FF8">
        <w:rPr>
          <w:lang w:val="es-ES_tradnl" w:eastAsia="es-ES"/>
        </w:rPr>
        <w:lastRenderedPageBreak/>
        <w:t>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3F893251" w14:textId="77777777" w:rsidR="00D14A61" w:rsidRPr="00437FF8" w:rsidRDefault="00D14A61" w:rsidP="00A070D9">
      <w:pPr>
        <w:rPr>
          <w:lang w:val="es-ES_tradnl" w:eastAsia="es-ES"/>
        </w:rPr>
      </w:pPr>
    </w:p>
    <w:p w14:paraId="0D5C1A88" w14:textId="3C5F51EF" w:rsidR="00D14A61" w:rsidRPr="00437FF8" w:rsidRDefault="00D14A61" w:rsidP="00A070D9">
      <w:pPr>
        <w:rPr>
          <w:lang w:val="es-ES_tradnl" w:eastAsia="es-ES"/>
        </w:rPr>
      </w:pPr>
      <w:r w:rsidRPr="00437FF8">
        <w:rPr>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00A070D9" w:rsidRPr="00437FF8">
        <w:rPr>
          <w:rStyle w:val="Refdenotaalpie"/>
          <w:rFonts w:eastAsiaTheme="minorEastAsia" w:cs="Arial"/>
          <w:szCs w:val="24"/>
          <w:lang w:val="es-ES_tradnl" w:eastAsia="es-ES"/>
        </w:rPr>
        <w:footnoteReference w:id="1"/>
      </w:r>
      <w:r w:rsidRPr="00437FF8">
        <w:rPr>
          <w:lang w:val="es-ES_tradnl" w:eastAsia="es-ES"/>
        </w:rPr>
        <w:t>, de rubro y texto:</w:t>
      </w:r>
    </w:p>
    <w:p w14:paraId="2172835D" w14:textId="77777777" w:rsidR="00D14A61" w:rsidRPr="00437FF8" w:rsidRDefault="00D14A61" w:rsidP="00A070D9">
      <w:pPr>
        <w:rPr>
          <w:lang w:val="es-ES_tradnl" w:eastAsia="es-ES"/>
        </w:rPr>
      </w:pPr>
    </w:p>
    <w:p w14:paraId="7D5AA244" w14:textId="182030CA" w:rsidR="00A070D9" w:rsidRPr="00437FF8" w:rsidRDefault="00D14A61" w:rsidP="00A070D9">
      <w:pPr>
        <w:pStyle w:val="Sinespaciado"/>
        <w:rPr>
          <w:rFonts w:eastAsiaTheme="minorEastAsia"/>
          <w:b/>
          <w:lang w:val="es-ES_tradnl"/>
        </w:rPr>
      </w:pPr>
      <w:r w:rsidRPr="00437FF8">
        <w:rPr>
          <w:rFonts w:eastAsiaTheme="minorEastAsia"/>
          <w:b/>
          <w:lang w:val="es-ES_tradnl"/>
        </w:rPr>
        <w:t xml:space="preserve">IMPROCEDENCIA, CAUSALES DE. EN EL JUICIO DE AMPARO. </w:t>
      </w:r>
    </w:p>
    <w:p w14:paraId="412643DA" w14:textId="6032A760" w:rsidR="00D14A61" w:rsidRPr="00437FF8" w:rsidRDefault="00D14A61" w:rsidP="00A070D9">
      <w:pPr>
        <w:pStyle w:val="Sinespaciado"/>
        <w:rPr>
          <w:rFonts w:eastAsiaTheme="minorEastAsia"/>
          <w:lang w:val="es-ES_tradnl"/>
        </w:rPr>
      </w:pPr>
      <w:r w:rsidRPr="00437FF8">
        <w:rPr>
          <w:rFonts w:eastAsiaTheme="minorEastAsia"/>
          <w:lang w:val="es-ES_tradnl"/>
        </w:rPr>
        <w:t>Las causales de improcedencia del juicio de amparo, por ser de orden público deben estudiarse previamente, lo aleguen o no las partes, c</w:t>
      </w:r>
      <w:r w:rsidR="00A070D9" w:rsidRPr="00437FF8">
        <w:rPr>
          <w:rFonts w:eastAsiaTheme="minorEastAsia"/>
          <w:lang w:val="es-ES_tradnl"/>
        </w:rPr>
        <w:t>ualquiera que sea la instancia</w:t>
      </w:r>
    </w:p>
    <w:p w14:paraId="7405DD75" w14:textId="77777777" w:rsidR="00D14A61" w:rsidRPr="00437FF8" w:rsidRDefault="00D14A61" w:rsidP="00A070D9">
      <w:pPr>
        <w:rPr>
          <w:lang w:val="es-ES_tradnl" w:eastAsia="es-ES"/>
        </w:rPr>
      </w:pPr>
    </w:p>
    <w:p w14:paraId="200DB47D" w14:textId="5B50FE3C" w:rsidR="00D14A61" w:rsidRPr="00437FF8" w:rsidRDefault="00D14A61" w:rsidP="00A070D9">
      <w:pPr>
        <w:rPr>
          <w:lang w:val="es-ES_tradnl" w:eastAsia="es-ES"/>
        </w:rPr>
      </w:pPr>
      <w:r w:rsidRPr="00437FF8">
        <w:rPr>
          <w:lang w:val="es-ES_tradnl" w:eastAsia="es-ES"/>
        </w:rPr>
        <w:t>Siendo una facultad legal entrar al estudio de las causas de improcedencia que hagan valer las partes o que se advier</w:t>
      </w:r>
      <w:r w:rsidR="00A070D9" w:rsidRPr="00437FF8">
        <w:rPr>
          <w:lang w:val="es-ES_tradnl" w:eastAsia="es-ES"/>
        </w:rPr>
        <w:t>tan de oficio por este Instituto</w:t>
      </w:r>
      <w:r w:rsidRPr="00437FF8">
        <w:rPr>
          <w:lang w:val="es-ES_tradnl" w:eastAsia="es-ES"/>
        </w:rPr>
        <w:t>;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w:t>
      </w:r>
      <w:r w:rsidR="00A070D9" w:rsidRPr="00437FF8">
        <w:rPr>
          <w:lang w:val="es-ES_tradnl" w:eastAsia="es-ES"/>
        </w:rPr>
        <w:t>edencia que permita sobreseerlo;</w:t>
      </w:r>
      <w:r w:rsidRPr="00437FF8">
        <w:rPr>
          <w:lang w:val="es-ES_tradnl" w:eastAsia="es-ES"/>
        </w:rPr>
        <w:t xml:space="preserve"> </w:t>
      </w:r>
      <w:r w:rsidR="00A070D9" w:rsidRPr="00437FF8">
        <w:rPr>
          <w:lang w:val="es-ES_tradnl" w:eastAsia="es-ES"/>
        </w:rPr>
        <w:t>e</w:t>
      </w:r>
      <w:r w:rsidRPr="00437FF8">
        <w:rPr>
          <w:lang w:val="es-ES_tradnl" w:eastAsia="es-ES"/>
        </w:rPr>
        <w:t xml:space="preserve">studio de causales de </w:t>
      </w:r>
      <w:r w:rsidRPr="00437FF8">
        <w:rPr>
          <w:lang w:val="es-ES_tradnl" w:eastAsia="es-ES"/>
        </w:rPr>
        <w:lastRenderedPageBreak/>
        <w:t>improcedencia que no son incompatibles con el derecho de acceso a la justicia, ya que éste no se coarta por regular causas de improcedencia y sobreseimiento con tales fines</w:t>
      </w:r>
      <w:r w:rsidRPr="00437FF8">
        <w:rPr>
          <w:vertAlign w:val="superscript"/>
          <w:lang w:val="es-ES_tradnl" w:eastAsia="es-ES"/>
        </w:rPr>
        <w:footnoteReference w:id="2"/>
      </w:r>
      <w:r w:rsidRPr="00437FF8">
        <w:rPr>
          <w:lang w:val="es-ES_tradnl" w:eastAsia="es-ES"/>
        </w:rPr>
        <w:t>.</w:t>
      </w:r>
    </w:p>
    <w:p w14:paraId="441D3C9D" w14:textId="77777777" w:rsidR="00A070D9" w:rsidRPr="00437FF8" w:rsidRDefault="00A070D9" w:rsidP="00A070D9">
      <w:pPr>
        <w:rPr>
          <w:lang w:val="es-ES_tradnl" w:eastAsia="es-ES"/>
        </w:rPr>
      </w:pPr>
    </w:p>
    <w:p w14:paraId="48D1D0F0" w14:textId="77777777" w:rsidR="00D14A61" w:rsidRPr="00437FF8" w:rsidRDefault="00D14A61" w:rsidP="00A070D9">
      <w:pPr>
        <w:rPr>
          <w:lang w:val="es-ES_tradnl"/>
        </w:rPr>
      </w:pPr>
      <w:r w:rsidRPr="00437FF8">
        <w:rPr>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4496380" w14:textId="77777777" w:rsidR="00D14A61" w:rsidRPr="00437FF8" w:rsidRDefault="00D14A61" w:rsidP="00D14A61">
      <w:pPr>
        <w:spacing w:beforeLines="20" w:before="48" w:afterLines="20" w:after="48"/>
        <w:rPr>
          <w:rFonts w:cs="Arial"/>
          <w:szCs w:val="24"/>
          <w:lang w:val="es-ES_tradnl"/>
        </w:rPr>
      </w:pPr>
    </w:p>
    <w:p w14:paraId="7E7AF6F2" w14:textId="4D363B4F" w:rsidR="00D14A61" w:rsidRPr="00437FF8" w:rsidRDefault="00D14A61" w:rsidP="00A070D9">
      <w:pPr>
        <w:pStyle w:val="Sinespaciado"/>
        <w:rPr>
          <w:rFonts w:eastAsia="Calibri"/>
        </w:rPr>
      </w:pPr>
      <w:r w:rsidRPr="00437FF8">
        <w:rPr>
          <w:rFonts w:eastAsia="Calibri"/>
          <w:b/>
        </w:rPr>
        <w:t xml:space="preserve">Artículo 185. </w:t>
      </w:r>
      <w:r w:rsidRPr="00437FF8">
        <w:rPr>
          <w:rFonts w:eastAsia="Calibri"/>
        </w:rPr>
        <w:t xml:space="preserve">El Instituto resolverá el recurso de revisión conforme a lo siguiente: </w:t>
      </w:r>
    </w:p>
    <w:p w14:paraId="4E608CC3" w14:textId="77777777" w:rsidR="00D14A61" w:rsidRPr="00437FF8" w:rsidRDefault="00D14A61" w:rsidP="00A070D9">
      <w:pPr>
        <w:pStyle w:val="Sinespaciado"/>
        <w:rPr>
          <w:rFonts w:eastAsia="Calibri"/>
        </w:rPr>
      </w:pPr>
      <w:r w:rsidRPr="00437FF8">
        <w:rPr>
          <w:rFonts w:eastAsia="Calibri"/>
          <w:b/>
        </w:rPr>
        <w:t>I.</w:t>
      </w:r>
      <w:r w:rsidRPr="00437FF8">
        <w:rPr>
          <w:rFonts w:eastAsia="Calibr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904EF93" w14:textId="49BBF58E" w:rsidR="00D14A61" w:rsidRPr="00437FF8" w:rsidRDefault="00A070D9" w:rsidP="00A070D9">
      <w:pPr>
        <w:pStyle w:val="Sinespaciado"/>
        <w:rPr>
          <w:rFonts w:eastAsia="Calibri"/>
        </w:rPr>
      </w:pPr>
      <w:r w:rsidRPr="00437FF8">
        <w:t>(</w:t>
      </w:r>
      <w:r w:rsidR="00D14A61" w:rsidRPr="00437FF8">
        <w:rPr>
          <w:rFonts w:eastAsia="Calibri"/>
        </w:rPr>
        <w:t>…</w:t>
      </w:r>
      <w:r w:rsidRPr="00437FF8">
        <w:t>)</w:t>
      </w:r>
    </w:p>
    <w:p w14:paraId="7D67D954" w14:textId="77777777" w:rsidR="00D14A61" w:rsidRPr="00437FF8" w:rsidRDefault="00D14A61" w:rsidP="00A070D9">
      <w:pPr>
        <w:pStyle w:val="Sinespaciado"/>
        <w:rPr>
          <w:rFonts w:eastAsia="Calibri"/>
        </w:rPr>
      </w:pPr>
    </w:p>
    <w:p w14:paraId="1409602F" w14:textId="77777777" w:rsidR="00D14A61" w:rsidRPr="00437FF8" w:rsidRDefault="00D14A61" w:rsidP="00A070D9">
      <w:pPr>
        <w:pStyle w:val="Sinespaciado"/>
        <w:rPr>
          <w:rFonts w:eastAsia="Calibri"/>
        </w:rPr>
      </w:pPr>
      <w:r w:rsidRPr="00437FF8">
        <w:rPr>
          <w:rFonts w:eastAsia="Calibri"/>
          <w:b/>
        </w:rPr>
        <w:t>Artículo 179</w:t>
      </w:r>
      <w:r w:rsidRPr="00437FF8">
        <w:rPr>
          <w:rFonts w:eastAsia="Calibri"/>
        </w:rPr>
        <w:t xml:space="preserve">. El recurso de revisión es un medio de protección que la Ley otorga a los particulares, para hacer valer su derecho de acceso a la información pública, y procederá en contra de las siguientes causas: </w:t>
      </w:r>
    </w:p>
    <w:p w14:paraId="46BB9782" w14:textId="77777777" w:rsidR="00D14A61" w:rsidRPr="00437FF8" w:rsidRDefault="00D14A61" w:rsidP="00A070D9">
      <w:pPr>
        <w:pStyle w:val="Sinespaciado"/>
        <w:rPr>
          <w:rFonts w:eastAsia="Calibri"/>
        </w:rPr>
      </w:pPr>
      <w:r w:rsidRPr="00437FF8">
        <w:rPr>
          <w:rFonts w:eastAsia="Calibri"/>
          <w:b/>
        </w:rPr>
        <w:lastRenderedPageBreak/>
        <w:t>I.</w:t>
      </w:r>
      <w:r w:rsidRPr="00437FF8">
        <w:rPr>
          <w:rFonts w:eastAsia="Calibri"/>
        </w:rPr>
        <w:t xml:space="preserve"> La negativa a la información solicitada; </w:t>
      </w:r>
    </w:p>
    <w:p w14:paraId="25B0250E" w14:textId="77777777" w:rsidR="00D14A61" w:rsidRPr="00437FF8" w:rsidRDefault="00D14A61" w:rsidP="00A070D9">
      <w:pPr>
        <w:pStyle w:val="Sinespaciado"/>
        <w:rPr>
          <w:rFonts w:eastAsia="Calibri"/>
        </w:rPr>
      </w:pPr>
      <w:r w:rsidRPr="00437FF8">
        <w:rPr>
          <w:rFonts w:eastAsia="Calibri"/>
          <w:b/>
        </w:rPr>
        <w:t>II.</w:t>
      </w:r>
      <w:r w:rsidRPr="00437FF8">
        <w:rPr>
          <w:rFonts w:eastAsia="Calibri"/>
        </w:rPr>
        <w:t xml:space="preserve"> La clasificación de la información; </w:t>
      </w:r>
    </w:p>
    <w:p w14:paraId="718A40DB" w14:textId="77777777" w:rsidR="00D14A61" w:rsidRPr="00437FF8" w:rsidRDefault="00D14A61" w:rsidP="00A070D9">
      <w:pPr>
        <w:pStyle w:val="Sinespaciado"/>
        <w:rPr>
          <w:rFonts w:eastAsia="Calibri"/>
        </w:rPr>
      </w:pPr>
      <w:r w:rsidRPr="00437FF8">
        <w:rPr>
          <w:rFonts w:eastAsia="Calibri"/>
          <w:b/>
        </w:rPr>
        <w:t>III.</w:t>
      </w:r>
      <w:r w:rsidRPr="00437FF8">
        <w:rPr>
          <w:rFonts w:eastAsia="Calibri"/>
        </w:rPr>
        <w:t xml:space="preserve"> La declaración de inexistencia de la información; </w:t>
      </w:r>
    </w:p>
    <w:p w14:paraId="5FE7094B" w14:textId="77777777" w:rsidR="00D14A61" w:rsidRPr="00437FF8" w:rsidRDefault="00D14A61" w:rsidP="00A070D9">
      <w:pPr>
        <w:pStyle w:val="Sinespaciado"/>
        <w:rPr>
          <w:rFonts w:eastAsia="Calibri"/>
        </w:rPr>
      </w:pPr>
      <w:r w:rsidRPr="00437FF8">
        <w:rPr>
          <w:rFonts w:eastAsia="Calibri"/>
          <w:b/>
        </w:rPr>
        <w:t>IV.</w:t>
      </w:r>
      <w:r w:rsidRPr="00437FF8">
        <w:rPr>
          <w:rFonts w:eastAsia="Calibri"/>
        </w:rPr>
        <w:t xml:space="preserve"> La declaración de incompetencia por el sujeto obligado; </w:t>
      </w:r>
    </w:p>
    <w:p w14:paraId="3D5C6647" w14:textId="77777777" w:rsidR="00D14A61" w:rsidRPr="00437FF8" w:rsidRDefault="00D14A61" w:rsidP="00A070D9">
      <w:pPr>
        <w:pStyle w:val="Sinespaciado"/>
        <w:rPr>
          <w:rFonts w:eastAsia="Calibri"/>
        </w:rPr>
      </w:pPr>
      <w:r w:rsidRPr="00437FF8">
        <w:rPr>
          <w:rFonts w:eastAsia="Calibri"/>
          <w:b/>
        </w:rPr>
        <w:t>V.</w:t>
      </w:r>
      <w:r w:rsidRPr="00437FF8">
        <w:rPr>
          <w:rFonts w:eastAsia="Calibri"/>
        </w:rPr>
        <w:t xml:space="preserve"> La entrega de información incompleta; </w:t>
      </w:r>
    </w:p>
    <w:p w14:paraId="1CCC7814" w14:textId="77777777" w:rsidR="00D14A61" w:rsidRPr="00437FF8" w:rsidRDefault="00D14A61" w:rsidP="00A070D9">
      <w:pPr>
        <w:pStyle w:val="Sinespaciado"/>
        <w:rPr>
          <w:rFonts w:eastAsia="Calibri"/>
        </w:rPr>
      </w:pPr>
      <w:r w:rsidRPr="00437FF8">
        <w:rPr>
          <w:rFonts w:eastAsia="Calibri"/>
          <w:b/>
        </w:rPr>
        <w:t>VI.</w:t>
      </w:r>
      <w:r w:rsidRPr="00437FF8">
        <w:rPr>
          <w:rFonts w:eastAsia="Calibri"/>
        </w:rPr>
        <w:t xml:space="preserve"> La entrega de información que no corresponda con lo solicitado; </w:t>
      </w:r>
    </w:p>
    <w:p w14:paraId="6B275946" w14:textId="77777777" w:rsidR="00D14A61" w:rsidRPr="00437FF8" w:rsidRDefault="00D14A61" w:rsidP="00A070D9">
      <w:pPr>
        <w:pStyle w:val="Sinespaciado"/>
        <w:rPr>
          <w:rFonts w:eastAsia="Calibri"/>
        </w:rPr>
      </w:pPr>
      <w:r w:rsidRPr="00437FF8">
        <w:rPr>
          <w:rFonts w:eastAsia="Calibri"/>
          <w:b/>
        </w:rPr>
        <w:t>VII.</w:t>
      </w:r>
      <w:r w:rsidRPr="00437FF8">
        <w:rPr>
          <w:rFonts w:eastAsia="Calibri"/>
        </w:rPr>
        <w:t xml:space="preserve"> La falta de respuesta a una solicitud de acceso a la información; </w:t>
      </w:r>
    </w:p>
    <w:p w14:paraId="5F98D39B" w14:textId="77777777" w:rsidR="00D14A61" w:rsidRPr="00437FF8" w:rsidRDefault="00D14A61" w:rsidP="00A070D9">
      <w:pPr>
        <w:pStyle w:val="Sinespaciado"/>
        <w:rPr>
          <w:rFonts w:eastAsia="Calibri"/>
        </w:rPr>
      </w:pPr>
      <w:r w:rsidRPr="00437FF8">
        <w:rPr>
          <w:rFonts w:eastAsia="Calibri"/>
          <w:b/>
        </w:rPr>
        <w:t>VIII.</w:t>
      </w:r>
      <w:r w:rsidRPr="00437FF8">
        <w:rPr>
          <w:rFonts w:eastAsia="Calibri"/>
        </w:rPr>
        <w:t xml:space="preserve"> La notificación, entrega o puesta a disposición de información en una modalidad o formato distinto al solicitado; </w:t>
      </w:r>
    </w:p>
    <w:p w14:paraId="04FAC0D9" w14:textId="77777777" w:rsidR="00D14A61" w:rsidRPr="00437FF8" w:rsidRDefault="00D14A61" w:rsidP="00A070D9">
      <w:pPr>
        <w:pStyle w:val="Sinespaciado"/>
        <w:rPr>
          <w:rFonts w:eastAsia="Calibri"/>
        </w:rPr>
      </w:pPr>
      <w:r w:rsidRPr="00437FF8">
        <w:rPr>
          <w:rFonts w:eastAsia="Calibri"/>
          <w:b/>
        </w:rPr>
        <w:t>IX.</w:t>
      </w:r>
      <w:r w:rsidRPr="00437FF8">
        <w:rPr>
          <w:rFonts w:eastAsia="Calibri"/>
        </w:rPr>
        <w:t xml:space="preserve"> La entrega o puesta a disposición de información en un formato incomprensible y/o no accesible para el solicitante; </w:t>
      </w:r>
    </w:p>
    <w:p w14:paraId="22C4E8A6" w14:textId="77777777" w:rsidR="00D14A61" w:rsidRPr="00437FF8" w:rsidRDefault="00D14A61" w:rsidP="00A070D9">
      <w:pPr>
        <w:pStyle w:val="Sinespaciado"/>
        <w:rPr>
          <w:rFonts w:eastAsia="Calibri"/>
        </w:rPr>
      </w:pPr>
      <w:r w:rsidRPr="00437FF8">
        <w:rPr>
          <w:rFonts w:eastAsia="Calibri"/>
          <w:b/>
        </w:rPr>
        <w:t>X.</w:t>
      </w:r>
      <w:r w:rsidRPr="00437FF8">
        <w:rPr>
          <w:rFonts w:eastAsia="Calibri"/>
        </w:rPr>
        <w:t xml:space="preserve"> Los costos o tiempos de entrega de la información; </w:t>
      </w:r>
    </w:p>
    <w:p w14:paraId="771DFB66" w14:textId="77777777" w:rsidR="00D14A61" w:rsidRPr="00437FF8" w:rsidRDefault="00D14A61" w:rsidP="00A070D9">
      <w:pPr>
        <w:pStyle w:val="Sinespaciado"/>
        <w:rPr>
          <w:rFonts w:eastAsia="Calibri"/>
        </w:rPr>
      </w:pPr>
      <w:r w:rsidRPr="00437FF8">
        <w:rPr>
          <w:rFonts w:eastAsia="Calibri"/>
          <w:b/>
        </w:rPr>
        <w:t>XI.</w:t>
      </w:r>
      <w:r w:rsidRPr="00437FF8">
        <w:rPr>
          <w:rFonts w:eastAsia="Calibri"/>
        </w:rPr>
        <w:t xml:space="preserve"> La falta de trámite a una solicitud; </w:t>
      </w:r>
    </w:p>
    <w:p w14:paraId="544262C0" w14:textId="77777777" w:rsidR="00D14A61" w:rsidRPr="00437FF8" w:rsidRDefault="00D14A61" w:rsidP="00A070D9">
      <w:pPr>
        <w:pStyle w:val="Sinespaciado"/>
        <w:rPr>
          <w:rFonts w:eastAsia="Calibri"/>
        </w:rPr>
      </w:pPr>
      <w:r w:rsidRPr="00437FF8">
        <w:rPr>
          <w:rFonts w:eastAsia="Calibri"/>
          <w:b/>
        </w:rPr>
        <w:t>XII.</w:t>
      </w:r>
      <w:r w:rsidRPr="00437FF8">
        <w:rPr>
          <w:rFonts w:eastAsia="Calibri"/>
        </w:rPr>
        <w:t xml:space="preserve"> La negativa a permitir la consulta directa de la información; </w:t>
      </w:r>
    </w:p>
    <w:p w14:paraId="11D352C5" w14:textId="77777777" w:rsidR="00D14A61" w:rsidRPr="00437FF8" w:rsidRDefault="00D14A61" w:rsidP="00A070D9">
      <w:pPr>
        <w:pStyle w:val="Sinespaciado"/>
        <w:rPr>
          <w:rFonts w:eastAsia="Calibri"/>
        </w:rPr>
      </w:pPr>
      <w:r w:rsidRPr="00437FF8">
        <w:rPr>
          <w:rFonts w:eastAsia="Calibri"/>
          <w:b/>
        </w:rPr>
        <w:t>XIII.</w:t>
      </w:r>
      <w:r w:rsidRPr="00437FF8">
        <w:rPr>
          <w:rFonts w:eastAsia="Calibri"/>
        </w:rPr>
        <w:t xml:space="preserve"> La falta, deficiencia o insuficiencia de la fundamentación y/o motivación en la respuesta; y </w:t>
      </w:r>
    </w:p>
    <w:p w14:paraId="731AFC12" w14:textId="77777777" w:rsidR="00D14A61" w:rsidRPr="00437FF8" w:rsidRDefault="00D14A61" w:rsidP="00A070D9">
      <w:pPr>
        <w:pStyle w:val="Sinespaciado"/>
        <w:rPr>
          <w:rFonts w:eastAsia="Calibri"/>
        </w:rPr>
      </w:pPr>
      <w:r w:rsidRPr="00437FF8">
        <w:rPr>
          <w:rFonts w:eastAsia="Calibri"/>
          <w:b/>
        </w:rPr>
        <w:t>XIV</w:t>
      </w:r>
      <w:r w:rsidRPr="00437FF8">
        <w:rPr>
          <w:rFonts w:eastAsia="Calibri"/>
        </w:rPr>
        <w:t xml:space="preserve">. La orientación a un trámite específico. </w:t>
      </w:r>
    </w:p>
    <w:p w14:paraId="4AC83814" w14:textId="77777777" w:rsidR="00A070D9" w:rsidRPr="00437FF8" w:rsidRDefault="00A070D9" w:rsidP="00A070D9">
      <w:pPr>
        <w:pStyle w:val="Sinespaciado"/>
        <w:rPr>
          <w:rFonts w:eastAsia="Calibri"/>
        </w:rPr>
      </w:pPr>
    </w:p>
    <w:p w14:paraId="6D453AB1" w14:textId="77777777" w:rsidR="00D14A61" w:rsidRPr="00437FF8" w:rsidRDefault="00D14A61" w:rsidP="00A070D9">
      <w:pPr>
        <w:pStyle w:val="Sinespaciado"/>
        <w:rPr>
          <w:rFonts w:eastAsia="Calibri"/>
        </w:rPr>
      </w:pPr>
      <w:r w:rsidRPr="00437FF8">
        <w:rPr>
          <w:rFonts w:eastAsia="Calibri"/>
          <w:b/>
          <w:u w:val="single"/>
        </w:rPr>
        <w:t>La respuesta que den los sujetos obligados derivada de la resolución a un recurso de revisión que proceda por las causales señaladas en las fracciones</w:t>
      </w:r>
      <w:r w:rsidRPr="00437FF8">
        <w:rPr>
          <w:rFonts w:eastAsia="Calibri"/>
        </w:rPr>
        <w:t xml:space="preserve"> IV, </w:t>
      </w:r>
      <w:r w:rsidRPr="00437FF8">
        <w:rPr>
          <w:rFonts w:eastAsia="Calibri"/>
          <w:b/>
        </w:rPr>
        <w:t>VII</w:t>
      </w:r>
      <w:r w:rsidRPr="00437FF8">
        <w:rPr>
          <w:rFonts w:eastAsia="Calibri"/>
        </w:rPr>
        <w:t xml:space="preserve">, IX, X, </w:t>
      </w:r>
      <w:r w:rsidRPr="00437FF8">
        <w:rPr>
          <w:rFonts w:eastAsia="Calibri"/>
          <w:b/>
          <w:u w:val="single"/>
        </w:rPr>
        <w:t>XI</w:t>
      </w:r>
      <w:r w:rsidRPr="00437FF8">
        <w:rPr>
          <w:rFonts w:eastAsia="Calibri"/>
        </w:rPr>
        <w:t xml:space="preserve"> y XII </w:t>
      </w:r>
      <w:r w:rsidRPr="00437FF8">
        <w:rPr>
          <w:rFonts w:eastAsia="Calibri"/>
          <w:b/>
          <w:u w:val="single"/>
        </w:rPr>
        <w:t>es susceptible de ser impugnada de nueva cuenta, mediante recurso de revisión, ante el Instituto</w:t>
      </w:r>
      <w:r w:rsidRPr="00437FF8">
        <w:rPr>
          <w:rFonts w:eastAsia="Calibri"/>
        </w:rPr>
        <w:t>.</w:t>
      </w:r>
    </w:p>
    <w:p w14:paraId="036F9FE8" w14:textId="77777777" w:rsidR="00D14A61" w:rsidRPr="00437FF8" w:rsidRDefault="00D14A61" w:rsidP="0095318A"/>
    <w:p w14:paraId="6C56441F" w14:textId="7B297A3D" w:rsidR="00D14A61" w:rsidRPr="00437FF8" w:rsidRDefault="0095318A" w:rsidP="0095318A">
      <w:r w:rsidRPr="00437FF8">
        <w:t>Dicho precepto legal</w:t>
      </w:r>
      <w:r w:rsidR="00D14A61" w:rsidRPr="00437FF8">
        <w:t xml:space="preserve"> establece las causales de procedencia para la interposición del segundo recurso de revisión, tomando particular relevancia el último párrafo que, de manera clara y precisa establece, en el caso particular, </w:t>
      </w:r>
      <w:r w:rsidR="00D14A61" w:rsidRPr="00437FF8">
        <w:rPr>
          <w:b/>
        </w:rPr>
        <w:t>la procedencia del segundo recurso de revisión contra la respuesta proporcionada por el Sujeto Obligado</w:t>
      </w:r>
      <w:r w:rsidR="00D14A61" w:rsidRPr="00437FF8">
        <w:t xml:space="preserve"> derivada </w:t>
      </w:r>
      <w:r w:rsidR="00D14A61" w:rsidRPr="00437FF8">
        <w:rPr>
          <w:b/>
        </w:rPr>
        <w:t>del cumplimiento a una resolución.</w:t>
      </w:r>
    </w:p>
    <w:p w14:paraId="448045FC" w14:textId="77777777" w:rsidR="00D14A61" w:rsidRPr="00437FF8" w:rsidRDefault="00D14A61" w:rsidP="0095318A"/>
    <w:p w14:paraId="08099D9B" w14:textId="1FF3560E" w:rsidR="00D14A61" w:rsidRPr="00437FF8" w:rsidRDefault="0095318A" w:rsidP="0095318A">
      <w:r w:rsidRPr="00437FF8">
        <w:t>Circunstancia</w:t>
      </w:r>
      <w:r w:rsidR="00D14A61" w:rsidRPr="00437FF8">
        <w:t xml:space="preserve"> que</w:t>
      </w:r>
      <w:r w:rsidRPr="00437FF8">
        <w:t xml:space="preserve"> en el presente caso </w:t>
      </w:r>
      <w:r w:rsidRPr="00437FF8">
        <w:rPr>
          <w:b/>
        </w:rPr>
        <w:t>no se actualiza</w:t>
      </w:r>
      <w:r w:rsidR="00D14A61" w:rsidRPr="00437FF8">
        <w:t>, de conformidad con las consideraciones de hecho y derecho siguientes:</w:t>
      </w:r>
    </w:p>
    <w:p w14:paraId="73EFFA9A" w14:textId="77777777" w:rsidR="00D14A61" w:rsidRPr="00437FF8" w:rsidRDefault="00D14A61" w:rsidP="00121870"/>
    <w:p w14:paraId="586DE818" w14:textId="65ECEF1D" w:rsidR="00D14A61" w:rsidRPr="00437FF8" w:rsidRDefault="00D14A61" w:rsidP="00121870">
      <w:pPr>
        <w:pStyle w:val="Prrafodelista"/>
        <w:numPr>
          <w:ilvl w:val="0"/>
          <w:numId w:val="13"/>
        </w:numPr>
        <w:spacing w:line="360" w:lineRule="auto"/>
        <w:rPr>
          <w:rFonts w:ascii="Palatino Linotype" w:eastAsia="Palatino Linotype" w:hAnsi="Palatino Linotype"/>
        </w:rPr>
      </w:pPr>
      <w:r w:rsidRPr="00437FF8">
        <w:rPr>
          <w:rFonts w:ascii="Palatino Linotype" w:eastAsia="Palatino Linotype" w:hAnsi="Palatino Linotype"/>
        </w:rPr>
        <w:lastRenderedPageBreak/>
        <w:t xml:space="preserve">En el </w:t>
      </w:r>
      <w:r w:rsidR="00121870" w:rsidRPr="00437FF8">
        <w:rPr>
          <w:rFonts w:ascii="Palatino Linotype" w:eastAsia="Palatino Linotype" w:hAnsi="Palatino Linotype"/>
          <w:b/>
        </w:rPr>
        <w:t>A</w:t>
      </w:r>
      <w:r w:rsidRPr="00437FF8">
        <w:rPr>
          <w:rFonts w:ascii="Palatino Linotype" w:eastAsia="Palatino Linotype" w:hAnsi="Palatino Linotype"/>
          <w:b/>
        </w:rPr>
        <w:t>ntecedente QUINTO</w:t>
      </w:r>
      <w:r w:rsidR="0095318A" w:rsidRPr="00437FF8">
        <w:rPr>
          <w:rFonts w:ascii="Palatino Linotype" w:eastAsia="Palatino Linotype" w:hAnsi="Palatino Linotype"/>
        </w:rPr>
        <w:t xml:space="preserve">, fracción </w:t>
      </w:r>
      <w:r w:rsidR="0095318A" w:rsidRPr="00437FF8">
        <w:rPr>
          <w:rFonts w:ascii="Palatino Linotype" w:eastAsia="Palatino Linotype" w:hAnsi="Palatino Linotype"/>
          <w:b/>
        </w:rPr>
        <w:t>V</w:t>
      </w:r>
      <w:r w:rsidR="0095318A" w:rsidRPr="00437FF8">
        <w:rPr>
          <w:rFonts w:ascii="Palatino Linotype" w:eastAsia="Palatino Linotype" w:hAnsi="Palatino Linotype"/>
        </w:rPr>
        <w:t>, se acreditó</w:t>
      </w:r>
      <w:r w:rsidRPr="00437FF8">
        <w:rPr>
          <w:rFonts w:ascii="Palatino Linotype" w:eastAsia="Palatino Linotype" w:hAnsi="Palatino Linotype"/>
        </w:rPr>
        <w:t xml:space="preserve"> la emisión de la resolución al recurso de revisión </w:t>
      </w:r>
      <w:r w:rsidR="0095318A" w:rsidRPr="00437FF8">
        <w:rPr>
          <w:rFonts w:ascii="Palatino Linotype" w:eastAsia="Palatino Linotype" w:hAnsi="Palatino Linotype"/>
          <w:b/>
        </w:rPr>
        <w:t>16745</w:t>
      </w:r>
      <w:r w:rsidR="00495947" w:rsidRPr="00437FF8">
        <w:rPr>
          <w:rFonts w:ascii="Palatino Linotype" w:eastAsia="Palatino Linotype" w:hAnsi="Palatino Linotype"/>
          <w:b/>
        </w:rPr>
        <w:t>/INFOEM/IP/RR/2022</w:t>
      </w:r>
      <w:r w:rsidR="0095318A" w:rsidRPr="00437FF8">
        <w:rPr>
          <w:rFonts w:ascii="Palatino Linotype" w:eastAsia="Palatino Linotype" w:hAnsi="Palatino Linotype"/>
        </w:rPr>
        <w:t>, al actualizarse la hipótesis prevista</w:t>
      </w:r>
      <w:r w:rsidRPr="00437FF8">
        <w:rPr>
          <w:rFonts w:ascii="Palatino Linotype" w:eastAsia="Palatino Linotype" w:hAnsi="Palatino Linotype"/>
        </w:rPr>
        <w:t xml:space="preserve"> en la fracción VII del multicitado artículo 179</w:t>
      </w:r>
      <w:r w:rsidR="0095318A" w:rsidRPr="00437FF8">
        <w:rPr>
          <w:rFonts w:ascii="Palatino Linotype" w:eastAsia="Palatino Linotype" w:hAnsi="Palatino Linotype"/>
        </w:rPr>
        <w:t xml:space="preserve"> de la Ley de la materia</w:t>
      </w:r>
      <w:r w:rsidRPr="00437FF8">
        <w:rPr>
          <w:rFonts w:ascii="Palatino Linotype" w:eastAsia="Palatino Linotype" w:hAnsi="Palatino Linotype"/>
        </w:rPr>
        <w:t xml:space="preserve">; </w:t>
      </w:r>
    </w:p>
    <w:p w14:paraId="0B6DCE31" w14:textId="3246DD88" w:rsidR="00D14A61" w:rsidRPr="00437FF8" w:rsidRDefault="00121870" w:rsidP="00121870">
      <w:pPr>
        <w:pStyle w:val="Prrafodelista"/>
        <w:numPr>
          <w:ilvl w:val="0"/>
          <w:numId w:val="13"/>
        </w:numPr>
        <w:spacing w:line="360" w:lineRule="auto"/>
        <w:rPr>
          <w:rFonts w:ascii="Palatino Linotype" w:eastAsia="Palatino Linotype" w:hAnsi="Palatino Linotype"/>
        </w:rPr>
      </w:pPr>
      <w:r w:rsidRPr="00437FF8">
        <w:rPr>
          <w:rFonts w:ascii="Palatino Linotype" w:eastAsia="Palatino Linotype" w:hAnsi="Palatino Linotype"/>
        </w:rPr>
        <w:t xml:space="preserve">Conforme al </w:t>
      </w:r>
      <w:r w:rsidRPr="00437FF8">
        <w:rPr>
          <w:rFonts w:ascii="Palatino Linotype" w:eastAsia="Palatino Linotype" w:hAnsi="Palatino Linotype"/>
          <w:b/>
        </w:rPr>
        <w:t>A</w:t>
      </w:r>
      <w:r w:rsidR="00D14A61" w:rsidRPr="00437FF8">
        <w:rPr>
          <w:rFonts w:ascii="Palatino Linotype" w:eastAsia="Palatino Linotype" w:hAnsi="Palatino Linotype"/>
          <w:b/>
        </w:rPr>
        <w:t>ntecedente QUINTO</w:t>
      </w:r>
      <w:r w:rsidRPr="00437FF8">
        <w:rPr>
          <w:rFonts w:ascii="Palatino Linotype" w:eastAsia="Palatino Linotype" w:hAnsi="Palatino Linotype"/>
        </w:rPr>
        <w:t xml:space="preserve">, fracción </w:t>
      </w:r>
      <w:r w:rsidRPr="00437FF8">
        <w:rPr>
          <w:rFonts w:ascii="Palatino Linotype" w:eastAsia="Palatino Linotype" w:hAnsi="Palatino Linotype"/>
          <w:b/>
        </w:rPr>
        <w:t>VI</w:t>
      </w:r>
      <w:r w:rsidR="00D14A61" w:rsidRPr="00437FF8">
        <w:rPr>
          <w:rFonts w:ascii="Palatino Linotype" w:eastAsia="Palatino Linotype" w:hAnsi="Palatino Linotype"/>
        </w:rPr>
        <w:t>, se observa</w:t>
      </w:r>
      <w:r w:rsidRPr="00437FF8">
        <w:rPr>
          <w:rFonts w:ascii="Palatino Linotype" w:eastAsia="Palatino Linotype" w:hAnsi="Palatino Linotype"/>
        </w:rPr>
        <w:t xml:space="preserve"> que el Sujeto Obligado omitió dar cumplimiento </w:t>
      </w:r>
      <w:r w:rsidR="00D14A61" w:rsidRPr="00437FF8">
        <w:rPr>
          <w:rFonts w:ascii="Palatino Linotype" w:eastAsia="Palatino Linotype" w:hAnsi="Palatino Linotype"/>
        </w:rPr>
        <w:t xml:space="preserve">a lo ordenado en la resolución del recurso de revisión </w:t>
      </w:r>
      <w:r w:rsidRPr="00437FF8">
        <w:rPr>
          <w:rFonts w:ascii="Palatino Linotype" w:eastAsia="Palatino Linotype" w:hAnsi="Palatino Linotype"/>
          <w:b/>
        </w:rPr>
        <w:t>16745/INFOEM/IP/RR/2022</w:t>
      </w:r>
      <w:r w:rsidR="00D14A61" w:rsidRPr="00437FF8">
        <w:rPr>
          <w:rFonts w:ascii="Palatino Linotype" w:eastAsia="Palatino Linotype" w:hAnsi="Palatino Linotype"/>
        </w:rPr>
        <w:t>;</w:t>
      </w:r>
    </w:p>
    <w:p w14:paraId="0E8BEFBE" w14:textId="20C214A1" w:rsidR="00D14A61" w:rsidRPr="00437FF8" w:rsidRDefault="00D14A61" w:rsidP="00121870">
      <w:pPr>
        <w:pStyle w:val="Prrafodelista"/>
        <w:numPr>
          <w:ilvl w:val="0"/>
          <w:numId w:val="13"/>
        </w:numPr>
        <w:spacing w:line="360" w:lineRule="auto"/>
        <w:rPr>
          <w:rFonts w:ascii="Palatino Linotype" w:eastAsia="Palatino Linotype" w:hAnsi="Palatino Linotype"/>
        </w:rPr>
      </w:pPr>
      <w:r w:rsidRPr="00437FF8">
        <w:rPr>
          <w:rFonts w:ascii="Palatino Linotype" w:eastAsia="Palatino Linotype" w:hAnsi="Palatino Linotype"/>
        </w:rPr>
        <w:t xml:space="preserve">Al no existir respuesta o pronunciamiento alguno, </w:t>
      </w:r>
      <w:r w:rsidR="00495947" w:rsidRPr="00437FF8">
        <w:rPr>
          <w:rFonts w:ascii="Palatino Linotype" w:eastAsia="Palatino Linotype" w:hAnsi="Palatino Linotype"/>
        </w:rPr>
        <w:t xml:space="preserve">el día treinta y uno de enero de dos mil veintitrés, </w:t>
      </w:r>
      <w:r w:rsidRPr="00437FF8">
        <w:rPr>
          <w:rFonts w:ascii="Palatino Linotype" w:eastAsia="Palatino Linotype" w:hAnsi="Palatino Linotype"/>
        </w:rPr>
        <w:t>la Dirección de Cumplimientos</w:t>
      </w:r>
      <w:r w:rsidR="00495947" w:rsidRPr="00437FF8">
        <w:rPr>
          <w:rFonts w:ascii="Palatino Linotype" w:eastAsia="Palatino Linotype" w:hAnsi="Palatino Linotype"/>
        </w:rPr>
        <w:t xml:space="preserve"> emitió </w:t>
      </w:r>
      <w:r w:rsidRPr="00437FF8">
        <w:rPr>
          <w:rFonts w:ascii="Palatino Linotype" w:eastAsia="Palatino Linotype" w:hAnsi="Palatino Linotype"/>
        </w:rPr>
        <w:t xml:space="preserve">el acuerdo de incumplimiento a la resolución del recurso </w:t>
      </w:r>
      <w:r w:rsidR="00121870" w:rsidRPr="00437FF8">
        <w:rPr>
          <w:rFonts w:ascii="Palatino Linotype" w:eastAsia="Palatino Linotype" w:hAnsi="Palatino Linotype"/>
          <w:b/>
        </w:rPr>
        <w:t>16745/INFOEM/IP/RR/2022</w:t>
      </w:r>
      <w:r w:rsidRPr="00437FF8">
        <w:rPr>
          <w:rFonts w:ascii="Palatino Linotype" w:eastAsia="Palatino Linotype" w:hAnsi="Palatino Linotype"/>
        </w:rPr>
        <w:t>;</w:t>
      </w:r>
      <w:r w:rsidR="00121870" w:rsidRPr="00437FF8">
        <w:rPr>
          <w:rFonts w:ascii="Palatino Linotype" w:eastAsia="Palatino Linotype" w:hAnsi="Palatino Linotype"/>
        </w:rPr>
        <w:t xml:space="preserve"> </w:t>
      </w:r>
    </w:p>
    <w:p w14:paraId="2978F982" w14:textId="73D63538" w:rsidR="00D14A61" w:rsidRPr="00437FF8" w:rsidRDefault="00D14A61" w:rsidP="00121870">
      <w:pPr>
        <w:pStyle w:val="Prrafodelista"/>
        <w:numPr>
          <w:ilvl w:val="0"/>
          <w:numId w:val="13"/>
        </w:numPr>
        <w:spacing w:line="360" w:lineRule="auto"/>
        <w:rPr>
          <w:rFonts w:ascii="Palatino Linotype" w:eastAsia="Palatino Linotype" w:hAnsi="Palatino Linotype"/>
        </w:rPr>
      </w:pPr>
      <w:r w:rsidRPr="00437FF8">
        <w:rPr>
          <w:rFonts w:ascii="Palatino Linotype" w:eastAsia="Palatino Linotype" w:hAnsi="Palatino Linotype"/>
        </w:rPr>
        <w:t xml:space="preserve">Inconforme con la conducta reiterada por parte </w:t>
      </w:r>
      <w:r w:rsidRPr="00437FF8">
        <w:rPr>
          <w:rFonts w:ascii="Palatino Linotype" w:eastAsia="Palatino Linotype" w:hAnsi="Palatino Linotype"/>
          <w:b/>
        </w:rPr>
        <w:t>del Sujeto Obligado</w:t>
      </w:r>
      <w:r w:rsidR="00121870" w:rsidRPr="00437FF8">
        <w:rPr>
          <w:rFonts w:ascii="Palatino Linotype" w:eastAsia="Palatino Linotype" w:hAnsi="Palatino Linotype"/>
        </w:rPr>
        <w:t>, el</w:t>
      </w:r>
      <w:r w:rsidRPr="00437FF8">
        <w:rPr>
          <w:rFonts w:ascii="Palatino Linotype" w:eastAsia="Palatino Linotype" w:hAnsi="Palatino Linotype"/>
        </w:rPr>
        <w:t xml:space="preserve"> Recurrente hizo valer su derecho de poder interponer segundo recurso de revisión. </w:t>
      </w:r>
    </w:p>
    <w:p w14:paraId="2108AD85" w14:textId="77777777" w:rsidR="00D14A61" w:rsidRPr="00437FF8" w:rsidRDefault="00D14A61" w:rsidP="00121870">
      <w:pPr>
        <w:rPr>
          <w:rFonts w:eastAsia="Palatino Linotype"/>
          <w:szCs w:val="24"/>
        </w:rPr>
      </w:pPr>
    </w:p>
    <w:p w14:paraId="64F5911E" w14:textId="77777777" w:rsidR="00D14A61" w:rsidRPr="00437FF8" w:rsidRDefault="00D14A61" w:rsidP="0095318A">
      <w:pPr>
        <w:rPr>
          <w:rFonts w:eastAsia="Palatino Linotype"/>
          <w:szCs w:val="24"/>
        </w:rPr>
      </w:pPr>
      <w:r w:rsidRPr="00437FF8">
        <w:rPr>
          <w:rFonts w:eastAsia="Palatino Linotype"/>
          <w:szCs w:val="24"/>
        </w:rPr>
        <w:t xml:space="preserve">De conformidad con lo anterior, concatenado con las constancias del expediente electrónico, se logra concluir que, </w:t>
      </w:r>
      <w:r w:rsidRPr="00437FF8">
        <w:rPr>
          <w:rFonts w:eastAsia="Palatino Linotype"/>
          <w:b/>
          <w:szCs w:val="24"/>
        </w:rPr>
        <w:t>no se acredita la procedencia de la interposición de segundo recurso de revisión</w:t>
      </w:r>
      <w:r w:rsidRPr="00437FF8">
        <w:rPr>
          <w:rFonts w:eastAsia="Palatino Linotype"/>
          <w:szCs w:val="24"/>
        </w:rPr>
        <w:t xml:space="preserve">, al </w:t>
      </w:r>
      <w:r w:rsidRPr="00437FF8">
        <w:rPr>
          <w:rFonts w:eastAsia="Palatino Linotype"/>
          <w:b/>
          <w:szCs w:val="24"/>
        </w:rPr>
        <w:t>establecerse de manera clara y precisa como requisito, la existencia de respuesta</w:t>
      </w:r>
      <w:r w:rsidRPr="00437FF8">
        <w:rPr>
          <w:rFonts w:eastAsia="Palatino Linotype"/>
          <w:szCs w:val="24"/>
        </w:rPr>
        <w:t xml:space="preserve"> por parte del Sujeto Obligado, la cual habrá ser objeto de estudio y análisis en el segundo recurso de revisión.</w:t>
      </w:r>
    </w:p>
    <w:p w14:paraId="3BCD28E1" w14:textId="77777777" w:rsidR="00D14A61" w:rsidRPr="00437FF8" w:rsidRDefault="00D14A61" w:rsidP="00D14A61">
      <w:pPr>
        <w:widowControl w:val="0"/>
        <w:spacing w:beforeLines="20" w:before="48" w:afterLines="20" w:after="48"/>
        <w:ind w:hanging="1"/>
        <w:rPr>
          <w:rFonts w:eastAsia="Palatino Linotype"/>
          <w:szCs w:val="24"/>
        </w:rPr>
      </w:pPr>
    </w:p>
    <w:p w14:paraId="48A618AE" w14:textId="5DDBB1AA" w:rsidR="00D14A61" w:rsidRPr="00437FF8" w:rsidRDefault="00D14A61" w:rsidP="00D14A61">
      <w:pPr>
        <w:widowControl w:val="0"/>
        <w:spacing w:beforeLines="20" w:before="48" w:afterLines="20" w:after="48"/>
        <w:ind w:hanging="1"/>
        <w:rPr>
          <w:rFonts w:eastAsia="Palatino Linotype"/>
          <w:szCs w:val="24"/>
        </w:rPr>
      </w:pPr>
      <w:r w:rsidRPr="00437FF8">
        <w:rPr>
          <w:rFonts w:eastAsia="Palatino Linotype"/>
          <w:szCs w:val="24"/>
        </w:rPr>
        <w:t>Consecuentemente, al carecer del elemento de procedencia de estudio y análisis</w:t>
      </w:r>
      <w:r w:rsidR="00814191" w:rsidRPr="00437FF8">
        <w:rPr>
          <w:rFonts w:eastAsia="Palatino Linotype"/>
          <w:szCs w:val="24"/>
        </w:rPr>
        <w:t xml:space="preserve">, </w:t>
      </w:r>
      <w:r w:rsidRPr="00437FF8">
        <w:rPr>
          <w:rFonts w:eastAsia="Palatino Linotype"/>
          <w:szCs w:val="24"/>
        </w:rPr>
        <w:t>se actualiza la causa de improcedencia prevista en la fracción III del artículo 191 de la Ley de Transparencia y Acceso a la Información Pública del Estado de México y Municipios, que establece lo siguiente:</w:t>
      </w:r>
    </w:p>
    <w:p w14:paraId="270D95FE" w14:textId="77777777" w:rsidR="00D14A61" w:rsidRPr="00437FF8" w:rsidRDefault="00D14A61" w:rsidP="00D14A61">
      <w:pPr>
        <w:widowControl w:val="0"/>
        <w:spacing w:beforeLines="20" w:before="48" w:afterLines="20" w:after="48"/>
        <w:ind w:hanging="1"/>
        <w:rPr>
          <w:rFonts w:eastAsia="Palatino Linotype"/>
          <w:szCs w:val="24"/>
        </w:rPr>
      </w:pPr>
    </w:p>
    <w:p w14:paraId="4F3FEF63" w14:textId="77777777" w:rsidR="00D14A61" w:rsidRPr="00437FF8" w:rsidRDefault="00D14A61" w:rsidP="00814191">
      <w:pPr>
        <w:pStyle w:val="Sinespaciado"/>
        <w:rPr>
          <w:rFonts w:eastAsia="Palatino Linotype"/>
        </w:rPr>
      </w:pPr>
      <w:r w:rsidRPr="00437FF8">
        <w:rPr>
          <w:rFonts w:eastAsia="Palatino Linotype"/>
          <w:b/>
        </w:rPr>
        <w:lastRenderedPageBreak/>
        <w:t>Artículo 191</w:t>
      </w:r>
      <w:r w:rsidRPr="00437FF8">
        <w:rPr>
          <w:rFonts w:eastAsia="Palatino Linotype"/>
        </w:rPr>
        <w:t>. El recurso será desechado por improcedente cuando:</w:t>
      </w:r>
    </w:p>
    <w:p w14:paraId="62CF990E" w14:textId="1CDFEFF3" w:rsidR="00D14A61" w:rsidRPr="00437FF8" w:rsidRDefault="00814191" w:rsidP="00814191">
      <w:pPr>
        <w:pStyle w:val="Sinespaciado"/>
        <w:rPr>
          <w:rFonts w:eastAsia="Palatino Linotype"/>
        </w:rPr>
      </w:pPr>
      <w:r w:rsidRPr="00437FF8">
        <w:t>(…)</w:t>
      </w:r>
    </w:p>
    <w:p w14:paraId="2BB73025" w14:textId="1A8463D9" w:rsidR="00D14A61" w:rsidRPr="00437FF8" w:rsidRDefault="00814191" w:rsidP="00814191">
      <w:pPr>
        <w:pStyle w:val="Sinespaciado"/>
        <w:rPr>
          <w:rFonts w:eastAsia="Palatino Linotype"/>
          <w:b/>
        </w:rPr>
      </w:pPr>
      <w:r w:rsidRPr="00437FF8">
        <w:rPr>
          <w:b/>
        </w:rPr>
        <w:t xml:space="preserve">III. </w:t>
      </w:r>
      <w:r w:rsidR="00D14A61" w:rsidRPr="00437FF8">
        <w:rPr>
          <w:rFonts w:eastAsia="Palatino Linotype"/>
          <w:b/>
          <w:u w:val="single"/>
        </w:rPr>
        <w:t>No actualice alguno de los supuestos previstos en la presente Ley</w:t>
      </w:r>
      <w:r w:rsidR="00D14A61" w:rsidRPr="00437FF8">
        <w:rPr>
          <w:rFonts w:eastAsia="Palatino Linotype"/>
          <w:b/>
        </w:rPr>
        <w:t>;</w:t>
      </w:r>
    </w:p>
    <w:p w14:paraId="2DBEC5D9" w14:textId="77777777" w:rsidR="00D14A61" w:rsidRPr="00437FF8" w:rsidRDefault="00D14A61" w:rsidP="00D14A61">
      <w:pPr>
        <w:widowControl w:val="0"/>
        <w:spacing w:beforeLines="20" w:before="48" w:afterLines="20" w:after="48"/>
        <w:rPr>
          <w:rFonts w:eastAsia="Palatino Linotype"/>
          <w:szCs w:val="24"/>
        </w:rPr>
      </w:pPr>
    </w:p>
    <w:p w14:paraId="0AB8D779" w14:textId="74CF86C8" w:rsidR="00D14A61" w:rsidRPr="00437FF8" w:rsidRDefault="00814191" w:rsidP="00D14A61">
      <w:pPr>
        <w:rPr>
          <w:rFonts w:eastAsiaTheme="minorEastAsia" w:cs="Times New Roman"/>
          <w:szCs w:val="24"/>
          <w:lang w:val="es-ES_tradnl" w:eastAsia="es-ES"/>
        </w:rPr>
      </w:pPr>
      <w:r w:rsidRPr="00437FF8">
        <w:rPr>
          <w:rFonts w:eastAsia="Batang" w:cs="Arial"/>
          <w:szCs w:val="24"/>
          <w:lang w:val="es-ES" w:eastAsia="es-ES"/>
        </w:rPr>
        <w:t>En conclusión</w:t>
      </w:r>
      <w:r w:rsidR="00D14A61" w:rsidRPr="00437FF8">
        <w:rPr>
          <w:rFonts w:eastAsia="Batang" w:cs="Arial"/>
          <w:szCs w:val="24"/>
          <w:lang w:val="es-ES" w:eastAsia="es-ES"/>
        </w:rPr>
        <w:t xml:space="preserve">, resulta procedente determinar el </w:t>
      </w:r>
      <w:r w:rsidR="00D14A61" w:rsidRPr="00437FF8">
        <w:rPr>
          <w:rFonts w:eastAsia="Batang" w:cs="Arial"/>
          <w:b/>
          <w:szCs w:val="24"/>
          <w:lang w:val="es-ES" w:eastAsia="es-ES"/>
        </w:rPr>
        <w:t>sobreseimiento</w:t>
      </w:r>
      <w:r w:rsidR="00D14A61" w:rsidRPr="00437FF8">
        <w:rPr>
          <w:rFonts w:eastAsia="Batang" w:cs="Arial"/>
          <w:szCs w:val="24"/>
          <w:lang w:val="es-ES" w:eastAsia="es-ES"/>
        </w:rPr>
        <w:t xml:space="preserve"> del presente recurso de revisión</w:t>
      </w:r>
      <w:r w:rsidR="0025320C" w:rsidRPr="00437FF8">
        <w:rPr>
          <w:rFonts w:eastAsia="Batang" w:cs="Arial"/>
          <w:szCs w:val="24"/>
          <w:lang w:val="es-ES" w:eastAsia="es-ES"/>
        </w:rPr>
        <w:t xml:space="preserve"> por improcedente conforme </w:t>
      </w:r>
      <w:r w:rsidR="00D14A61" w:rsidRPr="00437FF8">
        <w:rPr>
          <w:rFonts w:eastAsiaTheme="minorEastAsia" w:cs="Times New Roman"/>
          <w:szCs w:val="24"/>
          <w:lang w:val="es-ES_tradnl" w:eastAsia="es-ES"/>
        </w:rPr>
        <w:t xml:space="preserve">las consideraciones de hecho y de derecho hechas valer en líneas precedentes que fueron materia de estudio, por ello </w:t>
      </w:r>
      <w:r w:rsidR="00D14A61" w:rsidRPr="00437FF8">
        <w:rPr>
          <w:rFonts w:eastAsiaTheme="minorEastAsia" w:cs="Arial"/>
          <w:b/>
          <w:szCs w:val="24"/>
          <w:lang w:val="es-ES_tradnl" w:eastAsia="es-ES"/>
        </w:rPr>
        <w:t xml:space="preserve">con fundamento en la segunda hipótesis de la fracción I del artículo 186, </w:t>
      </w:r>
      <w:r w:rsidR="00D14A61" w:rsidRPr="00437FF8">
        <w:rPr>
          <w:rFonts w:eastAsiaTheme="minorEastAsia" w:cs="Arial"/>
          <w:szCs w:val="24"/>
          <w:lang w:val="es-ES_tradnl" w:eastAsia="es-ES"/>
        </w:rPr>
        <w:t xml:space="preserve">de la Ley de Transparencia y Acceso a la Información Pública del Estado de México y Municipios, se </w:t>
      </w:r>
      <w:r w:rsidR="00D14A61" w:rsidRPr="00437FF8">
        <w:rPr>
          <w:rFonts w:eastAsiaTheme="minorEastAsia" w:cs="Arial"/>
          <w:b/>
          <w:szCs w:val="24"/>
          <w:lang w:val="es-ES_tradnl" w:eastAsia="es-ES"/>
        </w:rPr>
        <w:t xml:space="preserve">SOBRESEE </w:t>
      </w:r>
      <w:r w:rsidR="00D14A61" w:rsidRPr="00437FF8">
        <w:rPr>
          <w:rFonts w:eastAsiaTheme="minorEastAsia" w:cs="Arial"/>
          <w:szCs w:val="24"/>
          <w:lang w:val="es-ES_tradnl" w:eastAsia="es-ES"/>
        </w:rPr>
        <w:t xml:space="preserve">el recurso de revisión </w:t>
      </w:r>
      <w:r w:rsidR="0025320C" w:rsidRPr="00437FF8">
        <w:rPr>
          <w:rFonts w:cs="Arial"/>
          <w:b/>
          <w:bCs/>
          <w:szCs w:val="24"/>
        </w:rPr>
        <w:t>16745/INFOEM/ICR-89</w:t>
      </w:r>
      <w:r w:rsidR="00D14A61" w:rsidRPr="00437FF8">
        <w:rPr>
          <w:rFonts w:cs="Arial"/>
          <w:b/>
          <w:bCs/>
          <w:szCs w:val="24"/>
        </w:rPr>
        <w:t>/IP/RR/202</w:t>
      </w:r>
      <w:r w:rsidR="0025320C" w:rsidRPr="00437FF8">
        <w:rPr>
          <w:rFonts w:cs="Arial"/>
          <w:b/>
          <w:bCs/>
          <w:szCs w:val="24"/>
        </w:rPr>
        <w:t>2</w:t>
      </w:r>
      <w:r w:rsidR="00D14A61" w:rsidRPr="00437FF8">
        <w:rPr>
          <w:rFonts w:eastAsiaTheme="minorEastAsia" w:cs="Arial"/>
          <w:szCs w:val="24"/>
          <w:lang w:val="es-ES_tradnl" w:eastAsia="es-ES"/>
        </w:rPr>
        <w:t>,</w:t>
      </w:r>
      <w:r w:rsidR="00D14A61" w:rsidRPr="00437FF8">
        <w:rPr>
          <w:rFonts w:eastAsiaTheme="minorEastAsia" w:cs="Times New Roman"/>
          <w:szCs w:val="24"/>
          <w:lang w:val="es-ES_tradnl" w:eastAsia="es-ES"/>
        </w:rPr>
        <w:t xml:space="preserve"> que ha sido materia del presente fallo.</w:t>
      </w:r>
    </w:p>
    <w:p w14:paraId="702EF4ED" w14:textId="77777777" w:rsidR="00D14A61" w:rsidRPr="00437FF8" w:rsidRDefault="00D14A61" w:rsidP="00D14A61">
      <w:pPr>
        <w:rPr>
          <w:rFonts w:eastAsia="Times New Roman" w:cs="Times New Roman"/>
          <w:szCs w:val="24"/>
          <w:lang w:val="es-ES_tradnl" w:eastAsia="es-ES"/>
        </w:rPr>
      </w:pPr>
    </w:p>
    <w:p w14:paraId="54771C3C" w14:textId="77777777" w:rsidR="00D14A61" w:rsidRPr="00437FF8" w:rsidRDefault="00D14A61" w:rsidP="00D14A61">
      <w:pPr>
        <w:rPr>
          <w:rFonts w:eastAsia="Times New Roman" w:cs="Times New Roman"/>
          <w:szCs w:val="24"/>
          <w:lang w:val="es-ES" w:eastAsia="es-ES"/>
        </w:rPr>
      </w:pPr>
      <w:r w:rsidRPr="00437FF8">
        <w:rPr>
          <w:rFonts w:eastAsia="Times New Roman" w:cs="Times New Roman"/>
          <w:szCs w:val="24"/>
          <w:lang w:val="es-ES" w:eastAsia="es-ES"/>
        </w:rPr>
        <w:t>Por lo antes expuesto y fundado es de resolverse y,</w:t>
      </w:r>
    </w:p>
    <w:p w14:paraId="7883189D" w14:textId="77777777" w:rsidR="00D14A61" w:rsidRPr="00437FF8" w:rsidRDefault="00D14A61" w:rsidP="00D14A61">
      <w:pPr>
        <w:rPr>
          <w:rFonts w:eastAsia="Times New Roman" w:cs="Times New Roman"/>
          <w:szCs w:val="24"/>
          <w:lang w:val="es-ES" w:eastAsia="es-ES"/>
        </w:rPr>
      </w:pPr>
    </w:p>
    <w:p w14:paraId="585431AD" w14:textId="77777777" w:rsidR="00D14A61" w:rsidRPr="00437FF8" w:rsidRDefault="00D14A61" w:rsidP="00D14A61">
      <w:pPr>
        <w:jc w:val="center"/>
        <w:rPr>
          <w:rFonts w:eastAsia="Times New Roman" w:cs="Times New Roman"/>
          <w:b/>
          <w:bCs/>
          <w:spacing w:val="60"/>
          <w:sz w:val="28"/>
          <w:szCs w:val="24"/>
          <w:lang w:val="es-ES_tradnl" w:eastAsia="es-ES"/>
        </w:rPr>
      </w:pPr>
      <w:r w:rsidRPr="00437FF8">
        <w:rPr>
          <w:rFonts w:eastAsia="Times New Roman" w:cs="Times New Roman"/>
          <w:b/>
          <w:bCs/>
          <w:spacing w:val="60"/>
          <w:sz w:val="28"/>
          <w:szCs w:val="24"/>
          <w:lang w:val="es-ES_tradnl" w:eastAsia="es-ES"/>
        </w:rPr>
        <w:t>SE    RESUELVE</w:t>
      </w:r>
    </w:p>
    <w:p w14:paraId="31029064" w14:textId="77777777" w:rsidR="00D14A61" w:rsidRPr="00437FF8" w:rsidRDefault="00D14A61" w:rsidP="00D14A61">
      <w:pPr>
        <w:jc w:val="center"/>
        <w:rPr>
          <w:rFonts w:eastAsia="Times New Roman" w:cs="Times New Roman"/>
          <w:bCs/>
          <w:spacing w:val="60"/>
          <w:szCs w:val="24"/>
          <w:lang w:val="es-ES_tradnl" w:eastAsia="es-ES"/>
        </w:rPr>
      </w:pPr>
    </w:p>
    <w:p w14:paraId="4A6A1E4D" w14:textId="20A3DBA6" w:rsidR="00D14A61" w:rsidRPr="00437FF8" w:rsidRDefault="00D14A61" w:rsidP="00D14A61">
      <w:pPr>
        <w:tabs>
          <w:tab w:val="left" w:pos="8647"/>
        </w:tabs>
        <w:ind w:right="51"/>
        <w:rPr>
          <w:rFonts w:eastAsiaTheme="minorEastAsia" w:cs="Arial"/>
          <w:szCs w:val="24"/>
          <w:lang w:val="es-ES_tradnl" w:eastAsia="es-ES"/>
        </w:rPr>
      </w:pPr>
      <w:r w:rsidRPr="00437FF8">
        <w:rPr>
          <w:rFonts w:eastAsiaTheme="minorEastAsia" w:cs="Arial"/>
          <w:b/>
          <w:szCs w:val="24"/>
          <w:lang w:val="es-ES_tradnl" w:eastAsia="es-ES"/>
        </w:rPr>
        <w:t>PRIMERO.</w:t>
      </w:r>
      <w:r w:rsidRPr="00437FF8">
        <w:rPr>
          <w:rFonts w:eastAsiaTheme="minorEastAsia" w:cs="Arial"/>
          <w:szCs w:val="24"/>
          <w:lang w:val="es-ES_tradnl" w:eastAsia="es-ES"/>
        </w:rPr>
        <w:t xml:space="preserve"> Se </w:t>
      </w:r>
      <w:r w:rsidRPr="00437FF8">
        <w:rPr>
          <w:rFonts w:eastAsiaTheme="minorEastAsia" w:cs="Arial"/>
          <w:b/>
          <w:szCs w:val="24"/>
          <w:lang w:val="es-ES_tradnl" w:eastAsia="es-ES"/>
        </w:rPr>
        <w:t>SOBRESEE</w:t>
      </w:r>
      <w:r w:rsidRPr="00437FF8">
        <w:rPr>
          <w:rFonts w:eastAsiaTheme="minorEastAsia" w:cs="Arial"/>
          <w:szCs w:val="24"/>
          <w:lang w:val="es-ES_tradnl" w:eastAsia="es-ES"/>
        </w:rPr>
        <w:t xml:space="preserve"> el recurso de revisión número </w:t>
      </w:r>
      <w:r w:rsidR="0025320C" w:rsidRPr="00437FF8">
        <w:rPr>
          <w:rFonts w:cs="Arial"/>
          <w:b/>
          <w:bCs/>
          <w:szCs w:val="24"/>
        </w:rPr>
        <w:t>16745/INFOEM/ICR-89/IP/RR/2022</w:t>
      </w:r>
      <w:r w:rsidRPr="00437FF8">
        <w:rPr>
          <w:rFonts w:eastAsiaTheme="minorEastAsia" w:cs="Arial"/>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437FF8">
        <w:rPr>
          <w:rFonts w:eastAsiaTheme="minorEastAsia" w:cs="Arial"/>
          <w:b/>
          <w:szCs w:val="24"/>
          <w:lang w:val="es-ES_tradnl" w:eastAsia="es-ES"/>
        </w:rPr>
        <w:t xml:space="preserve">Considerando </w:t>
      </w:r>
      <w:r w:rsidR="0025320C" w:rsidRPr="00437FF8">
        <w:rPr>
          <w:rFonts w:eastAsiaTheme="minorEastAsia" w:cs="Arial"/>
          <w:b/>
          <w:szCs w:val="24"/>
          <w:lang w:val="es-ES_tradnl" w:eastAsia="es-ES"/>
        </w:rPr>
        <w:t xml:space="preserve">CUARTO </w:t>
      </w:r>
      <w:r w:rsidRPr="00437FF8">
        <w:rPr>
          <w:rFonts w:eastAsiaTheme="minorEastAsia" w:cs="Arial"/>
          <w:szCs w:val="24"/>
          <w:lang w:val="es-ES_tradnl" w:eastAsia="es-ES"/>
        </w:rPr>
        <w:t>de la presente resolución.</w:t>
      </w:r>
    </w:p>
    <w:p w14:paraId="64193EDF" w14:textId="77777777" w:rsidR="00D14A61" w:rsidRPr="00437FF8" w:rsidRDefault="00D14A61" w:rsidP="00D14A61">
      <w:pPr>
        <w:tabs>
          <w:tab w:val="left" w:pos="8647"/>
        </w:tabs>
        <w:ind w:right="51"/>
        <w:rPr>
          <w:rFonts w:eastAsiaTheme="minorEastAsia" w:cs="Arial"/>
          <w:szCs w:val="24"/>
          <w:lang w:val="es-ES_tradnl" w:eastAsia="es-ES"/>
        </w:rPr>
      </w:pPr>
    </w:p>
    <w:p w14:paraId="378DD51E" w14:textId="0DE73711" w:rsidR="00D14A61" w:rsidRPr="00437FF8" w:rsidRDefault="00D14A61" w:rsidP="00D14A61">
      <w:pPr>
        <w:tabs>
          <w:tab w:val="left" w:pos="8647"/>
        </w:tabs>
        <w:ind w:right="51"/>
        <w:rPr>
          <w:rFonts w:eastAsiaTheme="minorEastAsia" w:cs="Arial"/>
          <w:szCs w:val="24"/>
          <w:lang w:val="es-ES_tradnl" w:eastAsia="es-ES"/>
        </w:rPr>
      </w:pPr>
      <w:r w:rsidRPr="00437FF8">
        <w:rPr>
          <w:rFonts w:eastAsiaTheme="minorEastAsia" w:cs="Arial"/>
          <w:b/>
          <w:szCs w:val="24"/>
          <w:lang w:val="es-ES_tradnl" w:eastAsia="es-ES"/>
        </w:rPr>
        <w:t>SEGUNDO.</w:t>
      </w:r>
      <w:r w:rsidRPr="00437FF8">
        <w:rPr>
          <w:rFonts w:eastAsiaTheme="minorEastAsia" w:cs="Arial"/>
          <w:szCs w:val="24"/>
          <w:lang w:val="es-ES_tradnl" w:eastAsia="es-ES"/>
        </w:rPr>
        <w:t xml:space="preserve"> </w:t>
      </w:r>
      <w:r w:rsidRPr="00437FF8">
        <w:rPr>
          <w:rFonts w:eastAsiaTheme="minorEastAsia" w:cs="Arial"/>
          <w:b/>
          <w:szCs w:val="24"/>
          <w:lang w:val="es-ES_tradnl" w:eastAsia="es-ES"/>
        </w:rPr>
        <w:t>N</w:t>
      </w:r>
      <w:r w:rsidR="0025320C" w:rsidRPr="00437FF8">
        <w:rPr>
          <w:rFonts w:eastAsiaTheme="minorEastAsia" w:cs="Arial"/>
          <w:b/>
          <w:szCs w:val="24"/>
          <w:lang w:val="es-ES_tradnl" w:eastAsia="es-ES"/>
        </w:rPr>
        <w:t>otifíquese</w:t>
      </w:r>
      <w:r w:rsidRPr="00437FF8">
        <w:rPr>
          <w:rFonts w:eastAsiaTheme="minorEastAsia" w:cs="Arial"/>
          <w:szCs w:val="24"/>
          <w:lang w:val="es-ES_tradnl" w:eastAsia="es-ES"/>
        </w:rPr>
        <w:t xml:space="preserve"> vía SAIMEX la presente resolución al Titular de la Unidad de Transparencia del Sujeto Obligado.</w:t>
      </w:r>
    </w:p>
    <w:p w14:paraId="5735AD26" w14:textId="77777777" w:rsidR="00D14A61" w:rsidRPr="00437FF8" w:rsidRDefault="00D14A61" w:rsidP="00D14A61">
      <w:pPr>
        <w:tabs>
          <w:tab w:val="left" w:pos="8647"/>
        </w:tabs>
        <w:ind w:right="51"/>
        <w:rPr>
          <w:rFonts w:eastAsiaTheme="minorEastAsia" w:cs="Arial"/>
          <w:szCs w:val="24"/>
          <w:lang w:val="es-ES_tradnl" w:eastAsia="es-ES"/>
        </w:rPr>
      </w:pPr>
    </w:p>
    <w:p w14:paraId="41406F0F" w14:textId="5C6DD079" w:rsidR="00D14A61" w:rsidRPr="00437FF8" w:rsidRDefault="00D14A61" w:rsidP="00D14A61">
      <w:pPr>
        <w:rPr>
          <w:rFonts w:eastAsia="Times New Roman" w:cs="Arial"/>
          <w:szCs w:val="24"/>
          <w:lang w:val="es-ES" w:eastAsia="es-ES"/>
        </w:rPr>
      </w:pPr>
      <w:r w:rsidRPr="00437FF8">
        <w:rPr>
          <w:rFonts w:eastAsia="Times New Roman" w:cs="Arial"/>
          <w:b/>
          <w:szCs w:val="24"/>
          <w:lang w:val="es-ES" w:eastAsia="es-ES"/>
        </w:rPr>
        <w:lastRenderedPageBreak/>
        <w:t>TERCERO.</w:t>
      </w:r>
      <w:r w:rsidRPr="00437FF8">
        <w:rPr>
          <w:rFonts w:eastAsia="Times New Roman" w:cs="Arial"/>
          <w:szCs w:val="24"/>
          <w:lang w:val="es-ES" w:eastAsia="es-ES"/>
        </w:rPr>
        <w:t xml:space="preserve"> </w:t>
      </w:r>
      <w:r w:rsidRPr="00437FF8">
        <w:rPr>
          <w:rFonts w:eastAsia="Times New Roman" w:cs="Arial"/>
          <w:b/>
          <w:szCs w:val="24"/>
          <w:lang w:val="es-ES" w:eastAsia="es-ES"/>
        </w:rPr>
        <w:t>N</w:t>
      </w:r>
      <w:r w:rsidR="0025320C" w:rsidRPr="00437FF8">
        <w:rPr>
          <w:rFonts w:eastAsia="Times New Roman" w:cs="Arial"/>
          <w:b/>
          <w:szCs w:val="24"/>
          <w:lang w:val="es-ES" w:eastAsia="es-ES"/>
        </w:rPr>
        <w:t>otifíquese</w:t>
      </w:r>
      <w:r w:rsidRPr="00437FF8">
        <w:rPr>
          <w:rFonts w:eastAsia="Times New Roman" w:cs="Arial"/>
          <w:szCs w:val="24"/>
          <w:lang w:val="es-ES" w:eastAsia="es-ES"/>
        </w:rPr>
        <w:t xml:space="preserve"> a través del</w:t>
      </w:r>
      <w:r w:rsidRPr="00437FF8">
        <w:rPr>
          <w:rFonts w:eastAsia="Times New Roman" w:cs="Times New Roman"/>
          <w:szCs w:val="24"/>
          <w:lang w:val="es-ES" w:eastAsia="es-ES"/>
        </w:rPr>
        <w:t xml:space="preserve"> Sistema de Acceso a la Información Mexiquense (SAIMEX)</w:t>
      </w:r>
      <w:r w:rsidRPr="00437FF8">
        <w:rPr>
          <w:rFonts w:eastAsia="Times New Roman" w:cs="Arial"/>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79FDC86" w14:textId="77777777" w:rsidR="00DE3512" w:rsidRPr="00437FF8" w:rsidRDefault="00DE3512" w:rsidP="00DE3512">
      <w:pPr>
        <w:pBdr>
          <w:top w:val="nil"/>
          <w:left w:val="nil"/>
          <w:bottom w:val="nil"/>
          <w:right w:val="nil"/>
          <w:between w:val="nil"/>
        </w:pBdr>
        <w:rPr>
          <w:rFonts w:eastAsia="Palatino Linotype" w:cs="Palatino Linotype"/>
          <w:color w:val="000000"/>
          <w:szCs w:val="24"/>
          <w:lang w:val="es-ES_tradnl"/>
        </w:rPr>
      </w:pPr>
    </w:p>
    <w:p w14:paraId="41E8FD87" w14:textId="7EB47667" w:rsidR="00DD6CBF" w:rsidRPr="00437FF8" w:rsidRDefault="00663A37" w:rsidP="00E10ECB">
      <w:pPr>
        <w:pBdr>
          <w:top w:val="nil"/>
          <w:left w:val="nil"/>
          <w:bottom w:val="nil"/>
          <w:right w:val="nil"/>
          <w:between w:val="nil"/>
        </w:pBdr>
        <w:contextualSpacing/>
        <w:rPr>
          <w:rFonts w:eastAsia="Palatino Linotype" w:cs="Palatino Linotype"/>
          <w:color w:val="000000"/>
          <w:sz w:val="18"/>
          <w:szCs w:val="18"/>
        </w:rPr>
      </w:pPr>
      <w:bookmarkStart w:id="0" w:name="_heading=h.gjdgxs" w:colFirst="0" w:colLast="0"/>
      <w:bookmarkEnd w:id="0"/>
      <w:r w:rsidRPr="00437FF8">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437FF8">
        <w:rPr>
          <w:rFonts w:eastAsia="Palatino Linotype" w:cs="Palatino Linotype"/>
          <w:color w:val="000000"/>
          <w:szCs w:val="24"/>
        </w:rPr>
        <w:t xml:space="preserve">PE RAMÍREZ </w:t>
      </w:r>
      <w:r w:rsidR="00B64C91" w:rsidRPr="00437FF8">
        <w:rPr>
          <w:rFonts w:eastAsia="Palatino Linotype" w:cs="Palatino Linotype"/>
          <w:color w:val="000000"/>
          <w:szCs w:val="24"/>
        </w:rPr>
        <w:t xml:space="preserve">PEÑA, EN LA </w:t>
      </w:r>
      <w:r w:rsidR="0040176F" w:rsidRPr="00437FF8">
        <w:rPr>
          <w:rFonts w:eastAsia="Palatino Linotype" w:cs="Palatino Linotype"/>
          <w:color w:val="000000"/>
          <w:szCs w:val="24"/>
        </w:rPr>
        <w:t xml:space="preserve">VIGÉSIMA </w:t>
      </w:r>
      <w:r w:rsidR="0087274A" w:rsidRPr="00437FF8">
        <w:rPr>
          <w:rFonts w:eastAsia="Palatino Linotype" w:cs="Palatino Linotype"/>
          <w:color w:val="000000"/>
          <w:szCs w:val="24"/>
        </w:rPr>
        <w:t>NOVENA</w:t>
      </w:r>
      <w:r w:rsidRPr="00437FF8">
        <w:rPr>
          <w:rFonts w:eastAsia="Palatino Linotype" w:cs="Palatino Linotype"/>
          <w:color w:val="000000"/>
          <w:szCs w:val="24"/>
        </w:rPr>
        <w:t xml:space="preserve"> SESIÓN ORDINARIA CELEBRADA EL </w:t>
      </w:r>
      <w:r w:rsidR="00E90394" w:rsidRPr="00437FF8">
        <w:rPr>
          <w:rFonts w:eastAsia="Palatino Linotype" w:cs="Palatino Linotype"/>
          <w:color w:val="000000"/>
          <w:szCs w:val="24"/>
        </w:rPr>
        <w:t>DIECISÉIS</w:t>
      </w:r>
      <w:r w:rsidR="0087274A" w:rsidRPr="00437FF8">
        <w:rPr>
          <w:rFonts w:eastAsia="Palatino Linotype" w:cs="Palatino Linotype"/>
          <w:color w:val="000000"/>
          <w:szCs w:val="24"/>
        </w:rPr>
        <w:t xml:space="preserve"> DE AGOSTO</w:t>
      </w:r>
      <w:r w:rsidR="00E10ECB" w:rsidRPr="00437FF8">
        <w:rPr>
          <w:rFonts w:eastAsia="Palatino Linotype" w:cs="Palatino Linotype"/>
          <w:color w:val="000000"/>
          <w:szCs w:val="24"/>
        </w:rPr>
        <w:t xml:space="preserve"> DE DOS MIL VEINTITRÉS</w:t>
      </w:r>
      <w:r w:rsidRPr="00437FF8">
        <w:rPr>
          <w:rFonts w:eastAsia="Palatino Linotype" w:cs="Palatino Linotype"/>
          <w:color w:val="000000"/>
          <w:szCs w:val="24"/>
        </w:rPr>
        <w:t>, ANTE EL SECRETARIO TÉCNICO DEL PLENO, ALEXIS TAPIA RAMÍREZ.</w:t>
      </w:r>
      <w:r w:rsidR="008E7C9A" w:rsidRPr="00437FF8">
        <w:rPr>
          <w:rFonts w:eastAsia="Palatino Linotype" w:cs="Palatino Linotype"/>
          <w:color w:val="000000"/>
          <w:szCs w:val="24"/>
        </w:rPr>
        <w:t>--------------</w:t>
      </w:r>
      <w:r w:rsidR="00E90394" w:rsidRPr="00437FF8">
        <w:rPr>
          <w:rFonts w:eastAsia="Palatino Linotype" w:cs="Palatino Linotype"/>
          <w:color w:val="000000"/>
          <w:szCs w:val="24"/>
        </w:rPr>
        <w:t xml:space="preserve"> ----------------------------------------------------------------------------------------------------------------------------------------------------------------------------------------------------------------------------------------------------------------------------------------------------------------------------------------------------------------------------------------------------------------------------------------------------------------------------------------------------------------------------------------------------------------------------------------------------------------------------------------------------------------------------------------------------------------------------------------------------------------------------------------------------------------------------------------------------------------------------------------------------------------------------------------------------------------</w:t>
      </w:r>
    </w:p>
    <w:p w14:paraId="71CF1C22" w14:textId="6630DEC2" w:rsidR="00663A37" w:rsidRPr="008E7C9A" w:rsidRDefault="00663A37" w:rsidP="008E7C9A">
      <w:pPr>
        <w:pBdr>
          <w:top w:val="nil"/>
          <w:left w:val="nil"/>
          <w:bottom w:val="nil"/>
          <w:right w:val="nil"/>
          <w:between w:val="nil"/>
        </w:pBdr>
        <w:contextualSpacing/>
        <w:rPr>
          <w:rFonts w:eastAsia="Palatino Linotype" w:cs="Palatino Linotype"/>
          <w:color w:val="000000"/>
          <w:sz w:val="18"/>
          <w:szCs w:val="18"/>
        </w:rPr>
      </w:pPr>
      <w:r w:rsidRPr="00437FF8">
        <w:rPr>
          <w:rFonts w:eastAsia="Palatino Linotype" w:cs="Palatino Linotype"/>
          <w:color w:val="000000"/>
          <w:sz w:val="18"/>
          <w:szCs w:val="18"/>
        </w:rPr>
        <w:t>JMV/CCR/fzh</w:t>
      </w:r>
      <w:bookmarkStart w:id="1" w:name="_GoBack"/>
      <w:bookmarkEnd w:id="1"/>
    </w:p>
    <w:p w14:paraId="31773D3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3B7403" w:rsidRDefault="00D718B8" w:rsidP="00663A37">
      <w:pPr>
        <w:rPr>
          <w:sz w:val="20"/>
          <w:szCs w:val="20"/>
        </w:rPr>
      </w:pPr>
    </w:p>
    <w:sectPr w:rsidR="00D718B8" w:rsidRPr="003B7403" w:rsidSect="00E668CF">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341F6" w14:textId="77777777" w:rsidR="008D1157" w:rsidRDefault="008D1157" w:rsidP="00F2498E">
      <w:pPr>
        <w:spacing w:line="240" w:lineRule="auto"/>
      </w:pPr>
      <w:r>
        <w:separator/>
      </w:r>
    </w:p>
  </w:endnote>
  <w:endnote w:type="continuationSeparator" w:id="0">
    <w:p w14:paraId="13CAB1AA" w14:textId="77777777" w:rsidR="008D1157" w:rsidRDefault="008D1157"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FB81739"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37FF8">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37FF8">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62E7443"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37FF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37FF8">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9E6F6" w14:textId="77777777" w:rsidR="008D1157" w:rsidRDefault="008D1157" w:rsidP="00F2498E">
      <w:pPr>
        <w:spacing w:line="240" w:lineRule="auto"/>
      </w:pPr>
      <w:r>
        <w:separator/>
      </w:r>
    </w:p>
  </w:footnote>
  <w:footnote w:type="continuationSeparator" w:id="0">
    <w:p w14:paraId="521FA8A7" w14:textId="77777777" w:rsidR="008D1157" w:rsidRDefault="008D1157" w:rsidP="00F2498E">
      <w:pPr>
        <w:spacing w:line="240" w:lineRule="auto"/>
      </w:pPr>
      <w:r>
        <w:continuationSeparator/>
      </w:r>
    </w:p>
  </w:footnote>
  <w:footnote w:id="1">
    <w:p w14:paraId="2FD70861" w14:textId="4FF97600" w:rsidR="00A070D9" w:rsidRPr="00A070D9" w:rsidRDefault="00A070D9">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5FF16DA3" w14:textId="77777777" w:rsidR="00D14A61" w:rsidRPr="00A070D9" w:rsidRDefault="00D14A61" w:rsidP="00A070D9">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C07E23A" w14:textId="77777777" w:rsidR="00D14A61" w:rsidRPr="00A070D9" w:rsidRDefault="00D14A61" w:rsidP="00A070D9">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color w:val="auto"/>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color w:val="auto"/>
            <w:sz w:val="18"/>
            <w:szCs w:val="18"/>
          </w:rPr>
          <w:t>25.1 de la Convención Americana sobre Derechos Humanos</w:t>
        </w:r>
      </w:hyperlink>
      <w:r w:rsidRPr="00A070D9">
        <w:rPr>
          <w:rStyle w:val="Hipervnculo"/>
          <w:i/>
          <w:color w:val="auto"/>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41B45" w:rsidRDefault="00437FF8">
    <w:pPr>
      <w:pStyle w:val="Encabezado"/>
    </w:pPr>
    <w:r>
      <w:rPr>
        <w:noProof/>
        <w:lang w:val="es-MX" w:eastAsia="es-MX"/>
      </w:rPr>
      <w:pict w14:anchorId="4DB19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37B9EBDE" w14:textId="77777777" w:rsidTr="00430CB3">
      <w:trPr>
        <w:trHeight w:val="227"/>
      </w:trPr>
      <w:tc>
        <w:tcPr>
          <w:tcW w:w="5245" w:type="dxa"/>
          <w:hideMark/>
        </w:tcPr>
        <w:p w14:paraId="4964FBC5" w14:textId="54CDA645" w:rsidR="00741B45" w:rsidRPr="00096248" w:rsidRDefault="00741B45"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BADAB80" w:rsidR="00741B45" w:rsidRPr="00096248" w:rsidRDefault="004D766F" w:rsidP="00430CB3">
          <w:pPr>
            <w:spacing w:after="120" w:line="240" w:lineRule="auto"/>
            <w:ind w:right="71"/>
            <w:jc w:val="right"/>
            <w:rPr>
              <w:rFonts w:cs="Arial"/>
              <w:b/>
              <w:szCs w:val="24"/>
            </w:rPr>
          </w:pPr>
          <w:r>
            <w:rPr>
              <w:rFonts w:cs="Arial"/>
              <w:b/>
              <w:bCs/>
              <w:szCs w:val="24"/>
            </w:rPr>
            <w:t>16745</w:t>
          </w:r>
          <w:r w:rsidR="00741B45" w:rsidRPr="00096248">
            <w:rPr>
              <w:rFonts w:cs="Arial"/>
              <w:b/>
              <w:bCs/>
              <w:szCs w:val="24"/>
            </w:rPr>
            <w:t>/INFOEM/</w:t>
          </w:r>
          <w:r>
            <w:rPr>
              <w:rFonts w:cs="Arial"/>
              <w:b/>
              <w:bCs/>
              <w:szCs w:val="24"/>
            </w:rPr>
            <w:t>ICR-89</w:t>
          </w:r>
          <w:r w:rsidR="00741B45">
            <w:rPr>
              <w:rFonts w:cs="Arial"/>
              <w:b/>
              <w:bCs/>
              <w:szCs w:val="24"/>
            </w:rPr>
            <w:t>/IP/RR/2022</w:t>
          </w:r>
        </w:p>
      </w:tc>
    </w:tr>
    <w:tr w:rsidR="00741B45" w14:paraId="7591D3C9" w14:textId="77777777" w:rsidTr="00430CB3">
      <w:trPr>
        <w:trHeight w:val="242"/>
      </w:trPr>
      <w:tc>
        <w:tcPr>
          <w:tcW w:w="5245" w:type="dxa"/>
          <w:hideMark/>
        </w:tcPr>
        <w:p w14:paraId="729A65A8" w14:textId="77777777" w:rsidR="00741B45" w:rsidRPr="00096248" w:rsidRDefault="00741B45"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2281486" w:rsidR="00741B45" w:rsidRPr="00096248" w:rsidRDefault="00741B45" w:rsidP="00E668CF">
          <w:pPr>
            <w:spacing w:after="120" w:line="240" w:lineRule="auto"/>
            <w:ind w:left="-70" w:right="71"/>
            <w:jc w:val="right"/>
            <w:rPr>
              <w:rFonts w:cs="Arial"/>
              <w:szCs w:val="24"/>
            </w:rPr>
          </w:pPr>
          <w:r>
            <w:rPr>
              <w:rFonts w:cs="Arial"/>
              <w:szCs w:val="24"/>
            </w:rPr>
            <w:t>Ayuntamiento de Zinacantepec</w:t>
          </w:r>
        </w:p>
      </w:tc>
    </w:tr>
    <w:tr w:rsidR="00741B45" w:rsidRPr="00F63239" w14:paraId="037E914D" w14:textId="77777777" w:rsidTr="00430CB3">
      <w:trPr>
        <w:trHeight w:val="342"/>
      </w:trPr>
      <w:tc>
        <w:tcPr>
          <w:tcW w:w="5245" w:type="dxa"/>
          <w:hideMark/>
        </w:tcPr>
        <w:p w14:paraId="7676B68F" w14:textId="64D69EAF" w:rsidR="00741B45" w:rsidRPr="00096248" w:rsidRDefault="00741B45"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741B45" w:rsidRPr="00096248" w:rsidRDefault="00741B45" w:rsidP="00430CB3">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97EA8C3" w:rsidR="00741B45" w:rsidRPr="00430CB3" w:rsidRDefault="00437FF8">
    <w:pPr>
      <w:pStyle w:val="Encabezado"/>
      <w:rPr>
        <w:sz w:val="2"/>
        <w:szCs w:val="2"/>
      </w:rPr>
    </w:pPr>
    <w:r>
      <w:rPr>
        <w:noProof/>
        <w:lang w:val="es-MX" w:eastAsia="es-MX"/>
      </w:rPr>
      <w:pict w14:anchorId="7688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3.9pt;margin-top:-150.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0F9FE9B6" w14:textId="77777777" w:rsidTr="00430CB3">
      <w:trPr>
        <w:trHeight w:val="227"/>
      </w:trPr>
      <w:tc>
        <w:tcPr>
          <w:tcW w:w="5245" w:type="dxa"/>
          <w:hideMark/>
        </w:tcPr>
        <w:p w14:paraId="6D1D9D71" w14:textId="11150E5A" w:rsidR="00741B45" w:rsidRPr="00663A37" w:rsidRDefault="00741B45"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8BB837D" w:rsidR="00741B45" w:rsidRPr="00096248" w:rsidRDefault="004D766F" w:rsidP="00430CB3">
          <w:pPr>
            <w:spacing w:after="120" w:line="240" w:lineRule="auto"/>
            <w:ind w:left="-486" w:right="68" w:firstLine="558"/>
            <w:jc w:val="right"/>
            <w:rPr>
              <w:rFonts w:cs="Arial"/>
              <w:b/>
              <w:szCs w:val="24"/>
            </w:rPr>
          </w:pPr>
          <w:r>
            <w:rPr>
              <w:rFonts w:cs="Arial"/>
              <w:b/>
              <w:bCs/>
              <w:szCs w:val="24"/>
            </w:rPr>
            <w:t>16745</w:t>
          </w:r>
          <w:r w:rsidR="00741B45" w:rsidRPr="00096248">
            <w:rPr>
              <w:rFonts w:cs="Arial"/>
              <w:b/>
              <w:bCs/>
              <w:szCs w:val="24"/>
            </w:rPr>
            <w:t>/INFOEM/</w:t>
          </w:r>
          <w:r>
            <w:rPr>
              <w:rFonts w:cs="Arial"/>
              <w:b/>
              <w:bCs/>
              <w:szCs w:val="24"/>
            </w:rPr>
            <w:t>ICR-89</w:t>
          </w:r>
          <w:r w:rsidR="00741B45">
            <w:rPr>
              <w:rFonts w:cs="Arial"/>
              <w:b/>
              <w:bCs/>
              <w:szCs w:val="24"/>
            </w:rPr>
            <w:t>/IP/RR/2022</w:t>
          </w:r>
        </w:p>
      </w:tc>
    </w:tr>
    <w:tr w:rsidR="00741B45" w:rsidRPr="001F57CD" w14:paraId="1377D264" w14:textId="77777777" w:rsidTr="00430CB3">
      <w:trPr>
        <w:trHeight w:val="196"/>
      </w:trPr>
      <w:tc>
        <w:tcPr>
          <w:tcW w:w="5245" w:type="dxa"/>
          <w:hideMark/>
        </w:tcPr>
        <w:p w14:paraId="04D597A1" w14:textId="77777777" w:rsidR="00741B45" w:rsidRPr="00663A37" w:rsidRDefault="00741B45" w:rsidP="00430CB3">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2297FD9" w:rsidR="00741B45" w:rsidRPr="00663A37" w:rsidRDefault="00A851D1" w:rsidP="00430CB3">
          <w:pPr>
            <w:spacing w:after="120" w:line="240" w:lineRule="auto"/>
            <w:ind w:right="68"/>
            <w:jc w:val="right"/>
            <w:rPr>
              <w:rFonts w:cs="Arial"/>
              <w:szCs w:val="24"/>
            </w:rPr>
          </w:pPr>
          <w:r>
            <w:rPr>
              <w:rFonts w:cs="Arial"/>
              <w:szCs w:val="24"/>
            </w:rPr>
            <w:t>XXXX</w:t>
          </w:r>
        </w:p>
      </w:tc>
    </w:tr>
    <w:tr w:rsidR="00741B45" w14:paraId="4DC11993" w14:textId="77777777" w:rsidTr="00430CB3">
      <w:trPr>
        <w:trHeight w:val="242"/>
      </w:trPr>
      <w:tc>
        <w:tcPr>
          <w:tcW w:w="5245" w:type="dxa"/>
          <w:hideMark/>
        </w:tcPr>
        <w:p w14:paraId="76CEF1B5" w14:textId="77777777" w:rsidR="00741B45" w:rsidRPr="00663A37" w:rsidRDefault="00741B45"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9AAF811" w:rsidR="00741B45" w:rsidRPr="00663A37" w:rsidRDefault="00741B45" w:rsidP="00E668CF">
          <w:pPr>
            <w:spacing w:after="120" w:line="240" w:lineRule="auto"/>
            <w:ind w:left="-70" w:right="68"/>
            <w:jc w:val="right"/>
            <w:rPr>
              <w:rFonts w:cs="Arial"/>
              <w:szCs w:val="24"/>
            </w:rPr>
          </w:pPr>
          <w:r>
            <w:rPr>
              <w:rFonts w:cs="Arial"/>
              <w:szCs w:val="24"/>
            </w:rPr>
            <w:t>Ayuntamiento de Zinacantepec</w:t>
          </w:r>
        </w:p>
      </w:tc>
    </w:tr>
    <w:tr w:rsidR="00741B45" w14:paraId="5C2B511D" w14:textId="77777777" w:rsidTr="00430CB3">
      <w:trPr>
        <w:trHeight w:val="342"/>
      </w:trPr>
      <w:tc>
        <w:tcPr>
          <w:tcW w:w="5245" w:type="dxa"/>
          <w:hideMark/>
        </w:tcPr>
        <w:p w14:paraId="03FEF68C" w14:textId="45E91CF4" w:rsidR="00741B45" w:rsidRPr="00663A37" w:rsidRDefault="00741B45"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41B45" w:rsidRPr="00663A37" w:rsidRDefault="00741B45" w:rsidP="00430CB3">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C60370A" w:rsidR="00741B45" w:rsidRPr="00430CB3" w:rsidRDefault="00437FF8">
    <w:pPr>
      <w:pStyle w:val="Encabezado"/>
      <w:rPr>
        <w:sz w:val="2"/>
        <w:szCs w:val="2"/>
      </w:rPr>
    </w:pPr>
    <w:r>
      <w:rPr>
        <w:noProof/>
        <w:lang w:val="es-MX" w:eastAsia="es-MX"/>
      </w:rPr>
      <w:pict w14:anchorId="3C8E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left:0;text-align:left;margin-left:-84.2pt;margin-top:-150.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3"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007831"/>
    <w:multiLevelType w:val="hybridMultilevel"/>
    <w:tmpl w:val="02DAC19A"/>
    <w:lvl w:ilvl="0" w:tplc="F4AC31A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6"/>
  </w:num>
  <w:num w:numId="5">
    <w:abstractNumId w:val="12"/>
  </w:num>
  <w:num w:numId="6">
    <w:abstractNumId w:val="5"/>
  </w:num>
  <w:num w:numId="7">
    <w:abstractNumId w:val="10"/>
  </w:num>
  <w:num w:numId="8">
    <w:abstractNumId w:val="4"/>
  </w:num>
  <w:num w:numId="9">
    <w:abstractNumId w:val="0"/>
  </w:num>
  <w:num w:numId="10">
    <w:abstractNumId w:val="8"/>
  </w:num>
  <w:num w:numId="11">
    <w:abstractNumId w:val="2"/>
  </w:num>
  <w:num w:numId="12">
    <w:abstractNumId w:val="1"/>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6B9F"/>
    <w:rsid w:val="00007857"/>
    <w:rsid w:val="00011306"/>
    <w:rsid w:val="0001151F"/>
    <w:rsid w:val="00011CCA"/>
    <w:rsid w:val="00012BEE"/>
    <w:rsid w:val="00012D78"/>
    <w:rsid w:val="00015487"/>
    <w:rsid w:val="000171BE"/>
    <w:rsid w:val="00021122"/>
    <w:rsid w:val="00021165"/>
    <w:rsid w:val="000218D3"/>
    <w:rsid w:val="00024A6D"/>
    <w:rsid w:val="00026582"/>
    <w:rsid w:val="00031BA3"/>
    <w:rsid w:val="00033479"/>
    <w:rsid w:val="00033562"/>
    <w:rsid w:val="0003590D"/>
    <w:rsid w:val="00035A30"/>
    <w:rsid w:val="00036D5F"/>
    <w:rsid w:val="00036EFC"/>
    <w:rsid w:val="00037EA0"/>
    <w:rsid w:val="00040A10"/>
    <w:rsid w:val="00041670"/>
    <w:rsid w:val="000417BE"/>
    <w:rsid w:val="00041AE7"/>
    <w:rsid w:val="00041DEA"/>
    <w:rsid w:val="00041E2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3A8"/>
    <w:rsid w:val="00064854"/>
    <w:rsid w:val="00065463"/>
    <w:rsid w:val="000666B3"/>
    <w:rsid w:val="00067B27"/>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06B6"/>
    <w:rsid w:val="000B1F27"/>
    <w:rsid w:val="000B28CF"/>
    <w:rsid w:val="000B51CE"/>
    <w:rsid w:val="000B5608"/>
    <w:rsid w:val="000B65C3"/>
    <w:rsid w:val="000C0203"/>
    <w:rsid w:val="000C066A"/>
    <w:rsid w:val="000C0E5D"/>
    <w:rsid w:val="000C2D59"/>
    <w:rsid w:val="000C416A"/>
    <w:rsid w:val="000C472C"/>
    <w:rsid w:val="000C4751"/>
    <w:rsid w:val="000C51AF"/>
    <w:rsid w:val="000C6161"/>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35D"/>
    <w:rsid w:val="0010147E"/>
    <w:rsid w:val="0010183E"/>
    <w:rsid w:val="00101CAE"/>
    <w:rsid w:val="00103C89"/>
    <w:rsid w:val="001050A9"/>
    <w:rsid w:val="00107256"/>
    <w:rsid w:val="001116B7"/>
    <w:rsid w:val="00115495"/>
    <w:rsid w:val="00116E4B"/>
    <w:rsid w:val="00116F6B"/>
    <w:rsid w:val="00121870"/>
    <w:rsid w:val="001235A0"/>
    <w:rsid w:val="00123D0B"/>
    <w:rsid w:val="00125A48"/>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320C"/>
    <w:rsid w:val="002547B2"/>
    <w:rsid w:val="00255316"/>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2EEC"/>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D82"/>
    <w:rsid w:val="002A5FDF"/>
    <w:rsid w:val="002A6FCE"/>
    <w:rsid w:val="002A7501"/>
    <w:rsid w:val="002B0EA1"/>
    <w:rsid w:val="002B100D"/>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524"/>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552"/>
    <w:rsid w:val="00345687"/>
    <w:rsid w:val="00345708"/>
    <w:rsid w:val="00346373"/>
    <w:rsid w:val="003467CD"/>
    <w:rsid w:val="003505B2"/>
    <w:rsid w:val="0035063B"/>
    <w:rsid w:val="003514F6"/>
    <w:rsid w:val="00352677"/>
    <w:rsid w:val="00355E39"/>
    <w:rsid w:val="0036188D"/>
    <w:rsid w:val="00362013"/>
    <w:rsid w:val="00364C0A"/>
    <w:rsid w:val="00367D62"/>
    <w:rsid w:val="003713C2"/>
    <w:rsid w:val="0037172A"/>
    <w:rsid w:val="0037269A"/>
    <w:rsid w:val="0037526D"/>
    <w:rsid w:val="003839F9"/>
    <w:rsid w:val="00385421"/>
    <w:rsid w:val="00386A48"/>
    <w:rsid w:val="00387CF3"/>
    <w:rsid w:val="0039175E"/>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3D9"/>
    <w:rsid w:val="003B1752"/>
    <w:rsid w:val="003B3474"/>
    <w:rsid w:val="003B5841"/>
    <w:rsid w:val="003B595A"/>
    <w:rsid w:val="003B7208"/>
    <w:rsid w:val="003B7403"/>
    <w:rsid w:val="003B7A9D"/>
    <w:rsid w:val="003C1100"/>
    <w:rsid w:val="003C1CFB"/>
    <w:rsid w:val="003C1DE6"/>
    <w:rsid w:val="003C4A5B"/>
    <w:rsid w:val="003C4FF5"/>
    <w:rsid w:val="003D0AE2"/>
    <w:rsid w:val="003D15AF"/>
    <w:rsid w:val="003D3477"/>
    <w:rsid w:val="003D5450"/>
    <w:rsid w:val="003D7760"/>
    <w:rsid w:val="003E13A1"/>
    <w:rsid w:val="003E255C"/>
    <w:rsid w:val="003E2955"/>
    <w:rsid w:val="003E44DA"/>
    <w:rsid w:val="003E468A"/>
    <w:rsid w:val="003E6E17"/>
    <w:rsid w:val="003F2491"/>
    <w:rsid w:val="003F308A"/>
    <w:rsid w:val="003F5D5C"/>
    <w:rsid w:val="003F6192"/>
    <w:rsid w:val="003F78BE"/>
    <w:rsid w:val="00400915"/>
    <w:rsid w:val="00400AFE"/>
    <w:rsid w:val="0040176F"/>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0CB3"/>
    <w:rsid w:val="004310BB"/>
    <w:rsid w:val="004338C7"/>
    <w:rsid w:val="00433E65"/>
    <w:rsid w:val="00434C3F"/>
    <w:rsid w:val="00437FF8"/>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95947"/>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D766F"/>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6C3"/>
    <w:rsid w:val="00516A4D"/>
    <w:rsid w:val="00521628"/>
    <w:rsid w:val="0052214D"/>
    <w:rsid w:val="0052348F"/>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2CC6"/>
    <w:rsid w:val="005B52A0"/>
    <w:rsid w:val="005B6FFD"/>
    <w:rsid w:val="005B72D5"/>
    <w:rsid w:val="005C196C"/>
    <w:rsid w:val="005C3DF3"/>
    <w:rsid w:val="005C5501"/>
    <w:rsid w:val="005C7AFE"/>
    <w:rsid w:val="005D01B4"/>
    <w:rsid w:val="005D10B3"/>
    <w:rsid w:val="005D158D"/>
    <w:rsid w:val="005D22BC"/>
    <w:rsid w:val="005D3A5F"/>
    <w:rsid w:val="005D6CE0"/>
    <w:rsid w:val="005E0AF8"/>
    <w:rsid w:val="005E10A5"/>
    <w:rsid w:val="005E1AEC"/>
    <w:rsid w:val="005E21DE"/>
    <w:rsid w:val="005E24C2"/>
    <w:rsid w:val="005E34E9"/>
    <w:rsid w:val="005E35AB"/>
    <w:rsid w:val="005F1439"/>
    <w:rsid w:val="005F21B0"/>
    <w:rsid w:val="005F4D3D"/>
    <w:rsid w:val="005F5B10"/>
    <w:rsid w:val="005F6CAB"/>
    <w:rsid w:val="006010B5"/>
    <w:rsid w:val="0060244C"/>
    <w:rsid w:val="00606938"/>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38CE"/>
    <w:rsid w:val="006468ED"/>
    <w:rsid w:val="006512F6"/>
    <w:rsid w:val="00653B0F"/>
    <w:rsid w:val="0065452C"/>
    <w:rsid w:val="0065599C"/>
    <w:rsid w:val="006609B3"/>
    <w:rsid w:val="00660E52"/>
    <w:rsid w:val="0066148E"/>
    <w:rsid w:val="00661B3F"/>
    <w:rsid w:val="006621E6"/>
    <w:rsid w:val="006625F9"/>
    <w:rsid w:val="0066278C"/>
    <w:rsid w:val="00663A37"/>
    <w:rsid w:val="00664BB4"/>
    <w:rsid w:val="00665A8F"/>
    <w:rsid w:val="00667860"/>
    <w:rsid w:val="00670215"/>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6BAC"/>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E94"/>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BAC"/>
    <w:rsid w:val="00723C6D"/>
    <w:rsid w:val="0072514D"/>
    <w:rsid w:val="00725C5A"/>
    <w:rsid w:val="00725EA6"/>
    <w:rsid w:val="00725EE9"/>
    <w:rsid w:val="007263E6"/>
    <w:rsid w:val="007264EA"/>
    <w:rsid w:val="00726F49"/>
    <w:rsid w:val="00732AB3"/>
    <w:rsid w:val="007332CF"/>
    <w:rsid w:val="00736F47"/>
    <w:rsid w:val="00737773"/>
    <w:rsid w:val="00740DFE"/>
    <w:rsid w:val="007410C2"/>
    <w:rsid w:val="007411F0"/>
    <w:rsid w:val="00741B45"/>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56D1"/>
    <w:rsid w:val="007A0DC1"/>
    <w:rsid w:val="007A19E0"/>
    <w:rsid w:val="007A1AB6"/>
    <w:rsid w:val="007A23F8"/>
    <w:rsid w:val="007A2D52"/>
    <w:rsid w:val="007A550A"/>
    <w:rsid w:val="007A5534"/>
    <w:rsid w:val="007A5B2E"/>
    <w:rsid w:val="007A5C18"/>
    <w:rsid w:val="007A7197"/>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0D4"/>
    <w:rsid w:val="00814191"/>
    <w:rsid w:val="00814827"/>
    <w:rsid w:val="00816C5A"/>
    <w:rsid w:val="00817678"/>
    <w:rsid w:val="0082049D"/>
    <w:rsid w:val="008217BC"/>
    <w:rsid w:val="00822BA1"/>
    <w:rsid w:val="00824E58"/>
    <w:rsid w:val="00826C36"/>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74A"/>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1157"/>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18A"/>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625"/>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0D9"/>
    <w:rsid w:val="00A07CA6"/>
    <w:rsid w:val="00A12981"/>
    <w:rsid w:val="00A14320"/>
    <w:rsid w:val="00A145AC"/>
    <w:rsid w:val="00A151A5"/>
    <w:rsid w:val="00A15263"/>
    <w:rsid w:val="00A15E74"/>
    <w:rsid w:val="00A164FB"/>
    <w:rsid w:val="00A16BEA"/>
    <w:rsid w:val="00A175E5"/>
    <w:rsid w:val="00A17EA1"/>
    <w:rsid w:val="00A17EDF"/>
    <w:rsid w:val="00A24F60"/>
    <w:rsid w:val="00A254EA"/>
    <w:rsid w:val="00A26D78"/>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1752"/>
    <w:rsid w:val="00A821AF"/>
    <w:rsid w:val="00A844B8"/>
    <w:rsid w:val="00A851D1"/>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1ED8"/>
    <w:rsid w:val="00AC38A9"/>
    <w:rsid w:val="00AC4BF6"/>
    <w:rsid w:val="00AC6797"/>
    <w:rsid w:val="00AC6A7A"/>
    <w:rsid w:val="00AC6F68"/>
    <w:rsid w:val="00AD124D"/>
    <w:rsid w:val="00AD1EAE"/>
    <w:rsid w:val="00AD2280"/>
    <w:rsid w:val="00AD4839"/>
    <w:rsid w:val="00AD76EF"/>
    <w:rsid w:val="00AE12BA"/>
    <w:rsid w:val="00AE19D1"/>
    <w:rsid w:val="00AE25BF"/>
    <w:rsid w:val="00AE2666"/>
    <w:rsid w:val="00AE5D09"/>
    <w:rsid w:val="00AF4EE4"/>
    <w:rsid w:val="00B0036F"/>
    <w:rsid w:val="00B00C8E"/>
    <w:rsid w:val="00B02AA5"/>
    <w:rsid w:val="00B04F50"/>
    <w:rsid w:val="00B1073D"/>
    <w:rsid w:val="00B10DFB"/>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AD4"/>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2EC"/>
    <w:rsid w:val="00B913B2"/>
    <w:rsid w:val="00B9279C"/>
    <w:rsid w:val="00B934BE"/>
    <w:rsid w:val="00B9576A"/>
    <w:rsid w:val="00B962BB"/>
    <w:rsid w:val="00BA2570"/>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49E"/>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08CA"/>
    <w:rsid w:val="00BF5569"/>
    <w:rsid w:val="00BF5945"/>
    <w:rsid w:val="00BF6362"/>
    <w:rsid w:val="00C009C1"/>
    <w:rsid w:val="00C01B8A"/>
    <w:rsid w:val="00C01FED"/>
    <w:rsid w:val="00C03B18"/>
    <w:rsid w:val="00C05398"/>
    <w:rsid w:val="00C056BE"/>
    <w:rsid w:val="00C06182"/>
    <w:rsid w:val="00C06249"/>
    <w:rsid w:val="00C07B7F"/>
    <w:rsid w:val="00C07EC8"/>
    <w:rsid w:val="00C10243"/>
    <w:rsid w:val="00C124DC"/>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B4F"/>
    <w:rsid w:val="00C65918"/>
    <w:rsid w:val="00C65FA7"/>
    <w:rsid w:val="00C72AF4"/>
    <w:rsid w:val="00C72F35"/>
    <w:rsid w:val="00C73ED0"/>
    <w:rsid w:val="00C74F2A"/>
    <w:rsid w:val="00C76946"/>
    <w:rsid w:val="00C76CD4"/>
    <w:rsid w:val="00C77686"/>
    <w:rsid w:val="00C80B05"/>
    <w:rsid w:val="00C81AD2"/>
    <w:rsid w:val="00C81CD7"/>
    <w:rsid w:val="00C83AEC"/>
    <w:rsid w:val="00C84348"/>
    <w:rsid w:val="00C8742E"/>
    <w:rsid w:val="00C90FC8"/>
    <w:rsid w:val="00C93192"/>
    <w:rsid w:val="00C9443B"/>
    <w:rsid w:val="00C94A71"/>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98C"/>
    <w:rsid w:val="00D11A35"/>
    <w:rsid w:val="00D11E06"/>
    <w:rsid w:val="00D1224D"/>
    <w:rsid w:val="00D1259C"/>
    <w:rsid w:val="00D13846"/>
    <w:rsid w:val="00D14A61"/>
    <w:rsid w:val="00D16D19"/>
    <w:rsid w:val="00D20835"/>
    <w:rsid w:val="00D20D52"/>
    <w:rsid w:val="00D20EF6"/>
    <w:rsid w:val="00D219AA"/>
    <w:rsid w:val="00D21D01"/>
    <w:rsid w:val="00D2237A"/>
    <w:rsid w:val="00D24BD1"/>
    <w:rsid w:val="00D2588A"/>
    <w:rsid w:val="00D25B60"/>
    <w:rsid w:val="00D26217"/>
    <w:rsid w:val="00D26522"/>
    <w:rsid w:val="00D277DA"/>
    <w:rsid w:val="00D278F0"/>
    <w:rsid w:val="00D338DB"/>
    <w:rsid w:val="00D3511F"/>
    <w:rsid w:val="00D36BE0"/>
    <w:rsid w:val="00D36DB6"/>
    <w:rsid w:val="00D3752B"/>
    <w:rsid w:val="00D40470"/>
    <w:rsid w:val="00D41147"/>
    <w:rsid w:val="00D4515E"/>
    <w:rsid w:val="00D4521D"/>
    <w:rsid w:val="00D45819"/>
    <w:rsid w:val="00D46397"/>
    <w:rsid w:val="00D47793"/>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446"/>
    <w:rsid w:val="00D95B37"/>
    <w:rsid w:val="00D96D06"/>
    <w:rsid w:val="00D979CF"/>
    <w:rsid w:val="00DA0B8F"/>
    <w:rsid w:val="00DA1F2A"/>
    <w:rsid w:val="00DA432C"/>
    <w:rsid w:val="00DA5452"/>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6CBF"/>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ECB"/>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B05"/>
    <w:rsid w:val="00E55C26"/>
    <w:rsid w:val="00E55EA0"/>
    <w:rsid w:val="00E600CD"/>
    <w:rsid w:val="00E62EF4"/>
    <w:rsid w:val="00E65521"/>
    <w:rsid w:val="00E6674B"/>
    <w:rsid w:val="00E668CF"/>
    <w:rsid w:val="00E67455"/>
    <w:rsid w:val="00E701AC"/>
    <w:rsid w:val="00E719E2"/>
    <w:rsid w:val="00E730F3"/>
    <w:rsid w:val="00E74E57"/>
    <w:rsid w:val="00E75386"/>
    <w:rsid w:val="00E758A1"/>
    <w:rsid w:val="00E76832"/>
    <w:rsid w:val="00E77015"/>
    <w:rsid w:val="00E77017"/>
    <w:rsid w:val="00E807E8"/>
    <w:rsid w:val="00E80AD6"/>
    <w:rsid w:val="00E8267D"/>
    <w:rsid w:val="00E83C17"/>
    <w:rsid w:val="00E844ED"/>
    <w:rsid w:val="00E8653F"/>
    <w:rsid w:val="00E86C05"/>
    <w:rsid w:val="00E86CEC"/>
    <w:rsid w:val="00E90394"/>
    <w:rsid w:val="00E90C8F"/>
    <w:rsid w:val="00E91006"/>
    <w:rsid w:val="00E92106"/>
    <w:rsid w:val="00E92204"/>
    <w:rsid w:val="00E93F35"/>
    <w:rsid w:val="00E95A66"/>
    <w:rsid w:val="00EA4C1F"/>
    <w:rsid w:val="00EA5B2B"/>
    <w:rsid w:val="00EA7EA7"/>
    <w:rsid w:val="00EB0AFA"/>
    <w:rsid w:val="00EB2BE8"/>
    <w:rsid w:val="00EB3FD5"/>
    <w:rsid w:val="00EB4897"/>
    <w:rsid w:val="00EB5F05"/>
    <w:rsid w:val="00EB6329"/>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119"/>
    <w:rsid w:val="00EF6F58"/>
    <w:rsid w:val="00EF7935"/>
    <w:rsid w:val="00F01526"/>
    <w:rsid w:val="00F023A7"/>
    <w:rsid w:val="00F039E2"/>
    <w:rsid w:val="00F04A95"/>
    <w:rsid w:val="00F058D3"/>
    <w:rsid w:val="00F11FF3"/>
    <w:rsid w:val="00F12F4D"/>
    <w:rsid w:val="00F12FB0"/>
    <w:rsid w:val="00F16039"/>
    <w:rsid w:val="00F17845"/>
    <w:rsid w:val="00F20BC5"/>
    <w:rsid w:val="00F20DCF"/>
    <w:rsid w:val="00F211C7"/>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363"/>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BA1"/>
    <w:rsid w:val="00FB4E64"/>
    <w:rsid w:val="00FB6398"/>
    <w:rsid w:val="00FC16AB"/>
    <w:rsid w:val="00FC3FBD"/>
    <w:rsid w:val="00FC4A6C"/>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D31D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C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3E255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3E255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8B8D-AE54-41ED-B01D-004EEE48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4853</Words>
  <Characters>26692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2023-08-08T19:32:00Z</dcterms:created>
  <dcterms:modified xsi:type="dcterms:W3CDTF">2023-10-10T22:59:00Z</dcterms:modified>
</cp:coreProperties>
</file>