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C0C" w14:textId="546C4B8F"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 xml:space="preserve">a </w:t>
      </w:r>
      <w:r w:rsidR="00611138">
        <w:rPr>
          <w:rFonts w:eastAsia="Palatino Linotype" w:cs="Palatino Linotype"/>
          <w:color w:val="000000"/>
          <w:szCs w:val="24"/>
        </w:rPr>
        <w:t xml:space="preserve">tres de octubre </w:t>
      </w:r>
      <w:r w:rsidR="006C7E69" w:rsidRPr="00875B7E">
        <w:rPr>
          <w:rFonts w:eastAsia="Palatino Linotype" w:cs="Palatino Linotype"/>
          <w:color w:val="000000"/>
          <w:szCs w:val="24"/>
        </w:rPr>
        <w:t>de dos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5D0C098"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762F92">
        <w:rPr>
          <w:rFonts w:eastAsia="Palatino Linotype" w:cs="Palatino Linotype"/>
          <w:b/>
          <w:color w:val="000000"/>
          <w:szCs w:val="24"/>
        </w:rPr>
        <w:t>01355</w:t>
      </w:r>
      <w:r w:rsidR="008D4CC6">
        <w:rPr>
          <w:rFonts w:eastAsia="Palatino Linotype" w:cs="Palatino Linotype"/>
          <w:b/>
          <w:color w:val="000000"/>
          <w:szCs w:val="24"/>
        </w:rPr>
        <w:t>/INFOEM/IP/RR/2023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C02A50">
        <w:rPr>
          <w:rFonts w:eastAsia="Palatino Linotype" w:cs="Palatino Linotype"/>
          <w:color w:val="000000"/>
          <w:szCs w:val="24"/>
        </w:rPr>
        <w:t>l</w:t>
      </w:r>
      <w:r w:rsidR="00762F92">
        <w:rPr>
          <w:rFonts w:eastAsia="Palatino Linotype" w:cs="Palatino Linotype"/>
          <w:color w:val="000000"/>
          <w:szCs w:val="24"/>
        </w:rPr>
        <w:t>a</w:t>
      </w:r>
      <w:r w:rsidR="00C02A50">
        <w:rPr>
          <w:rFonts w:eastAsia="Palatino Linotype" w:cs="Palatino Linotype"/>
          <w:color w:val="000000"/>
          <w:szCs w:val="24"/>
        </w:rPr>
        <w:t xml:space="preserve"> C. </w:t>
      </w:r>
      <w:r w:rsidR="00B9709C">
        <w:rPr>
          <w:rFonts w:eastAsia="Palatino Linotype" w:cs="Palatino Linotype"/>
          <w:b/>
          <w:color w:val="000000"/>
          <w:szCs w:val="24"/>
        </w:rPr>
        <w:t>XXXX</w:t>
      </w:r>
      <w:r w:rsidR="00B54BC7" w:rsidRPr="00875B7E">
        <w:rPr>
          <w:rFonts w:eastAsia="Palatino Linotype" w:cs="Palatino Linotype"/>
          <w:color w:val="000000"/>
          <w:szCs w:val="24"/>
        </w:rPr>
        <w:t xml:space="preserve">, en lo sucesivo </w:t>
      </w:r>
      <w:r w:rsidR="008E5682" w:rsidRPr="00875B7E">
        <w:rPr>
          <w:rFonts w:eastAsia="Palatino Linotype" w:cs="Palatino Linotype"/>
          <w:color w:val="000000"/>
          <w:szCs w:val="24"/>
        </w:rPr>
        <w:t>l</w:t>
      </w:r>
      <w:r w:rsidR="00762F92">
        <w:rPr>
          <w:rFonts w:eastAsia="Palatino Linotype" w:cs="Palatino Linotype"/>
          <w:color w:val="000000"/>
          <w:szCs w:val="24"/>
        </w:rPr>
        <w:t>a</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5B3068">
        <w:rPr>
          <w:rFonts w:eastAsia="Palatino Linotype" w:cs="Palatino Linotype"/>
          <w:color w:val="000000"/>
          <w:szCs w:val="24"/>
        </w:rPr>
        <w:t xml:space="preserve"> </w:t>
      </w:r>
      <w:r w:rsidR="00FF35B6" w:rsidRPr="00875B7E">
        <w:rPr>
          <w:rFonts w:eastAsia="Palatino Linotype" w:cs="Palatino Linotype"/>
          <w:color w:val="000000"/>
          <w:szCs w:val="24"/>
        </w:rPr>
        <w:t>l</w:t>
      </w:r>
      <w:r w:rsidR="005B3068">
        <w:rPr>
          <w:rFonts w:eastAsia="Palatino Linotype" w:cs="Palatino Linotype"/>
          <w:color w:val="000000"/>
          <w:szCs w:val="24"/>
        </w:rPr>
        <w:t>a</w:t>
      </w:r>
      <w:r w:rsidRPr="00875B7E">
        <w:rPr>
          <w:rFonts w:eastAsia="Palatino Linotype" w:cs="Palatino Linotype"/>
          <w:color w:val="000000"/>
          <w:szCs w:val="24"/>
        </w:rPr>
        <w:t xml:space="preserve"> </w:t>
      </w:r>
      <w:r w:rsidR="00762F92" w:rsidRPr="00762F92">
        <w:rPr>
          <w:rFonts w:eastAsia="Palatino Linotype" w:cs="Palatino Linotype"/>
          <w:b/>
          <w:color w:val="000000"/>
          <w:szCs w:val="24"/>
        </w:rPr>
        <w:t>Secretaría de Cultura y Turismo</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E2053C2" w14:textId="77777777"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098603B2" w14:textId="77777777" w:rsidR="008E24B6" w:rsidRPr="00875B7E"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26397BD6"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762F92">
        <w:rPr>
          <w:rFonts w:eastAsia="Palatino Linotype" w:cs="Palatino Linotype"/>
          <w:color w:val="000000"/>
          <w:szCs w:val="24"/>
        </w:rPr>
        <w:t xml:space="preserve">veintidós de febrero </w:t>
      </w:r>
      <w:r w:rsidR="00C02A50">
        <w:rPr>
          <w:rFonts w:eastAsia="Palatino Linotype" w:cs="Palatino Linotype"/>
          <w:color w:val="000000"/>
          <w:szCs w:val="24"/>
        </w:rPr>
        <w:t>de dos mil veintidós</w:t>
      </w:r>
      <w:r w:rsidR="00762F92">
        <w:rPr>
          <w:rFonts w:eastAsia="Palatino Linotype" w:cs="Palatino Linotype"/>
          <w:color w:val="000000"/>
          <w:szCs w:val="24"/>
        </w:rPr>
        <w:t xml:space="preserve">, </w:t>
      </w:r>
      <w:r w:rsidR="00430C63">
        <w:rPr>
          <w:rFonts w:eastAsia="Palatino Linotype" w:cs="Palatino Linotype"/>
          <w:color w:val="000000"/>
          <w:szCs w:val="24"/>
        </w:rPr>
        <w:t>l</w:t>
      </w:r>
      <w:r w:rsidR="00762F92">
        <w:rPr>
          <w:rFonts w:eastAsia="Palatino Linotype" w:cs="Palatino Linotype"/>
          <w:color w:val="000000"/>
          <w:szCs w:val="24"/>
        </w:rPr>
        <w:t>a</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762F92" w:rsidRPr="00762F92">
        <w:rPr>
          <w:rFonts w:eastAsia="Palatino Linotype" w:cs="Palatino Linotype"/>
          <w:b/>
          <w:bCs/>
          <w:color w:val="000000"/>
          <w:szCs w:val="24"/>
        </w:rPr>
        <w:t>00049/SCTUR/IP/2023</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91FB7BB" w:rsidR="00A970D5" w:rsidRPr="008E24B6" w:rsidRDefault="00A970D5" w:rsidP="008E24B6">
      <w:pPr>
        <w:pStyle w:val="Fundamentos"/>
      </w:pPr>
      <w:r w:rsidRPr="008E24B6">
        <w:t>“</w:t>
      </w:r>
      <w:r w:rsidR="00762F92" w:rsidRPr="00762F92">
        <w:t>Solicito información acerca del por qué durante la administración de la C. Marcela González Salas se ha suspendido el Programa de Estímulo a la Creación y al Desarrollo Artístico para el Estado de México.</w:t>
      </w:r>
      <w:r w:rsidRPr="008E24B6">
        <w:t xml:space="preserve">” </w:t>
      </w:r>
      <w:r w:rsidR="00D7260C" w:rsidRPr="008E24B6">
        <w:t>(</w:t>
      </w:r>
      <w:r w:rsidRPr="008E24B6">
        <w:t>Sic</w:t>
      </w:r>
      <w:r w:rsidR="00D7260C" w:rsidRPr="008E24B6">
        <w:t>)</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1AEDC68E" w14:textId="12CE92E9" w:rsidR="00A970D5" w:rsidRPr="006922F5" w:rsidRDefault="008E24B6"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12036F6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AA6C98">
        <w:rPr>
          <w:rFonts w:eastAsia="Palatino Linotype" w:cs="Palatino Linotype"/>
          <w:color w:val="000000"/>
          <w:szCs w:val="24"/>
        </w:rPr>
        <w:t xml:space="preserve"> </w:t>
      </w:r>
      <w:r w:rsidR="00762F92">
        <w:rPr>
          <w:rFonts w:eastAsia="Palatino Linotype" w:cs="Palatino Linotype"/>
          <w:color w:val="000000"/>
          <w:szCs w:val="24"/>
        </w:rPr>
        <w:t>nueve de marzo de dos mil veintitré</w:t>
      </w:r>
      <w:r w:rsidR="00C02A50">
        <w:rPr>
          <w:rFonts w:eastAsia="Palatino Linotype" w:cs="Palatino Linotype"/>
          <w:color w:val="000000"/>
          <w:szCs w:val="24"/>
        </w:rPr>
        <w:t>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9279EC" w:rsidRDefault="00A970D5" w:rsidP="006922F5">
      <w:pPr>
        <w:pBdr>
          <w:top w:val="nil"/>
          <w:left w:val="nil"/>
          <w:bottom w:val="nil"/>
          <w:right w:val="nil"/>
          <w:between w:val="nil"/>
        </w:pBdr>
        <w:contextualSpacing/>
        <w:rPr>
          <w:rFonts w:eastAsia="Palatino Linotype" w:cs="Palatino Linotype"/>
          <w:color w:val="000000"/>
          <w:sz w:val="21"/>
          <w:szCs w:val="21"/>
        </w:rPr>
      </w:pPr>
    </w:p>
    <w:p w14:paraId="4EBC0B7C" w14:textId="77777777" w:rsidR="00762F92" w:rsidRPr="00762F92" w:rsidRDefault="00A970D5" w:rsidP="00762F92">
      <w:pPr>
        <w:pStyle w:val="Fundamentos"/>
        <w:jc w:val="right"/>
        <w:rPr>
          <w:sz w:val="24"/>
        </w:rPr>
      </w:pPr>
      <w:r w:rsidRPr="00762F92">
        <w:rPr>
          <w:sz w:val="24"/>
        </w:rPr>
        <w:t>“</w:t>
      </w:r>
      <w:r w:rsidR="00762F92" w:rsidRPr="00762F92">
        <w:rPr>
          <w:sz w:val="24"/>
        </w:rPr>
        <w:t>Folio de la solicitud: 00049/SCTUR/IP/2023</w:t>
      </w:r>
    </w:p>
    <w:p w14:paraId="72176683" w14:textId="77777777" w:rsidR="00762F92" w:rsidRPr="00762F92" w:rsidRDefault="00762F92" w:rsidP="00762F92">
      <w:pPr>
        <w:pStyle w:val="Fundamentos"/>
        <w:rPr>
          <w:sz w:val="24"/>
        </w:rPr>
      </w:pPr>
    </w:p>
    <w:p w14:paraId="1F116C64" w14:textId="77777777" w:rsidR="00762F92" w:rsidRPr="00762F92" w:rsidRDefault="00762F92" w:rsidP="00762F92">
      <w:pPr>
        <w:pStyle w:val="Fundamentos"/>
        <w:rPr>
          <w:sz w:val="24"/>
        </w:rPr>
      </w:pPr>
      <w:r w:rsidRPr="00762F92">
        <w:rPr>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C493EC" w14:textId="77777777" w:rsidR="00762F92" w:rsidRPr="00762F92" w:rsidRDefault="00762F92" w:rsidP="00762F92">
      <w:pPr>
        <w:pStyle w:val="Fundamentos"/>
        <w:rPr>
          <w:sz w:val="24"/>
        </w:rPr>
      </w:pPr>
    </w:p>
    <w:p w14:paraId="7A77F1B8" w14:textId="77777777" w:rsidR="00762F92" w:rsidRPr="00762F92" w:rsidRDefault="00762F92" w:rsidP="00762F92">
      <w:pPr>
        <w:pStyle w:val="Fundamentos"/>
        <w:rPr>
          <w:sz w:val="24"/>
        </w:rPr>
      </w:pPr>
      <w:r w:rsidRPr="00762F92">
        <w:rPr>
          <w:sz w:val="24"/>
        </w:rPr>
        <w:t>En atención a su solicitud de información 00049/SCTUR/IP/2023, hago de su conocimiento que con fundamento en el artículo 12 y 59 Fracciones: I, II y VI de la Ley de Transparencia y Acceso a la Información Pública del Estado de México y Municipios, que establece: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En razón de lo anterior, y a efecto de dar respuesta a: “Solicito información acerca del por qué durante la administración de la C. Marcela González Salas se ha suspendido el Programa de Estímulo a la Creación y al Desarrollo Artístico para el Estado de México”; hago de su conocimiento que la Secretaría de Cultura del Gobierno Federal, dejó de operar el programa antes referido; se anexa liga, en el que se publicó el DECRETO por el que se ordena la extinción o terminación de los fideicomisos públicos, mandatos públicos y análogos. https://www.dof.gob.mx/nota_detalle.php?codigo=5591085&amp;fecha=02/04/2020#gsc.tab=0</w:t>
      </w:r>
    </w:p>
    <w:p w14:paraId="3E6B809A" w14:textId="77777777" w:rsidR="00762F92" w:rsidRPr="00762F92" w:rsidRDefault="00762F92" w:rsidP="00762F92">
      <w:pPr>
        <w:pStyle w:val="Fundamentos"/>
        <w:rPr>
          <w:sz w:val="24"/>
        </w:rPr>
      </w:pPr>
    </w:p>
    <w:p w14:paraId="6681254A" w14:textId="77777777" w:rsidR="00762F92" w:rsidRPr="00762F92" w:rsidRDefault="00762F92" w:rsidP="00762F92">
      <w:pPr>
        <w:pStyle w:val="Fundamentos"/>
        <w:rPr>
          <w:sz w:val="24"/>
        </w:rPr>
      </w:pPr>
      <w:r w:rsidRPr="00762F92">
        <w:rPr>
          <w:sz w:val="24"/>
        </w:rPr>
        <w:t>ATENTAMENTE</w:t>
      </w:r>
    </w:p>
    <w:p w14:paraId="3FE4A9EF" w14:textId="0380750F" w:rsidR="00A970D5" w:rsidRPr="00762F92" w:rsidRDefault="00762F92" w:rsidP="00762F92">
      <w:pPr>
        <w:pStyle w:val="Fundamentos"/>
        <w:rPr>
          <w:sz w:val="24"/>
          <w:lang w:val="es-MX"/>
        </w:rPr>
      </w:pPr>
      <w:r w:rsidRPr="00762F92">
        <w:rPr>
          <w:sz w:val="24"/>
        </w:rPr>
        <w:t>M.A.P. DAVID TÁGANO JUÁREZ</w:t>
      </w:r>
      <w:r w:rsidR="00A970D5" w:rsidRPr="00762F92">
        <w:rPr>
          <w:sz w:val="24"/>
          <w:lang w:val="es-MX"/>
        </w:rPr>
        <w:t>” (Sic)</w:t>
      </w:r>
    </w:p>
    <w:p w14:paraId="0328E392" w14:textId="6B1FB6F7" w:rsidR="0037112D" w:rsidRPr="0037112D" w:rsidRDefault="0037112D" w:rsidP="00AA6C98">
      <w:pPr>
        <w:pBdr>
          <w:top w:val="nil"/>
          <w:left w:val="nil"/>
          <w:bottom w:val="nil"/>
          <w:right w:val="nil"/>
          <w:between w:val="nil"/>
        </w:pBdr>
        <w:contextualSpacing/>
        <w:rPr>
          <w:rFonts w:eastAsia="Palatino Linotype" w:cs="Palatino Linotype"/>
          <w:b/>
          <w:bCs/>
          <w:color w:val="000000"/>
          <w:szCs w:val="24"/>
        </w:rPr>
      </w:pPr>
    </w:p>
    <w:p w14:paraId="58FA11DD" w14:textId="6203C675" w:rsidR="00A970D5" w:rsidRPr="006922F5" w:rsidRDefault="008E24B6" w:rsidP="006922F5">
      <w:pPr>
        <w:pStyle w:val="Ttulo2"/>
        <w:rPr>
          <w:rFonts w:eastAsia="Palatino Linotype"/>
        </w:rPr>
      </w:pPr>
      <w:r>
        <w:rPr>
          <w:rFonts w:eastAsia="Palatino Linotype"/>
        </w:rPr>
        <w:lastRenderedPageBreak/>
        <w:t>TERCERO</w:t>
      </w:r>
      <w:r w:rsidR="00A970D5" w:rsidRPr="006922F5">
        <w:rPr>
          <w:rFonts w:eastAsia="Palatino Linotype"/>
        </w:rPr>
        <w:t>. Del recurso de revisión.</w:t>
      </w:r>
    </w:p>
    <w:p w14:paraId="0C8C3A2F" w14:textId="651D69D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762F92">
        <w:rPr>
          <w:rFonts w:eastAsia="Palatino Linotype" w:cs="Palatino Linotype"/>
          <w:color w:val="000000"/>
          <w:szCs w:val="24"/>
        </w:rPr>
        <w:t xml:space="preserve">catorce de marzo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w:t>
      </w:r>
      <w:r w:rsidR="00E05F1C">
        <w:rPr>
          <w:rFonts w:eastAsia="Palatino Linotype" w:cs="Palatino Linotype"/>
          <w:color w:val="000000"/>
          <w:szCs w:val="24"/>
        </w:rPr>
        <w:t xml:space="preserve">en el SAIMEX </w:t>
      </w:r>
      <w:r w:rsidRPr="006922F5">
        <w:rPr>
          <w:rFonts w:eastAsia="Palatino Linotype" w:cs="Palatino Linotype"/>
          <w:color w:val="000000"/>
          <w:szCs w:val="24"/>
        </w:rPr>
        <w:t xml:space="preserve">con el expediente número </w:t>
      </w:r>
      <w:r w:rsidR="00762F92">
        <w:rPr>
          <w:rFonts w:eastAsia="Palatino Linotype" w:cs="Palatino Linotype"/>
          <w:b/>
          <w:color w:val="000000"/>
          <w:szCs w:val="24"/>
        </w:rPr>
        <w:t>01355</w:t>
      </w:r>
      <w:r w:rsidR="008D4CC6">
        <w:rPr>
          <w:rFonts w:eastAsia="Palatino Linotype" w:cs="Palatino Linotype"/>
          <w:b/>
          <w:color w:val="000000"/>
          <w:szCs w:val="24"/>
        </w:rPr>
        <w:t>/INFOEM/IP/RR/202</w:t>
      </w:r>
      <w:r w:rsidR="00762F92">
        <w:rPr>
          <w:rFonts w:eastAsia="Palatino Linotype" w:cs="Palatino Linotype"/>
          <w:b/>
          <w:color w:val="000000"/>
          <w:szCs w:val="24"/>
        </w:rPr>
        <w:t>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9279EC" w:rsidRDefault="00A970D5" w:rsidP="006922F5">
      <w:pPr>
        <w:pBdr>
          <w:top w:val="nil"/>
          <w:left w:val="nil"/>
          <w:bottom w:val="nil"/>
          <w:right w:val="nil"/>
          <w:between w:val="nil"/>
        </w:pBdr>
        <w:contextualSpacing/>
        <w:rPr>
          <w:rFonts w:eastAsia="Palatino Linotype" w:cs="Palatino Linotype"/>
          <w:color w:val="000000"/>
          <w:sz w:val="22"/>
        </w:rPr>
      </w:pPr>
    </w:p>
    <w:p w14:paraId="3471CAD3" w14:textId="77777777" w:rsidR="00762F92" w:rsidRDefault="00A970D5" w:rsidP="009279EC">
      <w:pPr>
        <w:spacing w:line="240" w:lineRule="auto"/>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797146DD" w14:textId="77777777" w:rsidR="00762F92" w:rsidRDefault="00762F92" w:rsidP="009279EC">
      <w:pPr>
        <w:spacing w:line="240" w:lineRule="auto"/>
        <w:contextualSpacing/>
        <w:rPr>
          <w:i/>
          <w:iCs/>
        </w:rPr>
      </w:pPr>
    </w:p>
    <w:p w14:paraId="4A0EFE5A" w14:textId="76070168" w:rsidR="00A970D5" w:rsidRPr="006922F5" w:rsidRDefault="00A970D5" w:rsidP="009279EC">
      <w:pPr>
        <w:spacing w:line="240" w:lineRule="auto"/>
        <w:contextualSpacing/>
        <w:rPr>
          <w:b/>
        </w:rPr>
      </w:pPr>
      <w:r w:rsidRPr="009279EC">
        <w:rPr>
          <w:i/>
          <w:iCs/>
        </w:rPr>
        <w:t>“</w:t>
      </w:r>
      <w:r w:rsidR="00762F92" w:rsidRPr="00762F92">
        <w:rPr>
          <w:i/>
          <w:iCs/>
        </w:rPr>
        <w:t>Falta, deficiencia e insuficiencia de la respuesta entregada por el sujeto obligado</w:t>
      </w:r>
      <w:r w:rsidRPr="009279EC">
        <w:rPr>
          <w:i/>
          <w:iCs/>
        </w:rPr>
        <w:t>"(Sic)</w:t>
      </w:r>
    </w:p>
    <w:p w14:paraId="3C40A441" w14:textId="77777777" w:rsidR="00A970D5" w:rsidRPr="006922F5" w:rsidRDefault="00A970D5" w:rsidP="006922F5">
      <w:pPr>
        <w:contextualSpacing/>
        <w:rPr>
          <w:rFonts w:eastAsia="Palatino Linotype" w:cs="Palatino Linotype"/>
          <w:iCs/>
          <w:szCs w:val="24"/>
        </w:rPr>
      </w:pPr>
    </w:p>
    <w:p w14:paraId="09B89303" w14:textId="77777777" w:rsidR="00762F92" w:rsidRDefault="00A970D5" w:rsidP="009279EC">
      <w:pPr>
        <w:spacing w:line="240" w:lineRule="auto"/>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r w:rsidR="009279EC">
        <w:rPr>
          <w:rFonts w:eastAsia="Palatino Linotype" w:cs="Palatino Linotype"/>
        </w:rPr>
        <w:t xml:space="preserve"> </w:t>
      </w:r>
    </w:p>
    <w:p w14:paraId="73A9E03F" w14:textId="77777777" w:rsidR="00762F92" w:rsidRDefault="00762F92" w:rsidP="009279EC">
      <w:pPr>
        <w:spacing w:line="240" w:lineRule="auto"/>
        <w:contextualSpacing/>
        <w:rPr>
          <w:rFonts w:eastAsia="Palatino Linotype" w:cs="Palatino Linotype"/>
        </w:rPr>
      </w:pPr>
    </w:p>
    <w:p w14:paraId="2DAC342E" w14:textId="277A659E" w:rsidR="00A970D5" w:rsidRPr="009279EC" w:rsidRDefault="00A970D5" w:rsidP="009279EC">
      <w:pPr>
        <w:spacing w:line="240" w:lineRule="auto"/>
        <w:contextualSpacing/>
        <w:rPr>
          <w:i/>
          <w:iCs/>
        </w:rPr>
      </w:pPr>
      <w:r w:rsidRPr="009279EC">
        <w:rPr>
          <w:i/>
          <w:iCs/>
        </w:rPr>
        <w:t>“</w:t>
      </w:r>
      <w:r w:rsidR="00762F92" w:rsidRPr="00762F92">
        <w:rPr>
          <w:i/>
          <w:iCs/>
        </w:rPr>
        <w:t>Se me remite, sin argumentación de sustento, o recurriendo falazmente a un artículo de la propia Ley de Transparencia en el que pareciera que el solicitante, yo, estuviera pidiendo "a modo" la información, a una página en la que el C. López Obrador declara inexistentes en el año 2020 los fideicomisos. No obstante el programa PECDA sigue operando en otros Estados de la República. Véase y léase: https://www.gob.mx/cultura/documentos/criterios-operativos-pecda-2022 Solicito de la manera más atenta se responda sin ambigüedades a mi solicitud de información PÚBLICA.</w:t>
      </w:r>
      <w:r w:rsidRPr="009279EC">
        <w:rPr>
          <w:i/>
          <w:iCs/>
        </w:rPr>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50A0F6B2" w:rsidR="00A970D5" w:rsidRPr="006922F5" w:rsidRDefault="008E24B6" w:rsidP="006922F5">
      <w:pPr>
        <w:pStyle w:val="Ttulo2"/>
        <w:rPr>
          <w:rFonts w:eastAsia="Palatino Linotype"/>
        </w:rPr>
      </w:pPr>
      <w:r>
        <w:rPr>
          <w:rFonts w:eastAsia="Palatino Linotype"/>
        </w:rPr>
        <w:t>CUARTO</w:t>
      </w:r>
      <w:r w:rsidR="00A970D5" w:rsidRPr="006922F5">
        <w:rPr>
          <w:rFonts w:eastAsia="Palatino Linotype"/>
        </w:rPr>
        <w:t>. Del turno y admisión del recurso de revisión.</w:t>
      </w:r>
    </w:p>
    <w:p w14:paraId="2459DEBA" w14:textId="2938239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762F92">
        <w:rPr>
          <w:rFonts w:eastAsia="Palatino Linotype" w:cs="Palatino Linotype"/>
          <w:color w:val="000000"/>
          <w:szCs w:val="24"/>
        </w:rPr>
        <w:t>veintiuno de marzo 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616194D" w:rsidR="00A970D5" w:rsidRPr="006922F5" w:rsidRDefault="008E24B6" w:rsidP="006922F5">
      <w:pPr>
        <w:pStyle w:val="Ttulo2"/>
        <w:rPr>
          <w:rFonts w:eastAsia="Palatino Linotype"/>
        </w:rPr>
      </w:pPr>
      <w:r>
        <w:rPr>
          <w:rFonts w:eastAsia="Palatino Linotype"/>
        </w:rPr>
        <w:lastRenderedPageBreak/>
        <w:t>QUINTO</w:t>
      </w:r>
      <w:r w:rsidR="00A970D5" w:rsidRPr="006922F5">
        <w:rPr>
          <w:rFonts w:eastAsia="Palatino Linotype"/>
        </w:rPr>
        <w:t>. De la etapa de instrucción.</w:t>
      </w:r>
    </w:p>
    <w:p w14:paraId="134297B7" w14:textId="1DA038F5" w:rsidR="00EB47A3" w:rsidRPr="006F65AC" w:rsidRDefault="007E4F19" w:rsidP="00EB47A3">
      <w:pPr>
        <w:pBdr>
          <w:top w:val="nil"/>
          <w:left w:val="nil"/>
          <w:bottom w:val="nil"/>
          <w:right w:val="nil"/>
          <w:between w:val="nil"/>
        </w:pBdr>
        <w:contextualSpacing/>
        <w:rPr>
          <w:rFonts w:eastAsia="Palatino Linotype" w:cs="Palatino Linotype"/>
          <w:color w:val="000000"/>
          <w:szCs w:val="24"/>
        </w:rPr>
      </w:pPr>
      <w:r w:rsidRPr="007E4F19">
        <w:rPr>
          <w:rFonts w:eastAsia="Palatino Linotype" w:cs="Palatino Linotype"/>
          <w:color w:val="000000"/>
          <w:szCs w:val="24"/>
        </w:rPr>
        <w:t xml:space="preserve">De las constancias que obran en el expediente electrónico del SAIMEX se desprende que El Sujeto Obligado remitió su informe justificado mediante diversos archivos, </w:t>
      </w:r>
      <w:r w:rsidR="00762F92">
        <w:rPr>
          <w:rFonts w:eastAsia="Palatino Linotype" w:cs="Palatino Linotype"/>
          <w:color w:val="000000"/>
          <w:szCs w:val="24"/>
        </w:rPr>
        <w:t>el día once de abril de dos mil veintitrés</w:t>
      </w:r>
      <w:r w:rsidRPr="007E4F19">
        <w:rPr>
          <w:rFonts w:eastAsia="Palatino Linotype" w:cs="Palatino Linotype"/>
          <w:color w:val="000000"/>
          <w:szCs w:val="24"/>
        </w:rPr>
        <w:t>; mismo</w:t>
      </w:r>
      <w:r w:rsidR="00762F92">
        <w:rPr>
          <w:rFonts w:eastAsia="Palatino Linotype" w:cs="Palatino Linotype"/>
          <w:color w:val="000000"/>
          <w:szCs w:val="24"/>
        </w:rPr>
        <w:t xml:space="preserve"> que fue puesto</w:t>
      </w:r>
      <w:r w:rsidRPr="007E4F19">
        <w:rPr>
          <w:rFonts w:eastAsia="Palatino Linotype" w:cs="Palatino Linotype"/>
          <w:color w:val="000000"/>
          <w:szCs w:val="24"/>
        </w:rPr>
        <w:t xml:space="preserve"> a la vista del particular, mediante Acuerdo </w:t>
      </w:r>
      <w:r w:rsidRPr="009764F9">
        <w:rPr>
          <w:rFonts w:eastAsia="Palatino Linotype" w:cs="Palatino Linotype"/>
          <w:color w:val="000000"/>
          <w:szCs w:val="24"/>
        </w:rPr>
        <w:t xml:space="preserve">de fecha </w:t>
      </w:r>
      <w:r w:rsidR="00762F92">
        <w:rPr>
          <w:rFonts w:eastAsia="Palatino Linotype" w:cs="Palatino Linotype"/>
          <w:color w:val="000000"/>
          <w:szCs w:val="24"/>
        </w:rPr>
        <w:t>tres de mayo de dos mil veintitrés; por su parte, La</w:t>
      </w:r>
      <w:r w:rsidRPr="007E4F19">
        <w:rPr>
          <w:rFonts w:eastAsia="Palatino Linotype" w:cs="Palatino Linotype"/>
          <w:color w:val="000000"/>
          <w:szCs w:val="24"/>
        </w:rPr>
        <w:t xml:space="preserve"> Recurrente, no realizó alegatos, ni remitió pruebas o manifestaciones.</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081AA4C8" w14:textId="77777777" w:rsidR="00AA6787" w:rsidRPr="006922F5" w:rsidRDefault="009B2A43" w:rsidP="00AA6787">
      <w:pPr>
        <w:pStyle w:val="Ttulo2"/>
        <w:rPr>
          <w:rFonts w:eastAsia="Palatino Linotype"/>
        </w:rPr>
      </w:pPr>
      <w:r w:rsidRPr="00C67D93">
        <w:rPr>
          <w:rFonts w:cs="Arial"/>
          <w:sz w:val="28"/>
          <w:szCs w:val="24"/>
        </w:rPr>
        <w:t>S</w:t>
      </w:r>
      <w:r>
        <w:rPr>
          <w:rFonts w:cs="Arial"/>
          <w:sz w:val="28"/>
          <w:szCs w:val="24"/>
        </w:rPr>
        <w:t>EXTO</w:t>
      </w:r>
      <w:r w:rsidRPr="00D441AE">
        <w:rPr>
          <w:rFonts w:cs="Arial"/>
          <w:sz w:val="28"/>
          <w:szCs w:val="24"/>
        </w:rPr>
        <w:t xml:space="preserve">. </w:t>
      </w:r>
      <w:r w:rsidR="00AA6787" w:rsidRPr="006922F5">
        <w:rPr>
          <w:rFonts w:eastAsia="Palatino Linotype"/>
        </w:rPr>
        <w:t>Del cierre de instrucción.</w:t>
      </w:r>
    </w:p>
    <w:p w14:paraId="2456F4BD" w14:textId="01304D2C" w:rsidR="00A970D5" w:rsidRPr="00AA6787" w:rsidRDefault="00AA6787" w:rsidP="00AA6787">
      <w:pPr>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 en fecha</w:t>
      </w:r>
      <w:r>
        <w:rPr>
          <w:rFonts w:eastAsia="Palatino Linotype" w:cs="Palatino Linotype"/>
          <w:color w:val="000000"/>
          <w:szCs w:val="24"/>
        </w:rPr>
        <w:t xml:space="preserve"> cinco de septiembre de dos mil veintitrés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350D5386" w14:textId="77777777" w:rsidR="00AA6787" w:rsidRPr="00D441AE" w:rsidRDefault="008E24B6" w:rsidP="00AA6787">
      <w:pPr>
        <w:rPr>
          <w:rFonts w:eastAsia="Times New Roman" w:cs="Times New Roman"/>
          <w:b/>
          <w:sz w:val="28"/>
          <w:szCs w:val="26"/>
          <w:lang w:eastAsia="es-ES"/>
        </w:rPr>
      </w:pPr>
      <w:r>
        <w:rPr>
          <w:rFonts w:eastAsiaTheme="minorHAnsi"/>
          <w:lang w:eastAsia="en-US"/>
        </w:rPr>
        <w:t>SÉPTIMO</w:t>
      </w:r>
      <w:r w:rsidR="00A914F3" w:rsidRPr="006922F5">
        <w:rPr>
          <w:rFonts w:eastAsiaTheme="minorHAnsi"/>
          <w:lang w:eastAsia="en-US"/>
        </w:rPr>
        <w:t xml:space="preserve">. </w:t>
      </w:r>
      <w:r w:rsidR="00AA6787" w:rsidRPr="00D441AE">
        <w:rPr>
          <w:rFonts w:eastAsia="Times New Roman" w:cs="Times New Roman"/>
          <w:b/>
          <w:sz w:val="28"/>
          <w:szCs w:val="26"/>
          <w:lang w:eastAsia="es-ES"/>
        </w:rPr>
        <w:t>De la ampliación del término para resolver.</w:t>
      </w:r>
    </w:p>
    <w:p w14:paraId="5B49FA8B" w14:textId="77777777" w:rsidR="00AA6787" w:rsidRPr="00D441AE" w:rsidRDefault="00AA6787" w:rsidP="00AA6787">
      <w:r w:rsidRPr="00D441AE">
        <w:t xml:space="preserve">En fecha </w:t>
      </w:r>
      <w:r>
        <w:t>doce de mayo de dos mil veintitrés,</w:t>
      </w:r>
      <w:r w:rsidRPr="00D441AE">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401D9B0C" w14:textId="77777777" w:rsidR="00AA6787" w:rsidRPr="00D441AE" w:rsidRDefault="00AA6787" w:rsidP="00AA6787"/>
    <w:p w14:paraId="4AD1F6C6" w14:textId="77777777" w:rsidR="00AA6787" w:rsidRPr="00D441AE" w:rsidRDefault="00AA6787" w:rsidP="00AA6787">
      <w:r w:rsidRPr="00D441AE">
        <w:t xml:space="preserve">Este organismo garante no pasa por alto justificar, </w:t>
      </w:r>
      <w:r w:rsidRPr="00D441AE">
        <w:rPr>
          <w:bCs/>
        </w:rPr>
        <w:t xml:space="preserve">que el plazo para emitir resolución en el presente asunto </w:t>
      </w:r>
      <w:r w:rsidRPr="00D441AE">
        <w:t xml:space="preserve">encuentra justificación en el alto número de recursos de revisión recibidos dentro del primer semestre del año dos mil veintidós, que, en comparación con los recibidos el año pasado dentro del mismo periodo, se ha incrementado </w:t>
      </w:r>
      <w:r w:rsidRPr="00D441AE">
        <w:lastRenderedPageBreak/>
        <w:t>aproximadamente un 400%, circunstancia atípica que ha rebasado las capacidades técnicas y humanas del personal encargado de la proyección de las resoluciones a dichos medios de impugnación.</w:t>
      </w:r>
    </w:p>
    <w:p w14:paraId="73F4D47B" w14:textId="77777777" w:rsidR="00AA6787" w:rsidRPr="00D441AE" w:rsidRDefault="00AA6787" w:rsidP="00AA6787"/>
    <w:p w14:paraId="128868A0" w14:textId="77777777" w:rsidR="00AA6787" w:rsidRPr="00D441AE" w:rsidRDefault="00AA6787" w:rsidP="00AA6787">
      <w:r w:rsidRPr="00D441AE">
        <w:t xml:space="preserve">Por ello, es menester precisar que si bien se ha excedido el plazo para resolver el presente medio de impugnación, de conformidad con la ley de la materia, </w:t>
      </w:r>
      <w:r w:rsidRPr="00D441AE">
        <w:rPr>
          <w:bCs/>
        </w:rPr>
        <w:t>el plazo para emitir resolución</w:t>
      </w:r>
      <w:r w:rsidRPr="00D441AE">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227202" w14:textId="77777777" w:rsidR="00AA6787" w:rsidRPr="00D441AE" w:rsidRDefault="00AA6787" w:rsidP="00AA6787">
      <w:r w:rsidRPr="00D441AE">
        <w:t xml:space="preserve"> </w:t>
      </w:r>
    </w:p>
    <w:p w14:paraId="427C6CD3" w14:textId="77777777" w:rsidR="00AA6787" w:rsidRPr="00D441AE" w:rsidRDefault="00AA6787" w:rsidP="00AA6787">
      <w:r w:rsidRPr="00D441AE">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67BA09" w14:textId="77777777" w:rsidR="00AA6787" w:rsidRPr="00D441AE" w:rsidRDefault="00AA6787" w:rsidP="00AA6787"/>
    <w:p w14:paraId="3858CDE0" w14:textId="77777777" w:rsidR="00AA6787" w:rsidRPr="00D441AE" w:rsidRDefault="00AA6787" w:rsidP="00AA6787">
      <w:r w:rsidRPr="00D441AE">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DEE5B6" w14:textId="77777777" w:rsidR="00AA6787" w:rsidRPr="00D441AE" w:rsidRDefault="00AA6787" w:rsidP="00AA6787"/>
    <w:p w14:paraId="1F1F6111" w14:textId="77777777" w:rsidR="00AA6787" w:rsidRPr="00D441AE" w:rsidRDefault="00AA6787" w:rsidP="00AA6787">
      <w:r w:rsidRPr="00D441AE">
        <w:t xml:space="preserve">Por ello, excepcionalmente, si un asunto es resuelto con posterioridad a los plazos señalados por la norma debe analizarse la razonabilidad del tiempo necesario para su resolución, atentos a los siguientes criterios:  </w:t>
      </w:r>
    </w:p>
    <w:p w14:paraId="11DB9CE0" w14:textId="77777777" w:rsidR="00AA6787" w:rsidRPr="00D441AE" w:rsidRDefault="00AA6787" w:rsidP="00AA6787">
      <w:pPr>
        <w:spacing w:line="240" w:lineRule="auto"/>
      </w:pPr>
    </w:p>
    <w:p w14:paraId="311DECBB" w14:textId="77777777" w:rsidR="00AA6787" w:rsidRPr="00D441AE" w:rsidRDefault="00AA6787" w:rsidP="00AA6787">
      <w:r w:rsidRPr="00D441AE">
        <w:lastRenderedPageBreak/>
        <w:t>a)      Complejidad del asunto: La complejidad de la prueba, la pluralidad de sujetos procesales, el tiempo transcurrido, las características y contexto del recurso.</w:t>
      </w:r>
    </w:p>
    <w:p w14:paraId="640F93FA" w14:textId="77777777" w:rsidR="00AA6787" w:rsidRPr="00D441AE" w:rsidRDefault="00AA6787" w:rsidP="00AA6787">
      <w:r w:rsidRPr="00D441AE">
        <w:t>b)     Actividad Procesal del interesado: Acciones u omisiones del interesado.</w:t>
      </w:r>
    </w:p>
    <w:p w14:paraId="44ACDA0D" w14:textId="77777777" w:rsidR="00AA6787" w:rsidRPr="00D441AE" w:rsidRDefault="00AA6787" w:rsidP="00AA6787">
      <w:r w:rsidRPr="00D441AE">
        <w:t>c)  Conducta de la Autoridad: Las Acciones u omisiones realizadas en el procedimiento. Así como si la autoridad actuó con la debida diligencia.</w:t>
      </w:r>
    </w:p>
    <w:p w14:paraId="363604B5" w14:textId="77777777" w:rsidR="00AA6787" w:rsidRPr="00D441AE" w:rsidRDefault="00AA6787" w:rsidP="00AA6787">
      <w:r w:rsidRPr="00D441AE">
        <w:t>d) La afectación generada en la situación jurídica de la persona involucrada en el proceso: Violación a sus derechos humanos.</w:t>
      </w:r>
    </w:p>
    <w:p w14:paraId="515F6161" w14:textId="77777777" w:rsidR="00AA6787" w:rsidRPr="00D441AE" w:rsidRDefault="00AA6787" w:rsidP="00AA6787"/>
    <w:p w14:paraId="5327A6F8" w14:textId="77777777" w:rsidR="00AA6787" w:rsidRPr="00D441AE" w:rsidRDefault="00AA6787" w:rsidP="00AA6787">
      <w:r w:rsidRPr="00D441AE">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3D650A" w14:textId="77777777" w:rsidR="00AA6787" w:rsidRPr="00D441AE" w:rsidRDefault="00AA6787" w:rsidP="00AA6787">
      <w:r w:rsidRPr="00D441AE">
        <w:t xml:space="preserve">Argumento que encuentra sustento en la jurisprudencia P./J. 32/92 emitida por el Pleno de la Suprema Corte de Justicia de la Nación de rubro </w:t>
      </w:r>
      <w:r w:rsidRPr="00D441AE">
        <w:rPr>
          <w:i/>
        </w:rPr>
        <w:t>“TÉRMINOS PROCESALES. PARA DETERMINAR SI UN FUNCIONARIO JUDICIAL ACTUÓ INDEBIDAMENTE POR NO RESPETARLOS SE DEBE ATENDER AL PRESUPUESTO QUE CONSIDERÓ EL LEGISLADOR AL FIJARLOS Y LAS CARACTERÍSTICAS DEL CASO.”</w:t>
      </w:r>
      <w:r w:rsidRPr="00D441AE">
        <w:t>, visible en la Gaceta del Seminario Judicial de la Federación con el registro digital 205635.</w:t>
      </w:r>
    </w:p>
    <w:p w14:paraId="555A0E84" w14:textId="77777777" w:rsidR="00AA6787" w:rsidRPr="00D441AE" w:rsidRDefault="00AA6787" w:rsidP="00AA6787"/>
    <w:p w14:paraId="7AEBCEA4" w14:textId="77777777" w:rsidR="00AA6787" w:rsidRPr="00D441AE" w:rsidRDefault="00AA6787" w:rsidP="00AA6787">
      <w:r w:rsidRPr="00D441AE">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w:t>
      </w:r>
      <w:r w:rsidRPr="00D441AE">
        <w:lastRenderedPageBreak/>
        <w:t>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6370F9" w14:textId="77777777" w:rsidR="00AA6787" w:rsidRPr="00D441AE" w:rsidRDefault="00AA6787" w:rsidP="00AA6787"/>
    <w:p w14:paraId="58F1E2FD" w14:textId="77777777" w:rsidR="00AA6787" w:rsidRPr="00D441AE" w:rsidRDefault="00AA6787" w:rsidP="00AA6787">
      <w:r w:rsidRPr="00D441AE">
        <w:t>Al respecto, también son de considerar los criterios sostenidos por el Cuarto Tribunal Colegiado en Materia Administrativa del Primer Circuito, cuyos rubros y datos de identificación son los siguientes:</w:t>
      </w:r>
    </w:p>
    <w:p w14:paraId="529DD847" w14:textId="77777777" w:rsidR="00AA6787" w:rsidRPr="00D441AE" w:rsidRDefault="00AA6787" w:rsidP="00AA6787">
      <w:pPr>
        <w:rPr>
          <w:b/>
          <w:i/>
        </w:rPr>
      </w:pPr>
    </w:p>
    <w:p w14:paraId="0C7F09DE" w14:textId="77777777" w:rsidR="00AA6787" w:rsidRPr="00D441AE" w:rsidRDefault="00AA6787" w:rsidP="00AA6787">
      <w:r w:rsidRPr="00D441AE">
        <w:rPr>
          <w:b/>
          <w:i/>
        </w:rPr>
        <w:t>“PLAZO RAZONABLE PARA RESOLVER. DIMENSIÓN Y EFECTOS DE ESTE CONCEPTO CUANDO SE ADUCE EXCESIVA CARGA DE TRABAJO.”</w:t>
      </w:r>
      <w:r w:rsidRPr="00D441AE">
        <w:t xml:space="preserve"> consultable en el Seminario Judicial de la Federación y su gaceta, con el registro digital 2002351.</w:t>
      </w:r>
    </w:p>
    <w:p w14:paraId="00AA369C" w14:textId="77777777" w:rsidR="00AA6787" w:rsidRPr="00D441AE" w:rsidRDefault="00AA6787" w:rsidP="00AA6787">
      <w:r w:rsidRPr="00D441AE">
        <w:rPr>
          <w:b/>
          <w:i/>
        </w:rPr>
        <w:t>“PLAZO RAZONABLE PARA RESOLVER. CONCEPTO Y ELEMENTOS QUE LO INTEGRAN A LA LUZ DEL DERECHO INTERNACIONAL DE LOS DERECHOS HUMANOS.”</w:t>
      </w:r>
      <w:r w:rsidRPr="00D441AE">
        <w:t>, visible en el Seminario Judicial de la Federación y su gaceta, con el registro digital 2002350.</w:t>
      </w:r>
    </w:p>
    <w:p w14:paraId="1CFDB18D" w14:textId="77777777" w:rsidR="00AA6787" w:rsidRPr="00AA6787" w:rsidRDefault="00AA6787" w:rsidP="00AA6787"/>
    <w:p w14:paraId="4B912E83" w14:textId="77777777" w:rsidR="00AA6787" w:rsidRPr="00AA6787" w:rsidRDefault="00AA6787" w:rsidP="00AA6787">
      <w:pPr>
        <w:pStyle w:val="Ttulo2"/>
        <w:rPr>
          <w:rFonts w:eastAsia="Palatino Linotype" w:cs="Palatino Linotype"/>
          <w:b w:val="0"/>
          <w:color w:val="000000"/>
          <w:szCs w:val="24"/>
        </w:rPr>
      </w:pPr>
      <w:r w:rsidRPr="00AA6787">
        <w:rPr>
          <w:b w:val="0"/>
          <w:bCs/>
          <w:sz w:val="24"/>
        </w:rPr>
        <w:t>Por ello, este organismo garante comprometido con la tutela de los derechos humanos confiados, señala que este exceso del plazo legal para resolver el presente asunto, resulta de carácter excepcional.</w:t>
      </w:r>
    </w:p>
    <w:p w14:paraId="6DC89436" w14:textId="77777777" w:rsidR="009A4D87" w:rsidRDefault="009A4D87" w:rsidP="006922F5">
      <w:pPr>
        <w:pBdr>
          <w:top w:val="nil"/>
          <w:left w:val="nil"/>
          <w:bottom w:val="nil"/>
          <w:right w:val="nil"/>
          <w:between w:val="nil"/>
        </w:pBdr>
        <w:contextualSpacing/>
        <w:rPr>
          <w:rFonts w:eastAsia="Palatino Linotype" w:cs="Palatino Linotype"/>
          <w:b/>
          <w:color w:val="000000"/>
          <w:sz w:val="26"/>
          <w:szCs w:val="24"/>
        </w:rPr>
      </w:pPr>
    </w:p>
    <w:p w14:paraId="1BB23717" w14:textId="77777777" w:rsidR="00AA6787" w:rsidRPr="006922F5" w:rsidRDefault="00AA67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lastRenderedPageBreak/>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4A478A3" w14:textId="77777777" w:rsidR="000D7FF4" w:rsidRPr="00600F1D" w:rsidRDefault="000D7FF4" w:rsidP="000D7FF4">
      <w:pPr>
        <w:rPr>
          <w:rFonts w:cs="Arial"/>
          <w:sz w:val="28"/>
          <w:szCs w:val="28"/>
        </w:rPr>
      </w:pPr>
      <w:r w:rsidRPr="00600F1D">
        <w:rPr>
          <w:rFonts w:cs="Arial"/>
          <w:b/>
          <w:sz w:val="28"/>
          <w:szCs w:val="28"/>
        </w:rPr>
        <w:t xml:space="preserve">PRIMERO. </w:t>
      </w:r>
      <w:r w:rsidRPr="00A02BC4">
        <w:rPr>
          <w:rFonts w:cs="Arial"/>
          <w:b/>
          <w:sz w:val="26"/>
          <w:szCs w:val="26"/>
        </w:rPr>
        <w:t>De la competencia</w:t>
      </w:r>
      <w:r w:rsidRPr="00A02BC4">
        <w:rPr>
          <w:rFonts w:cs="Arial"/>
          <w:sz w:val="26"/>
          <w:szCs w:val="26"/>
        </w:rPr>
        <w:t>.</w:t>
      </w:r>
    </w:p>
    <w:p w14:paraId="34B4A7FC" w14:textId="77777777" w:rsidR="000D7FF4" w:rsidRPr="006303CF" w:rsidRDefault="000D7FF4" w:rsidP="000D7FF4">
      <w:pPr>
        <w:autoSpaceDE w:val="0"/>
        <w:autoSpaceDN w:val="0"/>
        <w:adjustRightInd w:val="0"/>
        <w:rPr>
          <w:rFonts w:eastAsia="Times New Roman" w:cs="Arial"/>
          <w:szCs w:val="24"/>
          <w:lang w:val="es-ES" w:eastAsia="es-ES"/>
        </w:rPr>
      </w:pPr>
      <w:r w:rsidRPr="000A0AE9">
        <w:rPr>
          <w:rFonts w:eastAsia="Times New Roman" w:cs="Arial"/>
          <w:szCs w:val="24"/>
          <w:lang w:val="es-ES" w:eastAsia="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Pr>
          <w:rFonts w:eastAsia="Times New Roman" w:cs="Arial"/>
          <w:szCs w:val="24"/>
          <w:lang w:val="es-ES" w:eastAsia="es-ES"/>
        </w:rPr>
        <w:t xml:space="preserve"> </w:t>
      </w:r>
      <w:hyperlink r:id="rId8" w:history="1">
        <w:r w:rsidRPr="000A0AE9">
          <w:rPr>
            <w:rFonts w:eastAsia="Times New Roman" w:cs="Arial"/>
            <w:szCs w:val="24"/>
            <w:lang w:val="es-ES" w:eastAsia="es-ES"/>
          </w:rPr>
          <w:t>176, 178, 179, 181</w:t>
        </w:r>
      </w:hyperlink>
      <w:r>
        <w:rPr>
          <w:rFonts w:eastAsia="Times New Roman" w:cs="Arial"/>
          <w:szCs w:val="24"/>
          <w:lang w:val="es-ES" w:eastAsia="es-ES"/>
        </w:rPr>
        <w:t xml:space="preserve"> </w:t>
      </w:r>
      <w:r w:rsidRPr="000A0AE9">
        <w:rPr>
          <w:rFonts w:eastAsia="Times New Roman" w:cs="Arial"/>
          <w:szCs w:val="24"/>
          <w:lang w:val="es-ES" w:eastAsia="es-ES"/>
        </w:rPr>
        <w:t>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19D2CD1" w14:textId="77777777" w:rsidR="000D7FF4" w:rsidRPr="006303CF" w:rsidRDefault="000D7FF4" w:rsidP="000D7FF4">
      <w:pPr>
        <w:autoSpaceDE w:val="0"/>
        <w:autoSpaceDN w:val="0"/>
        <w:adjustRightInd w:val="0"/>
        <w:rPr>
          <w:rFonts w:eastAsia="Times New Roman" w:cs="Arial"/>
          <w:szCs w:val="24"/>
          <w:lang w:val="es-ES" w:eastAsia="es-ES"/>
        </w:rPr>
      </w:pPr>
    </w:p>
    <w:p w14:paraId="55CCFF3A" w14:textId="77777777" w:rsidR="000D7FF4" w:rsidRPr="00A06D7E" w:rsidRDefault="000D7FF4" w:rsidP="000D7FF4">
      <w:pPr>
        <w:autoSpaceDE w:val="0"/>
        <w:autoSpaceDN w:val="0"/>
        <w:adjustRightInd w:val="0"/>
        <w:rPr>
          <w:rFonts w:cs="Arial"/>
          <w:b/>
          <w:sz w:val="28"/>
          <w:szCs w:val="28"/>
        </w:rPr>
      </w:pPr>
      <w:r w:rsidRPr="00A06D7E">
        <w:rPr>
          <w:rFonts w:cs="Arial"/>
          <w:b/>
          <w:sz w:val="28"/>
          <w:szCs w:val="28"/>
        </w:rPr>
        <w:t xml:space="preserve">SEGUNDO. </w:t>
      </w:r>
      <w:r w:rsidRPr="00A02BC4">
        <w:rPr>
          <w:rFonts w:cs="Arial"/>
          <w:b/>
          <w:sz w:val="26"/>
          <w:szCs w:val="26"/>
        </w:rPr>
        <w:t>Alcances del recurso de revisión.</w:t>
      </w:r>
      <w:r w:rsidRPr="00A06D7E">
        <w:rPr>
          <w:rFonts w:cs="Arial"/>
          <w:b/>
          <w:sz w:val="28"/>
          <w:szCs w:val="28"/>
        </w:rPr>
        <w:t xml:space="preserve"> </w:t>
      </w:r>
    </w:p>
    <w:p w14:paraId="346841D7" w14:textId="77777777" w:rsidR="000D7FF4" w:rsidRDefault="000D7FF4" w:rsidP="000D7FF4">
      <w:pPr>
        <w:autoSpaceDE w:val="0"/>
        <w:autoSpaceDN w:val="0"/>
        <w:adjustRightInd w:val="0"/>
        <w:rPr>
          <w:rFonts w:eastAsia="Times New Roman" w:cs="Arial"/>
          <w:szCs w:val="24"/>
          <w:lang w:val="es-ES" w:eastAsia="es-ES"/>
        </w:rPr>
      </w:pPr>
      <w:r w:rsidRPr="008F163A">
        <w:rPr>
          <w:rFonts w:eastAsia="Times New Roman" w:cs="Arial"/>
          <w:szCs w:val="24"/>
          <w:lang w:val="es-ES" w:eastAsia="es-ES"/>
        </w:rPr>
        <w:t>Anterior a todo debe destacarse que el recurso de revisión tiene el fin y alcance que señalan los nume</w:t>
      </w:r>
      <w:r w:rsidRPr="00A06D7E">
        <w:rPr>
          <w:rFonts w:eastAsia="Times New Roman" w:cs="Arial"/>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EB2B2EB" w14:textId="77777777" w:rsidR="000D7FF4" w:rsidRDefault="000D7FF4" w:rsidP="000D7FF4">
      <w:pPr>
        <w:autoSpaceDE w:val="0"/>
        <w:autoSpaceDN w:val="0"/>
        <w:adjustRightInd w:val="0"/>
        <w:rPr>
          <w:rFonts w:eastAsia="Times New Roman" w:cs="Arial"/>
          <w:szCs w:val="24"/>
          <w:lang w:val="es-ES" w:eastAsia="es-ES"/>
        </w:rPr>
      </w:pPr>
    </w:p>
    <w:p w14:paraId="4886A4BB" w14:textId="77777777" w:rsidR="000D7FF4" w:rsidRPr="007A1B6F" w:rsidRDefault="000D7FF4" w:rsidP="000D7FF4">
      <w:pPr>
        <w:ind w:right="49"/>
        <w:rPr>
          <w:rFonts w:eastAsia="Times New Roman" w:cs="Arial"/>
          <w:b/>
          <w:sz w:val="26"/>
          <w:szCs w:val="26"/>
          <w:lang w:val="es-ES" w:eastAsia="es-ES"/>
        </w:rPr>
      </w:pPr>
      <w:r>
        <w:rPr>
          <w:rFonts w:eastAsia="Times New Roman" w:cs="Arial"/>
          <w:b/>
          <w:sz w:val="28"/>
          <w:szCs w:val="28"/>
          <w:lang w:val="es-419" w:eastAsia="es-ES"/>
        </w:rPr>
        <w:lastRenderedPageBreak/>
        <w:t>TERCERO</w:t>
      </w:r>
      <w:r w:rsidRPr="007A1B6F">
        <w:rPr>
          <w:rFonts w:eastAsia="Times New Roman" w:cs="Arial"/>
          <w:b/>
          <w:sz w:val="26"/>
          <w:szCs w:val="26"/>
          <w:lang w:val="es-ES" w:eastAsia="es-ES"/>
        </w:rPr>
        <w:t>.</w:t>
      </w:r>
      <w:r w:rsidRPr="007A1B6F">
        <w:rPr>
          <w:rFonts w:eastAsia="Times New Roman" w:cs="Arial"/>
          <w:sz w:val="26"/>
          <w:szCs w:val="26"/>
          <w:lang w:val="es-ES" w:eastAsia="es-ES"/>
        </w:rPr>
        <w:t xml:space="preserve"> </w:t>
      </w:r>
      <w:r w:rsidRPr="007A1B6F">
        <w:rPr>
          <w:rFonts w:eastAsia="Times New Roman" w:cs="Arial"/>
          <w:b/>
          <w:sz w:val="26"/>
          <w:szCs w:val="26"/>
          <w:lang w:val="es-ES" w:eastAsia="es-ES"/>
        </w:rPr>
        <w:t xml:space="preserve">De las causas de improcedencia. </w:t>
      </w:r>
    </w:p>
    <w:p w14:paraId="706A7F16" w14:textId="77777777" w:rsidR="000D7FF4" w:rsidRDefault="000D7FF4" w:rsidP="000D7FF4">
      <w:pPr>
        <w:ind w:right="49"/>
        <w:rPr>
          <w:rFonts w:eastAsia="Times New Roman" w:cs="Arial"/>
          <w:szCs w:val="24"/>
          <w:lang w:val="es-ES" w:eastAsia="es-ES"/>
        </w:rPr>
      </w:pPr>
      <w:r w:rsidRPr="0064611F">
        <w:rPr>
          <w:rFonts w:eastAsia="Times New Roman" w:cs="Arial"/>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eastAsia="Times New Roman" w:cs="Arial"/>
          <w:szCs w:val="24"/>
          <w:vertAlign w:val="superscript"/>
          <w:lang w:val="es-ES" w:eastAsia="es-ES"/>
        </w:rPr>
        <w:footnoteReference w:id="2"/>
      </w:r>
      <w:r w:rsidRPr="0064611F">
        <w:rPr>
          <w:rFonts w:eastAsia="Times New Roman" w:cs="Arial"/>
          <w:szCs w:val="24"/>
          <w:lang w:val="es-ES" w:eastAsia="es-ES"/>
        </w:rPr>
        <w:t>.</w:t>
      </w:r>
    </w:p>
    <w:p w14:paraId="409A5113" w14:textId="77777777" w:rsidR="000D7FF4" w:rsidRPr="0064611F" w:rsidRDefault="000D7FF4" w:rsidP="000D7FF4">
      <w:pPr>
        <w:ind w:right="49"/>
        <w:rPr>
          <w:rFonts w:eastAsia="Times New Roman" w:cs="Arial"/>
          <w:szCs w:val="24"/>
          <w:lang w:val="es-ES" w:eastAsia="es-ES"/>
        </w:rPr>
      </w:pPr>
    </w:p>
    <w:p w14:paraId="7B2516E6" w14:textId="77777777" w:rsidR="000D7FF4" w:rsidRPr="0064611F" w:rsidRDefault="000D7FF4" w:rsidP="000D7FF4">
      <w:pPr>
        <w:autoSpaceDE w:val="0"/>
        <w:autoSpaceDN w:val="0"/>
        <w:adjustRightInd w:val="0"/>
        <w:rPr>
          <w:rFonts w:eastAsia="Times New Roman" w:cs="Arial"/>
          <w:szCs w:val="24"/>
          <w:lang w:val="es-ES" w:eastAsia="es-ES"/>
        </w:rPr>
      </w:pPr>
      <w:r w:rsidRPr="0064611F">
        <w:rPr>
          <w:rFonts w:eastAsia="Times New Roman" w:cs="Arial"/>
          <w:szCs w:val="24"/>
          <w:lang w:val="es-ES" w:eastAsia="es-ES"/>
        </w:rPr>
        <w:t>Así las cosas, del análisis de</w:t>
      </w:r>
      <w:r>
        <w:rPr>
          <w:rFonts w:eastAsia="Times New Roman" w:cs="Arial"/>
          <w:szCs w:val="24"/>
          <w:lang w:val="es-ES" w:eastAsia="es-ES"/>
        </w:rPr>
        <w:t xml:space="preserve"> </w:t>
      </w:r>
      <w:r w:rsidRPr="0064611F">
        <w:rPr>
          <w:rFonts w:eastAsia="Times New Roman" w:cs="Arial"/>
          <w:szCs w:val="24"/>
          <w:lang w:val="es-ES" w:eastAsia="es-ES"/>
        </w:rPr>
        <w:t>l</w:t>
      </w:r>
      <w:r>
        <w:rPr>
          <w:rFonts w:eastAsia="Times New Roman" w:cs="Arial"/>
          <w:szCs w:val="24"/>
          <w:lang w:val="es-ES" w:eastAsia="es-ES"/>
        </w:rPr>
        <w:t>os</w:t>
      </w:r>
      <w:r w:rsidRPr="0064611F">
        <w:rPr>
          <w:rFonts w:eastAsia="Times New Roman" w:cs="Arial"/>
          <w:szCs w:val="24"/>
          <w:lang w:val="es-ES" w:eastAsia="es-ES"/>
        </w:rPr>
        <w:t xml:space="preserve"> expediente</w:t>
      </w:r>
      <w:r>
        <w:rPr>
          <w:rFonts w:eastAsia="Times New Roman" w:cs="Arial"/>
          <w:szCs w:val="24"/>
          <w:lang w:val="es-ES" w:eastAsia="es-ES"/>
        </w:rPr>
        <w:t>s</w:t>
      </w:r>
      <w:r w:rsidRPr="0064611F">
        <w:rPr>
          <w:rFonts w:eastAsia="Times New Roman" w:cs="Arial"/>
          <w:szCs w:val="24"/>
          <w:lang w:val="es-ES" w:eastAsia="es-ES"/>
        </w:rPr>
        <w:t xml:space="preserve"> electrónico</w:t>
      </w:r>
      <w:r>
        <w:rPr>
          <w:rFonts w:eastAsia="Times New Roman" w:cs="Arial"/>
          <w:szCs w:val="24"/>
          <w:lang w:val="es-ES" w:eastAsia="es-ES"/>
        </w:rPr>
        <w:t>s</w:t>
      </w:r>
      <w:r w:rsidRPr="0064611F">
        <w:rPr>
          <w:rFonts w:eastAsia="Times New Roman" w:cs="Arial"/>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EC5CF4" w14:textId="77777777" w:rsidR="000D7FF4" w:rsidRDefault="000D7FF4" w:rsidP="000D7FF4">
      <w:pPr>
        <w:autoSpaceDE w:val="0"/>
        <w:autoSpaceDN w:val="0"/>
        <w:adjustRightInd w:val="0"/>
        <w:rPr>
          <w:rFonts w:eastAsia="Times New Roman" w:cs="Arial"/>
          <w:szCs w:val="24"/>
          <w:lang w:val="es-ES" w:eastAsia="es-ES"/>
        </w:rPr>
      </w:pPr>
    </w:p>
    <w:p w14:paraId="7EB6EFF4" w14:textId="77777777" w:rsidR="000D7FF4" w:rsidRPr="00344583" w:rsidRDefault="000D7FF4" w:rsidP="000D7FF4">
      <w:pPr>
        <w:rPr>
          <w:rFonts w:cs="Arial"/>
          <w:szCs w:val="24"/>
        </w:rPr>
      </w:pPr>
      <w:r w:rsidRPr="00344583">
        <w:rPr>
          <w:rFonts w:cs="Arial"/>
          <w:szCs w:val="24"/>
        </w:rPr>
        <w:t>Por otro lado una vez que se analizó el expediente referido al rubro, se cae en la cuenta de que no se actualiza ninguna de las casuales de improcedencia a continuación transcritas:</w:t>
      </w:r>
    </w:p>
    <w:p w14:paraId="4B205262" w14:textId="77777777" w:rsidR="000D7FF4" w:rsidRPr="00344583" w:rsidRDefault="000D7FF4" w:rsidP="000D7FF4">
      <w:pPr>
        <w:rPr>
          <w:rFonts w:cs="Arial"/>
          <w:szCs w:val="24"/>
        </w:rPr>
      </w:pPr>
    </w:p>
    <w:p w14:paraId="3205656D" w14:textId="77777777" w:rsidR="000D7FF4" w:rsidRPr="00344583" w:rsidRDefault="000D7FF4" w:rsidP="000D7FF4">
      <w:pPr>
        <w:pStyle w:val="Prrafodelista"/>
        <w:autoSpaceDE w:val="0"/>
        <w:autoSpaceDN w:val="0"/>
        <w:adjustRightInd w:val="0"/>
        <w:ind w:left="1134" w:right="851"/>
        <w:rPr>
          <w:rFonts w:cs="Arial"/>
          <w:i/>
        </w:rPr>
      </w:pPr>
      <w:r w:rsidRPr="00344583">
        <w:rPr>
          <w:rFonts w:cs="Arial"/>
          <w:i/>
        </w:rPr>
        <w:t xml:space="preserve">“Artículo 191. El recurso será desechado por improcedente cuando:  </w:t>
      </w:r>
    </w:p>
    <w:p w14:paraId="1410C8B0" w14:textId="77777777" w:rsidR="000D7FF4" w:rsidRPr="00344583" w:rsidRDefault="000D7FF4" w:rsidP="000D7FF4">
      <w:pPr>
        <w:pStyle w:val="Prrafodelista"/>
        <w:numPr>
          <w:ilvl w:val="2"/>
          <w:numId w:val="21"/>
        </w:numPr>
        <w:autoSpaceDE w:val="0"/>
        <w:autoSpaceDN w:val="0"/>
        <w:adjustRightInd w:val="0"/>
        <w:ind w:left="1134" w:right="851"/>
        <w:rPr>
          <w:rFonts w:cs="Arial"/>
          <w:i/>
        </w:rPr>
      </w:pPr>
      <w:r w:rsidRPr="00344583">
        <w:rPr>
          <w:rFonts w:cs="Arial"/>
          <w:i/>
        </w:rPr>
        <w:t xml:space="preserve">Sea extemporáneo por haber transcurrido el plazo establecido en la presente Ley, a partir de la respuesta;  </w:t>
      </w:r>
    </w:p>
    <w:p w14:paraId="62EFC35B" w14:textId="77777777" w:rsidR="000D7FF4" w:rsidRPr="00344583" w:rsidRDefault="000D7FF4" w:rsidP="000D7FF4">
      <w:pPr>
        <w:pStyle w:val="Prrafodelista"/>
        <w:numPr>
          <w:ilvl w:val="2"/>
          <w:numId w:val="21"/>
        </w:numPr>
        <w:autoSpaceDE w:val="0"/>
        <w:autoSpaceDN w:val="0"/>
        <w:adjustRightInd w:val="0"/>
        <w:ind w:left="1134" w:right="851"/>
        <w:rPr>
          <w:rFonts w:cs="Arial"/>
          <w:i/>
        </w:rPr>
      </w:pPr>
      <w:r w:rsidRPr="00344583">
        <w:rPr>
          <w:rFonts w:cs="Arial"/>
          <w:i/>
        </w:rPr>
        <w:t xml:space="preserve">Se esté tramitando ante el Poder Judicial de la Federación algún recurso o medio de defensa interpuesto por el recurrente;  </w:t>
      </w:r>
    </w:p>
    <w:p w14:paraId="23265579" w14:textId="77777777" w:rsidR="000D7FF4" w:rsidRPr="00344583" w:rsidRDefault="000D7FF4" w:rsidP="000D7FF4">
      <w:pPr>
        <w:pStyle w:val="Prrafodelista"/>
        <w:numPr>
          <w:ilvl w:val="2"/>
          <w:numId w:val="21"/>
        </w:numPr>
        <w:autoSpaceDE w:val="0"/>
        <w:autoSpaceDN w:val="0"/>
        <w:adjustRightInd w:val="0"/>
        <w:ind w:left="1134" w:right="851"/>
        <w:rPr>
          <w:rFonts w:cs="Arial"/>
          <w:i/>
        </w:rPr>
      </w:pPr>
      <w:r w:rsidRPr="00344583">
        <w:rPr>
          <w:rFonts w:cs="Arial"/>
          <w:i/>
        </w:rPr>
        <w:t xml:space="preserve">No actualice alguno de los supuestos previstos en la presente Ley;  </w:t>
      </w:r>
    </w:p>
    <w:p w14:paraId="10A9CD84" w14:textId="77777777" w:rsidR="000D7FF4" w:rsidRPr="00344583" w:rsidRDefault="000D7FF4" w:rsidP="000D7FF4">
      <w:pPr>
        <w:pStyle w:val="Prrafodelista"/>
        <w:numPr>
          <w:ilvl w:val="2"/>
          <w:numId w:val="21"/>
        </w:numPr>
        <w:autoSpaceDE w:val="0"/>
        <w:autoSpaceDN w:val="0"/>
        <w:adjustRightInd w:val="0"/>
        <w:ind w:left="1134" w:right="851"/>
        <w:rPr>
          <w:rFonts w:cs="Arial"/>
          <w:i/>
        </w:rPr>
      </w:pPr>
      <w:r w:rsidRPr="00344583">
        <w:rPr>
          <w:rFonts w:cs="Arial"/>
          <w:i/>
        </w:rPr>
        <w:t xml:space="preserve">No se haya desahogado la prevención en los términos establecidos en la presente Ley;  </w:t>
      </w:r>
    </w:p>
    <w:p w14:paraId="5D3DEA2A" w14:textId="77777777" w:rsidR="000D7FF4" w:rsidRPr="00344583" w:rsidRDefault="000D7FF4" w:rsidP="000D7FF4">
      <w:pPr>
        <w:pStyle w:val="Prrafodelista"/>
        <w:numPr>
          <w:ilvl w:val="2"/>
          <w:numId w:val="21"/>
        </w:numPr>
        <w:autoSpaceDE w:val="0"/>
        <w:autoSpaceDN w:val="0"/>
        <w:adjustRightInd w:val="0"/>
        <w:ind w:left="1134" w:right="851"/>
        <w:rPr>
          <w:rFonts w:cs="Arial"/>
          <w:i/>
        </w:rPr>
      </w:pPr>
      <w:r w:rsidRPr="00344583">
        <w:rPr>
          <w:rFonts w:cs="Arial"/>
          <w:i/>
        </w:rPr>
        <w:lastRenderedPageBreak/>
        <w:t xml:space="preserve">Se impugne la veracidad de la información proporcionada;  </w:t>
      </w:r>
    </w:p>
    <w:p w14:paraId="2B4D235A" w14:textId="77777777" w:rsidR="000D7FF4" w:rsidRPr="00344583" w:rsidRDefault="000D7FF4" w:rsidP="000D7FF4">
      <w:pPr>
        <w:pStyle w:val="Prrafodelista"/>
        <w:numPr>
          <w:ilvl w:val="2"/>
          <w:numId w:val="21"/>
        </w:numPr>
        <w:autoSpaceDE w:val="0"/>
        <w:autoSpaceDN w:val="0"/>
        <w:adjustRightInd w:val="0"/>
        <w:ind w:left="1134" w:right="851"/>
        <w:rPr>
          <w:rFonts w:cs="Arial"/>
          <w:i/>
        </w:rPr>
      </w:pPr>
      <w:r w:rsidRPr="00344583">
        <w:rPr>
          <w:rFonts w:cs="Arial"/>
          <w:i/>
        </w:rPr>
        <w:t xml:space="preserve">Se trate de una consulta, o trámite en específico; y  </w:t>
      </w:r>
    </w:p>
    <w:p w14:paraId="49520238" w14:textId="77777777" w:rsidR="000D7FF4" w:rsidRPr="00344583" w:rsidRDefault="000D7FF4" w:rsidP="000D7FF4">
      <w:pPr>
        <w:pStyle w:val="Prrafodelista"/>
        <w:numPr>
          <w:ilvl w:val="2"/>
          <w:numId w:val="21"/>
        </w:numPr>
        <w:autoSpaceDE w:val="0"/>
        <w:autoSpaceDN w:val="0"/>
        <w:adjustRightInd w:val="0"/>
        <w:ind w:left="1134" w:right="851"/>
        <w:rPr>
          <w:rFonts w:cs="Arial"/>
          <w:i/>
        </w:rPr>
      </w:pPr>
      <w:r w:rsidRPr="00344583">
        <w:rPr>
          <w:rFonts w:cs="Arial"/>
          <w:i/>
        </w:rPr>
        <w:t>El recurrente amplíe su solicitud en el recurso de revisión, únicamente respecto de los nuevos contenidos.”</w:t>
      </w:r>
    </w:p>
    <w:p w14:paraId="6A2C05F8" w14:textId="77777777" w:rsidR="000D7FF4" w:rsidRPr="00344583" w:rsidRDefault="000D7FF4" w:rsidP="000D7FF4">
      <w:pPr>
        <w:rPr>
          <w:rFonts w:cs="Arial"/>
          <w:szCs w:val="24"/>
        </w:rPr>
      </w:pPr>
    </w:p>
    <w:p w14:paraId="35EDDCF3" w14:textId="77777777" w:rsidR="000D7FF4" w:rsidRPr="0019126D" w:rsidRDefault="000D7FF4" w:rsidP="000D7FF4">
      <w:pPr>
        <w:pStyle w:val="Prrafodelista"/>
        <w:autoSpaceDE w:val="0"/>
        <w:autoSpaceDN w:val="0"/>
        <w:adjustRightInd w:val="0"/>
        <w:ind w:left="0"/>
        <w:rPr>
          <w:rFonts w:cs="Arial"/>
        </w:rPr>
      </w:pPr>
      <w:r w:rsidRPr="00344583">
        <w:rPr>
          <w:rFonts w:cs="Arial"/>
        </w:rPr>
        <w:t>Ya que no fue interpues</w:t>
      </w:r>
      <w:r w:rsidRPr="001201D0">
        <w:rPr>
          <w:rFonts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cs="Arial"/>
        </w:rPr>
        <w:t>improcedencia invocadas por las partes ni advertidas de oficio, este Resolutor se avoca al análisis del fondo del asunto que nos ocupa.</w:t>
      </w:r>
    </w:p>
    <w:p w14:paraId="014238AA" w14:textId="77777777" w:rsidR="000D7FF4" w:rsidRPr="0019126D" w:rsidRDefault="000D7FF4" w:rsidP="000D7FF4">
      <w:pPr>
        <w:pStyle w:val="Prrafodelista"/>
        <w:autoSpaceDE w:val="0"/>
        <w:autoSpaceDN w:val="0"/>
        <w:adjustRightInd w:val="0"/>
        <w:ind w:left="0"/>
        <w:rPr>
          <w:rFonts w:cs="Arial"/>
        </w:rPr>
      </w:pPr>
    </w:p>
    <w:p w14:paraId="0DC69ACD" w14:textId="648471D3" w:rsidR="00A970D5" w:rsidRPr="006922F5" w:rsidRDefault="000D7FF4" w:rsidP="000D7FF4">
      <w:pPr>
        <w:pStyle w:val="Ttulo2"/>
        <w:rPr>
          <w:rFonts w:eastAsia="Palatino Linotype"/>
        </w:rPr>
      </w:pPr>
      <w:r>
        <w:rPr>
          <w:rFonts w:eastAsia="Times New Roman" w:cs="Arial"/>
          <w:sz w:val="28"/>
          <w:szCs w:val="28"/>
          <w:lang w:val="es-419" w:eastAsia="es-ES"/>
        </w:rPr>
        <w:t>CUARTO</w:t>
      </w:r>
      <w:r w:rsidRPr="0019126D">
        <w:rPr>
          <w:rFonts w:eastAsia="Times New Roman" w:cs="Arial"/>
          <w:lang w:val="es-ES" w:eastAsia="es-ES"/>
        </w:rPr>
        <w:t>. Estudio y resolución del asunto</w:t>
      </w:r>
      <w:r w:rsidRPr="0019126D">
        <w:rPr>
          <w:rFonts w:eastAsia="Times New Roman" w:cs="Times New Roman"/>
          <w:lang w:val="es-ES" w:eastAsia="es-ES"/>
        </w:rPr>
        <w:t>.</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7B2B447" w14:textId="43E7C7BF" w:rsidR="009B2A43" w:rsidRDefault="00A970D5" w:rsidP="00C006C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l</w:t>
      </w:r>
      <w:r w:rsidR="00E32782">
        <w:rPr>
          <w:rFonts w:eastAsia="Palatino Linotype" w:cs="Palatino Linotype"/>
          <w:color w:val="000000"/>
          <w:szCs w:val="24"/>
        </w:rPr>
        <w:t>a</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D57F1A">
        <w:rPr>
          <w:rFonts w:eastAsia="Palatino Linotype" w:cs="Palatino Linotype"/>
          <w:color w:val="000000"/>
          <w:szCs w:val="24"/>
        </w:rPr>
        <w:t xml:space="preserve">que el Sujeto Obligado le </w:t>
      </w:r>
      <w:r w:rsidR="00E85C49">
        <w:rPr>
          <w:rFonts w:eastAsia="Palatino Linotype" w:cs="Palatino Linotype"/>
          <w:color w:val="000000"/>
          <w:szCs w:val="24"/>
        </w:rPr>
        <w:t>informara</w:t>
      </w:r>
      <w:r w:rsidR="009B2A43">
        <w:rPr>
          <w:rFonts w:eastAsia="Palatino Linotype" w:cs="Palatino Linotype"/>
          <w:color w:val="000000"/>
          <w:szCs w:val="24"/>
        </w:rPr>
        <w:t xml:space="preserve"> lo siguiente:</w:t>
      </w:r>
    </w:p>
    <w:p w14:paraId="01262F3E" w14:textId="33FAC323" w:rsidR="00413FC2" w:rsidRDefault="00E32782" w:rsidP="006D438A">
      <w:pPr>
        <w:pStyle w:val="Prrafodelista"/>
        <w:numPr>
          <w:ilvl w:val="0"/>
          <w:numId w:val="1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I</w:t>
      </w:r>
      <w:r w:rsidRPr="00E32782">
        <w:rPr>
          <w:rFonts w:eastAsia="Palatino Linotype" w:cs="Palatino Linotype"/>
          <w:color w:val="000000"/>
        </w:rPr>
        <w:t>nformación acerca del por qué durante la administración de la C. Marcela González Salas se ha suspendido el Programa de Estímulo a la Creación y al Desarrollo Artístico para el Estado de México</w:t>
      </w:r>
      <w:r w:rsidR="00FC3F7A" w:rsidRPr="00237E7E">
        <w:rPr>
          <w:rFonts w:eastAsia="Palatino Linotype" w:cs="Palatino Linotype"/>
          <w:color w:val="000000"/>
        </w:rPr>
        <w:t>.</w:t>
      </w:r>
    </w:p>
    <w:p w14:paraId="361CF34D" w14:textId="77777777" w:rsidR="00E32782" w:rsidRPr="00E32782" w:rsidRDefault="00E32782" w:rsidP="00E32782">
      <w:pPr>
        <w:pBdr>
          <w:top w:val="nil"/>
          <w:left w:val="nil"/>
          <w:bottom w:val="nil"/>
          <w:right w:val="nil"/>
          <w:between w:val="nil"/>
        </w:pBdr>
        <w:contextualSpacing/>
        <w:rPr>
          <w:rFonts w:eastAsia="Palatino Linotype" w:cs="Palatino Linotype"/>
          <w:color w:val="000000"/>
        </w:rPr>
      </w:pPr>
    </w:p>
    <w:p w14:paraId="0F375DF2" w14:textId="1CE01E9F" w:rsidR="00B82E69" w:rsidRDefault="00A970D5" w:rsidP="00B82E69">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E32782">
        <w:rPr>
          <w:rFonts w:eastAsia="Palatino Linotype" w:cs="Palatino Linotype"/>
          <w:color w:val="000000"/>
          <w:szCs w:val="24"/>
        </w:rPr>
        <w:t>al tenor de lo siguiente</w:t>
      </w:r>
      <w:r w:rsidR="00D57F1A">
        <w:rPr>
          <w:rFonts w:eastAsia="Palatino Linotype" w:cs="Palatino Linotype"/>
          <w:color w:val="000000"/>
          <w:szCs w:val="24"/>
        </w:rPr>
        <w:t>:</w:t>
      </w:r>
    </w:p>
    <w:p w14:paraId="3D583A56" w14:textId="639BE536" w:rsidR="00446937" w:rsidRPr="00E32782" w:rsidRDefault="00E32782" w:rsidP="00E32782">
      <w:pPr>
        <w:pBdr>
          <w:top w:val="nil"/>
          <w:left w:val="nil"/>
          <w:bottom w:val="nil"/>
          <w:right w:val="nil"/>
          <w:between w:val="nil"/>
        </w:pBdr>
        <w:ind w:left="567" w:right="567"/>
        <w:contextualSpacing/>
        <w:rPr>
          <w:rFonts w:eastAsia="Palatino Linotype" w:cs="Palatino Linotype"/>
          <w:i/>
          <w:color w:val="000000"/>
        </w:rPr>
      </w:pPr>
      <w:r w:rsidRPr="00E32782">
        <w:rPr>
          <w:rFonts w:eastAsia="Palatino Linotype" w:cs="Palatino Linotype"/>
          <w:i/>
          <w:color w:val="000000"/>
        </w:rPr>
        <w:t xml:space="preserve">“En atención a su solicitud de información 00049/SCTUR/IP/2023, hago de su conocimiento que con fundamento en el artículo 12 y 59 Fracciones: I, II y VI de la Ley de Transparencia y Acceso a la Información Pública del Estado de México y Municipios, que establece: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En razón de lo anterior, y a efecto de dar respuesta a: “Solicito información acerca del por qué durante la administración de la C. Marcela González Salas se ha suspendido el Programa de Estímulo a la Creación y al Desarrollo Artístico para el Estado de México”; </w:t>
      </w:r>
      <w:r w:rsidRPr="00E32782">
        <w:rPr>
          <w:rFonts w:eastAsia="Palatino Linotype" w:cs="Palatino Linotype"/>
          <w:b/>
          <w:i/>
          <w:color w:val="000000"/>
          <w:u w:val="single"/>
        </w:rPr>
        <w:t>hago de su conocimiento que la Secretaría de Cultura del Gobierno Federal, dejó de operar el programa antes referido; se anexa liga, en el que se publicó el DECRETO por el que se ordena la extinción o terminación de los fideicomisos públicos, mandatos públicos y análogos. https://www.dof.gob.mx/nota_detalle.php?codigo=5591085&amp;fecha=02/04/2020#gsc.tab=0</w:t>
      </w:r>
      <w:r w:rsidRPr="00E32782">
        <w:rPr>
          <w:rFonts w:eastAsia="Palatino Linotype" w:cs="Palatino Linotype"/>
          <w:i/>
          <w:color w:val="000000"/>
        </w:rPr>
        <w:t>”</w:t>
      </w:r>
    </w:p>
    <w:p w14:paraId="594D4DA8" w14:textId="77777777" w:rsidR="00E85C49" w:rsidRDefault="00E85C49" w:rsidP="006922F5">
      <w:pPr>
        <w:pBdr>
          <w:top w:val="nil"/>
          <w:left w:val="nil"/>
          <w:bottom w:val="nil"/>
          <w:right w:val="nil"/>
          <w:between w:val="nil"/>
        </w:pBdr>
        <w:contextualSpacing/>
        <w:rPr>
          <w:rFonts w:eastAsia="Palatino Linotype" w:cs="Palatino Linotype"/>
          <w:color w:val="000000"/>
          <w:szCs w:val="24"/>
        </w:rPr>
      </w:pPr>
    </w:p>
    <w:p w14:paraId="6128DFF4" w14:textId="61D8F57C"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l</w:t>
      </w:r>
      <w:r w:rsidR="00E32782">
        <w:rPr>
          <w:rFonts w:eastAsia="Palatino Linotype" w:cs="Palatino Linotype"/>
          <w:color w:val="000000"/>
          <w:szCs w:val="24"/>
        </w:rPr>
        <w:t>a</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1C275A">
        <w:rPr>
          <w:rFonts w:eastAsia="Palatino Linotype" w:cs="Palatino Linotype"/>
          <w:color w:val="000000"/>
          <w:szCs w:val="24"/>
        </w:rPr>
        <w:t xml:space="preserve"> la </w:t>
      </w:r>
      <w:r w:rsidR="00E32782">
        <w:rPr>
          <w:rFonts w:eastAsia="Palatino Linotype" w:cs="Palatino Linotype"/>
          <w:color w:val="000000"/>
          <w:szCs w:val="24"/>
        </w:rPr>
        <w:t>deficiencia e insuficiencia de la respuesta entregada</w:t>
      </w:r>
      <w:r w:rsidR="001C275A">
        <w:rPr>
          <w:rFonts w:eastAsia="Palatino Linotype" w:cs="Palatino Linotype"/>
          <w:color w:val="000000"/>
          <w:szCs w:val="24"/>
        </w:rPr>
        <w:t>,</w:t>
      </w:r>
      <w:r w:rsidR="00BB16D5" w:rsidRPr="006922F5">
        <w:rPr>
          <w:rFonts w:eastAsia="Palatino Linotype" w:cs="Palatino Linotype"/>
          <w:color w:val="000000"/>
          <w:szCs w:val="24"/>
        </w:rPr>
        <w:t xml:space="preserve"> </w:t>
      </w:r>
      <w:r w:rsidR="00F6068A">
        <w:rPr>
          <w:rFonts w:eastAsia="Palatino Linotype" w:cs="Palatino Linotype"/>
          <w:color w:val="000000"/>
          <w:szCs w:val="24"/>
        </w:rPr>
        <w:t>y</w:t>
      </w:r>
      <w:r w:rsidR="001C275A">
        <w:rPr>
          <w:rFonts w:eastAsia="Palatino Linotype" w:cs="Palatino Linotype"/>
          <w:color w:val="000000"/>
          <w:szCs w:val="24"/>
        </w:rPr>
        <w:t xml:space="preserve"> como</w:t>
      </w:r>
      <w:r w:rsidR="00F6068A">
        <w:rPr>
          <w:rFonts w:eastAsia="Palatino Linotype" w:cs="Palatino Linotype"/>
          <w:color w:val="000000"/>
          <w:szCs w:val="24"/>
        </w:rPr>
        <w:t xml:space="preserve"> razones o motivos de inconformidad </w:t>
      </w:r>
      <w:r w:rsidR="001C275A" w:rsidRPr="001C275A">
        <w:rPr>
          <w:rFonts w:eastAsia="Palatino Linotype" w:cs="Palatino Linotype"/>
          <w:i/>
          <w:color w:val="000000"/>
          <w:szCs w:val="24"/>
        </w:rPr>
        <w:t>“</w:t>
      </w:r>
      <w:r w:rsidR="00E32782" w:rsidRPr="00E32782">
        <w:rPr>
          <w:rFonts w:eastAsia="Palatino Linotype" w:cs="Palatino Linotype"/>
          <w:i/>
          <w:color w:val="000000"/>
          <w:szCs w:val="24"/>
        </w:rPr>
        <w:t>Se me remite, sin argumentación de sustento, o recurriendo falazmente a un artículo de la propia Ley de Transparencia en el que pareciera que el solicitante, yo, estuviera pidiendo "a modo" la información, a una página en la que el C. López Obrador declara inexistentes en el año 2020 los fideicomisos. No obstante el programa PECDA sigue operando en otros Estados de la República. Véase y léase: https://www.gob.mx/cultura/documentos/criterios-operativos-pecda-2022 Solicito de la manera más atenta se responda sin ambigüedades a mi solicitud de información PÚBLICA.</w:t>
      </w:r>
      <w:r w:rsidR="001C275A">
        <w:rPr>
          <w:rFonts w:eastAsia="Palatino Linotype" w:cs="Palatino Linotype"/>
          <w:color w:val="000000"/>
          <w:szCs w:val="24"/>
        </w:rPr>
        <w:t>”.</w:t>
      </w:r>
    </w:p>
    <w:p w14:paraId="3AC05501" w14:textId="77777777" w:rsidR="003D372B" w:rsidRDefault="003D372B" w:rsidP="006922F5">
      <w:pPr>
        <w:pBdr>
          <w:top w:val="nil"/>
          <w:left w:val="nil"/>
          <w:bottom w:val="nil"/>
          <w:right w:val="nil"/>
          <w:between w:val="nil"/>
        </w:pBdr>
        <w:contextualSpacing/>
        <w:rPr>
          <w:rFonts w:eastAsia="Palatino Linotype" w:cs="Palatino Linotype"/>
          <w:color w:val="000000"/>
          <w:szCs w:val="24"/>
        </w:rPr>
      </w:pPr>
    </w:p>
    <w:p w14:paraId="37D88EC6" w14:textId="5BB529E2" w:rsidR="009279EC" w:rsidRDefault="003B5707" w:rsidP="006922F5">
      <w:pPr>
        <w:pBdr>
          <w:top w:val="nil"/>
          <w:left w:val="nil"/>
          <w:bottom w:val="nil"/>
          <w:right w:val="nil"/>
          <w:between w:val="nil"/>
        </w:pBdr>
        <w:contextualSpacing/>
      </w:pPr>
      <w:r w:rsidRPr="003B5707">
        <w:t>Caber precisar que durante la etapa de instrucción la Recurrente no realizó manifestaciones, vertió alegatos ni presentó pruebas que a su derecho convinieran. Por su parte, el Sujeto Obligado rindió su Informe Justificado mediante la presentación de los siguientes documentos:</w:t>
      </w:r>
    </w:p>
    <w:p w14:paraId="5B4E7C3F" w14:textId="77777777" w:rsidR="00E32782" w:rsidRDefault="00E32782" w:rsidP="006922F5">
      <w:pPr>
        <w:pBdr>
          <w:top w:val="nil"/>
          <w:left w:val="nil"/>
          <w:bottom w:val="nil"/>
          <w:right w:val="nil"/>
          <w:between w:val="nil"/>
        </w:pBdr>
        <w:contextualSpacing/>
      </w:pPr>
    </w:p>
    <w:p w14:paraId="54D081C7" w14:textId="47175C7F" w:rsidR="00930959" w:rsidRPr="00930959" w:rsidRDefault="00E32782" w:rsidP="00E32782">
      <w:pPr>
        <w:pStyle w:val="Prrafodelista"/>
        <w:numPr>
          <w:ilvl w:val="0"/>
          <w:numId w:val="16"/>
        </w:numPr>
        <w:pBdr>
          <w:top w:val="nil"/>
          <w:left w:val="nil"/>
          <w:bottom w:val="nil"/>
          <w:right w:val="nil"/>
          <w:between w:val="nil"/>
        </w:pBdr>
        <w:contextualSpacing/>
        <w:rPr>
          <w:rFonts w:eastAsia="Palatino Linotype" w:cs="Palatino Linotype"/>
          <w:color w:val="000000"/>
        </w:rPr>
      </w:pPr>
      <w:r w:rsidRPr="00E32782">
        <w:rPr>
          <w:rFonts w:eastAsia="Palatino Linotype" w:cs="Palatino Linotype"/>
          <w:b/>
          <w:color w:val="000000"/>
        </w:rPr>
        <w:t>1355 RR 11-04-2023-170044.pdf</w:t>
      </w:r>
      <w:r w:rsidR="003B5707" w:rsidRPr="000C215F">
        <w:rPr>
          <w:rFonts w:eastAsia="Palatino Linotype" w:cs="Palatino Linotype"/>
          <w:b/>
          <w:color w:val="000000"/>
        </w:rPr>
        <w:t xml:space="preserve">: </w:t>
      </w:r>
      <w:r w:rsidR="008A0F9F" w:rsidRPr="000C215F">
        <w:t xml:space="preserve">Contiene el </w:t>
      </w:r>
      <w:r w:rsidR="008C6919">
        <w:t xml:space="preserve">oficio número </w:t>
      </w:r>
      <w:r>
        <w:t>22600002A/0373/2023, de fecha 10 de abril de dos mil veintitrés, signado por el Director General de Patrimon</w:t>
      </w:r>
      <w:r w:rsidR="00930959">
        <w:t xml:space="preserve">io y Servicios Culturales del Valle de Toluca, mediante el cual refiere que se aclara que no se encuentra suspendido el Programa de Estímulo a la Creación y Desarrollo Artístico del Estado de México (PECDA-EM), a la fecha se encuentra extinto con base en el convenio de terminación firmado entre la Dirección General de Vinculación Cultural de la Secretaría de Cultura del Gobierno Federal, y el Fondo Nacional para la Cultura y las Artes (FONCA) en el cual se formaliza la </w:t>
      </w:r>
      <w:r w:rsidR="00930959">
        <w:lastRenderedPageBreak/>
        <w:t>extinción del Fondo para la cultura y las Artes del Estado de México por el cual se operaron los recursos del PECDA hasta la emisión 2021. Asimismo atendiendo al principio de máxima publicidad y como antecedente, se informa que: el Programa de Estímulo a la Creación y Desarrollo Artístico del Estado de México (PECDA-EM) en su 21 Convocatoria del 2018-2019 entregó 85 estímulos seleccionados de los 234 registrados en línea, de los cuales 73 fueron para creadores por un monto de $110,000.00 y 12 para Creadores con Trayectoria  por un monto $140,000.00 en las diferentes disciplinas para un total de recursos otorgados en la convocatoria por un monto de $9,600,00.00.</w:t>
      </w:r>
    </w:p>
    <w:p w14:paraId="042EC09D" w14:textId="77777777" w:rsidR="00C01912" w:rsidRDefault="00C01912" w:rsidP="006922F5">
      <w:pPr>
        <w:pBdr>
          <w:top w:val="nil"/>
          <w:left w:val="nil"/>
          <w:bottom w:val="nil"/>
          <w:right w:val="nil"/>
          <w:between w:val="nil"/>
        </w:pBdr>
        <w:contextualSpacing/>
        <w:rPr>
          <w:rFonts w:cs="Arial"/>
          <w:lang w:val="es-ES"/>
        </w:rPr>
      </w:pPr>
    </w:p>
    <w:p w14:paraId="23B607E9" w14:textId="2076AF45" w:rsidR="00BB67A7" w:rsidRDefault="00C01912" w:rsidP="006922F5">
      <w:pPr>
        <w:pBdr>
          <w:top w:val="nil"/>
          <w:left w:val="nil"/>
          <w:bottom w:val="nil"/>
          <w:right w:val="nil"/>
          <w:between w:val="nil"/>
        </w:pBdr>
        <w:contextualSpacing/>
        <w:rPr>
          <w:rFonts w:cs="Arial"/>
          <w:lang w:val="es-ES"/>
        </w:rPr>
      </w:pPr>
      <w:r w:rsidRPr="00E039F1">
        <w:rPr>
          <w:rFonts w:cs="Arial"/>
          <w:lang w:val="es-ES"/>
        </w:rPr>
        <w:t>Atentos a las manif</w:t>
      </w:r>
      <w:r>
        <w:rPr>
          <w:rFonts w:cs="Arial"/>
          <w:lang w:val="es-ES"/>
        </w:rPr>
        <w:t>estaciones del Sujeto Obligado</w:t>
      </w:r>
      <w:r w:rsidRPr="00E039F1">
        <w:rPr>
          <w:rFonts w:cs="Arial"/>
          <w:lang w:val="es-ES"/>
        </w:rPr>
        <w:t xml:space="preserve">, resulta necesaria la elaboración de un cuadro comparativo que permita advertir los requerimientos de información confrontados con la información proporcionada, a efecto de estar en posibilidades de determinar, si el </w:t>
      </w:r>
      <w:r w:rsidRPr="00E039F1">
        <w:rPr>
          <w:rFonts w:cs="Arial"/>
          <w:b/>
          <w:lang w:val="es-ES"/>
        </w:rPr>
        <w:t>Sujeto Obligado</w:t>
      </w:r>
      <w:r w:rsidRPr="00E039F1">
        <w:rPr>
          <w:rFonts w:cs="Arial"/>
          <w:lang w:val="es-ES"/>
        </w:rPr>
        <w:t xml:space="preserve"> hizo entrega de la información, garantizando el derecho de acceso a la información del particular, por lo que se procede en los términos siguientes:</w:t>
      </w:r>
    </w:p>
    <w:p w14:paraId="7F5842CA" w14:textId="77777777" w:rsidR="003F440D" w:rsidRDefault="003F440D" w:rsidP="006922F5">
      <w:pPr>
        <w:pBdr>
          <w:top w:val="nil"/>
          <w:left w:val="nil"/>
          <w:bottom w:val="nil"/>
          <w:right w:val="nil"/>
          <w:between w:val="nil"/>
        </w:pBdr>
        <w:contextualSpacing/>
      </w:pPr>
    </w:p>
    <w:tbl>
      <w:tblPr>
        <w:tblStyle w:val="Tablaconcuadrcula"/>
        <w:tblW w:w="9067" w:type="dxa"/>
        <w:tblLayout w:type="fixed"/>
        <w:tblLook w:val="04A0" w:firstRow="1" w:lastRow="0" w:firstColumn="1" w:lastColumn="0" w:noHBand="0" w:noVBand="1"/>
      </w:tblPr>
      <w:tblGrid>
        <w:gridCol w:w="2405"/>
        <w:gridCol w:w="1843"/>
        <w:gridCol w:w="2126"/>
        <w:gridCol w:w="2693"/>
      </w:tblGrid>
      <w:tr w:rsidR="00F602D4" w:rsidRPr="003905C4" w14:paraId="28862323" w14:textId="77777777" w:rsidTr="00E32CF9">
        <w:tc>
          <w:tcPr>
            <w:tcW w:w="2405" w:type="dxa"/>
            <w:tcBorders>
              <w:right w:val="single" w:sz="12" w:space="0" w:color="FFFFFF" w:themeColor="background1"/>
            </w:tcBorders>
            <w:shd w:val="clear" w:color="auto" w:fill="000000" w:themeFill="text1"/>
          </w:tcPr>
          <w:p w14:paraId="422865BB" w14:textId="77777777" w:rsidR="00F602D4" w:rsidRPr="003905C4" w:rsidRDefault="00F602D4" w:rsidP="00E32CF9">
            <w:pPr>
              <w:pStyle w:val="Citas"/>
              <w:tabs>
                <w:tab w:val="left" w:pos="7470"/>
              </w:tabs>
              <w:spacing w:line="240" w:lineRule="auto"/>
              <w:ind w:left="0" w:right="72"/>
              <w:jc w:val="center"/>
              <w:rPr>
                <w:b/>
                <w:bCs/>
                <w:i w:val="0"/>
                <w:sz w:val="18"/>
                <w:szCs w:val="18"/>
              </w:rPr>
            </w:pPr>
            <w:r w:rsidRPr="003905C4">
              <w:rPr>
                <w:b/>
                <w:bCs/>
                <w:i w:val="0"/>
                <w:sz w:val="18"/>
                <w:szCs w:val="18"/>
              </w:rPr>
              <w:t>SOLICITUD DE INFORMACIÓN</w:t>
            </w:r>
          </w:p>
        </w:tc>
        <w:tc>
          <w:tcPr>
            <w:tcW w:w="1843" w:type="dxa"/>
            <w:tcBorders>
              <w:left w:val="single" w:sz="12" w:space="0" w:color="FFFFFF" w:themeColor="background1"/>
              <w:right w:val="single" w:sz="12" w:space="0" w:color="FFFFFF" w:themeColor="background1"/>
            </w:tcBorders>
            <w:shd w:val="clear" w:color="auto" w:fill="000000" w:themeFill="text1"/>
          </w:tcPr>
          <w:p w14:paraId="22D3980B" w14:textId="77777777" w:rsidR="00F602D4" w:rsidRPr="003905C4" w:rsidRDefault="00F602D4" w:rsidP="00E32CF9">
            <w:pPr>
              <w:pStyle w:val="Citas"/>
              <w:tabs>
                <w:tab w:val="left" w:pos="7470"/>
              </w:tabs>
              <w:spacing w:line="240" w:lineRule="auto"/>
              <w:ind w:left="0" w:right="72"/>
              <w:jc w:val="center"/>
              <w:rPr>
                <w:b/>
                <w:bCs/>
                <w:i w:val="0"/>
                <w:sz w:val="18"/>
                <w:szCs w:val="18"/>
              </w:rPr>
            </w:pPr>
            <w:r w:rsidRPr="003905C4">
              <w:rPr>
                <w:b/>
                <w:bCs/>
                <w:i w:val="0"/>
                <w:sz w:val="18"/>
                <w:szCs w:val="18"/>
              </w:rPr>
              <w:t>RESPUESTA</w:t>
            </w:r>
          </w:p>
        </w:tc>
        <w:tc>
          <w:tcPr>
            <w:tcW w:w="2126" w:type="dxa"/>
            <w:tcBorders>
              <w:left w:val="single" w:sz="12" w:space="0" w:color="FFFFFF" w:themeColor="background1"/>
              <w:right w:val="single" w:sz="12" w:space="0" w:color="FFFFFF" w:themeColor="background1"/>
            </w:tcBorders>
            <w:shd w:val="clear" w:color="auto" w:fill="000000" w:themeFill="text1"/>
          </w:tcPr>
          <w:p w14:paraId="2A7CA10F" w14:textId="77777777" w:rsidR="00F602D4" w:rsidRPr="003905C4" w:rsidRDefault="00F602D4" w:rsidP="00E32CF9">
            <w:pPr>
              <w:pStyle w:val="Citas"/>
              <w:tabs>
                <w:tab w:val="left" w:pos="7470"/>
              </w:tabs>
              <w:spacing w:line="240" w:lineRule="auto"/>
              <w:ind w:left="0" w:right="72"/>
              <w:jc w:val="center"/>
              <w:rPr>
                <w:b/>
                <w:bCs/>
                <w:i w:val="0"/>
                <w:sz w:val="18"/>
                <w:szCs w:val="18"/>
              </w:rPr>
            </w:pPr>
            <w:r w:rsidRPr="003905C4">
              <w:rPr>
                <w:b/>
                <w:bCs/>
                <w:i w:val="0"/>
                <w:sz w:val="18"/>
                <w:szCs w:val="18"/>
              </w:rPr>
              <w:t xml:space="preserve">INFORME </w:t>
            </w:r>
            <w:r w:rsidRPr="003905C4">
              <w:rPr>
                <w:b/>
                <w:bCs/>
                <w:i w:val="0"/>
                <w:color w:val="FFFFFF" w:themeColor="background1"/>
                <w:sz w:val="18"/>
                <w:szCs w:val="18"/>
              </w:rPr>
              <w:t>JUSTIFICADO</w:t>
            </w:r>
          </w:p>
        </w:tc>
        <w:tc>
          <w:tcPr>
            <w:tcW w:w="2693" w:type="dxa"/>
            <w:tcBorders>
              <w:left w:val="single" w:sz="12" w:space="0" w:color="FFFFFF" w:themeColor="background1"/>
            </w:tcBorders>
            <w:shd w:val="clear" w:color="auto" w:fill="000000" w:themeFill="text1"/>
          </w:tcPr>
          <w:p w14:paraId="0A3B85BC" w14:textId="77777777" w:rsidR="00F602D4" w:rsidRPr="003905C4" w:rsidRDefault="00F602D4" w:rsidP="00E32CF9">
            <w:pPr>
              <w:pStyle w:val="Citas"/>
              <w:tabs>
                <w:tab w:val="left" w:pos="7470"/>
              </w:tabs>
              <w:spacing w:line="240" w:lineRule="auto"/>
              <w:ind w:left="0" w:right="72"/>
              <w:jc w:val="center"/>
              <w:rPr>
                <w:b/>
                <w:bCs/>
                <w:i w:val="0"/>
                <w:sz w:val="18"/>
                <w:szCs w:val="18"/>
              </w:rPr>
            </w:pPr>
            <w:r w:rsidRPr="003905C4">
              <w:rPr>
                <w:b/>
                <w:bCs/>
                <w:i w:val="0"/>
                <w:sz w:val="18"/>
                <w:szCs w:val="18"/>
              </w:rPr>
              <w:t>COLMA</w:t>
            </w:r>
          </w:p>
        </w:tc>
      </w:tr>
      <w:tr w:rsidR="00F602D4" w:rsidRPr="003905C4" w14:paraId="46AC0F78" w14:textId="77777777" w:rsidTr="00E32CF9">
        <w:tc>
          <w:tcPr>
            <w:tcW w:w="2405" w:type="dxa"/>
            <w:vAlign w:val="center"/>
          </w:tcPr>
          <w:p w14:paraId="14DDBE3D" w14:textId="14A4909F" w:rsidR="00F602D4" w:rsidRPr="00F602D4" w:rsidRDefault="00930959" w:rsidP="00B82E69">
            <w:pPr>
              <w:pStyle w:val="Citas"/>
              <w:numPr>
                <w:ilvl w:val="0"/>
                <w:numId w:val="20"/>
              </w:numPr>
              <w:tabs>
                <w:tab w:val="left" w:pos="1421"/>
              </w:tabs>
              <w:spacing w:after="0" w:line="240" w:lineRule="auto"/>
              <w:ind w:left="313" w:right="175"/>
              <w:rPr>
                <w:i w:val="0"/>
                <w:iCs/>
                <w:sz w:val="18"/>
                <w:szCs w:val="18"/>
              </w:rPr>
            </w:pPr>
            <w:r>
              <w:rPr>
                <w:rFonts w:eastAsia="Palatino Linotype" w:cs="Palatino Linotype"/>
                <w:color w:val="000000"/>
              </w:rPr>
              <w:t>I</w:t>
            </w:r>
            <w:r w:rsidRPr="00E32782">
              <w:rPr>
                <w:rFonts w:eastAsia="Palatino Linotype" w:cs="Palatino Linotype"/>
                <w:color w:val="000000"/>
              </w:rPr>
              <w:t xml:space="preserve">nformación acerca del por qué durante la administración de la C. Marcela González Salas se ha suspendido el Programa de </w:t>
            </w:r>
            <w:r w:rsidRPr="00E32782">
              <w:rPr>
                <w:rFonts w:eastAsia="Palatino Linotype" w:cs="Palatino Linotype"/>
                <w:color w:val="000000"/>
              </w:rPr>
              <w:lastRenderedPageBreak/>
              <w:t>Estímulo a la Creación y al Desarrollo Artístico para el Estado de México</w:t>
            </w:r>
          </w:p>
        </w:tc>
        <w:tc>
          <w:tcPr>
            <w:tcW w:w="1843" w:type="dxa"/>
            <w:vAlign w:val="center"/>
          </w:tcPr>
          <w:p w14:paraId="19D7DA91" w14:textId="1B7BCE30" w:rsidR="00F602D4" w:rsidRPr="003905C4" w:rsidRDefault="00A73D64" w:rsidP="00930959">
            <w:pPr>
              <w:pStyle w:val="Citas"/>
              <w:tabs>
                <w:tab w:val="left" w:pos="7470"/>
              </w:tabs>
              <w:spacing w:line="240" w:lineRule="auto"/>
              <w:ind w:left="0" w:right="72"/>
              <w:rPr>
                <w:i w:val="0"/>
                <w:sz w:val="18"/>
                <w:szCs w:val="18"/>
              </w:rPr>
            </w:pPr>
            <w:r>
              <w:rPr>
                <w:i w:val="0"/>
                <w:sz w:val="18"/>
                <w:szCs w:val="18"/>
              </w:rPr>
              <w:lastRenderedPageBreak/>
              <w:t xml:space="preserve">El Sujeto Obligado </w:t>
            </w:r>
            <w:r w:rsidR="00930959">
              <w:rPr>
                <w:rFonts w:eastAsia="Palatino Linotype" w:cs="Palatino Linotype"/>
                <w:b/>
                <w:i w:val="0"/>
                <w:color w:val="000000"/>
                <w:u w:val="single"/>
              </w:rPr>
              <w:t>hace</w:t>
            </w:r>
            <w:r w:rsidR="00930959" w:rsidRPr="00E32782">
              <w:rPr>
                <w:rFonts w:eastAsia="Palatino Linotype" w:cs="Palatino Linotype"/>
                <w:b/>
                <w:i w:val="0"/>
                <w:color w:val="000000"/>
                <w:u w:val="single"/>
              </w:rPr>
              <w:t xml:space="preserve"> de</w:t>
            </w:r>
            <w:r w:rsidR="00930959">
              <w:rPr>
                <w:rFonts w:eastAsia="Palatino Linotype" w:cs="Palatino Linotype"/>
                <w:b/>
                <w:i w:val="0"/>
                <w:color w:val="000000"/>
                <w:u w:val="single"/>
              </w:rPr>
              <w:t>l</w:t>
            </w:r>
            <w:r w:rsidR="00930959" w:rsidRPr="00E32782">
              <w:rPr>
                <w:rFonts w:eastAsia="Palatino Linotype" w:cs="Palatino Linotype"/>
                <w:b/>
                <w:i w:val="0"/>
                <w:color w:val="000000"/>
                <w:u w:val="single"/>
              </w:rPr>
              <w:t xml:space="preserve"> conocimiento que la Secretaría de Cultura del Gobierno </w:t>
            </w:r>
            <w:r w:rsidR="00930959" w:rsidRPr="00E32782">
              <w:rPr>
                <w:rFonts w:eastAsia="Palatino Linotype" w:cs="Palatino Linotype"/>
                <w:b/>
                <w:i w:val="0"/>
                <w:color w:val="000000"/>
                <w:u w:val="single"/>
              </w:rPr>
              <w:lastRenderedPageBreak/>
              <w:t>Federal, dejó de operar el programa antes referido; se anexa liga, en el que se publicó el DECRETO por el que se ordena la extinción o terminación de los fideicomisos públicos, mandatos públicos y análogos. https://www.dof.gob.mx/nota_detalle.php?codigo=5591085&amp;fecha=02/04/2020#gsc.tab=0</w:t>
            </w:r>
            <w:r w:rsidR="00031ECE">
              <w:rPr>
                <w:i w:val="0"/>
                <w:sz w:val="18"/>
                <w:szCs w:val="18"/>
              </w:rPr>
              <w:t xml:space="preserve">                                                        </w:t>
            </w:r>
          </w:p>
        </w:tc>
        <w:tc>
          <w:tcPr>
            <w:tcW w:w="2126" w:type="dxa"/>
            <w:vAlign w:val="center"/>
          </w:tcPr>
          <w:p w14:paraId="08E8AD31" w14:textId="710BAA2A" w:rsidR="00F602D4" w:rsidRPr="003905C4" w:rsidRDefault="00930959" w:rsidP="000D1DE0">
            <w:pPr>
              <w:pStyle w:val="Citas"/>
              <w:tabs>
                <w:tab w:val="left" w:pos="7470"/>
              </w:tabs>
              <w:spacing w:line="240" w:lineRule="auto"/>
              <w:ind w:left="0" w:right="72"/>
              <w:rPr>
                <w:i w:val="0"/>
                <w:sz w:val="18"/>
                <w:szCs w:val="18"/>
              </w:rPr>
            </w:pPr>
            <w:r>
              <w:rPr>
                <w:i w:val="0"/>
                <w:sz w:val="18"/>
                <w:szCs w:val="18"/>
              </w:rPr>
              <w:lastRenderedPageBreak/>
              <w:t>El Sujeto Obligado adjunta un oficio mediante el cual refiere que el programa referido en la solicitud se encuentra extinto con base en el C</w:t>
            </w:r>
            <w:r w:rsidR="003F440D">
              <w:rPr>
                <w:i w:val="0"/>
                <w:sz w:val="18"/>
                <w:szCs w:val="18"/>
              </w:rPr>
              <w:t xml:space="preserve">onvenio </w:t>
            </w:r>
            <w:r w:rsidR="003F440D" w:rsidRPr="003F440D">
              <w:rPr>
                <w:i w:val="0"/>
                <w:sz w:val="18"/>
                <w:szCs w:val="18"/>
              </w:rPr>
              <w:t xml:space="preserve">de terminación firmado </w:t>
            </w:r>
            <w:r w:rsidR="003F440D" w:rsidRPr="003F440D">
              <w:rPr>
                <w:i w:val="0"/>
                <w:sz w:val="18"/>
                <w:szCs w:val="18"/>
              </w:rPr>
              <w:lastRenderedPageBreak/>
              <w:t>entre la Dirección General de Vinculación Cultural de la Secretaría de Cultura del Gobierno Federal, y el Fondo Nacional para la Cultura y las Artes (FONCA) en el cual se formaliza la extinción del Fondo para la cultura y las Artes del Estado de México por el cual se operaron los recursos del PECDA hasta la emisión 2021</w:t>
            </w:r>
          </w:p>
        </w:tc>
        <w:tc>
          <w:tcPr>
            <w:tcW w:w="2693" w:type="dxa"/>
            <w:vAlign w:val="center"/>
          </w:tcPr>
          <w:p w14:paraId="4E4A3613" w14:textId="77777777" w:rsidR="00F602D4" w:rsidRDefault="00F602D4" w:rsidP="00E32CF9">
            <w:pPr>
              <w:pStyle w:val="Citas"/>
              <w:tabs>
                <w:tab w:val="left" w:pos="7470"/>
              </w:tabs>
              <w:spacing w:line="240" w:lineRule="auto"/>
              <w:ind w:left="0" w:right="72"/>
              <w:jc w:val="center"/>
              <w:rPr>
                <w:i w:val="0"/>
                <w:sz w:val="18"/>
                <w:szCs w:val="18"/>
              </w:rPr>
            </w:pPr>
            <w:r w:rsidRPr="003905C4">
              <w:rPr>
                <w:i w:val="0"/>
                <w:sz w:val="18"/>
                <w:szCs w:val="18"/>
              </w:rPr>
              <w:lastRenderedPageBreak/>
              <w:t>Sí</w:t>
            </w:r>
          </w:p>
          <w:p w14:paraId="6148F356" w14:textId="678BF58E" w:rsidR="000D1DE0" w:rsidRPr="003905C4" w:rsidRDefault="000D1DE0" w:rsidP="00E32CF9">
            <w:pPr>
              <w:pStyle w:val="Citas"/>
              <w:tabs>
                <w:tab w:val="left" w:pos="7470"/>
              </w:tabs>
              <w:spacing w:line="240" w:lineRule="auto"/>
              <w:ind w:left="0" w:right="72"/>
              <w:jc w:val="center"/>
              <w:rPr>
                <w:i w:val="0"/>
                <w:sz w:val="18"/>
                <w:szCs w:val="18"/>
              </w:rPr>
            </w:pPr>
          </w:p>
        </w:tc>
      </w:tr>
    </w:tbl>
    <w:p w14:paraId="46361CF8" w14:textId="77777777" w:rsidR="006076BB" w:rsidRDefault="006076BB" w:rsidP="00C01912">
      <w:pPr>
        <w:rPr>
          <w:rFonts w:cs="Arial"/>
          <w:szCs w:val="24"/>
          <w:lang w:val="es-ES"/>
        </w:rPr>
      </w:pPr>
    </w:p>
    <w:p w14:paraId="6EEDB7CB" w14:textId="1910CB39" w:rsidR="00C01912" w:rsidRPr="00E039F1" w:rsidRDefault="006076BB" w:rsidP="00C01912">
      <w:pPr>
        <w:rPr>
          <w:rFonts w:cs="Arial"/>
          <w:szCs w:val="24"/>
        </w:rPr>
      </w:pPr>
      <w:r>
        <w:rPr>
          <w:rFonts w:cs="Arial"/>
          <w:szCs w:val="24"/>
          <w:lang w:val="es-ES"/>
        </w:rPr>
        <w:t>E</w:t>
      </w:r>
      <w:r w:rsidR="003F440D">
        <w:rPr>
          <w:rFonts w:cs="Arial"/>
          <w:szCs w:val="24"/>
          <w:lang w:val="es-ES"/>
        </w:rPr>
        <w:t>s</w:t>
      </w:r>
      <w:r>
        <w:rPr>
          <w:rFonts w:cs="Arial"/>
          <w:szCs w:val="24"/>
          <w:lang w:val="es-ES"/>
        </w:rPr>
        <w:t xml:space="preserve"> así que</w:t>
      </w:r>
      <w:r w:rsidR="00C01912" w:rsidRPr="00E039F1">
        <w:rPr>
          <w:rFonts w:cs="Arial"/>
          <w:szCs w:val="24"/>
          <w:lang w:val="es-ES"/>
        </w:rPr>
        <w:t xml:space="preserve">, </w:t>
      </w:r>
      <w:r w:rsidR="00C01912" w:rsidRPr="00E039F1">
        <w:rPr>
          <w:rFonts w:cs="Arial"/>
          <w:szCs w:val="24"/>
          <w:lang w:val="es-419"/>
        </w:rPr>
        <w:t>resulta oportuno señalar el contenido</w:t>
      </w:r>
      <w:r w:rsidR="00C01912" w:rsidRPr="00E039F1">
        <w:rPr>
          <w:rFonts w:cs="Arial"/>
          <w:szCs w:val="24"/>
        </w:rPr>
        <w:t xml:space="preserve"> del artículo 4, párrafo segundo de la Ley de Transparencia y Acceso a la Información Pública del Estado de México y Municipios, que dispone:</w:t>
      </w:r>
    </w:p>
    <w:p w14:paraId="30B0EBF8" w14:textId="77777777" w:rsidR="00C01912" w:rsidRPr="00E039F1" w:rsidRDefault="00C01912" w:rsidP="00C01912">
      <w:pPr>
        <w:pStyle w:val="Sinespaciado"/>
      </w:pPr>
    </w:p>
    <w:p w14:paraId="0E596170" w14:textId="77777777" w:rsidR="00C01912" w:rsidRPr="00E039F1" w:rsidRDefault="00C01912" w:rsidP="00C01912">
      <w:pPr>
        <w:ind w:left="851" w:right="901"/>
        <w:rPr>
          <w:rFonts w:cs="Arial"/>
          <w:i/>
        </w:rPr>
      </w:pPr>
      <w:r w:rsidRPr="00E039F1">
        <w:rPr>
          <w:rFonts w:cs="Arial"/>
          <w:i/>
        </w:rPr>
        <w:t>“</w:t>
      </w:r>
      <w:r w:rsidRPr="00E039F1">
        <w:rPr>
          <w:rFonts w:cs="Arial"/>
          <w:b/>
          <w:i/>
        </w:rPr>
        <w:t xml:space="preserve">Artículo 4. </w:t>
      </w:r>
      <w:r w:rsidRPr="00E039F1">
        <w:rPr>
          <w:rFonts w:cs="Arial"/>
          <w:i/>
        </w:rPr>
        <w:t xml:space="preserve">… </w:t>
      </w:r>
    </w:p>
    <w:p w14:paraId="15FBBF16" w14:textId="77777777" w:rsidR="00C01912" w:rsidRPr="00E039F1" w:rsidRDefault="00C01912" w:rsidP="00C01912">
      <w:pPr>
        <w:ind w:left="851" w:right="901"/>
        <w:rPr>
          <w:rFonts w:cs="Arial"/>
          <w:i/>
        </w:rPr>
      </w:pPr>
      <w:r w:rsidRPr="00E039F1">
        <w:rPr>
          <w:rFonts w:cs="Arial"/>
          <w:i/>
        </w:rPr>
        <w:t xml:space="preserve"> Toda la información generada, obtenida, adquirida, transformada, administrada o en posesión de los sujetos obligados es pública y accesible de manera permanente a cualquier persona, en los términos y condiciones que se </w:t>
      </w:r>
      <w:r w:rsidRPr="00E039F1">
        <w:rPr>
          <w:rFonts w:cs="Arial"/>
          <w:i/>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E67B6" w14:textId="77777777" w:rsidR="00C01912" w:rsidRPr="00E039F1" w:rsidRDefault="00C01912" w:rsidP="00C01912">
      <w:pPr>
        <w:tabs>
          <w:tab w:val="left" w:pos="709"/>
        </w:tabs>
        <w:contextualSpacing/>
        <w:rPr>
          <w:rFonts w:cs="Arial"/>
        </w:rPr>
      </w:pPr>
    </w:p>
    <w:p w14:paraId="703D9E36" w14:textId="77777777" w:rsidR="00C01912" w:rsidRPr="00E039F1" w:rsidRDefault="00C01912" w:rsidP="00C01912">
      <w:pPr>
        <w:tabs>
          <w:tab w:val="left" w:pos="709"/>
        </w:tabs>
        <w:contextualSpacing/>
        <w:rPr>
          <w:rFonts w:cs="Arial"/>
        </w:rPr>
      </w:pPr>
      <w:r w:rsidRPr="00E039F1">
        <w:rPr>
          <w:rFonts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6EB6971" w14:textId="77777777" w:rsidR="00C01912" w:rsidRPr="00E039F1" w:rsidRDefault="00C01912" w:rsidP="00C01912">
      <w:pPr>
        <w:tabs>
          <w:tab w:val="left" w:pos="709"/>
        </w:tabs>
        <w:contextualSpacing/>
        <w:rPr>
          <w:rFonts w:cs="Arial"/>
        </w:rPr>
      </w:pPr>
    </w:p>
    <w:p w14:paraId="1038D637" w14:textId="77777777" w:rsidR="00C01912" w:rsidRPr="00E039F1" w:rsidRDefault="00C01912" w:rsidP="00C01912">
      <w:pPr>
        <w:tabs>
          <w:tab w:val="left" w:pos="709"/>
        </w:tabs>
        <w:contextualSpacing/>
        <w:rPr>
          <w:rFonts w:cs="Arial"/>
        </w:rPr>
      </w:pPr>
      <w:r w:rsidRPr="00E039F1">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F7EBE5D" w14:textId="77777777" w:rsidR="00C01912" w:rsidRPr="00E039F1" w:rsidRDefault="00C01912" w:rsidP="00C01912">
      <w:pPr>
        <w:pStyle w:val="Sinespaciado"/>
      </w:pPr>
    </w:p>
    <w:p w14:paraId="6C59F370" w14:textId="77777777" w:rsidR="00C01912" w:rsidRPr="00E039F1" w:rsidRDefault="00C01912" w:rsidP="00C01912">
      <w:pPr>
        <w:ind w:left="567" w:right="616"/>
        <w:rPr>
          <w:rFonts w:cs="Arial"/>
          <w:i/>
        </w:rPr>
      </w:pPr>
      <w:r w:rsidRPr="00E039F1">
        <w:rPr>
          <w:rFonts w:cs="Arial"/>
          <w:i/>
        </w:rPr>
        <w:t>“</w:t>
      </w:r>
      <w:r w:rsidRPr="00E039F1">
        <w:rPr>
          <w:rFonts w:cs="Arial"/>
          <w:b/>
          <w:i/>
        </w:rPr>
        <w:t>Artículo 12.</w:t>
      </w:r>
      <w:r w:rsidRPr="00E039F1">
        <w:rPr>
          <w:rFonts w:cs="Arial"/>
          <w:i/>
        </w:rPr>
        <w:t xml:space="preserve"> Quienes generen, recopilen, administren, manejen, procesen, archiven o conserven información pública serán responsables de la misma en los términos de las disposiciones jurídicas aplicables. </w:t>
      </w:r>
    </w:p>
    <w:p w14:paraId="51DD010E" w14:textId="77777777" w:rsidR="00C01912" w:rsidRPr="00E039F1" w:rsidRDefault="00C01912" w:rsidP="00C01912">
      <w:pPr>
        <w:ind w:left="567" w:right="616"/>
        <w:rPr>
          <w:rFonts w:cs="Arial"/>
          <w:i/>
        </w:rPr>
      </w:pPr>
    </w:p>
    <w:p w14:paraId="267E492F" w14:textId="77777777" w:rsidR="00C01912" w:rsidRPr="00E039F1" w:rsidRDefault="00C01912" w:rsidP="00C01912">
      <w:pPr>
        <w:ind w:left="567" w:right="616"/>
        <w:rPr>
          <w:rFonts w:cs="Arial"/>
          <w:i/>
        </w:rPr>
      </w:pPr>
      <w:r w:rsidRPr="00E039F1">
        <w:rPr>
          <w:rFonts w:cs="Arial"/>
          <w:i/>
        </w:rPr>
        <w:t xml:space="preserve">Los sujetos obligados sólo proporcionarán la información pública que se les requiera y que obre en sus archivos y en el estado en que ésta se encuentre. La obligación de </w:t>
      </w:r>
      <w:r w:rsidRPr="00E039F1">
        <w:rPr>
          <w:rFonts w:cs="Arial"/>
          <w:i/>
        </w:rPr>
        <w:lastRenderedPageBreak/>
        <w:t>proporcionar información no comprende el procesamiento de la misma, ni el presentarla conforme al interés del solicitante; no estarán obligados a generarla, resumirla, efectuar cálculos o practicar investigaciones.”</w:t>
      </w:r>
    </w:p>
    <w:p w14:paraId="55CA5468" w14:textId="77777777" w:rsidR="00C01912" w:rsidRPr="00E039F1" w:rsidRDefault="00C01912" w:rsidP="00C01912">
      <w:pPr>
        <w:tabs>
          <w:tab w:val="left" w:pos="709"/>
        </w:tabs>
        <w:contextualSpacing/>
        <w:rPr>
          <w:rFonts w:cs="Arial"/>
        </w:rPr>
      </w:pPr>
    </w:p>
    <w:p w14:paraId="4E150CCC" w14:textId="77777777" w:rsidR="00C01912" w:rsidRPr="00E039F1" w:rsidRDefault="00C01912" w:rsidP="00C01912">
      <w:pPr>
        <w:tabs>
          <w:tab w:val="left" w:pos="709"/>
        </w:tabs>
        <w:contextualSpacing/>
        <w:rPr>
          <w:rFonts w:cs="Arial"/>
        </w:rPr>
      </w:pPr>
      <w:r w:rsidRPr="00E039F1">
        <w:rPr>
          <w:rFonts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898C0FC" w14:textId="77777777" w:rsidR="00C01912" w:rsidRPr="00E039F1" w:rsidRDefault="00C01912" w:rsidP="00C01912">
      <w:pPr>
        <w:tabs>
          <w:tab w:val="left" w:pos="709"/>
        </w:tabs>
        <w:contextualSpacing/>
        <w:rPr>
          <w:rFonts w:cs="Arial"/>
        </w:rPr>
      </w:pPr>
    </w:p>
    <w:p w14:paraId="373032FA" w14:textId="77777777" w:rsidR="00C01912" w:rsidRPr="00E039F1" w:rsidRDefault="00C01912" w:rsidP="00C01912">
      <w:pPr>
        <w:tabs>
          <w:tab w:val="left" w:pos="709"/>
        </w:tabs>
        <w:contextualSpacing/>
        <w:rPr>
          <w:rFonts w:cs="Arial"/>
        </w:rPr>
      </w:pPr>
      <w:r w:rsidRPr="00E039F1">
        <w:rPr>
          <w:rFonts w:cs="Arial"/>
        </w:rPr>
        <w:t xml:space="preserve">En esta misma tesitura, el derecho de acceso a la información pública, consiste en que la información solicitada conste en un soporte documental en cualquiera de sus formas, a saber: </w:t>
      </w:r>
      <w:r w:rsidRPr="00E039F1">
        <w:rPr>
          <w:rFonts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039F1">
        <w:rPr>
          <w:rFonts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F2079D6" w14:textId="77777777" w:rsidR="00C01912" w:rsidRPr="00E039F1" w:rsidRDefault="00C01912" w:rsidP="00C01912">
      <w:pPr>
        <w:pStyle w:val="Sinespaciado"/>
      </w:pPr>
    </w:p>
    <w:p w14:paraId="2BEED87E" w14:textId="77777777" w:rsidR="00C01912" w:rsidRPr="00E039F1" w:rsidRDefault="00C01912" w:rsidP="00C01912">
      <w:pPr>
        <w:ind w:left="851" w:right="901"/>
        <w:rPr>
          <w:rFonts w:cs="Arial"/>
          <w:i/>
        </w:rPr>
      </w:pPr>
      <w:r w:rsidRPr="00E039F1">
        <w:rPr>
          <w:rFonts w:cs="Arial"/>
          <w:i/>
        </w:rPr>
        <w:t>“</w:t>
      </w:r>
      <w:r w:rsidRPr="00E039F1">
        <w:rPr>
          <w:rFonts w:cs="Arial"/>
          <w:b/>
          <w:i/>
        </w:rPr>
        <w:t xml:space="preserve">Artículo 3. </w:t>
      </w:r>
      <w:r w:rsidRPr="00E039F1">
        <w:rPr>
          <w:rFonts w:cs="Arial"/>
          <w:i/>
        </w:rPr>
        <w:t>Para los efectos de la presente Ley se entenderá por:</w:t>
      </w:r>
    </w:p>
    <w:p w14:paraId="04F413C6" w14:textId="77777777" w:rsidR="00C01912" w:rsidRPr="00E039F1" w:rsidRDefault="00C01912" w:rsidP="00C01912">
      <w:pPr>
        <w:ind w:left="851" w:right="850"/>
        <w:rPr>
          <w:rFonts w:cs="Arial"/>
          <w:i/>
        </w:rPr>
      </w:pPr>
      <w:r w:rsidRPr="00E039F1">
        <w:rPr>
          <w:rFonts w:cs="Arial"/>
          <w:i/>
        </w:rPr>
        <w:t>(…)</w:t>
      </w:r>
    </w:p>
    <w:p w14:paraId="22A736AC" w14:textId="77777777" w:rsidR="00C01912" w:rsidRPr="00E039F1" w:rsidRDefault="00C01912" w:rsidP="00C01912">
      <w:pPr>
        <w:ind w:left="851" w:right="901"/>
        <w:rPr>
          <w:rFonts w:cs="Arial"/>
          <w:i/>
        </w:rPr>
      </w:pPr>
      <w:r w:rsidRPr="00E039F1">
        <w:rPr>
          <w:rFonts w:cs="Arial"/>
          <w:b/>
          <w:i/>
        </w:rPr>
        <w:lastRenderedPageBreak/>
        <w:t>XI. Documento:</w:t>
      </w:r>
      <w:r w:rsidRPr="00E039F1">
        <w:rPr>
          <w:rFonts w:cs="Arial"/>
          <w:i/>
        </w:rPr>
        <w:t xml:space="preserve"> Los expedientes, reportes, estudios, actas, resoluciones, oficios, correspondencia, acuerdos, directivas, directrices, circulares, contratos, convenios, instructivos, notas, memorandos, estadísticas o bien, cualquier otro </w:t>
      </w:r>
      <w:r w:rsidRPr="00E039F1">
        <w:rPr>
          <w:rFonts w:cs="Arial"/>
          <w:b/>
          <w:i/>
          <w:u w:val="single"/>
        </w:rPr>
        <w:t>registro que documente el ejercicio de las facultades, funciones y competencias de los sujetos obligados</w:t>
      </w:r>
      <w:r w:rsidRPr="00E039F1">
        <w:rPr>
          <w:rFonts w:cs="Arial"/>
          <w:i/>
          <w:u w:val="single"/>
        </w:rPr>
        <w:t>,</w:t>
      </w:r>
      <w:r w:rsidRPr="00E039F1">
        <w:rPr>
          <w:rFonts w:cs="Arial"/>
          <w:i/>
        </w:rPr>
        <w:t xml:space="preserve"> sus servidores públicos e integrantes, </w:t>
      </w:r>
      <w:r w:rsidRPr="00E039F1">
        <w:rPr>
          <w:rFonts w:cs="Arial"/>
          <w:b/>
          <w:i/>
          <w:u w:val="single"/>
        </w:rPr>
        <w:t>sin importar su fuente o fecha de elaboración.</w:t>
      </w:r>
      <w:r w:rsidRPr="00E039F1">
        <w:rPr>
          <w:rFonts w:cs="Arial"/>
          <w:i/>
        </w:rPr>
        <w:t xml:space="preserve"> Los documentos podrán estar en cualquier medio, sea escrito, impreso, sonoro, visual, electrónico, informático u holográfico;</w:t>
      </w:r>
    </w:p>
    <w:p w14:paraId="03E9309E" w14:textId="77777777" w:rsidR="00C01912" w:rsidRPr="00E039F1" w:rsidRDefault="00C01912" w:rsidP="00C01912">
      <w:pPr>
        <w:ind w:left="851" w:right="901"/>
        <w:rPr>
          <w:rFonts w:cs="Arial"/>
          <w:i/>
        </w:rPr>
      </w:pPr>
      <w:r w:rsidRPr="00E039F1">
        <w:rPr>
          <w:rFonts w:cs="Arial"/>
          <w:i/>
        </w:rPr>
        <w:t>(…)”</w:t>
      </w:r>
    </w:p>
    <w:p w14:paraId="23FABF7E" w14:textId="77777777" w:rsidR="00C01912" w:rsidRPr="00E039F1" w:rsidRDefault="00C01912" w:rsidP="00C01912">
      <w:pPr>
        <w:rPr>
          <w:sz w:val="14"/>
        </w:rPr>
      </w:pPr>
    </w:p>
    <w:p w14:paraId="6591110C" w14:textId="77777777" w:rsidR="00C01912" w:rsidRPr="00E039F1" w:rsidRDefault="00C01912" w:rsidP="00C01912"/>
    <w:p w14:paraId="7D707C0A" w14:textId="77777777" w:rsidR="00C01912" w:rsidRPr="00E039F1" w:rsidRDefault="00C01912" w:rsidP="00C01912">
      <w:pPr>
        <w:rPr>
          <w:rFonts w:cs="Arial"/>
          <w:bCs/>
        </w:rPr>
      </w:pPr>
      <w:r w:rsidRPr="00E039F1">
        <w:rPr>
          <w:rFonts w:cs="Arial"/>
          <w:bCs/>
        </w:rPr>
        <w:t xml:space="preserve">Adicionalmente, es de destacar que este Órgano Garante no está facultado para manifestarse sobre la veracidad de lo afirmado por parte del </w:t>
      </w:r>
      <w:r w:rsidRPr="00E039F1">
        <w:rPr>
          <w:rFonts w:cs="Arial"/>
          <w:b/>
          <w:bCs/>
        </w:rPr>
        <w:t>Sujeto Obligado</w:t>
      </w:r>
      <w:r w:rsidRPr="00E039F1">
        <w:rPr>
          <w:rFonts w:cs="Arial"/>
          <w:bCs/>
        </w:rPr>
        <w:t xml:space="preserve"> pues no existe precepto legal alguno en la Ley de la materia que lo faculte para ello. </w:t>
      </w:r>
    </w:p>
    <w:p w14:paraId="5F537A14" w14:textId="77777777" w:rsidR="00C01912" w:rsidRPr="00E039F1" w:rsidRDefault="00C01912" w:rsidP="00C01912"/>
    <w:p w14:paraId="207F3825" w14:textId="77777777" w:rsidR="00C01912" w:rsidRPr="00E039F1" w:rsidRDefault="00C01912" w:rsidP="00C01912">
      <w:pPr>
        <w:rPr>
          <w:sz w:val="4"/>
        </w:rPr>
      </w:pPr>
    </w:p>
    <w:p w14:paraId="4B99A5FA" w14:textId="77777777" w:rsidR="00C01912" w:rsidRPr="00E039F1" w:rsidRDefault="00C01912" w:rsidP="00C01912">
      <w:pPr>
        <w:spacing w:before="240" w:after="240"/>
      </w:pPr>
      <w:r w:rsidRPr="00E039F1">
        <w:rPr>
          <w:rFonts w:cs="Arial"/>
        </w:rPr>
        <w:t>Lo anterior se robustece con lo plasmado en el criterio</w:t>
      </w:r>
      <w:r w:rsidRPr="00E039F1">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0814D0C" w14:textId="77777777" w:rsidR="00C01912" w:rsidRPr="00E039F1" w:rsidRDefault="00C01912" w:rsidP="00C01912">
      <w:pPr>
        <w:rPr>
          <w:sz w:val="6"/>
        </w:rPr>
      </w:pPr>
    </w:p>
    <w:p w14:paraId="5B75AE68" w14:textId="77777777" w:rsidR="00C01912" w:rsidRPr="00E039F1" w:rsidRDefault="00C01912" w:rsidP="00C01912">
      <w:pPr>
        <w:ind w:left="567" w:right="616"/>
        <w:rPr>
          <w:rFonts w:cs="Arial"/>
          <w:lang w:val="es-ES"/>
        </w:rPr>
      </w:pPr>
      <w:r w:rsidRPr="00E039F1">
        <w:rPr>
          <w:i/>
        </w:rPr>
        <w:t>“</w:t>
      </w:r>
      <w:r w:rsidRPr="00E039F1">
        <w:rPr>
          <w:b/>
          <w:i/>
          <w:u w:val="single"/>
        </w:rPr>
        <w:t>El Instituto Federal de Acceso a la Información y Protección de Datos no cuenta con facultades para pronunciarse respecto de la veracidad de los documentos proporcionados por los sujetos obligados</w:t>
      </w:r>
      <w:r w:rsidRPr="00E039F1">
        <w:rPr>
          <w:b/>
          <w:i/>
        </w:rPr>
        <w:t>.</w:t>
      </w:r>
      <w:r w:rsidRPr="00E039F1">
        <w:rPr>
          <w:i/>
        </w:rPr>
        <w:t xml:space="preserve"> El Instituto Federal de Acceso a la Información y Protección de Datos es un órgano de la Administración </w:t>
      </w:r>
      <w:r w:rsidRPr="00E039F1">
        <w:rPr>
          <w:i/>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CB0BEF2" w14:textId="77777777" w:rsidR="00C01912" w:rsidRPr="00E039F1" w:rsidRDefault="00C01912" w:rsidP="00C01912">
      <w:pPr>
        <w:rPr>
          <w:rFonts w:cs="Arial"/>
          <w:lang w:val="es-ES"/>
        </w:rPr>
      </w:pPr>
    </w:p>
    <w:p w14:paraId="339A2AB9" w14:textId="0C2BF1D3" w:rsidR="00C01912" w:rsidRPr="00485452" w:rsidRDefault="00C01912" w:rsidP="00C01912">
      <w:pPr>
        <w:ind w:right="51"/>
        <w:rPr>
          <w:rFonts w:cs="Arial"/>
          <w:color w:val="000000"/>
        </w:rPr>
      </w:pPr>
      <w:r w:rsidRPr="00B81A2B">
        <w:rPr>
          <w:rFonts w:cs="Arial"/>
          <w:szCs w:val="24"/>
        </w:rPr>
        <w:t xml:space="preserve">En esa tesitura, de acuerdo a lo inmerso en el expediente que nos ocupa se advierte que </w:t>
      </w:r>
      <w:r w:rsidRPr="00B81A2B">
        <w:rPr>
          <w:rFonts w:cs="Arial"/>
          <w:b/>
          <w:szCs w:val="24"/>
        </w:rPr>
        <w:t>El Sujeto Obligado</w:t>
      </w:r>
      <w:r w:rsidRPr="00B81A2B">
        <w:rPr>
          <w:rFonts w:cs="Arial"/>
          <w:szCs w:val="24"/>
        </w:rPr>
        <w:t xml:space="preserve"> ha modificado el acto, </w:t>
      </w:r>
      <w:r w:rsidR="006076BB">
        <w:rPr>
          <w:rFonts w:cs="Arial"/>
          <w:szCs w:val="24"/>
        </w:rPr>
        <w:t>entregando la información solicitada en el formato en el que la tiene</w:t>
      </w:r>
      <w:r w:rsidRPr="00B81A2B">
        <w:rPr>
          <w:rFonts w:cs="Arial"/>
          <w:szCs w:val="24"/>
        </w:rPr>
        <w:t>, como ya ha sido demostrado en los párrafos que anteceden.</w:t>
      </w:r>
    </w:p>
    <w:p w14:paraId="3C65C8C2" w14:textId="77777777" w:rsidR="00C01912" w:rsidRDefault="00C01912" w:rsidP="00C01912">
      <w:pPr>
        <w:autoSpaceDE w:val="0"/>
        <w:autoSpaceDN w:val="0"/>
        <w:adjustRightInd w:val="0"/>
        <w:rPr>
          <w:rFonts w:cs="Arial"/>
          <w:szCs w:val="24"/>
        </w:rPr>
      </w:pPr>
    </w:p>
    <w:p w14:paraId="27D3943E" w14:textId="77777777" w:rsidR="00C01912" w:rsidRDefault="00C01912" w:rsidP="00C01912">
      <w:pPr>
        <w:autoSpaceDE w:val="0"/>
        <w:autoSpaceDN w:val="0"/>
        <w:adjustRightInd w:val="0"/>
        <w:rPr>
          <w:rFonts w:cs="Arial"/>
          <w:szCs w:val="24"/>
        </w:rPr>
      </w:pPr>
      <w:r w:rsidRPr="00B81A2B">
        <w:rPr>
          <w:rFonts w:cs="Arial"/>
          <w:szCs w:val="24"/>
        </w:rPr>
        <w:t xml:space="preserve">Hasta lo aquí expuesto, se concluye que </w:t>
      </w:r>
      <w:r w:rsidRPr="00B81A2B">
        <w:rPr>
          <w:rFonts w:cs="Arial"/>
          <w:b/>
          <w:szCs w:val="24"/>
        </w:rPr>
        <w:t>El Sujeto Obligado</w:t>
      </w:r>
      <w:r w:rsidRPr="00B81A2B">
        <w:rPr>
          <w:rFonts w:cs="Arial"/>
          <w:szCs w:val="24"/>
        </w:rPr>
        <w:t xml:space="preserve"> satisfizo el derecho de acceso a la información mediante la respuesta primigenia y la modificación de la misma en su informe justificado, actualizándose la fracción III, del </w:t>
      </w:r>
      <w:r>
        <w:rPr>
          <w:rFonts w:cs="Arial"/>
          <w:szCs w:val="24"/>
        </w:rPr>
        <w:t>artículo</w:t>
      </w:r>
      <w:r w:rsidRPr="00B81A2B">
        <w:rPr>
          <w:rFonts w:cs="Arial"/>
          <w:szCs w:val="24"/>
        </w:rPr>
        <w:t xml:space="preserve"> 192, de la Ley de Transparencia </w:t>
      </w:r>
      <w:r>
        <w:rPr>
          <w:rFonts w:cs="Arial"/>
          <w:szCs w:val="24"/>
        </w:rPr>
        <w:t>y Acceso a la Información Pública del Estado de México y Municipios</w:t>
      </w:r>
      <w:r w:rsidRPr="00B81A2B">
        <w:rPr>
          <w:szCs w:val="24"/>
        </w:rPr>
        <w:t xml:space="preserve">, por darse por satisfechos los elementos que integran dicha hipótesis, </w:t>
      </w:r>
      <w:r w:rsidRPr="00B81A2B">
        <w:rPr>
          <w:rFonts w:cs="Arial"/>
          <w:szCs w:val="24"/>
        </w:rPr>
        <w:t xml:space="preserve">a saber: </w:t>
      </w:r>
    </w:p>
    <w:p w14:paraId="7AEAD939" w14:textId="77777777" w:rsidR="00C01912" w:rsidRPr="00B81A2B" w:rsidRDefault="00C01912" w:rsidP="00C01912">
      <w:pPr>
        <w:autoSpaceDE w:val="0"/>
        <w:autoSpaceDN w:val="0"/>
        <w:adjustRightInd w:val="0"/>
        <w:rPr>
          <w:rFonts w:cs="Arial"/>
          <w:szCs w:val="24"/>
        </w:rPr>
      </w:pPr>
    </w:p>
    <w:p w14:paraId="1E9C6395" w14:textId="0F3CB684" w:rsidR="00C01912" w:rsidRPr="00B81A2B" w:rsidRDefault="00C01912" w:rsidP="00B82E69">
      <w:pPr>
        <w:pStyle w:val="Prrafodelista"/>
        <w:numPr>
          <w:ilvl w:val="0"/>
          <w:numId w:val="17"/>
        </w:numPr>
        <w:tabs>
          <w:tab w:val="left" w:pos="709"/>
        </w:tabs>
        <w:ind w:right="51"/>
        <w:rPr>
          <w:rFonts w:cs="Arial"/>
        </w:rPr>
      </w:pPr>
      <w:r w:rsidRPr="00B81A2B">
        <w:rPr>
          <w:rFonts w:cs="Arial"/>
        </w:rPr>
        <w:t>El primero de ellos es que el sujeto obligado responsable del acto lo modifique o revoque, lo que se demuestra con la documental</w:t>
      </w:r>
      <w:r>
        <w:rPr>
          <w:rFonts w:cs="Arial"/>
        </w:rPr>
        <w:t xml:space="preserve"> remitida</w:t>
      </w:r>
      <w:r w:rsidRPr="00B81A2B">
        <w:rPr>
          <w:rFonts w:cs="Arial"/>
        </w:rPr>
        <w:t xml:space="preserve"> en el informe justificado </w:t>
      </w:r>
      <w:r w:rsidRPr="00B81A2B">
        <w:rPr>
          <w:rFonts w:cs="Arial"/>
        </w:rPr>
        <w:lastRenderedPageBreak/>
        <w:t xml:space="preserve">de fecha </w:t>
      </w:r>
      <w:r w:rsidR="003F440D">
        <w:rPr>
          <w:rFonts w:cs="Arial"/>
          <w:b/>
        </w:rPr>
        <w:t>once de abril de dos mil veintitrés</w:t>
      </w:r>
      <w:r w:rsidRPr="00B81A2B">
        <w:rPr>
          <w:rFonts w:cs="Arial"/>
        </w:rPr>
        <w:t>, el cual deviene de la autoridad quien emitió el acto impugnado.</w:t>
      </w:r>
    </w:p>
    <w:p w14:paraId="70A518FA" w14:textId="77777777" w:rsidR="00C01912" w:rsidRPr="00B81A2B" w:rsidRDefault="00C01912" w:rsidP="00C01912">
      <w:pPr>
        <w:pStyle w:val="Sinespaciado"/>
      </w:pPr>
    </w:p>
    <w:p w14:paraId="08BC2476" w14:textId="77777777" w:rsidR="00C01912" w:rsidRPr="00A82E18" w:rsidRDefault="00C01912" w:rsidP="00B82E69">
      <w:pPr>
        <w:pStyle w:val="Prrafodelista"/>
        <w:numPr>
          <w:ilvl w:val="0"/>
          <w:numId w:val="17"/>
        </w:numPr>
        <w:ind w:right="51"/>
      </w:pPr>
      <w:r w:rsidRPr="00B81A2B">
        <w:rPr>
          <w:rFonts w:cs="Arial"/>
        </w:rPr>
        <w:t xml:space="preserve">Por lo que hace al segundo elemento inmerso en el numeral en comento, se requiere que el recurso de revisión se quede sin materia, lo cual se actualiza </w:t>
      </w:r>
      <w:r>
        <w:rPr>
          <w:rFonts w:cs="Arial"/>
        </w:rPr>
        <w:t>toda vez que se remite documento con número de oficio y firmas correspondientes mediante informe justificado.</w:t>
      </w:r>
    </w:p>
    <w:p w14:paraId="34CF7D3D" w14:textId="77777777" w:rsidR="00C01912" w:rsidRDefault="00C01912" w:rsidP="00C01912">
      <w:pPr>
        <w:autoSpaceDE w:val="0"/>
        <w:autoSpaceDN w:val="0"/>
        <w:adjustRightInd w:val="0"/>
        <w:rPr>
          <w:rFonts w:cs="Arial"/>
        </w:rPr>
      </w:pPr>
    </w:p>
    <w:p w14:paraId="170453BF" w14:textId="77777777" w:rsidR="00C01912" w:rsidRPr="00B81A2B" w:rsidRDefault="00C01912" w:rsidP="00C01912">
      <w:pPr>
        <w:autoSpaceDE w:val="0"/>
        <w:autoSpaceDN w:val="0"/>
        <w:adjustRightInd w:val="0"/>
        <w:rPr>
          <w:rFonts w:eastAsia="Times New Roman" w:cs="Arial"/>
          <w:szCs w:val="24"/>
          <w:lang w:val="es-ES" w:eastAsia="es-ES"/>
        </w:rPr>
      </w:pPr>
      <w:r w:rsidRPr="00B81A2B">
        <w:rPr>
          <w:rFonts w:cs="Arial"/>
        </w:rPr>
        <w:t xml:space="preserve">En conclusión, la ley de la materia establece </w:t>
      </w:r>
      <w:r w:rsidRPr="00B81A2B">
        <w:rPr>
          <w:rFonts w:eastAsia="Times New Roman" w:cs="Arial"/>
          <w:szCs w:val="24"/>
          <w:lang w:val="es-ES" w:eastAsia="es-ES"/>
        </w:rPr>
        <w:t>en la fracción III, del artículo 192, de la Ley de Transparencia vigente en la entidad, que a la letra establecen:</w:t>
      </w:r>
    </w:p>
    <w:p w14:paraId="1C0D7DE9" w14:textId="77777777" w:rsidR="00C01912" w:rsidRPr="00B81A2B" w:rsidRDefault="00C01912" w:rsidP="00C01912">
      <w:pPr>
        <w:rPr>
          <w:lang w:val="es-ES" w:eastAsia="es-ES"/>
        </w:rPr>
      </w:pPr>
    </w:p>
    <w:p w14:paraId="4CA41DF9" w14:textId="77777777" w:rsidR="00C01912" w:rsidRPr="00B81A2B" w:rsidRDefault="00C01912" w:rsidP="00C01912">
      <w:pPr>
        <w:autoSpaceDE w:val="0"/>
        <w:autoSpaceDN w:val="0"/>
        <w:adjustRightInd w:val="0"/>
        <w:spacing w:line="240" w:lineRule="auto"/>
        <w:ind w:left="708"/>
        <w:rPr>
          <w:rFonts w:eastAsia="Times New Roman"/>
          <w:i/>
          <w:szCs w:val="24"/>
          <w:lang w:val="es-ES" w:eastAsia="es-ES"/>
        </w:rPr>
      </w:pPr>
      <w:r w:rsidRPr="00B81A2B">
        <w:rPr>
          <w:rFonts w:eastAsia="Times New Roman"/>
          <w:b/>
          <w:i/>
          <w:szCs w:val="24"/>
          <w:lang w:val="es-ES" w:eastAsia="es-ES"/>
        </w:rPr>
        <w:t xml:space="preserve">“Artículo 192. </w:t>
      </w:r>
      <w:r w:rsidRPr="00B81A2B">
        <w:rPr>
          <w:rFonts w:eastAsia="Times New Roman"/>
          <w:b/>
          <w:i/>
          <w:szCs w:val="24"/>
          <w:u w:val="single"/>
          <w:lang w:val="es-ES" w:eastAsia="es-ES"/>
        </w:rPr>
        <w:t>El recurso será sobreseído, en todo o en parte, cuando una vez admitido, se actualicen alguno de los siguientes supuestos</w:t>
      </w:r>
      <w:r w:rsidRPr="00B81A2B">
        <w:rPr>
          <w:rFonts w:eastAsia="Times New Roman"/>
          <w:i/>
          <w:szCs w:val="24"/>
          <w:lang w:val="es-ES" w:eastAsia="es-ES"/>
        </w:rPr>
        <w:t>:</w:t>
      </w:r>
    </w:p>
    <w:p w14:paraId="4F1EBA7D" w14:textId="77777777" w:rsidR="00C01912" w:rsidRPr="00B81A2B" w:rsidRDefault="00C01912" w:rsidP="00B82E69">
      <w:pPr>
        <w:numPr>
          <w:ilvl w:val="0"/>
          <w:numId w:val="18"/>
        </w:numPr>
        <w:autoSpaceDE w:val="0"/>
        <w:autoSpaceDN w:val="0"/>
        <w:adjustRightInd w:val="0"/>
        <w:spacing w:line="240" w:lineRule="auto"/>
        <w:rPr>
          <w:rFonts w:eastAsia="Times New Roman"/>
          <w:i/>
          <w:szCs w:val="24"/>
          <w:lang w:val="es-ES" w:eastAsia="es-ES"/>
        </w:rPr>
      </w:pPr>
      <w:r w:rsidRPr="00B81A2B">
        <w:rPr>
          <w:rFonts w:eastAsia="Times New Roman"/>
          <w:i/>
          <w:szCs w:val="24"/>
          <w:lang w:val="es-ES" w:eastAsia="es-ES"/>
        </w:rPr>
        <w:t xml:space="preserve">El recurrente se desista expresamente del recurso; </w:t>
      </w:r>
    </w:p>
    <w:p w14:paraId="68E52FDD" w14:textId="77777777" w:rsidR="00C01912" w:rsidRPr="00B81A2B" w:rsidRDefault="00C01912" w:rsidP="00B82E69">
      <w:pPr>
        <w:numPr>
          <w:ilvl w:val="0"/>
          <w:numId w:val="18"/>
        </w:numPr>
        <w:autoSpaceDE w:val="0"/>
        <w:autoSpaceDN w:val="0"/>
        <w:adjustRightInd w:val="0"/>
        <w:spacing w:line="240" w:lineRule="auto"/>
        <w:rPr>
          <w:rFonts w:eastAsia="Times New Roman" w:cs="Arial"/>
          <w:i/>
          <w:szCs w:val="24"/>
          <w:lang w:val="es-ES" w:eastAsia="es-ES"/>
        </w:rPr>
      </w:pPr>
      <w:r w:rsidRPr="00B81A2B">
        <w:rPr>
          <w:rFonts w:eastAsia="Times New Roman"/>
          <w:i/>
          <w:szCs w:val="24"/>
          <w:lang w:val="es-ES" w:eastAsia="es-ES"/>
        </w:rPr>
        <w:t xml:space="preserve">El recurrente fallezca o, tratándose de personas jurídicas colectivas, se disuelva; </w:t>
      </w:r>
    </w:p>
    <w:p w14:paraId="3B6A250D" w14:textId="77777777" w:rsidR="00C01912" w:rsidRPr="00B81A2B" w:rsidRDefault="00C01912" w:rsidP="00B82E69">
      <w:pPr>
        <w:numPr>
          <w:ilvl w:val="0"/>
          <w:numId w:val="18"/>
        </w:numPr>
        <w:autoSpaceDE w:val="0"/>
        <w:autoSpaceDN w:val="0"/>
        <w:adjustRightInd w:val="0"/>
        <w:spacing w:line="240" w:lineRule="auto"/>
        <w:rPr>
          <w:rFonts w:eastAsia="Times New Roman" w:cs="Arial"/>
          <w:i/>
          <w:szCs w:val="24"/>
          <w:lang w:val="es-ES" w:eastAsia="es-ES"/>
        </w:rPr>
      </w:pPr>
      <w:r w:rsidRPr="00B81A2B">
        <w:rPr>
          <w:rFonts w:eastAsia="Times New Roman"/>
          <w:b/>
          <w:i/>
          <w:szCs w:val="24"/>
          <w:u w:val="single"/>
          <w:lang w:val="es-ES" w:eastAsia="es-ES"/>
        </w:rPr>
        <w:t>El sujeto obligado responsable del acto lo modifique o revoque de tal manera que el recurso de revisión quede sin materia</w:t>
      </w:r>
      <w:r w:rsidRPr="00B81A2B">
        <w:rPr>
          <w:rFonts w:eastAsia="Times New Roman"/>
          <w:i/>
          <w:szCs w:val="24"/>
          <w:lang w:val="es-ES" w:eastAsia="es-ES"/>
        </w:rPr>
        <w:t xml:space="preserve">; </w:t>
      </w:r>
    </w:p>
    <w:p w14:paraId="721C2F8C" w14:textId="77777777" w:rsidR="00C01912" w:rsidRPr="00B81A2B" w:rsidRDefault="00C01912" w:rsidP="00B82E69">
      <w:pPr>
        <w:numPr>
          <w:ilvl w:val="0"/>
          <w:numId w:val="18"/>
        </w:numPr>
        <w:autoSpaceDE w:val="0"/>
        <w:autoSpaceDN w:val="0"/>
        <w:adjustRightInd w:val="0"/>
        <w:spacing w:line="240" w:lineRule="auto"/>
        <w:rPr>
          <w:rFonts w:eastAsia="Times New Roman" w:cs="Arial"/>
          <w:i/>
          <w:szCs w:val="24"/>
          <w:lang w:val="es-ES" w:eastAsia="es-ES"/>
        </w:rPr>
      </w:pPr>
      <w:r w:rsidRPr="00B81A2B">
        <w:rPr>
          <w:rFonts w:eastAsia="Times New Roman"/>
          <w:i/>
          <w:szCs w:val="24"/>
          <w:lang w:val="es-ES" w:eastAsia="es-ES"/>
        </w:rPr>
        <w:t xml:space="preserve">Admitido el recurso de revisión, aparezca alguna causal de improcedencia en los términos de la presente Ley; y </w:t>
      </w:r>
    </w:p>
    <w:p w14:paraId="3E59072B" w14:textId="77777777" w:rsidR="00C01912" w:rsidRPr="00B81A2B" w:rsidRDefault="00C01912" w:rsidP="00B82E69">
      <w:pPr>
        <w:numPr>
          <w:ilvl w:val="0"/>
          <w:numId w:val="18"/>
        </w:numPr>
        <w:autoSpaceDE w:val="0"/>
        <w:autoSpaceDN w:val="0"/>
        <w:adjustRightInd w:val="0"/>
        <w:spacing w:line="240" w:lineRule="auto"/>
        <w:rPr>
          <w:rFonts w:eastAsia="Times New Roman" w:cs="Arial"/>
          <w:i/>
          <w:szCs w:val="24"/>
          <w:lang w:val="es-ES" w:eastAsia="es-ES"/>
        </w:rPr>
      </w:pPr>
      <w:r w:rsidRPr="00B81A2B">
        <w:rPr>
          <w:rFonts w:eastAsia="Times New Roman"/>
          <w:i/>
          <w:szCs w:val="24"/>
          <w:lang w:val="es-ES" w:eastAsia="es-ES"/>
        </w:rPr>
        <w:t>Cuando por cualquier motivo quede sin materia el recurso.”</w:t>
      </w:r>
    </w:p>
    <w:p w14:paraId="7874D974" w14:textId="77777777" w:rsidR="00C01912" w:rsidRDefault="00C01912" w:rsidP="00C01912">
      <w:pPr>
        <w:rPr>
          <w:lang w:val="es-ES" w:eastAsia="es-ES"/>
        </w:rPr>
      </w:pPr>
    </w:p>
    <w:p w14:paraId="35C7395E" w14:textId="77777777" w:rsidR="00C01912" w:rsidRPr="00A11B58" w:rsidRDefault="00C01912" w:rsidP="00C01912">
      <w:pPr>
        <w:rPr>
          <w:lang w:val="es-ES" w:eastAsia="es-ES"/>
        </w:rPr>
      </w:pPr>
    </w:p>
    <w:p w14:paraId="36F0994D" w14:textId="77777777" w:rsidR="00C01912" w:rsidRDefault="00C01912" w:rsidP="00C01912">
      <w:pPr>
        <w:rPr>
          <w:rFonts w:cs="Arial"/>
          <w:szCs w:val="24"/>
        </w:rPr>
      </w:pPr>
      <w:r>
        <w:rPr>
          <w:rFonts w:cs="Arial"/>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62EE534" w14:textId="77777777" w:rsidR="006076BB" w:rsidRDefault="006076BB" w:rsidP="00C01912">
      <w:pPr>
        <w:rPr>
          <w:rFonts w:cs="Arial"/>
          <w:szCs w:val="24"/>
        </w:rPr>
      </w:pPr>
    </w:p>
    <w:p w14:paraId="4735E3C2" w14:textId="77777777" w:rsidR="00C01912" w:rsidRDefault="00C01912" w:rsidP="00C01912">
      <w:pPr>
        <w:ind w:left="851" w:right="851"/>
        <w:rPr>
          <w:rFonts w:cs="Arial"/>
          <w:b/>
          <w:i/>
        </w:rPr>
      </w:pPr>
      <w:r>
        <w:rPr>
          <w:rFonts w:cs="Arial"/>
          <w:b/>
          <w:i/>
        </w:rPr>
        <w:t>“SOBRESEIMIENTO EN EL JUICIO DE AMPARO DIRECTO. IMPIDE EL ESTUDIO DE LAS VIOLACIONES PROCESALES PLANTEADAS EN LOS CONCEPTOS DE VIOLACIÓN.</w:t>
      </w:r>
    </w:p>
    <w:p w14:paraId="796F5992" w14:textId="77777777" w:rsidR="00C01912" w:rsidRDefault="00C01912" w:rsidP="00C01912">
      <w:pPr>
        <w:ind w:left="851" w:right="851"/>
        <w:rPr>
          <w:i/>
          <w:color w:val="000000"/>
        </w:rPr>
      </w:pPr>
      <w:r>
        <w:rPr>
          <w:rFonts w:cs="Arial"/>
          <w:b/>
          <w:i/>
          <w:u w:val="single"/>
        </w:rPr>
        <w:t>El sobreseimiento</w:t>
      </w:r>
      <w:r>
        <w:rPr>
          <w:rFonts w:cs="Arial"/>
          <w:b/>
          <w:i/>
        </w:rPr>
        <w:t xml:space="preserve"> </w:t>
      </w:r>
      <w:r>
        <w:rPr>
          <w:rFonts w:cs="Arial"/>
          <w:i/>
        </w:rPr>
        <w:t xml:space="preserve">en el juicio de amparo directo </w:t>
      </w:r>
      <w:r>
        <w:rPr>
          <w:rFonts w:cs="Arial"/>
          <w:b/>
          <w:i/>
          <w:u w:val="single"/>
        </w:rPr>
        <w:t>provoca la terminación de la controversia planteada</w:t>
      </w:r>
      <w:r>
        <w:rPr>
          <w:rFonts w:cs="Arial"/>
          <w:b/>
          <w:i/>
        </w:rPr>
        <w:t xml:space="preserve"> </w:t>
      </w:r>
      <w:r>
        <w:rPr>
          <w:rFonts w:cs="Arial"/>
          <w:i/>
        </w:rPr>
        <w:t>por el quejoso en la demanda de amparo</w:t>
      </w:r>
      <w:r>
        <w:rPr>
          <w:color w:val="000000"/>
          <w:sz w:val="26"/>
          <w:szCs w:val="26"/>
        </w:rPr>
        <w:t xml:space="preserve"> </w:t>
      </w:r>
      <w:r>
        <w:rPr>
          <w:i/>
          <w:color w:val="000000"/>
        </w:rPr>
        <w:t xml:space="preserve">provoca la terminación de la controversia planteada por el quejoso en la demanda de </w:t>
      </w:r>
      <w:r>
        <w:rPr>
          <w:b/>
          <w:i/>
          <w:color w:val="000000"/>
        </w:rPr>
        <w:t>amparo</w:t>
      </w:r>
      <w:r>
        <w:rPr>
          <w:i/>
          <w:color w:val="000000"/>
        </w:rPr>
        <w:t>, sin hacer un pronunciamiento de fondo sobre la legalidad o ilegalidad de la sentencia reclamada. Por consiguiente, si al sobreseerse en el</w:t>
      </w:r>
      <w:r>
        <w:rPr>
          <w:b/>
          <w:i/>
          <w:color w:val="000000"/>
        </w:rPr>
        <w:t xml:space="preserve"> juicio </w:t>
      </w:r>
      <w:r>
        <w:rPr>
          <w:i/>
          <w:color w:val="000000"/>
        </w:rPr>
        <w:t xml:space="preserve">de </w:t>
      </w:r>
      <w:r>
        <w:rPr>
          <w:b/>
          <w:i/>
          <w:color w:val="000000"/>
        </w:rPr>
        <w:t>amparo</w:t>
      </w:r>
      <w:r>
        <w:rPr>
          <w:i/>
          <w:color w:val="000000"/>
        </w:rPr>
        <w:t xml:space="preserve"> no se pueden estudiar los planteamientos que se hacen valer en contra del fallo reclamado, tampoco se deben analizar las</w:t>
      </w:r>
      <w:r>
        <w:rPr>
          <w:b/>
          <w:i/>
          <w:color w:val="000000"/>
        </w:rPr>
        <w:t xml:space="preserve"> violaciones procesales</w:t>
      </w:r>
      <w:r>
        <w:rPr>
          <w:i/>
          <w:color w:val="000000"/>
        </w:rPr>
        <w:t xml:space="preserve"> propuestas en los </w:t>
      </w:r>
      <w:r>
        <w:rPr>
          <w:b/>
          <w:i/>
          <w:color w:val="000000"/>
        </w:rPr>
        <w:t xml:space="preserve">conceptos </w:t>
      </w:r>
      <w:r>
        <w:rPr>
          <w:i/>
          <w:color w:val="000000"/>
        </w:rPr>
        <w:t xml:space="preserve">de </w:t>
      </w:r>
      <w:r>
        <w:rPr>
          <w:b/>
          <w:i/>
          <w:color w:val="000000"/>
        </w:rPr>
        <w:t>violación</w:t>
      </w:r>
      <w:r>
        <w:rPr>
          <w:i/>
          <w:color w:val="000000"/>
        </w:rPr>
        <w:t xml:space="preserve">, dado que, la principal consecuencia del </w:t>
      </w:r>
      <w:r>
        <w:rPr>
          <w:b/>
          <w:i/>
          <w:color w:val="000000"/>
        </w:rPr>
        <w:t>sobreseimiento</w:t>
      </w:r>
      <w:r>
        <w:rPr>
          <w:i/>
          <w:color w:val="000000"/>
        </w:rPr>
        <w:t xml:space="preserve"> es poner fin al </w:t>
      </w:r>
      <w:r>
        <w:rPr>
          <w:b/>
          <w:i/>
          <w:color w:val="000000"/>
        </w:rPr>
        <w:t xml:space="preserve">juicio </w:t>
      </w:r>
      <w:r>
        <w:rPr>
          <w:i/>
          <w:color w:val="000000"/>
        </w:rPr>
        <w:t xml:space="preserve">de </w:t>
      </w:r>
      <w:r>
        <w:rPr>
          <w:b/>
          <w:i/>
          <w:color w:val="000000"/>
        </w:rPr>
        <w:t xml:space="preserve">amparo </w:t>
      </w:r>
      <w:r>
        <w:rPr>
          <w:i/>
          <w:color w:val="000000"/>
        </w:rPr>
        <w:t>sin resolver la controversia en sus méritos.  </w:t>
      </w:r>
    </w:p>
    <w:p w14:paraId="3FCC3CE9" w14:textId="77777777" w:rsidR="00C01912" w:rsidRDefault="00C01912" w:rsidP="00C01912">
      <w:pPr>
        <w:ind w:left="851" w:right="851"/>
        <w:rPr>
          <w:rFonts w:cs="Arial"/>
          <w:b/>
          <w:i/>
        </w:rPr>
      </w:pPr>
      <w:r>
        <w:rPr>
          <w:rFonts w:cs="Arial"/>
          <w:b/>
          <w:i/>
        </w:rPr>
        <w:t>SÉPTIMO TRIBUNAL COLEGIADO EN MATERIA CIVIL DEL PRIMER CIRCUITO.</w:t>
      </w:r>
    </w:p>
    <w:p w14:paraId="19498EB0" w14:textId="77777777" w:rsidR="00C01912" w:rsidRDefault="00C01912" w:rsidP="00C01912">
      <w:pPr>
        <w:ind w:left="851" w:right="851"/>
        <w:rPr>
          <w:rFonts w:cs="Arial"/>
          <w:i/>
        </w:rPr>
      </w:pPr>
      <w:r>
        <w:rPr>
          <w:rFonts w:cs="Arial"/>
          <w:i/>
        </w:rPr>
        <w:t>Amparo directo 699/2008. Mariana Leticia González Steele. 13 de noviembre de 2008. Unanimidad de votos. Ponente: Sara Judith Montalvo Trejo. Secretario: Arnulfo Mateos García.”</w:t>
      </w:r>
      <w:r>
        <w:rPr>
          <w:rFonts w:eastAsia="Times New Roman"/>
          <w:b/>
          <w:i/>
          <w:lang w:eastAsia="es-ES"/>
        </w:rPr>
        <w:t xml:space="preserve"> [Sic]</w:t>
      </w:r>
    </w:p>
    <w:p w14:paraId="35F3B9D3" w14:textId="77777777" w:rsidR="00C01912" w:rsidRDefault="00C01912" w:rsidP="00C01912">
      <w:pPr>
        <w:autoSpaceDE w:val="0"/>
        <w:autoSpaceDN w:val="0"/>
        <w:adjustRightInd w:val="0"/>
        <w:rPr>
          <w:rFonts w:eastAsia="Times New Roman" w:cs="Arial"/>
          <w:szCs w:val="24"/>
          <w:lang w:val="es-ES" w:eastAsia="es-ES"/>
        </w:rPr>
      </w:pPr>
    </w:p>
    <w:p w14:paraId="3C1FF334" w14:textId="77777777" w:rsidR="00125F70" w:rsidRDefault="00125F70" w:rsidP="00125F70">
      <w:pPr>
        <w:rPr>
          <w:rFonts w:cs="Arial"/>
          <w:szCs w:val="24"/>
        </w:rPr>
      </w:pPr>
      <w:r>
        <w:rPr>
          <w:rFonts w:cs="Arial"/>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Pr>
          <w:rFonts w:cs="Arial"/>
          <w:b/>
          <w:szCs w:val="24"/>
        </w:rPr>
        <w:t xml:space="preserve">artículo 192 </w:t>
      </w:r>
      <w:r>
        <w:rPr>
          <w:rFonts w:cs="Arial"/>
          <w:szCs w:val="24"/>
        </w:rPr>
        <w:t xml:space="preserve">de la </w:t>
      </w:r>
      <w:r>
        <w:rPr>
          <w:rFonts w:cs="Arial"/>
          <w:b/>
          <w:szCs w:val="24"/>
        </w:rPr>
        <w:t xml:space="preserve">Ley de Transparencia y Acceso a la Información Pública del Estado de México y </w:t>
      </w:r>
      <w:r>
        <w:rPr>
          <w:rFonts w:cs="Arial"/>
          <w:b/>
          <w:szCs w:val="24"/>
        </w:rPr>
        <w:lastRenderedPageBreak/>
        <w:t xml:space="preserve">Municipios, </w:t>
      </w:r>
      <w:r>
        <w:rPr>
          <w:rFonts w:cs="Arial"/>
          <w:szCs w:val="24"/>
        </w:rPr>
        <w:t xml:space="preserve">nos encontramos ante un sobreseimiento definitivo toda vez que pone fin al procedimiento sin entrar al estudio de fondo del mismo. </w:t>
      </w:r>
    </w:p>
    <w:p w14:paraId="009C9368" w14:textId="77777777" w:rsidR="00125F70" w:rsidRDefault="00125F70" w:rsidP="00125F70">
      <w:pPr>
        <w:rPr>
          <w:rFonts w:cs="Arial"/>
          <w:szCs w:val="24"/>
        </w:rPr>
      </w:pPr>
    </w:p>
    <w:p w14:paraId="30C1EA3B" w14:textId="77777777" w:rsidR="00125F70" w:rsidRDefault="00125F70" w:rsidP="00125F70">
      <w:pPr>
        <w:rPr>
          <w:rFonts w:cs="Arial"/>
          <w:b/>
          <w:szCs w:val="24"/>
        </w:rPr>
      </w:pPr>
      <w:r>
        <w:rPr>
          <w:rFonts w:cs="Arial"/>
          <w:szCs w:val="24"/>
        </w:rPr>
        <w:t xml:space="preserve">Para los efectos de esta resolución, resulta oportuno precisar los alcances jurídicos de la </w:t>
      </w:r>
      <w:r>
        <w:rPr>
          <w:rFonts w:cs="Arial"/>
          <w:b/>
          <w:szCs w:val="24"/>
        </w:rPr>
        <w:t xml:space="preserve">fracción III </w:t>
      </w:r>
      <w:r>
        <w:rPr>
          <w:rFonts w:cs="Arial"/>
          <w:szCs w:val="24"/>
        </w:rPr>
        <w:t xml:space="preserve">de la disposición legal transcrita. Así, procede el sobreseimiento del recurso de revisión cuando el </w:t>
      </w:r>
      <w:r>
        <w:rPr>
          <w:rFonts w:cs="Arial"/>
          <w:b/>
          <w:szCs w:val="24"/>
        </w:rPr>
        <w:t xml:space="preserve">Sujeto Obligado: </w:t>
      </w:r>
    </w:p>
    <w:p w14:paraId="0640D79F" w14:textId="77777777" w:rsidR="00125F70" w:rsidRDefault="00125F70" w:rsidP="00125F70">
      <w:pPr>
        <w:rPr>
          <w:rFonts w:cs="Arial"/>
          <w:b/>
          <w:szCs w:val="24"/>
        </w:rPr>
      </w:pPr>
    </w:p>
    <w:p w14:paraId="1A43B932" w14:textId="77777777" w:rsidR="00125F70" w:rsidRDefault="00125F70" w:rsidP="00125F70">
      <w:pPr>
        <w:pStyle w:val="Prrafodelista"/>
        <w:numPr>
          <w:ilvl w:val="0"/>
          <w:numId w:val="23"/>
        </w:numPr>
        <w:ind w:right="851"/>
        <w:rPr>
          <w:rFonts w:cs="Arial"/>
          <w:b/>
        </w:rPr>
      </w:pPr>
      <w:r>
        <w:rPr>
          <w:rFonts w:cs="Arial"/>
          <w:b/>
        </w:rPr>
        <w:t xml:space="preserve">Modifique el acto impugnado: </w:t>
      </w:r>
      <w:r>
        <w:rPr>
          <w:rFonts w:cs="Arial"/>
        </w:rPr>
        <w:t xml:space="preserve">Se actualiza cuando el </w:t>
      </w:r>
      <w:r>
        <w:rPr>
          <w:rFonts w:cs="Arial"/>
          <w:b/>
        </w:rPr>
        <w:t xml:space="preserve">Sujeto Obligado </w:t>
      </w:r>
      <w:r>
        <w:rPr>
          <w:rFonts w:cs="Arial"/>
        </w:rPr>
        <w:t xml:space="preserve">después de haber otorgado una respuesta y hasta antes de dictada la resolución del recurso de revisión, emite una diversa en la que subsane las deficiencias que hubiere tenido. </w:t>
      </w:r>
    </w:p>
    <w:p w14:paraId="33246BE3" w14:textId="77777777" w:rsidR="00125F70" w:rsidRDefault="00125F70" w:rsidP="00125F70">
      <w:pPr>
        <w:pStyle w:val="Prrafodelista"/>
        <w:ind w:left="720" w:right="851"/>
        <w:rPr>
          <w:rFonts w:cs="Arial"/>
          <w:b/>
        </w:rPr>
      </w:pPr>
    </w:p>
    <w:p w14:paraId="174BAA33" w14:textId="77777777" w:rsidR="00125F70" w:rsidRDefault="00125F70" w:rsidP="00125F70">
      <w:pPr>
        <w:rPr>
          <w:rFonts w:cs="Arial"/>
          <w:szCs w:val="24"/>
          <w:u w:val="single"/>
        </w:rPr>
      </w:pPr>
      <w:r>
        <w:rPr>
          <w:rFonts w:cs="Arial"/>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cs="Arial"/>
          <w:b/>
          <w:szCs w:val="24"/>
          <w:u w:val="single"/>
        </w:rPr>
        <w:t xml:space="preserve">cuando ha sido satisfecha la pretensión del particular, </w:t>
      </w:r>
      <w:r>
        <w:rPr>
          <w:rFonts w:cs="Arial"/>
          <w:szCs w:val="24"/>
        </w:rPr>
        <w:t>ya sea porque se hizo la entrega de la información solicitada o porque se completó la misma.</w:t>
      </w:r>
      <w:r>
        <w:rPr>
          <w:rFonts w:cs="Arial"/>
          <w:szCs w:val="24"/>
          <w:u w:val="single"/>
        </w:rPr>
        <w:t xml:space="preserve"> </w:t>
      </w:r>
    </w:p>
    <w:p w14:paraId="5228E75E" w14:textId="77777777" w:rsidR="00125F70" w:rsidRDefault="00125F70" w:rsidP="00125F70">
      <w:pPr>
        <w:rPr>
          <w:rFonts w:cs="Arial"/>
          <w:szCs w:val="24"/>
        </w:rPr>
      </w:pPr>
    </w:p>
    <w:p w14:paraId="4CCD2BFC" w14:textId="77777777" w:rsidR="00125F70" w:rsidRDefault="00125F70" w:rsidP="00125F70">
      <w:pPr>
        <w:rPr>
          <w:rFonts w:cs="Arial"/>
          <w:szCs w:val="24"/>
        </w:rPr>
      </w:pPr>
      <w:r>
        <w:rPr>
          <w:rFonts w:cs="Arial"/>
          <w:szCs w:val="24"/>
        </w:rPr>
        <w:t xml:space="preserve">En este tenor, se advierte que </w:t>
      </w:r>
      <w:r>
        <w:rPr>
          <w:rFonts w:cs="Arial"/>
          <w:b/>
          <w:szCs w:val="24"/>
        </w:rPr>
        <w:t>El</w:t>
      </w:r>
      <w:r>
        <w:rPr>
          <w:rFonts w:cs="Arial"/>
          <w:szCs w:val="24"/>
        </w:rPr>
        <w:t xml:space="preserve"> </w:t>
      </w:r>
      <w:r>
        <w:rPr>
          <w:rFonts w:cs="Arial"/>
          <w:b/>
          <w:szCs w:val="24"/>
        </w:rPr>
        <w:t xml:space="preserve">Sujeto Obligado </w:t>
      </w:r>
      <w:r>
        <w:rPr>
          <w:rFonts w:cs="Arial"/>
          <w:szCs w:val="24"/>
        </w:rPr>
        <w:t xml:space="preserve">con la información enviada a este Órgano Garante, </w:t>
      </w:r>
      <w:r>
        <w:rPr>
          <w:rFonts w:cs="Arial"/>
          <w:b/>
          <w:szCs w:val="24"/>
        </w:rPr>
        <w:t xml:space="preserve">modifica </w:t>
      </w:r>
      <w:r>
        <w:rPr>
          <w:rFonts w:cs="Arial"/>
          <w:szCs w:val="24"/>
        </w:rPr>
        <w:t xml:space="preserve">el acto que le dio origen al recurso de revisión, </w:t>
      </w:r>
      <w:r>
        <w:rPr>
          <w:rFonts w:cs="Arial"/>
          <w:b/>
          <w:szCs w:val="24"/>
        </w:rPr>
        <w:t xml:space="preserve">por lo que trae como consecuencia que el mismo quede sin materia, </w:t>
      </w:r>
      <w:r>
        <w:rPr>
          <w:rFonts w:cs="Arial"/>
          <w:szCs w:val="24"/>
        </w:rPr>
        <w:t xml:space="preserve">actualizándose de este modo, la hipótesis jurídica contenida en la fracción III del artículo 192. </w:t>
      </w:r>
    </w:p>
    <w:p w14:paraId="68A9B8F1" w14:textId="77777777" w:rsidR="00125F70" w:rsidRDefault="00125F70" w:rsidP="00125F70">
      <w:pPr>
        <w:rPr>
          <w:rFonts w:cs="Arial"/>
          <w:szCs w:val="24"/>
        </w:rPr>
      </w:pPr>
    </w:p>
    <w:p w14:paraId="761D4AFE" w14:textId="77777777" w:rsidR="00125F70" w:rsidRDefault="00125F70" w:rsidP="00125F70">
      <w:pPr>
        <w:rPr>
          <w:rFonts w:cs="Arial"/>
          <w:szCs w:val="24"/>
        </w:rPr>
      </w:pPr>
      <w:r>
        <w:rPr>
          <w:rFonts w:cs="Arial"/>
          <w:szCs w:val="24"/>
        </w:rPr>
        <w:lastRenderedPageBreak/>
        <w:t xml:space="preserve">De este modo, cuando </w:t>
      </w:r>
      <w:r>
        <w:rPr>
          <w:rFonts w:cs="Arial"/>
          <w:b/>
          <w:szCs w:val="24"/>
        </w:rPr>
        <w:t>El</w:t>
      </w:r>
      <w:r>
        <w:rPr>
          <w:rFonts w:cs="Arial"/>
          <w:szCs w:val="24"/>
        </w:rPr>
        <w:t xml:space="preserve"> </w:t>
      </w:r>
      <w:r>
        <w:rPr>
          <w:rFonts w:cs="Arial"/>
          <w:b/>
          <w:szCs w:val="24"/>
        </w:rPr>
        <w:t>Sujeto Obligado</w:t>
      </w:r>
      <w:r>
        <w:rPr>
          <w:rFonts w:cs="Arial"/>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Pr>
          <w:rFonts w:cs="Arial"/>
          <w:b/>
          <w:i/>
          <w:szCs w:val="24"/>
        </w:rPr>
        <w:t xml:space="preserve">litis </w:t>
      </w:r>
      <w:r>
        <w:rPr>
          <w:rFonts w:cs="Arial"/>
          <w:szCs w:val="24"/>
        </w:rPr>
        <w:t xml:space="preserve">planteada, debido a que la afectación en su esfera de derechos fue restituida por la propia autoridad que emitió el acto de impugnación. </w:t>
      </w:r>
    </w:p>
    <w:p w14:paraId="65341FDA" w14:textId="77777777" w:rsidR="00EF2512" w:rsidRDefault="00EF2512" w:rsidP="00125F70">
      <w:pPr>
        <w:autoSpaceDE w:val="0"/>
        <w:autoSpaceDN w:val="0"/>
        <w:adjustRightInd w:val="0"/>
        <w:rPr>
          <w:rFonts w:cs="Arial"/>
          <w:szCs w:val="24"/>
        </w:rPr>
      </w:pPr>
    </w:p>
    <w:p w14:paraId="068C55D1" w14:textId="5CD2FA6B" w:rsidR="00C01912" w:rsidRDefault="00125F70" w:rsidP="00125F70">
      <w:pPr>
        <w:autoSpaceDE w:val="0"/>
        <w:autoSpaceDN w:val="0"/>
        <w:adjustRightInd w:val="0"/>
        <w:rPr>
          <w:rFonts w:cs="Arial"/>
          <w:szCs w:val="24"/>
        </w:rPr>
      </w:pPr>
      <w:r>
        <w:rPr>
          <w:rFonts w:cs="Arial"/>
          <w:szCs w:val="24"/>
        </w:rPr>
        <w:t xml:space="preserve">Por lo tanto, para que se actualice el sobreseimiento de un recurso de revisión, </w:t>
      </w:r>
      <w:r>
        <w:rPr>
          <w:rFonts w:cs="Arial"/>
          <w:b/>
          <w:szCs w:val="24"/>
        </w:rPr>
        <w:t>El</w:t>
      </w:r>
      <w:r>
        <w:rPr>
          <w:rFonts w:cs="Arial"/>
          <w:szCs w:val="24"/>
        </w:rPr>
        <w:t xml:space="preserve"> </w:t>
      </w:r>
      <w:r>
        <w:rPr>
          <w:rFonts w:cs="Arial"/>
          <w:b/>
          <w:szCs w:val="24"/>
        </w:rPr>
        <w:t xml:space="preserve">Sujeto Obligado </w:t>
      </w:r>
      <w:r>
        <w:rPr>
          <w:rFonts w:cs="Arial"/>
          <w:szCs w:val="24"/>
        </w:rPr>
        <w:t xml:space="preserve">puede entregar o completar la información al momento de rendir su </w:t>
      </w:r>
      <w:r>
        <w:rPr>
          <w:rFonts w:cs="Arial"/>
          <w:b/>
          <w:szCs w:val="24"/>
          <w:u w:val="single"/>
        </w:rPr>
        <w:t>informe de justificación dentro de los siete días</w:t>
      </w:r>
      <w:r>
        <w:rPr>
          <w:rFonts w:cs="Arial"/>
          <w:b/>
          <w:szCs w:val="24"/>
        </w:rPr>
        <w:t xml:space="preserve"> </w:t>
      </w:r>
      <w:r>
        <w:rPr>
          <w:rFonts w:cs="Arial"/>
          <w:szCs w:val="24"/>
        </w:rPr>
        <w:t>previstos para manifestar lo que a su derecho convenga.</w:t>
      </w:r>
    </w:p>
    <w:p w14:paraId="2D4089A9" w14:textId="77777777" w:rsidR="00C01912" w:rsidRPr="00E039F1" w:rsidRDefault="00C01912" w:rsidP="00C01912">
      <w:pPr>
        <w:autoSpaceDE w:val="0"/>
        <w:autoSpaceDN w:val="0"/>
        <w:adjustRightInd w:val="0"/>
        <w:rPr>
          <w:rFonts w:eastAsia="Times New Roman"/>
          <w:b/>
          <w:szCs w:val="24"/>
          <w:u w:val="single"/>
          <w:lang w:val="es-ES" w:eastAsia="es-ES"/>
        </w:rPr>
      </w:pPr>
    </w:p>
    <w:p w14:paraId="1FEDDE28" w14:textId="0EAE76F4" w:rsidR="00C01912" w:rsidRPr="008729D0" w:rsidRDefault="00EF2512" w:rsidP="00C01912">
      <w:pPr>
        <w:autoSpaceDE w:val="0"/>
        <w:autoSpaceDN w:val="0"/>
        <w:adjustRightInd w:val="0"/>
        <w:spacing w:before="240" w:after="240"/>
        <w:rPr>
          <w:rFonts w:eastAsia="Times New Roman"/>
          <w:szCs w:val="24"/>
          <w:lang w:val="es-ES" w:eastAsia="es-ES"/>
        </w:rPr>
      </w:pPr>
      <w:r>
        <w:rPr>
          <w:rFonts w:cs="Arial"/>
          <w:szCs w:val="24"/>
        </w:rPr>
        <w:t xml:space="preserve">En mérito de lo expuesto en líneas anteriores, resultan fundados los motivos de inconformidad que arguye </w:t>
      </w:r>
      <w:r>
        <w:rPr>
          <w:rFonts w:cs="Arial"/>
          <w:b/>
          <w:szCs w:val="24"/>
        </w:rPr>
        <w:t xml:space="preserve">La Recurrente </w:t>
      </w:r>
      <w:r>
        <w:rPr>
          <w:rFonts w:cs="Arial"/>
          <w:szCs w:val="24"/>
        </w:rPr>
        <w:t xml:space="preserve">en su medio de impugnación que fue materia de estudio, por ello </w:t>
      </w:r>
      <w:r>
        <w:rPr>
          <w:rFonts w:cs="Arial"/>
          <w:b/>
          <w:szCs w:val="24"/>
        </w:rPr>
        <w:t xml:space="preserve">con fundamento en el artículo 186 fracción I, en concordancia con el 192 fracción III de la Ley de Transparencia y Acceso a la Información Pública del Estado de México y Municipios, </w:t>
      </w:r>
      <w:r>
        <w:rPr>
          <w:rFonts w:cs="Arial"/>
          <w:szCs w:val="24"/>
        </w:rPr>
        <w:t xml:space="preserve">se </w:t>
      </w:r>
      <w:r>
        <w:rPr>
          <w:rFonts w:cs="Arial"/>
          <w:b/>
          <w:szCs w:val="24"/>
        </w:rPr>
        <w:t xml:space="preserve">SOBRESEE </w:t>
      </w:r>
      <w:r>
        <w:rPr>
          <w:rFonts w:cs="Arial"/>
          <w:szCs w:val="24"/>
        </w:rPr>
        <w:t xml:space="preserve">el recurso de revisión </w:t>
      </w:r>
      <w:r w:rsidR="003F440D">
        <w:rPr>
          <w:rFonts w:cs="Arial"/>
          <w:b/>
          <w:szCs w:val="24"/>
        </w:rPr>
        <w:t>01355</w:t>
      </w:r>
      <w:r>
        <w:rPr>
          <w:rFonts w:cs="Arial"/>
          <w:b/>
          <w:szCs w:val="24"/>
        </w:rPr>
        <w:t>/INFOEM/IP/RR/202</w:t>
      </w:r>
      <w:r w:rsidR="003F440D">
        <w:rPr>
          <w:rFonts w:cs="Arial"/>
          <w:b/>
          <w:szCs w:val="24"/>
        </w:rPr>
        <w:t>3</w:t>
      </w:r>
      <w:r>
        <w:rPr>
          <w:rFonts w:cs="Arial"/>
          <w:b/>
          <w:szCs w:val="24"/>
        </w:rPr>
        <w:t xml:space="preserve">, </w:t>
      </w:r>
      <w:r>
        <w:rPr>
          <w:rFonts w:cs="Arial"/>
          <w:szCs w:val="24"/>
        </w:rPr>
        <w:t>que ha sido materia del presente fallo</w:t>
      </w:r>
      <w:r w:rsidR="00C01912" w:rsidRPr="008A0031">
        <w:rPr>
          <w:rFonts w:eastAsia="Times New Roman"/>
          <w:szCs w:val="24"/>
          <w:lang w:val="es-ES" w:eastAsia="es-ES"/>
        </w:rPr>
        <w:t>.</w:t>
      </w:r>
    </w:p>
    <w:p w14:paraId="088B2F4A" w14:textId="381BFD24" w:rsidR="00C01912" w:rsidRDefault="00C01912" w:rsidP="00C01912">
      <w:pPr>
        <w:rPr>
          <w:rFonts w:eastAsia="Times New Roman"/>
          <w:szCs w:val="24"/>
          <w:lang w:eastAsia="es-ES"/>
        </w:rPr>
      </w:pPr>
      <w:r w:rsidRPr="002C3EC8">
        <w:rPr>
          <w:rFonts w:eastAsia="Times New Roman"/>
          <w:szCs w:val="24"/>
          <w:lang w:eastAsia="es-ES"/>
        </w:rPr>
        <w:t>Por lo antes expuesto y fundado es de resolverse y,</w:t>
      </w:r>
    </w:p>
    <w:p w14:paraId="21531A8F" w14:textId="77777777" w:rsidR="000D7FF4" w:rsidRPr="00B82E69" w:rsidRDefault="000D7FF4" w:rsidP="00C01912">
      <w:pPr>
        <w:rPr>
          <w:rFonts w:eastAsia="Times New Roman"/>
          <w:szCs w:val="24"/>
          <w:lang w:eastAsia="es-ES"/>
        </w:rPr>
      </w:pPr>
    </w:p>
    <w:p w14:paraId="5EA1E06E" w14:textId="77777777" w:rsidR="00C01912" w:rsidRPr="002C3EC8" w:rsidRDefault="00C01912" w:rsidP="00C01912">
      <w:pPr>
        <w:spacing w:before="240" w:after="240"/>
        <w:jc w:val="center"/>
        <w:rPr>
          <w:b/>
          <w:spacing w:val="60"/>
          <w:sz w:val="28"/>
          <w:szCs w:val="24"/>
        </w:rPr>
      </w:pPr>
      <w:r w:rsidRPr="002C3EC8">
        <w:rPr>
          <w:b/>
          <w:spacing w:val="60"/>
          <w:sz w:val="28"/>
          <w:szCs w:val="24"/>
        </w:rPr>
        <w:t>S E RESUELVE</w:t>
      </w:r>
    </w:p>
    <w:p w14:paraId="032BBECC" w14:textId="3454437E" w:rsidR="00C01912" w:rsidRPr="00A82E18" w:rsidRDefault="00C01912" w:rsidP="00C01912">
      <w:pPr>
        <w:rPr>
          <w:rFonts w:cs="Arial"/>
          <w:szCs w:val="24"/>
        </w:rPr>
      </w:pPr>
      <w:r w:rsidRPr="00B81A2B">
        <w:rPr>
          <w:rFonts w:eastAsia="Times New Roman"/>
          <w:b/>
          <w:bCs/>
          <w:sz w:val="28"/>
        </w:rPr>
        <w:lastRenderedPageBreak/>
        <w:t>PRIMERO</w:t>
      </w:r>
      <w:r w:rsidRPr="00B81A2B">
        <w:rPr>
          <w:rFonts w:eastAsia="Times New Roman"/>
          <w:sz w:val="28"/>
        </w:rPr>
        <w:t xml:space="preserve">. </w:t>
      </w:r>
      <w:r w:rsidR="00EF2512">
        <w:rPr>
          <w:rFonts w:eastAsiaTheme="minorEastAsia" w:cs="Arial"/>
          <w:szCs w:val="24"/>
          <w:lang w:eastAsia="es-ES"/>
        </w:rPr>
        <w:t xml:space="preserve">Se </w:t>
      </w:r>
      <w:r w:rsidR="00EF2512">
        <w:rPr>
          <w:rFonts w:eastAsiaTheme="minorEastAsia" w:cs="Arial"/>
          <w:b/>
          <w:szCs w:val="24"/>
          <w:lang w:eastAsia="es-ES"/>
        </w:rPr>
        <w:t>SOBRESEE</w:t>
      </w:r>
      <w:r w:rsidR="00EF2512">
        <w:rPr>
          <w:rFonts w:eastAsiaTheme="minorEastAsia" w:cs="Arial"/>
          <w:szCs w:val="24"/>
          <w:lang w:eastAsia="es-ES"/>
        </w:rPr>
        <w:t xml:space="preserve"> el recurso de revisión número </w:t>
      </w:r>
      <w:r w:rsidR="003F440D">
        <w:rPr>
          <w:rFonts w:cs="Arial"/>
          <w:b/>
          <w:szCs w:val="24"/>
        </w:rPr>
        <w:t>01355</w:t>
      </w:r>
      <w:r w:rsidR="00EF2512">
        <w:rPr>
          <w:rFonts w:cs="Arial"/>
          <w:b/>
          <w:szCs w:val="24"/>
        </w:rPr>
        <w:t>/INFOEM/IP/RR/202</w:t>
      </w:r>
      <w:r w:rsidR="003F440D">
        <w:rPr>
          <w:rFonts w:cs="Arial"/>
          <w:b/>
          <w:szCs w:val="24"/>
        </w:rPr>
        <w:t>3</w:t>
      </w:r>
      <w:r w:rsidR="00EF2512">
        <w:rPr>
          <w:rFonts w:eastAsiaTheme="minorEastAsia" w:cs="Arial"/>
          <w:szCs w:val="24"/>
          <w:lang w:eastAsia="es-ES"/>
        </w:rPr>
        <w:t xml:space="preserve">, porque </w:t>
      </w:r>
      <w:r w:rsidR="00EF2512">
        <w:rPr>
          <w:rFonts w:eastAsiaTheme="minorEastAsia" w:cs="Arial"/>
          <w:b/>
          <w:bCs/>
          <w:szCs w:val="24"/>
          <w:lang w:eastAsia="es-ES"/>
        </w:rPr>
        <w:t>EL SUJETO OBLIGADO</w:t>
      </w:r>
      <w:r w:rsidR="00EF2512">
        <w:rPr>
          <w:rFonts w:eastAsiaTheme="minorEastAsia" w:cs="Arial"/>
          <w:szCs w:val="24"/>
          <w:lang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003F440D">
        <w:rPr>
          <w:rFonts w:eastAsiaTheme="minorEastAsia" w:cs="Arial"/>
          <w:b/>
          <w:szCs w:val="24"/>
          <w:lang w:eastAsia="es-ES"/>
        </w:rPr>
        <w:t>CUARTO</w:t>
      </w:r>
      <w:r w:rsidR="00EF2512">
        <w:rPr>
          <w:rFonts w:eastAsiaTheme="minorEastAsia" w:cs="Arial"/>
          <w:szCs w:val="24"/>
          <w:lang w:eastAsia="es-ES"/>
        </w:rPr>
        <w:t xml:space="preserve"> de la presente resolución.</w:t>
      </w:r>
    </w:p>
    <w:p w14:paraId="40433BA0" w14:textId="77777777" w:rsidR="00C01912" w:rsidRPr="00367414" w:rsidRDefault="00C01912" w:rsidP="00C01912">
      <w:pPr>
        <w:pStyle w:val="Textoindependiente"/>
        <w:rPr>
          <w:b/>
        </w:rPr>
      </w:pPr>
    </w:p>
    <w:p w14:paraId="1E8A8840" w14:textId="77777777" w:rsidR="00EF2512" w:rsidRDefault="00EF2512" w:rsidP="00EF2512">
      <w:pPr>
        <w:tabs>
          <w:tab w:val="left" w:pos="8647"/>
        </w:tabs>
        <w:ind w:right="51"/>
        <w:rPr>
          <w:rFonts w:eastAsiaTheme="minorEastAsia" w:cs="Arial"/>
          <w:szCs w:val="24"/>
          <w:lang w:eastAsia="es-ES"/>
        </w:rPr>
      </w:pPr>
      <w:r>
        <w:rPr>
          <w:rFonts w:eastAsiaTheme="minorEastAsia" w:cs="Arial"/>
          <w:b/>
          <w:sz w:val="28"/>
          <w:szCs w:val="24"/>
          <w:lang w:eastAsia="es-ES"/>
        </w:rPr>
        <w:t>SEGUNDO</w:t>
      </w:r>
      <w:r>
        <w:rPr>
          <w:rFonts w:eastAsiaTheme="minorEastAsia" w:cs="Arial"/>
          <w:b/>
          <w:szCs w:val="24"/>
          <w:lang w:eastAsia="es-ES"/>
        </w:rPr>
        <w:t>.</w:t>
      </w:r>
      <w:r>
        <w:rPr>
          <w:rFonts w:eastAsiaTheme="minorEastAsia" w:cs="Arial"/>
          <w:szCs w:val="24"/>
          <w:lang w:eastAsia="es-ES"/>
        </w:rPr>
        <w:t xml:space="preserve"> </w:t>
      </w:r>
      <w:r>
        <w:rPr>
          <w:rFonts w:eastAsiaTheme="minorEastAsia" w:cs="Arial"/>
          <w:b/>
          <w:szCs w:val="24"/>
          <w:lang w:eastAsia="es-ES"/>
        </w:rPr>
        <w:t>NOTIFÍQUESE</w:t>
      </w:r>
      <w:r>
        <w:rPr>
          <w:rFonts w:eastAsiaTheme="minorEastAsia" w:cs="Arial"/>
          <w:szCs w:val="24"/>
          <w:lang w:eastAsia="es-ES"/>
        </w:rPr>
        <w:t xml:space="preserve"> vía </w:t>
      </w:r>
      <w:r>
        <w:rPr>
          <w:rFonts w:eastAsia="Times New Roman" w:cs="Times New Roman"/>
          <w:szCs w:val="24"/>
          <w:lang w:val="es-ES" w:eastAsia="es-ES"/>
        </w:rPr>
        <w:t>Sistema de Acceso a la Información Mexiquense</w:t>
      </w:r>
      <w:r>
        <w:rPr>
          <w:rFonts w:eastAsiaTheme="minorEastAsia" w:cs="Arial"/>
          <w:b/>
          <w:bCs/>
          <w:szCs w:val="24"/>
          <w:lang w:eastAsia="es-ES"/>
        </w:rPr>
        <w:t xml:space="preserve"> (SAIMEX)</w:t>
      </w:r>
      <w:r>
        <w:rPr>
          <w:rFonts w:eastAsiaTheme="minorEastAsia" w:cs="Arial"/>
          <w:szCs w:val="24"/>
          <w:lang w:eastAsia="es-ES"/>
        </w:rPr>
        <w:t xml:space="preserve"> la presente resolución al Titular de la Unidad de Transparencia del </w:t>
      </w:r>
      <w:r>
        <w:rPr>
          <w:rFonts w:eastAsiaTheme="minorEastAsia" w:cs="Arial"/>
          <w:b/>
          <w:szCs w:val="24"/>
          <w:lang w:eastAsia="es-ES"/>
        </w:rPr>
        <w:t>Sujeto Obligado</w:t>
      </w:r>
      <w:r>
        <w:rPr>
          <w:rFonts w:eastAsiaTheme="minorEastAsia" w:cs="Arial"/>
          <w:szCs w:val="24"/>
          <w:lang w:eastAsia="es-ES"/>
        </w:rPr>
        <w:t>.</w:t>
      </w:r>
    </w:p>
    <w:p w14:paraId="7A283E37" w14:textId="77777777" w:rsidR="00EF2512" w:rsidRDefault="00EF2512" w:rsidP="00EF2512">
      <w:pPr>
        <w:tabs>
          <w:tab w:val="left" w:pos="8647"/>
        </w:tabs>
        <w:ind w:right="51"/>
        <w:rPr>
          <w:rFonts w:eastAsiaTheme="minorEastAsia" w:cs="Arial"/>
          <w:szCs w:val="24"/>
          <w:lang w:eastAsia="es-ES"/>
        </w:rPr>
      </w:pPr>
    </w:p>
    <w:p w14:paraId="74E7AF6D" w14:textId="45FE9519" w:rsidR="00EF2512" w:rsidRDefault="003F440D" w:rsidP="00EF2512">
      <w:pPr>
        <w:rPr>
          <w:rFonts w:eastAsia="Times New Roman" w:cs="Arial"/>
          <w:szCs w:val="24"/>
          <w:lang w:val="es-ES" w:eastAsia="es-ES"/>
        </w:rPr>
      </w:pPr>
      <w:r>
        <w:rPr>
          <w:rFonts w:eastAsia="Times New Roman" w:cs="Arial"/>
          <w:b/>
          <w:noProof/>
          <w:sz w:val="28"/>
          <w:szCs w:val="24"/>
          <w:lang w:val="es-MX"/>
        </w:rPr>
        <mc:AlternateContent>
          <mc:Choice Requires="wps">
            <w:drawing>
              <wp:anchor distT="0" distB="0" distL="114300" distR="114300" simplePos="0" relativeHeight="251659264" behindDoc="0" locked="0" layoutInCell="1" allowOverlap="1" wp14:anchorId="24683C16" wp14:editId="79427AF5">
                <wp:simplePos x="0" y="0"/>
                <wp:positionH relativeFrom="column">
                  <wp:posOffset>86888</wp:posOffset>
                </wp:positionH>
                <wp:positionV relativeFrom="paragraph">
                  <wp:posOffset>1833979</wp:posOffset>
                </wp:positionV>
                <wp:extent cx="5795158" cy="2422566"/>
                <wp:effectExtent l="0" t="0" r="34290" b="34925"/>
                <wp:wrapNone/>
                <wp:docPr id="3" name="Conector recto 3"/>
                <wp:cNvGraphicFramePr/>
                <a:graphic xmlns:a="http://schemas.openxmlformats.org/drawingml/2006/main">
                  <a:graphicData uri="http://schemas.microsoft.com/office/word/2010/wordprocessingShape">
                    <wps:wsp>
                      <wps:cNvCnPr/>
                      <wps:spPr>
                        <a:xfrm>
                          <a:off x="0" y="0"/>
                          <a:ext cx="5795158" cy="24225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6AD01"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144.4pt" to="463.15pt,3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" strokecolor="#5b9bd5 [3204]" strokeweight=".5pt">
                <v:stroke joinstyle="miter"/>
              </v:line>
            </w:pict>
          </mc:Fallback>
        </mc:AlternateContent>
      </w:r>
      <w:r w:rsidR="00EF2512">
        <w:rPr>
          <w:rFonts w:eastAsia="Times New Roman" w:cs="Arial"/>
          <w:b/>
          <w:sz w:val="28"/>
          <w:szCs w:val="24"/>
          <w:lang w:val="es-ES" w:eastAsia="es-ES"/>
        </w:rPr>
        <w:t>TERCERO</w:t>
      </w:r>
      <w:r w:rsidR="00EF2512">
        <w:rPr>
          <w:rFonts w:eastAsia="Times New Roman" w:cs="Arial"/>
          <w:b/>
          <w:szCs w:val="24"/>
          <w:lang w:val="es-ES" w:eastAsia="es-ES"/>
        </w:rPr>
        <w:t>.</w:t>
      </w:r>
      <w:r w:rsidR="00EF2512">
        <w:rPr>
          <w:rFonts w:eastAsia="Times New Roman" w:cs="Arial"/>
          <w:szCs w:val="24"/>
          <w:lang w:val="es-ES" w:eastAsia="es-ES"/>
        </w:rPr>
        <w:t xml:space="preserve"> </w:t>
      </w:r>
      <w:r w:rsidR="00EF2512">
        <w:rPr>
          <w:rFonts w:eastAsia="Times New Roman" w:cs="Arial"/>
          <w:b/>
          <w:szCs w:val="24"/>
          <w:lang w:val="es-ES" w:eastAsia="es-ES"/>
        </w:rPr>
        <w:t>NOTIFÍQUESE</w:t>
      </w:r>
      <w:r w:rsidR="00EF2512">
        <w:rPr>
          <w:rFonts w:eastAsia="Times New Roman" w:cs="Arial"/>
          <w:szCs w:val="24"/>
          <w:lang w:val="es-ES" w:eastAsia="es-ES"/>
        </w:rPr>
        <w:t xml:space="preserve"> a través del</w:t>
      </w:r>
      <w:r w:rsidR="00EF2512">
        <w:rPr>
          <w:rFonts w:eastAsia="Times New Roman" w:cs="Times New Roman"/>
          <w:szCs w:val="24"/>
          <w:lang w:val="es-ES" w:eastAsia="es-ES"/>
        </w:rPr>
        <w:t xml:space="preserve"> Sistema de Acceso a la Información Mexiquense </w:t>
      </w:r>
      <w:r w:rsidR="00EF2512">
        <w:rPr>
          <w:rFonts w:eastAsia="Times New Roman" w:cs="Times New Roman"/>
          <w:b/>
          <w:bCs/>
          <w:szCs w:val="24"/>
          <w:lang w:val="es-ES" w:eastAsia="es-ES"/>
        </w:rPr>
        <w:t>(SAIMEX)</w:t>
      </w:r>
      <w:r w:rsidR="00EF2512">
        <w:rPr>
          <w:rFonts w:eastAsia="Times New Roman" w:cs="Arial"/>
          <w:b/>
          <w:bCs/>
          <w:szCs w:val="24"/>
          <w:lang w:val="es-ES" w:eastAsia="es-ES"/>
        </w:rPr>
        <w:t>,</w:t>
      </w:r>
      <w:r w:rsidR="00EF2512">
        <w:rPr>
          <w:rFonts w:eastAsia="Times New Roman" w:cs="Arial"/>
          <w:szCs w:val="24"/>
          <w:lang w:val="es-ES" w:eastAsia="es-ES"/>
        </w:rPr>
        <w:t xml:space="preserve"> a </w:t>
      </w:r>
      <w:r w:rsidR="00EF2512">
        <w:rPr>
          <w:rFonts w:eastAsia="Times New Roman" w:cs="Arial"/>
          <w:b/>
          <w:bCs/>
          <w:szCs w:val="24"/>
          <w:lang w:val="es-ES" w:eastAsia="es-ES"/>
        </w:rPr>
        <w:t>LA</w:t>
      </w:r>
      <w:r w:rsidR="00EF2512">
        <w:rPr>
          <w:rFonts w:eastAsia="Times New Roman" w:cs="Arial"/>
          <w:szCs w:val="24"/>
          <w:lang w:val="es-ES" w:eastAsia="es-ES"/>
        </w:rPr>
        <w:t xml:space="preserve"> </w:t>
      </w:r>
      <w:r w:rsidR="00EF2512">
        <w:rPr>
          <w:rFonts w:eastAsia="Times New Roman" w:cs="Arial"/>
          <w:b/>
          <w:szCs w:val="24"/>
          <w:lang w:val="es-ES" w:eastAsia="es-ES"/>
        </w:rPr>
        <w:t xml:space="preserve">RECURRENTE </w:t>
      </w:r>
      <w:r w:rsidR="00EF2512">
        <w:rPr>
          <w:rFonts w:eastAsia="Times New Roman" w:cs="Arial"/>
          <w:szCs w:val="24"/>
          <w:lang w:val="es-ES"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7F851C7E" w14:textId="39106BA6" w:rsidR="00363900" w:rsidRDefault="00363900" w:rsidP="00EF2512">
      <w:pPr>
        <w:rPr>
          <w:rFonts w:eastAsia="Times New Roman" w:cs="Arial"/>
          <w:szCs w:val="24"/>
          <w:lang w:val="es-ES" w:eastAsia="es-ES"/>
        </w:rPr>
      </w:pPr>
    </w:p>
    <w:p w14:paraId="2D56534A" w14:textId="064E7C2D" w:rsidR="00B95178" w:rsidRDefault="00B95178" w:rsidP="00B95178">
      <w:pPr>
        <w:pBdr>
          <w:top w:val="nil"/>
          <w:left w:val="nil"/>
          <w:bottom w:val="nil"/>
          <w:right w:val="nil"/>
          <w:between w:val="nil"/>
        </w:pBdr>
        <w:rPr>
          <w:rFonts w:eastAsia="Palatino Linotype" w:cs="Palatino Linotype"/>
          <w:color w:val="000000"/>
          <w:szCs w:val="24"/>
          <w:lang w:val="es-MX"/>
        </w:rPr>
      </w:pPr>
    </w:p>
    <w:p w14:paraId="7741D4B7" w14:textId="5703A7C4" w:rsidR="00EF2512" w:rsidRDefault="00EF2512" w:rsidP="00B95178">
      <w:pPr>
        <w:pBdr>
          <w:top w:val="nil"/>
          <w:left w:val="nil"/>
          <w:bottom w:val="nil"/>
          <w:right w:val="nil"/>
          <w:between w:val="nil"/>
        </w:pBdr>
        <w:rPr>
          <w:rFonts w:eastAsia="Palatino Linotype" w:cs="Palatino Linotype"/>
          <w:color w:val="000000"/>
          <w:szCs w:val="24"/>
          <w:lang w:val="es-MX"/>
        </w:rPr>
      </w:pPr>
    </w:p>
    <w:p w14:paraId="338A74E1" w14:textId="075AC07A" w:rsidR="00EF2512" w:rsidRDefault="00EF2512" w:rsidP="00B95178">
      <w:pPr>
        <w:pBdr>
          <w:top w:val="nil"/>
          <w:left w:val="nil"/>
          <w:bottom w:val="nil"/>
          <w:right w:val="nil"/>
          <w:between w:val="nil"/>
        </w:pBdr>
        <w:rPr>
          <w:rFonts w:eastAsia="Palatino Linotype" w:cs="Palatino Linotype"/>
          <w:color w:val="000000"/>
          <w:szCs w:val="24"/>
          <w:lang w:val="es-MX"/>
        </w:rPr>
      </w:pPr>
    </w:p>
    <w:p w14:paraId="61B2B414" w14:textId="03C5EC97" w:rsidR="00EF2512" w:rsidRDefault="00EF2512" w:rsidP="00B95178">
      <w:pPr>
        <w:pBdr>
          <w:top w:val="nil"/>
          <w:left w:val="nil"/>
          <w:bottom w:val="nil"/>
          <w:right w:val="nil"/>
          <w:between w:val="nil"/>
        </w:pBdr>
        <w:rPr>
          <w:rFonts w:eastAsia="Palatino Linotype" w:cs="Palatino Linotype"/>
          <w:color w:val="000000"/>
          <w:szCs w:val="24"/>
          <w:lang w:val="es-MX"/>
        </w:rPr>
      </w:pPr>
    </w:p>
    <w:p w14:paraId="1FB34307" w14:textId="77777777" w:rsidR="00EF2512" w:rsidRDefault="00EF2512" w:rsidP="00B95178">
      <w:pPr>
        <w:pBdr>
          <w:top w:val="nil"/>
          <w:left w:val="nil"/>
          <w:bottom w:val="nil"/>
          <w:right w:val="nil"/>
          <w:between w:val="nil"/>
        </w:pBdr>
        <w:rPr>
          <w:rFonts w:eastAsia="Palatino Linotype" w:cs="Palatino Linotype"/>
          <w:color w:val="000000"/>
          <w:szCs w:val="24"/>
          <w:lang w:val="es-MX"/>
        </w:rPr>
      </w:pPr>
    </w:p>
    <w:p w14:paraId="7149165D" w14:textId="1BEBE573" w:rsidR="00B95178" w:rsidRPr="00B95178" w:rsidRDefault="00B95178" w:rsidP="00D72B70">
      <w:pPr>
        <w:rPr>
          <w:lang w:val="es-MX"/>
        </w:rPr>
      </w:pPr>
    </w:p>
    <w:p w14:paraId="20573BFF" w14:textId="41CBBF4B" w:rsidR="00A970D5" w:rsidRPr="006922F5" w:rsidRDefault="00861D35" w:rsidP="000C65D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ASÍ LO RESUELVE, POR UNANIMIDAD</w:t>
      </w:r>
      <w:r w:rsidR="006922F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6922F5" w:rsidRPr="000D2E93">
        <w:rPr>
          <w:rFonts w:eastAsia="Palatino Linotype" w:cs="Palatino Linotype"/>
          <w:color w:val="000000"/>
          <w:szCs w:val="24"/>
        </w:rPr>
        <w:t xml:space="preserve">LA </w:t>
      </w:r>
      <w:r w:rsidR="00611138">
        <w:rPr>
          <w:rFonts w:eastAsia="Palatino Linotype" w:cs="Palatino Linotype"/>
          <w:color w:val="000000"/>
          <w:szCs w:val="24"/>
        </w:rPr>
        <w:t xml:space="preserve">TRIGÉSIMA SEXTA </w:t>
      </w:r>
      <w:r w:rsidR="006922F5" w:rsidRPr="000D2E93">
        <w:rPr>
          <w:rFonts w:eastAsia="Palatino Linotype" w:cs="Palatino Linotype"/>
          <w:color w:val="000000"/>
          <w:szCs w:val="24"/>
        </w:rPr>
        <w:t xml:space="preserve">SESIÓN ORDINARIA CELEBRADA </w:t>
      </w:r>
      <w:r w:rsidR="00611138">
        <w:rPr>
          <w:rFonts w:eastAsia="Palatino Linotype" w:cs="Palatino Linotype"/>
          <w:color w:val="000000"/>
          <w:szCs w:val="24"/>
        </w:rPr>
        <w:t xml:space="preserve">EL TRES DE OCTUBRE </w:t>
      </w:r>
      <w:r w:rsidR="002475C3">
        <w:rPr>
          <w:rFonts w:eastAsia="Palatino Linotype" w:cs="Palatino Linotype"/>
          <w:color w:val="000000"/>
          <w:szCs w:val="24"/>
        </w:rPr>
        <w:t>DE DOS MIL VEINTITRÉS</w:t>
      </w:r>
      <w:r w:rsidR="006922F5">
        <w:rPr>
          <w:rFonts w:eastAsia="Palatino Linotype" w:cs="Palatino Linotype"/>
          <w:color w:val="000000"/>
          <w:szCs w:val="24"/>
        </w:rPr>
        <w:t>, ANTE EL SECRETARIO TÉCNICO DEL PLENO, ALEXIS TAPIA RAMÍREZ</w:t>
      </w:r>
      <w:r w:rsidR="00A970D5" w:rsidRPr="006922F5">
        <w:rPr>
          <w:rFonts w:eastAsia="Palatino Linotype" w:cs="Palatino Linotype"/>
          <w:color w:val="000000"/>
          <w:szCs w:val="24"/>
        </w:rPr>
        <w:t>.---------------------------</w:t>
      </w:r>
      <w:r w:rsidR="000C65DD">
        <w:rPr>
          <w:rFonts w:eastAsia="Palatino Linotype" w:cs="Palatino Linotype"/>
          <w:color w:val="000000"/>
          <w:szCs w:val="24"/>
        </w:rPr>
        <w:t>----------------------------------------------------------------</w:t>
      </w:r>
      <w:r w:rsidR="000C65DD">
        <w:rPr>
          <w:rFonts w:eastAsia="Times New Roman" w:cs="Times New Roman"/>
          <w:szCs w:val="24"/>
          <w:lang w:eastAsia="es-ES"/>
        </w:rPr>
        <w:t>----------------------------------------------------------------------------------------------------------------------------------------------------------------------------------------------------------------------------------------------------------------------------------------------------------------------------------------------------------------------------------------------------------------------------------------------------------------------------------------------------------------------------------------------------------------------------------------------------------------------------------------------------------------------------------------------------------------------------------------------------------------------------------------------------------------------------------------------------------------------------------------------------------------------------------------------------------------------------------------------------------------------------------------------------------------------------------------------------------------------------------------------------------------------------------------------------------------------------------------------------------------------------------------------------------------------------------------</w:t>
      </w:r>
      <w:r w:rsidR="002A563A">
        <w:rPr>
          <w:rFonts w:eastAsia="Times New Roman" w:cs="Times New Roman"/>
          <w:szCs w:val="24"/>
          <w:lang w:eastAsia="es-ES"/>
        </w:rPr>
        <w:t>-----------------------------------------------------</w:t>
      </w:r>
      <w:r w:rsidR="000C65DD">
        <w:rPr>
          <w:rFonts w:eastAsia="Times New Roman" w:cs="Times New Roman"/>
          <w:szCs w:val="24"/>
          <w:lang w:eastAsia="es-ES"/>
        </w:rPr>
        <w:t>-------------------------------------------------------------------------------------------------------------------------------------------------------------------------------------------------------------------------------------------------------------------------------------------------------------------------------</w:t>
      </w:r>
      <w:r w:rsidR="00EF2512">
        <w:rPr>
          <w:rFonts w:eastAsia="Times New Roman" w:cs="Times New Roman"/>
          <w:szCs w:val="24"/>
          <w:lang w:eastAsia="es-ES"/>
        </w:rPr>
        <w:t>-----------</w:t>
      </w:r>
      <w:r w:rsidR="00611138">
        <w:rPr>
          <w:rFonts w:eastAsia="Times New Roman" w:cs="Times New Roman"/>
          <w:szCs w:val="24"/>
          <w:lang w:eastAsia="es-ES"/>
        </w:rPr>
        <w:t>---------</w:t>
      </w:r>
      <w:r w:rsidR="00EF2512">
        <w:rPr>
          <w:rFonts w:eastAsia="Times New Roman" w:cs="Times New Roman"/>
          <w:szCs w:val="24"/>
          <w:lang w:eastAsia="es-ES"/>
        </w:rPr>
        <w:t>-------</w:t>
      </w:r>
    </w:p>
    <w:p w14:paraId="4DA57669" w14:textId="75138926" w:rsidR="00A970D5" w:rsidRPr="004B7011" w:rsidRDefault="000D7FF4" w:rsidP="00541319">
      <w:pPr>
        <w:pBdr>
          <w:top w:val="nil"/>
          <w:left w:val="nil"/>
          <w:bottom w:val="nil"/>
          <w:right w:val="nil"/>
          <w:between w:val="nil"/>
        </w:pBdr>
        <w:spacing w:line="276" w:lineRule="auto"/>
        <w:contextualSpacing/>
        <w:rPr>
          <w:rFonts w:eastAsia="Palatino Linotype" w:cs="Palatino Linotype"/>
          <w:color w:val="000000"/>
          <w:sz w:val="20"/>
          <w:szCs w:val="20"/>
        </w:rPr>
      </w:pPr>
      <w:r>
        <w:rPr>
          <w:rFonts w:eastAsia="Palatino Linotype" w:cs="Palatino Linotype"/>
          <w:color w:val="000000"/>
          <w:sz w:val="20"/>
          <w:szCs w:val="20"/>
        </w:rPr>
        <w:t>JMV/CCR/</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F540" w14:textId="77777777" w:rsidR="00E04A4D" w:rsidRDefault="00E04A4D" w:rsidP="00F2498E">
      <w:pPr>
        <w:spacing w:line="240" w:lineRule="auto"/>
      </w:pPr>
      <w:r>
        <w:separator/>
      </w:r>
    </w:p>
  </w:endnote>
  <w:endnote w:type="continuationSeparator" w:id="0">
    <w:p w14:paraId="64523B04" w14:textId="77777777" w:rsidR="00E04A4D" w:rsidRDefault="00E04A4D" w:rsidP="00F2498E">
      <w:pPr>
        <w:spacing w:line="240" w:lineRule="auto"/>
      </w:pPr>
      <w:r>
        <w:continuationSeparator/>
      </w:r>
    </w:p>
  </w:endnote>
  <w:endnote w:type="continuationNotice" w:id="1">
    <w:p w14:paraId="6E4E7BDB" w14:textId="77777777" w:rsidR="00E04A4D" w:rsidRDefault="00E04A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11138">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11138">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1113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11138">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2FF4" w14:textId="77777777" w:rsidR="00E04A4D" w:rsidRDefault="00E04A4D" w:rsidP="00F2498E">
      <w:pPr>
        <w:spacing w:line="240" w:lineRule="auto"/>
      </w:pPr>
      <w:r>
        <w:separator/>
      </w:r>
    </w:p>
  </w:footnote>
  <w:footnote w:type="continuationSeparator" w:id="0">
    <w:p w14:paraId="75F8B3B3" w14:textId="77777777" w:rsidR="00E04A4D" w:rsidRDefault="00E04A4D" w:rsidP="00F2498E">
      <w:pPr>
        <w:spacing w:line="240" w:lineRule="auto"/>
      </w:pPr>
      <w:r>
        <w:continuationSeparator/>
      </w:r>
    </w:p>
  </w:footnote>
  <w:footnote w:type="continuationNotice" w:id="1">
    <w:p w14:paraId="28E3B6DC" w14:textId="77777777" w:rsidR="00E04A4D" w:rsidRDefault="00E04A4D">
      <w:pPr>
        <w:spacing w:line="240" w:lineRule="auto"/>
      </w:pPr>
    </w:p>
  </w:footnote>
  <w:footnote w:id="2">
    <w:p w14:paraId="480FA1F7" w14:textId="77777777" w:rsidR="000D7FF4" w:rsidRPr="00946E1F" w:rsidRDefault="000D7FF4" w:rsidP="000D7FF4">
      <w:pPr>
        <w:rPr>
          <w:i/>
          <w:sz w:val="20"/>
          <w:szCs w:val="20"/>
        </w:rPr>
      </w:pPr>
      <w:r>
        <w:rPr>
          <w:rStyle w:val="Refdenotaalpie"/>
          <w:rFonts w:eastAsiaTheme="minorEastAsia"/>
        </w:rPr>
        <w:footnoteRef/>
      </w:r>
      <w:r>
        <w:t xml:space="preserve"> </w:t>
      </w:r>
      <w:r w:rsidRPr="00946E1F">
        <w:rPr>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b/>
          <w:bCs/>
          <w:i/>
          <w:sz w:val="20"/>
          <w:szCs w:val="20"/>
        </w:rPr>
        <w:t xml:space="preserve"> </w:t>
      </w:r>
      <w:r w:rsidRPr="00946E1F">
        <w:rPr>
          <w:i/>
          <w:sz w:val="20"/>
          <w:szCs w:val="20"/>
        </w:rPr>
        <w:t>Del examen de compatibilidad de los artículos</w:t>
      </w:r>
      <w:r>
        <w:rPr>
          <w:i/>
          <w:sz w:val="20"/>
          <w:szCs w:val="20"/>
        </w:rPr>
        <w:t xml:space="preserve"> </w:t>
      </w:r>
      <w:hyperlink r:id="rId1" w:history="1">
        <w:r w:rsidRPr="00946E1F">
          <w:rPr>
            <w:rStyle w:val="Hipervnculo"/>
            <w:i/>
            <w:sz w:val="20"/>
            <w:szCs w:val="20"/>
          </w:rPr>
          <w:t>73 y 74 de la Ley de Amparo</w:t>
        </w:r>
      </w:hyperlink>
      <w:r>
        <w:rPr>
          <w:rStyle w:val="apple-converted-space"/>
          <w:i/>
        </w:rPr>
        <w:t xml:space="preserve"> </w:t>
      </w:r>
      <w:r w:rsidRPr="00946E1F">
        <w:rPr>
          <w:i/>
          <w:sz w:val="20"/>
          <w:szCs w:val="20"/>
        </w:rPr>
        <w:t>con el artículo</w:t>
      </w:r>
      <w:r>
        <w:rPr>
          <w:i/>
          <w:sz w:val="20"/>
          <w:szCs w:val="20"/>
        </w:rPr>
        <w:t xml:space="preserve"> </w:t>
      </w:r>
      <w:hyperlink r:id="rId2" w:history="1">
        <w:r w:rsidRPr="00946E1F">
          <w:rPr>
            <w:rStyle w:val="Hipervnculo"/>
            <w:i/>
            <w:sz w:val="20"/>
            <w:szCs w:val="20"/>
          </w:rPr>
          <w:t>25.1 de la Convención Americana sobre Derechos Humanos</w:t>
        </w:r>
      </w:hyperlink>
      <w:r>
        <w:rPr>
          <w:rStyle w:val="apple-converted-space"/>
          <w:i/>
        </w:rPr>
        <w:t xml:space="preserve"> </w:t>
      </w:r>
      <w:r w:rsidRPr="00946E1F">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1D660A" w:rsidRDefault="00B9709C">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79F8DDB" w:rsidR="001D660A" w:rsidRPr="00762F92" w:rsidRDefault="00762F92" w:rsidP="00762F92">
          <w:pPr>
            <w:spacing w:after="120" w:line="240" w:lineRule="auto"/>
            <w:ind w:right="71"/>
            <w:jc w:val="right"/>
            <w:rPr>
              <w:rFonts w:cs="Arial"/>
              <w:szCs w:val="24"/>
            </w:rPr>
          </w:pPr>
          <w:r>
            <w:rPr>
              <w:rFonts w:cs="Arial"/>
              <w:bCs/>
              <w:szCs w:val="24"/>
            </w:rPr>
            <w:t>01355</w:t>
          </w:r>
          <w:r w:rsidR="001D660A" w:rsidRPr="00762F92">
            <w:rPr>
              <w:rFonts w:cs="Arial"/>
              <w:bCs/>
              <w:szCs w:val="24"/>
            </w:rPr>
            <w:t>/INFOEM/IP/RR/202</w:t>
          </w:r>
          <w:r>
            <w:rPr>
              <w:rFonts w:cs="Arial"/>
              <w:bCs/>
              <w:szCs w:val="24"/>
            </w:rPr>
            <w:t>3</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D401301" w:rsidR="001D660A" w:rsidRPr="00096248" w:rsidRDefault="00762F92" w:rsidP="00011C4D">
          <w:pPr>
            <w:spacing w:after="120" w:line="240" w:lineRule="auto"/>
            <w:ind w:left="-81" w:right="71"/>
            <w:jc w:val="right"/>
            <w:rPr>
              <w:rFonts w:cs="Arial"/>
              <w:szCs w:val="24"/>
            </w:rPr>
          </w:pPr>
          <w:r w:rsidRPr="00762F92">
            <w:rPr>
              <w:rFonts w:cs="Arial"/>
              <w:szCs w:val="24"/>
            </w:rPr>
            <w:t>Secretaría de Cultura y Turismo</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B9709C">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2.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18700B7" w:rsidR="001D660A" w:rsidRPr="00762F92" w:rsidRDefault="00762F92" w:rsidP="00762F92">
          <w:pPr>
            <w:spacing w:after="120" w:line="240" w:lineRule="auto"/>
            <w:ind w:left="-486" w:right="68" w:firstLine="558"/>
            <w:jc w:val="right"/>
            <w:rPr>
              <w:rFonts w:cs="Arial"/>
              <w:szCs w:val="24"/>
            </w:rPr>
          </w:pPr>
          <w:r w:rsidRPr="00762F92">
            <w:rPr>
              <w:rFonts w:cs="Arial"/>
              <w:bCs/>
              <w:szCs w:val="24"/>
            </w:rPr>
            <w:t>01355</w:t>
          </w:r>
          <w:r w:rsidR="00C02A50" w:rsidRPr="00762F92">
            <w:rPr>
              <w:rFonts w:cs="Arial"/>
              <w:bCs/>
              <w:szCs w:val="24"/>
            </w:rPr>
            <w:t>/INFOEM/IP/RR/202</w:t>
          </w:r>
          <w:r w:rsidRPr="00762F92">
            <w:rPr>
              <w:rFonts w:cs="Arial"/>
              <w:bCs/>
              <w:szCs w:val="24"/>
            </w:rPr>
            <w:t>3</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E1019E1" w:rsidR="001D660A" w:rsidRPr="00762F92" w:rsidRDefault="00B9709C" w:rsidP="00657695">
          <w:pPr>
            <w:spacing w:after="120" w:line="240" w:lineRule="auto"/>
            <w:ind w:right="68"/>
            <w:jc w:val="right"/>
            <w:rPr>
              <w:rFonts w:cs="Arial"/>
              <w:szCs w:val="24"/>
            </w:rPr>
          </w:pPr>
          <w:r>
            <w:rPr>
              <w:rFonts w:cs="Arial"/>
              <w:szCs w:val="24"/>
            </w:rPr>
            <w:t>XXXXXX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56F7079" w:rsidR="001D660A" w:rsidRPr="00762F92" w:rsidRDefault="00762F92" w:rsidP="00011C4D">
          <w:pPr>
            <w:spacing w:after="120" w:line="240" w:lineRule="auto"/>
            <w:ind w:left="-70" w:right="68"/>
            <w:jc w:val="right"/>
            <w:rPr>
              <w:rFonts w:cs="Arial"/>
              <w:szCs w:val="24"/>
            </w:rPr>
          </w:pPr>
          <w:r w:rsidRPr="00762F92">
            <w:rPr>
              <w:rFonts w:cs="Arial"/>
              <w:szCs w:val="24"/>
            </w:rPr>
            <w:t>Secretaría de Cultura y Turismo</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762F92" w:rsidRDefault="001D660A" w:rsidP="00011C4D">
          <w:pPr>
            <w:spacing w:after="120" w:line="240" w:lineRule="auto"/>
            <w:ind w:left="-486" w:right="68" w:firstLine="567"/>
            <w:jc w:val="right"/>
            <w:rPr>
              <w:rFonts w:cs="Arial"/>
              <w:szCs w:val="24"/>
            </w:rPr>
          </w:pPr>
          <w:r w:rsidRPr="00762F92">
            <w:rPr>
              <w:rFonts w:cs="Arial"/>
              <w:szCs w:val="24"/>
            </w:rPr>
            <w:t>José Martínez Vilchis</w:t>
          </w:r>
        </w:p>
      </w:tc>
    </w:tr>
  </w:tbl>
  <w:p w14:paraId="04D3BBA0" w14:textId="1BA89CC1" w:rsidR="001D660A" w:rsidRPr="00871A91" w:rsidRDefault="00B9709C">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2.15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338"/>
    <w:multiLevelType w:val="hybridMultilevel"/>
    <w:tmpl w:val="9878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437E7B64"/>
    <w:multiLevelType w:val="hybridMultilevel"/>
    <w:tmpl w:val="10BC7F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0667C3"/>
    <w:multiLevelType w:val="hybridMultilevel"/>
    <w:tmpl w:val="C6BE090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E81EF6"/>
    <w:multiLevelType w:val="hybridMultilevel"/>
    <w:tmpl w:val="F4F0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Calibr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2892990">
    <w:abstractNumId w:val="14"/>
  </w:num>
  <w:num w:numId="2" w16cid:durableId="775516390">
    <w:abstractNumId w:val="16"/>
  </w:num>
  <w:num w:numId="3" w16cid:durableId="1830828463">
    <w:abstractNumId w:val="4"/>
  </w:num>
  <w:num w:numId="4" w16cid:durableId="1165434688">
    <w:abstractNumId w:val="19"/>
  </w:num>
  <w:num w:numId="5" w16cid:durableId="393238038">
    <w:abstractNumId w:val="2"/>
  </w:num>
  <w:num w:numId="6" w16cid:durableId="173038184">
    <w:abstractNumId w:val="17"/>
  </w:num>
  <w:num w:numId="7" w16cid:durableId="377319023">
    <w:abstractNumId w:val="3"/>
  </w:num>
  <w:num w:numId="8" w16cid:durableId="302851184">
    <w:abstractNumId w:val="1"/>
  </w:num>
  <w:num w:numId="9" w16cid:durableId="1535920612">
    <w:abstractNumId w:val="6"/>
  </w:num>
  <w:num w:numId="10" w16cid:durableId="1976906050">
    <w:abstractNumId w:val="7"/>
  </w:num>
  <w:num w:numId="11" w16cid:durableId="1350790578">
    <w:abstractNumId w:val="21"/>
  </w:num>
  <w:num w:numId="12" w16cid:durableId="794907673">
    <w:abstractNumId w:val="18"/>
  </w:num>
  <w:num w:numId="13" w16cid:durableId="273095920">
    <w:abstractNumId w:val="12"/>
  </w:num>
  <w:num w:numId="14" w16cid:durableId="512844352">
    <w:abstractNumId w:val="15"/>
  </w:num>
  <w:num w:numId="15" w16cid:durableId="314064268">
    <w:abstractNumId w:val="11"/>
  </w:num>
  <w:num w:numId="16" w16cid:durableId="347752843">
    <w:abstractNumId w:val="10"/>
  </w:num>
  <w:num w:numId="17" w16cid:durableId="1183009007">
    <w:abstractNumId w:val="22"/>
  </w:num>
  <w:num w:numId="18" w16cid:durableId="2012218379">
    <w:abstractNumId w:val="9"/>
  </w:num>
  <w:num w:numId="19" w16cid:durableId="1823807900">
    <w:abstractNumId w:val="8"/>
  </w:num>
  <w:num w:numId="20" w16cid:durableId="399905727">
    <w:abstractNumId w:val="0"/>
  </w:num>
  <w:num w:numId="21" w16cid:durableId="56168665">
    <w:abstractNumId w:val="5"/>
  </w:num>
  <w:num w:numId="22" w16cid:durableId="2002269269">
    <w:abstractNumId w:val="20"/>
  </w:num>
  <w:num w:numId="23" w16cid:durableId="1753506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07E93"/>
    <w:rsid w:val="0001033C"/>
    <w:rsid w:val="000114A6"/>
    <w:rsid w:val="0001151F"/>
    <w:rsid w:val="000117AB"/>
    <w:rsid w:val="00011C4D"/>
    <w:rsid w:val="00011CCA"/>
    <w:rsid w:val="000124BD"/>
    <w:rsid w:val="00012909"/>
    <w:rsid w:val="00012BEE"/>
    <w:rsid w:val="00012D78"/>
    <w:rsid w:val="00015487"/>
    <w:rsid w:val="000154CA"/>
    <w:rsid w:val="000171BE"/>
    <w:rsid w:val="000179BC"/>
    <w:rsid w:val="00021122"/>
    <w:rsid w:val="00021165"/>
    <w:rsid w:val="00021A08"/>
    <w:rsid w:val="000221D0"/>
    <w:rsid w:val="00024A6D"/>
    <w:rsid w:val="00025560"/>
    <w:rsid w:val="00026582"/>
    <w:rsid w:val="00031BA3"/>
    <w:rsid w:val="00031ECE"/>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15F"/>
    <w:rsid w:val="000C2D59"/>
    <w:rsid w:val="000C416A"/>
    <w:rsid w:val="000C51AF"/>
    <w:rsid w:val="000C568A"/>
    <w:rsid w:val="000C65DD"/>
    <w:rsid w:val="000C661C"/>
    <w:rsid w:val="000C7472"/>
    <w:rsid w:val="000C7F8F"/>
    <w:rsid w:val="000D0CD3"/>
    <w:rsid w:val="000D14DA"/>
    <w:rsid w:val="000D1DE0"/>
    <w:rsid w:val="000D2C63"/>
    <w:rsid w:val="000D2E93"/>
    <w:rsid w:val="000D3C8A"/>
    <w:rsid w:val="000D5244"/>
    <w:rsid w:val="000D55D2"/>
    <w:rsid w:val="000D5634"/>
    <w:rsid w:val="000D56B9"/>
    <w:rsid w:val="000D5C00"/>
    <w:rsid w:val="000D609A"/>
    <w:rsid w:val="000D663C"/>
    <w:rsid w:val="000D66A1"/>
    <w:rsid w:val="000D772A"/>
    <w:rsid w:val="000D7FF4"/>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25F70"/>
    <w:rsid w:val="00130C18"/>
    <w:rsid w:val="00131C40"/>
    <w:rsid w:val="00131C6C"/>
    <w:rsid w:val="00131F2D"/>
    <w:rsid w:val="001321ED"/>
    <w:rsid w:val="00133F26"/>
    <w:rsid w:val="001360B8"/>
    <w:rsid w:val="001362D3"/>
    <w:rsid w:val="0013657B"/>
    <w:rsid w:val="00136A94"/>
    <w:rsid w:val="0014092A"/>
    <w:rsid w:val="00142D35"/>
    <w:rsid w:val="00143916"/>
    <w:rsid w:val="00143E8A"/>
    <w:rsid w:val="00143FC6"/>
    <w:rsid w:val="00144A6E"/>
    <w:rsid w:val="00144ABF"/>
    <w:rsid w:val="00144BA8"/>
    <w:rsid w:val="00145C14"/>
    <w:rsid w:val="00145C22"/>
    <w:rsid w:val="001464CD"/>
    <w:rsid w:val="00150293"/>
    <w:rsid w:val="001502AD"/>
    <w:rsid w:val="001509C0"/>
    <w:rsid w:val="00151431"/>
    <w:rsid w:val="00151764"/>
    <w:rsid w:val="00151FF5"/>
    <w:rsid w:val="00152B40"/>
    <w:rsid w:val="001530E5"/>
    <w:rsid w:val="00154D1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6E26"/>
    <w:rsid w:val="001809A8"/>
    <w:rsid w:val="00181A9D"/>
    <w:rsid w:val="001823E3"/>
    <w:rsid w:val="00182FC0"/>
    <w:rsid w:val="00183990"/>
    <w:rsid w:val="00183F45"/>
    <w:rsid w:val="00184AEA"/>
    <w:rsid w:val="0018577B"/>
    <w:rsid w:val="00185C61"/>
    <w:rsid w:val="0018685F"/>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D2A"/>
    <w:rsid w:val="001B28D1"/>
    <w:rsid w:val="001B3FD2"/>
    <w:rsid w:val="001B5693"/>
    <w:rsid w:val="001B6C2D"/>
    <w:rsid w:val="001B7147"/>
    <w:rsid w:val="001C087E"/>
    <w:rsid w:val="001C0F32"/>
    <w:rsid w:val="001C1BF4"/>
    <w:rsid w:val="001C2099"/>
    <w:rsid w:val="001C275A"/>
    <w:rsid w:val="001C27A3"/>
    <w:rsid w:val="001C2C72"/>
    <w:rsid w:val="001C3145"/>
    <w:rsid w:val="001C3387"/>
    <w:rsid w:val="001C4CBF"/>
    <w:rsid w:val="001C54A1"/>
    <w:rsid w:val="001C5CD0"/>
    <w:rsid w:val="001C6478"/>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37E7E"/>
    <w:rsid w:val="00240046"/>
    <w:rsid w:val="00241201"/>
    <w:rsid w:val="002432E1"/>
    <w:rsid w:val="00243315"/>
    <w:rsid w:val="00245AC1"/>
    <w:rsid w:val="00246269"/>
    <w:rsid w:val="00247588"/>
    <w:rsid w:val="002475C3"/>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F03"/>
    <w:rsid w:val="002710B5"/>
    <w:rsid w:val="0027116F"/>
    <w:rsid w:val="002727F1"/>
    <w:rsid w:val="002729A0"/>
    <w:rsid w:val="00273E61"/>
    <w:rsid w:val="00273F5F"/>
    <w:rsid w:val="00273F7C"/>
    <w:rsid w:val="0027414F"/>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3A"/>
    <w:rsid w:val="002A564E"/>
    <w:rsid w:val="002A5ADD"/>
    <w:rsid w:val="002A5FDF"/>
    <w:rsid w:val="002A6FCE"/>
    <w:rsid w:val="002A7501"/>
    <w:rsid w:val="002B0EA1"/>
    <w:rsid w:val="002B317E"/>
    <w:rsid w:val="002B3CE2"/>
    <w:rsid w:val="002B40FF"/>
    <w:rsid w:val="002B4285"/>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4F7C"/>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2B6D"/>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4C35"/>
    <w:rsid w:val="00355981"/>
    <w:rsid w:val="00360189"/>
    <w:rsid w:val="0036188D"/>
    <w:rsid w:val="00362013"/>
    <w:rsid w:val="00362136"/>
    <w:rsid w:val="003623F5"/>
    <w:rsid w:val="0036336C"/>
    <w:rsid w:val="003637A1"/>
    <w:rsid w:val="00363900"/>
    <w:rsid w:val="003647C3"/>
    <w:rsid w:val="00364C0A"/>
    <w:rsid w:val="003672D9"/>
    <w:rsid w:val="003700D0"/>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707"/>
    <w:rsid w:val="003B5841"/>
    <w:rsid w:val="003B595A"/>
    <w:rsid w:val="003B7208"/>
    <w:rsid w:val="003B7403"/>
    <w:rsid w:val="003B75A5"/>
    <w:rsid w:val="003C1100"/>
    <w:rsid w:val="003C1CFB"/>
    <w:rsid w:val="003C1DE6"/>
    <w:rsid w:val="003C30DA"/>
    <w:rsid w:val="003C341F"/>
    <w:rsid w:val="003C3A1C"/>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126"/>
    <w:rsid w:val="003F2491"/>
    <w:rsid w:val="003F308A"/>
    <w:rsid w:val="003F440D"/>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6937"/>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6977"/>
    <w:rsid w:val="00497395"/>
    <w:rsid w:val="004A0E7A"/>
    <w:rsid w:val="004A2091"/>
    <w:rsid w:val="004A212C"/>
    <w:rsid w:val="004A29FE"/>
    <w:rsid w:val="004A3000"/>
    <w:rsid w:val="004A325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284E"/>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1AED"/>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5064"/>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3068"/>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076BB"/>
    <w:rsid w:val="00610A95"/>
    <w:rsid w:val="00611138"/>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13A"/>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7B9"/>
    <w:rsid w:val="0071601C"/>
    <w:rsid w:val="007167AE"/>
    <w:rsid w:val="00716C5D"/>
    <w:rsid w:val="00720D8F"/>
    <w:rsid w:val="0072149D"/>
    <w:rsid w:val="007214D9"/>
    <w:rsid w:val="00723C6D"/>
    <w:rsid w:val="0072514D"/>
    <w:rsid w:val="00725C5A"/>
    <w:rsid w:val="007263E6"/>
    <w:rsid w:val="007264EA"/>
    <w:rsid w:val="00726B26"/>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300"/>
    <w:rsid w:val="007616A0"/>
    <w:rsid w:val="007619CE"/>
    <w:rsid w:val="00761C38"/>
    <w:rsid w:val="00761EE8"/>
    <w:rsid w:val="00762151"/>
    <w:rsid w:val="0076215F"/>
    <w:rsid w:val="00762D4B"/>
    <w:rsid w:val="00762F92"/>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4F19"/>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1C51"/>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702"/>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39BD"/>
    <w:rsid w:val="00895187"/>
    <w:rsid w:val="00895BD3"/>
    <w:rsid w:val="00896EDC"/>
    <w:rsid w:val="00897C75"/>
    <w:rsid w:val="008A06D7"/>
    <w:rsid w:val="008A0C9F"/>
    <w:rsid w:val="008A0F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13"/>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C6919"/>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C22"/>
    <w:rsid w:val="008F2554"/>
    <w:rsid w:val="008F2C23"/>
    <w:rsid w:val="008F47DC"/>
    <w:rsid w:val="008F52B5"/>
    <w:rsid w:val="008F635E"/>
    <w:rsid w:val="008F638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21"/>
    <w:rsid w:val="0091735D"/>
    <w:rsid w:val="009202C9"/>
    <w:rsid w:val="00921287"/>
    <w:rsid w:val="0092131F"/>
    <w:rsid w:val="00921595"/>
    <w:rsid w:val="00925D59"/>
    <w:rsid w:val="00926716"/>
    <w:rsid w:val="009279EC"/>
    <w:rsid w:val="009308DA"/>
    <w:rsid w:val="00930959"/>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0A5F"/>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64F9"/>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2A43"/>
    <w:rsid w:val="009B321A"/>
    <w:rsid w:val="009B3A1D"/>
    <w:rsid w:val="009B41F0"/>
    <w:rsid w:val="009B69E9"/>
    <w:rsid w:val="009B7FFD"/>
    <w:rsid w:val="009C0279"/>
    <w:rsid w:val="009C1887"/>
    <w:rsid w:val="009C21B4"/>
    <w:rsid w:val="009C3225"/>
    <w:rsid w:val="009C3CB8"/>
    <w:rsid w:val="009C3E2A"/>
    <w:rsid w:val="009C4284"/>
    <w:rsid w:val="009C5DC4"/>
    <w:rsid w:val="009C61A3"/>
    <w:rsid w:val="009C66AA"/>
    <w:rsid w:val="009C6B84"/>
    <w:rsid w:val="009C7DDD"/>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58F"/>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7625"/>
    <w:rsid w:val="00A67EF4"/>
    <w:rsid w:val="00A73D64"/>
    <w:rsid w:val="00A73EF9"/>
    <w:rsid w:val="00A75324"/>
    <w:rsid w:val="00A756C6"/>
    <w:rsid w:val="00A75F9C"/>
    <w:rsid w:val="00A76999"/>
    <w:rsid w:val="00A77200"/>
    <w:rsid w:val="00A80BB6"/>
    <w:rsid w:val="00A80C68"/>
    <w:rsid w:val="00A8147A"/>
    <w:rsid w:val="00A821AF"/>
    <w:rsid w:val="00A82DFC"/>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5222"/>
    <w:rsid w:val="00AA6175"/>
    <w:rsid w:val="00AA6787"/>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288"/>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2E69"/>
    <w:rsid w:val="00B84A8A"/>
    <w:rsid w:val="00B87C64"/>
    <w:rsid w:val="00B87E47"/>
    <w:rsid w:val="00B91A82"/>
    <w:rsid w:val="00B9279C"/>
    <w:rsid w:val="00B934BE"/>
    <w:rsid w:val="00B93569"/>
    <w:rsid w:val="00B94B37"/>
    <w:rsid w:val="00B95178"/>
    <w:rsid w:val="00B9576A"/>
    <w:rsid w:val="00B962BB"/>
    <w:rsid w:val="00B9709C"/>
    <w:rsid w:val="00BA088E"/>
    <w:rsid w:val="00BA152C"/>
    <w:rsid w:val="00BA2861"/>
    <w:rsid w:val="00BA3873"/>
    <w:rsid w:val="00BA59B0"/>
    <w:rsid w:val="00BA636A"/>
    <w:rsid w:val="00BA6707"/>
    <w:rsid w:val="00BA7C0B"/>
    <w:rsid w:val="00BA7C85"/>
    <w:rsid w:val="00BB0F85"/>
    <w:rsid w:val="00BB16D5"/>
    <w:rsid w:val="00BB1940"/>
    <w:rsid w:val="00BB2A3A"/>
    <w:rsid w:val="00BB2E4D"/>
    <w:rsid w:val="00BB5301"/>
    <w:rsid w:val="00BB57E8"/>
    <w:rsid w:val="00BB58C8"/>
    <w:rsid w:val="00BB67A7"/>
    <w:rsid w:val="00BB7349"/>
    <w:rsid w:val="00BC0196"/>
    <w:rsid w:val="00BC0367"/>
    <w:rsid w:val="00BC1186"/>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07C"/>
    <w:rsid w:val="00BE635E"/>
    <w:rsid w:val="00BE6364"/>
    <w:rsid w:val="00BE6D71"/>
    <w:rsid w:val="00BE718D"/>
    <w:rsid w:val="00BE7A12"/>
    <w:rsid w:val="00BE7ADF"/>
    <w:rsid w:val="00BE7CAE"/>
    <w:rsid w:val="00BF5945"/>
    <w:rsid w:val="00BF6362"/>
    <w:rsid w:val="00BF7293"/>
    <w:rsid w:val="00BF7B4F"/>
    <w:rsid w:val="00C006C6"/>
    <w:rsid w:val="00C009C1"/>
    <w:rsid w:val="00C01912"/>
    <w:rsid w:val="00C01B8A"/>
    <w:rsid w:val="00C01E0C"/>
    <w:rsid w:val="00C01FED"/>
    <w:rsid w:val="00C02596"/>
    <w:rsid w:val="00C027B1"/>
    <w:rsid w:val="00C02A50"/>
    <w:rsid w:val="00C0468A"/>
    <w:rsid w:val="00C049A8"/>
    <w:rsid w:val="00C050FD"/>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2B4F"/>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5995"/>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6DA5"/>
    <w:rsid w:val="00DF7B01"/>
    <w:rsid w:val="00DF7E4B"/>
    <w:rsid w:val="00E00957"/>
    <w:rsid w:val="00E01DDD"/>
    <w:rsid w:val="00E0349F"/>
    <w:rsid w:val="00E0443E"/>
    <w:rsid w:val="00E0480A"/>
    <w:rsid w:val="00E04A4D"/>
    <w:rsid w:val="00E05F1C"/>
    <w:rsid w:val="00E05FCE"/>
    <w:rsid w:val="00E076EA"/>
    <w:rsid w:val="00E0787C"/>
    <w:rsid w:val="00E120FC"/>
    <w:rsid w:val="00E12D07"/>
    <w:rsid w:val="00E14BA9"/>
    <w:rsid w:val="00E1701F"/>
    <w:rsid w:val="00E2168A"/>
    <w:rsid w:val="00E22FD4"/>
    <w:rsid w:val="00E23A0E"/>
    <w:rsid w:val="00E23EE3"/>
    <w:rsid w:val="00E245A1"/>
    <w:rsid w:val="00E24831"/>
    <w:rsid w:val="00E25059"/>
    <w:rsid w:val="00E25228"/>
    <w:rsid w:val="00E27953"/>
    <w:rsid w:val="00E31001"/>
    <w:rsid w:val="00E314BF"/>
    <w:rsid w:val="00E32782"/>
    <w:rsid w:val="00E32893"/>
    <w:rsid w:val="00E34A4E"/>
    <w:rsid w:val="00E35198"/>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AF2"/>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3F6"/>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512"/>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2D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1908"/>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7A"/>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character" w:customStyle="1" w:styleId="UnresolvedMention1">
    <w:name w:val="Unresolved Mention1"/>
    <w:basedOn w:val="Fuentedeprrafopredeter"/>
    <w:uiPriority w:val="99"/>
    <w:semiHidden/>
    <w:unhideWhenUsed/>
    <w:rsid w:val="00F128D3"/>
    <w:rPr>
      <w:color w:val="605E5C"/>
      <w:shd w:val="clear" w:color="auto" w:fill="E1DFDD"/>
    </w:rPr>
  </w:style>
  <w:style w:type="paragraph" w:customStyle="1" w:styleId="Citas">
    <w:name w:val="Citas"/>
    <w:basedOn w:val="Normal"/>
    <w:qFormat/>
    <w:rsid w:val="00F602D4"/>
    <w:pPr>
      <w:spacing w:before="240" w:after="160"/>
      <w:ind w:left="851" w:right="851"/>
    </w:pPr>
    <w:rPr>
      <w:rFonts w:eastAsiaTheme="minorHAnsi" w:cs="Arial"/>
      <w:i/>
      <w:sz w:val="22"/>
      <w:lang w:val="es-MX" w:eastAsia="en-US"/>
    </w:rPr>
  </w:style>
  <w:style w:type="paragraph" w:customStyle="1" w:styleId="INFOEM">
    <w:name w:val="INFOEM"/>
    <w:basedOn w:val="Normal"/>
    <w:qFormat/>
    <w:rsid w:val="001362D3"/>
    <w:pPr>
      <w:spacing w:before="240" w:after="160"/>
      <w:ind w:left="851" w:right="851"/>
    </w:pPr>
    <w:rPr>
      <w:rFonts w:eastAsiaTheme="minorHAnsi"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69300046">
      <w:bodyDiv w:val="1"/>
      <w:marLeft w:val="0"/>
      <w:marRight w:val="0"/>
      <w:marTop w:val="0"/>
      <w:marBottom w:val="0"/>
      <w:divBdr>
        <w:top w:val="none" w:sz="0" w:space="0" w:color="auto"/>
        <w:left w:val="none" w:sz="0" w:space="0" w:color="auto"/>
        <w:bottom w:val="none" w:sz="0" w:space="0" w:color="auto"/>
        <w:right w:val="none" w:sz="0" w:space="0" w:color="auto"/>
      </w:divBdr>
    </w:div>
    <w:div w:id="870722058">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958FE-609F-4076-B720-02C6EDB4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5652</Words>
  <Characters>31086</Characters>
  <Application>Microsoft Office Word</Application>
  <DocSecurity>0</DocSecurity>
  <Lines>259</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cp:revision>
  <cp:lastPrinted>2019-06-13T15:30:00Z</cp:lastPrinted>
  <dcterms:created xsi:type="dcterms:W3CDTF">2023-09-22T16:37:00Z</dcterms:created>
  <dcterms:modified xsi:type="dcterms:W3CDTF">2023-10-17T23:17:00Z</dcterms:modified>
</cp:coreProperties>
</file>