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0BA" w:rsidRPr="00A3565D" w:rsidRDefault="008F4367">
      <w:pPr>
        <w:spacing w:line="360" w:lineRule="auto"/>
        <w:jc w:val="both"/>
        <w:rPr>
          <w:rFonts w:ascii="Palatino Linotype" w:eastAsia="Palatino Linotype" w:hAnsi="Palatino Linotype" w:cs="Palatino Linotype"/>
        </w:rPr>
      </w:pPr>
      <w:bookmarkStart w:id="0" w:name="_heading=h.tyjcwt" w:colFirst="0" w:colLast="0"/>
      <w:bookmarkStart w:id="1" w:name="_GoBack"/>
      <w:bookmarkEnd w:id="0"/>
      <w:bookmarkEnd w:id="1"/>
      <w:r w:rsidRPr="00A3565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veinticinco de octubre de dos mil veintitrés. </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b/>
        </w:rPr>
        <w:t>VISTO</w:t>
      </w:r>
      <w:r w:rsidRPr="00A3565D">
        <w:rPr>
          <w:rFonts w:ascii="Palatino Linotype" w:eastAsia="Palatino Linotype" w:hAnsi="Palatino Linotype" w:cs="Palatino Linotype"/>
        </w:rPr>
        <w:t xml:space="preserve"> el expediente formado con motivo del recurso de revisión </w:t>
      </w:r>
      <w:r w:rsidRPr="00A3565D">
        <w:rPr>
          <w:rFonts w:ascii="Palatino Linotype" w:eastAsia="Palatino Linotype" w:hAnsi="Palatino Linotype" w:cs="Palatino Linotype"/>
          <w:b/>
        </w:rPr>
        <w:t>03304/INFOEM/IP/RR/2023</w:t>
      </w:r>
      <w:r w:rsidRPr="00A3565D">
        <w:rPr>
          <w:rFonts w:ascii="Palatino Linotype" w:eastAsia="Palatino Linotype" w:hAnsi="Palatino Linotype" w:cs="Palatino Linotype"/>
        </w:rPr>
        <w:t xml:space="preserve">, interpuesto por </w:t>
      </w:r>
      <w:r w:rsidRPr="00A3565D">
        <w:rPr>
          <w:rFonts w:ascii="Palatino Linotype" w:eastAsia="Palatino Linotype" w:hAnsi="Palatino Linotype" w:cs="Palatino Linotype"/>
          <w:b/>
        </w:rPr>
        <w:t xml:space="preserve">una persona que no señaló nombre o seudónimo, </w:t>
      </w:r>
      <w:r w:rsidRPr="00A3565D">
        <w:rPr>
          <w:rFonts w:ascii="Palatino Linotype" w:eastAsia="Palatino Linotype" w:hAnsi="Palatino Linotype" w:cs="Palatino Linotype"/>
        </w:rPr>
        <w:t>a quien en lo subsecuente nos referiremos como</w:t>
      </w:r>
      <w:r w:rsidRPr="00A3565D">
        <w:rPr>
          <w:rFonts w:ascii="Palatino Linotype" w:eastAsia="Palatino Linotype" w:hAnsi="Palatino Linotype" w:cs="Palatino Linotype"/>
          <w:b/>
        </w:rPr>
        <w:t xml:space="preserve"> LA PARTE RECURRENTE,</w:t>
      </w:r>
      <w:r w:rsidRPr="00A3565D">
        <w:rPr>
          <w:rFonts w:ascii="Palatino Linotype" w:eastAsia="Palatino Linotype" w:hAnsi="Palatino Linotype" w:cs="Palatino Linotype"/>
        </w:rPr>
        <w:t xml:space="preserve"> en contra de la respuesta a la solicitud </w:t>
      </w:r>
      <w:r w:rsidRPr="00A3565D">
        <w:rPr>
          <w:rFonts w:ascii="Palatino Linotype" w:eastAsia="Palatino Linotype" w:hAnsi="Palatino Linotype" w:cs="Palatino Linotype"/>
          <w:b/>
        </w:rPr>
        <w:t>00111/NICOROM/IP/2023</w:t>
      </w:r>
      <w:r w:rsidRPr="00A3565D">
        <w:rPr>
          <w:rFonts w:ascii="Palatino Linotype" w:eastAsia="Palatino Linotype" w:hAnsi="Palatino Linotype" w:cs="Palatino Linotype"/>
        </w:rPr>
        <w:t xml:space="preserve"> por parte del</w:t>
      </w:r>
      <w:r w:rsidRPr="00A3565D">
        <w:rPr>
          <w:rFonts w:ascii="Palatino Linotype" w:eastAsia="Palatino Linotype" w:hAnsi="Palatino Linotype" w:cs="Palatino Linotype"/>
          <w:b/>
        </w:rPr>
        <w:t xml:space="preserve"> Ayuntamiento de Nicolás Romero, </w:t>
      </w:r>
      <w:r w:rsidRPr="00A3565D">
        <w:rPr>
          <w:rFonts w:ascii="Palatino Linotype" w:eastAsia="Palatino Linotype" w:hAnsi="Palatino Linotype" w:cs="Palatino Linotype"/>
        </w:rPr>
        <w:t xml:space="preserve">a quien en lo sucesivo se le denominará como </w:t>
      </w:r>
      <w:r w:rsidRPr="00A3565D">
        <w:rPr>
          <w:rFonts w:ascii="Palatino Linotype" w:eastAsia="Palatino Linotype" w:hAnsi="Palatino Linotype" w:cs="Palatino Linotype"/>
          <w:b/>
        </w:rPr>
        <w:t xml:space="preserve">EL SUJETO OBLIGADO, </w:t>
      </w:r>
      <w:r w:rsidRPr="00A3565D">
        <w:rPr>
          <w:rFonts w:ascii="Palatino Linotype" w:eastAsia="Palatino Linotype" w:hAnsi="Palatino Linotype" w:cs="Palatino Linotype"/>
        </w:rPr>
        <w:t>se procede a dictar la presente resolución con base en los siguientes</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rPr>
      </w:pPr>
      <w:r w:rsidRPr="00A3565D">
        <w:rPr>
          <w:rFonts w:ascii="Palatino Linotype" w:eastAsia="Palatino Linotype" w:hAnsi="Palatino Linotype" w:cs="Palatino Linotype"/>
          <w:b/>
        </w:rPr>
        <w:t>A N T E C E D E N T E S:</w:t>
      </w:r>
    </w:p>
    <w:p w:rsidR="00E810BA" w:rsidRPr="00A3565D" w:rsidRDefault="00E810BA">
      <w:pPr>
        <w:pBdr>
          <w:top w:val="nil"/>
          <w:left w:val="nil"/>
          <w:bottom w:val="nil"/>
          <w:right w:val="nil"/>
          <w:between w:val="nil"/>
        </w:pBdr>
        <w:spacing w:line="360" w:lineRule="auto"/>
        <w:ind w:left="1080"/>
        <w:rPr>
          <w:rFonts w:ascii="Palatino Linotype" w:eastAsia="Palatino Linotype" w:hAnsi="Palatino Linotype" w:cs="Palatino Linotype"/>
          <w:b/>
        </w:rPr>
      </w:pPr>
    </w:p>
    <w:p w:rsidR="00E810BA" w:rsidRPr="00A3565D" w:rsidRDefault="008F4367">
      <w:pPr>
        <w:spacing w:line="360" w:lineRule="auto"/>
        <w:jc w:val="both"/>
        <w:rPr>
          <w:rFonts w:ascii="Palatino Linotype" w:eastAsia="Palatino Linotype" w:hAnsi="Palatino Linotype" w:cs="Palatino Linotype"/>
        </w:rPr>
      </w:pPr>
      <w:bookmarkStart w:id="2" w:name="_heading=h.gjdgxs" w:colFirst="0" w:colLast="0"/>
      <w:bookmarkEnd w:id="2"/>
      <w:r w:rsidRPr="00A3565D">
        <w:rPr>
          <w:rFonts w:ascii="Palatino Linotype" w:eastAsia="Palatino Linotype" w:hAnsi="Palatino Linotype" w:cs="Palatino Linotype"/>
          <w:b/>
        </w:rPr>
        <w:t>1. Solicitud de acceso a la información.</w:t>
      </w:r>
      <w:r w:rsidRPr="00A3565D">
        <w:rPr>
          <w:rFonts w:ascii="Palatino Linotype" w:eastAsia="Palatino Linotype" w:hAnsi="Palatino Linotype" w:cs="Palatino Linotype"/>
        </w:rPr>
        <w:t xml:space="preserve"> El</w:t>
      </w:r>
      <w:r w:rsidRPr="00A3565D">
        <w:rPr>
          <w:rFonts w:ascii="Palatino Linotype" w:eastAsia="Palatino Linotype" w:hAnsi="Palatino Linotype" w:cs="Palatino Linotype"/>
          <w:b/>
        </w:rPr>
        <w:t xml:space="preserve"> veintiséis de mayo de dos mil veintitrés,</w:t>
      </w:r>
      <w:r w:rsidRPr="00A3565D">
        <w:rPr>
          <w:rFonts w:ascii="Palatino Linotype" w:eastAsia="Palatino Linotype" w:hAnsi="Palatino Linotype" w:cs="Palatino Linotype"/>
        </w:rPr>
        <w:t xml:space="preserve"> </w:t>
      </w:r>
      <w:r w:rsidRPr="00A3565D">
        <w:rPr>
          <w:rFonts w:ascii="Palatino Linotype" w:eastAsia="Palatino Linotype" w:hAnsi="Palatino Linotype" w:cs="Palatino Linotype"/>
          <w:b/>
        </w:rPr>
        <w:t>LA PARTE</w:t>
      </w:r>
      <w:r w:rsidRPr="00A3565D">
        <w:rPr>
          <w:rFonts w:ascii="Palatino Linotype" w:eastAsia="Palatino Linotype" w:hAnsi="Palatino Linotype" w:cs="Palatino Linotype"/>
        </w:rPr>
        <w:t xml:space="preserve"> </w:t>
      </w:r>
      <w:r w:rsidRPr="00A3565D">
        <w:rPr>
          <w:rFonts w:ascii="Palatino Linotype" w:eastAsia="Palatino Linotype" w:hAnsi="Palatino Linotype" w:cs="Palatino Linotype"/>
          <w:b/>
        </w:rPr>
        <w:t xml:space="preserve">RECURRENTE </w:t>
      </w:r>
      <w:r w:rsidRPr="00A3565D">
        <w:rPr>
          <w:rFonts w:ascii="Palatino Linotype" w:eastAsia="Palatino Linotype" w:hAnsi="Palatino Linotype" w:cs="Palatino Linotype"/>
        </w:rPr>
        <w:t>a través del Sistema de Acceso a la Información Mexiquense o SAIMEX</w:t>
      </w:r>
      <w:r w:rsidRPr="00A3565D">
        <w:rPr>
          <w:rFonts w:ascii="Palatino Linotype" w:eastAsia="Palatino Linotype" w:hAnsi="Palatino Linotype" w:cs="Palatino Linotype"/>
          <w:b/>
        </w:rPr>
        <w:t>,</w:t>
      </w:r>
      <w:r w:rsidRPr="00A3565D">
        <w:rPr>
          <w:rFonts w:ascii="Palatino Linotype" w:eastAsia="Palatino Linotype" w:hAnsi="Palatino Linotype" w:cs="Palatino Linotype"/>
        </w:rPr>
        <w:t xml:space="preserve"> realizó la solicitud de acceso a la información pública</w:t>
      </w:r>
      <w:r w:rsidRPr="00A3565D">
        <w:rPr>
          <w:rFonts w:ascii="Palatino Linotype" w:eastAsia="Palatino Linotype" w:hAnsi="Palatino Linotype" w:cs="Palatino Linotype"/>
          <w:b/>
        </w:rPr>
        <w:t xml:space="preserve"> 00111/NICOROM/IP/2023</w:t>
      </w:r>
      <w:r w:rsidRPr="00A3565D">
        <w:rPr>
          <w:rFonts w:ascii="Palatino Linotype" w:eastAsia="Palatino Linotype" w:hAnsi="Palatino Linotype" w:cs="Palatino Linotype"/>
        </w:rPr>
        <w:t>, en la cual requirió de:</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“SOLICITO LA NÓMINA DE LA ÚLTIMA QUINCENA DEL MES DE MAYO DEL 2023, DE TODO EL PERSONAL DEL AYUNTAMIENTO DE NICOLÀS ROMERO, SINDICALIZADO, NO SINDICALIZADO, POLICÍAS, MANDOS MEDIOS Y SUPERIORES, ASÍ COMO LOS INTEGRANTES DE CABILDO. CONTEMPLANDO TAMBIÉN A TODO AQUEL PERSONAL QUE SE ENCUENTRE EN CALIDAD DE ASESORES O SIMILARES, ASISTENTES O AUXILIARES, ASÍ COMO LOS QUE SE ENCUENTRAN POR HONORARIOS. TAMBIEN SE SOLICITA LA </w:t>
      </w:r>
      <w:r w:rsidRPr="00A3565D">
        <w:rPr>
          <w:rFonts w:ascii="Palatino Linotype" w:eastAsia="Palatino Linotype" w:hAnsi="Palatino Linotype" w:cs="Palatino Linotype"/>
          <w:i/>
          <w:sz w:val="22"/>
          <w:szCs w:val="22"/>
        </w:rPr>
        <w:lastRenderedPageBreak/>
        <w:t xml:space="preserve">INFORMACIÒN VIGENTE DE LO SIGUIENTE: NÙMERO DE PLACA, SERVIDOR PÙBLICO AL QUE ESTA ASIGNADO, TIPO DE VEHÌCULO Y MARCA, DE TODOS LOS VEHÌCULOS OFICIALES PERTENECIENTES AL AYUNTAMIENTO.” (Sic) </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b/>
        </w:rPr>
        <w:t>Modalidad de Entrega:</w:t>
      </w:r>
      <w:r w:rsidRPr="00A3565D">
        <w:rPr>
          <w:rFonts w:ascii="Palatino Linotype" w:eastAsia="Palatino Linotype" w:hAnsi="Palatino Linotype" w:cs="Palatino Linotype"/>
        </w:rPr>
        <w:t xml:space="preserve"> A través del SAIMEX.</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b/>
        </w:rPr>
        <w:t xml:space="preserve">2. Respuesta. </w:t>
      </w:r>
      <w:r w:rsidRPr="00A3565D">
        <w:rPr>
          <w:rFonts w:ascii="Palatino Linotype" w:eastAsia="Palatino Linotype" w:hAnsi="Palatino Linotype" w:cs="Palatino Linotype"/>
        </w:rPr>
        <w:t>El</w:t>
      </w:r>
      <w:r w:rsidRPr="00A3565D">
        <w:rPr>
          <w:rFonts w:ascii="Palatino Linotype" w:eastAsia="Palatino Linotype" w:hAnsi="Palatino Linotype" w:cs="Palatino Linotype"/>
          <w:b/>
        </w:rPr>
        <w:t xml:space="preserve"> nueve de junio de dos mil veintitrés, EL SUJETO OBLIGADO </w:t>
      </w:r>
      <w:r w:rsidRPr="00A3565D">
        <w:rPr>
          <w:rFonts w:ascii="Palatino Linotype" w:eastAsia="Palatino Linotype" w:hAnsi="Palatino Linotype" w:cs="Palatino Linotype"/>
        </w:rPr>
        <w:t xml:space="preserve">remitió a la persona solicitante la respuesta a su solicitud de acceso a la información, al tenor siguiente: </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“Nicolás Romero, México a 09 de Junio de 2023</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Nombre del solicitante: C. Solicitante</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Folio de la solicitud: 00111/NICOROM/IP/2023</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SE ENVÍA RESPUESTA MEDIANTE OFICIO anexo Buenos días, por este medio envío respuesta a su solicitud. La información anexa </w:t>
      </w:r>
      <w:proofErr w:type="spellStart"/>
      <w:r w:rsidRPr="00A3565D">
        <w:rPr>
          <w:rFonts w:ascii="Palatino Linotype" w:eastAsia="Palatino Linotype" w:hAnsi="Palatino Linotype" w:cs="Palatino Linotype"/>
          <w:i/>
          <w:sz w:val="22"/>
          <w:szCs w:val="22"/>
        </w:rPr>
        <w:t>esta</w:t>
      </w:r>
      <w:proofErr w:type="spellEnd"/>
      <w:r w:rsidRPr="00A3565D">
        <w:rPr>
          <w:rFonts w:ascii="Palatino Linotype" w:eastAsia="Palatino Linotype" w:hAnsi="Palatino Linotype" w:cs="Palatino Linotype"/>
          <w:i/>
          <w:sz w:val="22"/>
          <w:szCs w:val="22"/>
        </w:rPr>
        <w:t xml:space="preserve"> actualizada a diciembre de 2022</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ATENTAMENTE</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LIC. ALFONSO HERNANDEZ GASCA” (Sic) </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Y adjuntó lo siguientes archivos que se enlistan en orden de aparición según los registros del SAIMEX: </w:t>
      </w:r>
    </w:p>
    <w:p w:rsidR="00E810BA" w:rsidRPr="00A3565D" w:rsidRDefault="00E810BA">
      <w:pPr>
        <w:spacing w:line="360" w:lineRule="auto"/>
        <w:jc w:val="both"/>
        <w:rPr>
          <w:rFonts w:ascii="Palatino Linotype" w:eastAsia="Palatino Linotype" w:hAnsi="Palatino Linotype" w:cs="Palatino Linotype"/>
          <w:b/>
          <w:i/>
        </w:rPr>
      </w:pPr>
    </w:p>
    <w:p w:rsidR="00E810BA" w:rsidRPr="00A3565D" w:rsidRDefault="00B646E8">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i/>
        </w:rPr>
      </w:pPr>
      <w:hyperlink r:id="rId8">
        <w:r w:rsidR="008F4367" w:rsidRPr="00A3565D">
          <w:rPr>
            <w:rFonts w:ascii="Palatino Linotype" w:eastAsia="Palatino Linotype" w:hAnsi="Palatino Linotype" w:cs="Palatino Linotype"/>
            <w:b/>
            <w:i/>
          </w:rPr>
          <w:t>Digitalización_2023_06_08_06_20_41_062.pdf</w:t>
        </w:r>
      </w:hyperlink>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Oficio </w:t>
      </w:r>
      <w:r w:rsidRPr="00A3565D">
        <w:rPr>
          <w:rFonts w:ascii="Palatino Linotype" w:eastAsia="Palatino Linotype" w:hAnsi="Palatino Linotype" w:cs="Palatino Linotype"/>
          <w:i/>
        </w:rPr>
        <w:t>NR/TM/OM/FH/570/2023</w:t>
      </w:r>
      <w:r w:rsidRPr="00A3565D">
        <w:rPr>
          <w:rFonts w:ascii="Palatino Linotype" w:eastAsia="Palatino Linotype" w:hAnsi="Palatino Linotype" w:cs="Palatino Linotype"/>
        </w:rPr>
        <w:t xml:space="preserve"> suscrito por la Oficialía Mayor de la Tesorería Municipal donde le refiere a la parte solicitante que </w:t>
      </w:r>
      <w:r w:rsidRPr="00A3565D">
        <w:rPr>
          <w:rFonts w:ascii="Palatino Linotype" w:eastAsia="Palatino Linotype" w:hAnsi="Palatino Linotype" w:cs="Palatino Linotype"/>
          <w:i/>
        </w:rPr>
        <w:t>“… la documental requerida por el solicitante consta de 1,317 talones de pago impresos por su anverso en copia simple, mismas que se requieren para dar atención a lo solicitado…” (Sic),</w:t>
      </w:r>
      <w:r w:rsidRPr="00A3565D">
        <w:rPr>
          <w:rFonts w:ascii="Palatino Linotype" w:eastAsia="Palatino Linotype" w:hAnsi="Palatino Linotype" w:cs="Palatino Linotype"/>
        </w:rPr>
        <w:t xml:space="preserve"> y además señaló que </w:t>
      </w:r>
      <w:r w:rsidRPr="00A3565D">
        <w:rPr>
          <w:rFonts w:ascii="Palatino Linotype" w:eastAsia="Palatino Linotype" w:hAnsi="Palatino Linotype" w:cs="Palatino Linotype"/>
          <w:i/>
        </w:rPr>
        <w:t xml:space="preserve">“… la </w:t>
      </w:r>
      <w:r w:rsidRPr="00A3565D">
        <w:rPr>
          <w:rFonts w:ascii="Palatino Linotype" w:eastAsia="Palatino Linotype" w:hAnsi="Palatino Linotype" w:cs="Palatino Linotype"/>
          <w:i/>
        </w:rPr>
        <w:lastRenderedPageBreak/>
        <w:t xml:space="preserve">reproducción de los mismos genera un costo en materiales…” (Sic) </w:t>
      </w:r>
      <w:r w:rsidRPr="00A3565D">
        <w:rPr>
          <w:rFonts w:ascii="Palatino Linotype" w:eastAsia="Palatino Linotype" w:hAnsi="Palatino Linotype" w:cs="Palatino Linotype"/>
        </w:rPr>
        <w:t xml:space="preserve">por lo cual, con fundamento en el Código Financiero para el Estado de México, señaló los costos que la persona solicitante debía de cubrir para que previo pago le fuera entregada la información, tal y como se hace constar: </w:t>
      </w:r>
    </w:p>
    <w:p w:rsidR="00E810BA" w:rsidRPr="00A3565D" w:rsidRDefault="00E810BA">
      <w:pPr>
        <w:spacing w:line="360" w:lineRule="auto"/>
        <w:jc w:val="both"/>
      </w:pPr>
    </w:p>
    <w:p w:rsidR="00E810BA" w:rsidRPr="00A3565D" w:rsidRDefault="008F4367">
      <w:pPr>
        <w:spacing w:line="360" w:lineRule="auto"/>
        <w:jc w:val="both"/>
        <w:rPr>
          <w:rFonts w:ascii="Palatino Linotype" w:eastAsia="Palatino Linotype" w:hAnsi="Palatino Linotype" w:cs="Palatino Linotype"/>
        </w:rPr>
      </w:pPr>
      <w:r w:rsidRPr="00A3565D">
        <w:rPr>
          <w:noProof/>
        </w:rPr>
        <w:drawing>
          <wp:inline distT="0" distB="0" distL="0" distR="0">
            <wp:extent cx="5942042" cy="4645596"/>
            <wp:effectExtent l="0" t="0" r="0" b="0"/>
            <wp:docPr id="86103198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l="51595" t="15691" r="1730" b="19432"/>
                    <a:stretch>
                      <a:fillRect/>
                    </a:stretch>
                  </pic:blipFill>
                  <pic:spPr>
                    <a:xfrm>
                      <a:off x="0" y="0"/>
                      <a:ext cx="5942042" cy="4645596"/>
                    </a:xfrm>
                    <a:prstGeom prst="rect">
                      <a:avLst/>
                    </a:prstGeom>
                    <a:ln/>
                  </pic:spPr>
                </pic:pic>
              </a:graphicData>
            </a:graphic>
          </wp:inline>
        </w:drawing>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Además dijo que por lo que hace a los cuerpos de seguridad pública y tránsito municipal, sus datos se encuentran clasificados como reservados según el acuerdo </w:t>
      </w:r>
      <w:r w:rsidRPr="00A3565D">
        <w:rPr>
          <w:rFonts w:ascii="Palatino Linotype" w:eastAsia="Palatino Linotype" w:hAnsi="Palatino Linotype" w:cs="Palatino Linotype"/>
          <w:i/>
        </w:rPr>
        <w:lastRenderedPageBreak/>
        <w:t>NR/CTM/ACR/EXT09/37/2022</w:t>
      </w:r>
      <w:r w:rsidRPr="00A3565D">
        <w:rPr>
          <w:rFonts w:ascii="Palatino Linotype" w:eastAsia="Palatino Linotype" w:hAnsi="Palatino Linotype" w:cs="Palatino Linotype"/>
        </w:rPr>
        <w:t xml:space="preserve"> celebrado el veintisiete de septiembre de dos mil veintidós por el Comité de Transparencia del Ayuntamiento. </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Respecto a la información del número de placa, persona servidora pública a la que se le asignó, tipo de vehículo y marca se sirvió remitir un anexo el cual se describirá de manera subsecuente en estos Antecedentes. </w:t>
      </w:r>
    </w:p>
    <w:p w:rsidR="00E810BA" w:rsidRPr="00A3565D" w:rsidRDefault="00E810BA">
      <w:pPr>
        <w:spacing w:line="360" w:lineRule="auto"/>
        <w:jc w:val="both"/>
        <w:rPr>
          <w:rFonts w:ascii="Palatino Linotype" w:eastAsia="Palatino Linotype" w:hAnsi="Palatino Linotype" w:cs="Palatino Linotype"/>
          <w:b/>
          <w:i/>
        </w:rPr>
      </w:pPr>
    </w:p>
    <w:p w:rsidR="00E810BA" w:rsidRPr="00A3565D" w:rsidRDefault="00B646E8">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i/>
        </w:rPr>
      </w:pPr>
      <w:hyperlink r:id="rId10">
        <w:r w:rsidR="008F4367" w:rsidRPr="00A3565D">
          <w:rPr>
            <w:rFonts w:ascii="Palatino Linotype" w:eastAsia="Palatino Linotype" w:hAnsi="Palatino Linotype" w:cs="Palatino Linotype"/>
            <w:b/>
            <w:i/>
          </w:rPr>
          <w:t>NR_SA_SbA_DATCGyN_1362_2023 00111.PDF</w:t>
        </w:r>
      </w:hyperlink>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Oficio </w:t>
      </w:r>
      <w:r w:rsidRPr="00A3565D">
        <w:rPr>
          <w:rFonts w:ascii="Palatino Linotype" w:eastAsia="Palatino Linotype" w:hAnsi="Palatino Linotype" w:cs="Palatino Linotype"/>
          <w:i/>
        </w:rPr>
        <w:t>NR/SA/</w:t>
      </w:r>
      <w:proofErr w:type="spellStart"/>
      <w:r w:rsidRPr="00A3565D">
        <w:rPr>
          <w:rFonts w:ascii="Palatino Linotype" w:eastAsia="Palatino Linotype" w:hAnsi="Palatino Linotype" w:cs="Palatino Linotype"/>
          <w:i/>
        </w:rPr>
        <w:t>SbA</w:t>
      </w:r>
      <w:proofErr w:type="spellEnd"/>
      <w:r w:rsidRPr="00A3565D">
        <w:rPr>
          <w:rFonts w:ascii="Palatino Linotype" w:eastAsia="Palatino Linotype" w:hAnsi="Palatino Linotype" w:cs="Palatino Linotype"/>
          <w:i/>
        </w:rPr>
        <w:t>/</w:t>
      </w:r>
      <w:proofErr w:type="spellStart"/>
      <w:r w:rsidRPr="00A3565D">
        <w:rPr>
          <w:rFonts w:ascii="Palatino Linotype" w:eastAsia="Palatino Linotype" w:hAnsi="Palatino Linotype" w:cs="Palatino Linotype"/>
          <w:i/>
        </w:rPr>
        <w:t>DATCGyN</w:t>
      </w:r>
      <w:proofErr w:type="spellEnd"/>
      <w:r w:rsidRPr="00A3565D">
        <w:rPr>
          <w:rFonts w:ascii="Palatino Linotype" w:eastAsia="Palatino Linotype" w:hAnsi="Palatino Linotype" w:cs="Palatino Linotype"/>
          <w:i/>
        </w:rPr>
        <w:t>/1362/2023</w:t>
      </w:r>
      <w:r w:rsidRPr="00A3565D">
        <w:rPr>
          <w:rFonts w:ascii="Palatino Linotype" w:eastAsia="Palatino Linotype" w:hAnsi="Palatino Linotype" w:cs="Palatino Linotype"/>
        </w:rPr>
        <w:t xml:space="preserve"> de la Secretaría del Ayuntamiento donde se informa que se remite para conocimiento de la persona solicitante el inventario general de parque vehicular, que obra en el Sistema CREG Patrimonial, y determina que el </w:t>
      </w:r>
      <w:proofErr w:type="spellStart"/>
      <w:r w:rsidRPr="00A3565D">
        <w:rPr>
          <w:rFonts w:ascii="Palatino Linotype" w:eastAsia="Palatino Linotype" w:hAnsi="Palatino Linotype" w:cs="Palatino Linotype"/>
        </w:rPr>
        <w:t>emplacado</w:t>
      </w:r>
      <w:proofErr w:type="spellEnd"/>
      <w:r w:rsidRPr="00A3565D">
        <w:rPr>
          <w:rFonts w:ascii="Palatino Linotype" w:eastAsia="Palatino Linotype" w:hAnsi="Palatino Linotype" w:cs="Palatino Linotype"/>
        </w:rPr>
        <w:t xml:space="preserve"> le corresponde al Departamento de Control Vehicular dependiente de la Oficialía Mayor de la Tesorería. </w:t>
      </w:r>
    </w:p>
    <w:p w:rsidR="00E810BA" w:rsidRPr="00A3565D" w:rsidRDefault="00E810BA">
      <w:pPr>
        <w:spacing w:line="360" w:lineRule="auto"/>
        <w:jc w:val="both"/>
        <w:rPr>
          <w:rFonts w:ascii="Palatino Linotype" w:eastAsia="Palatino Linotype" w:hAnsi="Palatino Linotype" w:cs="Palatino Linotype"/>
          <w:b/>
          <w:i/>
        </w:rPr>
      </w:pPr>
    </w:p>
    <w:p w:rsidR="00E810BA" w:rsidRPr="00A3565D" w:rsidRDefault="00B646E8">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i/>
        </w:rPr>
      </w:pPr>
      <w:hyperlink r:id="rId11">
        <w:r w:rsidR="008F4367" w:rsidRPr="00A3565D">
          <w:rPr>
            <w:rFonts w:ascii="Palatino Linotype" w:eastAsia="Palatino Linotype" w:hAnsi="Palatino Linotype" w:cs="Palatino Linotype"/>
            <w:b/>
            <w:i/>
          </w:rPr>
          <w:t>INV GRAL PAR VEH 012023.pdf</w:t>
        </w:r>
      </w:hyperlink>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Contiene el inventario general del parque vehicular referido en el punto anterior y que consta de veintiséis hojas, enlistando trescientas veintiún unidades. </w:t>
      </w:r>
    </w:p>
    <w:p w:rsidR="00E810BA" w:rsidRPr="00A3565D" w:rsidRDefault="00E810BA">
      <w:pPr>
        <w:spacing w:line="360" w:lineRule="auto"/>
        <w:jc w:val="both"/>
      </w:pPr>
    </w:p>
    <w:p w:rsidR="00E810BA" w:rsidRPr="00A3565D" w:rsidRDefault="008F4367">
      <w:pPr>
        <w:spacing w:line="360" w:lineRule="auto"/>
        <w:jc w:val="center"/>
        <w:rPr>
          <w:rFonts w:ascii="Palatino Linotype" w:eastAsia="Palatino Linotype" w:hAnsi="Palatino Linotype" w:cs="Palatino Linotype"/>
        </w:rPr>
      </w:pPr>
      <w:r w:rsidRPr="00A3565D">
        <w:rPr>
          <w:noProof/>
        </w:rPr>
        <w:lastRenderedPageBreak/>
        <w:drawing>
          <wp:inline distT="0" distB="0" distL="0" distR="0">
            <wp:extent cx="4456651" cy="2629104"/>
            <wp:effectExtent l="0" t="0" r="0" b="0"/>
            <wp:docPr id="8610319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50747" t="20519" r="2069" b="29994"/>
                    <a:stretch>
                      <a:fillRect/>
                    </a:stretch>
                  </pic:blipFill>
                  <pic:spPr>
                    <a:xfrm>
                      <a:off x="0" y="0"/>
                      <a:ext cx="4456651" cy="2629104"/>
                    </a:xfrm>
                    <a:prstGeom prst="rect">
                      <a:avLst/>
                    </a:prstGeom>
                    <a:ln/>
                  </pic:spPr>
                </pic:pic>
              </a:graphicData>
            </a:graphic>
          </wp:inline>
        </w:drawing>
      </w:r>
    </w:p>
    <w:p w:rsidR="00E810BA" w:rsidRPr="00A3565D" w:rsidRDefault="00E810BA">
      <w:pPr>
        <w:spacing w:line="360" w:lineRule="auto"/>
        <w:jc w:val="both"/>
        <w:rPr>
          <w:rFonts w:ascii="Palatino Linotype" w:eastAsia="Palatino Linotype" w:hAnsi="Palatino Linotype" w:cs="Palatino Linotype"/>
          <w:b/>
          <w:i/>
        </w:rPr>
      </w:pPr>
    </w:p>
    <w:p w:rsidR="00E810BA" w:rsidRPr="00A3565D" w:rsidRDefault="00B646E8">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i/>
        </w:rPr>
      </w:pPr>
      <w:hyperlink r:id="rId13">
        <w:r w:rsidR="008F4367" w:rsidRPr="00A3565D">
          <w:rPr>
            <w:rFonts w:ascii="Palatino Linotype" w:eastAsia="Palatino Linotype" w:hAnsi="Palatino Linotype" w:cs="Palatino Linotype"/>
            <w:b/>
            <w:i/>
          </w:rPr>
          <w:t>vehiculos.pdf</w:t>
        </w:r>
      </w:hyperlink>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Contiene una lista donde figuran los nombres de personas </w:t>
      </w:r>
      <w:proofErr w:type="spellStart"/>
      <w:r w:rsidRPr="00A3565D">
        <w:rPr>
          <w:rFonts w:ascii="Palatino Linotype" w:eastAsia="Palatino Linotype" w:hAnsi="Palatino Linotype" w:cs="Palatino Linotype"/>
        </w:rPr>
        <w:t>resguardantes</w:t>
      </w:r>
      <w:proofErr w:type="spellEnd"/>
      <w:r w:rsidRPr="00A3565D">
        <w:rPr>
          <w:rFonts w:ascii="Palatino Linotype" w:eastAsia="Palatino Linotype" w:hAnsi="Palatino Linotype" w:cs="Palatino Linotype"/>
        </w:rPr>
        <w:t xml:space="preserve">, el nombre del mueble, la marca y la placa, dando un total de ciento treinta y cuatro registros. </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b/>
          <w:sz w:val="22"/>
          <w:szCs w:val="22"/>
        </w:rPr>
        <w:t>3.</w:t>
      </w:r>
      <w:r w:rsidRPr="00A3565D">
        <w:rPr>
          <w:rFonts w:ascii="Palatino Linotype" w:eastAsia="Palatino Linotype" w:hAnsi="Palatino Linotype" w:cs="Palatino Linotype"/>
          <w:b/>
        </w:rPr>
        <w:t xml:space="preserve"> Interposición del recurso de revisión. </w:t>
      </w:r>
      <w:r w:rsidRPr="00A3565D">
        <w:rPr>
          <w:rFonts w:ascii="Palatino Linotype" w:eastAsia="Palatino Linotype" w:hAnsi="Palatino Linotype" w:cs="Palatino Linotype"/>
        </w:rPr>
        <w:t xml:space="preserve">Inconforme la entonces persona solicitante con la respuesta del </w:t>
      </w:r>
      <w:r w:rsidRPr="00A3565D">
        <w:rPr>
          <w:rFonts w:ascii="Palatino Linotype" w:eastAsia="Palatino Linotype" w:hAnsi="Palatino Linotype" w:cs="Palatino Linotype"/>
          <w:b/>
        </w:rPr>
        <w:t>SUJETO OBLIGADO</w:t>
      </w:r>
      <w:r w:rsidRPr="00A3565D">
        <w:rPr>
          <w:rFonts w:ascii="Palatino Linotype" w:eastAsia="Palatino Linotype" w:hAnsi="Palatino Linotype" w:cs="Palatino Linotype"/>
        </w:rPr>
        <w:t>, el día</w:t>
      </w:r>
      <w:r w:rsidRPr="00A3565D">
        <w:rPr>
          <w:rFonts w:ascii="Palatino Linotype" w:eastAsia="Palatino Linotype" w:hAnsi="Palatino Linotype" w:cs="Palatino Linotype"/>
          <w:b/>
        </w:rPr>
        <w:t xml:space="preserve"> doce de junio de dos mil veintitrés,</w:t>
      </w:r>
      <w:r w:rsidRPr="00A3565D">
        <w:rPr>
          <w:rFonts w:ascii="Palatino Linotype" w:eastAsia="Palatino Linotype" w:hAnsi="Palatino Linotype" w:cs="Palatino Linotype"/>
        </w:rPr>
        <w:t xml:space="preserve"> interpuso el recurso de revisión a través del SAIMEX y se manifestó de la siguiente manera:</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tabs>
          <w:tab w:val="left" w:pos="2745"/>
        </w:tabs>
        <w:spacing w:line="360" w:lineRule="auto"/>
        <w:jc w:val="both"/>
        <w:rPr>
          <w:rFonts w:ascii="Palatino Linotype" w:eastAsia="Palatino Linotype" w:hAnsi="Palatino Linotype" w:cs="Palatino Linotype"/>
          <w:b/>
        </w:rPr>
      </w:pPr>
      <w:r w:rsidRPr="00A3565D">
        <w:rPr>
          <w:rFonts w:ascii="Palatino Linotype" w:eastAsia="Palatino Linotype" w:hAnsi="Palatino Linotype" w:cs="Palatino Linotype"/>
          <w:b/>
        </w:rPr>
        <w:t xml:space="preserve">Acto impugnado: </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“Entrega de información incompleta” (Sic) </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b/>
        </w:rPr>
        <w:t>Razones o motivos de inconformidad</w:t>
      </w:r>
      <w:r w:rsidRPr="00A3565D">
        <w:rPr>
          <w:rFonts w:ascii="Palatino Linotype" w:eastAsia="Palatino Linotype" w:hAnsi="Palatino Linotype" w:cs="Palatino Linotype"/>
        </w:rPr>
        <w:t>:</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b/>
          <w:i/>
          <w:sz w:val="22"/>
          <w:szCs w:val="22"/>
          <w:u w:val="single"/>
        </w:rPr>
      </w:pPr>
      <w:r w:rsidRPr="00A3565D">
        <w:rPr>
          <w:rFonts w:ascii="Palatino Linotype" w:eastAsia="Palatino Linotype" w:hAnsi="Palatino Linotype" w:cs="Palatino Linotype"/>
          <w:i/>
          <w:sz w:val="22"/>
          <w:szCs w:val="22"/>
        </w:rPr>
        <w:lastRenderedPageBreak/>
        <w:t xml:space="preserve">“No hacen entrega completa de la información que se </w:t>
      </w:r>
      <w:proofErr w:type="spellStart"/>
      <w:r w:rsidRPr="00A3565D">
        <w:rPr>
          <w:rFonts w:ascii="Palatino Linotype" w:eastAsia="Palatino Linotype" w:hAnsi="Palatino Linotype" w:cs="Palatino Linotype"/>
          <w:i/>
          <w:sz w:val="22"/>
          <w:szCs w:val="22"/>
        </w:rPr>
        <w:t>solicito</w:t>
      </w:r>
      <w:proofErr w:type="spellEnd"/>
      <w:r w:rsidRPr="00A3565D">
        <w:rPr>
          <w:rFonts w:ascii="Palatino Linotype" w:eastAsia="Palatino Linotype" w:hAnsi="Palatino Linotype" w:cs="Palatino Linotype"/>
          <w:i/>
          <w:sz w:val="22"/>
          <w:szCs w:val="22"/>
        </w:rPr>
        <w:t xml:space="preserve"> al Ayuntamiento de Nicolás Romero, </w:t>
      </w:r>
      <w:r w:rsidRPr="00A3565D">
        <w:rPr>
          <w:rFonts w:ascii="Palatino Linotype" w:eastAsia="Palatino Linotype" w:hAnsi="Palatino Linotype" w:cs="Palatino Linotype"/>
          <w:b/>
          <w:i/>
          <w:sz w:val="22"/>
          <w:szCs w:val="22"/>
          <w:u w:val="single"/>
        </w:rPr>
        <w:t xml:space="preserve">argumentando que dedo de realizar un pago, </w:t>
      </w:r>
      <w:r w:rsidRPr="00A3565D">
        <w:rPr>
          <w:rFonts w:ascii="Palatino Linotype" w:eastAsia="Palatino Linotype" w:hAnsi="Palatino Linotype" w:cs="Palatino Linotype"/>
          <w:i/>
          <w:sz w:val="22"/>
          <w:szCs w:val="22"/>
        </w:rPr>
        <w:t xml:space="preserve">siendo que es información que deben de proporcionar ya que </w:t>
      </w:r>
      <w:proofErr w:type="spellStart"/>
      <w:r w:rsidRPr="00A3565D">
        <w:rPr>
          <w:rFonts w:ascii="Palatino Linotype" w:eastAsia="Palatino Linotype" w:hAnsi="Palatino Linotype" w:cs="Palatino Linotype"/>
          <w:i/>
          <w:sz w:val="22"/>
          <w:szCs w:val="22"/>
        </w:rPr>
        <w:t>esta</w:t>
      </w:r>
      <w:proofErr w:type="spellEnd"/>
      <w:r w:rsidRPr="00A3565D">
        <w:rPr>
          <w:rFonts w:ascii="Palatino Linotype" w:eastAsia="Palatino Linotype" w:hAnsi="Palatino Linotype" w:cs="Palatino Linotype"/>
          <w:i/>
          <w:sz w:val="22"/>
          <w:szCs w:val="22"/>
        </w:rPr>
        <w:t xml:space="preserve"> dentro de sus capacidades entregar.” (Sic) </w:t>
      </w:r>
      <w:r w:rsidRPr="00A3565D">
        <w:rPr>
          <w:rFonts w:ascii="Palatino Linotype" w:eastAsia="Palatino Linotype" w:hAnsi="Palatino Linotype" w:cs="Palatino Linotype"/>
          <w:b/>
          <w:i/>
          <w:sz w:val="22"/>
          <w:szCs w:val="22"/>
          <w:u w:val="single"/>
        </w:rPr>
        <w:t>Énfasis añadido</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spacing w:line="360" w:lineRule="auto"/>
        <w:ind w:right="51"/>
        <w:jc w:val="both"/>
        <w:rPr>
          <w:rFonts w:ascii="Palatino Linotype" w:eastAsia="Palatino Linotype" w:hAnsi="Palatino Linotype" w:cs="Palatino Linotype"/>
        </w:rPr>
      </w:pPr>
      <w:r w:rsidRPr="00A3565D">
        <w:rPr>
          <w:rFonts w:ascii="Palatino Linotype" w:eastAsia="Palatino Linotype" w:hAnsi="Palatino Linotype" w:cs="Palatino Linotype"/>
          <w:b/>
        </w:rPr>
        <w:t xml:space="preserve">4. Turno. </w:t>
      </w:r>
      <w:r w:rsidRPr="00A3565D">
        <w:rPr>
          <w:rFonts w:ascii="Palatino Linotype" w:eastAsia="Palatino Linotype" w:hAnsi="Palatino Linotype" w:cs="Palatino Linotype"/>
        </w:rPr>
        <w:t xml:space="preserve">De conformidad con el artículo 185 fracción I de la Ley de Transparencia, el presente recurso de revisión se turnó por el sistema electrónico de este Instituto, a la </w:t>
      </w:r>
      <w:r w:rsidRPr="00A3565D">
        <w:rPr>
          <w:rFonts w:ascii="Palatino Linotype" w:eastAsia="Palatino Linotype" w:hAnsi="Palatino Linotype" w:cs="Palatino Linotype"/>
          <w:b/>
        </w:rPr>
        <w:t xml:space="preserve">Comisionada Guadalupe Ramírez Peña, </w:t>
      </w:r>
      <w:r w:rsidRPr="00A3565D">
        <w:rPr>
          <w:rFonts w:ascii="Palatino Linotype" w:eastAsia="Palatino Linotype" w:hAnsi="Palatino Linotype" w:cs="Palatino Linotype"/>
        </w:rPr>
        <w:t xml:space="preserve">a efecto de que analizara sobre su admisión o su </w:t>
      </w:r>
      <w:proofErr w:type="spellStart"/>
      <w:r w:rsidRPr="00A3565D">
        <w:rPr>
          <w:rFonts w:ascii="Palatino Linotype" w:eastAsia="Palatino Linotype" w:hAnsi="Palatino Linotype" w:cs="Palatino Linotype"/>
        </w:rPr>
        <w:t>desechamiento</w:t>
      </w:r>
      <w:proofErr w:type="spellEnd"/>
      <w:r w:rsidRPr="00A3565D">
        <w:rPr>
          <w:rFonts w:ascii="Palatino Linotype" w:eastAsia="Palatino Linotype" w:hAnsi="Palatino Linotype" w:cs="Palatino Linotype"/>
        </w:rPr>
        <w:t>.</w:t>
      </w:r>
    </w:p>
    <w:p w:rsidR="00E810BA" w:rsidRPr="00A3565D" w:rsidRDefault="00E810BA">
      <w:pPr>
        <w:spacing w:line="360" w:lineRule="auto"/>
        <w:ind w:right="51"/>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b/>
        </w:rPr>
      </w:pPr>
      <w:r w:rsidRPr="00A3565D">
        <w:rPr>
          <w:rFonts w:ascii="Palatino Linotype" w:eastAsia="Palatino Linotype" w:hAnsi="Palatino Linotype" w:cs="Palatino Linotype"/>
          <w:b/>
        </w:rPr>
        <w:t>5. Admisión del Recurso de revisión.</w:t>
      </w:r>
      <w:r w:rsidRPr="00A3565D">
        <w:rPr>
          <w:rFonts w:ascii="Palatino Linotype" w:eastAsia="Palatino Linotype" w:hAnsi="Palatino Linotype" w:cs="Palatino Linotype"/>
        </w:rPr>
        <w:t xml:space="preserve"> El</w:t>
      </w:r>
      <w:r w:rsidRPr="00A3565D">
        <w:rPr>
          <w:rFonts w:ascii="Palatino Linotype" w:eastAsia="Palatino Linotype" w:hAnsi="Palatino Linotype" w:cs="Palatino Linotype"/>
          <w:b/>
        </w:rPr>
        <w:t xml:space="preserve"> quince de junio de dos mil veintitrés, </w:t>
      </w:r>
      <w:r w:rsidRPr="00A3565D">
        <w:rPr>
          <w:rFonts w:ascii="Palatino Linotype" w:eastAsia="Palatino Linotype" w:hAnsi="Palatino Linotype" w:cs="Palatino Linotype"/>
        </w:rPr>
        <w:t xml:space="preserve">este Instituto de Transparencia, admitió a trámite el recurso de revisión que ahora se resuelve, dando un plazo máximo de siete días hábiles para que las partes manifestaran lo que a su derecho resultara conveniente, ofrecieran pruebas, formularan alegatos y </w:t>
      </w:r>
      <w:r w:rsidRPr="00A3565D">
        <w:rPr>
          <w:rFonts w:ascii="Palatino Linotype" w:eastAsia="Palatino Linotype" w:hAnsi="Palatino Linotype" w:cs="Palatino Linotype"/>
          <w:b/>
        </w:rPr>
        <w:t xml:space="preserve">EL SUJETO OBLIGADO </w:t>
      </w:r>
      <w:r w:rsidRPr="00A3565D">
        <w:rPr>
          <w:rFonts w:ascii="Palatino Linotype" w:eastAsia="Palatino Linotype" w:hAnsi="Palatino Linotype" w:cs="Palatino Linotype"/>
        </w:rPr>
        <w:t>presentara su Informe Justificado.</w:t>
      </w:r>
    </w:p>
    <w:p w:rsidR="00E810BA" w:rsidRPr="00A3565D" w:rsidRDefault="00E810BA">
      <w:pPr>
        <w:spacing w:line="360" w:lineRule="auto"/>
        <w:jc w:val="both"/>
        <w:rPr>
          <w:rFonts w:ascii="Palatino Linotype" w:eastAsia="Palatino Linotype" w:hAnsi="Palatino Linotype" w:cs="Palatino Linotype"/>
          <w:b/>
        </w:rPr>
      </w:pPr>
    </w:p>
    <w:p w:rsidR="00E810BA" w:rsidRPr="00A3565D" w:rsidRDefault="008F4367">
      <w:pPr>
        <w:spacing w:line="360" w:lineRule="auto"/>
        <w:ind w:right="49"/>
        <w:jc w:val="both"/>
        <w:rPr>
          <w:rFonts w:ascii="Palatino Linotype" w:eastAsia="Palatino Linotype" w:hAnsi="Palatino Linotype" w:cs="Palatino Linotype"/>
        </w:rPr>
      </w:pPr>
      <w:bookmarkStart w:id="3" w:name="_heading=h.2s8eyo1" w:colFirst="0" w:colLast="0"/>
      <w:bookmarkEnd w:id="3"/>
      <w:r w:rsidRPr="00A3565D">
        <w:rPr>
          <w:rFonts w:ascii="Palatino Linotype" w:eastAsia="Palatino Linotype" w:hAnsi="Palatino Linotype" w:cs="Palatino Linotype"/>
          <w:b/>
        </w:rPr>
        <w:t>6. Manifestaciones</w:t>
      </w:r>
      <w:r w:rsidRPr="00A3565D">
        <w:rPr>
          <w:rFonts w:ascii="Palatino Linotype" w:eastAsia="Palatino Linotype" w:hAnsi="Palatino Linotype" w:cs="Palatino Linotype"/>
        </w:rPr>
        <w:t xml:space="preserve">. De las constancias que integran el expediente electrónico en que se actúa se advierte que tanto </w:t>
      </w:r>
      <w:r w:rsidRPr="00A3565D">
        <w:rPr>
          <w:rFonts w:ascii="Palatino Linotype" w:eastAsia="Palatino Linotype" w:hAnsi="Palatino Linotype" w:cs="Palatino Linotype"/>
          <w:b/>
        </w:rPr>
        <w:t>LA PARTE RECURRENTE</w:t>
      </w:r>
      <w:r w:rsidRPr="00A3565D">
        <w:rPr>
          <w:rFonts w:ascii="Palatino Linotype" w:eastAsia="Palatino Linotype" w:hAnsi="Palatino Linotype" w:cs="Palatino Linotype"/>
        </w:rPr>
        <w:t xml:space="preserve"> como </w:t>
      </w:r>
      <w:r w:rsidRPr="00A3565D">
        <w:rPr>
          <w:rFonts w:ascii="Palatino Linotype" w:eastAsia="Palatino Linotype" w:hAnsi="Palatino Linotype" w:cs="Palatino Linotype"/>
          <w:b/>
        </w:rPr>
        <w:t xml:space="preserve">EL SUJETO OBLIGADO </w:t>
      </w:r>
      <w:r w:rsidRPr="00A3565D">
        <w:rPr>
          <w:rFonts w:ascii="Palatino Linotype" w:eastAsia="Palatino Linotype" w:hAnsi="Palatino Linotype" w:cs="Palatino Linotype"/>
        </w:rPr>
        <w:t xml:space="preserve">omitieron realizar sus manifestaciones y de remitir su Informe Justificado, respectivamente: </w:t>
      </w:r>
    </w:p>
    <w:p w:rsidR="00E810BA" w:rsidRPr="00A3565D" w:rsidRDefault="00E810BA">
      <w:pPr>
        <w:spacing w:line="360" w:lineRule="auto"/>
        <w:ind w:right="49"/>
        <w:jc w:val="both"/>
      </w:pPr>
    </w:p>
    <w:p w:rsidR="00E810BA" w:rsidRPr="00A3565D" w:rsidRDefault="008F4367">
      <w:pPr>
        <w:spacing w:line="360" w:lineRule="auto"/>
        <w:ind w:right="49"/>
        <w:jc w:val="center"/>
        <w:rPr>
          <w:rFonts w:ascii="Palatino Linotype" w:eastAsia="Palatino Linotype" w:hAnsi="Palatino Linotype" w:cs="Palatino Linotype"/>
          <w:b/>
        </w:rPr>
      </w:pPr>
      <w:r w:rsidRPr="00A3565D">
        <w:rPr>
          <w:noProof/>
        </w:rPr>
        <w:drawing>
          <wp:inline distT="0" distB="0" distL="0" distR="0">
            <wp:extent cx="4124325" cy="1000125"/>
            <wp:effectExtent l="0" t="0" r="0" b="0"/>
            <wp:docPr id="8610319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l="14086" t="35606" r="12423" b="32710"/>
                    <a:stretch>
                      <a:fillRect/>
                    </a:stretch>
                  </pic:blipFill>
                  <pic:spPr>
                    <a:xfrm>
                      <a:off x="0" y="0"/>
                      <a:ext cx="4124325" cy="1000125"/>
                    </a:xfrm>
                    <a:prstGeom prst="rect">
                      <a:avLst/>
                    </a:prstGeom>
                    <a:ln/>
                  </pic:spPr>
                </pic:pic>
              </a:graphicData>
            </a:graphic>
          </wp:inline>
        </w:drawing>
      </w:r>
    </w:p>
    <w:p w:rsidR="00E810BA" w:rsidRPr="00A3565D" w:rsidRDefault="00E810BA">
      <w:pPr>
        <w:spacing w:line="360" w:lineRule="auto"/>
        <w:ind w:right="49"/>
        <w:jc w:val="both"/>
        <w:rPr>
          <w:rFonts w:ascii="Palatino Linotype" w:eastAsia="Palatino Linotype" w:hAnsi="Palatino Linotype" w:cs="Palatino Linotype"/>
        </w:rPr>
      </w:pPr>
    </w:p>
    <w:p w:rsidR="00E810BA" w:rsidRPr="00A3565D" w:rsidRDefault="008F4367">
      <w:pPr>
        <w:widowControl w:val="0"/>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b/>
        </w:rPr>
        <w:t>7. Ampliación del plazo para emitir resolución.</w:t>
      </w:r>
      <w:r w:rsidRPr="00A3565D">
        <w:rPr>
          <w:rFonts w:ascii="Palatino Linotype" w:eastAsia="Palatino Linotype" w:hAnsi="Palatino Linotype" w:cs="Palatino Linotype"/>
        </w:rPr>
        <w:t xml:space="preserve"> El </w:t>
      </w:r>
      <w:r w:rsidRPr="00A3565D">
        <w:rPr>
          <w:rFonts w:ascii="Palatino Linotype" w:eastAsia="Palatino Linotype" w:hAnsi="Palatino Linotype" w:cs="Palatino Linotype"/>
          <w:b/>
        </w:rPr>
        <w:t xml:space="preserve">cinco de octubre de dos mil </w:t>
      </w:r>
      <w:r w:rsidRPr="00A3565D">
        <w:rPr>
          <w:rFonts w:ascii="Palatino Linotype" w:eastAsia="Palatino Linotype" w:hAnsi="Palatino Linotype" w:cs="Palatino Linotype"/>
          <w:b/>
        </w:rPr>
        <w:lastRenderedPageBreak/>
        <w:t>veintitrés,</w:t>
      </w:r>
      <w:r w:rsidRPr="00A3565D">
        <w:rPr>
          <w:rFonts w:ascii="Palatino Linotype" w:eastAsia="Palatino Linotype" w:hAnsi="Palatino Linotype" w:cs="Palatino Linotype"/>
        </w:rPr>
        <w:t xml:space="preserve"> fue cuando este Instituto de Transparencia, Acceso a la Información Pública y Protección de Datos Personales del Estado de México y Municipios, con fundamento en el artículo 181, párrafo tercero, de la Ley de Transparencia y Acceso a la Información Pública del Estado de México y Municipios, determinó ampliar el plazo para emitir la presente resolución.</w:t>
      </w:r>
    </w:p>
    <w:p w:rsidR="00E810BA" w:rsidRPr="00A3565D" w:rsidRDefault="00E810BA">
      <w:pPr>
        <w:widowControl w:val="0"/>
        <w:spacing w:line="360" w:lineRule="auto"/>
        <w:jc w:val="both"/>
        <w:rPr>
          <w:rFonts w:ascii="Palatino Linotype" w:eastAsia="Palatino Linotype" w:hAnsi="Palatino Linotype" w:cs="Palatino Linotype"/>
        </w:rPr>
      </w:pPr>
    </w:p>
    <w:p w:rsidR="00E810BA" w:rsidRPr="00A3565D" w:rsidRDefault="008F4367">
      <w:pPr>
        <w:widowControl w:val="0"/>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impugnación.</w:t>
      </w:r>
    </w:p>
    <w:p w:rsidR="00E810BA" w:rsidRPr="00A3565D" w:rsidRDefault="00E810BA">
      <w:pPr>
        <w:widowControl w:val="0"/>
        <w:spacing w:line="360" w:lineRule="auto"/>
        <w:jc w:val="both"/>
        <w:rPr>
          <w:rFonts w:ascii="Palatino Linotype" w:eastAsia="Palatino Linotype" w:hAnsi="Palatino Linotype" w:cs="Palatino Linotype"/>
        </w:rPr>
      </w:pPr>
    </w:p>
    <w:p w:rsidR="00E810BA" w:rsidRPr="00A3565D" w:rsidRDefault="008F4367">
      <w:pPr>
        <w:widowControl w:val="0"/>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E810BA" w:rsidRPr="00A3565D" w:rsidRDefault="00E810BA">
      <w:pPr>
        <w:widowControl w:val="0"/>
        <w:spacing w:line="360" w:lineRule="auto"/>
        <w:jc w:val="both"/>
        <w:rPr>
          <w:rFonts w:ascii="Palatino Linotype" w:eastAsia="Palatino Linotype" w:hAnsi="Palatino Linotype" w:cs="Palatino Linotype"/>
        </w:rPr>
      </w:pPr>
    </w:p>
    <w:p w:rsidR="00E810BA" w:rsidRPr="00A3565D" w:rsidRDefault="008F4367">
      <w:pPr>
        <w:widowControl w:val="0"/>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en el menor tiempo posible, tomando en consideración la dilación total del </w:t>
      </w:r>
      <w:r w:rsidRPr="00A3565D">
        <w:rPr>
          <w:rFonts w:ascii="Palatino Linotype" w:eastAsia="Palatino Linotype" w:hAnsi="Palatino Linotype" w:cs="Palatino Linotype"/>
        </w:rPr>
        <w:lastRenderedPageBreak/>
        <w:t>procedimiento; esto es, en un plazo razonable.</w:t>
      </w:r>
    </w:p>
    <w:p w:rsidR="00E810BA" w:rsidRPr="00A3565D" w:rsidRDefault="00E810BA">
      <w:pPr>
        <w:widowControl w:val="0"/>
        <w:spacing w:line="360" w:lineRule="auto"/>
        <w:jc w:val="both"/>
        <w:rPr>
          <w:rFonts w:ascii="Palatino Linotype" w:eastAsia="Palatino Linotype" w:hAnsi="Palatino Linotype" w:cs="Palatino Linotype"/>
        </w:rPr>
      </w:pPr>
    </w:p>
    <w:p w:rsidR="00E810BA" w:rsidRPr="00A3565D" w:rsidRDefault="008F4367">
      <w:pPr>
        <w:widowControl w:val="0"/>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E810BA" w:rsidRPr="00A3565D" w:rsidRDefault="00E810BA">
      <w:pPr>
        <w:widowControl w:val="0"/>
        <w:spacing w:line="360" w:lineRule="auto"/>
        <w:jc w:val="both"/>
        <w:rPr>
          <w:rFonts w:ascii="Palatino Linotype" w:eastAsia="Palatino Linotype" w:hAnsi="Palatino Linotype" w:cs="Palatino Linotype"/>
        </w:rPr>
      </w:pPr>
    </w:p>
    <w:p w:rsidR="00E810BA" w:rsidRPr="00A3565D" w:rsidRDefault="008F4367">
      <w:pPr>
        <w:widowControl w:val="0"/>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E810BA" w:rsidRPr="00A3565D" w:rsidRDefault="00E810BA">
      <w:pPr>
        <w:widowControl w:val="0"/>
        <w:spacing w:line="360" w:lineRule="auto"/>
        <w:jc w:val="both"/>
        <w:rPr>
          <w:rFonts w:ascii="Palatino Linotype" w:eastAsia="Palatino Linotype" w:hAnsi="Palatino Linotype" w:cs="Palatino Linotype"/>
        </w:rPr>
      </w:pPr>
    </w:p>
    <w:p w:rsidR="00E810BA" w:rsidRPr="00A3565D" w:rsidRDefault="008F4367">
      <w:pPr>
        <w:widowControl w:val="0"/>
        <w:numPr>
          <w:ilvl w:val="0"/>
          <w:numId w:val="7"/>
        </w:num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b/>
        </w:rPr>
        <w:t xml:space="preserve">Complejidad del Asunto: </w:t>
      </w:r>
      <w:r w:rsidRPr="00A3565D">
        <w:rPr>
          <w:rFonts w:ascii="Palatino Linotype" w:eastAsia="Palatino Linotype" w:hAnsi="Palatino Linotype" w:cs="Palatino Linotype"/>
        </w:rPr>
        <w:t xml:space="preserve">La complejidad de la prueba, la pluralidad de sujetos procesales, el tiempo transcurrido, las características y contexto del recurso. </w:t>
      </w:r>
    </w:p>
    <w:p w:rsidR="00E810BA" w:rsidRPr="00A3565D" w:rsidRDefault="008F4367">
      <w:pPr>
        <w:widowControl w:val="0"/>
        <w:numPr>
          <w:ilvl w:val="0"/>
          <w:numId w:val="7"/>
        </w:num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b/>
        </w:rPr>
        <w:t>Actividad Procesal del interesado:</w:t>
      </w:r>
      <w:r w:rsidRPr="00A3565D">
        <w:rPr>
          <w:rFonts w:ascii="Palatino Linotype" w:eastAsia="Palatino Linotype" w:hAnsi="Palatino Linotype" w:cs="Palatino Linotype"/>
        </w:rPr>
        <w:t xml:space="preserve"> Acciones u omisiones del interesado.</w:t>
      </w:r>
    </w:p>
    <w:p w:rsidR="00E810BA" w:rsidRPr="00A3565D" w:rsidRDefault="008F4367">
      <w:pPr>
        <w:widowControl w:val="0"/>
        <w:numPr>
          <w:ilvl w:val="0"/>
          <w:numId w:val="7"/>
        </w:num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b/>
        </w:rPr>
        <w:t>Conducta de la Autoridad:</w:t>
      </w:r>
      <w:r w:rsidRPr="00A3565D">
        <w:rPr>
          <w:rFonts w:ascii="Palatino Linotype" w:eastAsia="Palatino Linotype" w:hAnsi="Palatino Linotype" w:cs="Palatino Linotype"/>
        </w:rPr>
        <w:t xml:space="preserve"> Las Acciones u omisiones realizadas en el procedimiento. Así como si la autoridad actuó con la debida diligencia.</w:t>
      </w:r>
    </w:p>
    <w:p w:rsidR="00E810BA" w:rsidRPr="00A3565D" w:rsidRDefault="008F4367">
      <w:pPr>
        <w:widowControl w:val="0"/>
        <w:numPr>
          <w:ilvl w:val="0"/>
          <w:numId w:val="7"/>
        </w:num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b/>
        </w:rPr>
        <w:t>La afectación generada en la situación jurídica de la persona involucrada en el proceso:</w:t>
      </w:r>
      <w:r w:rsidRPr="00A3565D">
        <w:rPr>
          <w:rFonts w:ascii="Palatino Linotype" w:eastAsia="Palatino Linotype" w:hAnsi="Palatino Linotype" w:cs="Palatino Linotype"/>
        </w:rPr>
        <w:t xml:space="preserve"> Violación a sus derechos humanos.</w:t>
      </w:r>
    </w:p>
    <w:p w:rsidR="00E810BA" w:rsidRPr="00A3565D" w:rsidRDefault="00E810BA">
      <w:pPr>
        <w:widowControl w:val="0"/>
        <w:spacing w:line="360" w:lineRule="auto"/>
        <w:jc w:val="both"/>
        <w:rPr>
          <w:rFonts w:ascii="Palatino Linotype" w:eastAsia="Palatino Linotype" w:hAnsi="Palatino Linotype" w:cs="Palatino Linotype"/>
        </w:rPr>
      </w:pPr>
    </w:p>
    <w:p w:rsidR="00E810BA" w:rsidRPr="00A3565D" w:rsidRDefault="008F4367">
      <w:pPr>
        <w:widowControl w:val="0"/>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A3565D">
        <w:rPr>
          <w:rFonts w:ascii="Palatino Linotype" w:eastAsia="Palatino Linotype" w:hAnsi="Palatino Linotype" w:cs="Palatino Linotype"/>
        </w:rPr>
        <w:lastRenderedPageBreak/>
        <w:t>relación con la actuación del funcionario, como ha acontecido en el caso que nos ocupa.</w:t>
      </w:r>
    </w:p>
    <w:p w:rsidR="00E810BA" w:rsidRPr="00A3565D" w:rsidRDefault="00E810BA">
      <w:pPr>
        <w:widowControl w:val="0"/>
        <w:spacing w:line="360" w:lineRule="auto"/>
        <w:jc w:val="both"/>
        <w:rPr>
          <w:rFonts w:ascii="Palatino Linotype" w:eastAsia="Palatino Linotype" w:hAnsi="Palatino Linotype" w:cs="Palatino Linotype"/>
        </w:rPr>
      </w:pPr>
    </w:p>
    <w:p w:rsidR="00E810BA" w:rsidRPr="00A3565D" w:rsidRDefault="008F4367">
      <w:pPr>
        <w:widowControl w:val="0"/>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Argumento que encuentra sustento en la jurisprudencia P</w:t>
      </w:r>
      <w:proofErr w:type="gramStart"/>
      <w:r w:rsidRPr="00A3565D">
        <w:rPr>
          <w:rFonts w:ascii="Palatino Linotype" w:eastAsia="Palatino Linotype" w:hAnsi="Palatino Linotype" w:cs="Palatino Linotype"/>
        </w:rPr>
        <w:t>./</w:t>
      </w:r>
      <w:proofErr w:type="gramEnd"/>
      <w:r w:rsidRPr="00A3565D">
        <w:rPr>
          <w:rFonts w:ascii="Palatino Linotype" w:eastAsia="Palatino Linotype" w:hAnsi="Palatino Linotype" w:cs="Palatino Linotype"/>
        </w:rPr>
        <w:t xml:space="preserve">J. 32/92 emitida por el Pleno de la Suprema Corte de Justicia de la Nación de rubro </w:t>
      </w:r>
      <w:r w:rsidRPr="00A3565D">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sidRPr="00A3565D">
        <w:rPr>
          <w:rFonts w:ascii="Palatino Linotype" w:eastAsia="Palatino Linotype" w:hAnsi="Palatino Linotype" w:cs="Palatino Linotype"/>
          <w:b/>
        </w:rPr>
        <w:t>,</w:t>
      </w:r>
      <w:r w:rsidRPr="00A3565D">
        <w:rPr>
          <w:rFonts w:ascii="Palatino Linotype" w:eastAsia="Palatino Linotype" w:hAnsi="Palatino Linotype" w:cs="Palatino Linotype"/>
        </w:rPr>
        <w:t xml:space="preserve"> visible en la Gaceta del Seminario Judicial de la Federación con el registro digital 205635.</w:t>
      </w:r>
    </w:p>
    <w:p w:rsidR="00E810BA" w:rsidRPr="00A3565D" w:rsidRDefault="00E810BA">
      <w:pPr>
        <w:widowControl w:val="0"/>
        <w:spacing w:line="360" w:lineRule="auto"/>
        <w:jc w:val="both"/>
        <w:rPr>
          <w:rFonts w:ascii="Palatino Linotype" w:eastAsia="Palatino Linotype" w:hAnsi="Palatino Linotype" w:cs="Palatino Linotype"/>
        </w:rPr>
      </w:pPr>
    </w:p>
    <w:p w:rsidR="00E810BA" w:rsidRPr="00A3565D" w:rsidRDefault="008F4367">
      <w:pPr>
        <w:widowControl w:val="0"/>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E810BA" w:rsidRPr="00A3565D" w:rsidRDefault="00E810BA">
      <w:pPr>
        <w:widowControl w:val="0"/>
        <w:spacing w:line="360" w:lineRule="auto"/>
        <w:jc w:val="both"/>
        <w:rPr>
          <w:rFonts w:ascii="Palatino Linotype" w:eastAsia="Palatino Linotype" w:hAnsi="Palatino Linotype" w:cs="Palatino Linotype"/>
        </w:rPr>
      </w:pPr>
    </w:p>
    <w:p w:rsidR="00E810BA" w:rsidRPr="00A3565D" w:rsidRDefault="008F4367">
      <w:pPr>
        <w:widowControl w:val="0"/>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Al respecto, también son de considerar los criterios sostenidos por el Cuarto Tribunal Colegiado en Materia Administrativa del Primer Circuito, cuyos rubros y </w:t>
      </w:r>
      <w:r w:rsidRPr="00A3565D">
        <w:rPr>
          <w:rFonts w:ascii="Palatino Linotype" w:eastAsia="Palatino Linotype" w:hAnsi="Palatino Linotype" w:cs="Palatino Linotype"/>
        </w:rPr>
        <w:lastRenderedPageBreak/>
        <w:t>datos de identificación son los siguientes:</w:t>
      </w:r>
    </w:p>
    <w:p w:rsidR="00E810BA" w:rsidRPr="00A3565D" w:rsidRDefault="00E810BA">
      <w:pPr>
        <w:widowControl w:val="0"/>
        <w:spacing w:line="360" w:lineRule="auto"/>
        <w:jc w:val="both"/>
        <w:rPr>
          <w:rFonts w:ascii="Palatino Linotype" w:eastAsia="Palatino Linotype" w:hAnsi="Palatino Linotype" w:cs="Palatino Linotype"/>
        </w:rPr>
      </w:pPr>
    </w:p>
    <w:p w:rsidR="00E810BA" w:rsidRPr="00A3565D" w:rsidRDefault="008F4367">
      <w:pPr>
        <w:widowControl w:val="0"/>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b/>
          <w:i/>
        </w:rPr>
        <w:t>“PLAZO RAZONABLE PARA RESOLVER. DIMENSIÓN Y EFECTOS DE ESTE CONCEPTO CUANDO SE ADUCE EXCESIVA CARGA DE TRABAJO.”</w:t>
      </w:r>
      <w:r w:rsidRPr="00A3565D">
        <w:rPr>
          <w:rFonts w:ascii="Palatino Linotype" w:eastAsia="Palatino Linotype" w:hAnsi="Palatino Linotype" w:cs="Palatino Linotype"/>
        </w:rPr>
        <w:t xml:space="preserve"> consultable en el Seminario Judicial de la Federación y su gaceta, con el registro digital 2002351.</w:t>
      </w:r>
    </w:p>
    <w:p w:rsidR="00E810BA" w:rsidRPr="00A3565D" w:rsidRDefault="00E810BA">
      <w:pPr>
        <w:widowControl w:val="0"/>
        <w:spacing w:line="360" w:lineRule="auto"/>
        <w:jc w:val="both"/>
        <w:rPr>
          <w:rFonts w:ascii="Palatino Linotype" w:eastAsia="Palatino Linotype" w:hAnsi="Palatino Linotype" w:cs="Palatino Linotype"/>
        </w:rPr>
      </w:pPr>
    </w:p>
    <w:p w:rsidR="00E810BA" w:rsidRPr="00A3565D" w:rsidRDefault="008F4367">
      <w:pPr>
        <w:widowControl w:val="0"/>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b/>
          <w:i/>
        </w:rPr>
        <w:t>“PLAZO RAZONABLE PARA RESOLVER. CONCEPTO Y ELEMENTOS QUE LO INTEGRAN A LA LUZ DEL DERECHO INTERNACIONAL DE LOS DERECHOS HUMANOS.”</w:t>
      </w:r>
      <w:r w:rsidRPr="00A3565D">
        <w:rPr>
          <w:rFonts w:ascii="Palatino Linotype" w:eastAsia="Palatino Linotype" w:hAnsi="Palatino Linotype" w:cs="Palatino Linotype"/>
          <w:b/>
        </w:rPr>
        <w:t>,</w:t>
      </w:r>
      <w:r w:rsidRPr="00A3565D">
        <w:rPr>
          <w:rFonts w:ascii="Palatino Linotype" w:eastAsia="Palatino Linotype" w:hAnsi="Palatino Linotype" w:cs="Palatino Linotype"/>
        </w:rPr>
        <w:t xml:space="preserve"> visible en el Seminario Judicial de la Federación y su gaceta, con el registro digital 2002350.</w:t>
      </w:r>
    </w:p>
    <w:p w:rsidR="00E810BA" w:rsidRPr="00A3565D" w:rsidRDefault="00E810BA">
      <w:pPr>
        <w:widowControl w:val="0"/>
        <w:spacing w:line="360" w:lineRule="auto"/>
        <w:jc w:val="both"/>
        <w:rPr>
          <w:rFonts w:ascii="Palatino Linotype" w:eastAsia="Palatino Linotype" w:hAnsi="Palatino Linotype" w:cs="Palatino Linotype"/>
        </w:rPr>
      </w:pPr>
    </w:p>
    <w:p w:rsidR="00E810BA" w:rsidRPr="00A3565D" w:rsidRDefault="008F4367">
      <w:pPr>
        <w:widowControl w:val="0"/>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E810BA" w:rsidRPr="00A3565D" w:rsidRDefault="00E810BA">
      <w:pPr>
        <w:spacing w:line="360" w:lineRule="auto"/>
        <w:ind w:right="49"/>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b/>
        </w:rPr>
        <w:t xml:space="preserve">8. Cierre de instrucción. </w:t>
      </w:r>
      <w:r w:rsidRPr="00A3565D">
        <w:rPr>
          <w:rFonts w:ascii="Palatino Linotype" w:eastAsia="Palatino Linotype" w:hAnsi="Palatino Linotype" w:cs="Palatino Linotype"/>
        </w:rPr>
        <w:t>Una vez transcurrido el periodo otorgado a las partes para realizar sus manifestaciones y no habiendo documentos que integrar al expediente, con fecha</w:t>
      </w:r>
      <w:r w:rsidRPr="00A3565D">
        <w:rPr>
          <w:rFonts w:ascii="Palatino Linotype" w:eastAsia="Palatino Linotype" w:hAnsi="Palatino Linotype" w:cs="Palatino Linotype"/>
          <w:b/>
        </w:rPr>
        <w:t xml:space="preserve"> cinco de octubre de dos mil veintitrés</w:t>
      </w:r>
      <w:r w:rsidRPr="00A3565D">
        <w:rPr>
          <w:rFonts w:ascii="Palatino Linotype" w:eastAsia="Palatino Linotype" w:hAnsi="Palatino Linotype" w:cs="Palatino Linotype"/>
        </w:rPr>
        <w:t xml:space="preserve">, la </w:t>
      </w:r>
      <w:r w:rsidRPr="00A3565D">
        <w:rPr>
          <w:rFonts w:ascii="Palatino Linotype" w:eastAsia="Palatino Linotype" w:hAnsi="Palatino Linotype" w:cs="Palatino Linotype"/>
          <w:b/>
        </w:rPr>
        <w:t>Comisionada Ponente</w:t>
      </w:r>
      <w:r w:rsidRPr="00A3565D">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rsidR="00E810BA" w:rsidRPr="00A3565D" w:rsidRDefault="00E810BA">
      <w:pPr>
        <w:spacing w:line="360" w:lineRule="auto"/>
        <w:jc w:val="both"/>
        <w:rPr>
          <w:rFonts w:ascii="Palatino Linotype" w:eastAsia="Palatino Linotype" w:hAnsi="Palatino Linotype" w:cs="Palatino Linotype"/>
          <w:b/>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lastRenderedPageBreak/>
        <w:t>En razón de que fue debidamente sustanciado el expediente electrónico y no existe diligencia pendiente de desahogo, se emite la Resolución que conforme a Derecho proceda, y</w:t>
      </w:r>
    </w:p>
    <w:p w:rsidR="00E810BA" w:rsidRPr="00A3565D" w:rsidRDefault="00E810BA">
      <w:pPr>
        <w:spacing w:line="360" w:lineRule="auto"/>
        <w:jc w:val="both"/>
        <w:rPr>
          <w:rFonts w:ascii="Palatino Linotype" w:eastAsia="Palatino Linotype" w:hAnsi="Palatino Linotype" w:cs="Palatino Linotype"/>
          <w:sz w:val="22"/>
          <w:szCs w:val="22"/>
        </w:rPr>
      </w:pPr>
    </w:p>
    <w:p w:rsidR="00E810BA" w:rsidRPr="00A3565D" w:rsidRDefault="008F4367">
      <w:pPr>
        <w:widowControl w:val="0"/>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rPr>
      </w:pPr>
      <w:r w:rsidRPr="00A3565D">
        <w:rPr>
          <w:rFonts w:ascii="Palatino Linotype" w:eastAsia="Palatino Linotype" w:hAnsi="Palatino Linotype" w:cs="Palatino Linotype"/>
          <w:b/>
        </w:rPr>
        <w:t>C O N S I D E R A N D O:</w:t>
      </w:r>
    </w:p>
    <w:p w:rsidR="00E810BA" w:rsidRPr="00A3565D" w:rsidRDefault="00E810BA">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b/>
        </w:rPr>
        <w:t>PRIMERO. COMPETENCIA.</w:t>
      </w:r>
      <w:r w:rsidRPr="00A3565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A3565D">
        <w:rPr>
          <w:rFonts w:ascii="Palatino Linotype" w:eastAsia="Palatino Linotype" w:hAnsi="Palatino Linotype" w:cs="Palatino Linotype"/>
          <w:b/>
        </w:rPr>
        <w:t>LA PARTE RECURRENTE</w:t>
      </w:r>
      <w:r w:rsidRPr="00A3565D">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b/>
        </w:rPr>
        <w:t>SEGUNDO. OPORTUNIDAD Y PROCEDIBILIDAD DEL RECURSO DE REVISIÓN</w:t>
      </w:r>
      <w:r w:rsidRPr="00A3565D">
        <w:rPr>
          <w:rFonts w:ascii="Palatino Linotype" w:eastAsia="Palatino Linotype" w:hAnsi="Palatino Linotype" w:cs="Palatino Linotype"/>
        </w:rPr>
        <w:t xml:space="preserve">. Previo al estudio del fondo del asunto, se procede a analizar los requisitos de oportunidad y </w:t>
      </w:r>
      <w:proofErr w:type="spellStart"/>
      <w:r w:rsidRPr="00A3565D">
        <w:rPr>
          <w:rFonts w:ascii="Palatino Linotype" w:eastAsia="Palatino Linotype" w:hAnsi="Palatino Linotype" w:cs="Palatino Linotype"/>
        </w:rPr>
        <w:t>procedibilidad</w:t>
      </w:r>
      <w:proofErr w:type="spellEnd"/>
      <w:r w:rsidRPr="00A3565D">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b/>
        </w:rPr>
      </w:pPr>
      <w:r w:rsidRPr="00A3565D">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A3565D">
        <w:rPr>
          <w:rFonts w:ascii="Palatino Linotype" w:eastAsia="Palatino Linotype" w:hAnsi="Palatino Linotype" w:cs="Palatino Linotype"/>
          <w:b/>
        </w:rPr>
        <w:t>EL SUJETO OBLIGADO</w:t>
      </w:r>
      <w:r w:rsidRPr="00A3565D">
        <w:rPr>
          <w:rFonts w:ascii="Palatino Linotype" w:eastAsia="Palatino Linotype" w:hAnsi="Palatino Linotype" w:cs="Palatino Linotype"/>
        </w:rPr>
        <w:t xml:space="preserve"> respondió a la solicitud de información el </w:t>
      </w:r>
      <w:r w:rsidRPr="00A3565D">
        <w:rPr>
          <w:rFonts w:ascii="Palatino Linotype" w:eastAsia="Palatino Linotype" w:hAnsi="Palatino Linotype" w:cs="Palatino Linotype"/>
          <w:b/>
        </w:rPr>
        <w:t xml:space="preserve">nueve de junio de dos mil veintitrés, </w:t>
      </w:r>
      <w:r w:rsidRPr="00A3565D">
        <w:rPr>
          <w:rFonts w:ascii="Palatino Linotype" w:eastAsia="Palatino Linotype" w:hAnsi="Palatino Linotype" w:cs="Palatino Linotype"/>
        </w:rPr>
        <w:t xml:space="preserve">mientras que el recurso de revisión se interpuso el </w:t>
      </w:r>
      <w:r w:rsidRPr="00A3565D">
        <w:rPr>
          <w:rFonts w:ascii="Palatino Linotype" w:eastAsia="Palatino Linotype" w:hAnsi="Palatino Linotype" w:cs="Palatino Linotype"/>
          <w:b/>
        </w:rPr>
        <w:t>doce de junio de dos mil veintitrés</w:t>
      </w:r>
      <w:r w:rsidRPr="00A3565D">
        <w:rPr>
          <w:rFonts w:ascii="Palatino Linotype" w:eastAsia="Palatino Linotype" w:hAnsi="Palatino Linotype" w:cs="Palatino Linotype"/>
        </w:rPr>
        <w:t xml:space="preserve">, esto es, al </w:t>
      </w:r>
      <w:r w:rsidRPr="00A3565D">
        <w:rPr>
          <w:rFonts w:ascii="Palatino Linotype" w:eastAsia="Palatino Linotype" w:hAnsi="Palatino Linotype" w:cs="Palatino Linotype"/>
          <w:b/>
        </w:rPr>
        <w:t>primer día hábil</w:t>
      </w:r>
      <w:r w:rsidRPr="00A3565D">
        <w:rPr>
          <w:rFonts w:ascii="Palatino Linotype" w:eastAsia="Palatino Linotype" w:hAnsi="Palatino Linotype" w:cs="Palatino Linotype"/>
        </w:rPr>
        <w:t xml:space="preserve"> posterior en que tuvo conocimiento de la respuesta impugnada.</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Al mismo tiempo, por cuanto hace a la </w:t>
      </w:r>
      <w:proofErr w:type="spellStart"/>
      <w:r w:rsidRPr="00A3565D">
        <w:rPr>
          <w:rFonts w:ascii="Palatino Linotype" w:eastAsia="Palatino Linotype" w:hAnsi="Palatino Linotype" w:cs="Palatino Linotype"/>
        </w:rPr>
        <w:t>procedibilidad</w:t>
      </w:r>
      <w:proofErr w:type="spellEnd"/>
      <w:r w:rsidRPr="00A3565D">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A efecto de sustentar lo anterior, es de suma importancia mencionar que si bien </w:t>
      </w:r>
      <w:r w:rsidRPr="00A3565D">
        <w:rPr>
          <w:rFonts w:ascii="Palatino Linotype" w:eastAsia="Palatino Linotype" w:hAnsi="Palatino Linotype" w:cs="Palatino Linotype"/>
          <w:b/>
        </w:rPr>
        <w:t>LA PARTE RECURRENTE</w:t>
      </w:r>
      <w:r w:rsidRPr="00A3565D">
        <w:rPr>
          <w:rFonts w:ascii="Palatino Linotype" w:eastAsia="Palatino Linotype" w:hAnsi="Palatino Linotype" w:cs="Palatino Linotype"/>
        </w:rPr>
        <w:t xml:space="preserve"> no proporcionó nombre o seudónimo para ser identificada</w:t>
      </w:r>
      <w:r w:rsidRPr="00A3565D">
        <w:rPr>
          <w:rFonts w:ascii="Palatino Linotype" w:eastAsia="Palatino Linotype" w:hAnsi="Palatino Linotype" w:cs="Palatino Linotype"/>
          <w:b/>
        </w:rPr>
        <w:t xml:space="preserve"> </w:t>
      </w:r>
      <w:r w:rsidRPr="00A3565D">
        <w:rPr>
          <w:rFonts w:ascii="Palatino Linotype" w:eastAsia="Palatino Linotype" w:hAnsi="Palatino Linotype" w:cs="Palatino Linotype"/>
        </w:rPr>
        <w:t>como se advierte en el detalle de seguimiento del SAIMEX, sin embargo, el no proporcionarlo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E810BA" w:rsidRPr="00A3565D" w:rsidRDefault="00E810BA">
      <w:pPr>
        <w:pBdr>
          <w:top w:val="nil"/>
          <w:left w:val="nil"/>
          <w:bottom w:val="nil"/>
          <w:right w:val="nil"/>
          <w:between w:val="nil"/>
        </w:pBdr>
        <w:ind w:left="864" w:right="864"/>
        <w:jc w:val="both"/>
        <w:rPr>
          <w:rFonts w:ascii="Palatino Linotype" w:eastAsia="Palatino Linotype" w:hAnsi="Palatino Linotype" w:cs="Palatino Linotype"/>
          <w:i/>
        </w:rPr>
      </w:pP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Las solicitudes anónimas</w:t>
      </w:r>
      <w:r w:rsidRPr="00A3565D">
        <w:rPr>
          <w:rFonts w:ascii="Palatino Linotype" w:eastAsia="Palatino Linotype" w:hAnsi="Palatino Linotype" w:cs="Palatino Linotype"/>
          <w:i/>
          <w:sz w:val="22"/>
          <w:szCs w:val="22"/>
        </w:rPr>
        <w:t xml:space="preserve">, con nombre incompleto o seudónimo </w:t>
      </w:r>
      <w:r w:rsidRPr="00A3565D">
        <w:rPr>
          <w:rFonts w:ascii="Palatino Linotype" w:eastAsia="Palatino Linotype" w:hAnsi="Palatino Linotype" w:cs="Palatino Linotype"/>
          <w:b/>
          <w:i/>
          <w:sz w:val="22"/>
          <w:szCs w:val="22"/>
        </w:rPr>
        <w:t xml:space="preserve">serán procedentes para su trámite por parte del sujeto obligado ante quien se </w:t>
      </w:r>
      <w:r w:rsidRPr="00A3565D">
        <w:rPr>
          <w:rFonts w:ascii="Palatino Linotype" w:eastAsia="Palatino Linotype" w:hAnsi="Palatino Linotype" w:cs="Palatino Linotype"/>
          <w:b/>
          <w:i/>
          <w:sz w:val="22"/>
          <w:szCs w:val="22"/>
        </w:rPr>
        <w:lastRenderedPageBreak/>
        <w:t>presente</w:t>
      </w:r>
      <w:r w:rsidRPr="00A3565D">
        <w:rPr>
          <w:rFonts w:ascii="Palatino Linotype" w:eastAsia="Palatino Linotype" w:hAnsi="Palatino Linotype" w:cs="Palatino Linotype"/>
          <w:i/>
          <w:sz w:val="22"/>
          <w:szCs w:val="22"/>
        </w:rPr>
        <w:t>. No podrá requerirse información adicional con motivo del nombre proporcionado por el solicitante.</w:t>
      </w:r>
    </w:p>
    <w:p w:rsidR="00E810BA" w:rsidRPr="00A3565D" w:rsidRDefault="00E810BA">
      <w:pPr>
        <w:pBdr>
          <w:top w:val="nil"/>
          <w:left w:val="nil"/>
          <w:bottom w:val="nil"/>
          <w:right w:val="nil"/>
          <w:between w:val="nil"/>
        </w:pBdr>
        <w:ind w:left="864" w:right="864"/>
        <w:jc w:val="both"/>
        <w:rPr>
          <w:rFonts w:ascii="Palatino Linotype" w:eastAsia="Palatino Linotype" w:hAnsi="Palatino Linotype" w:cs="Palatino Linotype"/>
          <w:i/>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o seudónimo de </w:t>
      </w:r>
      <w:r w:rsidRPr="00A3565D">
        <w:rPr>
          <w:rFonts w:ascii="Palatino Linotype" w:eastAsia="Palatino Linotype" w:hAnsi="Palatino Linotype" w:cs="Palatino Linotype"/>
          <w:b/>
        </w:rPr>
        <w:t>LA PARTE RECURRENTE,</w:t>
      </w:r>
      <w:r w:rsidRPr="00A3565D">
        <w:rPr>
          <w:rFonts w:ascii="Palatino Linotype" w:eastAsia="Palatino Linotype" w:hAnsi="Palatino Linotype" w:cs="Palatino Linotype"/>
        </w:rPr>
        <w:t xml:space="preserve"> por lo que, en el presente caso, al haber sido presentado el recurso de revisión vía SAIMEX, dicho requisito resulta innecesario.</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Asimismo, por cuanto hace a la </w:t>
      </w:r>
      <w:proofErr w:type="spellStart"/>
      <w:r w:rsidRPr="00A3565D">
        <w:rPr>
          <w:rFonts w:ascii="Palatino Linotype" w:eastAsia="Palatino Linotype" w:hAnsi="Palatino Linotype" w:cs="Palatino Linotype"/>
        </w:rPr>
        <w:t>procedibilidad</w:t>
      </w:r>
      <w:proofErr w:type="spellEnd"/>
      <w:r w:rsidRPr="00A3565D">
        <w:rPr>
          <w:rFonts w:ascii="Palatino Linotype" w:eastAsia="Palatino Linotype" w:hAnsi="Palatino Linotype" w:cs="Palatino Linotype"/>
        </w:rPr>
        <w:t xml:space="preserve"> del recurso de revisión, es de suma importancia señalar que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Finalmente, se advierte que resulta procedente la interposición del recurso, según lo manifestado por el recurrente en sus motivos de inconformidad, de acuerdo a las fracciones V, VIII y X del artículo 179 del ordenamiento legal citado, que a la letra dicen: </w:t>
      </w:r>
    </w:p>
    <w:p w:rsidR="00E810BA" w:rsidRPr="00A3565D" w:rsidRDefault="00E810BA">
      <w:pPr>
        <w:jc w:val="both"/>
        <w:rPr>
          <w:rFonts w:ascii="Palatino Linotype" w:eastAsia="Palatino Linotype" w:hAnsi="Palatino Linotype" w:cs="Palatino Linotype"/>
        </w:rPr>
      </w:pP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Artículo 179.</w:t>
      </w:r>
      <w:r w:rsidRPr="00A3565D">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A3565D">
        <w:rPr>
          <w:rFonts w:ascii="Palatino Linotype" w:eastAsia="Palatino Linotype" w:hAnsi="Palatino Linotype" w:cs="Palatino Linotype"/>
          <w:b/>
          <w:i/>
          <w:sz w:val="22"/>
          <w:szCs w:val="22"/>
        </w:rPr>
        <w:t>(…)</w:t>
      </w: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A3565D">
        <w:rPr>
          <w:rFonts w:ascii="Palatino Linotype" w:eastAsia="Palatino Linotype" w:hAnsi="Palatino Linotype" w:cs="Palatino Linotype"/>
          <w:b/>
          <w:i/>
          <w:sz w:val="22"/>
          <w:szCs w:val="22"/>
        </w:rPr>
        <w:t>V. La entrega de información incompleta;</w:t>
      </w: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A3565D">
        <w:rPr>
          <w:rFonts w:ascii="Palatino Linotype" w:eastAsia="Palatino Linotype" w:hAnsi="Palatino Linotype" w:cs="Palatino Linotype"/>
          <w:b/>
          <w:i/>
          <w:sz w:val="22"/>
          <w:szCs w:val="22"/>
        </w:rPr>
        <w:t>(…)</w:t>
      </w: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A3565D">
        <w:rPr>
          <w:rFonts w:ascii="Palatino Linotype" w:eastAsia="Palatino Linotype" w:hAnsi="Palatino Linotype" w:cs="Palatino Linotype"/>
          <w:b/>
          <w:i/>
          <w:sz w:val="22"/>
          <w:szCs w:val="22"/>
        </w:rPr>
        <w:lastRenderedPageBreak/>
        <w:t xml:space="preserve">VIII. La notificación, entrega o puesta a disposición de información en una modalidad o formato distinto al solicitado; </w:t>
      </w: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A3565D">
        <w:rPr>
          <w:rFonts w:ascii="Palatino Linotype" w:eastAsia="Palatino Linotype" w:hAnsi="Palatino Linotype" w:cs="Palatino Linotype"/>
          <w:b/>
          <w:i/>
          <w:sz w:val="22"/>
          <w:szCs w:val="22"/>
        </w:rPr>
        <w:t>(…)</w:t>
      </w: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A3565D">
        <w:rPr>
          <w:rFonts w:ascii="Palatino Linotype" w:eastAsia="Palatino Linotype" w:hAnsi="Palatino Linotype" w:cs="Palatino Linotype"/>
          <w:b/>
          <w:i/>
          <w:sz w:val="22"/>
          <w:szCs w:val="22"/>
        </w:rPr>
        <w:t xml:space="preserve">X. Los costos o tiempos de entrega de la información; </w:t>
      </w: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A3565D">
        <w:rPr>
          <w:rFonts w:ascii="Palatino Linotype" w:eastAsia="Palatino Linotype" w:hAnsi="Palatino Linotype" w:cs="Palatino Linotype"/>
          <w:b/>
          <w:i/>
          <w:sz w:val="22"/>
          <w:szCs w:val="22"/>
        </w:rPr>
        <w:t>(…)</w:t>
      </w:r>
    </w:p>
    <w:p w:rsidR="00E810BA" w:rsidRPr="00A3565D" w:rsidRDefault="00E810B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b/>
        </w:rPr>
        <w:t xml:space="preserve">TERCERO. MATERIA DE LA REVISIÓN. </w:t>
      </w:r>
      <w:r w:rsidRPr="00A3565D">
        <w:rPr>
          <w:rFonts w:ascii="Palatino Linotype" w:eastAsia="Palatino Linotype" w:hAnsi="Palatino Linotype" w:cs="Palatino Linotype"/>
        </w:rPr>
        <w:t>De la revisión a las constancias y documentos que obran en el expediente electrónico se advierte, que el tema sobre el que este Órgano Garante se pronunciará será: verificar si la respuesta otorgada por</w:t>
      </w:r>
      <w:r w:rsidRPr="00A3565D">
        <w:rPr>
          <w:rFonts w:ascii="Palatino Linotype" w:eastAsia="Palatino Linotype" w:hAnsi="Palatino Linotype" w:cs="Palatino Linotype"/>
          <w:b/>
        </w:rPr>
        <w:t xml:space="preserve"> EL SUJETO OBLIGADO </w:t>
      </w:r>
      <w:r w:rsidRPr="00A3565D">
        <w:rPr>
          <w:rFonts w:ascii="Palatino Linotype" w:eastAsia="Palatino Linotype" w:hAnsi="Palatino Linotype" w:cs="Palatino Linotype"/>
        </w:rPr>
        <w:t>es adecuada y suficiente para satisfacer el Derecho de Acceso a la Información Pública</w:t>
      </w:r>
      <w:r w:rsidRPr="00A3565D">
        <w:rPr>
          <w:rFonts w:ascii="Palatino Linotype" w:eastAsia="Palatino Linotype" w:hAnsi="Palatino Linotype" w:cs="Palatino Linotype"/>
          <w:b/>
        </w:rPr>
        <w:t xml:space="preserve"> </w:t>
      </w:r>
      <w:r w:rsidRPr="00A3565D">
        <w:rPr>
          <w:rFonts w:ascii="Palatino Linotype" w:eastAsia="Palatino Linotype" w:hAnsi="Palatino Linotype" w:cs="Palatino Linotype"/>
        </w:rPr>
        <w:t xml:space="preserve">de </w:t>
      </w:r>
      <w:r w:rsidRPr="00A3565D">
        <w:rPr>
          <w:rFonts w:ascii="Palatino Linotype" w:eastAsia="Palatino Linotype" w:hAnsi="Palatino Linotype" w:cs="Palatino Linotype"/>
          <w:b/>
        </w:rPr>
        <w:t>LA PARTE RECURRENTE,</w:t>
      </w:r>
      <w:r w:rsidRPr="00A3565D">
        <w:rPr>
          <w:rFonts w:ascii="Palatino Linotype" w:eastAsia="Palatino Linotype" w:hAnsi="Palatino Linotype" w:cs="Palatino Linotype"/>
        </w:rPr>
        <w:t xml:space="preserve"> o en su defecto, en caso de ser procedente, ordenar la entrega de información oportuna.</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pBdr>
          <w:top w:val="nil"/>
          <w:left w:val="nil"/>
          <w:bottom w:val="nil"/>
          <w:right w:val="nil"/>
          <w:between w:val="nil"/>
        </w:pBd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b/>
        </w:rPr>
        <w:t xml:space="preserve">CUARTO. ESTUDIO DEL ASUNTO. </w:t>
      </w:r>
      <w:r w:rsidRPr="00A3565D">
        <w:rPr>
          <w:rFonts w:ascii="Palatino Linotype" w:eastAsia="Palatino Linotype" w:hAnsi="Palatino Linotype" w:cs="Palatino Linotype"/>
        </w:rPr>
        <w:t xml:space="preserve">Antes de entrar al análisis de los pronunciamientos del </w:t>
      </w:r>
      <w:r w:rsidRPr="00A3565D">
        <w:rPr>
          <w:rFonts w:ascii="Palatino Linotype" w:eastAsia="Palatino Linotype" w:hAnsi="Palatino Linotype" w:cs="Palatino Linotype"/>
          <w:b/>
        </w:rPr>
        <w:t>SUJETO OBLIGADO</w:t>
      </w:r>
      <w:r w:rsidRPr="00A3565D">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E810BA" w:rsidRPr="00A3565D" w:rsidRDefault="00E810BA">
      <w:pPr>
        <w:pBdr>
          <w:top w:val="nil"/>
          <w:left w:val="nil"/>
          <w:bottom w:val="nil"/>
          <w:right w:val="nil"/>
          <w:between w:val="nil"/>
        </w:pBdr>
        <w:ind w:left="864" w:right="864"/>
        <w:jc w:val="both"/>
        <w:rPr>
          <w:rFonts w:ascii="Palatino Linotype" w:eastAsia="Palatino Linotype" w:hAnsi="Palatino Linotype" w:cs="Palatino Linotype"/>
          <w:i/>
        </w:rPr>
      </w:pP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A3565D">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E810BA" w:rsidRPr="00A3565D" w:rsidRDefault="00E810BA"/>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A3565D">
        <w:rPr>
          <w:rFonts w:ascii="Palatino Linotype" w:eastAsia="Palatino Linotype" w:hAnsi="Palatino Linotype" w:cs="Palatino Linotype"/>
          <w:b/>
          <w:i/>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rsidR="00E810BA" w:rsidRPr="00A3565D" w:rsidRDefault="00E810BA"/>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rPr>
      </w:pPr>
      <w:r w:rsidRPr="00A3565D">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3565D">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E810BA"/>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rPr>
      </w:pPr>
      <w:r w:rsidRPr="00A3565D">
        <w:rPr>
          <w:rFonts w:ascii="Palatino Linotype" w:eastAsia="Palatino Linotype" w:hAnsi="Palatino Linotype" w:cs="Palatino Linotype"/>
          <w:b/>
          <w:i/>
          <w:sz w:val="22"/>
          <w:szCs w:val="22"/>
        </w:rPr>
        <w:t>Artículo 6o.</w:t>
      </w: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rPr>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 xml:space="preserve">A. Para el ejercicio del derecho de acceso a la información, la Federación y </w:t>
      </w:r>
      <w:r w:rsidRPr="00A3565D">
        <w:rPr>
          <w:rFonts w:ascii="Palatino Linotype" w:eastAsia="Palatino Linotype" w:hAnsi="Palatino Linotype" w:cs="Palatino Linotype"/>
          <w:b/>
          <w:i/>
          <w:sz w:val="22"/>
          <w:szCs w:val="22"/>
          <w:u w:val="single"/>
        </w:rPr>
        <w:t>las entidades federativas</w:t>
      </w:r>
      <w:r w:rsidRPr="00A3565D">
        <w:rPr>
          <w:rFonts w:ascii="Palatino Linotype" w:eastAsia="Palatino Linotype" w:hAnsi="Palatino Linotype" w:cs="Palatino Linotype"/>
          <w:b/>
          <w:i/>
          <w:sz w:val="22"/>
          <w:szCs w:val="22"/>
        </w:rPr>
        <w:t>,</w:t>
      </w:r>
      <w:r w:rsidRPr="00A3565D">
        <w:rPr>
          <w:rFonts w:ascii="Palatino Linotype" w:eastAsia="Palatino Linotype" w:hAnsi="Palatino Linotype" w:cs="Palatino Linotype"/>
          <w:i/>
          <w:sz w:val="22"/>
          <w:szCs w:val="22"/>
        </w:rPr>
        <w:t xml:space="preserve"> en el ámbito de sus respectivas competencias, se regirán por los siguientes principios y bases:</w:t>
      </w:r>
    </w:p>
    <w:p w:rsidR="00E810BA" w:rsidRPr="00A3565D" w:rsidRDefault="00E810BA"/>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w:t>
      </w:r>
      <w:r w:rsidRPr="00A3565D">
        <w:rPr>
          <w:rFonts w:ascii="Palatino Linotype" w:eastAsia="Palatino Linotype" w:hAnsi="Palatino Linotype" w:cs="Palatino Linotype"/>
          <w:b/>
          <w:i/>
          <w:sz w:val="22"/>
          <w:szCs w:val="22"/>
        </w:rPr>
        <w:t xml:space="preserve">I. </w:t>
      </w:r>
      <w:r w:rsidRPr="00A3565D">
        <w:rPr>
          <w:rFonts w:ascii="Palatino Linotype" w:eastAsia="Palatino Linotype" w:hAnsi="Palatino Linotype" w:cs="Palatino Linotype"/>
          <w:b/>
          <w:i/>
          <w:sz w:val="22"/>
          <w:szCs w:val="22"/>
          <w:u w:val="single"/>
        </w:rPr>
        <w:t>Toda la información en posesión de cualquier autoridad, entidad, órgano y organismo de los Poderes</w:t>
      </w:r>
      <w:r w:rsidRPr="00A3565D">
        <w:rPr>
          <w:rFonts w:ascii="Palatino Linotype" w:eastAsia="Palatino Linotype" w:hAnsi="Palatino Linotype" w:cs="Palatino Linotype"/>
          <w:i/>
          <w:sz w:val="22"/>
          <w:szCs w:val="22"/>
        </w:rPr>
        <w:t xml:space="preserve"> Ejecutivo, Legislativo </w:t>
      </w:r>
      <w:r w:rsidRPr="00A3565D">
        <w:rPr>
          <w:rFonts w:ascii="Palatino Linotype" w:eastAsia="Palatino Linotype" w:hAnsi="Palatino Linotype" w:cs="Palatino Linotype"/>
          <w:b/>
          <w:i/>
          <w:sz w:val="22"/>
          <w:szCs w:val="22"/>
          <w:u w:val="single"/>
        </w:rPr>
        <w:t>y Judicial</w:t>
      </w:r>
      <w:r w:rsidRPr="00A3565D">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3565D">
        <w:rPr>
          <w:rFonts w:ascii="Palatino Linotype" w:eastAsia="Palatino Linotype" w:hAnsi="Palatino Linotype" w:cs="Palatino Linotype"/>
          <w:b/>
          <w:i/>
          <w:sz w:val="22"/>
          <w:szCs w:val="22"/>
        </w:rPr>
        <w:t>es pública y sólo podrá ser reservada temporalmente por razones de interés público y seguridad nacional,</w:t>
      </w:r>
      <w:r w:rsidRPr="00A3565D">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810BA" w:rsidRPr="00A3565D" w:rsidRDefault="00E810BA"/>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A3565D">
        <w:rPr>
          <w:rFonts w:ascii="Palatino Linotype" w:eastAsia="Palatino Linotype" w:hAnsi="Palatino Linotype" w:cs="Palatino Linotype"/>
          <w:i/>
          <w:sz w:val="22"/>
          <w:szCs w:val="22"/>
        </w:rPr>
        <w:t> </w:t>
      </w:r>
      <w:r w:rsidRPr="00A3565D">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E810BA" w:rsidRPr="00A3565D" w:rsidRDefault="00E810BA"/>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w:t>
      </w:r>
      <w:r w:rsidRPr="00A3565D">
        <w:rPr>
          <w:rFonts w:ascii="Palatino Linotype" w:eastAsia="Palatino Linotype" w:hAnsi="Palatino Linotype" w:cs="Palatino Linotype"/>
          <w:b/>
          <w:i/>
          <w:sz w:val="22"/>
          <w:szCs w:val="22"/>
        </w:rPr>
        <w:t xml:space="preserve">III. </w:t>
      </w:r>
      <w:r w:rsidRPr="00A3565D">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A3565D">
        <w:rPr>
          <w:rFonts w:ascii="Palatino Linotype" w:eastAsia="Palatino Linotype" w:hAnsi="Palatino Linotype" w:cs="Palatino Linotype"/>
          <w:i/>
          <w:sz w:val="22"/>
          <w:szCs w:val="22"/>
        </w:rPr>
        <w:t xml:space="preserve"> a sus datos personales o a la rectificación de éstos.</w:t>
      </w:r>
    </w:p>
    <w:p w:rsidR="00E810BA" w:rsidRPr="00A3565D" w:rsidRDefault="00E810BA"/>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lastRenderedPageBreak/>
        <w:t> </w:t>
      </w:r>
      <w:r w:rsidRPr="00A3565D">
        <w:rPr>
          <w:rFonts w:ascii="Palatino Linotype" w:eastAsia="Palatino Linotype" w:hAnsi="Palatino Linotype" w:cs="Palatino Linotype"/>
          <w:b/>
          <w:i/>
          <w:sz w:val="22"/>
          <w:szCs w:val="22"/>
        </w:rPr>
        <w:t xml:space="preserve">IV. </w:t>
      </w:r>
      <w:r w:rsidRPr="00A3565D">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E810BA" w:rsidRPr="00A3565D" w:rsidRDefault="00E810BA"/>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 xml:space="preserve">V. </w:t>
      </w:r>
      <w:r w:rsidRPr="00A3565D">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810BA" w:rsidRPr="00A3565D" w:rsidRDefault="00E810BA"/>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w:t>
      </w:r>
      <w:r w:rsidRPr="00A3565D">
        <w:rPr>
          <w:rFonts w:ascii="Palatino Linotype" w:eastAsia="Palatino Linotype" w:hAnsi="Palatino Linotype" w:cs="Palatino Linotype"/>
          <w:b/>
          <w:i/>
          <w:sz w:val="22"/>
          <w:szCs w:val="22"/>
        </w:rPr>
        <w:t xml:space="preserve">VI. </w:t>
      </w:r>
      <w:r w:rsidRPr="00A3565D">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E810BA" w:rsidRPr="00A3565D" w:rsidRDefault="00E810BA"/>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w:t>
      </w:r>
      <w:r w:rsidRPr="00A3565D">
        <w:rPr>
          <w:rFonts w:ascii="Palatino Linotype" w:eastAsia="Palatino Linotype" w:hAnsi="Palatino Linotype" w:cs="Palatino Linotype"/>
          <w:b/>
          <w:i/>
          <w:sz w:val="22"/>
          <w:szCs w:val="22"/>
        </w:rPr>
        <w:t xml:space="preserve">VII. </w:t>
      </w:r>
      <w:r w:rsidRPr="00A3565D">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E810BA"/>
    <w:p w:rsidR="00E810BA" w:rsidRPr="00A3565D" w:rsidRDefault="008F4367">
      <w:pPr>
        <w:pBdr>
          <w:top w:val="nil"/>
          <w:left w:val="nil"/>
          <w:bottom w:val="nil"/>
          <w:right w:val="nil"/>
          <w:between w:val="nil"/>
        </w:pBd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E810BA" w:rsidRPr="00A3565D" w:rsidRDefault="00E810BA">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Artículo 4</w:t>
      </w:r>
      <w:r w:rsidRPr="00A3565D">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E810BA" w:rsidRPr="00A3565D" w:rsidRDefault="00E810BA"/>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A3565D">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E810BA" w:rsidRPr="00A3565D" w:rsidRDefault="00E810BA"/>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E810BA" w:rsidRPr="00A3565D" w:rsidRDefault="00E810BA">
      <w:pPr>
        <w:pBdr>
          <w:top w:val="nil"/>
          <w:left w:val="nil"/>
          <w:bottom w:val="nil"/>
          <w:right w:val="nil"/>
          <w:between w:val="nil"/>
        </w:pBdr>
        <w:spacing w:line="360" w:lineRule="auto"/>
        <w:jc w:val="both"/>
        <w:rPr>
          <w:rFonts w:ascii="Palatino Linotype" w:eastAsia="Palatino Linotype" w:hAnsi="Palatino Linotype" w:cs="Palatino Linotype"/>
        </w:rPr>
      </w:pPr>
    </w:p>
    <w:p w:rsidR="00E810BA" w:rsidRPr="00A3565D" w:rsidRDefault="008F4367">
      <w:pPr>
        <w:pBdr>
          <w:top w:val="nil"/>
          <w:left w:val="nil"/>
          <w:bottom w:val="nil"/>
          <w:right w:val="nil"/>
          <w:between w:val="nil"/>
        </w:pBd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E810BA" w:rsidRPr="00A3565D" w:rsidRDefault="00E810BA">
      <w:pPr>
        <w:pBdr>
          <w:top w:val="nil"/>
          <w:left w:val="nil"/>
          <w:bottom w:val="nil"/>
          <w:right w:val="nil"/>
          <w:between w:val="nil"/>
        </w:pBdr>
        <w:ind w:left="864" w:right="864"/>
        <w:jc w:val="both"/>
        <w:rPr>
          <w:i/>
        </w:rPr>
      </w:pP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Artículo 12</w:t>
      </w:r>
      <w:r w:rsidRPr="00A3565D">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rsidR="00E810BA" w:rsidRPr="00A3565D" w:rsidRDefault="00E810BA">
      <w:pPr>
        <w:pBdr>
          <w:top w:val="nil"/>
          <w:left w:val="nil"/>
          <w:bottom w:val="nil"/>
          <w:right w:val="nil"/>
          <w:between w:val="nil"/>
        </w:pBdr>
        <w:ind w:left="864" w:right="864"/>
        <w:jc w:val="both"/>
        <w:rPr>
          <w:i/>
        </w:rPr>
      </w:pP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E810BA" w:rsidRPr="00A3565D" w:rsidRDefault="00E810BA">
      <w:pPr>
        <w:pBdr>
          <w:top w:val="nil"/>
          <w:left w:val="nil"/>
          <w:bottom w:val="nil"/>
          <w:right w:val="nil"/>
          <w:between w:val="nil"/>
        </w:pBdr>
        <w:ind w:left="864" w:right="864"/>
        <w:jc w:val="both"/>
        <w:rPr>
          <w:i/>
        </w:rPr>
      </w:pPr>
    </w:p>
    <w:p w:rsidR="00E810BA" w:rsidRPr="00A3565D" w:rsidRDefault="008F4367">
      <w:pPr>
        <w:pBdr>
          <w:top w:val="nil"/>
          <w:left w:val="nil"/>
          <w:bottom w:val="nil"/>
          <w:right w:val="nil"/>
          <w:between w:val="nil"/>
        </w:pBd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A3565D">
        <w:rPr>
          <w:rFonts w:ascii="Palatino Linotype" w:eastAsia="Palatino Linotype" w:hAnsi="Palatino Linotype" w:cs="Palatino Linotype"/>
          <w:b/>
        </w:rPr>
        <w:t xml:space="preserve"> </w:t>
      </w:r>
      <w:r w:rsidRPr="00A3565D">
        <w:rPr>
          <w:rFonts w:ascii="Palatino Linotype" w:eastAsia="Palatino Linotype" w:hAnsi="Palatino Linotype" w:cs="Palatino Linotype"/>
        </w:rPr>
        <w:t xml:space="preserve">no tienen el deber de generar, poseer o administrar </w:t>
      </w:r>
      <w:r w:rsidRPr="00A3565D">
        <w:rPr>
          <w:rFonts w:ascii="Palatino Linotype" w:eastAsia="Palatino Linotype" w:hAnsi="Palatino Linotype" w:cs="Palatino Linotype"/>
        </w:rPr>
        <w:lastRenderedPageBreak/>
        <w:t xml:space="preserve">la información pública con el grado de detalle solicitado; esto es, que no tienen el deber de generar un documento </w:t>
      </w:r>
      <w:r w:rsidRPr="00A3565D">
        <w:rPr>
          <w:rFonts w:ascii="Palatino Linotype" w:eastAsia="Palatino Linotype" w:hAnsi="Palatino Linotype" w:cs="Palatino Linotype"/>
          <w:i/>
        </w:rPr>
        <w:t>ad hoc</w:t>
      </w:r>
      <w:r w:rsidRPr="00A3565D">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E810BA" w:rsidRPr="00A3565D" w:rsidRDefault="00E810BA">
      <w:pPr>
        <w:pBdr>
          <w:top w:val="nil"/>
          <w:left w:val="nil"/>
          <w:bottom w:val="nil"/>
          <w:right w:val="nil"/>
          <w:between w:val="nil"/>
        </w:pBdr>
        <w:spacing w:line="360" w:lineRule="auto"/>
        <w:jc w:val="both"/>
      </w:pP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03/17</w:t>
      </w: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NO EXISTE OBLIGACIÓN DE ELABORAR DOCUMENTOS AD HOC PARA ATENDER LAS SOLICITUDES DE ACCESO A LA INFORMACIÓN.</w:t>
      </w: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810BA" w:rsidRPr="00A3565D" w:rsidRDefault="00E810B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Por otra parte, y aunado a lo antepuesto, el último párrafo del artículo 24 de la Ley de la materia, dispone que los Sujetos Obligados solo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E810BA" w:rsidRPr="00A3565D" w:rsidRDefault="00E810BA">
      <w:pPr>
        <w:pBdr>
          <w:top w:val="nil"/>
          <w:left w:val="nil"/>
          <w:bottom w:val="nil"/>
          <w:right w:val="nil"/>
          <w:between w:val="nil"/>
        </w:pBdr>
        <w:spacing w:line="360" w:lineRule="auto"/>
        <w:jc w:val="both"/>
      </w:pPr>
    </w:p>
    <w:p w:rsidR="00E810BA" w:rsidRPr="00A3565D" w:rsidRDefault="008F4367">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w:t>
      </w:r>
      <w:r w:rsidRPr="00A3565D">
        <w:rPr>
          <w:rFonts w:ascii="Palatino Linotype" w:eastAsia="Palatino Linotype" w:hAnsi="Palatino Linotype" w:cs="Palatino Linotype"/>
        </w:rPr>
        <w:lastRenderedPageBreak/>
        <w:t>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E810BA" w:rsidRPr="00A3565D" w:rsidRDefault="00E810BA">
      <w:pPr>
        <w:pBdr>
          <w:top w:val="nil"/>
          <w:left w:val="nil"/>
          <w:bottom w:val="nil"/>
          <w:right w:val="nil"/>
          <w:between w:val="nil"/>
        </w:pBdr>
        <w:spacing w:line="360" w:lineRule="auto"/>
        <w:ind w:right="49"/>
        <w:jc w:val="both"/>
      </w:pPr>
    </w:p>
    <w:p w:rsidR="00E810BA" w:rsidRPr="00A3565D" w:rsidRDefault="008F4367">
      <w:pPr>
        <w:pBdr>
          <w:top w:val="nil"/>
          <w:left w:val="nil"/>
          <w:bottom w:val="nil"/>
          <w:right w:val="nil"/>
          <w:between w:val="nil"/>
        </w:pBd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E810BA" w:rsidRPr="00A3565D" w:rsidRDefault="00E810BA">
      <w:pPr>
        <w:pBdr>
          <w:top w:val="nil"/>
          <w:left w:val="nil"/>
          <w:bottom w:val="nil"/>
          <w:right w:val="nil"/>
          <w:between w:val="nil"/>
        </w:pBdr>
        <w:spacing w:line="360" w:lineRule="auto"/>
        <w:jc w:val="both"/>
        <w:rPr>
          <w:rFonts w:ascii="Palatino Linotype" w:eastAsia="Palatino Linotype" w:hAnsi="Palatino Linotype" w:cs="Palatino Linotype"/>
        </w:rPr>
      </w:pP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 xml:space="preserve">Artículo 3. </w:t>
      </w:r>
      <w:r w:rsidRPr="00A3565D">
        <w:rPr>
          <w:rFonts w:ascii="Palatino Linotype" w:eastAsia="Palatino Linotype" w:hAnsi="Palatino Linotype" w:cs="Palatino Linotype"/>
          <w:i/>
          <w:sz w:val="22"/>
          <w:szCs w:val="22"/>
        </w:rPr>
        <w:t>Para los efectos de la presente Ley se entenderá por:</w:t>
      </w: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XI. Documento:</w:t>
      </w:r>
      <w:r w:rsidRPr="00A3565D">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w:t>
      </w:r>
      <w:r w:rsidRPr="00A3565D">
        <w:rPr>
          <w:rFonts w:ascii="Palatino Linotype" w:eastAsia="Palatino Linotype" w:hAnsi="Palatino Linotype" w:cs="Palatino Linotype"/>
          <w:i/>
          <w:sz w:val="22"/>
          <w:szCs w:val="22"/>
        </w:rPr>
        <w:t>)</w:t>
      </w:r>
    </w:p>
    <w:p w:rsidR="00E810BA" w:rsidRPr="00A3565D" w:rsidRDefault="00E810B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w:t>
      </w:r>
      <w:r w:rsidRPr="00A3565D">
        <w:rPr>
          <w:rFonts w:ascii="Palatino Linotype" w:eastAsia="Palatino Linotype" w:hAnsi="Palatino Linotype" w:cs="Palatino Linotype"/>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rsidR="00E810BA" w:rsidRPr="00A3565D" w:rsidRDefault="00E810B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CRITERIO 0002-11</w:t>
      </w: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En consecuencia el acceso a la información se refiere a que se cumplan cualquiera de los siguientes tres supuestos:</w:t>
      </w: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rsidR="00E810BA" w:rsidRPr="00A3565D" w:rsidRDefault="00E810BA">
      <w:pPr>
        <w:pBdr>
          <w:top w:val="nil"/>
          <w:left w:val="nil"/>
          <w:bottom w:val="nil"/>
          <w:right w:val="nil"/>
          <w:between w:val="nil"/>
        </w:pBdr>
        <w:spacing w:line="360" w:lineRule="auto"/>
        <w:jc w:val="both"/>
        <w:rPr>
          <w:rFonts w:ascii="Palatino Linotype" w:eastAsia="Palatino Linotype" w:hAnsi="Palatino Linotype" w:cs="Palatino Linotype"/>
        </w:rPr>
      </w:pPr>
    </w:p>
    <w:p w:rsidR="00E810BA" w:rsidRPr="00A3565D" w:rsidRDefault="008F4367">
      <w:pPr>
        <w:pBdr>
          <w:top w:val="nil"/>
          <w:left w:val="nil"/>
          <w:bottom w:val="nil"/>
          <w:right w:val="nil"/>
          <w:between w:val="nil"/>
        </w:pBd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De ahí que </w:t>
      </w:r>
      <w:r w:rsidRPr="00A3565D">
        <w:rPr>
          <w:rFonts w:ascii="Palatino Linotype" w:eastAsia="Palatino Linotype" w:hAnsi="Palatino Linotype" w:cs="Palatino Linotype"/>
          <w:b/>
        </w:rPr>
        <w:t>EL SUJETO OBLIGADO</w:t>
      </w:r>
      <w:r w:rsidRPr="00A3565D">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rsidR="00E810BA" w:rsidRPr="00A3565D" w:rsidRDefault="00E810BA">
      <w:pPr>
        <w:pBdr>
          <w:top w:val="nil"/>
          <w:left w:val="nil"/>
          <w:bottom w:val="nil"/>
          <w:right w:val="nil"/>
          <w:between w:val="nil"/>
        </w:pBdr>
        <w:spacing w:line="360" w:lineRule="auto"/>
        <w:jc w:val="both"/>
        <w:rPr>
          <w:rFonts w:ascii="Palatino Linotype" w:eastAsia="Palatino Linotype" w:hAnsi="Palatino Linotype" w:cs="Palatino Linotype"/>
        </w:rPr>
      </w:pPr>
    </w:p>
    <w:p w:rsidR="00E810BA" w:rsidRPr="00A3565D" w:rsidRDefault="008F4367">
      <w:pPr>
        <w:pBdr>
          <w:top w:val="nil"/>
          <w:left w:val="nil"/>
          <w:bottom w:val="nil"/>
          <w:right w:val="nil"/>
          <w:between w:val="nil"/>
        </w:pBd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Apuntado lo anterior y del análisis de la solicitud</w:t>
      </w:r>
      <w:r w:rsidRPr="00A3565D">
        <w:rPr>
          <w:rFonts w:ascii="Palatino Linotype" w:eastAsia="Palatino Linotype" w:hAnsi="Palatino Linotype" w:cs="Palatino Linotype"/>
          <w:b/>
        </w:rPr>
        <w:t>,</w:t>
      </w:r>
      <w:r w:rsidRPr="00A3565D">
        <w:rPr>
          <w:rFonts w:ascii="Palatino Linotype" w:eastAsia="Palatino Linotype" w:hAnsi="Palatino Linotype" w:cs="Palatino Linotype"/>
        </w:rPr>
        <w:t xml:space="preserve"> motivo del recurso de revisión que ahora se resuelve, se advierte que </w:t>
      </w:r>
      <w:r w:rsidRPr="00A3565D">
        <w:rPr>
          <w:rFonts w:ascii="Palatino Linotype" w:eastAsia="Palatino Linotype" w:hAnsi="Palatino Linotype" w:cs="Palatino Linotype"/>
          <w:b/>
        </w:rPr>
        <w:t>LA PARTE RECURRENTE</w:t>
      </w:r>
      <w:r w:rsidRPr="00A3565D">
        <w:rPr>
          <w:rFonts w:ascii="Palatino Linotype" w:eastAsia="Palatino Linotype" w:hAnsi="Palatino Linotype" w:cs="Palatino Linotype"/>
        </w:rPr>
        <w:t xml:space="preserve"> requirió al </w:t>
      </w:r>
      <w:r w:rsidRPr="00A3565D">
        <w:rPr>
          <w:rFonts w:ascii="Palatino Linotype" w:eastAsia="Palatino Linotype" w:hAnsi="Palatino Linotype" w:cs="Palatino Linotype"/>
          <w:b/>
        </w:rPr>
        <w:t>SUJETO OBLIGADO</w:t>
      </w:r>
      <w:r w:rsidRPr="00A3565D">
        <w:rPr>
          <w:rFonts w:ascii="Palatino Linotype" w:eastAsia="Palatino Linotype" w:hAnsi="Palatino Linotype" w:cs="Palatino Linotype"/>
        </w:rPr>
        <w:t xml:space="preserve"> le proporcionara, lo siguiente: </w:t>
      </w:r>
    </w:p>
    <w:p w:rsidR="00E810BA" w:rsidRPr="00A3565D" w:rsidRDefault="00E810BA">
      <w:pPr>
        <w:pBdr>
          <w:top w:val="nil"/>
          <w:left w:val="nil"/>
          <w:bottom w:val="nil"/>
          <w:right w:val="nil"/>
          <w:between w:val="nil"/>
        </w:pBdr>
        <w:spacing w:line="360" w:lineRule="auto"/>
        <w:jc w:val="both"/>
        <w:rPr>
          <w:rFonts w:ascii="Palatino Linotype" w:eastAsia="Palatino Linotype" w:hAnsi="Palatino Linotype" w:cs="Palatino Linotype"/>
        </w:rPr>
      </w:pPr>
    </w:p>
    <w:p w:rsidR="00E810BA" w:rsidRPr="00A3565D" w:rsidRDefault="008F436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A3565D">
        <w:rPr>
          <w:rFonts w:ascii="Palatino Linotype" w:eastAsia="Palatino Linotype" w:hAnsi="Palatino Linotype" w:cs="Palatino Linotype"/>
          <w:b/>
        </w:rPr>
        <w:t xml:space="preserve">De la segunda quincena de mayo del dos mil veintitrés: </w:t>
      </w:r>
    </w:p>
    <w:p w:rsidR="00E810BA" w:rsidRPr="00A3565D" w:rsidRDefault="008F4367">
      <w:pPr>
        <w:pBdr>
          <w:top w:val="nil"/>
          <w:left w:val="nil"/>
          <w:bottom w:val="nil"/>
          <w:right w:val="nil"/>
          <w:between w:val="nil"/>
        </w:pBdr>
        <w:spacing w:line="360" w:lineRule="auto"/>
        <w:ind w:left="360"/>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La nómina de todo el personal del Ayuntamiento de Nicolás Romero, donde se incluya al personal sindicalizado, no sindicalizado, policías, mandos medios y superiores, integrantes de Cabildo, personal que se encuentre en calidad de asesores o similares, asistentes o auxiliares, así como quienes se encuentran por honorarios. </w:t>
      </w:r>
    </w:p>
    <w:p w:rsidR="00E810BA" w:rsidRPr="00A3565D" w:rsidRDefault="008F436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b/>
        </w:rPr>
        <w:t xml:space="preserve">Información vigente de todos los vehículos oficiales del Ayuntamiento: </w:t>
      </w:r>
    </w:p>
    <w:p w:rsidR="00E810BA" w:rsidRPr="00A3565D" w:rsidRDefault="008F4367">
      <w:pPr>
        <w:pBdr>
          <w:top w:val="nil"/>
          <w:left w:val="nil"/>
          <w:bottom w:val="nil"/>
          <w:right w:val="nil"/>
          <w:between w:val="nil"/>
        </w:pBdr>
        <w:spacing w:line="360" w:lineRule="auto"/>
        <w:ind w:left="360"/>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Número de placa, persona servidora pública al que está asignado, tipo de vehículo y marca. </w:t>
      </w:r>
    </w:p>
    <w:p w:rsidR="00E810BA" w:rsidRPr="00A3565D" w:rsidRDefault="00E810BA">
      <w:pPr>
        <w:pBdr>
          <w:top w:val="nil"/>
          <w:left w:val="nil"/>
          <w:bottom w:val="nil"/>
          <w:right w:val="nil"/>
          <w:between w:val="nil"/>
        </w:pBdr>
        <w:spacing w:line="360" w:lineRule="auto"/>
        <w:jc w:val="both"/>
        <w:rPr>
          <w:rFonts w:ascii="Palatino Linotype" w:eastAsia="Palatino Linotype" w:hAnsi="Palatino Linotype" w:cs="Palatino Linotype"/>
        </w:rPr>
      </w:pPr>
    </w:p>
    <w:p w:rsidR="00E810BA" w:rsidRPr="00A3565D" w:rsidRDefault="008F4367">
      <w:pPr>
        <w:pBdr>
          <w:top w:val="nil"/>
          <w:left w:val="nil"/>
          <w:bottom w:val="nil"/>
          <w:right w:val="nil"/>
          <w:between w:val="nil"/>
        </w:pBd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Recordemos que </w:t>
      </w:r>
      <w:r w:rsidRPr="00A3565D">
        <w:rPr>
          <w:rFonts w:ascii="Palatino Linotype" w:eastAsia="Palatino Linotype" w:hAnsi="Palatino Linotype" w:cs="Palatino Linotype"/>
          <w:b/>
        </w:rPr>
        <w:t>EL SUJETO OBLIGADO</w:t>
      </w:r>
      <w:r w:rsidRPr="00A3565D">
        <w:rPr>
          <w:rFonts w:ascii="Palatino Linotype" w:eastAsia="Palatino Linotype" w:hAnsi="Palatino Linotype" w:cs="Palatino Linotype"/>
        </w:rPr>
        <w:t xml:space="preserve"> mediante la O</w:t>
      </w:r>
      <w:r w:rsidR="007772CB" w:rsidRPr="00A3565D">
        <w:rPr>
          <w:rFonts w:ascii="Palatino Linotype" w:eastAsia="Palatino Linotype" w:hAnsi="Palatino Linotype" w:cs="Palatino Linotype"/>
        </w:rPr>
        <w:t xml:space="preserve">ficialía Mayor de la Tesorería </w:t>
      </w:r>
      <w:r w:rsidRPr="00A3565D">
        <w:rPr>
          <w:rFonts w:ascii="Palatino Linotype" w:eastAsia="Palatino Linotype" w:hAnsi="Palatino Linotype" w:cs="Palatino Linotype"/>
        </w:rPr>
        <w:t xml:space="preserve">informó que </w:t>
      </w:r>
      <w:r w:rsidRPr="00A3565D">
        <w:rPr>
          <w:rFonts w:ascii="Palatino Linotype" w:eastAsia="Palatino Linotype" w:hAnsi="Palatino Linotype" w:cs="Palatino Linotype"/>
          <w:i/>
        </w:rPr>
        <w:t>“… la documental requerida por el solicitante consta de 1,317 talones de pago impresos por su anverso en copia simple, mismas que se requieren para dar atención a lo solicitado…” (Sic),</w:t>
      </w:r>
      <w:r w:rsidRPr="00A3565D">
        <w:rPr>
          <w:rFonts w:ascii="Palatino Linotype" w:eastAsia="Palatino Linotype" w:hAnsi="Palatino Linotype" w:cs="Palatino Linotype"/>
        </w:rPr>
        <w:t xml:space="preserve"> y además señaló que </w:t>
      </w:r>
      <w:r w:rsidRPr="00A3565D">
        <w:rPr>
          <w:rFonts w:ascii="Palatino Linotype" w:eastAsia="Palatino Linotype" w:hAnsi="Palatino Linotype" w:cs="Palatino Linotype"/>
          <w:i/>
        </w:rPr>
        <w:t xml:space="preserve">“… la reproducción de los mismos genera un costo en materiales…” (Sic) </w:t>
      </w:r>
      <w:r w:rsidRPr="00A3565D">
        <w:rPr>
          <w:rFonts w:ascii="Palatino Linotype" w:eastAsia="Palatino Linotype" w:hAnsi="Palatino Linotype" w:cs="Palatino Linotype"/>
        </w:rPr>
        <w:t xml:space="preserve">por lo cual, con fundamento en el Código Financiero para el Estado de México, señaló los costos que la persona solicitante debía de cubrir para que previo pago le fuera entregada la información. </w:t>
      </w:r>
    </w:p>
    <w:p w:rsidR="00E810BA" w:rsidRPr="00A3565D" w:rsidRDefault="00E810BA">
      <w:pPr>
        <w:pBdr>
          <w:top w:val="nil"/>
          <w:left w:val="nil"/>
          <w:bottom w:val="nil"/>
          <w:right w:val="nil"/>
          <w:between w:val="nil"/>
        </w:pBdr>
        <w:spacing w:line="360" w:lineRule="auto"/>
        <w:jc w:val="both"/>
        <w:rPr>
          <w:rFonts w:ascii="Palatino Linotype" w:eastAsia="Palatino Linotype" w:hAnsi="Palatino Linotype" w:cs="Palatino Linotype"/>
        </w:rPr>
      </w:pPr>
    </w:p>
    <w:p w:rsidR="00E810BA" w:rsidRPr="00A3565D" w:rsidRDefault="008F4367">
      <w:pPr>
        <w:pBdr>
          <w:top w:val="nil"/>
          <w:left w:val="nil"/>
          <w:bottom w:val="nil"/>
          <w:right w:val="nil"/>
          <w:between w:val="nil"/>
        </w:pBd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lastRenderedPageBreak/>
        <w:t xml:space="preserve">Señaló también que la información yace en el portal de IPOMEX referente a la remuneración bruta y neta del personal, pero que también podría consultarla de manera directa en las oficinas de la Oficialía Mayor del Ayuntamiento, toda vez que remitirla por el SAIMEX sobrepasaría las capacidades técnicas, administrativas y humanas del </w:t>
      </w:r>
      <w:r w:rsidRPr="00A3565D">
        <w:rPr>
          <w:rFonts w:ascii="Palatino Linotype" w:eastAsia="Palatino Linotype" w:hAnsi="Palatino Linotype" w:cs="Palatino Linotype"/>
          <w:b/>
        </w:rPr>
        <w:t>SUJETO OBLIGADO.</w:t>
      </w:r>
      <w:r w:rsidRPr="00A3565D">
        <w:rPr>
          <w:rFonts w:ascii="Palatino Linotype" w:eastAsia="Palatino Linotype" w:hAnsi="Palatino Linotype" w:cs="Palatino Linotype"/>
        </w:rPr>
        <w:t xml:space="preserve"> </w:t>
      </w:r>
    </w:p>
    <w:p w:rsidR="00E810BA" w:rsidRPr="00A3565D" w:rsidRDefault="00E810BA">
      <w:pPr>
        <w:pBdr>
          <w:top w:val="nil"/>
          <w:left w:val="nil"/>
          <w:bottom w:val="nil"/>
          <w:right w:val="nil"/>
          <w:between w:val="nil"/>
        </w:pBdr>
        <w:spacing w:line="360" w:lineRule="auto"/>
        <w:jc w:val="both"/>
        <w:rPr>
          <w:rFonts w:ascii="Palatino Linotype" w:eastAsia="Palatino Linotype" w:hAnsi="Palatino Linotype" w:cs="Palatino Linotype"/>
        </w:rPr>
      </w:pPr>
    </w:p>
    <w:p w:rsidR="00E810BA" w:rsidRPr="00A3565D" w:rsidRDefault="008F4367">
      <w:pPr>
        <w:pBdr>
          <w:top w:val="nil"/>
          <w:left w:val="nil"/>
          <w:bottom w:val="nil"/>
          <w:right w:val="nil"/>
          <w:between w:val="nil"/>
        </w:pBd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Dijo también que por lo que hace a los cuerpos de seguridad pública y tránsito municipal, sus datos se encuentran clasificados como reservados según el acuerdo </w:t>
      </w:r>
      <w:r w:rsidRPr="00A3565D">
        <w:rPr>
          <w:rFonts w:ascii="Palatino Linotype" w:eastAsia="Palatino Linotype" w:hAnsi="Palatino Linotype" w:cs="Palatino Linotype"/>
          <w:i/>
        </w:rPr>
        <w:t xml:space="preserve">NR/CTM/ACR/EXT09/37/2022. </w:t>
      </w:r>
    </w:p>
    <w:p w:rsidR="00E810BA" w:rsidRPr="00A3565D" w:rsidRDefault="00E810BA">
      <w:pPr>
        <w:pBdr>
          <w:top w:val="nil"/>
          <w:left w:val="nil"/>
          <w:bottom w:val="nil"/>
          <w:right w:val="nil"/>
          <w:between w:val="nil"/>
        </w:pBdr>
        <w:spacing w:line="360" w:lineRule="auto"/>
        <w:jc w:val="both"/>
        <w:rPr>
          <w:rFonts w:ascii="Palatino Linotype" w:eastAsia="Palatino Linotype" w:hAnsi="Palatino Linotype" w:cs="Palatino Linotype"/>
        </w:rPr>
      </w:pPr>
    </w:p>
    <w:p w:rsidR="00E810BA" w:rsidRPr="00A3565D" w:rsidRDefault="008F4367">
      <w:pPr>
        <w:pBdr>
          <w:top w:val="nil"/>
          <w:left w:val="nil"/>
          <w:bottom w:val="nil"/>
          <w:right w:val="nil"/>
          <w:between w:val="nil"/>
        </w:pBd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Y por lo que hace respecto a la información del número de placa, persona servidora pública a la que se le asignó, tipo de vehículo y marca se sirvió remitir como anexo una lista donde figuran los nombres de personas </w:t>
      </w:r>
      <w:proofErr w:type="spellStart"/>
      <w:r w:rsidRPr="00A3565D">
        <w:rPr>
          <w:rFonts w:ascii="Palatino Linotype" w:eastAsia="Palatino Linotype" w:hAnsi="Palatino Linotype" w:cs="Palatino Linotype"/>
        </w:rPr>
        <w:t>resguardantes</w:t>
      </w:r>
      <w:proofErr w:type="spellEnd"/>
      <w:r w:rsidRPr="00A3565D">
        <w:rPr>
          <w:rFonts w:ascii="Palatino Linotype" w:eastAsia="Palatino Linotype" w:hAnsi="Palatino Linotype" w:cs="Palatino Linotype"/>
        </w:rPr>
        <w:t>, el nombre del mueble, la marca y la placa, dando un total de ciento treinta y cuatro registros.</w:t>
      </w:r>
    </w:p>
    <w:p w:rsidR="00E810BA" w:rsidRPr="00A3565D" w:rsidRDefault="00E810BA">
      <w:pPr>
        <w:pBdr>
          <w:top w:val="nil"/>
          <w:left w:val="nil"/>
          <w:bottom w:val="nil"/>
          <w:right w:val="nil"/>
          <w:between w:val="nil"/>
        </w:pBdr>
        <w:spacing w:line="360" w:lineRule="auto"/>
        <w:jc w:val="both"/>
        <w:rPr>
          <w:rFonts w:ascii="Palatino Linotype" w:eastAsia="Palatino Linotype" w:hAnsi="Palatino Linotype" w:cs="Palatino Linotype"/>
        </w:rPr>
      </w:pPr>
    </w:p>
    <w:p w:rsidR="00E810BA" w:rsidRPr="00A3565D" w:rsidRDefault="008F4367">
      <w:pPr>
        <w:pBdr>
          <w:top w:val="nil"/>
          <w:left w:val="nil"/>
          <w:bottom w:val="nil"/>
          <w:right w:val="nil"/>
          <w:between w:val="nil"/>
        </w:pBd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Al respecto, también la Secretaría del Ayuntamiento remitió el inventario general de parque vehicular, que obra en el Sistema CREG Patrimonial donde se enlistan trescientas veintiún unidades. </w:t>
      </w:r>
    </w:p>
    <w:p w:rsidR="00E810BA" w:rsidRPr="00A3565D" w:rsidRDefault="008F4367">
      <w:pPr>
        <w:pBdr>
          <w:top w:val="nil"/>
          <w:left w:val="nil"/>
          <w:bottom w:val="nil"/>
          <w:right w:val="nil"/>
          <w:between w:val="nil"/>
        </w:pBd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Conocida la respuesta del </w:t>
      </w:r>
      <w:r w:rsidRPr="00A3565D">
        <w:rPr>
          <w:rFonts w:ascii="Palatino Linotype" w:eastAsia="Palatino Linotype" w:hAnsi="Palatino Linotype" w:cs="Palatino Linotype"/>
          <w:b/>
        </w:rPr>
        <w:t>SUJETO OBLIGADO</w:t>
      </w:r>
      <w:r w:rsidRPr="00A3565D">
        <w:rPr>
          <w:rFonts w:ascii="Palatino Linotype" w:eastAsia="Palatino Linotype" w:hAnsi="Palatino Linotype" w:cs="Palatino Linotype"/>
        </w:rPr>
        <w:t xml:space="preserve"> es que </w:t>
      </w:r>
      <w:r w:rsidRPr="00A3565D">
        <w:rPr>
          <w:rFonts w:ascii="Palatino Linotype" w:eastAsia="Palatino Linotype" w:hAnsi="Palatino Linotype" w:cs="Palatino Linotype"/>
          <w:b/>
        </w:rPr>
        <w:t>LA PARTE RECURRENTE</w:t>
      </w:r>
      <w:r w:rsidRPr="00A3565D">
        <w:rPr>
          <w:rFonts w:ascii="Palatino Linotype" w:eastAsia="Palatino Linotype" w:hAnsi="Palatino Linotype" w:cs="Palatino Linotype"/>
        </w:rPr>
        <w:t xml:space="preserve"> se manifestó de manera clara, al tenor de dos agravios como lo es la entrega de la información incompleta y el cobro por la entrega de la misma, tal y como dice su argumento que se transcribe:</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“No hacen entrega completa de la información que se </w:t>
      </w:r>
      <w:proofErr w:type="spellStart"/>
      <w:r w:rsidRPr="00A3565D">
        <w:rPr>
          <w:rFonts w:ascii="Palatino Linotype" w:eastAsia="Palatino Linotype" w:hAnsi="Palatino Linotype" w:cs="Palatino Linotype"/>
          <w:i/>
          <w:sz w:val="22"/>
          <w:szCs w:val="22"/>
        </w:rPr>
        <w:t>solicito</w:t>
      </w:r>
      <w:proofErr w:type="spellEnd"/>
      <w:r w:rsidRPr="00A3565D">
        <w:rPr>
          <w:rFonts w:ascii="Palatino Linotype" w:eastAsia="Palatino Linotype" w:hAnsi="Palatino Linotype" w:cs="Palatino Linotype"/>
          <w:i/>
          <w:sz w:val="22"/>
          <w:szCs w:val="22"/>
        </w:rPr>
        <w:t xml:space="preserve"> al Ayuntamiento de Nicolás Romero, argumentando que dedo de realizar un pago, siendo que es </w:t>
      </w:r>
      <w:r w:rsidRPr="00A3565D">
        <w:rPr>
          <w:rFonts w:ascii="Palatino Linotype" w:eastAsia="Palatino Linotype" w:hAnsi="Palatino Linotype" w:cs="Palatino Linotype"/>
          <w:i/>
          <w:sz w:val="22"/>
          <w:szCs w:val="22"/>
        </w:rPr>
        <w:lastRenderedPageBreak/>
        <w:t xml:space="preserve">información que deben de proporcionar ya que </w:t>
      </w:r>
      <w:proofErr w:type="spellStart"/>
      <w:r w:rsidRPr="00A3565D">
        <w:rPr>
          <w:rFonts w:ascii="Palatino Linotype" w:eastAsia="Palatino Linotype" w:hAnsi="Palatino Linotype" w:cs="Palatino Linotype"/>
          <w:i/>
          <w:sz w:val="22"/>
          <w:szCs w:val="22"/>
        </w:rPr>
        <w:t>esta</w:t>
      </w:r>
      <w:proofErr w:type="spellEnd"/>
      <w:r w:rsidRPr="00A3565D">
        <w:rPr>
          <w:rFonts w:ascii="Palatino Linotype" w:eastAsia="Palatino Linotype" w:hAnsi="Palatino Linotype" w:cs="Palatino Linotype"/>
          <w:i/>
          <w:sz w:val="22"/>
          <w:szCs w:val="22"/>
        </w:rPr>
        <w:t xml:space="preserve"> dentro de sus capacidades entregar.”</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Ahora bien, una vez repasados los antecedentes de este fallo, y al no existir información novedosa en el Informe Justificado por no haber existido aquél, es dable para el Pleno del </w:t>
      </w:r>
      <w:proofErr w:type="spellStart"/>
      <w:r w:rsidRPr="00A3565D">
        <w:rPr>
          <w:rFonts w:ascii="Palatino Linotype" w:eastAsia="Palatino Linotype" w:hAnsi="Palatino Linotype" w:cs="Palatino Linotype"/>
        </w:rPr>
        <w:t>Infoem</w:t>
      </w:r>
      <w:proofErr w:type="spellEnd"/>
      <w:r w:rsidRPr="00A3565D">
        <w:rPr>
          <w:rFonts w:ascii="Palatino Linotype" w:eastAsia="Palatino Linotype" w:hAnsi="Palatino Linotype" w:cs="Palatino Linotype"/>
        </w:rPr>
        <w:t xml:space="preserve"> centrar su atención en los puntos controvertidos y de ahí partir hacia su estudio, y tenemos que: </w:t>
      </w:r>
    </w:p>
    <w:p w:rsidR="00E810BA" w:rsidRPr="00A3565D" w:rsidRDefault="00E810BA">
      <w:pPr>
        <w:pBdr>
          <w:top w:val="nil"/>
          <w:left w:val="nil"/>
          <w:bottom w:val="nil"/>
          <w:right w:val="nil"/>
          <w:between w:val="nil"/>
        </w:pBdr>
        <w:spacing w:line="360" w:lineRule="auto"/>
        <w:jc w:val="both"/>
        <w:rPr>
          <w:rFonts w:ascii="Palatino Linotype" w:eastAsia="Palatino Linotype" w:hAnsi="Palatino Linotype" w:cs="Palatino Linotype"/>
        </w:rPr>
      </w:pPr>
    </w:p>
    <w:tbl>
      <w:tblPr>
        <w:tblStyle w:val="af4"/>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9"/>
        <w:gridCol w:w="5036"/>
        <w:gridCol w:w="1842"/>
      </w:tblGrid>
      <w:tr w:rsidR="00A3565D" w:rsidRPr="00A3565D">
        <w:tc>
          <w:tcPr>
            <w:tcW w:w="2189" w:type="dxa"/>
            <w:vAlign w:val="center"/>
          </w:tcPr>
          <w:p w:rsidR="00E810BA" w:rsidRPr="00A3565D" w:rsidRDefault="008F4367">
            <w:pPr>
              <w:jc w:val="center"/>
              <w:rPr>
                <w:rFonts w:ascii="Palatino Linotype" w:eastAsia="Palatino Linotype" w:hAnsi="Palatino Linotype" w:cs="Palatino Linotype"/>
                <w:b/>
                <w:sz w:val="22"/>
                <w:szCs w:val="22"/>
              </w:rPr>
            </w:pPr>
            <w:r w:rsidRPr="00A3565D">
              <w:rPr>
                <w:rFonts w:ascii="Palatino Linotype" w:eastAsia="Palatino Linotype" w:hAnsi="Palatino Linotype" w:cs="Palatino Linotype"/>
                <w:b/>
                <w:sz w:val="22"/>
                <w:szCs w:val="22"/>
              </w:rPr>
              <w:t>REQUERIMIENTO</w:t>
            </w:r>
          </w:p>
        </w:tc>
        <w:tc>
          <w:tcPr>
            <w:tcW w:w="5036" w:type="dxa"/>
            <w:vAlign w:val="center"/>
          </w:tcPr>
          <w:p w:rsidR="00E810BA" w:rsidRPr="00A3565D" w:rsidRDefault="008F4367">
            <w:pPr>
              <w:jc w:val="center"/>
              <w:rPr>
                <w:rFonts w:ascii="Palatino Linotype" w:eastAsia="Palatino Linotype" w:hAnsi="Palatino Linotype" w:cs="Palatino Linotype"/>
                <w:b/>
                <w:sz w:val="22"/>
                <w:szCs w:val="22"/>
              </w:rPr>
            </w:pPr>
            <w:r w:rsidRPr="00A3565D">
              <w:rPr>
                <w:rFonts w:ascii="Palatino Linotype" w:eastAsia="Palatino Linotype" w:hAnsi="Palatino Linotype" w:cs="Palatino Linotype"/>
                <w:b/>
                <w:sz w:val="22"/>
                <w:szCs w:val="22"/>
              </w:rPr>
              <w:t>RESPUESTA</w:t>
            </w:r>
          </w:p>
        </w:tc>
        <w:tc>
          <w:tcPr>
            <w:tcW w:w="1842" w:type="dxa"/>
            <w:vAlign w:val="center"/>
          </w:tcPr>
          <w:p w:rsidR="00E810BA" w:rsidRPr="00A3565D" w:rsidRDefault="008F4367">
            <w:pPr>
              <w:jc w:val="center"/>
              <w:rPr>
                <w:rFonts w:ascii="Palatino Linotype" w:eastAsia="Palatino Linotype" w:hAnsi="Palatino Linotype" w:cs="Palatino Linotype"/>
                <w:b/>
                <w:sz w:val="22"/>
                <w:szCs w:val="22"/>
              </w:rPr>
            </w:pPr>
            <w:r w:rsidRPr="00A3565D">
              <w:rPr>
                <w:rFonts w:ascii="Palatino Linotype" w:eastAsia="Palatino Linotype" w:hAnsi="Palatino Linotype" w:cs="Palatino Linotype"/>
                <w:b/>
                <w:sz w:val="22"/>
                <w:szCs w:val="22"/>
              </w:rPr>
              <w:t>¿COLMA EL DERECHO DE ACCESO A LA INFORMACIÓN?</w:t>
            </w:r>
          </w:p>
        </w:tc>
      </w:tr>
      <w:tr w:rsidR="00A3565D" w:rsidRPr="00A3565D">
        <w:trPr>
          <w:trHeight w:val="2183"/>
        </w:trPr>
        <w:tc>
          <w:tcPr>
            <w:tcW w:w="2189" w:type="dxa"/>
            <w:vAlign w:val="center"/>
          </w:tcPr>
          <w:p w:rsidR="00E810BA" w:rsidRPr="00A3565D" w:rsidRDefault="008F4367">
            <w:pPr>
              <w:pBdr>
                <w:top w:val="nil"/>
                <w:left w:val="nil"/>
                <w:bottom w:val="nil"/>
                <w:right w:val="nil"/>
                <w:between w:val="nil"/>
              </w:pBdr>
              <w:jc w:val="both"/>
              <w:rPr>
                <w:rFonts w:ascii="Palatino Linotype" w:eastAsia="Palatino Linotype" w:hAnsi="Palatino Linotype" w:cs="Palatino Linotype"/>
                <w:b/>
              </w:rPr>
            </w:pPr>
            <w:r w:rsidRPr="00A3565D">
              <w:rPr>
                <w:rFonts w:ascii="Palatino Linotype" w:eastAsia="Palatino Linotype" w:hAnsi="Palatino Linotype" w:cs="Palatino Linotype"/>
                <w:b/>
              </w:rPr>
              <w:t xml:space="preserve">Nómina de todo el personal de la  segunda quincena de mayo del dos mil veintitrés </w:t>
            </w:r>
          </w:p>
        </w:tc>
        <w:tc>
          <w:tcPr>
            <w:tcW w:w="5036" w:type="dxa"/>
            <w:vAlign w:val="center"/>
          </w:tcPr>
          <w:p w:rsidR="00E810BA" w:rsidRPr="00A3565D" w:rsidRDefault="008F4367">
            <w:pPr>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La Oficialía Mayor de la Tesorería informó que </w:t>
            </w:r>
            <w:r w:rsidRPr="00A3565D">
              <w:rPr>
                <w:rFonts w:ascii="Palatino Linotype" w:eastAsia="Palatino Linotype" w:hAnsi="Palatino Linotype" w:cs="Palatino Linotype"/>
                <w:i/>
              </w:rPr>
              <w:t>“… la documental requerida por el solicitante consta de 1,317 talones de pago impresos por su anverso en copia simple, mismas que se requieren para dar atención a lo solicitado…” (Sic),</w:t>
            </w:r>
            <w:r w:rsidRPr="00A3565D">
              <w:rPr>
                <w:rFonts w:ascii="Palatino Linotype" w:eastAsia="Palatino Linotype" w:hAnsi="Palatino Linotype" w:cs="Palatino Linotype"/>
              </w:rPr>
              <w:t xml:space="preserve"> y además señaló que </w:t>
            </w:r>
            <w:r w:rsidRPr="00A3565D">
              <w:rPr>
                <w:rFonts w:ascii="Palatino Linotype" w:eastAsia="Palatino Linotype" w:hAnsi="Palatino Linotype" w:cs="Palatino Linotype"/>
                <w:i/>
              </w:rPr>
              <w:t xml:space="preserve">“… la reproducción de los mismos genera un costo en materiales…” (Sic) </w:t>
            </w:r>
            <w:r w:rsidRPr="00A3565D">
              <w:rPr>
                <w:rFonts w:ascii="Palatino Linotype" w:eastAsia="Palatino Linotype" w:hAnsi="Palatino Linotype" w:cs="Palatino Linotype"/>
              </w:rPr>
              <w:t>por lo cual la persona solicitante debía de cubrir para que previo pago le fuera entregada la información.</w:t>
            </w:r>
          </w:p>
          <w:p w:rsidR="00E810BA" w:rsidRPr="00A3565D" w:rsidRDefault="008F4367">
            <w:pPr>
              <w:pBdr>
                <w:top w:val="nil"/>
                <w:left w:val="nil"/>
                <w:bottom w:val="nil"/>
                <w:right w:val="nil"/>
                <w:between w:val="nil"/>
              </w:pBdr>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Señaló también que la información yace en el portal de IPOMEX referente a la remuneración bruta y neta del personal, pero que también podría consultarla de manera directa en las oficinas de la Oficialía Mayor del Ayuntamiento, toda vez que remitirla por el SAIMEX sobrepasaría las capacidades técnicas, administrativas y humanas del </w:t>
            </w:r>
            <w:r w:rsidRPr="00A3565D">
              <w:rPr>
                <w:rFonts w:ascii="Palatino Linotype" w:eastAsia="Palatino Linotype" w:hAnsi="Palatino Linotype" w:cs="Palatino Linotype"/>
                <w:b/>
              </w:rPr>
              <w:t>SUJETO OBLIGADO.</w:t>
            </w:r>
            <w:r w:rsidRPr="00A3565D">
              <w:rPr>
                <w:rFonts w:ascii="Palatino Linotype" w:eastAsia="Palatino Linotype" w:hAnsi="Palatino Linotype" w:cs="Palatino Linotype"/>
              </w:rPr>
              <w:t xml:space="preserve"> </w:t>
            </w:r>
          </w:p>
        </w:tc>
        <w:tc>
          <w:tcPr>
            <w:tcW w:w="1842" w:type="dxa"/>
            <w:vAlign w:val="center"/>
          </w:tcPr>
          <w:p w:rsidR="00E810BA" w:rsidRPr="00A3565D" w:rsidRDefault="008F4367">
            <w:pPr>
              <w:jc w:val="center"/>
              <w:rPr>
                <w:rFonts w:ascii="Palatino Linotype" w:eastAsia="Palatino Linotype" w:hAnsi="Palatino Linotype" w:cs="Palatino Linotype"/>
                <w:b/>
              </w:rPr>
            </w:pPr>
            <w:r w:rsidRPr="00A3565D">
              <w:rPr>
                <w:rFonts w:ascii="Palatino Linotype" w:eastAsia="Palatino Linotype" w:hAnsi="Palatino Linotype" w:cs="Palatino Linotype"/>
                <w:b/>
              </w:rPr>
              <w:t>NO</w:t>
            </w:r>
          </w:p>
        </w:tc>
      </w:tr>
      <w:tr w:rsidR="00E810BA" w:rsidRPr="00A3565D">
        <w:trPr>
          <w:trHeight w:val="2183"/>
        </w:trPr>
        <w:tc>
          <w:tcPr>
            <w:tcW w:w="2189" w:type="dxa"/>
            <w:vAlign w:val="center"/>
          </w:tcPr>
          <w:p w:rsidR="00E810BA" w:rsidRPr="00A3565D" w:rsidRDefault="008F4367">
            <w:pPr>
              <w:pBdr>
                <w:top w:val="nil"/>
                <w:left w:val="nil"/>
                <w:bottom w:val="nil"/>
                <w:right w:val="nil"/>
                <w:between w:val="nil"/>
              </w:pBdr>
              <w:jc w:val="both"/>
              <w:rPr>
                <w:rFonts w:ascii="Palatino Linotype" w:eastAsia="Palatino Linotype" w:hAnsi="Palatino Linotype" w:cs="Palatino Linotype"/>
              </w:rPr>
            </w:pPr>
            <w:r w:rsidRPr="00A3565D">
              <w:rPr>
                <w:rFonts w:ascii="Palatino Linotype" w:eastAsia="Palatino Linotype" w:hAnsi="Palatino Linotype" w:cs="Palatino Linotype"/>
                <w:b/>
              </w:rPr>
              <w:lastRenderedPageBreak/>
              <w:t>Información vigente de todos los vehículos oficiales del Ayuntamiento</w:t>
            </w:r>
          </w:p>
        </w:tc>
        <w:tc>
          <w:tcPr>
            <w:tcW w:w="5036" w:type="dxa"/>
            <w:vAlign w:val="center"/>
          </w:tcPr>
          <w:p w:rsidR="00E810BA" w:rsidRPr="00A3565D" w:rsidRDefault="008F4367">
            <w:pPr>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Tanto la Oficialía Mayor de la Tesorería como la Secretaría del Ayuntamiento abundaron en la información requerida, remitiendo la que obra en sus archivos. </w:t>
            </w:r>
          </w:p>
        </w:tc>
        <w:tc>
          <w:tcPr>
            <w:tcW w:w="1842" w:type="dxa"/>
            <w:vAlign w:val="center"/>
          </w:tcPr>
          <w:p w:rsidR="00E810BA" w:rsidRPr="00A3565D" w:rsidRDefault="008F4367">
            <w:pPr>
              <w:jc w:val="center"/>
              <w:rPr>
                <w:rFonts w:ascii="Palatino Linotype" w:eastAsia="Palatino Linotype" w:hAnsi="Palatino Linotype" w:cs="Palatino Linotype"/>
                <w:b/>
              </w:rPr>
            </w:pPr>
            <w:r w:rsidRPr="00A3565D">
              <w:rPr>
                <w:rFonts w:ascii="Palatino Linotype" w:eastAsia="Palatino Linotype" w:hAnsi="Palatino Linotype" w:cs="Palatino Linotype"/>
                <w:b/>
              </w:rPr>
              <w:t>SÍ</w:t>
            </w:r>
          </w:p>
        </w:tc>
      </w:tr>
    </w:tbl>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Ahora bien, antes de entrar al estudio de fondo de la respuesta emitida, queda de manifiesto que </w:t>
      </w:r>
      <w:r w:rsidRPr="00A3565D">
        <w:rPr>
          <w:rFonts w:ascii="Palatino Linotype" w:eastAsia="Palatino Linotype" w:hAnsi="Palatino Linotype" w:cs="Palatino Linotype"/>
          <w:b/>
        </w:rPr>
        <w:t>LA PARTE RECURRENTE</w:t>
      </w:r>
      <w:r w:rsidRPr="00A3565D">
        <w:rPr>
          <w:rFonts w:ascii="Palatino Linotype" w:eastAsia="Palatino Linotype" w:hAnsi="Palatino Linotype" w:cs="Palatino Linotype"/>
        </w:rPr>
        <w:t xml:space="preserve"> se inconformó únicamente por </w:t>
      </w:r>
      <w:r w:rsidRPr="00A3565D">
        <w:rPr>
          <w:rFonts w:ascii="Palatino Linotype" w:eastAsia="Palatino Linotype" w:hAnsi="Palatino Linotype" w:cs="Palatino Linotype"/>
          <w:i/>
        </w:rPr>
        <w:t xml:space="preserve">“No hacen entrega completa de la información que se </w:t>
      </w:r>
      <w:proofErr w:type="spellStart"/>
      <w:r w:rsidRPr="00A3565D">
        <w:rPr>
          <w:rFonts w:ascii="Palatino Linotype" w:eastAsia="Palatino Linotype" w:hAnsi="Palatino Linotype" w:cs="Palatino Linotype"/>
          <w:i/>
        </w:rPr>
        <w:t>solicito</w:t>
      </w:r>
      <w:proofErr w:type="spellEnd"/>
      <w:r w:rsidRPr="00A3565D">
        <w:rPr>
          <w:rFonts w:ascii="Palatino Linotype" w:eastAsia="Palatino Linotype" w:hAnsi="Palatino Linotype" w:cs="Palatino Linotype"/>
          <w:i/>
        </w:rPr>
        <w:t xml:space="preserve"> al Ayuntamiento de Nicolás Romero, argumentando que dedo de realizar un pago,…” (Sic) </w:t>
      </w:r>
      <w:r w:rsidRPr="00A3565D">
        <w:rPr>
          <w:rFonts w:ascii="Palatino Linotype" w:eastAsia="Palatino Linotype" w:hAnsi="Palatino Linotype" w:cs="Palatino Linotype"/>
        </w:rPr>
        <w:t xml:space="preserve">se denota que no hubo ninguna manifestación expresa en torno al resto de los requerimientos realizados como lo es la información vigente de todos los vehículos oficiales del Ayuntamiento, por lo cual esas partes de la respuesta deben declararse como consentidas por </w:t>
      </w:r>
      <w:r w:rsidRPr="00A3565D">
        <w:rPr>
          <w:rFonts w:ascii="Palatino Linotype" w:eastAsia="Palatino Linotype" w:hAnsi="Palatino Linotype" w:cs="Palatino Linotype"/>
          <w:b/>
        </w:rPr>
        <w:t>LA PARTE RECURRENTE,</w:t>
      </w:r>
      <w:r w:rsidRPr="00A3565D">
        <w:rPr>
          <w:rFonts w:ascii="Palatino Linotype" w:eastAsia="Palatino Linotype" w:hAnsi="Palatino Linotype" w:cs="Palatino Linotype"/>
        </w:rPr>
        <w:t xml:space="preserve"> dicho que se apoya con lo plasmado en el criterio 01/20 emitido por el Instituto Nacional de Transparencia, Acceso a la Información, y Protección de Datos Personales, INAI, que lleva por rubro y texto los siguientes: </w:t>
      </w:r>
    </w:p>
    <w:p w:rsidR="00E810BA" w:rsidRPr="00A3565D" w:rsidRDefault="00E810BA">
      <w:pPr>
        <w:pBdr>
          <w:top w:val="nil"/>
          <w:left w:val="nil"/>
          <w:bottom w:val="nil"/>
          <w:right w:val="nil"/>
          <w:between w:val="nil"/>
        </w:pBdr>
        <w:ind w:left="851" w:right="902"/>
        <w:jc w:val="both"/>
        <w:rPr>
          <w:rFonts w:ascii="Palatino Linotype" w:eastAsia="Palatino Linotype" w:hAnsi="Palatino Linotype" w:cs="Palatino Linotype"/>
          <w:b/>
          <w:i/>
        </w:rPr>
      </w:pPr>
    </w:p>
    <w:p w:rsidR="00E810BA" w:rsidRPr="00A3565D" w:rsidRDefault="008F4367">
      <w:pPr>
        <w:pBdr>
          <w:top w:val="nil"/>
          <w:left w:val="nil"/>
          <w:bottom w:val="nil"/>
          <w:right w:val="nil"/>
          <w:between w:val="nil"/>
        </w:pBdr>
        <w:ind w:left="851" w:right="902"/>
        <w:jc w:val="both"/>
      </w:pPr>
      <w:r w:rsidRPr="00A3565D">
        <w:rPr>
          <w:rFonts w:ascii="Palatino Linotype" w:eastAsia="Palatino Linotype" w:hAnsi="Palatino Linotype" w:cs="Palatino Linotype"/>
          <w:b/>
          <w:i/>
        </w:rPr>
        <w:t xml:space="preserve">Actos consentidos tácitamente. Improcedencia de su análisis. </w:t>
      </w:r>
      <w:r w:rsidRPr="00A3565D">
        <w:rPr>
          <w:rFonts w:ascii="Palatino Linotype" w:eastAsia="Palatino Linotype" w:hAnsi="Palatino Linotype" w:cs="Palatino Linotype"/>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E810BA" w:rsidRPr="00A3565D" w:rsidRDefault="00E810BA"/>
    <w:p w:rsidR="00E810BA" w:rsidRPr="00A3565D" w:rsidRDefault="008F4367">
      <w:pPr>
        <w:pBdr>
          <w:top w:val="nil"/>
          <w:left w:val="nil"/>
          <w:bottom w:val="nil"/>
          <w:right w:val="nil"/>
          <w:between w:val="nil"/>
        </w:pBd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rsidR="00E810BA" w:rsidRPr="00A3565D" w:rsidRDefault="00E810BA">
      <w:pPr>
        <w:pBdr>
          <w:top w:val="nil"/>
          <w:left w:val="nil"/>
          <w:bottom w:val="nil"/>
          <w:right w:val="nil"/>
          <w:between w:val="nil"/>
        </w:pBdr>
        <w:ind w:left="851" w:right="900"/>
        <w:jc w:val="both"/>
        <w:rPr>
          <w:rFonts w:ascii="Palatino Linotype" w:eastAsia="Palatino Linotype" w:hAnsi="Palatino Linotype" w:cs="Palatino Linotype"/>
          <w:b/>
          <w:i/>
          <w:smallCaps/>
        </w:rPr>
      </w:pPr>
    </w:p>
    <w:p w:rsidR="00E810BA" w:rsidRPr="00A3565D" w:rsidRDefault="008F4367">
      <w:pPr>
        <w:pBdr>
          <w:top w:val="nil"/>
          <w:left w:val="nil"/>
          <w:bottom w:val="nil"/>
          <w:right w:val="nil"/>
          <w:between w:val="nil"/>
        </w:pBdr>
        <w:ind w:left="851" w:right="900"/>
        <w:jc w:val="both"/>
      </w:pPr>
      <w:r w:rsidRPr="00A3565D">
        <w:rPr>
          <w:rFonts w:ascii="Palatino Linotype" w:eastAsia="Palatino Linotype" w:hAnsi="Palatino Linotype" w:cs="Palatino Linotype"/>
          <w:b/>
          <w:i/>
          <w:smallCaps/>
        </w:rPr>
        <w:lastRenderedPageBreak/>
        <w:t xml:space="preserve">ACTOS CONSENTIDOS. SON LOS QUE NO SE IMPUGNAN MEDIANTE EL RECURSO IDÓNEO. </w:t>
      </w:r>
      <w:r w:rsidRPr="00A3565D">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E810BA" w:rsidRPr="00A3565D" w:rsidRDefault="008F4367">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r w:rsidRPr="00A3565D">
        <w:br/>
      </w:r>
      <w:r w:rsidRPr="00A3565D">
        <w:rPr>
          <w:rFonts w:ascii="Palatino Linotype" w:eastAsia="Palatino Linotype" w:hAnsi="Palatino Linotype" w:cs="Palatino Linotype"/>
        </w:rPr>
        <w:t xml:space="preserve">Consecuentemente, la parte de la respuesta relativa la información vigente de todos los vehículos oficiales del Ayuntamiento debe declararse consentida, toda vez que, </w:t>
      </w:r>
      <w:r w:rsidRPr="00A3565D">
        <w:rPr>
          <w:rFonts w:ascii="Palatino Linotype" w:eastAsia="Palatino Linotype" w:hAnsi="Palatino Linotype" w:cs="Palatino Linotype"/>
          <w:b/>
        </w:rPr>
        <w:t>LA PARTE RECURRENTE</w:t>
      </w:r>
      <w:r w:rsidRPr="00A3565D">
        <w:rPr>
          <w:rFonts w:ascii="Palatino Linotype" w:eastAsia="Palatino Linotype" w:hAnsi="Palatino Linotype" w:cs="Palatino Linotype"/>
        </w:rPr>
        <w:t xml:space="preserve"> no realizó manifestaciones de inconformidad para combatirlas; por lo que, no pueden producirse efectos jurídicos tendentes a revocar, confirmar o modificar el acto reclamado, ya que se infiere su consentimiento ante la falta de impugnación eficaz.</w:t>
      </w:r>
    </w:p>
    <w:p w:rsidR="00E810BA" w:rsidRPr="00A3565D" w:rsidRDefault="00E810BA">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p>
    <w:p w:rsidR="00E810BA" w:rsidRPr="00A3565D" w:rsidRDefault="008F4367">
      <w:pPr>
        <w:spacing w:line="360" w:lineRule="auto"/>
        <w:ind w:right="51"/>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Además tenemos que </w:t>
      </w:r>
      <w:r w:rsidRPr="00A3565D">
        <w:rPr>
          <w:rFonts w:ascii="Palatino Linotype" w:eastAsia="Palatino Linotype" w:hAnsi="Palatino Linotype" w:cs="Palatino Linotype"/>
          <w:b/>
        </w:rPr>
        <w:t>EL SUJETO OBLIGADO</w:t>
      </w:r>
      <w:r w:rsidRPr="00A3565D">
        <w:rPr>
          <w:rFonts w:ascii="Palatino Linotype" w:eastAsia="Palatino Linotype" w:hAnsi="Palatino Linotype" w:cs="Palatino Linotype"/>
        </w:rPr>
        <w:t xml:space="preserve">, siguió el procedimiento establecido por el artículo 162 de la Ley de Transparencia y Acceso a la Información Pública del Estado de México y Municipios, ya que turnó la solicitud a las áreas en las que podría obrar la información de conformidad con la fracción XXXIX del artículo tercero de la legislación local vigente en materia de transparencia, la Persona Servidora Pública Habilitada es el competente para apoyar, gestionar y entregar la información: </w:t>
      </w:r>
    </w:p>
    <w:p w:rsidR="00E810BA" w:rsidRPr="00A3565D" w:rsidRDefault="00E810B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rsidR="00E810BA" w:rsidRPr="00A3565D" w:rsidRDefault="00E810B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E810BA" w:rsidRPr="00A3565D" w:rsidRDefault="008F4367">
      <w:pPr>
        <w:shd w:val="clear" w:color="auto" w:fill="FFFFFF"/>
        <w:spacing w:line="360" w:lineRule="auto"/>
        <w:jc w:val="both"/>
      </w:pPr>
      <w:r w:rsidRPr="00A3565D">
        <w:rPr>
          <w:rFonts w:ascii="Palatino Linotype" w:eastAsia="Palatino Linotype" w:hAnsi="Palatino Linotype" w:cs="Palatino Linotype"/>
        </w:rPr>
        <w:lastRenderedPageBreak/>
        <w:t>En este orden de ideas, se advierte que efectivamente la Unidad de Transparencia cumplió con lo expresado en el artículo 162 de la Ley de Transparencia y Acceso a la Información Pública del Estado de México y Municipios, el cual menciona lo siguiente:</w:t>
      </w:r>
    </w:p>
    <w:p w:rsidR="00E810BA" w:rsidRPr="00A3565D" w:rsidRDefault="00E810B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Artículo 162. Las unidades de transparencia deberán garantizar que las solicitudes </w:t>
      </w:r>
      <w:r w:rsidRPr="00A3565D">
        <w:rPr>
          <w:rFonts w:ascii="Palatino Linotype" w:eastAsia="Palatino Linotype" w:hAnsi="Palatino Linotype" w:cs="Palatino Linotype"/>
          <w:b/>
          <w:i/>
          <w:sz w:val="22"/>
          <w:szCs w:val="22"/>
        </w:rPr>
        <w:t xml:space="preserve">se turnen a todas las Áreas competentes </w:t>
      </w:r>
      <w:r w:rsidRPr="00A3565D">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rsidR="00E810BA" w:rsidRPr="00A3565D" w:rsidRDefault="00E810BA">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p>
    <w:p w:rsidR="00E810BA" w:rsidRPr="00A3565D" w:rsidRDefault="008F4367">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Ahora bien, este Instituto de Transparencia analizará el marco normativo que faculta al Ayuntamiento de Nicolás Romero para entregar la información solicitada: </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A3565D">
        <w:rPr>
          <w:rFonts w:ascii="Palatino Linotype" w:eastAsia="Palatino Linotype" w:hAnsi="Palatino Linotype" w:cs="Palatino Linotype"/>
          <w:b/>
          <w:i/>
          <w:sz w:val="22"/>
          <w:szCs w:val="22"/>
        </w:rPr>
        <w:t xml:space="preserve">LEY ORGÁNICA MUNICIPAL DEL ESTADO DE MÉXICO </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TITULO IV Régimen Administrativo </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CAPITULO PRIMERO De las Dependencias Administrativas</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Artículo 87.- Para el despacho, estudio y planeación de los diversos asuntos de la administración municipal, el ayuntamiento contará por lo menos con las siguientes Dependencias: </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A3565D">
        <w:rPr>
          <w:rFonts w:ascii="Palatino Linotype" w:eastAsia="Palatino Linotype" w:hAnsi="Palatino Linotype" w:cs="Palatino Linotype"/>
          <w:b/>
          <w:i/>
          <w:sz w:val="22"/>
          <w:szCs w:val="22"/>
        </w:rPr>
        <w:t>II. La tesorería municipal.</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CAPITULO SEGUNDO De la Tesorería Municipal</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Artículo 95.- Son atribuciones del tesorero municipal: </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I. </w:t>
      </w:r>
      <w:r w:rsidRPr="00A3565D">
        <w:rPr>
          <w:rFonts w:ascii="Palatino Linotype" w:eastAsia="Palatino Linotype" w:hAnsi="Palatino Linotype" w:cs="Palatino Linotype"/>
          <w:b/>
          <w:i/>
          <w:sz w:val="22"/>
          <w:szCs w:val="22"/>
        </w:rPr>
        <w:t>Administrar la hacienda pública municipal, de conformidad con las disposiciones legales aplicables;</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A3565D">
        <w:rPr>
          <w:rFonts w:ascii="Palatino Linotype" w:eastAsia="Palatino Linotype" w:hAnsi="Palatino Linotype" w:cs="Palatino Linotype"/>
          <w:b/>
          <w:i/>
          <w:sz w:val="22"/>
          <w:szCs w:val="22"/>
        </w:rPr>
        <w:t>IV. Llevar los registros contables, financieros y administrativos de los ingresos, egresos, e inventarios;</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A3565D">
        <w:rPr>
          <w:rFonts w:ascii="Palatino Linotype" w:eastAsia="Palatino Linotype" w:hAnsi="Palatino Linotype" w:cs="Palatino Linotype"/>
          <w:b/>
          <w:i/>
          <w:sz w:val="22"/>
          <w:szCs w:val="22"/>
        </w:rPr>
        <w:t>BANDO MUNICIPAL DE NICOLÁS ROMERO 2023</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lastRenderedPageBreak/>
        <w:t xml:space="preserve">TÍTULO QUINTO DE LA ORGANIZACIÓN DE LA ADMINISTRACIÓN PÚBLICA MUNICIPAL </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CAPÍTULO I DE LA ORGANIZACIÓN </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Artículo 50. La Administración Pública Municipal está constituida por una estructura orgánica que actúa para el cumplimiento de los objetivos del Ayuntamiento de manera programada, con base en las políticas establecidas en el Plan de Desarrollo Municipal y las que dicte el Ejecutivo Municipal; por lo que, para el ejercicio de sus atribuciones y responsabilidades ejecutivas, el Gobierno Municipal se auxiliará con las dependencias, entidades y organismos auxiliares de la Administración Pública Municipal, que acuerde el Cabildo a propuesta del Presidente Municipal, las que estarán subordinadas a este servidor público. </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Para una mejor eficiencia, la administración pública municipal se divide en Centralizada, Descentralizada y Desconcentrada; la Centralizada se constituye por las dependencias que señala la Ley Orgánica Municipal del Estado de México, así como por aquellas que sean creadas por acuerdo de Cabildo.</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A. La Administración Pública Centralizada se integra por: </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VII. Tesorería Municipal; </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SECCIÓN SÉPTIMA TESORERÍA MUNICIPAL </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Artículo 97. La Tesorería Municipal es la Dependencia encargada de dirigir la política hacendaria municipal, la recaudación de los ingresos municipales, las erogaciones que deba hacer el Ayuntamiento, así como proporcionar, </w:t>
      </w:r>
      <w:r w:rsidRPr="00A3565D">
        <w:rPr>
          <w:rFonts w:ascii="Palatino Linotype" w:eastAsia="Palatino Linotype" w:hAnsi="Palatino Linotype" w:cs="Palatino Linotype"/>
          <w:b/>
          <w:i/>
          <w:sz w:val="22"/>
          <w:szCs w:val="22"/>
        </w:rPr>
        <w:t>a través de la Oficialía Mayor,</w:t>
      </w:r>
      <w:r w:rsidRPr="00A3565D">
        <w:rPr>
          <w:rFonts w:ascii="Palatino Linotype" w:eastAsia="Palatino Linotype" w:hAnsi="Palatino Linotype" w:cs="Palatino Linotype"/>
          <w:i/>
          <w:sz w:val="22"/>
          <w:szCs w:val="22"/>
        </w:rPr>
        <w:t xml:space="preserve"> los recursos materiales, humanos, servicios generales, mantenimiento preventivo y correctivo a los bienes muebles e inmuebles que conforman el patrimonio municipal y aquellos con los que se prestan servicios públicos, a efecto de satisfacer las necesidades de las diferentes dependencias que integran la Administración Pública Municipal, siempre con estricto apego a la normatividad de la materia.</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E810BA">
      <w:pPr>
        <w:pBdr>
          <w:top w:val="nil"/>
          <w:left w:val="nil"/>
          <w:bottom w:val="nil"/>
          <w:right w:val="nil"/>
          <w:between w:val="nil"/>
        </w:pBdr>
        <w:spacing w:line="360" w:lineRule="auto"/>
        <w:jc w:val="both"/>
        <w:rPr>
          <w:rFonts w:ascii="Palatino Linotype" w:eastAsia="Palatino Linotype" w:hAnsi="Palatino Linotype" w:cs="Palatino Linotype"/>
        </w:rPr>
      </w:pP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 xml:space="preserve">Además, es dable definir que al haber existido un pronunciamiento por parte de la Persona Servidora Pública Habilitada Competente de la Tesorería Municipal; esta Autoridad Mexiquense no está facultada para dudar de la veracidad de la información proporcionada por </w:t>
      </w:r>
      <w:r w:rsidRPr="00A3565D">
        <w:rPr>
          <w:rFonts w:ascii="Palatino Linotype" w:eastAsia="Palatino Linotype" w:hAnsi="Palatino Linotype" w:cs="Palatino Linotype"/>
          <w:b/>
        </w:rPr>
        <w:t>EL SUJETO OBLIGADO</w:t>
      </w:r>
      <w:r w:rsidRPr="00A3565D">
        <w:rPr>
          <w:rFonts w:ascii="Palatino Linotype" w:eastAsia="Palatino Linotype" w:hAnsi="Palatino Linotype" w:cs="Palatino Linotype"/>
        </w:rPr>
        <w:t xml:space="preserve">, lo cual, se robustece con </w:t>
      </w:r>
      <w:r w:rsidRPr="00A3565D">
        <w:rPr>
          <w:rFonts w:ascii="Palatino Linotype" w:eastAsia="Palatino Linotype" w:hAnsi="Palatino Linotype" w:cs="Palatino Linotype"/>
        </w:rPr>
        <w:lastRenderedPageBreak/>
        <w:t xml:space="preserve">lo plasmado en el criterio de interpretación para Sujetos Obligados, reiterado histórico con clave de control </w:t>
      </w:r>
      <w:r w:rsidRPr="00A3565D">
        <w:rPr>
          <w:rFonts w:ascii="Palatino Linotype" w:eastAsia="Palatino Linotype" w:hAnsi="Palatino Linotype" w:cs="Palatino Linotype"/>
          <w:i/>
        </w:rPr>
        <w:t>SO/031/2010</w:t>
      </w:r>
      <w:r w:rsidRPr="00A3565D">
        <w:rPr>
          <w:rFonts w:ascii="Palatino Linotype" w:eastAsia="Palatino Linotype" w:hAnsi="Palatino Linotype" w:cs="Palatino Linotype"/>
        </w:rPr>
        <w:t xml:space="preserve"> emitido por el entonces Instituto Federal de Acceso a la Información y Protección de Datos (IFAI) ahora Instituto Nacional de Transparencia, Acceso a la Información, y Protección de Datos Personales (INAI), que lleva por rubro y texto los siguientes:</w:t>
      </w:r>
    </w:p>
    <w:p w:rsidR="00E810BA" w:rsidRPr="00A3565D" w:rsidRDefault="00E810BA"/>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Sin detrimento de lo expuesto, no es óbice para esta Autoridad Mexiquense referirse al contenido de la información, y es que de una revisión minuciosa del oficio </w:t>
      </w:r>
      <w:r w:rsidRPr="00A3565D">
        <w:rPr>
          <w:rFonts w:ascii="Palatino Linotype" w:eastAsia="Palatino Linotype" w:hAnsi="Palatino Linotype" w:cs="Palatino Linotype"/>
          <w:i/>
        </w:rPr>
        <w:t>NR/TM/OM/RH/570/2023</w:t>
      </w:r>
      <w:r w:rsidRPr="00A3565D">
        <w:rPr>
          <w:rFonts w:ascii="Palatino Linotype" w:eastAsia="Palatino Linotype" w:hAnsi="Palatino Linotype" w:cs="Palatino Linotype"/>
        </w:rPr>
        <w:t xml:space="preserve"> emitido por la Oficialía Mayor de la Tesorería Municipal se advierte el cobro por la entrega de la información, esto derivado que según a su dicho, son mil trecientos diecisiete talones de pago respectivos a la segunda quincena de mayo de dos mil veintitrés. </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pBdr>
          <w:top w:val="nil"/>
          <w:left w:val="nil"/>
          <w:bottom w:val="nil"/>
          <w:right w:val="nil"/>
          <w:between w:val="nil"/>
        </w:pBd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Determinado lo anterior, analizaremos la información que podría satisfacer el requerimiento de </w:t>
      </w:r>
      <w:r w:rsidRPr="00A3565D">
        <w:rPr>
          <w:rFonts w:ascii="Palatino Linotype" w:eastAsia="Palatino Linotype" w:hAnsi="Palatino Linotype" w:cs="Palatino Linotype"/>
          <w:b/>
        </w:rPr>
        <w:t>LA PARTE RECURRENTE,</w:t>
      </w:r>
      <w:r w:rsidRPr="00A3565D">
        <w:rPr>
          <w:rFonts w:ascii="Palatino Linotype" w:eastAsia="Palatino Linotype" w:hAnsi="Palatino Linotype" w:cs="Palatino Linotype"/>
        </w:rPr>
        <w:t xml:space="preserve"> y conveniente citar el Marco </w:t>
      </w:r>
      <w:r w:rsidRPr="00A3565D">
        <w:rPr>
          <w:rFonts w:ascii="Palatino Linotype" w:eastAsia="Palatino Linotype" w:hAnsi="Palatino Linotype" w:cs="Palatino Linotype"/>
        </w:rPr>
        <w:lastRenderedPageBreak/>
        <w:t xml:space="preserve">Normativo que faculta al </w:t>
      </w:r>
      <w:r w:rsidRPr="00A3565D">
        <w:rPr>
          <w:rFonts w:ascii="Palatino Linotype" w:eastAsia="Palatino Linotype" w:hAnsi="Palatino Linotype" w:cs="Palatino Linotype"/>
          <w:b/>
        </w:rPr>
        <w:t>SUJETO OBLIGADO</w:t>
      </w:r>
      <w:r w:rsidRPr="00A3565D">
        <w:rPr>
          <w:rFonts w:ascii="Palatino Linotype" w:eastAsia="Palatino Linotype" w:hAnsi="Palatino Linotype" w:cs="Palatino Linotype"/>
        </w:rPr>
        <w:t xml:space="preserve"> para dotar de la información requerida, se estima que de manera enunciativa más no limitativa, el documento con el cual se puede colmar el requerimiento de información es la conciliación de nómina de los servidores públicos que se genera para entregar al Órgano Superior de Fiscalización del Estado de México como parte del informe trimestral.</w:t>
      </w:r>
    </w:p>
    <w:p w:rsidR="00E810BA" w:rsidRPr="00A3565D" w:rsidRDefault="00E810BA">
      <w:pPr>
        <w:pBdr>
          <w:top w:val="nil"/>
          <w:left w:val="nil"/>
          <w:bottom w:val="nil"/>
          <w:right w:val="nil"/>
          <w:between w:val="nil"/>
        </w:pBdr>
        <w:spacing w:line="360" w:lineRule="auto"/>
        <w:jc w:val="both"/>
        <w:rPr>
          <w:rFonts w:ascii="Palatino Linotype" w:eastAsia="Palatino Linotype" w:hAnsi="Palatino Linotype" w:cs="Palatino Linotype"/>
        </w:rPr>
      </w:pPr>
    </w:p>
    <w:p w:rsidR="00E810BA" w:rsidRPr="00A3565D" w:rsidRDefault="008F4367">
      <w:pPr>
        <w:pBdr>
          <w:top w:val="nil"/>
          <w:left w:val="nil"/>
          <w:bottom w:val="nil"/>
          <w:right w:val="nil"/>
          <w:between w:val="nil"/>
        </w:pBdr>
        <w:spacing w:line="360" w:lineRule="auto"/>
        <w:jc w:val="both"/>
        <w:rPr>
          <w:rFonts w:ascii="Palatino Linotype" w:eastAsia="Palatino Linotype" w:hAnsi="Palatino Linotype" w:cs="Palatino Linotype"/>
          <w:i/>
        </w:rPr>
      </w:pPr>
      <w:r w:rsidRPr="00A3565D">
        <w:rPr>
          <w:rFonts w:ascii="Palatino Linotype" w:eastAsia="Palatino Linotype" w:hAnsi="Palatino Linotype" w:cs="Palatino Linotype"/>
        </w:rPr>
        <w:t>En ese sentido, para conceptualizar el término “</w:t>
      </w:r>
      <w:r w:rsidRPr="00A3565D">
        <w:rPr>
          <w:rFonts w:ascii="Palatino Linotype" w:eastAsia="Palatino Linotype" w:hAnsi="Palatino Linotype" w:cs="Palatino Linotype"/>
          <w:i/>
        </w:rPr>
        <w:t xml:space="preserve">nómina”, </w:t>
      </w:r>
      <w:r w:rsidRPr="00A3565D">
        <w:rPr>
          <w:rFonts w:ascii="Palatino Linotype" w:eastAsia="Palatino Linotype" w:hAnsi="Palatino Linotype" w:cs="Palatino Linotype"/>
        </w:rPr>
        <w:t xml:space="preserve">se tiene que este no se encuentra definido propiamente en nuestra legislación, sin embargo, el “Glosario de Términos para el Proceso de Planeación, Programación, </w:t>
      </w:r>
      <w:proofErr w:type="spellStart"/>
      <w:r w:rsidRPr="00A3565D">
        <w:rPr>
          <w:rFonts w:ascii="Palatino Linotype" w:eastAsia="Palatino Linotype" w:hAnsi="Palatino Linotype" w:cs="Palatino Linotype"/>
        </w:rPr>
        <w:t>Presupuestación</w:t>
      </w:r>
      <w:proofErr w:type="spellEnd"/>
      <w:r w:rsidRPr="00A3565D">
        <w:rPr>
          <w:rFonts w:ascii="Palatino Linotype" w:eastAsia="Palatino Linotype" w:hAnsi="Palatino Linotype" w:cs="Palatino Linotype"/>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A3565D">
        <w:rPr>
          <w:rFonts w:ascii="Palatino Linotype" w:eastAsia="Palatino Linotype" w:hAnsi="Palatino Linotype" w:cs="Palatino Linotype"/>
          <w:i/>
        </w:rPr>
        <w:t>listado general de los trabajadores de una institución, en</w:t>
      </w:r>
      <w:r w:rsidRPr="00A3565D">
        <w:rPr>
          <w:rFonts w:ascii="Palatino Linotype" w:eastAsia="Palatino Linotype" w:hAnsi="Palatino Linotype" w:cs="Palatino Linotype"/>
          <w:b/>
          <w:i/>
        </w:rPr>
        <w:t xml:space="preserve"> </w:t>
      </w:r>
      <w:r w:rsidRPr="00A3565D">
        <w:rPr>
          <w:rFonts w:ascii="Palatino Linotype" w:eastAsia="Palatino Linotype" w:hAnsi="Palatino Linotype" w:cs="Palatino Linotype"/>
          <w:i/>
        </w:rPr>
        <w:t xml:space="preserve">el cual se </w:t>
      </w:r>
      <w:r w:rsidRPr="00A3565D">
        <w:rPr>
          <w:rFonts w:ascii="Palatino Linotype" w:eastAsia="Palatino Linotype" w:hAnsi="Palatino Linotype" w:cs="Palatino Linotype"/>
          <w:b/>
          <w:i/>
        </w:rPr>
        <w:t xml:space="preserve">asientan las </w:t>
      </w:r>
      <w:r w:rsidRPr="00A3565D">
        <w:rPr>
          <w:rFonts w:ascii="Palatino Linotype" w:eastAsia="Palatino Linotype" w:hAnsi="Palatino Linotype" w:cs="Palatino Linotype"/>
          <w:b/>
          <w:i/>
          <w:u w:val="single"/>
        </w:rPr>
        <w:t>percepciones brutas, deducciones y alcance neto de las mismas</w:t>
      </w:r>
      <w:r w:rsidRPr="00A3565D">
        <w:rPr>
          <w:rFonts w:ascii="Palatino Linotype" w:eastAsia="Palatino Linotype" w:hAnsi="Palatino Linotype" w:cs="Palatino Linotype"/>
          <w:i/>
        </w:rPr>
        <w:t>; la nómina es utilizada para</w:t>
      </w:r>
      <w:r w:rsidRPr="00A3565D">
        <w:rPr>
          <w:rFonts w:ascii="Palatino Linotype" w:eastAsia="Palatino Linotype" w:hAnsi="Palatino Linotype" w:cs="Palatino Linotype"/>
          <w:b/>
          <w:i/>
        </w:rPr>
        <w:t xml:space="preserve"> efectuar los pagos periódicos</w:t>
      </w:r>
      <w:r w:rsidRPr="00A3565D">
        <w:rPr>
          <w:rFonts w:ascii="Palatino Linotype" w:eastAsia="Palatino Linotype" w:hAnsi="Palatino Linotype" w:cs="Palatino Linotype"/>
          <w:i/>
        </w:rPr>
        <w:t xml:space="preserve"> (semanales, quincenales o</w:t>
      </w:r>
      <w:r w:rsidRPr="00A3565D">
        <w:rPr>
          <w:rFonts w:ascii="Palatino Linotype" w:eastAsia="Palatino Linotype" w:hAnsi="Palatino Linotype" w:cs="Palatino Linotype"/>
          <w:b/>
          <w:i/>
        </w:rPr>
        <w:t xml:space="preserve"> </w:t>
      </w:r>
      <w:r w:rsidRPr="00A3565D">
        <w:rPr>
          <w:rFonts w:ascii="Palatino Linotype" w:eastAsia="Palatino Linotype" w:hAnsi="Palatino Linotype" w:cs="Palatino Linotype"/>
          <w:i/>
        </w:rPr>
        <w:t xml:space="preserve">mensuales) a los trabajadores por concepto de </w:t>
      </w:r>
      <w:r w:rsidRPr="00A3565D">
        <w:rPr>
          <w:rFonts w:ascii="Palatino Linotype" w:eastAsia="Palatino Linotype" w:hAnsi="Palatino Linotype" w:cs="Palatino Linotype"/>
          <w:b/>
          <w:i/>
        </w:rPr>
        <w:t>sueldos y salarios</w:t>
      </w:r>
      <w:r w:rsidRPr="00A3565D">
        <w:rPr>
          <w:rFonts w:ascii="Palatino Linotype" w:eastAsia="Palatino Linotype" w:hAnsi="Palatino Linotype" w:cs="Palatino Linotype"/>
          <w:i/>
        </w:rPr>
        <w:t>.</w:t>
      </w:r>
    </w:p>
    <w:p w:rsidR="00E810BA" w:rsidRPr="00A3565D" w:rsidRDefault="00E810BA">
      <w:pPr>
        <w:pBdr>
          <w:top w:val="nil"/>
          <w:left w:val="nil"/>
          <w:bottom w:val="nil"/>
          <w:right w:val="nil"/>
          <w:between w:val="nil"/>
        </w:pBdr>
        <w:spacing w:line="360" w:lineRule="auto"/>
        <w:jc w:val="both"/>
        <w:rPr>
          <w:rFonts w:ascii="Palatino Linotype" w:eastAsia="Palatino Linotype" w:hAnsi="Palatino Linotype" w:cs="Palatino Linotype"/>
          <w:i/>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Documento o término que ha sido mencionado en diferentes ordenamientos legales, tal es el caso, de la </w:t>
      </w:r>
      <w:r w:rsidRPr="00A3565D">
        <w:rPr>
          <w:rFonts w:ascii="Palatino Linotype" w:eastAsia="Palatino Linotype" w:hAnsi="Palatino Linotype" w:cs="Palatino Linotype"/>
          <w:i/>
        </w:rPr>
        <w:t>Ley Federal del Trabajo</w:t>
      </w:r>
      <w:r w:rsidRPr="00A3565D">
        <w:rPr>
          <w:rFonts w:ascii="Palatino Linotype" w:eastAsia="Palatino Linotype" w:hAnsi="Palatino Linotype" w:cs="Palatino Linotype"/>
        </w:rPr>
        <w:t xml:space="preserve"> en el artículo 804 fracción II, que además reconoce los recibos de pagos de salarios, por lo que resulta indispensable citar el artículo de referencia.</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Artículo 804.-</w:t>
      </w:r>
      <w:r w:rsidRPr="00A3565D">
        <w:rPr>
          <w:rFonts w:ascii="Palatino Linotype" w:eastAsia="Palatino Linotype" w:hAnsi="Palatino Linotype" w:cs="Palatino Linotype"/>
          <w:i/>
          <w:sz w:val="22"/>
          <w:szCs w:val="22"/>
        </w:rPr>
        <w:t xml:space="preserve"> El patrón tiene obligación de conservar y exhibir en juicio los documentos que a continuación se precisan:</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A3565D">
        <w:rPr>
          <w:rFonts w:ascii="Palatino Linotype" w:eastAsia="Palatino Linotype" w:hAnsi="Palatino Linotype" w:cs="Palatino Linotype"/>
          <w:b/>
          <w:i/>
          <w:sz w:val="22"/>
          <w:szCs w:val="22"/>
        </w:rPr>
        <w:lastRenderedPageBreak/>
        <w:t>II.</w:t>
      </w:r>
      <w:r w:rsidRPr="00A3565D">
        <w:rPr>
          <w:rFonts w:ascii="Palatino Linotype" w:eastAsia="Palatino Linotype" w:hAnsi="Palatino Linotype" w:cs="Palatino Linotype"/>
          <w:i/>
          <w:sz w:val="22"/>
          <w:szCs w:val="22"/>
        </w:rPr>
        <w:t xml:space="preserve"> </w:t>
      </w:r>
      <w:r w:rsidRPr="00A3565D">
        <w:rPr>
          <w:rFonts w:ascii="Palatino Linotype" w:eastAsia="Palatino Linotype" w:hAnsi="Palatino Linotype" w:cs="Palatino Linotype"/>
          <w:b/>
          <w:i/>
          <w:sz w:val="22"/>
          <w:szCs w:val="22"/>
        </w:rPr>
        <w:t>Listas de raya o nómina de personal</w:t>
      </w:r>
      <w:r w:rsidRPr="00A3565D">
        <w:rPr>
          <w:rFonts w:ascii="Palatino Linotype" w:eastAsia="Palatino Linotype" w:hAnsi="Palatino Linotype" w:cs="Palatino Linotype"/>
          <w:i/>
          <w:sz w:val="22"/>
          <w:szCs w:val="22"/>
        </w:rPr>
        <w:t xml:space="preserve">, cuando se lleven en el centro de trabajo; </w:t>
      </w:r>
      <w:r w:rsidRPr="00A3565D">
        <w:rPr>
          <w:rFonts w:ascii="Palatino Linotype" w:eastAsia="Palatino Linotype" w:hAnsi="Palatino Linotype" w:cs="Palatino Linotype"/>
          <w:b/>
          <w:i/>
          <w:sz w:val="22"/>
          <w:szCs w:val="22"/>
        </w:rPr>
        <w:t>o recibos de pagos de salarios;</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los señalados en las fracciones </w:t>
      </w:r>
      <w:r w:rsidRPr="00A3565D">
        <w:rPr>
          <w:rFonts w:ascii="Palatino Linotype" w:eastAsia="Palatino Linotype" w:hAnsi="Palatino Linotype" w:cs="Palatino Linotype"/>
          <w:b/>
          <w:i/>
          <w:sz w:val="22"/>
          <w:szCs w:val="22"/>
        </w:rPr>
        <w:t>II</w:t>
      </w:r>
      <w:r w:rsidRPr="00A3565D">
        <w:rPr>
          <w:rFonts w:ascii="Palatino Linotype" w:eastAsia="Palatino Linotype" w:hAnsi="Palatino Linotype" w:cs="Palatino Linotype"/>
          <w:i/>
          <w:sz w:val="22"/>
          <w:szCs w:val="22"/>
        </w:rPr>
        <w:t>, III y IV, durante el último año y un año después de que se extinga la relación laboral; y los mencionados en la fracción V, conforme lo señalen las Leyes que los rijan.</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De lo anteriormente citado, se puede llegar a la conclusión de que la nómina, es el documento que contiene el registro de los trabajadores a los cuales se va a remunerar por los </w:t>
      </w:r>
      <w:hyperlink r:id="rId15">
        <w:r w:rsidRPr="00A3565D">
          <w:rPr>
            <w:rFonts w:ascii="Palatino Linotype" w:eastAsia="Palatino Linotype" w:hAnsi="Palatino Linotype" w:cs="Palatino Linotype"/>
          </w:rPr>
          <w:t>servicios</w:t>
        </w:r>
      </w:hyperlink>
      <w:r w:rsidRPr="00A3565D">
        <w:rPr>
          <w:rFonts w:ascii="Palatino Linotype" w:eastAsia="Palatino Linotype" w:hAnsi="Palatino Linotype" w:cs="Palatino Linotype"/>
        </w:rPr>
        <w:t xml:space="preserve"> que éstos le prestan al patrón, en el cual </w:t>
      </w:r>
      <w:r w:rsidRPr="00A3565D">
        <w:rPr>
          <w:rFonts w:ascii="Palatino Linotype" w:eastAsia="Palatino Linotype" w:hAnsi="Palatino Linotype" w:cs="Palatino Linotype"/>
          <w:b/>
        </w:rPr>
        <w:t>se asientan las percepciones brutas, deducciones y el neto</w:t>
      </w:r>
      <w:r w:rsidRPr="00A3565D">
        <w:rPr>
          <w:rFonts w:ascii="Palatino Linotype" w:eastAsia="Palatino Linotype" w:hAnsi="Palatino Linotype" w:cs="Palatino Linotype"/>
        </w:rPr>
        <w:t xml:space="preserve"> a recibir de dichos trabajadores.</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Respecto de la nómina de los servidores públicos, del sueldo por prestación de servicios, y de los montos por concepto de aguinaldo, es oportuno señalar que de conformidad con el contenido del artículo 350 del Código Financiero del Estado de México y Municipios, en el que se establece la obligación a cargo de las entidades fiscalizables, -como lo es </w:t>
      </w:r>
      <w:r w:rsidRPr="00A3565D">
        <w:rPr>
          <w:rFonts w:ascii="Palatino Linotype" w:eastAsia="Palatino Linotype" w:hAnsi="Palatino Linotype" w:cs="Palatino Linotype"/>
          <w:b/>
        </w:rPr>
        <w:t>EL SUJETO OBLIGADO-,</w:t>
      </w:r>
      <w:r w:rsidRPr="00A3565D">
        <w:rPr>
          <w:rFonts w:ascii="Palatino Linotype" w:eastAsia="Palatino Linotype" w:hAnsi="Palatino Linotype" w:cs="Palatino Linotype"/>
        </w:rPr>
        <w:t xml:space="preserve"> de comunicar al Órgano Superior de Fiscalización del Estado de México, todo lo relacionado con la información contable, presupuestal y financiera, en los términos siguientes:</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Artículo 350.-</w:t>
      </w:r>
      <w:r w:rsidRPr="00A3565D">
        <w:rPr>
          <w:rFonts w:ascii="Palatino Linotype" w:eastAsia="Palatino Linotype" w:hAnsi="Palatino Linotype" w:cs="Palatino Linotype"/>
          <w:i/>
          <w:sz w:val="22"/>
          <w:szCs w:val="22"/>
        </w:rPr>
        <w:t xml:space="preserve"> La Secretaría y </w:t>
      </w:r>
      <w:r w:rsidRPr="00A3565D">
        <w:rPr>
          <w:rFonts w:ascii="Palatino Linotype" w:eastAsia="Palatino Linotype" w:hAnsi="Palatino Linotype" w:cs="Palatino Linotype"/>
          <w:b/>
          <w:i/>
          <w:sz w:val="22"/>
          <w:szCs w:val="22"/>
        </w:rPr>
        <w:t>las tesorerías</w:t>
      </w:r>
      <w:r w:rsidRPr="00A3565D">
        <w:rPr>
          <w:rFonts w:ascii="Palatino Linotype" w:eastAsia="Palatino Linotype" w:hAnsi="Palatino Linotype" w:cs="Palatino Linotype"/>
          <w:i/>
          <w:sz w:val="22"/>
          <w:szCs w:val="22"/>
        </w:rPr>
        <w:t xml:space="preserve"> enviarán al Órgano Superior, de manera trimestral, dentro de los primeros veinte días hábiles posteriores al término del trimestre que se informa, para su análisis, la siguiente información:</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I.</w:t>
      </w:r>
      <w:r w:rsidRPr="00A3565D">
        <w:rPr>
          <w:rFonts w:ascii="Palatino Linotype" w:eastAsia="Palatino Linotype" w:hAnsi="Palatino Linotype" w:cs="Palatino Linotype"/>
          <w:i/>
          <w:sz w:val="22"/>
          <w:szCs w:val="22"/>
        </w:rPr>
        <w:t xml:space="preserve"> Patrimonial. </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II</w:t>
      </w:r>
      <w:r w:rsidRPr="00A3565D">
        <w:rPr>
          <w:rFonts w:ascii="Palatino Linotype" w:eastAsia="Palatino Linotype" w:hAnsi="Palatino Linotype" w:cs="Palatino Linotype"/>
          <w:i/>
          <w:sz w:val="22"/>
          <w:szCs w:val="22"/>
        </w:rPr>
        <w:t xml:space="preserve">. Presupuestal. </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III</w:t>
      </w:r>
      <w:r w:rsidRPr="00A3565D">
        <w:rPr>
          <w:rFonts w:ascii="Palatino Linotype" w:eastAsia="Palatino Linotype" w:hAnsi="Palatino Linotype" w:cs="Palatino Linotype"/>
          <w:i/>
          <w:sz w:val="22"/>
          <w:szCs w:val="22"/>
        </w:rPr>
        <w:t>. De la obra pública.</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A3565D">
        <w:rPr>
          <w:rFonts w:ascii="Palatino Linotype" w:eastAsia="Palatino Linotype" w:hAnsi="Palatino Linotype" w:cs="Palatino Linotype"/>
          <w:b/>
          <w:i/>
          <w:sz w:val="22"/>
          <w:szCs w:val="22"/>
        </w:rPr>
        <w:t>IV. De nómina.</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V</w:t>
      </w:r>
      <w:r w:rsidRPr="00A3565D">
        <w:rPr>
          <w:rFonts w:ascii="Palatino Linotype" w:eastAsia="Palatino Linotype" w:hAnsi="Palatino Linotype" w:cs="Palatino Linotype"/>
          <w:i/>
          <w:sz w:val="22"/>
          <w:szCs w:val="22"/>
        </w:rPr>
        <w:t xml:space="preserve">. Avance del cumplimiento del Plan de Desarrollo del Estado de México. </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Los informes trimestrales deberán contener la evolución de las finanzas públicas integradas con los comentarios correspondientes y los estados financieros </w:t>
      </w:r>
      <w:r w:rsidRPr="00A3565D">
        <w:rPr>
          <w:rFonts w:ascii="Palatino Linotype" w:eastAsia="Palatino Linotype" w:hAnsi="Palatino Linotype" w:cs="Palatino Linotype"/>
          <w:i/>
          <w:sz w:val="22"/>
          <w:szCs w:val="22"/>
        </w:rPr>
        <w:lastRenderedPageBreak/>
        <w:t>consolidados, así como un reporte de los ingresos y egresos de los organismos auxiliares.</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A3565D">
        <w:rPr>
          <w:rFonts w:ascii="Palatino Linotype" w:eastAsia="Palatino Linotype" w:hAnsi="Palatino Linotype" w:cs="Palatino Linotype"/>
          <w:i/>
          <w:sz w:val="22"/>
          <w:szCs w:val="22"/>
        </w:rPr>
        <w:t>El informe trimestral correspondiente al cuarto trimestre se entregará junto con las Cuentas Públicas del ejercicio fiscal de que se trate</w:t>
      </w:r>
      <w:r w:rsidRPr="00A3565D">
        <w:rPr>
          <w:rFonts w:ascii="Palatino Linotype" w:eastAsia="Palatino Linotype" w:hAnsi="Palatino Linotype" w:cs="Palatino Linotype"/>
          <w:b/>
          <w:i/>
          <w:sz w:val="22"/>
          <w:szCs w:val="22"/>
        </w:rPr>
        <w:t>.</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Por su parte la Ley del Trabajo de los Servidores Públicos del Estado y Municipios, en su artículo 220-K fracciones II y IV y último párrafo, establecen lo siguiente:</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ARTÍCULO 220 K.-</w:t>
      </w:r>
      <w:r w:rsidRPr="00A3565D">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II.</w:t>
      </w:r>
      <w:r w:rsidRPr="00A3565D">
        <w:rPr>
          <w:rFonts w:ascii="Palatino Linotype" w:eastAsia="Palatino Linotype" w:hAnsi="Palatino Linotype" w:cs="Palatino Linotype"/>
          <w:i/>
          <w:sz w:val="22"/>
          <w:szCs w:val="22"/>
        </w:rPr>
        <w:t xml:space="preserve"> </w:t>
      </w:r>
      <w:r w:rsidRPr="00A3565D">
        <w:rPr>
          <w:rFonts w:ascii="Palatino Linotype" w:eastAsia="Palatino Linotype" w:hAnsi="Palatino Linotype" w:cs="Palatino Linotype"/>
          <w:b/>
          <w:i/>
          <w:sz w:val="22"/>
          <w:szCs w:val="22"/>
        </w:rPr>
        <w:t>Recibos de pagos de salarios</w:t>
      </w:r>
      <w:r w:rsidRPr="00A3565D">
        <w:rPr>
          <w:rFonts w:ascii="Palatino Linotype" w:eastAsia="Palatino Linotype" w:hAnsi="Palatino Linotype" w:cs="Palatino Linotype"/>
          <w:i/>
          <w:sz w:val="22"/>
          <w:szCs w:val="22"/>
        </w:rPr>
        <w:t xml:space="preserve"> o las constancias documentales del pago de salario cuando sea por depósito o mediante información electrónica;</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 xml:space="preserve">IV. Recibos o las constancias de depósito o del medio de información magnética o electrónica que sean utilizadas para el pago de salarios, prima vacacional, </w:t>
      </w:r>
      <w:r w:rsidRPr="00A3565D">
        <w:rPr>
          <w:rFonts w:ascii="Palatino Linotype" w:eastAsia="Palatino Linotype" w:hAnsi="Palatino Linotype" w:cs="Palatino Linotype"/>
          <w:b/>
          <w:i/>
          <w:sz w:val="22"/>
          <w:szCs w:val="22"/>
          <w:u w:val="single"/>
        </w:rPr>
        <w:t>aguinaldo</w:t>
      </w:r>
      <w:r w:rsidRPr="00A3565D">
        <w:rPr>
          <w:rFonts w:ascii="Palatino Linotype" w:eastAsia="Palatino Linotype" w:hAnsi="Palatino Linotype" w:cs="Palatino Linotype"/>
          <w:i/>
          <w:sz w:val="22"/>
          <w:szCs w:val="22"/>
        </w:rPr>
        <w:t xml:space="preserve"> y demás prestaciones establecidas en la presente ley; y</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El incumplimiento por lo dispuesto por este artículo, establecerá la presunción de ser ciertos los hechos que el actor exprese en su demanda, en relación con tales documentos, salvo prueba en contrario.</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Sobre la base del precepto legal citado, se advierte que </w:t>
      </w:r>
      <w:r w:rsidRPr="00A3565D">
        <w:rPr>
          <w:rFonts w:ascii="Palatino Linotype" w:eastAsia="Palatino Linotype" w:hAnsi="Palatino Linotype" w:cs="Palatino Linotype"/>
          <w:i/>
        </w:rPr>
        <w:t xml:space="preserve">toda institución pública o dependencia pública del Estado de México debe conservar las constancias de pago de salarios, prima vacacional, aguinaldo y demás prestaciones legales de acuerdo con la forma en que se </w:t>
      </w:r>
      <w:r w:rsidRPr="00A3565D">
        <w:rPr>
          <w:rFonts w:ascii="Palatino Linotype" w:eastAsia="Palatino Linotype" w:hAnsi="Palatino Linotype" w:cs="Palatino Linotype"/>
          <w:i/>
        </w:rPr>
        <w:lastRenderedPageBreak/>
        <w:t>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RPr="00A3565D">
        <w:rPr>
          <w:rFonts w:ascii="Palatino Linotype" w:eastAsia="Palatino Linotype" w:hAnsi="Palatino Linotype" w:cs="Palatino Linotype"/>
        </w:rPr>
        <w:t>.</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Artículo 8.-</w:t>
      </w:r>
      <w:r w:rsidRPr="00A3565D">
        <w:rPr>
          <w:rFonts w:ascii="Palatino Linotype" w:eastAsia="Palatino Linotype" w:hAnsi="Palatino Linotype" w:cs="Palatino Linotype"/>
          <w:i/>
          <w:sz w:val="22"/>
          <w:szCs w:val="22"/>
        </w:rPr>
        <w:t xml:space="preserve"> El </w:t>
      </w:r>
      <w:r w:rsidRPr="00A3565D">
        <w:rPr>
          <w:rFonts w:ascii="Palatino Linotype" w:eastAsia="Palatino Linotype" w:hAnsi="Palatino Linotype" w:cs="Palatino Linotype"/>
          <w:b/>
          <w:i/>
          <w:sz w:val="22"/>
          <w:szCs w:val="22"/>
        </w:rPr>
        <w:t>Órgano Superior</w:t>
      </w:r>
      <w:r w:rsidRPr="00A3565D">
        <w:rPr>
          <w:rFonts w:ascii="Palatino Linotype" w:eastAsia="Palatino Linotype" w:hAnsi="Palatino Linotype" w:cs="Palatino Linotype"/>
          <w:i/>
          <w:sz w:val="22"/>
          <w:szCs w:val="22"/>
        </w:rPr>
        <w:t xml:space="preserve"> tendrá las siguientes atribuciones:</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XI</w:t>
      </w:r>
      <w:r w:rsidRPr="00A3565D">
        <w:rPr>
          <w:rFonts w:ascii="Palatino Linotype" w:eastAsia="Palatino Linotype" w:hAnsi="Palatino Linotype" w:cs="Palatino Linotype"/>
          <w:i/>
          <w:sz w:val="22"/>
          <w:szCs w:val="22"/>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w:t>
      </w:r>
      <w:r w:rsidRPr="00A3565D">
        <w:rPr>
          <w:rFonts w:ascii="Palatino Linotype" w:eastAsia="Palatino Linotype" w:hAnsi="Palatino Linotype" w:cs="Palatino Linotype"/>
        </w:rPr>
        <w:lastRenderedPageBreak/>
        <w:t>correspondiente de acuerdo a lo establecido en el artículo 350 del Código Financiero del Estado de México citado con antelación.</w:t>
      </w:r>
    </w:p>
    <w:p w:rsidR="00E810BA" w:rsidRPr="00A3565D" w:rsidRDefault="00E810BA">
      <w:pPr>
        <w:spacing w:line="360" w:lineRule="auto"/>
        <w:jc w:val="both"/>
        <w:rPr>
          <w:rFonts w:ascii="Palatino Linotype" w:eastAsia="Palatino Linotype" w:hAnsi="Palatino Linotype" w:cs="Palatino Linotype"/>
          <w:i/>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La información documental comprobatoria de los informes trimestrales presentados, debe conservarse en los archivos de la entidad fiscalizada -municipio- en original y debidamente integrada en términos de los lineamientos de referencia, pues son susceptibles de revisión directa por el Órgano Superior de Fiscalización del Estado de México.</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ind w:right="49"/>
        <w:jc w:val="both"/>
        <w:rPr>
          <w:rFonts w:ascii="Palatino Linotype" w:eastAsia="Palatino Linotype" w:hAnsi="Palatino Linotype" w:cs="Palatino Linotype"/>
        </w:rPr>
      </w:pPr>
      <w:r w:rsidRPr="00A3565D">
        <w:rPr>
          <w:rFonts w:ascii="Palatino Linotype" w:eastAsia="Palatino Linotype" w:hAnsi="Palatino Linotype" w:cs="Palatino Linotype"/>
        </w:rPr>
        <w:t>En este contexto, el Órgano Superior de Fiscalización del Estado de México, emite en cada ejercicio fiscal los Lineamientos para la integración y entrega del Informe Trimestral Municipal, para el ejercicio 2023 y los instructivos de llenado correspondientes, mismos que se encuentran disponibles en su sitio de internet</w:t>
      </w:r>
      <w:r w:rsidRPr="00A3565D">
        <w:rPr>
          <w:rFonts w:ascii="Palatino Linotype" w:eastAsia="Palatino Linotype" w:hAnsi="Palatino Linotype" w:cs="Palatino Linotype"/>
          <w:vertAlign w:val="superscript"/>
        </w:rPr>
        <w:footnoteReference w:id="1"/>
      </w:r>
      <w:r w:rsidRPr="00A3565D">
        <w:rPr>
          <w:rFonts w:ascii="Palatino Linotype" w:eastAsia="Palatino Linotype" w:hAnsi="Palatino Linotype" w:cs="Palatino Linotype"/>
        </w:rPr>
        <w:t>, con la finalidad de definir los criterios, los formatos y la documentación necesaria para presentar los informes trimestrales, que deben ser entregados a través de cuatro módulos, que contienen la siguiente información:</w:t>
      </w:r>
    </w:p>
    <w:p w:rsidR="00E810BA" w:rsidRPr="00A3565D" w:rsidRDefault="00E810BA">
      <w:pPr>
        <w:spacing w:line="360" w:lineRule="auto"/>
        <w:ind w:right="49"/>
        <w:jc w:val="both"/>
        <w:rPr>
          <w:rFonts w:ascii="Palatino Linotype" w:eastAsia="Palatino Linotype" w:hAnsi="Palatino Linotype" w:cs="Palatino Linotype"/>
        </w:rPr>
      </w:pPr>
    </w:p>
    <w:p w:rsidR="00E810BA" w:rsidRPr="00A3565D" w:rsidRDefault="008F4367">
      <w:pPr>
        <w:spacing w:line="360" w:lineRule="auto"/>
        <w:ind w:right="49"/>
        <w:jc w:val="center"/>
        <w:rPr>
          <w:rFonts w:ascii="Palatino Linotype" w:eastAsia="Palatino Linotype" w:hAnsi="Palatino Linotype" w:cs="Palatino Linotype"/>
        </w:rPr>
      </w:pPr>
      <w:r w:rsidRPr="00A3565D">
        <w:rPr>
          <w:rFonts w:ascii="Palatino Linotype" w:eastAsia="Palatino Linotype" w:hAnsi="Palatino Linotype" w:cs="Palatino Linotype"/>
          <w:noProof/>
        </w:rPr>
        <w:drawing>
          <wp:inline distT="0" distB="0" distL="0" distR="0">
            <wp:extent cx="3384000" cy="1260000"/>
            <wp:effectExtent l="0" t="0" r="0" b="0"/>
            <wp:docPr id="8610319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384000" cy="1260000"/>
                    </a:xfrm>
                    <a:prstGeom prst="rect">
                      <a:avLst/>
                    </a:prstGeom>
                    <a:ln/>
                  </pic:spPr>
                </pic:pic>
              </a:graphicData>
            </a:graphic>
          </wp:inline>
        </w:drawing>
      </w:r>
    </w:p>
    <w:p w:rsidR="00E810BA" w:rsidRPr="00A3565D" w:rsidRDefault="00E810BA">
      <w:pPr>
        <w:spacing w:line="360" w:lineRule="auto"/>
        <w:ind w:right="49"/>
        <w:jc w:val="center"/>
        <w:rPr>
          <w:rFonts w:ascii="Palatino Linotype" w:eastAsia="Palatino Linotype" w:hAnsi="Palatino Linotype" w:cs="Palatino Linotype"/>
        </w:rPr>
      </w:pPr>
    </w:p>
    <w:p w:rsidR="00E810BA" w:rsidRPr="00A3565D" w:rsidRDefault="008F4367">
      <w:pPr>
        <w:spacing w:line="360" w:lineRule="auto"/>
        <w:ind w:right="49"/>
        <w:jc w:val="both"/>
        <w:rPr>
          <w:rFonts w:ascii="Palatino Linotype" w:eastAsia="Palatino Linotype" w:hAnsi="Palatino Linotype" w:cs="Palatino Linotype"/>
        </w:rPr>
      </w:pPr>
      <w:r w:rsidRPr="00A3565D">
        <w:rPr>
          <w:rFonts w:ascii="Palatino Linotype" w:eastAsia="Palatino Linotype" w:hAnsi="Palatino Linotype" w:cs="Palatino Linotype"/>
        </w:rPr>
        <w:lastRenderedPageBreak/>
        <w:t xml:space="preserve">La información que con motivo de la nómina genera </w:t>
      </w:r>
      <w:r w:rsidRPr="00A3565D">
        <w:rPr>
          <w:rFonts w:ascii="Palatino Linotype" w:eastAsia="Palatino Linotype" w:hAnsi="Palatino Linotype" w:cs="Palatino Linotype"/>
          <w:b/>
        </w:rPr>
        <w:t>EL SUJETO OBLIGADO,</w:t>
      </w:r>
      <w:r w:rsidRPr="00A3565D">
        <w:rPr>
          <w:rFonts w:ascii="Palatino Linotype" w:eastAsia="Palatino Linotype" w:hAnsi="Palatino Linotype" w:cs="Palatino Linotype"/>
        </w:rPr>
        <w:t xml:space="preserve"> se encuentra contenida en el Módulo 4. </w:t>
      </w:r>
    </w:p>
    <w:p w:rsidR="00E810BA" w:rsidRPr="00A3565D" w:rsidRDefault="00E810BA">
      <w:pPr>
        <w:spacing w:line="360" w:lineRule="auto"/>
        <w:ind w:right="49"/>
        <w:jc w:val="both"/>
        <w:rPr>
          <w:rFonts w:ascii="Palatino Linotype" w:eastAsia="Palatino Linotype" w:hAnsi="Palatino Linotype" w:cs="Palatino Linotype"/>
        </w:rPr>
      </w:pPr>
    </w:p>
    <w:p w:rsidR="00E810BA" w:rsidRPr="00A3565D" w:rsidRDefault="008F4367">
      <w:pPr>
        <w:spacing w:line="360" w:lineRule="auto"/>
        <w:ind w:right="49"/>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Atentos a lo anterior, se visualiza que los documentos a través de los cuales </w:t>
      </w:r>
      <w:r w:rsidRPr="00A3565D">
        <w:rPr>
          <w:rFonts w:ascii="Palatino Linotype" w:eastAsia="Palatino Linotype" w:hAnsi="Palatino Linotype" w:cs="Palatino Linotype"/>
          <w:b/>
        </w:rPr>
        <w:t xml:space="preserve">EL SUJETO OBLIGADO </w:t>
      </w:r>
      <w:r w:rsidRPr="00A3565D">
        <w:rPr>
          <w:rFonts w:ascii="Palatino Linotype" w:eastAsia="Palatino Linotype" w:hAnsi="Palatino Linotype" w:cs="Palatino Linotype"/>
        </w:rPr>
        <w:t>puede a satisfacer el requerimiento de información son los formatos de conciliación de nómina que, como ente fiscalizable se encentra obligado a entregar al Órgano Superior de Fiscalización, a través de los informes trimestrales, mismos que se entregan en formato XLS.</w:t>
      </w:r>
    </w:p>
    <w:p w:rsidR="00E810BA" w:rsidRPr="00A3565D" w:rsidRDefault="00E810BA">
      <w:pPr>
        <w:spacing w:line="360" w:lineRule="auto"/>
        <w:ind w:right="49"/>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Para mayor referencia a continuación se inserta el formato mediante el cual dicha información se presenta, así como el instructivo de llenado: </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center"/>
        <w:rPr>
          <w:rFonts w:ascii="Palatino Linotype" w:eastAsia="Palatino Linotype" w:hAnsi="Palatino Linotype" w:cs="Palatino Linotype"/>
        </w:rPr>
      </w:pPr>
      <w:r w:rsidRPr="00A3565D">
        <w:rPr>
          <w:rFonts w:ascii="Palatino Linotype" w:eastAsia="Palatino Linotype" w:hAnsi="Palatino Linotype" w:cs="Palatino Linotype"/>
          <w:noProof/>
        </w:rPr>
        <w:drawing>
          <wp:inline distT="0" distB="0" distL="0" distR="0">
            <wp:extent cx="2963916" cy="3481004"/>
            <wp:effectExtent l="0" t="0" r="0" b="0"/>
            <wp:docPr id="8610319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963916" cy="3481004"/>
                    </a:xfrm>
                    <a:prstGeom prst="rect">
                      <a:avLst/>
                    </a:prstGeom>
                    <a:ln/>
                  </pic:spPr>
                </pic:pic>
              </a:graphicData>
            </a:graphic>
          </wp:inline>
        </w:drawing>
      </w:r>
    </w:p>
    <w:p w:rsidR="00E810BA" w:rsidRPr="00A3565D" w:rsidRDefault="008F4367">
      <w:pPr>
        <w:spacing w:line="360" w:lineRule="auto"/>
        <w:jc w:val="center"/>
        <w:rPr>
          <w:rFonts w:ascii="Palatino Linotype" w:eastAsia="Palatino Linotype" w:hAnsi="Palatino Linotype" w:cs="Palatino Linotype"/>
        </w:rPr>
      </w:pPr>
      <w:r w:rsidRPr="00A3565D">
        <w:rPr>
          <w:rFonts w:ascii="Palatino Linotype" w:eastAsia="Palatino Linotype" w:hAnsi="Palatino Linotype" w:cs="Palatino Linotype"/>
          <w:noProof/>
        </w:rPr>
        <w:lastRenderedPageBreak/>
        <w:drawing>
          <wp:inline distT="0" distB="0" distL="0" distR="0">
            <wp:extent cx="5865213" cy="7071831"/>
            <wp:effectExtent l="0" t="0" r="0" b="0"/>
            <wp:docPr id="8610319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865213" cy="7071831"/>
                    </a:xfrm>
                    <a:prstGeom prst="rect">
                      <a:avLst/>
                    </a:prstGeom>
                    <a:ln/>
                  </pic:spPr>
                </pic:pic>
              </a:graphicData>
            </a:graphic>
          </wp:inline>
        </w:drawing>
      </w:r>
    </w:p>
    <w:p w:rsidR="00E810BA" w:rsidRPr="00A3565D" w:rsidRDefault="008F4367">
      <w:pPr>
        <w:spacing w:line="360" w:lineRule="auto"/>
        <w:jc w:val="center"/>
        <w:rPr>
          <w:rFonts w:ascii="Palatino Linotype" w:eastAsia="Palatino Linotype" w:hAnsi="Palatino Linotype" w:cs="Palatino Linotype"/>
        </w:rPr>
      </w:pPr>
      <w:r w:rsidRPr="00A3565D">
        <w:rPr>
          <w:rFonts w:ascii="Palatino Linotype" w:eastAsia="Palatino Linotype" w:hAnsi="Palatino Linotype" w:cs="Palatino Linotype"/>
          <w:noProof/>
        </w:rPr>
        <w:lastRenderedPageBreak/>
        <w:drawing>
          <wp:inline distT="0" distB="0" distL="0" distR="0">
            <wp:extent cx="5287113" cy="3791479"/>
            <wp:effectExtent l="0" t="0" r="0" b="0"/>
            <wp:docPr id="8610319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287113" cy="3791479"/>
                    </a:xfrm>
                    <a:prstGeom prst="rect">
                      <a:avLst/>
                    </a:prstGeom>
                    <a:ln/>
                  </pic:spPr>
                </pic:pic>
              </a:graphicData>
            </a:graphic>
          </wp:inline>
        </w:drawing>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En estas condiciones, resulta claro que la información de mérito es generada en ejercicio de las atribuciones del </w:t>
      </w:r>
      <w:r w:rsidRPr="00A3565D">
        <w:rPr>
          <w:rFonts w:ascii="Palatino Linotype" w:eastAsia="Palatino Linotype" w:hAnsi="Palatino Linotype" w:cs="Palatino Linotype"/>
          <w:b/>
        </w:rPr>
        <w:t>SUJETO OBLIGADO</w:t>
      </w:r>
      <w:r w:rsidRPr="00A3565D">
        <w:rPr>
          <w:rFonts w:ascii="Palatino Linotype" w:eastAsia="Palatino Linotype" w:hAnsi="Palatino Linotype" w:cs="Palatino Linotype"/>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Además, de que la información que se ordena, es de interés general y de alcance público, puesto que la ciudadanía tiene derecho a saber cuál es el gasto ejercido para </w:t>
      </w:r>
      <w:r w:rsidRPr="00A3565D">
        <w:rPr>
          <w:rFonts w:ascii="Palatino Linotype" w:eastAsia="Palatino Linotype" w:hAnsi="Palatino Linotype" w:cs="Palatino Linotype"/>
        </w:rPr>
        <w:lastRenderedPageBreak/>
        <w:t>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IV. Los ayuntamientos y las dependencias, organismos, órganos y entidades de la administración municipal;</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A3565D">
        <w:rPr>
          <w:rFonts w:ascii="Palatino Linotype" w:eastAsia="Palatino Linotype" w:hAnsi="Palatino Linotype" w:cs="Palatino Linotype"/>
          <w:b/>
        </w:rPr>
        <w:t>01/2003</w:t>
      </w:r>
      <w:r w:rsidRPr="00A3565D">
        <w:rPr>
          <w:rFonts w:ascii="Palatino Linotype" w:eastAsia="Palatino Linotype" w:hAnsi="Palatino Linotype" w:cs="Palatino Linotype"/>
        </w:rPr>
        <w:t xml:space="preserve"> y </w:t>
      </w:r>
      <w:r w:rsidRPr="00A3565D">
        <w:rPr>
          <w:rFonts w:ascii="Palatino Linotype" w:eastAsia="Palatino Linotype" w:hAnsi="Palatino Linotype" w:cs="Palatino Linotype"/>
          <w:b/>
        </w:rPr>
        <w:t>02/2003</w:t>
      </w:r>
      <w:r w:rsidRPr="00A3565D">
        <w:rPr>
          <w:rFonts w:ascii="Palatino Linotype" w:eastAsia="Palatino Linotype" w:hAnsi="Palatino Linotype" w:cs="Palatino Linotype"/>
        </w:rPr>
        <w:t xml:space="preserve"> emitidos por el Comité de Acceso a la Información Pública y Protección de </w:t>
      </w:r>
      <w:r w:rsidRPr="00A3565D">
        <w:rPr>
          <w:rFonts w:ascii="Palatino Linotype" w:eastAsia="Palatino Linotype" w:hAnsi="Palatino Linotype" w:cs="Palatino Linotype"/>
        </w:rPr>
        <w:lastRenderedPageBreak/>
        <w:t xml:space="preserve">Datos Personales de la Suprema Corte de Justicia de la Nación que a continuación se citan: </w:t>
      </w:r>
    </w:p>
    <w:p w:rsidR="00E810BA" w:rsidRPr="00A3565D" w:rsidRDefault="00E810BA">
      <w:pPr>
        <w:pBdr>
          <w:top w:val="nil"/>
          <w:left w:val="nil"/>
          <w:bottom w:val="nil"/>
          <w:right w:val="nil"/>
          <w:between w:val="nil"/>
        </w:pBdr>
        <w:ind w:left="851" w:right="851"/>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Criterio 01/2003.</w:t>
      </w:r>
    </w:p>
    <w:p w:rsidR="00E810BA" w:rsidRPr="00A3565D" w:rsidRDefault="008F4367">
      <w:pPr>
        <w:pBdr>
          <w:top w:val="nil"/>
          <w:left w:val="nil"/>
          <w:bottom w:val="nil"/>
          <w:right w:val="nil"/>
          <w:between w:val="nil"/>
        </w:pBdr>
        <w:ind w:left="851" w:right="851"/>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INGRESOS DE LOS SERVIDORES PÚBLICOS. CONSTITUYEN INFORMACIÓN PÚBLICA AÚN Y CUANDO SU DIFUSIÓN PUEDE AFECTAR LA VIDA O LA SEGURIDAD DE AQUELLOS. </w:t>
      </w:r>
    </w:p>
    <w:p w:rsidR="00E810BA" w:rsidRPr="00A3565D" w:rsidRDefault="008F4367">
      <w:pPr>
        <w:pBdr>
          <w:top w:val="nil"/>
          <w:left w:val="nil"/>
          <w:bottom w:val="nil"/>
          <w:right w:val="nil"/>
          <w:between w:val="nil"/>
        </w:pBdr>
        <w:ind w:left="851" w:right="851"/>
        <w:rPr>
          <w:rFonts w:ascii="Palatino Linotype" w:eastAsia="Palatino Linotype" w:hAnsi="Palatino Linotype" w:cs="Palatino Linotype"/>
          <w:i/>
          <w:sz w:val="22"/>
          <w:szCs w:val="22"/>
          <w:u w:val="single"/>
        </w:rPr>
      </w:pPr>
      <w:r w:rsidRPr="00A3565D">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A3565D">
        <w:rPr>
          <w:rFonts w:ascii="Palatino Linotype" w:eastAsia="Palatino Linotype" w:hAnsi="Palatino Linotype" w:cs="Palatino Linotype"/>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E810BA" w:rsidRPr="00A3565D" w:rsidRDefault="00E810BA">
      <w:pPr>
        <w:pBdr>
          <w:top w:val="nil"/>
          <w:left w:val="nil"/>
          <w:bottom w:val="nil"/>
          <w:right w:val="nil"/>
          <w:between w:val="nil"/>
        </w:pBdr>
        <w:ind w:left="851" w:right="851"/>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Criterio 02/2003.</w:t>
      </w:r>
    </w:p>
    <w:p w:rsidR="00E810BA" w:rsidRPr="00A3565D" w:rsidRDefault="008F4367">
      <w:pPr>
        <w:pBdr>
          <w:top w:val="nil"/>
          <w:left w:val="nil"/>
          <w:bottom w:val="nil"/>
          <w:right w:val="nil"/>
          <w:between w:val="nil"/>
        </w:pBdr>
        <w:ind w:left="851" w:right="851"/>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INGRESOS DE LOS SERVIDORES PÚBLICOS, SON INFORMACIÓN PÚBLICA AÚN Y CUANDO CONSTITUYEN DATOS PERSONALES QUE SE REFIEREN AL PATRIMONIO DE AQUÉLLOS. </w:t>
      </w:r>
    </w:p>
    <w:p w:rsidR="00E810BA" w:rsidRPr="00A3565D" w:rsidRDefault="008F4367">
      <w:pPr>
        <w:pBdr>
          <w:top w:val="nil"/>
          <w:left w:val="nil"/>
          <w:bottom w:val="nil"/>
          <w:right w:val="nil"/>
          <w:between w:val="nil"/>
        </w:pBdr>
        <w:ind w:left="851" w:right="851"/>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A3565D">
        <w:rPr>
          <w:rFonts w:ascii="Palatino Linotype" w:eastAsia="Palatino Linotype" w:hAnsi="Palatino Linotype" w:cs="Palatino Linotype"/>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A3565D">
        <w:rPr>
          <w:rFonts w:ascii="Palatino Linotype" w:eastAsia="Palatino Linotype" w:hAnsi="Palatino Linotype" w:cs="Palatino Linotype"/>
          <w:i/>
          <w:sz w:val="22"/>
          <w:szCs w:val="22"/>
        </w:rPr>
        <w:t xml:space="preserve"> el sistema de compensación. </w:t>
      </w:r>
    </w:p>
    <w:p w:rsidR="00E810BA" w:rsidRPr="00A3565D" w:rsidRDefault="00E810BA">
      <w:pPr>
        <w:pBdr>
          <w:top w:val="nil"/>
          <w:left w:val="nil"/>
          <w:bottom w:val="nil"/>
          <w:right w:val="nil"/>
          <w:between w:val="nil"/>
        </w:pBdr>
        <w:ind w:left="851" w:right="851"/>
        <w:rPr>
          <w:rFonts w:ascii="Palatino Linotype" w:eastAsia="Palatino Linotype" w:hAnsi="Palatino Linotype" w:cs="Palatino Linotype"/>
          <w:i/>
          <w:sz w:val="22"/>
          <w:szCs w:val="22"/>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lastRenderedPageBreak/>
        <w:t xml:space="preserve">Ahora bien, el artículo 70 de la Ley General de Transparencia y Acceso a la Información Pública dispone lo siguiente: </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spacing w:line="360" w:lineRule="auto"/>
        <w:ind w:right="49"/>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Robustece lo anterior, el artículo 92, fracción VIII de la Ley de Transparencia y Acceso a la Información Pública del Estado de México y Municipios, señala: </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Bajo este orden de ideas es que este Instituto considera que la respuesta del </w:t>
      </w:r>
      <w:r w:rsidRPr="00A3565D">
        <w:rPr>
          <w:rFonts w:ascii="Palatino Linotype" w:eastAsia="Palatino Linotype" w:hAnsi="Palatino Linotype" w:cs="Palatino Linotype"/>
          <w:b/>
        </w:rPr>
        <w:t>SUJETO OBLIGADO</w:t>
      </w:r>
      <w:r w:rsidRPr="00A3565D">
        <w:rPr>
          <w:rFonts w:ascii="Palatino Linotype" w:eastAsia="Palatino Linotype" w:hAnsi="Palatino Linotype" w:cs="Palatino Linotype"/>
        </w:rPr>
        <w:t xml:space="preserve"> en el recurso de revisión que ahora se resuelve no colma a cabalidad los requerimientos de información de </w:t>
      </w:r>
      <w:r w:rsidRPr="00A3565D">
        <w:rPr>
          <w:rFonts w:ascii="Palatino Linotype" w:eastAsia="Palatino Linotype" w:hAnsi="Palatino Linotype" w:cs="Palatino Linotype"/>
          <w:b/>
        </w:rPr>
        <w:t>LA PARTE RECURRENTE,</w:t>
      </w:r>
      <w:r w:rsidRPr="00A3565D">
        <w:rPr>
          <w:rFonts w:ascii="Palatino Linotype" w:eastAsia="Palatino Linotype" w:hAnsi="Palatino Linotype" w:cs="Palatino Linotype"/>
        </w:rPr>
        <w:t xml:space="preserve"> por lo que derivado de un análisis exhaustivo realizado es que se determina </w:t>
      </w:r>
      <w:r w:rsidRPr="00A3565D">
        <w:rPr>
          <w:rFonts w:ascii="Palatino Linotype" w:eastAsia="Palatino Linotype" w:hAnsi="Palatino Linotype" w:cs="Palatino Linotype"/>
          <w:b/>
        </w:rPr>
        <w:t xml:space="preserve">MODIFICAR </w:t>
      </w:r>
      <w:r w:rsidRPr="00A3565D">
        <w:rPr>
          <w:rFonts w:ascii="Palatino Linotype" w:eastAsia="Palatino Linotype" w:hAnsi="Palatino Linotype" w:cs="Palatino Linotype"/>
        </w:rPr>
        <w:t xml:space="preserve">la respuesta del recurso de revisión </w:t>
      </w:r>
      <w:r w:rsidRPr="00A3565D">
        <w:rPr>
          <w:rFonts w:ascii="Palatino Linotype" w:eastAsia="Palatino Linotype" w:hAnsi="Palatino Linotype" w:cs="Palatino Linotype"/>
          <w:b/>
        </w:rPr>
        <w:t>03304/INFOEM/IP/RR/2023</w:t>
      </w:r>
      <w:r w:rsidRPr="00A3565D">
        <w:rPr>
          <w:rFonts w:ascii="Palatino Linotype" w:eastAsia="Palatino Linotype" w:hAnsi="Palatino Linotype" w:cs="Palatino Linotype"/>
        </w:rPr>
        <w:t xml:space="preserve">, para ordenar la </w:t>
      </w:r>
      <w:r w:rsidRPr="00A3565D">
        <w:rPr>
          <w:rFonts w:ascii="Palatino Linotype" w:eastAsia="Palatino Linotype" w:hAnsi="Palatino Linotype" w:cs="Palatino Linotype"/>
        </w:rPr>
        <w:lastRenderedPageBreak/>
        <w:t xml:space="preserve">entrega del documento donde conste la nómina de todo el personal adscrito al Ayuntamiento de Nicolás Romero de la primera quincena de mayo de dos mil veintitrés, de ser el caso, en versión pública de ser procedente conforme al Considerando Quinto de esta resolución. </w:t>
      </w:r>
    </w:p>
    <w:p w:rsidR="00E810BA" w:rsidRPr="00A3565D" w:rsidRDefault="00E810BA">
      <w:pPr>
        <w:pBdr>
          <w:top w:val="nil"/>
          <w:left w:val="nil"/>
          <w:bottom w:val="nil"/>
          <w:right w:val="nil"/>
          <w:between w:val="nil"/>
        </w:pBdr>
        <w:spacing w:line="360" w:lineRule="auto"/>
        <w:ind w:right="49"/>
        <w:jc w:val="both"/>
        <w:rPr>
          <w:rFonts w:ascii="Palatino Linotype" w:eastAsia="Palatino Linotype" w:hAnsi="Palatino Linotype" w:cs="Palatino Linotype"/>
          <w:b/>
        </w:rPr>
      </w:pPr>
    </w:p>
    <w:p w:rsidR="00E810BA" w:rsidRPr="00A3565D" w:rsidRDefault="008F43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rPr>
      </w:pPr>
      <w:r w:rsidRPr="00A3565D">
        <w:rPr>
          <w:rFonts w:ascii="Palatino Linotype" w:eastAsia="Palatino Linotype" w:hAnsi="Palatino Linotype" w:cs="Palatino Linotype"/>
          <w:b/>
        </w:rPr>
        <w:t>DEL CAMBIO EN LA MODALIDAD DE ENTREGA.</w:t>
      </w:r>
      <w:r w:rsidRPr="00A3565D">
        <w:rPr>
          <w:rFonts w:ascii="Palatino Linotype" w:eastAsia="Palatino Linotype" w:hAnsi="Palatino Linotype" w:cs="Palatino Linotype"/>
        </w:rPr>
        <w:t xml:space="preserve"> </w:t>
      </w:r>
    </w:p>
    <w:p w:rsidR="00E810BA" w:rsidRPr="00A3565D" w:rsidRDefault="00E810BA">
      <w:pPr>
        <w:pBdr>
          <w:top w:val="nil"/>
          <w:left w:val="nil"/>
          <w:bottom w:val="nil"/>
          <w:right w:val="nil"/>
          <w:between w:val="nil"/>
        </w:pBdr>
        <w:spacing w:line="360" w:lineRule="auto"/>
        <w:jc w:val="both"/>
        <w:rPr>
          <w:rFonts w:ascii="Palatino Linotype" w:eastAsia="Palatino Linotype" w:hAnsi="Palatino Linotype" w:cs="Palatino Linotype"/>
        </w:rPr>
      </w:pPr>
    </w:p>
    <w:p w:rsidR="00E810BA" w:rsidRPr="00A3565D" w:rsidRDefault="008F4367">
      <w:pPr>
        <w:pBdr>
          <w:top w:val="nil"/>
          <w:left w:val="nil"/>
          <w:bottom w:val="nil"/>
          <w:right w:val="nil"/>
          <w:between w:val="nil"/>
        </w:pBd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En atención al motivo de inconformidad de </w:t>
      </w:r>
      <w:r w:rsidRPr="00A3565D">
        <w:rPr>
          <w:rFonts w:ascii="Palatino Linotype" w:eastAsia="Palatino Linotype" w:hAnsi="Palatino Linotype" w:cs="Palatino Linotype"/>
          <w:b/>
        </w:rPr>
        <w:t>LA PARTE RECURRENTE</w:t>
      </w:r>
      <w:r w:rsidRPr="00A3565D">
        <w:rPr>
          <w:rFonts w:ascii="Palatino Linotype" w:eastAsia="Palatino Linotype" w:hAnsi="Palatino Linotype" w:cs="Palatino Linotype"/>
        </w:rPr>
        <w:t xml:space="preserve"> en el que refiere que </w:t>
      </w:r>
      <w:r w:rsidRPr="00A3565D">
        <w:rPr>
          <w:rFonts w:ascii="Palatino Linotype" w:eastAsia="Palatino Linotype" w:hAnsi="Palatino Linotype" w:cs="Palatino Linotype"/>
          <w:i/>
        </w:rPr>
        <w:t>“… dedo de realizar un pago, siendo que es información que deben de proporcionar…” (Sic)</w:t>
      </w:r>
      <w:r w:rsidRPr="00A3565D">
        <w:rPr>
          <w:rFonts w:ascii="Palatino Linotype" w:eastAsia="Palatino Linotype" w:hAnsi="Palatino Linotype" w:cs="Palatino Linotype"/>
        </w:rPr>
        <w:t xml:space="preserve"> </w:t>
      </w:r>
    </w:p>
    <w:p w:rsidR="00E810BA" w:rsidRPr="00A3565D" w:rsidRDefault="00E810BA">
      <w:pPr>
        <w:pBdr>
          <w:top w:val="nil"/>
          <w:left w:val="nil"/>
          <w:bottom w:val="nil"/>
          <w:right w:val="nil"/>
          <w:between w:val="nil"/>
        </w:pBd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i/>
        </w:rPr>
      </w:pPr>
      <w:r w:rsidRPr="00A3565D">
        <w:rPr>
          <w:rFonts w:ascii="Palatino Linotype" w:eastAsia="Palatino Linotype" w:hAnsi="Palatino Linotype" w:cs="Palatino Linotype"/>
        </w:rPr>
        <w:t xml:space="preserve">Ahora bien, es pertinente recordar que la parte solicitante requirió la información a través de SAIMEX, sin embargo, </w:t>
      </w:r>
      <w:r w:rsidRPr="00A3565D">
        <w:rPr>
          <w:rFonts w:ascii="Palatino Linotype" w:eastAsia="Palatino Linotype" w:hAnsi="Palatino Linotype" w:cs="Palatino Linotype"/>
          <w:b/>
        </w:rPr>
        <w:t>EL SUJETO OBLIGADO</w:t>
      </w:r>
      <w:r w:rsidRPr="00A3565D">
        <w:rPr>
          <w:rFonts w:ascii="Palatino Linotype" w:eastAsia="Palatino Linotype" w:hAnsi="Palatino Linotype" w:cs="Palatino Linotype"/>
        </w:rPr>
        <w:t xml:space="preserve"> señaló en respuesta a la solicitud de información que </w:t>
      </w:r>
      <w:r w:rsidRPr="00A3565D">
        <w:rPr>
          <w:rFonts w:ascii="Palatino Linotype" w:eastAsia="Palatino Linotype" w:hAnsi="Palatino Linotype" w:cs="Palatino Linotype"/>
          <w:i/>
        </w:rPr>
        <w:t>“… la documental requerida por el solicitante consta de 1,317 talones de pago impresos por su anverso en copia simple, mismas que se requieren para dar atención a lo solicitado…” (Sic),</w:t>
      </w:r>
      <w:r w:rsidRPr="00A3565D">
        <w:rPr>
          <w:rFonts w:ascii="Palatino Linotype" w:eastAsia="Palatino Linotype" w:hAnsi="Palatino Linotype" w:cs="Palatino Linotype"/>
        </w:rPr>
        <w:t xml:space="preserve"> y además señaló que </w:t>
      </w:r>
      <w:r w:rsidRPr="00A3565D">
        <w:rPr>
          <w:rFonts w:ascii="Palatino Linotype" w:eastAsia="Palatino Linotype" w:hAnsi="Palatino Linotype" w:cs="Palatino Linotype"/>
          <w:i/>
        </w:rPr>
        <w:t>“… la reproducción de los mismos genera un costo en materiales…” (Sic)</w:t>
      </w:r>
    </w:p>
    <w:p w:rsidR="00E810BA" w:rsidRPr="00A3565D" w:rsidRDefault="00E810BA">
      <w:pPr>
        <w:pBdr>
          <w:top w:val="nil"/>
          <w:left w:val="nil"/>
          <w:bottom w:val="nil"/>
          <w:right w:val="nil"/>
          <w:between w:val="nil"/>
        </w:pBdr>
        <w:spacing w:line="360" w:lineRule="auto"/>
        <w:jc w:val="both"/>
        <w:rPr>
          <w:rFonts w:ascii="Palatino Linotype" w:eastAsia="Palatino Linotype" w:hAnsi="Palatino Linotype" w:cs="Palatino Linotype"/>
        </w:rPr>
      </w:pPr>
    </w:p>
    <w:p w:rsidR="00E810BA" w:rsidRPr="00A3565D" w:rsidRDefault="008F4367">
      <w:pPr>
        <w:pBdr>
          <w:top w:val="nil"/>
          <w:left w:val="nil"/>
          <w:bottom w:val="nil"/>
          <w:right w:val="nil"/>
          <w:between w:val="nil"/>
        </w:pBdr>
        <w:spacing w:line="360" w:lineRule="auto"/>
        <w:jc w:val="both"/>
        <w:rPr>
          <w:rFonts w:ascii="Palatino Linotype" w:eastAsia="Palatino Linotype" w:hAnsi="Palatino Linotype" w:cs="Palatino Linotype"/>
          <w:b/>
        </w:rPr>
      </w:pPr>
      <w:r w:rsidRPr="00A3565D">
        <w:rPr>
          <w:rFonts w:ascii="Palatino Linotype" w:eastAsia="Palatino Linotype" w:hAnsi="Palatino Linotype" w:cs="Palatino Linotype"/>
        </w:rPr>
        <w:t xml:space="preserve">Además dijo que la información yace en el portal de IPOMEX referente a la remuneración bruta y neta del personal, pero que </w:t>
      </w:r>
      <w:r w:rsidRPr="00A3565D">
        <w:rPr>
          <w:rFonts w:ascii="Palatino Linotype" w:eastAsia="Palatino Linotype" w:hAnsi="Palatino Linotype" w:cs="Palatino Linotype"/>
          <w:b/>
        </w:rPr>
        <w:t>LA PARTE RECURRENTE</w:t>
      </w:r>
      <w:r w:rsidRPr="00A3565D">
        <w:rPr>
          <w:rFonts w:ascii="Palatino Linotype" w:eastAsia="Palatino Linotype" w:hAnsi="Palatino Linotype" w:cs="Palatino Linotype"/>
        </w:rPr>
        <w:t xml:space="preserve"> podría consultarla de manera directa en las oficinas de la Oficialía Mayor de la Tesorería Municipal del Ayuntamiento, toda vez que remitirla por el SAIMEX sobrepasaría las capacidades técnicas, administrativas y humanas del </w:t>
      </w:r>
      <w:r w:rsidRPr="00A3565D">
        <w:rPr>
          <w:rFonts w:ascii="Palatino Linotype" w:eastAsia="Palatino Linotype" w:hAnsi="Palatino Linotype" w:cs="Palatino Linotype"/>
          <w:b/>
        </w:rPr>
        <w:t xml:space="preserve">SUJETO OBLIGADO. </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bookmarkStart w:id="4" w:name="_heading=h.30j0zll" w:colFirst="0" w:colLast="0"/>
      <w:bookmarkEnd w:id="4"/>
      <w:r w:rsidRPr="00A3565D">
        <w:rPr>
          <w:rFonts w:ascii="Palatino Linotype" w:eastAsia="Palatino Linotype" w:hAnsi="Palatino Linotype" w:cs="Palatino Linotype"/>
        </w:rPr>
        <w:t xml:space="preserve">Cambio de modalidad de entrega de la información </w:t>
      </w:r>
      <w:r w:rsidRPr="00A3565D">
        <w:rPr>
          <w:rFonts w:ascii="Palatino Linotype" w:eastAsia="Palatino Linotype" w:hAnsi="Palatino Linotype" w:cs="Palatino Linotype"/>
          <w:i/>
        </w:rPr>
        <w:t>in situ</w:t>
      </w:r>
      <w:r w:rsidRPr="00A3565D">
        <w:rPr>
          <w:rFonts w:ascii="Palatino Linotype" w:eastAsia="Palatino Linotype" w:hAnsi="Palatino Linotype" w:cs="Palatino Linotype"/>
        </w:rPr>
        <w:t xml:space="preserve"> que resulta improcedente, toda vez que como ha sido evidenciado por este Pleno, </w:t>
      </w:r>
      <w:r w:rsidRPr="00A3565D">
        <w:rPr>
          <w:rFonts w:ascii="Palatino Linotype" w:eastAsia="Palatino Linotype" w:hAnsi="Palatino Linotype" w:cs="Palatino Linotype"/>
          <w:b/>
        </w:rPr>
        <w:t>EL SUJETO OBLIGADO</w:t>
      </w:r>
      <w:r w:rsidRPr="00A3565D">
        <w:rPr>
          <w:rFonts w:ascii="Palatino Linotype" w:eastAsia="Palatino Linotype" w:hAnsi="Palatino Linotype" w:cs="Palatino Linotype"/>
        </w:rPr>
        <w:t xml:space="preserve"> cuenta con la capacidad para remitir la información solicitada, pues la misma es remitida en formatos electrónicos XLS de manera trimestral al Órgano Superior de Fiscalización del Estado de México. </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Ahora bien, respecto al pago requerido 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de </w:t>
      </w:r>
      <w:r w:rsidRPr="00A3565D">
        <w:rPr>
          <w:rFonts w:ascii="Palatino Linotype" w:eastAsia="Palatino Linotype" w:hAnsi="Palatino Linotype" w:cs="Palatino Linotype"/>
          <w:b/>
        </w:rPr>
        <w:t>gratuidad</w:t>
      </w:r>
      <w:r w:rsidRPr="00A3565D">
        <w:rPr>
          <w:rFonts w:ascii="Palatino Linotype" w:eastAsia="Palatino Linotype" w:hAnsi="Palatino Linotype" w:cs="Palatino Linotype"/>
        </w:rPr>
        <w:t>, de certeza, de celeridad, de objetividad, entre otros.</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Así, a través del </w:t>
      </w:r>
      <w:r w:rsidRPr="00A3565D">
        <w:rPr>
          <w:rFonts w:ascii="Palatino Linotype" w:eastAsia="Palatino Linotype" w:hAnsi="Palatino Linotype" w:cs="Palatino Linotype"/>
          <w:b/>
        </w:rPr>
        <w:t>principio de gratuidad</w:t>
      </w:r>
      <w:r w:rsidRPr="00A3565D">
        <w:rPr>
          <w:rFonts w:ascii="Palatino Linotype" w:eastAsia="Palatino Linotype" w:hAnsi="Palatino Linotype" w:cs="Palatino Linotype"/>
        </w:rPr>
        <w:t xml:space="preserve">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 </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En razón de este principio, se instituye que la consulta de documentos o información en el sitio donde se encontrare no tendrá costo alguno; asimismo, los costos por </w:t>
      </w:r>
      <w:r w:rsidRPr="00A3565D">
        <w:rPr>
          <w:rFonts w:ascii="Palatino Linotype" w:eastAsia="Palatino Linotype" w:hAnsi="Palatino Linotype" w:cs="Palatino Linotype"/>
        </w:rPr>
        <w:lastRenderedPageBreak/>
        <w:t xml:space="preserve">obtener información no podrán ser superiores a la suma del costo de los materiales utilizados para la </w:t>
      </w:r>
      <w:r w:rsidRPr="00A3565D">
        <w:rPr>
          <w:rFonts w:ascii="Palatino Linotype" w:eastAsia="Palatino Linotype" w:hAnsi="Palatino Linotype" w:cs="Palatino Linotype"/>
          <w:b/>
        </w:rPr>
        <w:t>reproducción</w:t>
      </w:r>
      <w:r w:rsidRPr="00A3565D">
        <w:rPr>
          <w:rFonts w:ascii="Palatino Linotype" w:eastAsia="Palatino Linotype" w:hAnsi="Palatino Linotype" w:cs="Palatino Linotype"/>
        </w:rPr>
        <w:t xml:space="preserve"> de la información, y en su caso del costo de </w:t>
      </w:r>
      <w:r w:rsidRPr="00A3565D">
        <w:rPr>
          <w:rFonts w:ascii="Palatino Linotype" w:eastAsia="Palatino Linotype" w:hAnsi="Palatino Linotype" w:cs="Palatino Linotype"/>
          <w:b/>
        </w:rPr>
        <w:t>envío</w:t>
      </w:r>
      <w:r w:rsidRPr="00A3565D">
        <w:rPr>
          <w:rFonts w:ascii="Palatino Linotype" w:eastAsia="Palatino Linotype" w:hAnsi="Palatino Linotype" w:cs="Palatino Linotype"/>
        </w:rPr>
        <w:t>, finalmente, conlleva implícitamente un esfuerzo por parte de los Sujetos Obligados para reducir los costos de entrega de la información.</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Atento a lo anterior, nuestra Carta Magna, así como la Constitución Política de nuestro Estado,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sidRPr="00A3565D">
        <w:rPr>
          <w:rFonts w:ascii="Palatino Linotype" w:eastAsia="Palatino Linotype" w:hAnsi="Palatino Linotype" w:cs="Palatino Linotype"/>
          <w:b/>
          <w:i/>
        </w:rPr>
        <w:t>gratuitos</w:t>
      </w:r>
      <w:r w:rsidRPr="00A3565D">
        <w:rPr>
          <w:rFonts w:ascii="Palatino Linotype" w:eastAsia="Palatino Linotype" w:hAnsi="Palatino Linotype" w:cs="Palatino Linotype"/>
        </w:rPr>
        <w:t xml:space="preserve">, refiere en los artículos 17 y 150, que la búsqueda y acceso a la información es gratuita y </w:t>
      </w:r>
      <w:r w:rsidRPr="00A3565D">
        <w:rPr>
          <w:rFonts w:ascii="Palatino Linotype" w:eastAsia="Palatino Linotype" w:hAnsi="Palatino Linotype" w:cs="Palatino Linotype"/>
          <w:b/>
          <w:i/>
        </w:rPr>
        <w:t xml:space="preserve">sólo se cubrirá en su caso, los gastos de reproducción, </w:t>
      </w:r>
      <w:r w:rsidRPr="00A3565D">
        <w:rPr>
          <w:rFonts w:ascii="Palatino Linotype" w:eastAsia="Palatino Linotype" w:hAnsi="Palatino Linotype" w:cs="Palatino Linotype"/>
          <w:b/>
          <w:i/>
          <w:u w:val="single"/>
        </w:rPr>
        <w:t xml:space="preserve">por la modalidad de entrega solicitada, o por </w:t>
      </w:r>
      <w:proofErr w:type="spellStart"/>
      <w:r w:rsidRPr="00A3565D">
        <w:rPr>
          <w:rFonts w:ascii="Palatino Linotype" w:eastAsia="Palatino Linotype" w:hAnsi="Palatino Linotype" w:cs="Palatino Linotype"/>
          <w:b/>
          <w:i/>
          <w:u w:val="single"/>
        </w:rPr>
        <w:t>el</w:t>
      </w:r>
      <w:proofErr w:type="spellEnd"/>
      <w:r w:rsidRPr="00A3565D">
        <w:rPr>
          <w:rFonts w:ascii="Palatino Linotype" w:eastAsia="Palatino Linotype" w:hAnsi="Palatino Linotype" w:cs="Palatino Linotype"/>
          <w:b/>
          <w:i/>
          <w:u w:val="single"/>
        </w:rPr>
        <w:t xml:space="preserve"> envió</w:t>
      </w:r>
      <w:r w:rsidRPr="00A3565D">
        <w:rPr>
          <w:rFonts w:ascii="Palatino Linotype" w:eastAsia="Palatino Linotype" w:hAnsi="Palatino Linotype" w:cs="Palatino Linotype"/>
          <w:u w:val="single"/>
        </w:rPr>
        <w:t xml:space="preserve"> </w:t>
      </w:r>
      <w:r w:rsidRPr="00A3565D">
        <w:rPr>
          <w:rFonts w:ascii="Palatino Linotype" w:eastAsia="Palatino Linotype" w:hAnsi="Palatino Linotype" w:cs="Palatino Linotype"/>
        </w:rPr>
        <w:t xml:space="preserve">de conformidad con los derechos, productos y aprovechamientos establecidos en la legislación aplicable, en razón de que el procedimiento de acceso a la información es la garantía primaria del derecho en cuestión y </w:t>
      </w:r>
      <w:r w:rsidRPr="00A3565D">
        <w:rPr>
          <w:rFonts w:ascii="Palatino Linotype" w:eastAsia="Palatino Linotype" w:hAnsi="Palatino Linotype" w:cs="Palatino Linotype"/>
          <w:i/>
        </w:rPr>
        <w:t xml:space="preserve">se rige por los principios de </w:t>
      </w:r>
      <w:r w:rsidRPr="00A3565D">
        <w:rPr>
          <w:rFonts w:ascii="Palatino Linotype" w:eastAsia="Palatino Linotype" w:hAnsi="Palatino Linotype" w:cs="Palatino Linotype"/>
        </w:rPr>
        <w:t xml:space="preserve">simplicidad, rapidez, </w:t>
      </w:r>
      <w:r w:rsidRPr="00A3565D">
        <w:rPr>
          <w:rFonts w:ascii="Palatino Linotype" w:eastAsia="Palatino Linotype" w:hAnsi="Palatino Linotype" w:cs="Palatino Linotype"/>
          <w:b/>
          <w:i/>
        </w:rPr>
        <w:t>gratuidad</w:t>
      </w:r>
      <w:r w:rsidRPr="00A3565D">
        <w:rPr>
          <w:rFonts w:ascii="Palatino Linotype" w:eastAsia="Palatino Linotype" w:hAnsi="Palatino Linotype" w:cs="Palatino Linotype"/>
        </w:rPr>
        <w:t xml:space="preserve">, auxilio y orientación a los particulares, en virtud </w:t>
      </w:r>
      <w:r w:rsidRPr="00A3565D">
        <w:rPr>
          <w:rFonts w:ascii="Palatino Linotype" w:eastAsia="Palatino Linotype" w:hAnsi="Palatino Linotype" w:cs="Palatino Linotype"/>
        </w:rPr>
        <w:lastRenderedPageBreak/>
        <w:t>de que constituye el primer paso para integrar activamente a la ciudadanía en la acción gubernamental, toda vez que con la información proporcionada por medio de las políticas de Transparencia, los ciudadanos son partícipes de las acciones realizadas por los entes públicos, lo que favorece la rendición de cuentas.</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sidRPr="00A3565D">
        <w:rPr>
          <w:rFonts w:ascii="Palatino Linotype" w:eastAsia="Palatino Linotype" w:hAnsi="Palatino Linotype" w:cs="Palatino Linotype"/>
          <w:b/>
        </w:rPr>
        <w:t>en caso de que se tenga que generar un gasto por la reproducción, por el envío, o por la modalidad de entrega solicitada</w:t>
      </w:r>
      <w:r w:rsidRPr="00A3565D">
        <w:rPr>
          <w:rFonts w:ascii="Palatino Linotype" w:eastAsia="Palatino Linotype" w:hAnsi="Palatino Linotype" w:cs="Palatino Linotype"/>
        </w:rPr>
        <w:t>, supuestos que encuadran con lo establecido en los artículos 9 fracción III, 17, 165, 174, 175 de la Ley de Acceso a la Información Pública del Estado de México y Municipios, así como el artículo 4.22 de su Reglamento.´</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No obstante, en el caso concreto, dichos preceptos son interpretados en perjuicio de la solicitante, como se explica enseguida, para lo cual es necesario hacer referencia a los mismos en su parte conducente: </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 “</w:t>
      </w:r>
      <w:r w:rsidRPr="00A3565D">
        <w:rPr>
          <w:rFonts w:ascii="Palatino Linotype" w:eastAsia="Palatino Linotype" w:hAnsi="Palatino Linotype" w:cs="Palatino Linotype"/>
          <w:b/>
          <w:i/>
          <w:sz w:val="22"/>
          <w:szCs w:val="22"/>
        </w:rPr>
        <w:t xml:space="preserve">Artículo 9. </w:t>
      </w:r>
      <w:r w:rsidRPr="00A3565D">
        <w:rPr>
          <w:rFonts w:ascii="Palatino Linotype" w:eastAsia="Palatino Linotype" w:hAnsi="Palatino Linotype" w:cs="Palatino Linotype"/>
          <w:i/>
          <w:sz w:val="22"/>
          <w:szCs w:val="22"/>
        </w:rPr>
        <w:t>El Instituto deberá regir su funcionamiento de acuerdo a los siguientes principios:</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III. Gratuidad:</w:t>
      </w:r>
      <w:r w:rsidRPr="00A3565D">
        <w:rPr>
          <w:rFonts w:ascii="Palatino Linotype" w:eastAsia="Palatino Linotype" w:hAnsi="Palatino Linotype" w:cs="Palatino Linotype"/>
          <w:i/>
          <w:sz w:val="22"/>
          <w:szCs w:val="22"/>
        </w:rPr>
        <w:t xml:space="preserve"> Consiste en que el acceso a la información pública no genera costo alguno para los solicitantes, </w:t>
      </w:r>
      <w:r w:rsidRPr="00A3565D">
        <w:rPr>
          <w:rFonts w:ascii="Palatino Linotype" w:eastAsia="Palatino Linotype" w:hAnsi="Palatino Linotype" w:cs="Palatino Linotype"/>
          <w:b/>
          <w:i/>
          <w:sz w:val="22"/>
          <w:szCs w:val="22"/>
        </w:rPr>
        <w:t>sólo podrá requerirse el cobro correspondiente a la modalidad de reproducción y</w:t>
      </w:r>
      <w:r w:rsidRPr="00A3565D">
        <w:rPr>
          <w:rFonts w:ascii="Palatino Linotype" w:eastAsia="Palatino Linotype" w:hAnsi="Palatino Linotype" w:cs="Palatino Linotype"/>
          <w:i/>
          <w:sz w:val="22"/>
          <w:szCs w:val="22"/>
        </w:rPr>
        <w:t xml:space="preserve"> </w:t>
      </w:r>
      <w:r w:rsidRPr="00A3565D">
        <w:rPr>
          <w:rFonts w:ascii="Palatino Linotype" w:eastAsia="Palatino Linotype" w:hAnsi="Palatino Linotype" w:cs="Palatino Linotype"/>
          <w:b/>
          <w:i/>
          <w:sz w:val="22"/>
          <w:szCs w:val="22"/>
        </w:rPr>
        <w:t>entrega solicitada</w:t>
      </w:r>
      <w:r w:rsidRPr="00A3565D">
        <w:rPr>
          <w:rFonts w:ascii="Palatino Linotype" w:eastAsia="Palatino Linotype" w:hAnsi="Palatino Linotype" w:cs="Palatino Linotype"/>
          <w:i/>
          <w:sz w:val="22"/>
          <w:szCs w:val="22"/>
        </w:rPr>
        <w:t xml:space="preserve"> conforme a lo establecido en la presente Ley y demás disposiciones jurídicas aplicables;</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Artículo 17.</w:t>
      </w:r>
      <w:r w:rsidRPr="00A3565D">
        <w:rPr>
          <w:rFonts w:ascii="Palatino Linotype" w:eastAsia="Palatino Linotype" w:hAnsi="Palatino Linotype" w:cs="Palatino Linotype"/>
          <w:i/>
          <w:sz w:val="22"/>
          <w:szCs w:val="22"/>
        </w:rPr>
        <w:t xml:space="preserve"> La búsqueda y acceso a la información es gratuita y </w:t>
      </w:r>
      <w:r w:rsidRPr="00A3565D">
        <w:rPr>
          <w:rFonts w:ascii="Palatino Linotype" w:eastAsia="Palatino Linotype" w:hAnsi="Palatino Linotype" w:cs="Palatino Linotype"/>
          <w:b/>
          <w:i/>
          <w:sz w:val="22"/>
          <w:szCs w:val="22"/>
        </w:rPr>
        <w:t>solo se cubrirán los gastos de reproducción, o por la modalidad de entrega solicitada, así como por el envío,</w:t>
      </w:r>
      <w:r w:rsidRPr="00A3565D">
        <w:rPr>
          <w:rFonts w:ascii="Palatino Linotype" w:eastAsia="Palatino Linotype" w:hAnsi="Palatino Linotype" w:cs="Palatino Linotype"/>
          <w:i/>
          <w:sz w:val="22"/>
          <w:szCs w:val="22"/>
        </w:rPr>
        <w:t xml:space="preserve"> que en su caso se genere, de conformidad con </w:t>
      </w:r>
      <w:r w:rsidRPr="00A3565D">
        <w:rPr>
          <w:rFonts w:ascii="Palatino Linotype" w:eastAsia="Palatino Linotype" w:hAnsi="Palatino Linotype" w:cs="Palatino Linotype"/>
          <w:i/>
          <w:sz w:val="22"/>
          <w:szCs w:val="22"/>
        </w:rPr>
        <w:lastRenderedPageBreak/>
        <w:t>los derechos, productos y aprovechamientos establecidos en la legislación aplicable, sin que exceda de los límites establecidos en la presente Ley.</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A3565D">
        <w:rPr>
          <w:rFonts w:ascii="Palatino Linotype" w:eastAsia="Palatino Linotype" w:hAnsi="Palatino Linotype" w:cs="Palatino Linotype"/>
          <w:b/>
          <w:i/>
          <w:sz w:val="22"/>
          <w:szCs w:val="22"/>
        </w:rPr>
        <w:t>Artículo 165. …</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La información que se entregue en versión pública, </w:t>
      </w:r>
      <w:r w:rsidRPr="00A3565D">
        <w:rPr>
          <w:rFonts w:ascii="Palatino Linotype" w:eastAsia="Palatino Linotype" w:hAnsi="Palatino Linotype" w:cs="Palatino Linotype"/>
          <w:b/>
          <w:i/>
          <w:sz w:val="22"/>
          <w:szCs w:val="22"/>
        </w:rPr>
        <w:t>cuya modalidad de reproducción o envío tenga un costo,</w:t>
      </w:r>
      <w:r w:rsidRPr="00A3565D">
        <w:rPr>
          <w:rFonts w:ascii="Palatino Linotype" w:eastAsia="Palatino Linotype" w:hAnsi="Palatino Linotype" w:cs="Palatino Linotype"/>
          <w:i/>
          <w:sz w:val="22"/>
          <w:szCs w:val="22"/>
        </w:rPr>
        <w:t xml:space="preserve"> procederá una vez que se acredite el pago respectivo. No puede entenderse como reproducción la elaboración de la misma.</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A3565D">
        <w:rPr>
          <w:rFonts w:ascii="Palatino Linotype" w:eastAsia="Palatino Linotype" w:hAnsi="Palatino Linotype" w:cs="Palatino Linotype"/>
          <w:b/>
          <w:i/>
          <w:sz w:val="22"/>
          <w:szCs w:val="22"/>
        </w:rPr>
        <w:t xml:space="preserve">Artículo 174. En caso de existir costos para obtener la información </w:t>
      </w:r>
      <w:r w:rsidRPr="00A3565D">
        <w:rPr>
          <w:rFonts w:ascii="Palatino Linotype" w:eastAsia="Palatino Linotype" w:hAnsi="Palatino Linotype" w:cs="Palatino Linotype"/>
          <w:i/>
          <w:sz w:val="22"/>
          <w:szCs w:val="22"/>
        </w:rPr>
        <w:t xml:space="preserve">deberán cubrirse de manera previa a la entrega y </w:t>
      </w:r>
      <w:r w:rsidRPr="00A3565D">
        <w:rPr>
          <w:rFonts w:ascii="Palatino Linotype" w:eastAsia="Palatino Linotype" w:hAnsi="Palatino Linotype" w:cs="Palatino Linotype"/>
          <w:b/>
          <w:i/>
          <w:sz w:val="22"/>
          <w:szCs w:val="22"/>
        </w:rPr>
        <w:t xml:space="preserve">no podrán ser superiores a la suma de: </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I. El costo de los materiales utilizados en la reproducción</w:t>
      </w:r>
      <w:r w:rsidRPr="00A3565D">
        <w:rPr>
          <w:rFonts w:ascii="Palatino Linotype" w:eastAsia="Palatino Linotype" w:hAnsi="Palatino Linotype" w:cs="Palatino Linotype"/>
          <w:i/>
          <w:sz w:val="22"/>
          <w:szCs w:val="22"/>
        </w:rPr>
        <w:t xml:space="preserve"> de la información;</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II. El costo de envío,</w:t>
      </w:r>
      <w:r w:rsidRPr="00A3565D">
        <w:rPr>
          <w:rFonts w:ascii="Palatino Linotype" w:eastAsia="Palatino Linotype" w:hAnsi="Palatino Linotype" w:cs="Palatino Linotype"/>
          <w:i/>
          <w:sz w:val="22"/>
          <w:szCs w:val="22"/>
        </w:rPr>
        <w:t xml:space="preserve"> en su caso; y</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III. El pago de la certificación de los documentos,</w:t>
      </w:r>
      <w:r w:rsidRPr="00A3565D">
        <w:rPr>
          <w:rFonts w:ascii="Palatino Linotype" w:eastAsia="Palatino Linotype" w:hAnsi="Palatino Linotype" w:cs="Palatino Linotype"/>
          <w:i/>
          <w:sz w:val="22"/>
          <w:szCs w:val="22"/>
        </w:rPr>
        <w:t xml:space="preserve"> cuando proceda.</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Las cuotas de los derechos aplicables deberán establecerse, en su caso, en el </w:t>
      </w:r>
      <w:r w:rsidRPr="00A3565D">
        <w:rPr>
          <w:rFonts w:ascii="Palatino Linotype" w:eastAsia="Palatino Linotype" w:hAnsi="Palatino Linotype" w:cs="Palatino Linotype"/>
          <w:b/>
          <w:i/>
          <w:sz w:val="22"/>
          <w:szCs w:val="22"/>
        </w:rPr>
        <w:t xml:space="preserve">Código Financiero del Estado de México y Municipios </w:t>
      </w:r>
      <w:r w:rsidRPr="00A3565D">
        <w:rPr>
          <w:rFonts w:ascii="Palatino Linotype" w:eastAsia="Palatino Linotype" w:hAnsi="Palatino Linotype" w:cs="Palatino Linotype"/>
          <w:i/>
          <w:sz w:val="22"/>
          <w:szCs w:val="22"/>
        </w:rPr>
        <w:t>y demás disposiciones jurídicas aplicables, las cuales se publicarán en los sitios de internet de los sujetos obligados…”</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A3565D">
        <w:rPr>
          <w:rFonts w:ascii="Palatino Linotype" w:eastAsia="Palatino Linotype" w:hAnsi="Palatino Linotype" w:cs="Palatino Linotype"/>
          <w:b/>
          <w:i/>
          <w:sz w:val="22"/>
          <w:szCs w:val="22"/>
        </w:rPr>
        <w:t>Artículo 175. …</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A3565D">
        <w:rPr>
          <w:rFonts w:ascii="Palatino Linotype" w:eastAsia="Palatino Linotype" w:hAnsi="Palatino Linotype" w:cs="Palatino Linotype"/>
          <w:i/>
          <w:sz w:val="22"/>
          <w:szCs w:val="22"/>
        </w:rPr>
        <w:t xml:space="preserve">En ningún caso, el pago de derechos deberá exceder el </w:t>
      </w:r>
      <w:r w:rsidRPr="00A3565D">
        <w:rPr>
          <w:rFonts w:ascii="Palatino Linotype" w:eastAsia="Palatino Linotype" w:hAnsi="Palatino Linotype" w:cs="Palatino Linotype"/>
          <w:b/>
          <w:i/>
          <w:sz w:val="22"/>
          <w:szCs w:val="22"/>
        </w:rPr>
        <w:t>costo de reproducción de la información en el material solicitado.”</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r w:rsidRPr="00A3565D">
        <w:rPr>
          <w:rFonts w:ascii="Palatino Linotype" w:eastAsia="Palatino Linotype" w:hAnsi="Palatino Linotype" w:cs="Palatino Linotype"/>
          <w:b/>
          <w:i/>
          <w:sz w:val="22"/>
          <w:szCs w:val="22"/>
        </w:rPr>
        <w:t xml:space="preserve">Artículo 4.22.- </w:t>
      </w:r>
      <w:r w:rsidRPr="00A3565D">
        <w:rPr>
          <w:rFonts w:ascii="Palatino Linotype" w:eastAsia="Palatino Linotype" w:hAnsi="Palatino Linotype" w:cs="Palatino Linotype"/>
          <w:i/>
          <w:sz w:val="22"/>
          <w:szCs w:val="22"/>
        </w:rPr>
        <w:t>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En efecto, de los preceptos citados se desprende que ley de la materia estableció el cobró de derechos para la entrega de la información, con el objeto de que se cubran los costos de los materiales utilizados en la reproducción de la información, el costo por </w:t>
      </w:r>
      <w:proofErr w:type="spellStart"/>
      <w:r w:rsidRPr="00A3565D">
        <w:rPr>
          <w:rFonts w:ascii="Palatino Linotype" w:eastAsia="Palatino Linotype" w:hAnsi="Palatino Linotype" w:cs="Palatino Linotype"/>
        </w:rPr>
        <w:t>el</w:t>
      </w:r>
      <w:proofErr w:type="spellEnd"/>
      <w:r w:rsidRPr="00A3565D">
        <w:rPr>
          <w:rFonts w:ascii="Palatino Linotype" w:eastAsia="Palatino Linotype" w:hAnsi="Palatino Linotype" w:cs="Palatino Linotype"/>
        </w:rPr>
        <w:t xml:space="preserve"> envió de la misma o el pago por la certificación; sin embargo, en el caso que </w:t>
      </w:r>
      <w:r w:rsidRPr="00A3565D">
        <w:rPr>
          <w:rFonts w:ascii="Palatino Linotype" w:eastAsia="Palatino Linotype" w:hAnsi="Palatino Linotype" w:cs="Palatino Linotype"/>
        </w:rPr>
        <w:lastRenderedPageBreak/>
        <w:t xml:space="preserve">nos ocupa, </w:t>
      </w:r>
      <w:r w:rsidRPr="00A3565D">
        <w:rPr>
          <w:rFonts w:ascii="Palatino Linotype" w:eastAsia="Palatino Linotype" w:hAnsi="Palatino Linotype" w:cs="Palatino Linotype"/>
          <w:b/>
        </w:rPr>
        <w:t>no se estima que se actualice alguno de los supuestos previstos en la norma,</w:t>
      </w:r>
      <w:r w:rsidRPr="00A3565D">
        <w:rPr>
          <w:rFonts w:ascii="Palatino Linotype" w:eastAsia="Palatino Linotype" w:hAnsi="Palatino Linotype" w:cs="Palatino Linotype"/>
        </w:rPr>
        <w:t xml:space="preserve"> toda vez que la parte solicitante requirió la información a través del sistema SAIMEX, por lo tanto no se le está requiriendo al </w:t>
      </w:r>
      <w:r w:rsidRPr="00A3565D">
        <w:rPr>
          <w:rFonts w:ascii="Palatino Linotype" w:eastAsia="Palatino Linotype" w:hAnsi="Palatino Linotype" w:cs="Palatino Linotype"/>
          <w:b/>
        </w:rPr>
        <w:t>SUJETO OBLIGADO</w:t>
      </w:r>
      <w:r w:rsidRPr="00A3565D">
        <w:rPr>
          <w:rFonts w:ascii="Palatino Linotype" w:eastAsia="Palatino Linotype" w:hAnsi="Palatino Linotype" w:cs="Palatino Linotype"/>
        </w:rPr>
        <w:t xml:space="preserve"> que expida copias certificadas o que reproduzca la información que ya asumió poseer, en cualquier otro medio físico, sino que proporcione la información de manera electrónica, en otras palabras, con la finalidad de satisfacer la solicitud, </w:t>
      </w:r>
      <w:r w:rsidRPr="00A3565D">
        <w:rPr>
          <w:rFonts w:ascii="Palatino Linotype" w:eastAsia="Palatino Linotype" w:hAnsi="Palatino Linotype" w:cs="Palatino Linotype"/>
          <w:b/>
        </w:rPr>
        <w:t>no es necesario que EL SUJETO OBLIGADO realice una reproducción física de la información que conserva en sus archivos,</w:t>
      </w:r>
      <w:r w:rsidRPr="00A3565D">
        <w:rPr>
          <w:rFonts w:ascii="Palatino Linotype" w:eastAsia="Palatino Linotype" w:hAnsi="Palatino Linotype" w:cs="Palatino Linotype"/>
        </w:rPr>
        <w:t xml:space="preserve"> más bien implicaría realizar una digitalización o escaneo de aquellos documentos que por su naturaleza se encuentran en un medio físico.</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Siendo necesario precisar que la digitalización o escaneo de la información, </w:t>
      </w:r>
      <w:r w:rsidRPr="00A3565D">
        <w:rPr>
          <w:rFonts w:ascii="Palatino Linotype" w:eastAsia="Palatino Linotype" w:hAnsi="Palatino Linotype" w:cs="Palatino Linotype"/>
          <w:b/>
        </w:rPr>
        <w:t>no conlleva la utilización de materiales que le generen un costo</w:t>
      </w:r>
      <w:r w:rsidRPr="00A3565D">
        <w:rPr>
          <w:rFonts w:ascii="Palatino Linotype" w:eastAsia="Palatino Linotype" w:hAnsi="Palatino Linotype" w:cs="Palatino Linotype"/>
        </w:rPr>
        <w:t xml:space="preserve">, como podría serlo por ejemplo hojas de papel para la emisión de copias; de igual manera, tampoco se actualiza el cobro por certificación, ya que la parte solicitante no requirió la entrega en dicha modalidad, así tampoco se genera un gasto por </w:t>
      </w:r>
      <w:proofErr w:type="spellStart"/>
      <w:r w:rsidRPr="00A3565D">
        <w:rPr>
          <w:rFonts w:ascii="Palatino Linotype" w:eastAsia="Palatino Linotype" w:hAnsi="Palatino Linotype" w:cs="Palatino Linotype"/>
        </w:rPr>
        <w:t>el</w:t>
      </w:r>
      <w:proofErr w:type="spellEnd"/>
      <w:r w:rsidRPr="00A3565D">
        <w:rPr>
          <w:rFonts w:ascii="Palatino Linotype" w:eastAsia="Palatino Linotype" w:hAnsi="Palatino Linotype" w:cs="Palatino Linotype"/>
        </w:rPr>
        <w:t xml:space="preserve"> envió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Aunado a lo anterior, la exposición de motivos de la Ley de Transparencia y Acceso a la Información Pública del Estado de México y Municipios señala que se adoptará una ruta regida por el principio de progresividad en la materia, que implique que </w:t>
      </w:r>
      <w:r w:rsidRPr="00A3565D">
        <w:rPr>
          <w:rFonts w:ascii="Palatino Linotype" w:eastAsia="Palatino Linotype" w:hAnsi="Palatino Linotype" w:cs="Palatino Linotype"/>
        </w:rPr>
        <w:lastRenderedPageBreak/>
        <w:t xml:space="preserve">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w:t>
      </w:r>
      <w:r w:rsidRPr="00A3565D">
        <w:rPr>
          <w:rFonts w:ascii="Palatino Linotype" w:eastAsia="Palatino Linotype" w:hAnsi="Palatino Linotype" w:cs="Palatino Linotype"/>
          <w:b/>
        </w:rPr>
        <w:t>ningún costo</w:t>
      </w:r>
      <w:r w:rsidRPr="00A3565D">
        <w:rPr>
          <w:rFonts w:ascii="Palatino Linotype" w:eastAsia="Palatino Linotype" w:hAnsi="Palatino Linotype" w:cs="Palatino Linotype"/>
        </w:rPr>
        <w:t>, incluyendo aquella que se hubiera digitalizado previamente por cualquier motivo, y aún menos en aquellos casos en que la modalidad de entrega sea por medio de la plataforma o vía electrónica.</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Por lo que no existe presupuesto jurídico que autorice al </w:t>
      </w:r>
      <w:r w:rsidRPr="00A3565D">
        <w:rPr>
          <w:rFonts w:ascii="Palatino Linotype" w:eastAsia="Palatino Linotype" w:hAnsi="Palatino Linotype" w:cs="Palatino Linotype"/>
          <w:b/>
        </w:rPr>
        <w:t>SUJETO OBLIGADO</w:t>
      </w:r>
      <w:r w:rsidRPr="00A3565D">
        <w:rPr>
          <w:rFonts w:ascii="Palatino Linotype" w:eastAsia="Palatino Linotype" w:hAnsi="Palatino Linotype" w:cs="Palatino Linotype"/>
        </w:rPr>
        <w:t xml:space="preserve"> a requerir un pago para entregar la información vía SAIMEX, debido a que dicho sistema fue creado para facilitar el registro y atención de las solicitudes de información, y es su obligación trasladar la información de un soporte físico a uno electrónico y cuidar que los medios electrónicos o impresos en los que conste tanto información pública, como confidencial y reservada se entreguen en versión pública en los casos que eso resulte necesario.</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Pensar lo contrario, sería tanto como reconocer que la utilización del sistema SAIMEX, transgrede o limita el derecho de acceso a la información pública de los solicitantes, ya que de requerir la entrega de la información a la cual desean acceder a través del mismo, implica la obligación de pagar por la atención a su derecho, </w:t>
      </w:r>
      <w:r w:rsidRPr="00A3565D">
        <w:rPr>
          <w:rFonts w:ascii="Palatino Linotype" w:eastAsia="Palatino Linotype" w:hAnsi="Palatino Linotype" w:cs="Palatino Linotype"/>
        </w:rPr>
        <w:lastRenderedPageBreak/>
        <w:t>cuando se trate de información que no se encuentre contemplada en las obligaciones de transparencia comunes y específicas para los Sujetos Obligados, ya que respecto de cierta información no existe la obligación de tenerla digitalizada.</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Bajo esta óptica, el derecho de la persona solicitante de acceder a los documentos que obran en posesión del </w:t>
      </w:r>
      <w:r w:rsidRPr="00A3565D">
        <w:rPr>
          <w:rFonts w:ascii="Palatino Linotype" w:eastAsia="Palatino Linotype" w:hAnsi="Palatino Linotype" w:cs="Palatino Linotype"/>
          <w:b/>
        </w:rPr>
        <w:t xml:space="preserve">SUJETO OBLIGADO </w:t>
      </w:r>
      <w:r w:rsidRPr="00A3565D">
        <w:rPr>
          <w:rFonts w:ascii="Palatino Linotype" w:eastAsia="Palatino Linotype" w:hAnsi="Palatino Linotype" w:cs="Palatino Linotype"/>
        </w:rPr>
        <w:t>se encuentra limitado, en virtud de que no le fue proporcionada la información solicitada, incumpliendo así lo previsto en el artículo 4 de la ley de la materia;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sólo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Finalmente, bajo los argumentos expuestos, se presume que </w:t>
      </w:r>
      <w:r w:rsidRPr="00A3565D">
        <w:rPr>
          <w:rFonts w:ascii="Palatino Linotype" w:eastAsia="Palatino Linotype" w:hAnsi="Palatino Linotype" w:cs="Palatino Linotype"/>
          <w:b/>
        </w:rPr>
        <w:t>EL SUJETO OBLIGADO</w:t>
      </w:r>
      <w:r w:rsidRPr="00A3565D">
        <w:rPr>
          <w:rFonts w:ascii="Palatino Linotype" w:eastAsia="Palatino Linotype" w:hAnsi="Palatino Linotype" w:cs="Palatino Linotype"/>
        </w:rPr>
        <w:t xml:space="preserve"> cuenta con los medios para poder llevar a cabo la referida digitalización y posteriormente realizar la versión pública, de ser el caso, -mediante algún software o algún programa, sin que deba necesariamente reproducir la información en formato físico-, para estar en condiciones de  atender la solicitud, </w:t>
      </w:r>
      <w:r w:rsidRPr="00A3565D">
        <w:rPr>
          <w:rFonts w:ascii="Palatino Linotype" w:eastAsia="Palatino Linotype" w:hAnsi="Palatino Linotype" w:cs="Palatino Linotype"/>
        </w:rPr>
        <w:lastRenderedPageBreak/>
        <w:t>este Organismo Garante estima procedente ordenar la entrega de dicho soporte documental, mediante el sistema SAIMEX, sin costo para la solicitante.</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Por lo que si bien, la información solicitada se encuentra digitalizada, la misma no se encuentra en versión pública, sin embargo, ello no es impedimento para hacer entrega de la información en la modalidad solicitada, ya que se cuentan con diversos programas que puede ayudar a su elaboración, como lo analizaremos a continuación:</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keepNext/>
        <w:numPr>
          <w:ilvl w:val="0"/>
          <w:numId w:val="4"/>
        </w:numPr>
        <w:spacing w:line="360" w:lineRule="auto"/>
        <w:rPr>
          <w:rFonts w:ascii="Palatino Linotype" w:eastAsia="Palatino Linotype" w:hAnsi="Palatino Linotype" w:cs="Palatino Linotype"/>
        </w:rPr>
      </w:pPr>
      <w:r w:rsidRPr="00A3565D">
        <w:rPr>
          <w:rFonts w:ascii="Palatino Linotype" w:eastAsia="Palatino Linotype" w:hAnsi="Palatino Linotype" w:cs="Palatino Linotype"/>
          <w:b/>
        </w:rPr>
        <w:t>DEL PROCEDIMIENTO PARA LA CORRECTA ELABORACIÓN DE VERSIONES PÚBLICAS.</w:t>
      </w:r>
    </w:p>
    <w:p w:rsidR="00E810BA" w:rsidRPr="00A3565D" w:rsidRDefault="008F4367">
      <w:pPr>
        <w:spacing w:line="360" w:lineRule="auto"/>
        <w:ind w:right="49"/>
        <w:jc w:val="both"/>
        <w:rPr>
          <w:rFonts w:ascii="Palatino Linotype" w:eastAsia="Palatino Linotype" w:hAnsi="Palatino Linotype" w:cs="Palatino Linotype"/>
        </w:rPr>
      </w:pPr>
      <w:r w:rsidRPr="00A3565D">
        <w:rPr>
          <w:rFonts w:ascii="Palatino Linotype" w:eastAsia="Palatino Linotype" w:hAnsi="Palatino Linotype" w:cs="Palatino Linotype"/>
        </w:rPr>
        <w:t>Así, este Instituto preocupado por protección de la información susceptible de ser clasificada como confidencial, y en aras de privilegiar el Derecho de Acceso a la Información, procede a señalar los pasos a seguir para realizar una correcta versión pública digital.</w:t>
      </w:r>
    </w:p>
    <w:p w:rsidR="00E810BA" w:rsidRPr="00A3565D" w:rsidRDefault="00E810BA">
      <w:pPr>
        <w:spacing w:line="360" w:lineRule="auto"/>
        <w:ind w:right="49"/>
        <w:jc w:val="both"/>
        <w:rPr>
          <w:rFonts w:ascii="Palatino Linotype" w:eastAsia="Palatino Linotype" w:hAnsi="Palatino Linotype" w:cs="Palatino Linotype"/>
        </w:rPr>
      </w:pPr>
    </w:p>
    <w:p w:rsidR="00E810BA" w:rsidRPr="00A3565D" w:rsidRDefault="008F4367">
      <w:pPr>
        <w:spacing w:line="360" w:lineRule="auto"/>
        <w:ind w:right="49"/>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Primeramente se requiere adquirir un programa de aplicación informática denominado </w:t>
      </w:r>
      <w:r w:rsidRPr="00A3565D">
        <w:rPr>
          <w:rFonts w:ascii="Palatino Linotype" w:eastAsia="Palatino Linotype" w:hAnsi="Palatino Linotype" w:cs="Palatino Linotype"/>
          <w:b/>
        </w:rPr>
        <w:t>“Adobe Acrobat Reader”</w:t>
      </w:r>
      <w:r w:rsidRPr="00A3565D">
        <w:rPr>
          <w:rFonts w:ascii="Palatino Linotype" w:eastAsia="Palatino Linotype" w:hAnsi="Palatino Linotype" w:cs="Palatino Linotype"/>
        </w:rPr>
        <w:t xml:space="preserve"> diseñado para visualizar, crear y modificar archivos con el formato “Portable </w:t>
      </w:r>
      <w:proofErr w:type="spellStart"/>
      <w:r w:rsidRPr="00A3565D">
        <w:rPr>
          <w:rFonts w:ascii="Palatino Linotype" w:eastAsia="Palatino Linotype" w:hAnsi="Palatino Linotype" w:cs="Palatino Linotype"/>
        </w:rPr>
        <w:t>Document</w:t>
      </w:r>
      <w:proofErr w:type="spellEnd"/>
      <w:r w:rsidRPr="00A3565D">
        <w:rPr>
          <w:rFonts w:ascii="Palatino Linotype" w:eastAsia="Palatino Linotype" w:hAnsi="Palatino Linotype" w:cs="Palatino Linotype"/>
        </w:rPr>
        <w:t xml:space="preserve"> </w:t>
      </w:r>
      <w:proofErr w:type="spellStart"/>
      <w:r w:rsidRPr="00A3565D">
        <w:rPr>
          <w:rFonts w:ascii="Palatino Linotype" w:eastAsia="Palatino Linotype" w:hAnsi="Palatino Linotype" w:cs="Palatino Linotype"/>
        </w:rPr>
        <w:t>Format</w:t>
      </w:r>
      <w:proofErr w:type="spellEnd"/>
      <w:r w:rsidRPr="00A3565D">
        <w:rPr>
          <w:rFonts w:ascii="Palatino Linotype" w:eastAsia="Palatino Linotype" w:hAnsi="Palatino Linotype" w:cs="Palatino Linotype"/>
        </w:rPr>
        <w:t xml:space="preserve">”, más conocido como “PDF”, programa que de acuerdo a las tareas y actividades efectuadas por </w:t>
      </w:r>
      <w:r w:rsidRPr="00A3565D">
        <w:rPr>
          <w:rFonts w:ascii="Palatino Linotype" w:eastAsia="Palatino Linotype" w:hAnsi="Palatino Linotype" w:cs="Palatino Linotype"/>
          <w:b/>
        </w:rPr>
        <w:t>EL SUJETO OBLIGADO</w:t>
      </w:r>
      <w:r w:rsidRPr="00A3565D">
        <w:rPr>
          <w:rFonts w:ascii="Palatino Linotype" w:eastAsia="Palatino Linotype" w:hAnsi="Palatino Linotype" w:cs="Palatino Linotype"/>
        </w:rPr>
        <w:t>, se colige se encuentra instalado en sus equipos de cómputo.</w:t>
      </w:r>
    </w:p>
    <w:p w:rsidR="00E810BA" w:rsidRPr="00A3565D" w:rsidRDefault="00E810BA">
      <w:pPr>
        <w:spacing w:line="360" w:lineRule="auto"/>
        <w:ind w:left="720"/>
        <w:rPr>
          <w:rFonts w:ascii="Palatino Linotype" w:eastAsia="Palatino Linotype" w:hAnsi="Palatino Linotype" w:cs="Palatino Linotype"/>
        </w:rPr>
      </w:pPr>
    </w:p>
    <w:p w:rsidR="00E810BA" w:rsidRPr="00A3565D" w:rsidRDefault="008F4367">
      <w:pPr>
        <w:spacing w:line="360" w:lineRule="auto"/>
        <w:ind w:right="49"/>
        <w:jc w:val="both"/>
        <w:rPr>
          <w:rFonts w:ascii="Palatino Linotype" w:eastAsia="Palatino Linotype" w:hAnsi="Palatino Linotype" w:cs="Palatino Linotype"/>
        </w:rPr>
      </w:pPr>
      <w:r w:rsidRPr="00A3565D">
        <w:rPr>
          <w:rFonts w:ascii="Palatino Linotype" w:eastAsia="Palatino Linotype" w:hAnsi="Palatino Linotype" w:cs="Palatino Linotype"/>
        </w:rPr>
        <w:t>De no ser así se encuentra disponible para descarga en español en la dirección electrónica siguiente:</w:t>
      </w:r>
    </w:p>
    <w:p w:rsidR="00E810BA" w:rsidRPr="00A3565D" w:rsidRDefault="00E810BA">
      <w:pPr>
        <w:spacing w:line="360" w:lineRule="auto"/>
        <w:ind w:right="49"/>
        <w:jc w:val="both"/>
        <w:rPr>
          <w:rFonts w:ascii="Palatino Linotype" w:eastAsia="Palatino Linotype" w:hAnsi="Palatino Linotype" w:cs="Palatino Linotype"/>
        </w:rPr>
      </w:pPr>
    </w:p>
    <w:p w:rsidR="00E810BA" w:rsidRPr="00A3565D" w:rsidRDefault="00B646E8">
      <w:pPr>
        <w:spacing w:line="360" w:lineRule="auto"/>
        <w:ind w:left="567"/>
        <w:jc w:val="both"/>
        <w:rPr>
          <w:rFonts w:ascii="Palatino Linotype" w:eastAsia="Palatino Linotype" w:hAnsi="Palatino Linotype" w:cs="Palatino Linotype"/>
        </w:rPr>
      </w:pPr>
      <w:hyperlink r:id="rId20">
        <w:r w:rsidR="008F4367" w:rsidRPr="00A3565D">
          <w:rPr>
            <w:rFonts w:ascii="Palatino Linotype" w:eastAsia="Palatino Linotype" w:hAnsi="Palatino Linotype" w:cs="Palatino Linotype"/>
            <w:u w:val="single"/>
          </w:rPr>
          <w:t>https://acrobat.adobe.com/mx/es/acrobat/pdf-reader.html</w:t>
        </w:r>
      </w:hyperlink>
    </w:p>
    <w:p w:rsidR="00E810BA" w:rsidRPr="00A3565D" w:rsidRDefault="00E810BA">
      <w:pPr>
        <w:spacing w:line="360" w:lineRule="auto"/>
        <w:ind w:left="567"/>
        <w:jc w:val="both"/>
        <w:rPr>
          <w:rFonts w:ascii="Palatino Linotype" w:eastAsia="Palatino Linotype" w:hAnsi="Palatino Linotype" w:cs="Palatino Linotype"/>
        </w:rPr>
      </w:pPr>
    </w:p>
    <w:p w:rsidR="00E810BA" w:rsidRPr="00A3565D" w:rsidRDefault="008F4367">
      <w:pPr>
        <w:spacing w:line="360" w:lineRule="auto"/>
        <w:ind w:right="49"/>
        <w:jc w:val="both"/>
        <w:rPr>
          <w:rFonts w:ascii="Palatino Linotype" w:eastAsia="Palatino Linotype" w:hAnsi="Palatino Linotype" w:cs="Palatino Linotype"/>
        </w:rPr>
      </w:pPr>
      <w:r w:rsidRPr="00A3565D">
        <w:rPr>
          <w:rFonts w:ascii="Palatino Linotype" w:eastAsia="Palatino Linotype" w:hAnsi="Palatino Linotype" w:cs="Palatino Linotype"/>
        </w:rPr>
        <w:t>Una vez descargado el programa, el proceso de testado reside en lo siguiente:</w:t>
      </w:r>
    </w:p>
    <w:p w:rsidR="00E810BA" w:rsidRPr="00A3565D" w:rsidRDefault="00E810BA">
      <w:pPr>
        <w:spacing w:line="360" w:lineRule="auto"/>
        <w:rPr>
          <w:rFonts w:ascii="Palatino Linotype" w:eastAsia="Palatino Linotype" w:hAnsi="Palatino Linotype" w:cs="Palatino Linotype"/>
        </w:rPr>
      </w:pPr>
    </w:p>
    <w:p w:rsidR="00E810BA" w:rsidRPr="00A3565D" w:rsidRDefault="008F4367">
      <w:pPr>
        <w:spacing w:line="360" w:lineRule="auto"/>
        <w:rPr>
          <w:rFonts w:ascii="Palatino Linotype" w:eastAsia="Palatino Linotype" w:hAnsi="Palatino Linotype" w:cs="Palatino Linotype"/>
          <w:b/>
          <w:i/>
        </w:rPr>
      </w:pPr>
      <w:r w:rsidRPr="00A3565D">
        <w:rPr>
          <w:rFonts w:ascii="Palatino Linotype" w:eastAsia="Palatino Linotype" w:hAnsi="Palatino Linotype" w:cs="Palatino Linotype"/>
        </w:rPr>
        <w:t xml:space="preserve">Se procede a abrir el archivo a editar, dar clic en la pestaña </w:t>
      </w:r>
      <w:r w:rsidRPr="00A3565D">
        <w:rPr>
          <w:rFonts w:ascii="Palatino Linotype" w:eastAsia="Palatino Linotype" w:hAnsi="Palatino Linotype" w:cs="Palatino Linotype"/>
          <w:b/>
          <w:i/>
        </w:rPr>
        <w:t>Herramientas</w:t>
      </w:r>
      <w:r w:rsidRPr="00A3565D">
        <w:rPr>
          <w:rFonts w:ascii="Palatino Linotype" w:eastAsia="Palatino Linotype" w:hAnsi="Palatino Linotype" w:cs="Palatino Linotype"/>
        </w:rPr>
        <w:t xml:space="preserve">, y  seleccionar la herramienta de </w:t>
      </w:r>
      <w:r w:rsidRPr="00A3565D">
        <w:rPr>
          <w:rFonts w:ascii="Palatino Linotype" w:eastAsia="Palatino Linotype" w:hAnsi="Palatino Linotype" w:cs="Palatino Linotype"/>
          <w:b/>
          <w:i/>
        </w:rPr>
        <w:t>Censurar.</w:t>
      </w:r>
    </w:p>
    <w:p w:rsidR="00E810BA" w:rsidRPr="00A3565D" w:rsidRDefault="00E810BA">
      <w:pPr>
        <w:spacing w:line="360" w:lineRule="auto"/>
        <w:rPr>
          <w:rFonts w:ascii="Palatino Linotype" w:eastAsia="Palatino Linotype" w:hAnsi="Palatino Linotype" w:cs="Palatino Linotype"/>
        </w:rPr>
      </w:pPr>
    </w:p>
    <w:p w:rsidR="00E810BA" w:rsidRPr="00A3565D" w:rsidRDefault="008F4367">
      <w:pPr>
        <w:spacing w:line="360" w:lineRule="auto"/>
        <w:jc w:val="center"/>
        <w:rPr>
          <w:rFonts w:ascii="Palatino Linotype" w:eastAsia="Palatino Linotype" w:hAnsi="Palatino Linotype" w:cs="Palatino Linotype"/>
        </w:rPr>
      </w:pPr>
      <w:r w:rsidRPr="00A3565D">
        <w:rPr>
          <w:rFonts w:ascii="Palatino Linotype" w:eastAsia="Palatino Linotype" w:hAnsi="Palatino Linotype" w:cs="Palatino Linotype"/>
          <w:noProof/>
        </w:rPr>
        <w:drawing>
          <wp:inline distT="0" distB="0" distL="0" distR="0">
            <wp:extent cx="5579970" cy="2620773"/>
            <wp:effectExtent l="0" t="0" r="0" b="0"/>
            <wp:docPr id="86103198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579970" cy="2620773"/>
                    </a:xfrm>
                    <a:prstGeom prst="rect">
                      <a:avLst/>
                    </a:prstGeom>
                    <a:ln/>
                  </pic:spPr>
                </pic:pic>
              </a:graphicData>
            </a:graphic>
          </wp:inline>
        </w:drawing>
      </w:r>
      <w:r w:rsidRPr="00A3565D">
        <w:rPr>
          <w:noProof/>
        </w:rPr>
        <mc:AlternateContent>
          <mc:Choice Requires="wpg">
            <w:drawing>
              <wp:anchor distT="0" distB="0" distL="114300" distR="114300" simplePos="0" relativeHeight="251658240" behindDoc="0" locked="0" layoutInCell="1" hidden="0" allowOverlap="1">
                <wp:simplePos x="0" y="0"/>
                <wp:positionH relativeFrom="column">
                  <wp:posOffset>1778000</wp:posOffset>
                </wp:positionH>
                <wp:positionV relativeFrom="paragraph">
                  <wp:posOffset>876300</wp:posOffset>
                </wp:positionV>
                <wp:extent cx="614351" cy="603460"/>
                <wp:effectExtent l="0" t="0" r="0" b="0"/>
                <wp:wrapNone/>
                <wp:docPr id="861031976" name="Flecha derecha 861031976"/>
                <wp:cNvGraphicFramePr/>
                <a:graphic xmlns:a="http://schemas.openxmlformats.org/drawingml/2006/main">
                  <a:graphicData uri="http://schemas.microsoft.com/office/word/2010/wordprocessingShape">
                    <wps:wsp>
                      <wps:cNvSpPr/>
                      <wps:spPr>
                        <a:xfrm rot="1883494">
                          <a:off x="5169284" y="3649803"/>
                          <a:ext cx="353432" cy="260394"/>
                        </a:xfrm>
                        <a:prstGeom prst="rightArrow">
                          <a:avLst>
                            <a:gd name="adj1" fmla="val 50000"/>
                            <a:gd name="adj2" fmla="val 50000"/>
                          </a:avLst>
                        </a:prstGeom>
                        <a:solidFill>
                          <a:srgbClr val="000000"/>
                        </a:solidFill>
                        <a:ln w="9525" cap="flat" cmpd="sng">
                          <a:solidFill>
                            <a:srgbClr val="000000"/>
                          </a:solidFill>
                          <a:prstDash val="solid"/>
                          <a:miter lim="800000"/>
                          <a:headEnd type="none" w="sm" len="sm"/>
                          <a:tailEnd type="none" w="sm" len="sm"/>
                        </a:ln>
                      </wps:spPr>
                      <wps:txbx>
                        <w:txbxContent>
                          <w:p w:rsidR="00E810BA" w:rsidRDefault="00E810BA">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1778000</wp:posOffset>
                </wp:positionH>
                <wp:positionV relativeFrom="paragraph">
                  <wp:posOffset>876300</wp:posOffset>
                </wp:positionV>
                <wp:extent cx="614351" cy="603460"/>
                <wp:effectExtent b="0" l="0" r="0" t="0"/>
                <wp:wrapNone/>
                <wp:docPr id="861031976" name="image12.png"/>
                <a:graphic>
                  <a:graphicData uri="http://schemas.openxmlformats.org/drawingml/2006/picture">
                    <pic:pic>
                      <pic:nvPicPr>
                        <pic:cNvPr id="0" name="image12.png"/>
                        <pic:cNvPicPr preferRelativeResize="0"/>
                      </pic:nvPicPr>
                      <pic:blipFill>
                        <a:blip r:embed="rId22"/>
                        <a:srcRect/>
                        <a:stretch>
                          <a:fillRect/>
                        </a:stretch>
                      </pic:blipFill>
                      <pic:spPr>
                        <a:xfrm>
                          <a:off x="0" y="0"/>
                          <a:ext cx="614351" cy="603460"/>
                        </a:xfrm>
                        <a:prstGeom prst="rect"/>
                        <a:ln/>
                      </pic:spPr>
                    </pic:pic>
                  </a:graphicData>
                </a:graphic>
              </wp:anchor>
            </w:drawing>
          </mc:Fallback>
        </mc:AlternateContent>
      </w:r>
      <w:r w:rsidRPr="00A3565D">
        <w:rPr>
          <w:noProof/>
        </w:rPr>
        <mc:AlternateContent>
          <mc:Choice Requires="wpg">
            <w:drawing>
              <wp:anchor distT="0" distB="0" distL="114300" distR="114300" simplePos="0" relativeHeight="251659264" behindDoc="0" locked="0" layoutInCell="1" hidden="0" allowOverlap="1">
                <wp:simplePos x="0" y="0"/>
                <wp:positionH relativeFrom="column">
                  <wp:posOffset>508000</wp:posOffset>
                </wp:positionH>
                <wp:positionV relativeFrom="paragraph">
                  <wp:posOffset>304800</wp:posOffset>
                </wp:positionV>
                <wp:extent cx="372482" cy="279444"/>
                <wp:effectExtent l="0" t="0" r="0" b="0"/>
                <wp:wrapNone/>
                <wp:docPr id="861031977" name="Flecha derecha 861031977"/>
                <wp:cNvGraphicFramePr/>
                <a:graphic xmlns:a="http://schemas.openxmlformats.org/drawingml/2006/main">
                  <a:graphicData uri="http://schemas.microsoft.com/office/word/2010/wordprocessingShape">
                    <wps:wsp>
                      <wps:cNvSpPr/>
                      <wps:spPr>
                        <a:xfrm rot="-5400000">
                          <a:off x="5169284" y="3649803"/>
                          <a:ext cx="353432" cy="260394"/>
                        </a:xfrm>
                        <a:prstGeom prst="rightArrow">
                          <a:avLst>
                            <a:gd name="adj1" fmla="val 50000"/>
                            <a:gd name="adj2" fmla="val 50000"/>
                          </a:avLst>
                        </a:prstGeom>
                        <a:solidFill>
                          <a:srgbClr val="000000"/>
                        </a:solidFill>
                        <a:ln w="9525" cap="flat" cmpd="sng">
                          <a:solidFill>
                            <a:srgbClr val="000000"/>
                          </a:solidFill>
                          <a:prstDash val="solid"/>
                          <a:miter lim="800000"/>
                          <a:headEnd type="none" w="sm" len="sm"/>
                          <a:tailEnd type="none" w="sm" len="sm"/>
                        </a:ln>
                      </wps:spPr>
                      <wps:txbx>
                        <w:txbxContent>
                          <w:p w:rsidR="00E810BA" w:rsidRDefault="00E810BA">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508000</wp:posOffset>
                </wp:positionH>
                <wp:positionV relativeFrom="paragraph">
                  <wp:posOffset>304800</wp:posOffset>
                </wp:positionV>
                <wp:extent cx="372482" cy="279444"/>
                <wp:effectExtent b="0" l="0" r="0" t="0"/>
                <wp:wrapNone/>
                <wp:docPr id="861031977" name="image13.png"/>
                <a:graphic>
                  <a:graphicData uri="http://schemas.openxmlformats.org/drawingml/2006/picture">
                    <pic:pic>
                      <pic:nvPicPr>
                        <pic:cNvPr id="0" name="image13.png"/>
                        <pic:cNvPicPr preferRelativeResize="0"/>
                      </pic:nvPicPr>
                      <pic:blipFill>
                        <a:blip r:embed="rId23"/>
                        <a:srcRect/>
                        <a:stretch>
                          <a:fillRect/>
                        </a:stretch>
                      </pic:blipFill>
                      <pic:spPr>
                        <a:xfrm>
                          <a:off x="0" y="0"/>
                          <a:ext cx="372482" cy="279444"/>
                        </a:xfrm>
                        <a:prstGeom prst="rect"/>
                        <a:ln/>
                      </pic:spPr>
                    </pic:pic>
                  </a:graphicData>
                </a:graphic>
              </wp:anchor>
            </w:drawing>
          </mc:Fallback>
        </mc:AlternateContent>
      </w:r>
    </w:p>
    <w:p w:rsidR="00E810BA" w:rsidRPr="00A3565D" w:rsidRDefault="00E810BA">
      <w:pPr>
        <w:spacing w:line="360" w:lineRule="auto"/>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Posteriormente seleccionar la pestaña denominada </w:t>
      </w:r>
      <w:r w:rsidRPr="00A3565D">
        <w:rPr>
          <w:rFonts w:ascii="Palatino Linotype" w:eastAsia="Palatino Linotype" w:hAnsi="Palatino Linotype" w:cs="Palatino Linotype"/>
          <w:b/>
          <w:i/>
        </w:rPr>
        <w:t>Marcar para censura,</w:t>
      </w:r>
      <w:r w:rsidRPr="00A3565D">
        <w:rPr>
          <w:rFonts w:ascii="Palatino Linotype" w:eastAsia="Palatino Linotype" w:hAnsi="Palatino Linotype" w:cs="Palatino Linotype"/>
        </w:rPr>
        <w:t xml:space="preserve"> y seleccionar la opción de </w:t>
      </w:r>
      <w:r w:rsidRPr="00A3565D">
        <w:rPr>
          <w:rFonts w:ascii="Palatino Linotype" w:eastAsia="Palatino Linotype" w:hAnsi="Palatino Linotype" w:cs="Palatino Linotype"/>
          <w:b/>
          <w:i/>
        </w:rPr>
        <w:t>Texto e Imágenes</w:t>
      </w:r>
      <w:r w:rsidRPr="00A3565D">
        <w:rPr>
          <w:rFonts w:ascii="Palatino Linotype" w:eastAsia="Palatino Linotype" w:hAnsi="Palatino Linotype" w:cs="Palatino Linotype"/>
        </w:rPr>
        <w:t>, y proceder al testado del documento.</w:t>
      </w:r>
    </w:p>
    <w:p w:rsidR="00E810BA" w:rsidRPr="00A3565D" w:rsidRDefault="008F4367">
      <w:pPr>
        <w:spacing w:line="360" w:lineRule="auto"/>
        <w:jc w:val="center"/>
        <w:rPr>
          <w:rFonts w:ascii="Palatino Linotype" w:eastAsia="Palatino Linotype" w:hAnsi="Palatino Linotype" w:cs="Palatino Linotype"/>
        </w:rPr>
      </w:pPr>
      <w:r w:rsidRPr="00A3565D">
        <w:rPr>
          <w:rFonts w:ascii="Palatino Linotype" w:eastAsia="Palatino Linotype" w:hAnsi="Palatino Linotype" w:cs="Palatino Linotype"/>
          <w:noProof/>
        </w:rPr>
        <w:lastRenderedPageBreak/>
        <w:drawing>
          <wp:inline distT="0" distB="0" distL="0" distR="0">
            <wp:extent cx="5476875" cy="5476875"/>
            <wp:effectExtent l="0" t="0" r="0" b="0"/>
            <wp:docPr id="86103198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l="31914" t="20631" r="32244" b="15655"/>
                    <a:stretch>
                      <a:fillRect/>
                    </a:stretch>
                  </pic:blipFill>
                  <pic:spPr>
                    <a:xfrm>
                      <a:off x="0" y="0"/>
                      <a:ext cx="5476875" cy="5476875"/>
                    </a:xfrm>
                    <a:prstGeom prst="rect">
                      <a:avLst/>
                    </a:prstGeom>
                    <a:ln/>
                  </pic:spPr>
                </pic:pic>
              </a:graphicData>
            </a:graphic>
          </wp:inline>
        </w:drawing>
      </w:r>
    </w:p>
    <w:p w:rsidR="00E810BA" w:rsidRPr="00A3565D" w:rsidRDefault="00E810BA">
      <w:pPr>
        <w:spacing w:line="360" w:lineRule="auto"/>
        <w:ind w:left="720"/>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Una vez realizado lo anterior, se procede a seleccionar el texto que se desea testar, y se debe presionar el apartado </w:t>
      </w:r>
      <w:r w:rsidRPr="00A3565D">
        <w:rPr>
          <w:rFonts w:ascii="Palatino Linotype" w:eastAsia="Palatino Linotype" w:hAnsi="Palatino Linotype" w:cs="Palatino Linotype"/>
          <w:b/>
          <w:i/>
        </w:rPr>
        <w:t xml:space="preserve">Aplicar, </w:t>
      </w:r>
      <w:r w:rsidRPr="00A3565D">
        <w:rPr>
          <w:rFonts w:ascii="Palatino Linotype" w:eastAsia="Palatino Linotype" w:hAnsi="Palatino Linotype" w:cs="Palatino Linotype"/>
        </w:rPr>
        <w:t>para que el documento quede de la siguiente manera:</w:t>
      </w:r>
    </w:p>
    <w:p w:rsidR="00E810BA" w:rsidRPr="00A3565D" w:rsidRDefault="008F4367">
      <w:pPr>
        <w:spacing w:line="360" w:lineRule="auto"/>
        <w:jc w:val="center"/>
        <w:rPr>
          <w:rFonts w:ascii="Palatino Linotype" w:eastAsia="Palatino Linotype" w:hAnsi="Palatino Linotype" w:cs="Palatino Linotype"/>
        </w:rPr>
      </w:pPr>
      <w:r w:rsidRPr="00A3565D">
        <w:rPr>
          <w:rFonts w:ascii="Palatino Linotype" w:eastAsia="Palatino Linotype" w:hAnsi="Palatino Linotype" w:cs="Palatino Linotype"/>
          <w:noProof/>
        </w:rPr>
        <w:lastRenderedPageBreak/>
        <w:drawing>
          <wp:inline distT="0" distB="0" distL="0" distR="0">
            <wp:extent cx="5529565" cy="5452251"/>
            <wp:effectExtent l="0" t="0" r="0" b="0"/>
            <wp:docPr id="8610319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l="31726" t="20271" r="31711" b="15638"/>
                    <a:stretch>
                      <a:fillRect/>
                    </a:stretch>
                  </pic:blipFill>
                  <pic:spPr>
                    <a:xfrm>
                      <a:off x="0" y="0"/>
                      <a:ext cx="5529565" cy="5452251"/>
                    </a:xfrm>
                    <a:prstGeom prst="rect">
                      <a:avLst/>
                    </a:prstGeom>
                    <a:ln/>
                  </pic:spPr>
                </pic:pic>
              </a:graphicData>
            </a:graphic>
          </wp:inline>
        </w:drawing>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Asimismo, no pasa desapercibido que la opción de censura se encuentra disponible en la versión más completa del programa de referencia, la cual tiene un costo; sin embargo, dicho programa también puede ser descargado en una versión gratuita de prueba con acceso a todas sus funciones, en el hipervínculo adjunto en párrafos anteriores. Además, también es necesario señalar que no es el único medio de poder </w:t>
      </w:r>
      <w:r w:rsidRPr="00A3565D">
        <w:rPr>
          <w:rFonts w:ascii="Palatino Linotype" w:eastAsia="Palatino Linotype" w:hAnsi="Palatino Linotype" w:cs="Palatino Linotype"/>
        </w:rPr>
        <w:lastRenderedPageBreak/>
        <w:t>elaborar una versión pública de un documento, toda vez que existen algunos que por su formato, puede ser suprimida la información sin necesidad de utilizar el método anterior</w:t>
      </w:r>
      <w:r w:rsidRPr="00A3565D">
        <w:rPr>
          <w:rFonts w:ascii="Palatino Linotype" w:eastAsia="Palatino Linotype" w:hAnsi="Palatino Linotype" w:cs="Palatino Linotype"/>
          <w:i/>
        </w:rPr>
        <w:t xml:space="preserve">, </w:t>
      </w:r>
      <w:r w:rsidRPr="00A3565D">
        <w:rPr>
          <w:rFonts w:ascii="Palatino Linotype" w:eastAsia="Palatino Linotype" w:hAnsi="Palatino Linotype" w:cs="Palatino Linotype"/>
        </w:rPr>
        <w:t xml:space="preserve">por lo que la versión pública que se realice debe de ser permanente, y </w:t>
      </w:r>
      <w:r w:rsidRPr="00A3565D">
        <w:rPr>
          <w:rFonts w:ascii="Palatino Linotype" w:eastAsia="Palatino Linotype" w:hAnsi="Palatino Linotype" w:cs="Palatino Linotype"/>
          <w:b/>
        </w:rPr>
        <w:t>EL SUJETO OBLIGADO</w:t>
      </w:r>
      <w:r w:rsidRPr="00A3565D">
        <w:rPr>
          <w:rFonts w:ascii="Palatino Linotype" w:eastAsia="Palatino Linotype" w:hAnsi="Palatino Linotype" w:cs="Palatino Linotype"/>
        </w:rPr>
        <w:t xml:space="preserve"> deberá asegurarse de que la misma no pueda ser retirada por ningún motivo.</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En tal contexto, y del análisis de las constancias que integran el expediente en que se actúa, así como de la materia sobre la que versa la solicitud de acceso a la información pública, se advierte que las razones o motivos de inconformidad devienen </w:t>
      </w:r>
      <w:r w:rsidRPr="00A3565D">
        <w:rPr>
          <w:rFonts w:ascii="Palatino Linotype" w:eastAsia="Palatino Linotype" w:hAnsi="Palatino Linotype" w:cs="Palatino Linotype"/>
          <w:b/>
        </w:rPr>
        <w:t>FUNDADOS,</w:t>
      </w:r>
      <w:r w:rsidRPr="00A3565D">
        <w:rPr>
          <w:rFonts w:ascii="Palatino Linotype" w:eastAsia="Palatino Linotype" w:hAnsi="Palatino Linotype" w:cs="Palatino Linotype"/>
        </w:rPr>
        <w:t xml:space="preserve"> en razón de que </w:t>
      </w:r>
      <w:r w:rsidRPr="00A3565D">
        <w:rPr>
          <w:rFonts w:ascii="Palatino Linotype" w:eastAsia="Palatino Linotype" w:hAnsi="Palatino Linotype" w:cs="Palatino Linotype"/>
          <w:b/>
        </w:rPr>
        <w:t>EL</w:t>
      </w:r>
      <w:r w:rsidRPr="00A3565D">
        <w:rPr>
          <w:rFonts w:ascii="Palatino Linotype" w:eastAsia="Palatino Linotype" w:hAnsi="Palatino Linotype" w:cs="Palatino Linotype"/>
        </w:rPr>
        <w:t xml:space="preserve"> </w:t>
      </w:r>
      <w:r w:rsidRPr="00A3565D">
        <w:rPr>
          <w:rFonts w:ascii="Palatino Linotype" w:eastAsia="Palatino Linotype" w:hAnsi="Palatino Linotype" w:cs="Palatino Linotype"/>
          <w:b/>
        </w:rPr>
        <w:t>SUJETO OBLIGADO</w:t>
      </w:r>
      <w:r w:rsidRPr="00A3565D">
        <w:rPr>
          <w:rFonts w:ascii="Palatino Linotype" w:eastAsia="Palatino Linotype" w:hAnsi="Palatino Linotype" w:cs="Palatino Linotype"/>
        </w:rPr>
        <w:t xml:space="preserve"> no proporcionó la información que le fue requerida, a pesar de haber reconocido, de manera expresa, que cuenta con ella, por tal motivo el derecho de acceso de </w:t>
      </w:r>
      <w:r w:rsidRPr="00A3565D">
        <w:rPr>
          <w:rFonts w:ascii="Palatino Linotype" w:eastAsia="Palatino Linotype" w:hAnsi="Palatino Linotype" w:cs="Palatino Linotype"/>
          <w:b/>
        </w:rPr>
        <w:t xml:space="preserve">LA PARTE RECURRENTE </w:t>
      </w:r>
      <w:r w:rsidRPr="00A3565D">
        <w:rPr>
          <w:rFonts w:ascii="Palatino Linotype" w:eastAsia="Palatino Linotype" w:hAnsi="Palatino Linotype" w:cs="Palatino Linotype"/>
        </w:rPr>
        <w:t xml:space="preserve">no ha quedado colmado, toda vez que se condiciona la entrega de dicha información a la realización de un pago por concepto de derechos para la expedición de copias simples bajo el argumento de que la información que se entregue en versión pública, cuya modalidad de reproducción o envío tenga un costo, procederá una vez que se acredite el pago respectivo, fundamentando dicha determinación en el Código Financiero del Estado de México. </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pBdr>
          <w:top w:val="nil"/>
          <w:left w:val="nil"/>
          <w:bottom w:val="nil"/>
          <w:right w:val="nil"/>
          <w:between w:val="nil"/>
        </w:pBdr>
        <w:spacing w:line="360" w:lineRule="auto"/>
        <w:ind w:right="51"/>
        <w:jc w:val="both"/>
      </w:pPr>
      <w:r w:rsidRPr="00A3565D">
        <w:rPr>
          <w:rFonts w:ascii="Palatino Linotype" w:eastAsia="Palatino Linotype" w:hAnsi="Palatino Linotype" w:cs="Palatino Linotype"/>
          <w:b/>
        </w:rPr>
        <w:t xml:space="preserve">QUINTO. VERSIÓN PÚBLICA. </w:t>
      </w:r>
      <w:r w:rsidRPr="00A3565D">
        <w:rPr>
          <w:rFonts w:ascii="Palatino Linotype" w:eastAsia="Palatino Linotype" w:hAnsi="Palatino Linotype" w:cs="Palatino Linotype"/>
        </w:rPr>
        <w:t xml:space="preserve">Como fue debidamente apuntado, </w:t>
      </w:r>
      <w:r w:rsidRPr="00A3565D">
        <w:rPr>
          <w:rFonts w:ascii="Palatino Linotype" w:eastAsia="Palatino Linotype" w:hAnsi="Palatino Linotype" w:cs="Palatino Linotype"/>
          <w:b/>
        </w:rPr>
        <w:t>EL SUJETO OBLIGADO</w:t>
      </w:r>
      <w:r w:rsidRPr="00A3565D">
        <w:rPr>
          <w:rFonts w:ascii="Palatino Linotype" w:eastAsia="Palatino Linotype" w:hAnsi="Palatino Linotype" w:cs="Palatino Linotype"/>
        </w:rPr>
        <w:t xml:space="preserve">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w:t>
      </w:r>
      <w:r w:rsidRPr="00A3565D">
        <w:rPr>
          <w:rFonts w:ascii="Palatino Linotype" w:eastAsia="Palatino Linotype" w:hAnsi="Palatino Linotype" w:cs="Palatino Linotype"/>
        </w:rPr>
        <w:lastRenderedPageBreak/>
        <w:t>debe ser restringido que deben testarse al momento de la versión pública, atento a lo siguiente:</w:t>
      </w:r>
    </w:p>
    <w:p w:rsidR="00E810BA" w:rsidRPr="00A3565D" w:rsidRDefault="00E810BA">
      <w:pPr>
        <w:spacing w:line="360" w:lineRule="auto"/>
      </w:pPr>
    </w:p>
    <w:p w:rsidR="00E810BA" w:rsidRPr="00A3565D" w:rsidRDefault="008F4367">
      <w:pPr>
        <w:pBdr>
          <w:top w:val="nil"/>
          <w:left w:val="nil"/>
          <w:bottom w:val="nil"/>
          <w:right w:val="nil"/>
          <w:between w:val="nil"/>
        </w:pBdr>
        <w:spacing w:line="360" w:lineRule="auto"/>
        <w:ind w:right="49"/>
        <w:jc w:val="both"/>
      </w:pPr>
      <w:r w:rsidRPr="00A3565D">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E810BA" w:rsidRPr="00A3565D" w:rsidRDefault="008F4367">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A3565D">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E810BA" w:rsidRPr="00A3565D" w:rsidRDefault="00E810BA">
      <w:pPr>
        <w:pBdr>
          <w:top w:val="nil"/>
          <w:left w:val="nil"/>
          <w:bottom w:val="nil"/>
          <w:right w:val="nil"/>
          <w:between w:val="nil"/>
        </w:pBdr>
        <w:spacing w:line="360" w:lineRule="auto"/>
        <w:ind w:right="49"/>
        <w:jc w:val="both"/>
      </w:pPr>
    </w:p>
    <w:p w:rsidR="00E810BA" w:rsidRPr="00A3565D" w:rsidRDefault="008F4367">
      <w:pPr>
        <w:pBdr>
          <w:top w:val="nil"/>
          <w:left w:val="nil"/>
          <w:bottom w:val="nil"/>
          <w:right w:val="nil"/>
          <w:between w:val="nil"/>
        </w:pBdr>
        <w:spacing w:line="360" w:lineRule="auto"/>
        <w:ind w:right="49"/>
        <w:jc w:val="both"/>
      </w:pPr>
      <w:r w:rsidRPr="00A3565D">
        <w:rPr>
          <w:rFonts w:ascii="Palatino Linotype" w:eastAsia="Palatino Linotype" w:hAnsi="Palatino Linotype" w:cs="Palatino Linotype"/>
        </w:rPr>
        <w:t xml:space="preserve">Al respecto, los artículos 3, fracciones IX, XX, XXI, XXXII, XLV; 6, 91, 137, 143 </w:t>
      </w:r>
      <w:proofErr w:type="gramStart"/>
      <w:r w:rsidRPr="00A3565D">
        <w:rPr>
          <w:rFonts w:ascii="Palatino Linotype" w:eastAsia="Palatino Linotype" w:hAnsi="Palatino Linotype" w:cs="Palatino Linotype"/>
        </w:rPr>
        <w:t>fracción</w:t>
      </w:r>
      <w:proofErr w:type="gramEnd"/>
      <w:r w:rsidRPr="00A3565D">
        <w:rPr>
          <w:rFonts w:ascii="Palatino Linotype" w:eastAsia="Palatino Linotype" w:hAnsi="Palatino Linotype" w:cs="Palatino Linotype"/>
        </w:rPr>
        <w:t xml:space="preserve"> I, de la Ley de Transparencia y Acceso a la Información Pública del Estado de México y Municipios vigente establecen:</w:t>
      </w:r>
    </w:p>
    <w:p w:rsidR="00E810BA" w:rsidRPr="00A3565D" w:rsidRDefault="00E810BA">
      <w:pPr>
        <w:spacing w:line="360" w:lineRule="auto"/>
      </w:pP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 </w:t>
      </w:r>
      <w:r w:rsidRPr="00A3565D">
        <w:rPr>
          <w:rFonts w:ascii="Palatino Linotype" w:eastAsia="Palatino Linotype" w:hAnsi="Palatino Linotype" w:cs="Palatino Linotype"/>
          <w:b/>
          <w:i/>
          <w:sz w:val="22"/>
          <w:szCs w:val="22"/>
        </w:rPr>
        <w:t>Artículo 3.</w:t>
      </w:r>
      <w:r w:rsidRPr="00A3565D">
        <w:rPr>
          <w:rFonts w:ascii="Palatino Linotype" w:eastAsia="Palatino Linotype" w:hAnsi="Palatino Linotype" w:cs="Palatino Linotype"/>
          <w:i/>
          <w:sz w:val="22"/>
          <w:szCs w:val="22"/>
        </w:rPr>
        <w:t xml:space="preserve"> Para los efectos de la presente Ley se entenderá por:</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b/>
          <w:i/>
          <w:sz w:val="22"/>
          <w:szCs w:val="22"/>
        </w:rPr>
        <w:t>IX. Datos personales</w:t>
      </w:r>
      <w:r w:rsidRPr="00A3565D">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b/>
          <w:i/>
          <w:sz w:val="22"/>
          <w:szCs w:val="22"/>
        </w:rPr>
        <w:t>XX. Información clasificada</w:t>
      </w:r>
      <w:r w:rsidRPr="00A3565D">
        <w:rPr>
          <w:rFonts w:ascii="Palatino Linotype" w:eastAsia="Palatino Linotype" w:hAnsi="Palatino Linotype" w:cs="Palatino Linotype"/>
          <w:i/>
          <w:sz w:val="22"/>
          <w:szCs w:val="22"/>
        </w:rPr>
        <w:t>: Aquella considerada por la presente Ley como reservada o confidencial;</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b/>
          <w:i/>
          <w:sz w:val="22"/>
          <w:szCs w:val="22"/>
        </w:rPr>
        <w:t>XXI. Información confidencial</w:t>
      </w:r>
      <w:r w:rsidRPr="00A3565D">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lastRenderedPageBreak/>
        <w:t>(…)</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b/>
          <w:i/>
          <w:sz w:val="22"/>
          <w:szCs w:val="22"/>
        </w:rPr>
        <w:t>XXXII. Protección de Datos Personales</w:t>
      </w:r>
      <w:r w:rsidRPr="00A3565D">
        <w:rPr>
          <w:rFonts w:ascii="Palatino Linotype" w:eastAsia="Palatino Linotype" w:hAnsi="Palatino Linotype" w:cs="Palatino Linotype"/>
          <w:i/>
          <w:sz w:val="22"/>
          <w:szCs w:val="22"/>
        </w:rPr>
        <w:t>: Derecho humano que tutela la privacidad de datos personales en poder de los sujetos obligados y sujetos particulares;</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b/>
          <w:i/>
          <w:sz w:val="22"/>
          <w:szCs w:val="22"/>
        </w:rPr>
        <w:t>XLV. Versión pública</w:t>
      </w:r>
      <w:r w:rsidRPr="00A3565D">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b/>
          <w:i/>
          <w:sz w:val="22"/>
          <w:szCs w:val="22"/>
        </w:rPr>
        <w:t> Artículo 6</w:t>
      </w:r>
      <w:r w:rsidRPr="00A3565D">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 (…)</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b/>
          <w:i/>
          <w:sz w:val="22"/>
          <w:szCs w:val="22"/>
        </w:rPr>
        <w:t>Artículo 91.</w:t>
      </w:r>
      <w:r w:rsidRPr="00A3565D">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b/>
          <w:i/>
          <w:sz w:val="22"/>
          <w:szCs w:val="22"/>
        </w:rPr>
        <w:t>Artículo 137.</w:t>
      </w:r>
      <w:r w:rsidRPr="00A3565D">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b/>
          <w:i/>
          <w:sz w:val="22"/>
          <w:szCs w:val="22"/>
        </w:rPr>
        <w:t> Artículo 143.</w:t>
      </w:r>
      <w:r w:rsidRPr="00A3565D">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b/>
          <w:i/>
          <w:sz w:val="22"/>
          <w:szCs w:val="22"/>
        </w:rPr>
        <w:t>I.</w:t>
      </w:r>
      <w:r w:rsidRPr="00A3565D">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A3565D">
        <w:rPr>
          <w:rFonts w:ascii="Palatino Linotype" w:eastAsia="Palatino Linotype" w:hAnsi="Palatino Linotype" w:cs="Palatino Linotype"/>
          <w:i/>
          <w:sz w:val="22"/>
          <w:szCs w:val="22"/>
        </w:rPr>
        <w:t>jurídico</w:t>
      </w:r>
      <w:proofErr w:type="gramEnd"/>
      <w:r w:rsidRPr="00A3565D">
        <w:rPr>
          <w:rFonts w:ascii="Palatino Linotype" w:eastAsia="Palatino Linotype" w:hAnsi="Palatino Linotype" w:cs="Palatino Linotype"/>
          <w:i/>
          <w:sz w:val="22"/>
          <w:szCs w:val="22"/>
        </w:rPr>
        <w:t xml:space="preserve"> colectiva identificada o identificable;</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w:t>
      </w:r>
    </w:p>
    <w:p w:rsidR="00E810BA" w:rsidRPr="00A3565D" w:rsidRDefault="00E810BA">
      <w:pPr>
        <w:spacing w:line="360" w:lineRule="auto"/>
      </w:pPr>
    </w:p>
    <w:p w:rsidR="00E810BA" w:rsidRPr="00A3565D" w:rsidRDefault="008F4367">
      <w:pPr>
        <w:pBdr>
          <w:top w:val="nil"/>
          <w:left w:val="nil"/>
          <w:bottom w:val="nil"/>
          <w:right w:val="nil"/>
          <w:between w:val="nil"/>
        </w:pBdr>
        <w:spacing w:line="360" w:lineRule="auto"/>
        <w:ind w:right="50"/>
        <w:jc w:val="both"/>
      </w:pPr>
      <w:r w:rsidRPr="00A3565D">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RPr="00A3565D">
        <w:rPr>
          <w:rFonts w:ascii="Palatino Linotype" w:eastAsia="Palatino Linotype" w:hAnsi="Palatino Linotype" w:cs="Palatino Linotype"/>
          <w:b/>
        </w:rPr>
        <w:t xml:space="preserve">EL SUJETO OBLIGADO </w:t>
      </w:r>
      <w:r w:rsidRPr="00A3565D">
        <w:rPr>
          <w:rFonts w:ascii="Palatino Linotype" w:eastAsia="Palatino Linotype" w:hAnsi="Palatino Linotype" w:cs="Palatino Linotype"/>
        </w:rPr>
        <w:t xml:space="preserve">deberá proceder a testar los datos personales que se encuentre contenidos en los documentos a entregar para satisfacer el derecho de </w:t>
      </w:r>
      <w:r w:rsidRPr="00A3565D">
        <w:rPr>
          <w:rFonts w:ascii="Palatino Linotype" w:eastAsia="Palatino Linotype" w:hAnsi="Palatino Linotype" w:cs="Palatino Linotype"/>
        </w:rPr>
        <w:lastRenderedPageBreak/>
        <w:t xml:space="preserve">acceso a la información pública de </w:t>
      </w:r>
      <w:r w:rsidRPr="00A3565D">
        <w:rPr>
          <w:rFonts w:ascii="Palatino Linotype" w:eastAsia="Palatino Linotype" w:hAnsi="Palatino Linotype" w:cs="Palatino Linotype"/>
          <w:b/>
        </w:rPr>
        <w:t>LA PARTE RECURRENTE,</w:t>
      </w:r>
      <w:r w:rsidRPr="00A3565D">
        <w:rPr>
          <w:rFonts w:ascii="Palatino Linotype" w:eastAsia="Palatino Linotype" w:hAnsi="Palatino Linotype" w:cs="Palatino Linotype"/>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E810BA" w:rsidRPr="00A3565D" w:rsidRDefault="00E810BA">
      <w:pPr>
        <w:spacing w:line="360" w:lineRule="auto"/>
      </w:pPr>
    </w:p>
    <w:p w:rsidR="00E810BA" w:rsidRPr="00A3565D" w:rsidRDefault="008F4367">
      <w:pPr>
        <w:pBdr>
          <w:top w:val="nil"/>
          <w:left w:val="nil"/>
          <w:bottom w:val="nil"/>
          <w:right w:val="nil"/>
          <w:between w:val="nil"/>
        </w:pBdr>
        <w:spacing w:line="360" w:lineRule="auto"/>
        <w:ind w:right="50"/>
        <w:jc w:val="both"/>
      </w:pPr>
      <w:r w:rsidRPr="00A3565D">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E810BA" w:rsidRPr="00A3565D" w:rsidRDefault="00E810BA">
      <w:pPr>
        <w:spacing w:line="360" w:lineRule="auto"/>
      </w:pP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A3565D">
        <w:rPr>
          <w:rFonts w:ascii="Palatino Linotype" w:eastAsia="Palatino Linotype" w:hAnsi="Palatino Linotype" w:cs="Palatino Linotype"/>
          <w:b/>
        </w:rPr>
        <w:t>SUJETO OBLIGADO</w:t>
      </w:r>
      <w:r w:rsidRPr="00A3565D">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A3565D">
        <w:rPr>
          <w:rFonts w:ascii="Palatino Linotype" w:eastAsia="Palatino Linotype" w:hAnsi="Palatino Linotype" w:cs="Palatino Linotype"/>
          <w:b/>
        </w:rPr>
        <w:t>Registro Federal de Contribuyentes</w:t>
      </w:r>
      <w:r w:rsidRPr="00A3565D">
        <w:rPr>
          <w:rFonts w:ascii="Palatino Linotype" w:eastAsia="Palatino Linotype" w:hAnsi="Palatino Linotype" w:cs="Palatino Linotype"/>
        </w:rPr>
        <w:t xml:space="preserve"> (RFC), la </w:t>
      </w:r>
      <w:r w:rsidRPr="00A3565D">
        <w:rPr>
          <w:rFonts w:ascii="Palatino Linotype" w:eastAsia="Palatino Linotype" w:hAnsi="Palatino Linotype" w:cs="Palatino Linotype"/>
          <w:b/>
        </w:rPr>
        <w:t>Clave Única de Registro de Población</w:t>
      </w:r>
      <w:r w:rsidRPr="00A3565D">
        <w:rPr>
          <w:rFonts w:ascii="Palatino Linotype" w:eastAsia="Palatino Linotype" w:hAnsi="Palatino Linotype" w:cs="Palatino Linotype"/>
        </w:rPr>
        <w:t xml:space="preserve"> (CURP), la </w:t>
      </w:r>
      <w:r w:rsidRPr="00A3565D">
        <w:rPr>
          <w:rFonts w:ascii="Palatino Linotype" w:eastAsia="Palatino Linotype" w:hAnsi="Palatino Linotype" w:cs="Palatino Linotype"/>
          <w:b/>
        </w:rPr>
        <w:t>Clave de cualquier tipo de seguridad social</w:t>
      </w:r>
      <w:r w:rsidRPr="00A3565D">
        <w:rPr>
          <w:rFonts w:ascii="Palatino Linotype" w:eastAsia="Palatino Linotype" w:hAnsi="Palatino Linotype" w:cs="Palatino Linotype"/>
        </w:rPr>
        <w:t xml:space="preserve"> (ISSEMYM, u otros), los </w:t>
      </w:r>
      <w:r w:rsidRPr="00A3565D">
        <w:rPr>
          <w:rFonts w:ascii="Palatino Linotype" w:eastAsia="Palatino Linotype" w:hAnsi="Palatino Linotype" w:cs="Palatino Linotype"/>
          <w:b/>
        </w:rPr>
        <w:t>números de cuentas bancarias</w:t>
      </w:r>
      <w:r w:rsidRPr="00A3565D">
        <w:rPr>
          <w:rFonts w:ascii="Palatino Linotype" w:eastAsia="Palatino Linotype" w:hAnsi="Palatino Linotype" w:cs="Palatino Linotype"/>
        </w:rPr>
        <w:t xml:space="preserve">, claves estandarizadas – </w:t>
      </w:r>
      <w:r w:rsidRPr="00A3565D">
        <w:rPr>
          <w:rFonts w:ascii="Palatino Linotype" w:eastAsia="Palatino Linotype" w:hAnsi="Palatino Linotype" w:cs="Palatino Linotype"/>
        </w:rPr>
        <w:lastRenderedPageBreak/>
        <w:t xml:space="preserve">interbancarias - (CLABES) y de tarjetas, los </w:t>
      </w:r>
      <w:r w:rsidRPr="00A3565D">
        <w:rPr>
          <w:rFonts w:ascii="Palatino Linotype" w:eastAsia="Palatino Linotype" w:hAnsi="Palatino Linotype" w:cs="Palatino Linotype"/>
          <w:b/>
        </w:rPr>
        <w:t>préstamos o descuentos</w:t>
      </w:r>
      <w:r w:rsidRPr="00A3565D">
        <w:rPr>
          <w:rFonts w:ascii="Palatino Linotype" w:eastAsia="Palatino Linotype" w:hAnsi="Palatino Linotype" w:cs="Palatino Linotype"/>
        </w:rPr>
        <w:t xml:space="preserve"> que se le hagan a la persona y que no tengan relación con los impuestos o la cuota por seguridad social, el</w:t>
      </w:r>
      <w:r w:rsidRPr="00A3565D">
        <w:rPr>
          <w:rFonts w:ascii="Palatino Linotype" w:eastAsia="Palatino Linotype" w:hAnsi="Palatino Linotype" w:cs="Palatino Linotype"/>
          <w:b/>
        </w:rPr>
        <w:t xml:space="preserve"> número de empleado, </w:t>
      </w:r>
      <w:r w:rsidRPr="00A3565D">
        <w:rPr>
          <w:rFonts w:ascii="Palatino Linotype" w:eastAsia="Palatino Linotype" w:hAnsi="Palatino Linotype" w:cs="Palatino Linotype"/>
        </w:rPr>
        <w:t xml:space="preserve">así como de ser el caso, el </w:t>
      </w:r>
      <w:r w:rsidRPr="00A3565D">
        <w:rPr>
          <w:rFonts w:ascii="Palatino Linotype" w:eastAsia="Palatino Linotype" w:hAnsi="Palatino Linotype" w:cs="Palatino Linotype"/>
          <w:b/>
        </w:rPr>
        <w:t>folio fiscal</w:t>
      </w:r>
      <w:r w:rsidRPr="00A3565D">
        <w:rPr>
          <w:rFonts w:ascii="Palatino Linotype" w:eastAsia="Palatino Linotype" w:hAnsi="Palatino Linotype" w:cs="Palatino Linotype"/>
        </w:rPr>
        <w:t xml:space="preserve">, la  </w:t>
      </w:r>
      <w:r w:rsidRPr="00A3565D">
        <w:rPr>
          <w:rFonts w:ascii="Palatino Linotype" w:eastAsia="Palatino Linotype" w:hAnsi="Palatino Linotype" w:cs="Palatino Linotype"/>
          <w:b/>
        </w:rPr>
        <w:t xml:space="preserve">cadena original, </w:t>
      </w:r>
      <w:r w:rsidRPr="00A3565D">
        <w:rPr>
          <w:rFonts w:ascii="Palatino Linotype" w:eastAsia="Palatino Linotype" w:hAnsi="Palatino Linotype" w:cs="Palatino Linotype"/>
        </w:rPr>
        <w:t>los</w:t>
      </w:r>
      <w:r w:rsidRPr="00A3565D">
        <w:rPr>
          <w:rFonts w:ascii="Palatino Linotype" w:eastAsia="Palatino Linotype" w:hAnsi="Palatino Linotype" w:cs="Palatino Linotype"/>
          <w:b/>
        </w:rPr>
        <w:t xml:space="preserve"> códigos bidimensionales o códigos QR,</w:t>
      </w:r>
      <w:r w:rsidRPr="00A3565D">
        <w:rPr>
          <w:rFonts w:ascii="Palatino Linotype" w:eastAsia="Palatino Linotype" w:hAnsi="Palatino Linotype" w:cs="Palatino Linotype"/>
        </w:rPr>
        <w:t xml:space="preserve"> y cualquier información de carácter fiscal, bajo las siguientes consideraciones. </w:t>
      </w:r>
    </w:p>
    <w:p w:rsidR="00E810BA" w:rsidRPr="00A3565D" w:rsidRDefault="00E810BA">
      <w:pPr>
        <w:spacing w:line="360" w:lineRule="auto"/>
      </w:pPr>
    </w:p>
    <w:p w:rsidR="00E810BA" w:rsidRPr="00A3565D" w:rsidRDefault="008F4367">
      <w:pPr>
        <w:pBdr>
          <w:top w:val="nil"/>
          <w:left w:val="nil"/>
          <w:bottom w:val="nil"/>
          <w:right w:val="nil"/>
          <w:between w:val="nil"/>
        </w:pBdr>
        <w:spacing w:line="360" w:lineRule="auto"/>
        <w:ind w:right="50"/>
        <w:jc w:val="both"/>
      </w:pPr>
      <w:r w:rsidRPr="00A3565D">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E810BA" w:rsidRPr="00A3565D" w:rsidRDefault="00E810BA">
      <w:pPr>
        <w:spacing w:line="360" w:lineRule="auto"/>
      </w:pP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A3565D">
        <w:rPr>
          <w:rFonts w:ascii="Palatino Linotype" w:eastAsia="Palatino Linotype" w:hAnsi="Palatino Linotype" w:cs="Palatino Linotype"/>
        </w:rPr>
        <w:t>homoclave</w:t>
      </w:r>
      <w:proofErr w:type="spellEnd"/>
      <w:r w:rsidRPr="00A3565D">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E810BA" w:rsidRPr="00A3565D" w:rsidRDefault="00E810BA">
      <w:pPr>
        <w:spacing w:line="360" w:lineRule="auto"/>
      </w:pP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rsidR="00E810BA" w:rsidRPr="00A3565D" w:rsidRDefault="00E810BA">
      <w:pPr>
        <w:spacing w:line="360" w:lineRule="auto"/>
      </w:pP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b/>
          <w:i/>
          <w:sz w:val="22"/>
          <w:szCs w:val="22"/>
        </w:rPr>
        <w:lastRenderedPageBreak/>
        <w:t> Registro Federal de Contribuyentes (RFC) de personas físicas</w:t>
      </w:r>
      <w:r w:rsidRPr="00A3565D">
        <w:rPr>
          <w:rFonts w:ascii="Palatino Linotype" w:eastAsia="Palatino Linotype" w:hAnsi="Palatino Linotype" w:cs="Palatino Linotype"/>
          <w:i/>
          <w:sz w:val="22"/>
          <w:szCs w:val="22"/>
        </w:rPr>
        <w:t xml:space="preserve">. El RFC es una clave de carácter fiscal, </w:t>
      </w:r>
      <w:proofErr w:type="gramStart"/>
      <w:r w:rsidRPr="00A3565D">
        <w:rPr>
          <w:rFonts w:ascii="Palatino Linotype" w:eastAsia="Palatino Linotype" w:hAnsi="Palatino Linotype" w:cs="Palatino Linotype"/>
          <w:i/>
          <w:sz w:val="22"/>
          <w:szCs w:val="22"/>
        </w:rPr>
        <w:t>única</w:t>
      </w:r>
      <w:proofErr w:type="gramEnd"/>
      <w:r w:rsidRPr="00A3565D">
        <w:rPr>
          <w:rFonts w:ascii="Palatino Linotype" w:eastAsia="Palatino Linotype" w:hAnsi="Palatino Linotype" w:cs="Palatino Linotype"/>
          <w:i/>
          <w:sz w:val="22"/>
          <w:szCs w:val="22"/>
        </w:rPr>
        <w:t xml:space="preserve"> e irrepetible, que permite identificar al titular, su edad y fecha de nacimiento, por lo que es un dato personal de carácter confidencial.</w:t>
      </w:r>
    </w:p>
    <w:p w:rsidR="00E810BA" w:rsidRPr="00A3565D" w:rsidRDefault="00E810BA"/>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A3565D">
        <w:rPr>
          <w:rFonts w:ascii="Palatino Linotype" w:eastAsia="Palatino Linotype" w:hAnsi="Palatino Linotype" w:cs="Palatino Linotype"/>
        </w:rPr>
        <w:t>homoclave</w:t>
      </w:r>
      <w:proofErr w:type="spellEnd"/>
      <w:r w:rsidRPr="00A3565D">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E810BA" w:rsidRPr="00A3565D" w:rsidRDefault="00E810BA">
      <w:pPr>
        <w:spacing w:line="360" w:lineRule="auto"/>
      </w:pP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rsidR="00E810BA" w:rsidRPr="00A3565D" w:rsidRDefault="008F4367">
      <w:pPr>
        <w:pBdr>
          <w:top w:val="nil"/>
          <w:left w:val="nil"/>
          <w:bottom w:val="nil"/>
          <w:right w:val="nil"/>
          <w:between w:val="nil"/>
        </w:pBdr>
        <w:spacing w:line="360" w:lineRule="auto"/>
        <w:ind w:left="864" w:right="864"/>
        <w:jc w:val="both"/>
      </w:pPr>
      <w:r w:rsidRPr="00A3565D">
        <w:rPr>
          <w:rFonts w:ascii="Calibri" w:eastAsia="Calibri" w:hAnsi="Calibri" w:cs="Calibri"/>
          <w:i/>
          <w:sz w:val="22"/>
          <w:szCs w:val="22"/>
        </w:rPr>
        <w:t> </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lastRenderedPageBreak/>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E810BA" w:rsidRPr="00A3565D" w:rsidRDefault="00E810BA"/>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E810BA" w:rsidRPr="00A3565D" w:rsidRDefault="00E810BA">
      <w:pPr>
        <w:spacing w:line="360" w:lineRule="auto"/>
      </w:pP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E810BA" w:rsidRPr="00A3565D" w:rsidRDefault="00E810BA">
      <w:pPr>
        <w:spacing w:line="360" w:lineRule="auto"/>
      </w:pP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E810BA" w:rsidRPr="00A3565D" w:rsidRDefault="00E810BA">
      <w:pPr>
        <w:spacing w:line="360" w:lineRule="auto"/>
      </w:pP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rsidR="00E810BA" w:rsidRPr="00A3565D" w:rsidRDefault="00E810BA">
      <w:pPr>
        <w:spacing w:line="360" w:lineRule="auto"/>
      </w:pP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lastRenderedPageBreak/>
        <w:t>En esa virtud, este Pleno determina que dicha información no puede ser del dominio público, toda vez que se podría dar un uso inadecuado a la misma o cometer algún ilícito o fraude como ya ha sido expuesto. </w:t>
      </w:r>
    </w:p>
    <w:p w:rsidR="00E810BA" w:rsidRPr="00A3565D" w:rsidRDefault="00E810BA">
      <w:pPr>
        <w:spacing w:line="360" w:lineRule="auto"/>
      </w:pP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rsidR="00E810BA" w:rsidRPr="00A3565D" w:rsidRDefault="00E810BA">
      <w:pPr>
        <w:spacing w:line="360" w:lineRule="auto"/>
      </w:pP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b/>
          <w:i/>
          <w:sz w:val="22"/>
          <w:szCs w:val="22"/>
        </w:rPr>
        <w:t>Cuentas bancarias y/o CLABE interbancaria de personas físicas y morales privadas.</w:t>
      </w:r>
      <w:r w:rsidRPr="00A3565D">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E810BA" w:rsidRPr="00A3565D" w:rsidRDefault="00E810BA"/>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A3565D">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E810BA" w:rsidRPr="00A3565D" w:rsidRDefault="00E810BA"/>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 xml:space="preserve">Por cuanto hace a los </w:t>
      </w:r>
      <w:r w:rsidRPr="00A3565D">
        <w:rPr>
          <w:rFonts w:ascii="Palatino Linotype" w:eastAsia="Palatino Linotype" w:hAnsi="Palatino Linotype" w:cs="Palatino Linotype"/>
          <w:b/>
        </w:rPr>
        <w:t>préstamos o descuentos de carácter personal</w:t>
      </w:r>
      <w:r w:rsidRPr="00A3565D">
        <w:rPr>
          <w:rFonts w:ascii="Palatino Linotype" w:eastAsia="Palatino Linotype" w:hAnsi="Palatino Linotype" w:cs="Palatino Linotype"/>
        </w:rPr>
        <w:t>, en virtud de no tener relación con la prestación del servicio y al no involucrar instituciones públicas, se consideran datos confidenciales.</w:t>
      </w:r>
    </w:p>
    <w:p w:rsidR="00E810BA" w:rsidRPr="00A3565D" w:rsidRDefault="00E810BA">
      <w:pPr>
        <w:spacing w:line="360" w:lineRule="auto"/>
      </w:pP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rsidR="00E810BA" w:rsidRPr="00A3565D" w:rsidRDefault="00E810BA">
      <w:pPr>
        <w:spacing w:line="360" w:lineRule="auto"/>
      </w:pP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b/>
          <w:i/>
          <w:sz w:val="22"/>
          <w:szCs w:val="22"/>
        </w:rPr>
        <w:t xml:space="preserve">ARTÍCULO 84. </w:t>
      </w:r>
      <w:r w:rsidRPr="00A3565D">
        <w:rPr>
          <w:rFonts w:ascii="Palatino Linotype" w:eastAsia="Palatino Linotype" w:hAnsi="Palatino Linotype" w:cs="Palatino Linotype"/>
          <w:i/>
          <w:sz w:val="22"/>
          <w:szCs w:val="22"/>
        </w:rPr>
        <w:t>Sólo podrán hacerse retenciones, descuentos o deducciones al sueldo de los servidores públicos por concepto de:</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I. Gravámenes fiscales relacionados con el sueldo;</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III. Cuotas sindicales;</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VII. Faltas de puntualidad o de asistencia injustificadas;</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b/>
          <w:i/>
          <w:sz w:val="22"/>
          <w:szCs w:val="22"/>
        </w:rPr>
        <w:t>VIII. Pensiones alimenticias ordenadas por la autoridad judicial;</w:t>
      </w:r>
      <w:r w:rsidRPr="00A3565D">
        <w:rPr>
          <w:rFonts w:ascii="Palatino Linotype" w:eastAsia="Palatino Linotype" w:hAnsi="Palatino Linotype" w:cs="Palatino Linotype"/>
          <w:i/>
          <w:sz w:val="22"/>
          <w:szCs w:val="22"/>
        </w:rPr>
        <w:t xml:space="preserve"> o</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b/>
          <w:i/>
          <w:sz w:val="22"/>
          <w:szCs w:val="22"/>
        </w:rPr>
        <w:t>IX. Cualquier otro convenido con instituciones de servicios y aceptado por el servidor público.</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E810BA" w:rsidRPr="00A3565D" w:rsidRDefault="00E810BA"/>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w:t>
      </w:r>
      <w:r w:rsidRPr="00A3565D">
        <w:rPr>
          <w:rFonts w:ascii="Palatino Linotype" w:eastAsia="Palatino Linotype" w:hAnsi="Palatino Linotype" w:cs="Palatino Linotype"/>
        </w:rPr>
        <w:lastRenderedPageBreak/>
        <w:t>créditos adquiridos con instituciones privadas que no se relacionen con el gasto público, son información que debe clasificarse como confidencial.</w:t>
      </w:r>
    </w:p>
    <w:p w:rsidR="00E810BA" w:rsidRPr="00A3565D" w:rsidRDefault="00E810BA">
      <w:pPr>
        <w:pBdr>
          <w:top w:val="nil"/>
          <w:left w:val="nil"/>
          <w:bottom w:val="nil"/>
          <w:right w:val="nil"/>
          <w:between w:val="nil"/>
        </w:pBdr>
        <w:spacing w:line="360" w:lineRule="auto"/>
        <w:jc w:val="both"/>
        <w:rPr>
          <w:rFonts w:ascii="Palatino Linotype" w:eastAsia="Palatino Linotype" w:hAnsi="Palatino Linotype" w:cs="Palatino Linotype"/>
        </w:rPr>
      </w:pP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 xml:space="preserve">Con relación al </w:t>
      </w:r>
      <w:r w:rsidRPr="00A3565D">
        <w:rPr>
          <w:rFonts w:ascii="Palatino Linotype" w:eastAsia="Palatino Linotype" w:hAnsi="Palatino Linotype" w:cs="Palatino Linotype"/>
          <w:b/>
        </w:rPr>
        <w:t>número de empleado</w:t>
      </w:r>
      <w:r w:rsidRPr="00A3565D">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rsidR="00E810BA" w:rsidRPr="00A3565D" w:rsidRDefault="00E810BA">
      <w:pPr>
        <w:spacing w:line="360" w:lineRule="auto"/>
      </w:pP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b/>
          <w:i/>
          <w:sz w:val="22"/>
          <w:szCs w:val="22"/>
        </w:rPr>
        <w:t xml:space="preserve">Número de empleado. </w:t>
      </w:r>
      <w:r w:rsidRPr="00A3565D">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E810BA" w:rsidRPr="00A3565D" w:rsidRDefault="00E810BA"/>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w:t>
      </w:r>
      <w:r w:rsidRPr="00A3565D">
        <w:rPr>
          <w:rFonts w:ascii="Palatino Linotype" w:eastAsia="Palatino Linotype" w:hAnsi="Palatino Linotype" w:cs="Palatino Linotype"/>
        </w:rPr>
        <w:lastRenderedPageBreak/>
        <w:t xml:space="preserve">su conformación no revele los mismos, por consiguiente, en el caso concreto, </w:t>
      </w:r>
      <w:r w:rsidRPr="00A3565D">
        <w:rPr>
          <w:rFonts w:ascii="Palatino Linotype" w:eastAsia="Palatino Linotype" w:hAnsi="Palatino Linotype" w:cs="Palatino Linotype"/>
          <w:b/>
        </w:rPr>
        <w:t>EL SUJETO OBLIGADO</w:t>
      </w:r>
      <w:r w:rsidRPr="00A3565D">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rsidR="00E810BA" w:rsidRPr="00A3565D" w:rsidRDefault="008F4367">
      <w:pPr>
        <w:spacing w:after="240" w:line="360" w:lineRule="auto"/>
      </w:pPr>
      <w:r w:rsidRPr="00A3565D">
        <w:br/>
      </w:r>
      <w:r w:rsidRPr="00A3565D">
        <w:rPr>
          <w:rFonts w:ascii="Palatino Linotype" w:eastAsia="Palatino Linotype" w:hAnsi="Palatino Linotype" w:cs="Palatino Linotype"/>
          <w:b/>
        </w:rPr>
        <w:t>De la información fiscal</w:t>
      </w:r>
      <w:r w:rsidRPr="00A3565D">
        <w:rPr>
          <w:rFonts w:ascii="Palatino Linotype" w:eastAsia="Palatino Linotype" w:hAnsi="Palatino Linotype" w:cs="Palatino Linotype"/>
        </w:rPr>
        <w:t>: </w:t>
      </w: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 xml:space="preserve">La </w:t>
      </w:r>
      <w:r w:rsidRPr="00A3565D">
        <w:rPr>
          <w:rFonts w:ascii="Palatino Linotype" w:eastAsia="Palatino Linotype" w:hAnsi="Palatino Linotype" w:cs="Palatino Linotype"/>
          <w:b/>
        </w:rPr>
        <w:t>Cadena Original</w:t>
      </w:r>
      <w:r w:rsidRPr="00A3565D">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A3565D">
        <w:rPr>
          <w:rFonts w:ascii="Palatino Linotype" w:eastAsia="Palatino Linotype" w:hAnsi="Palatino Linotype" w:cs="Palatino Linotype"/>
          <w:b/>
        </w:rPr>
        <w:t>Sujeto Obligado</w:t>
      </w:r>
      <w:r w:rsidRPr="00A3565D">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rsidR="00E810BA" w:rsidRPr="00A3565D" w:rsidRDefault="00E810BA">
      <w:pPr>
        <w:spacing w:line="360" w:lineRule="auto"/>
      </w:pP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 xml:space="preserve">Los </w:t>
      </w:r>
      <w:r w:rsidRPr="00A3565D">
        <w:rPr>
          <w:rFonts w:ascii="Palatino Linotype" w:eastAsia="Palatino Linotype" w:hAnsi="Palatino Linotype" w:cs="Palatino Linotype"/>
          <w:b/>
        </w:rPr>
        <w:t>códigos bidimensionales</w:t>
      </w:r>
      <w:r w:rsidRPr="00A3565D">
        <w:rPr>
          <w:rFonts w:ascii="Palatino Linotype" w:eastAsia="Palatino Linotype" w:hAnsi="Palatino Linotype" w:cs="Palatino Linotype"/>
        </w:rPr>
        <w:t xml:space="preserve"> o </w:t>
      </w:r>
      <w:r w:rsidRPr="00A3565D">
        <w:rPr>
          <w:rFonts w:ascii="Palatino Linotype" w:eastAsia="Palatino Linotype" w:hAnsi="Palatino Linotype" w:cs="Palatino Linotype"/>
          <w:b/>
        </w:rPr>
        <w:t xml:space="preserve">códigos QR, </w:t>
      </w:r>
      <w:r w:rsidRPr="00A3565D">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A3565D">
        <w:rPr>
          <w:rFonts w:ascii="Palatino Linotype" w:eastAsia="Palatino Linotype" w:hAnsi="Palatino Linotype" w:cs="Palatino Linotype"/>
          <w:b/>
        </w:rPr>
        <w:t xml:space="preserve">Sujeto Obligado </w:t>
      </w:r>
      <w:r w:rsidRPr="00A3565D">
        <w:rPr>
          <w:rFonts w:ascii="Palatino Linotype" w:eastAsia="Palatino Linotype" w:hAnsi="Palatino Linotype" w:cs="Palatino Linotype"/>
        </w:rPr>
        <w:t>analizar dicha circunstancia con la finalidad de determinar si se actualiza algún supuesto de confidencialidad.</w:t>
      </w:r>
    </w:p>
    <w:p w:rsidR="00E810BA" w:rsidRPr="00A3565D" w:rsidRDefault="00E810BA">
      <w:pPr>
        <w:spacing w:line="360" w:lineRule="auto"/>
      </w:pP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lastRenderedPageBreak/>
        <w:t xml:space="preserve">En tal sentido, si derivado del análisis efectuado por </w:t>
      </w:r>
      <w:r w:rsidRPr="00A3565D">
        <w:rPr>
          <w:rFonts w:ascii="Palatino Linotype" w:eastAsia="Palatino Linotype" w:hAnsi="Palatino Linotype" w:cs="Palatino Linotype"/>
          <w:b/>
        </w:rPr>
        <w:t xml:space="preserve">EL SUJETO OBLIGADO </w:t>
      </w:r>
      <w:r w:rsidRPr="00A3565D">
        <w:rPr>
          <w:rFonts w:ascii="Palatino Linotype" w:eastAsia="Palatino Linotype" w:hAnsi="Palatino Linotype" w:cs="Palatino Linotype"/>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rsidR="00E810BA" w:rsidRPr="00A3565D" w:rsidRDefault="00E810BA">
      <w:pPr>
        <w:spacing w:line="360" w:lineRule="auto"/>
      </w:pPr>
    </w:p>
    <w:p w:rsidR="00E810BA" w:rsidRPr="00A3565D" w:rsidRDefault="008F4367">
      <w:pPr>
        <w:pBdr>
          <w:top w:val="nil"/>
          <w:left w:val="nil"/>
          <w:bottom w:val="nil"/>
          <w:right w:val="nil"/>
          <w:between w:val="nil"/>
        </w:pBd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Por otro lado, derivado de la información que se ordena entregar pudiera existir información de la </w:t>
      </w:r>
      <w:r w:rsidRPr="00A3565D">
        <w:rPr>
          <w:rFonts w:ascii="Palatino Linotype" w:eastAsia="Palatino Linotype" w:hAnsi="Palatino Linotype" w:cs="Palatino Linotype"/>
          <w:b/>
        </w:rPr>
        <w:t>Dirección de Seguridad Pública del Ayuntamiento o su equivalente,</w:t>
      </w:r>
      <w:r w:rsidRPr="00A3565D">
        <w:rPr>
          <w:rFonts w:ascii="Palatino Linotype" w:eastAsia="Palatino Linotype" w:hAnsi="Palatino Linotype" w:cs="Palatino Linotype"/>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w:t>
      </w:r>
      <w:r w:rsidRPr="00A3565D">
        <w:rPr>
          <w:rFonts w:ascii="Palatino Linotype" w:eastAsia="Palatino Linotype" w:hAnsi="Palatino Linotype" w:cs="Palatino Linotype"/>
        </w:rPr>
        <w:lastRenderedPageBreak/>
        <w:t xml:space="preserve">de igual manera sólo el nombre de los servidores públicos de la Policía Municipal </w:t>
      </w:r>
      <w:r w:rsidRPr="00A3565D">
        <w:rPr>
          <w:rFonts w:ascii="Palatino Linotype" w:eastAsia="Palatino Linotype" w:hAnsi="Palatino Linotype" w:cs="Palatino Linotype"/>
          <w:b/>
        </w:rPr>
        <w:t>que desempeñen funciones operativas</w:t>
      </w:r>
      <w:r w:rsidRPr="00A3565D">
        <w:rPr>
          <w:rFonts w:ascii="Palatino Linotype" w:eastAsia="Palatino Linotype" w:hAnsi="Palatino Linotype" w:cs="Palatino Linotype"/>
        </w:rPr>
        <w:t>.</w:t>
      </w:r>
    </w:p>
    <w:p w:rsidR="00E810BA" w:rsidRPr="00A3565D" w:rsidRDefault="00E810BA">
      <w:pPr>
        <w:pBdr>
          <w:top w:val="nil"/>
          <w:left w:val="nil"/>
          <w:bottom w:val="nil"/>
          <w:right w:val="nil"/>
          <w:between w:val="nil"/>
        </w:pBd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Al respecto, la información </w:t>
      </w:r>
      <w:r w:rsidRPr="00A3565D">
        <w:rPr>
          <w:rFonts w:ascii="Palatino Linotype" w:eastAsia="Palatino Linotype" w:hAnsi="Palatino Linotype" w:cs="Palatino Linotype"/>
          <w:b/>
        </w:rPr>
        <w:t>de los elementos que realizan funciones operativas, entre ellos su nombre, cargo, así como su horario de entrada y salida deben ser protegidos</w:t>
      </w:r>
      <w:r w:rsidRPr="00A3565D">
        <w:rPr>
          <w:rFonts w:ascii="Palatino Linotype" w:eastAsia="Palatino Linotype" w:hAnsi="Palatino Linotype" w:cs="Palatino Linotype"/>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Asimismo, respecto a la hora de entrada y salida, al dar cuenta de manera puntual del horario de trabajo que determinado servidor público cumplió, durante cierto periodo de tiempo, se considera que su publicidad en el caso concreto pudiera poner en riesgo la integridad física de los elementos de seguridad pública dedicados a actividades operativas, al permitir que sea identificada la jornada laboral de determinado elemento y por tanto poner en riesgo su vida, más aún, suponiendo sin conceder, que el interés de la persona solicitante pudiera versar en conocer concretamente dichos datos con la finalidad de identificar a determinado elemento </w:t>
      </w:r>
      <w:r w:rsidRPr="00A3565D">
        <w:rPr>
          <w:rFonts w:ascii="Palatino Linotype" w:eastAsia="Palatino Linotype" w:hAnsi="Palatino Linotype" w:cs="Palatino Linotype"/>
        </w:rPr>
        <w:lastRenderedPageBreak/>
        <w:t>o elementos que pudieran haber participado en alguna detención en cumplimiento de sus funciones.</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rsidR="00E810BA" w:rsidRPr="00A3565D" w:rsidRDefault="00E810BA">
      <w:pPr>
        <w:spacing w:line="360" w:lineRule="auto"/>
      </w:pP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rsidR="00E810BA" w:rsidRPr="00A3565D" w:rsidRDefault="00E810BA">
      <w:pPr>
        <w:spacing w:line="360" w:lineRule="auto"/>
      </w:pP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rsidR="00E810BA" w:rsidRPr="00A3565D" w:rsidRDefault="00E810BA">
      <w:pPr>
        <w:spacing w:line="360" w:lineRule="auto"/>
      </w:pP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rsidR="00E810BA" w:rsidRPr="00A3565D" w:rsidRDefault="00E810BA"/>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sidRPr="00A3565D">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w:t>
      </w:r>
      <w:r w:rsidRPr="00A3565D">
        <w:rPr>
          <w:rFonts w:ascii="Palatino Linotype" w:eastAsia="Palatino Linotype" w:hAnsi="Palatino Linotype" w:cs="Palatino Linotype"/>
          <w:i/>
          <w:sz w:val="22"/>
          <w:szCs w:val="22"/>
        </w:rPr>
        <w:lastRenderedPageBreak/>
        <w:t>que realiza el Estado Mexicano para garantizar la seguridad del país en sus diferentes vertientes.</w:t>
      </w:r>
    </w:p>
    <w:p w:rsidR="00E810BA" w:rsidRPr="00A3565D" w:rsidRDefault="00E810BA"/>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A3565D">
        <w:rPr>
          <w:rFonts w:ascii="Palatino Linotype" w:eastAsia="Palatino Linotype" w:hAnsi="Palatino Linotype" w:cs="Palatino Linotype"/>
          <w:b/>
        </w:rPr>
        <w:t>funciones de carácter operativo.</w:t>
      </w:r>
    </w:p>
    <w:p w:rsidR="00E810BA" w:rsidRPr="00A3565D" w:rsidRDefault="00E810BA">
      <w:pPr>
        <w:spacing w:line="360" w:lineRule="auto"/>
      </w:pP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Sirven de sustento a lo anterior las tesis jurisprudenciales emitidas por la Suprema corte de Justicia de la Nación, que son del literal siguiente:</w:t>
      </w:r>
    </w:p>
    <w:p w:rsidR="00E810BA" w:rsidRPr="00A3565D" w:rsidRDefault="00E810BA">
      <w:pPr>
        <w:spacing w:line="360" w:lineRule="auto"/>
      </w:pP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A3565D">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A3565D">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A3565D">
        <w:rPr>
          <w:rFonts w:ascii="Palatino Linotype" w:eastAsia="Palatino Linotype" w:hAnsi="Palatino Linotype" w:cs="Palatino Linotype"/>
          <w:i/>
          <w:sz w:val="22"/>
          <w:szCs w:val="22"/>
        </w:rPr>
        <w:t xml:space="preserve"> por lo que hace al interés social, se cuenta con normas que tienden a </w:t>
      </w:r>
      <w:r w:rsidRPr="00A3565D">
        <w:rPr>
          <w:rFonts w:ascii="Palatino Linotype" w:eastAsia="Palatino Linotype" w:hAnsi="Palatino Linotype" w:cs="Palatino Linotype"/>
          <w:i/>
          <w:sz w:val="22"/>
          <w:szCs w:val="22"/>
        </w:rPr>
        <w:lastRenderedPageBreak/>
        <w:t xml:space="preserve">proteger la averiguación de los delitos, la salud y la moral públicas, </w:t>
      </w:r>
      <w:r w:rsidRPr="00A3565D">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p>
    <w:p w:rsidR="00E810BA" w:rsidRPr="00A3565D" w:rsidRDefault="00E810BA"/>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sidRPr="00A3565D">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A3565D">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A3565D">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rsidR="00E810BA" w:rsidRPr="00A3565D" w:rsidRDefault="00E810BA"/>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w:t>
      </w:r>
      <w:r w:rsidRPr="00A3565D">
        <w:rPr>
          <w:rFonts w:ascii="Palatino Linotype" w:eastAsia="Palatino Linotype" w:hAnsi="Palatino Linotype" w:cs="Palatino Linotype"/>
        </w:rPr>
        <w:lastRenderedPageBreak/>
        <w:t xml:space="preserve">Federación en fecha quince de abril de la presente anualidad, mediante ACUERDO del Consejo Nacional del Sistema Nacional de Transparencia, Acceso a la Información Pública y Protección de Datos Personales, motivando la referida clasificación al señalar las </w:t>
      </w:r>
      <w:r w:rsidRPr="00A3565D">
        <w:rPr>
          <w:rFonts w:ascii="Palatino Linotype" w:eastAsia="Palatino Linotype" w:hAnsi="Palatino Linotype" w:cs="Palatino Linotype"/>
          <w:b/>
          <w:u w:val="single"/>
        </w:rPr>
        <w:t>razones, motivos o circunstancias especiales</w:t>
      </w:r>
      <w:r w:rsidRPr="00A3565D">
        <w:rPr>
          <w:rFonts w:ascii="Palatino Linotype" w:eastAsia="Palatino Linotype" w:hAnsi="Palatino Linotype" w:cs="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rsidR="00E810BA" w:rsidRPr="00A3565D" w:rsidRDefault="00E810BA">
      <w:pPr>
        <w:spacing w:line="360" w:lineRule="auto"/>
      </w:pPr>
    </w:p>
    <w:p w:rsidR="00E810BA" w:rsidRPr="00A3565D" w:rsidRDefault="008F4367">
      <w:pPr>
        <w:pBdr>
          <w:top w:val="nil"/>
          <w:left w:val="nil"/>
          <w:bottom w:val="nil"/>
          <w:right w:val="nil"/>
          <w:between w:val="nil"/>
        </w:pBdr>
        <w:spacing w:line="360" w:lineRule="auto"/>
        <w:ind w:right="50"/>
        <w:jc w:val="both"/>
      </w:pPr>
      <w:r w:rsidRPr="00A3565D">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E810BA" w:rsidRPr="00A3565D" w:rsidRDefault="00E810BA">
      <w:pPr>
        <w:spacing w:line="360" w:lineRule="auto"/>
      </w:pP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Artículo 49. Los Comités de Transparencia tendrán las siguientes atribuciones:</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VIII. Aprobar, modificar o revocar la clasificación de la información;</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w:t>
      </w:r>
    </w:p>
    <w:p w:rsidR="00E810BA" w:rsidRPr="00A3565D" w:rsidRDefault="00E810BA"/>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Artículo 53. Las Unidades de Transparencia tendrán las siguientes funciones:</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lastRenderedPageBreak/>
        <w:t>(…)</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X. Presentar ante el Comité, el proyecto de clasificación de información…</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w:t>
      </w:r>
    </w:p>
    <w:p w:rsidR="00E810BA" w:rsidRPr="00A3565D" w:rsidRDefault="00E810BA"/>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Artículo 59. Los servidores públicos habilitados tendrán las funciones siguientes:</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w:t>
      </w:r>
    </w:p>
    <w:p w:rsidR="00E810BA" w:rsidRPr="00A3565D" w:rsidRDefault="00E810BA"/>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E810BA" w:rsidRPr="00A3565D" w:rsidRDefault="00E810BA">
      <w:pPr>
        <w:spacing w:line="360" w:lineRule="auto"/>
      </w:pP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E810BA" w:rsidRPr="00A3565D" w:rsidRDefault="00E810BA">
      <w:pPr>
        <w:spacing w:line="360" w:lineRule="auto"/>
      </w:pP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Artículo 149. El acuerdo que clasifique la información como confidencial deberá contener un razonamiento lógico en el que demuestre que la información se encuentra en alguna o algunas de las hipótesis previstas en la presente Ley.</w:t>
      </w:r>
    </w:p>
    <w:p w:rsidR="00E810BA" w:rsidRPr="00A3565D" w:rsidRDefault="00E810BA"/>
    <w:p w:rsidR="00E810BA" w:rsidRPr="00A3565D" w:rsidRDefault="008F4367">
      <w:p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A3565D">
        <w:rPr>
          <w:rFonts w:ascii="Palatino Linotype" w:eastAsia="Palatino Linotype" w:hAnsi="Palatino Linotype" w:cs="Palatino Linotype"/>
        </w:rPr>
        <w:t xml:space="preserve">Es decir, </w:t>
      </w:r>
      <w:r w:rsidRPr="00A3565D">
        <w:rPr>
          <w:rFonts w:ascii="Palatino Linotype" w:eastAsia="Palatino Linotype" w:hAnsi="Palatino Linotype" w:cs="Palatino Linotype"/>
          <w:b/>
        </w:rPr>
        <w:t>EL SUJETO OBLIGADO</w:t>
      </w:r>
      <w:r w:rsidRPr="00A3565D">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w:t>
      </w:r>
      <w:r w:rsidRPr="00A3565D">
        <w:rPr>
          <w:rFonts w:ascii="Palatino Linotype" w:eastAsia="Palatino Linotype" w:hAnsi="Palatino Linotype" w:cs="Palatino Linotype"/>
        </w:rPr>
        <w:lastRenderedPageBreak/>
        <w:t>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E810BA" w:rsidRPr="00A3565D" w:rsidRDefault="00E810BA">
      <w:pPr>
        <w:pBdr>
          <w:top w:val="nil"/>
          <w:left w:val="nil"/>
          <w:bottom w:val="nil"/>
          <w:right w:val="nil"/>
          <w:between w:val="nil"/>
        </w:pBdr>
        <w:spacing w:line="360" w:lineRule="auto"/>
        <w:ind w:right="51"/>
        <w:jc w:val="both"/>
      </w:pPr>
    </w:p>
    <w:p w:rsidR="00E810BA" w:rsidRPr="00A3565D" w:rsidRDefault="008F4367">
      <w:pPr>
        <w:pBdr>
          <w:top w:val="nil"/>
          <w:left w:val="nil"/>
          <w:bottom w:val="nil"/>
          <w:right w:val="nil"/>
          <w:between w:val="nil"/>
        </w:pBdr>
        <w:spacing w:line="360" w:lineRule="auto"/>
        <w:ind w:right="49"/>
        <w:jc w:val="both"/>
      </w:pPr>
      <w:r w:rsidRPr="00A3565D">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Pr="00A3565D">
        <w:rPr>
          <w:rFonts w:ascii="Palatino Linotype" w:eastAsia="Palatino Linotype" w:hAnsi="Palatino Linotype" w:cs="Palatino Linotype"/>
          <w:b/>
        </w:rPr>
        <w:t xml:space="preserve">SUJETO OBLIGADO, </w:t>
      </w:r>
      <w:r w:rsidRPr="00A3565D">
        <w:rPr>
          <w:rFonts w:ascii="Palatino Linotype" w:eastAsia="Palatino Linotype" w:hAnsi="Palatino Linotype" w:cs="Palatino Linotype"/>
        </w:rPr>
        <w:t>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Artículo 132.</w:t>
      </w:r>
      <w:r w:rsidRPr="00A3565D">
        <w:rPr>
          <w:rFonts w:ascii="Palatino Linotype" w:eastAsia="Palatino Linotype" w:hAnsi="Palatino Linotype" w:cs="Palatino Linotype"/>
          <w:i/>
          <w:sz w:val="22"/>
          <w:szCs w:val="22"/>
        </w:rPr>
        <w:t xml:space="preserve"> </w:t>
      </w:r>
      <w:r w:rsidRPr="00A3565D">
        <w:rPr>
          <w:rFonts w:ascii="Palatino Linotype" w:eastAsia="Palatino Linotype" w:hAnsi="Palatino Linotype" w:cs="Palatino Linotype"/>
          <w:b/>
          <w:i/>
          <w:sz w:val="22"/>
          <w:szCs w:val="22"/>
        </w:rPr>
        <w:t>La clasificación de la información se llevará a cabo en el momento en que:</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II.</w:t>
      </w:r>
      <w:r w:rsidRPr="00A3565D">
        <w:rPr>
          <w:rFonts w:ascii="Palatino Linotype" w:eastAsia="Palatino Linotype" w:hAnsi="Palatino Linotype" w:cs="Palatino Linotype"/>
          <w:i/>
          <w:sz w:val="22"/>
          <w:szCs w:val="22"/>
        </w:rPr>
        <w:t xml:space="preserve"> Se determine mediante resolución de autoridad competente; o</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III</w:t>
      </w:r>
      <w:r w:rsidRPr="00A3565D">
        <w:rPr>
          <w:rFonts w:ascii="Palatino Linotype" w:eastAsia="Palatino Linotype" w:hAnsi="Palatino Linotype" w:cs="Palatino Linotype"/>
          <w:i/>
          <w:sz w:val="22"/>
          <w:szCs w:val="22"/>
        </w:rPr>
        <w:t xml:space="preserve">. </w:t>
      </w:r>
      <w:r w:rsidRPr="00A3565D">
        <w:rPr>
          <w:rFonts w:ascii="Palatino Linotype" w:eastAsia="Palatino Linotype" w:hAnsi="Palatino Linotype" w:cs="Palatino Linotype"/>
          <w:b/>
          <w:i/>
          <w:sz w:val="22"/>
          <w:szCs w:val="22"/>
        </w:rPr>
        <w:t>Se generen versiones públicas para dar cumplimiento a las obligaciones de transparencia previstas en esta Ley</w:t>
      </w:r>
      <w:r w:rsidRPr="00A3565D">
        <w:rPr>
          <w:rFonts w:ascii="Palatino Linotype" w:eastAsia="Palatino Linotype" w:hAnsi="Palatino Linotype" w:cs="Palatino Linotype"/>
          <w:i/>
          <w:sz w:val="22"/>
          <w:szCs w:val="22"/>
        </w:rPr>
        <w:t>.</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Segundo.-</w:t>
      </w:r>
      <w:r w:rsidRPr="00A3565D">
        <w:rPr>
          <w:rFonts w:ascii="Palatino Linotype" w:eastAsia="Palatino Linotype" w:hAnsi="Palatino Linotype" w:cs="Palatino Linotype"/>
          <w:i/>
          <w:sz w:val="22"/>
          <w:szCs w:val="22"/>
        </w:rPr>
        <w:t xml:space="preserve"> Para efectos de los presentes Lineamientos Generales, se entenderá por:</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w:t>
      </w: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XVIII.</w:t>
      </w:r>
      <w:r w:rsidRPr="00A3565D">
        <w:rPr>
          <w:rFonts w:ascii="Palatino Linotype" w:eastAsia="Palatino Linotype" w:hAnsi="Palatino Linotype" w:cs="Palatino Linotype"/>
          <w:i/>
          <w:sz w:val="22"/>
          <w:szCs w:val="22"/>
        </w:rPr>
        <w:t xml:space="preserve"> </w:t>
      </w:r>
      <w:r w:rsidRPr="00A3565D">
        <w:rPr>
          <w:rFonts w:ascii="Palatino Linotype" w:eastAsia="Palatino Linotype" w:hAnsi="Palatino Linotype" w:cs="Palatino Linotype"/>
          <w:b/>
          <w:i/>
          <w:sz w:val="22"/>
          <w:szCs w:val="22"/>
        </w:rPr>
        <w:t>Versión pública:</w:t>
      </w:r>
      <w:r w:rsidRPr="00A3565D">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A3565D">
        <w:rPr>
          <w:rFonts w:ascii="Palatino Linotype" w:eastAsia="Palatino Linotype" w:hAnsi="Palatino Linotype" w:cs="Palatino Linotype"/>
          <w:b/>
          <w:i/>
          <w:sz w:val="22"/>
          <w:szCs w:val="22"/>
        </w:rPr>
        <w:t>fundando y motivando la</w:t>
      </w:r>
      <w:r w:rsidRPr="00A3565D">
        <w:rPr>
          <w:rFonts w:ascii="Palatino Linotype" w:eastAsia="Palatino Linotype" w:hAnsi="Palatino Linotype" w:cs="Palatino Linotype"/>
          <w:i/>
          <w:sz w:val="22"/>
          <w:szCs w:val="22"/>
        </w:rPr>
        <w:t xml:space="preserve"> reserva o </w:t>
      </w:r>
      <w:r w:rsidRPr="00A3565D">
        <w:rPr>
          <w:rFonts w:ascii="Palatino Linotype" w:eastAsia="Palatino Linotype" w:hAnsi="Palatino Linotype" w:cs="Palatino Linotype"/>
          <w:b/>
          <w:i/>
          <w:sz w:val="22"/>
          <w:szCs w:val="22"/>
        </w:rPr>
        <w:lastRenderedPageBreak/>
        <w:t>confidencialidad</w:t>
      </w:r>
      <w:r w:rsidRPr="00A3565D">
        <w:rPr>
          <w:rFonts w:ascii="Palatino Linotype" w:eastAsia="Palatino Linotype" w:hAnsi="Palatino Linotype" w:cs="Palatino Linotype"/>
          <w:i/>
          <w:sz w:val="22"/>
          <w:szCs w:val="22"/>
        </w:rPr>
        <w:t>, a través de la resolución que para tal efecto emita el Comité de Transparencia.</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w:t>
      </w:r>
      <w:r w:rsidRPr="00A3565D">
        <w:rPr>
          <w:rFonts w:ascii="Palatino Linotype" w:eastAsia="Palatino Linotype" w:hAnsi="Palatino Linotype" w:cs="Palatino Linotype"/>
          <w:i/>
          <w:sz w:val="22"/>
          <w:szCs w:val="22"/>
        </w:rPr>
        <w:t>)</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Cuarto.</w:t>
      </w:r>
      <w:r w:rsidRPr="00A3565D">
        <w:rPr>
          <w:rFonts w:ascii="Palatino Linotype" w:eastAsia="Palatino Linotype" w:hAnsi="Palatino Linotype" w:cs="Palatino Linotype"/>
          <w:i/>
          <w:sz w:val="22"/>
          <w:szCs w:val="22"/>
        </w:rPr>
        <w:t xml:space="preserve"> </w:t>
      </w:r>
      <w:r w:rsidRPr="00A3565D">
        <w:rPr>
          <w:rFonts w:ascii="Palatino Linotype" w:eastAsia="Palatino Linotype" w:hAnsi="Palatino Linotype" w:cs="Palatino Linotype"/>
          <w:b/>
          <w:i/>
          <w:sz w:val="22"/>
          <w:szCs w:val="22"/>
        </w:rPr>
        <w:t>Para clasificar la información como</w:t>
      </w:r>
      <w:r w:rsidRPr="00A3565D">
        <w:rPr>
          <w:rFonts w:ascii="Palatino Linotype" w:eastAsia="Palatino Linotype" w:hAnsi="Palatino Linotype" w:cs="Palatino Linotype"/>
          <w:i/>
          <w:sz w:val="22"/>
          <w:szCs w:val="22"/>
        </w:rPr>
        <w:t xml:space="preserve"> reservada o </w:t>
      </w:r>
      <w:r w:rsidRPr="00A3565D">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A3565D">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Quinto.</w:t>
      </w:r>
      <w:r w:rsidRPr="00A3565D">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Sexto.</w:t>
      </w:r>
      <w:r w:rsidRPr="00A3565D">
        <w:rPr>
          <w:rFonts w:ascii="Palatino Linotype" w:eastAsia="Palatino Linotype" w:hAnsi="Palatino Linotype" w:cs="Palatino Linotype"/>
          <w:i/>
          <w:sz w:val="22"/>
          <w:szCs w:val="22"/>
        </w:rPr>
        <w:t xml:space="preserve"> Se deroga. </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Séptimo.</w:t>
      </w:r>
      <w:r w:rsidRPr="00A3565D">
        <w:rPr>
          <w:rFonts w:ascii="Palatino Linotype" w:eastAsia="Palatino Linotype" w:hAnsi="Palatino Linotype" w:cs="Palatino Linotype"/>
          <w:i/>
          <w:sz w:val="22"/>
          <w:szCs w:val="22"/>
        </w:rPr>
        <w:t xml:space="preserve"> La clasificación de la información se llevará a cabo en el momento en que:</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I.</w:t>
      </w:r>
      <w:r w:rsidRPr="00A3565D">
        <w:rPr>
          <w:rFonts w:ascii="Palatino Linotype" w:eastAsia="Palatino Linotype" w:hAnsi="Palatino Linotype" w:cs="Palatino Linotype"/>
          <w:i/>
          <w:sz w:val="22"/>
          <w:szCs w:val="22"/>
        </w:rPr>
        <w:t xml:space="preserve"> Se reciba una solicitud de acceso a la información;</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II: Se determine mediante resolución del Comité de Transparencia, el órgano garante competente, o en cumplimiento a una sentencia del Poder Judicial; o</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 xml:space="preserve">III. </w:t>
      </w:r>
      <w:r w:rsidRPr="00A3565D">
        <w:rPr>
          <w:rFonts w:ascii="Palatino Linotype" w:eastAsia="Palatino Linotype" w:hAnsi="Palatino Linotype" w:cs="Palatino Linotype"/>
          <w:i/>
          <w:sz w:val="22"/>
          <w:szCs w:val="22"/>
        </w:rPr>
        <w:t xml:space="preserve">Se generen versiones públicas para dar cumplimiento a las obligaciones </w:t>
      </w:r>
      <w:proofErr w:type="spellStart"/>
      <w:r w:rsidRPr="00A3565D">
        <w:rPr>
          <w:rFonts w:ascii="Palatino Linotype" w:eastAsia="Palatino Linotype" w:hAnsi="Palatino Linotype" w:cs="Palatino Linotype"/>
          <w:i/>
          <w:sz w:val="22"/>
          <w:szCs w:val="22"/>
        </w:rPr>
        <w:t>detransparencia</w:t>
      </w:r>
      <w:proofErr w:type="spellEnd"/>
      <w:r w:rsidRPr="00A3565D">
        <w:rPr>
          <w:rFonts w:ascii="Palatino Linotype" w:eastAsia="Palatino Linotype" w:hAnsi="Palatino Linotype" w:cs="Palatino Linotype"/>
          <w:i/>
          <w:sz w:val="22"/>
          <w:szCs w:val="22"/>
        </w:rPr>
        <w:t xml:space="preserve"> previstas en la Ley General, la Ley Federal y las correspondientes de </w:t>
      </w:r>
      <w:proofErr w:type="spellStart"/>
      <w:r w:rsidRPr="00A3565D">
        <w:rPr>
          <w:rFonts w:ascii="Palatino Linotype" w:eastAsia="Palatino Linotype" w:hAnsi="Palatino Linotype" w:cs="Palatino Linotype"/>
          <w:i/>
          <w:sz w:val="22"/>
          <w:szCs w:val="22"/>
        </w:rPr>
        <w:t>laentidades</w:t>
      </w:r>
      <w:proofErr w:type="spellEnd"/>
      <w:r w:rsidRPr="00A3565D">
        <w:rPr>
          <w:rFonts w:ascii="Palatino Linotype" w:eastAsia="Palatino Linotype" w:hAnsi="Palatino Linotype" w:cs="Palatino Linotype"/>
          <w:i/>
          <w:sz w:val="22"/>
          <w:szCs w:val="22"/>
        </w:rPr>
        <w:t xml:space="preserve"> federativas.</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rPr>
      </w:pPr>
      <w:r w:rsidRPr="00A3565D">
        <w:rPr>
          <w:rFonts w:ascii="Palatino Linotype" w:eastAsia="Palatino Linotype" w:hAnsi="Palatino Linotype" w:cs="Palatino Linotype"/>
          <w:i/>
          <w:sz w:val="22"/>
          <w:szCs w:val="22"/>
        </w:rPr>
        <w:t xml:space="preserve">Los titulares de las áreas deberán revisar la información requerida al momento de </w:t>
      </w:r>
      <w:proofErr w:type="spellStart"/>
      <w:r w:rsidRPr="00A3565D">
        <w:rPr>
          <w:rFonts w:ascii="Palatino Linotype" w:eastAsia="Palatino Linotype" w:hAnsi="Palatino Linotype" w:cs="Palatino Linotype"/>
          <w:i/>
          <w:sz w:val="22"/>
          <w:szCs w:val="22"/>
        </w:rPr>
        <w:t>larecepción</w:t>
      </w:r>
      <w:proofErr w:type="spellEnd"/>
      <w:r w:rsidRPr="00A3565D">
        <w:rPr>
          <w:rFonts w:ascii="Palatino Linotype" w:eastAsia="Palatino Linotype" w:hAnsi="Palatino Linotype" w:cs="Palatino Linotype"/>
          <w:i/>
          <w:sz w:val="22"/>
          <w:szCs w:val="22"/>
        </w:rPr>
        <w:t xml:space="preserve"> de una solicitud de acceso, para verificar, conforme a su naturaleza, si </w:t>
      </w:r>
      <w:proofErr w:type="spellStart"/>
      <w:r w:rsidRPr="00A3565D">
        <w:rPr>
          <w:rFonts w:ascii="Palatino Linotype" w:eastAsia="Palatino Linotype" w:hAnsi="Palatino Linotype" w:cs="Palatino Linotype"/>
          <w:i/>
          <w:sz w:val="22"/>
          <w:szCs w:val="22"/>
        </w:rPr>
        <w:t>encuadraen</w:t>
      </w:r>
      <w:proofErr w:type="spellEnd"/>
      <w:r w:rsidRPr="00A3565D">
        <w:rPr>
          <w:rFonts w:ascii="Palatino Linotype" w:eastAsia="Palatino Linotype" w:hAnsi="Palatino Linotype" w:cs="Palatino Linotype"/>
          <w:i/>
          <w:sz w:val="22"/>
          <w:szCs w:val="22"/>
        </w:rPr>
        <w:t xml:space="preserve"> una causal de reserva o de confidencialidad.</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Octavo.</w:t>
      </w:r>
      <w:r w:rsidRPr="00A3565D">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w:t>
      </w:r>
      <w:r w:rsidRPr="00A3565D">
        <w:rPr>
          <w:rFonts w:ascii="Palatino Linotype" w:eastAsia="Palatino Linotype" w:hAnsi="Palatino Linotype" w:cs="Palatino Linotype"/>
          <w:i/>
          <w:sz w:val="22"/>
          <w:szCs w:val="22"/>
        </w:rPr>
        <w:lastRenderedPageBreak/>
        <w:t xml:space="preserve">Estado mexicano que expresamente le otorga el carácter de reservada o confidencial. </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Noveno.</w:t>
      </w:r>
      <w:r w:rsidRPr="00A3565D">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Décimo.</w:t>
      </w:r>
      <w:r w:rsidRPr="00A3565D">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 </w:t>
      </w: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b/>
          <w:i/>
          <w:sz w:val="22"/>
          <w:szCs w:val="22"/>
        </w:rPr>
        <w:t>Décimo primero.</w:t>
      </w:r>
      <w:r w:rsidRPr="00A3565D">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spacing w:line="360" w:lineRule="auto"/>
        <w:jc w:val="both"/>
      </w:pPr>
      <w:r w:rsidRPr="00A3565D">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w:t>
      </w:r>
      <w:proofErr w:type="spellStart"/>
      <w:r w:rsidRPr="00A3565D">
        <w:rPr>
          <w:rFonts w:ascii="Palatino Linotype" w:eastAsia="Palatino Linotype" w:hAnsi="Palatino Linotype" w:cs="Palatino Linotype"/>
        </w:rPr>
        <w:t>supraindicados</w:t>
      </w:r>
      <w:proofErr w:type="spellEnd"/>
      <w:r w:rsidRPr="00A3565D">
        <w:rPr>
          <w:rFonts w:ascii="Palatino Linotype" w:eastAsia="Palatino Linotype" w:hAnsi="Palatino Linotype" w:cs="Palatino Linotype"/>
        </w:rPr>
        <w:t>, que establecen los formatos para la clasificación parcial y total de los documentos, conforme a lo siguiente: </w:t>
      </w:r>
    </w:p>
    <w:p w:rsidR="00E810BA" w:rsidRPr="00A3565D" w:rsidRDefault="00E810BA">
      <w:pPr>
        <w:spacing w:line="360" w:lineRule="auto"/>
      </w:pP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CAPÍTULO VIII</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DE LA LEYENDA DE CLASIFICACIÓN</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w:t>
      </w:r>
    </w:p>
    <w:p w:rsidR="00E810BA" w:rsidRPr="00A3565D" w:rsidRDefault="008F4367">
      <w:pPr>
        <w:pBdr>
          <w:top w:val="nil"/>
          <w:left w:val="nil"/>
          <w:bottom w:val="nil"/>
          <w:right w:val="nil"/>
          <w:between w:val="nil"/>
        </w:pBdr>
        <w:ind w:left="864" w:right="864"/>
        <w:jc w:val="both"/>
      </w:pPr>
      <w:r w:rsidRPr="00A3565D">
        <w:rPr>
          <w:rFonts w:ascii="Palatino Linotype" w:eastAsia="Palatino Linotype" w:hAnsi="Palatino Linotype" w:cs="Palatino Linotype"/>
          <w:i/>
          <w:sz w:val="22"/>
          <w:szCs w:val="22"/>
        </w:rPr>
        <w:t xml:space="preserve">Quincuagésimo tercero. </w:t>
      </w:r>
      <w:r w:rsidRPr="00A3565D">
        <w:rPr>
          <w:rFonts w:ascii="Palatino Linotype" w:eastAsia="Palatino Linotype" w:hAnsi="Palatino Linotype" w:cs="Palatino Linotype"/>
          <w:i/>
          <w:sz w:val="22"/>
          <w:szCs w:val="22"/>
          <w:u w:val="single"/>
        </w:rPr>
        <w:t>El formato para señalar la clasificación parcial de un documento</w:t>
      </w:r>
      <w:r w:rsidRPr="00A3565D">
        <w:rPr>
          <w:rFonts w:ascii="Palatino Linotype" w:eastAsia="Palatino Linotype" w:hAnsi="Palatino Linotype" w:cs="Palatino Linotype"/>
          <w:i/>
          <w:sz w:val="22"/>
          <w:szCs w:val="22"/>
        </w:rPr>
        <w:t>, es el siguiente:</w:t>
      </w:r>
    </w:p>
    <w:p w:rsidR="00E810BA" w:rsidRPr="00A3565D" w:rsidRDefault="00E810BA">
      <w:pPr>
        <w:pBdr>
          <w:top w:val="nil"/>
          <w:left w:val="nil"/>
          <w:bottom w:val="nil"/>
          <w:right w:val="nil"/>
          <w:between w:val="nil"/>
        </w:pBdr>
        <w:ind w:right="864"/>
        <w:jc w:val="both"/>
        <w:rPr>
          <w:rFonts w:ascii="Palatino Linotype" w:eastAsia="Palatino Linotype" w:hAnsi="Palatino Linotype" w:cs="Palatino Linotype"/>
          <w:i/>
          <w:sz w:val="22"/>
          <w:szCs w:val="22"/>
        </w:rPr>
      </w:pPr>
    </w:p>
    <w:tbl>
      <w:tblPr>
        <w:tblStyle w:val="af5"/>
        <w:tblW w:w="6946" w:type="dxa"/>
        <w:jc w:val="center"/>
        <w:tblInd w:w="0" w:type="dxa"/>
        <w:tblLayout w:type="fixed"/>
        <w:tblLook w:val="0400" w:firstRow="0" w:lastRow="0" w:firstColumn="0" w:lastColumn="0" w:noHBand="0" w:noVBand="1"/>
      </w:tblPr>
      <w:tblGrid>
        <w:gridCol w:w="1173"/>
        <w:gridCol w:w="1710"/>
        <w:gridCol w:w="4063"/>
      </w:tblGrid>
      <w:tr w:rsidR="00A3565D" w:rsidRPr="00A3565D">
        <w:trPr>
          <w:jc w:val="center"/>
        </w:trPr>
        <w:tc>
          <w:tcPr>
            <w:tcW w:w="1173" w:type="dxa"/>
            <w:tcBorders>
              <w:bottom w:val="single" w:sz="4" w:space="0" w:color="000000"/>
              <w:right w:val="single" w:sz="4" w:space="0" w:color="000000"/>
            </w:tcBorders>
            <w:tcMar>
              <w:top w:w="0" w:type="dxa"/>
              <w:left w:w="115" w:type="dxa"/>
              <w:bottom w:w="0" w:type="dxa"/>
              <w:right w:w="115" w:type="dxa"/>
            </w:tcMar>
          </w:tcPr>
          <w:p w:rsidR="00E810BA" w:rsidRPr="00A3565D" w:rsidRDefault="00E810BA"/>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810BA" w:rsidRPr="00A3565D" w:rsidRDefault="008F4367">
            <w:pPr>
              <w:pBdr>
                <w:top w:val="nil"/>
                <w:left w:val="nil"/>
                <w:bottom w:val="nil"/>
                <w:right w:val="nil"/>
                <w:between w:val="nil"/>
              </w:pBdr>
              <w:jc w:val="center"/>
            </w:pPr>
            <w:r w:rsidRPr="00A3565D">
              <w:rPr>
                <w:rFonts w:ascii="Palatino Linotype" w:eastAsia="Palatino Linotype" w:hAnsi="Palatino Linotype" w:cs="Palatino Linotype"/>
                <w:b/>
                <w:i/>
              </w:rPr>
              <w:t>Concepto</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810BA" w:rsidRPr="00A3565D" w:rsidRDefault="008F4367">
            <w:pPr>
              <w:pBdr>
                <w:top w:val="nil"/>
                <w:left w:val="nil"/>
                <w:bottom w:val="nil"/>
                <w:right w:val="nil"/>
                <w:between w:val="nil"/>
              </w:pBdr>
              <w:jc w:val="center"/>
            </w:pPr>
            <w:r w:rsidRPr="00A3565D">
              <w:rPr>
                <w:rFonts w:ascii="Palatino Linotype" w:eastAsia="Palatino Linotype" w:hAnsi="Palatino Linotype" w:cs="Palatino Linotype"/>
                <w:b/>
                <w:i/>
              </w:rPr>
              <w:t>Dónde:</w:t>
            </w:r>
          </w:p>
        </w:tc>
      </w:tr>
      <w:tr w:rsidR="00A3565D" w:rsidRPr="00A3565D">
        <w:trPr>
          <w:jc w:val="center"/>
        </w:trPr>
        <w:tc>
          <w:tcPr>
            <w:tcW w:w="117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810BA" w:rsidRPr="00A3565D" w:rsidRDefault="008F4367">
            <w:pPr>
              <w:pBdr>
                <w:top w:val="nil"/>
                <w:left w:val="nil"/>
                <w:bottom w:val="nil"/>
                <w:right w:val="nil"/>
                <w:between w:val="nil"/>
              </w:pBdr>
              <w:jc w:val="center"/>
            </w:pPr>
            <w:r w:rsidRPr="00A3565D">
              <w:rPr>
                <w:rFonts w:ascii="Palatino Linotype" w:eastAsia="Palatino Linotype" w:hAnsi="Palatino Linotype" w:cs="Palatino Linotype"/>
                <w:b/>
                <w:i/>
              </w:rPr>
              <w:t>Sello oficial o logotipo del sujeto obligado</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810BA" w:rsidRPr="00A3565D" w:rsidRDefault="008F4367">
            <w:pPr>
              <w:pBdr>
                <w:top w:val="nil"/>
                <w:left w:val="nil"/>
                <w:bottom w:val="nil"/>
                <w:right w:val="nil"/>
                <w:between w:val="nil"/>
              </w:pBdr>
              <w:jc w:val="center"/>
            </w:pPr>
            <w:r w:rsidRPr="00A3565D">
              <w:rPr>
                <w:rFonts w:ascii="Palatino Linotype" w:eastAsia="Palatino Linotype" w:hAnsi="Palatino Linotype" w:cs="Palatino Linotype"/>
                <w:i/>
              </w:rPr>
              <w:t>Fecha de clasificación</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810BA" w:rsidRPr="00A3565D" w:rsidRDefault="008F4367">
            <w:pPr>
              <w:pBdr>
                <w:top w:val="nil"/>
                <w:left w:val="nil"/>
                <w:bottom w:val="nil"/>
                <w:right w:val="nil"/>
                <w:between w:val="nil"/>
              </w:pBdr>
              <w:jc w:val="both"/>
            </w:pPr>
            <w:r w:rsidRPr="00A3565D">
              <w:rPr>
                <w:rFonts w:ascii="Palatino Linotype" w:eastAsia="Palatino Linotype" w:hAnsi="Palatino Linotype" w:cs="Palatino Linotype"/>
                <w:i/>
              </w:rPr>
              <w:t>Se anotará la fecha en la que el Comité de Transparencia confirmó la clasificación del documento o expediente, en su caso.</w:t>
            </w:r>
          </w:p>
        </w:tc>
      </w:tr>
      <w:tr w:rsidR="00A3565D" w:rsidRPr="00A3565D">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810BA" w:rsidRPr="00A3565D" w:rsidRDefault="00E810BA">
            <w:pPr>
              <w:widowControl w:val="0"/>
              <w:pBdr>
                <w:top w:val="nil"/>
                <w:left w:val="nil"/>
                <w:bottom w:val="nil"/>
                <w:right w:val="nil"/>
                <w:between w:val="nil"/>
              </w:pBd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810BA" w:rsidRPr="00A3565D" w:rsidRDefault="008F4367">
            <w:pPr>
              <w:pBdr>
                <w:top w:val="nil"/>
                <w:left w:val="nil"/>
                <w:bottom w:val="nil"/>
                <w:right w:val="nil"/>
                <w:between w:val="nil"/>
              </w:pBdr>
              <w:jc w:val="center"/>
            </w:pPr>
            <w:r w:rsidRPr="00A3565D">
              <w:rPr>
                <w:rFonts w:ascii="Palatino Linotype" w:eastAsia="Palatino Linotype" w:hAnsi="Palatino Linotype" w:cs="Palatino Linotype"/>
                <w:i/>
              </w:rPr>
              <w:t>Área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810BA" w:rsidRPr="00A3565D" w:rsidRDefault="008F4367">
            <w:pPr>
              <w:pBdr>
                <w:top w:val="nil"/>
                <w:left w:val="nil"/>
                <w:bottom w:val="nil"/>
                <w:right w:val="nil"/>
                <w:between w:val="nil"/>
              </w:pBdr>
              <w:jc w:val="both"/>
            </w:pPr>
            <w:r w:rsidRPr="00A3565D">
              <w:rPr>
                <w:rFonts w:ascii="Palatino Linotype" w:eastAsia="Palatino Linotype" w:hAnsi="Palatino Linotype" w:cs="Palatino Linotype"/>
                <w:i/>
              </w:rPr>
              <w:t>Se señalará el nombre del área del cual es titular quien clasifica.</w:t>
            </w:r>
          </w:p>
        </w:tc>
      </w:tr>
      <w:tr w:rsidR="00A3565D" w:rsidRPr="00A3565D">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810BA" w:rsidRPr="00A3565D" w:rsidRDefault="00E810BA">
            <w:pPr>
              <w:widowControl w:val="0"/>
              <w:pBdr>
                <w:top w:val="nil"/>
                <w:left w:val="nil"/>
                <w:bottom w:val="nil"/>
                <w:right w:val="nil"/>
                <w:between w:val="nil"/>
              </w:pBd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810BA" w:rsidRPr="00A3565D" w:rsidRDefault="008F4367">
            <w:pPr>
              <w:pBdr>
                <w:top w:val="nil"/>
                <w:left w:val="nil"/>
                <w:bottom w:val="nil"/>
                <w:right w:val="nil"/>
                <w:between w:val="nil"/>
              </w:pBdr>
              <w:jc w:val="center"/>
            </w:pPr>
            <w:r w:rsidRPr="00A3565D">
              <w:rPr>
                <w:rFonts w:ascii="Palatino Linotype" w:eastAsia="Palatino Linotype" w:hAnsi="Palatino Linotype" w:cs="Palatino Linotype"/>
                <w:i/>
              </w:rPr>
              <w:t>Información reservada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810BA" w:rsidRPr="00A3565D" w:rsidRDefault="008F4367">
            <w:pPr>
              <w:pBdr>
                <w:top w:val="nil"/>
                <w:left w:val="nil"/>
                <w:bottom w:val="nil"/>
                <w:right w:val="nil"/>
                <w:between w:val="nil"/>
              </w:pBdr>
              <w:jc w:val="both"/>
            </w:pPr>
            <w:r w:rsidRPr="00A3565D">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A3565D" w:rsidRPr="00A3565D">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810BA" w:rsidRPr="00A3565D" w:rsidRDefault="00E810BA">
            <w:pPr>
              <w:widowControl w:val="0"/>
              <w:pBdr>
                <w:top w:val="nil"/>
                <w:left w:val="nil"/>
                <w:bottom w:val="nil"/>
                <w:right w:val="nil"/>
                <w:between w:val="nil"/>
              </w:pBd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810BA" w:rsidRPr="00A3565D" w:rsidRDefault="008F4367">
            <w:pPr>
              <w:pBdr>
                <w:top w:val="nil"/>
                <w:left w:val="nil"/>
                <w:bottom w:val="nil"/>
                <w:right w:val="nil"/>
                <w:between w:val="nil"/>
              </w:pBdr>
              <w:jc w:val="center"/>
            </w:pPr>
            <w:r w:rsidRPr="00A3565D">
              <w:rPr>
                <w:rFonts w:ascii="Palatino Linotype" w:eastAsia="Palatino Linotype" w:hAnsi="Palatino Linotype" w:cs="Palatino Linotype"/>
                <w:i/>
              </w:rPr>
              <w:t>Periodo de reserva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810BA" w:rsidRPr="00A3565D" w:rsidRDefault="008F4367">
            <w:pPr>
              <w:pBdr>
                <w:top w:val="nil"/>
                <w:left w:val="nil"/>
                <w:bottom w:val="nil"/>
                <w:right w:val="nil"/>
                <w:between w:val="nil"/>
              </w:pBdr>
              <w:jc w:val="both"/>
            </w:pPr>
            <w:r w:rsidRPr="00A3565D">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A3565D" w:rsidRPr="00A3565D">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810BA" w:rsidRPr="00A3565D" w:rsidRDefault="00E810BA">
            <w:pPr>
              <w:widowControl w:val="0"/>
              <w:pBdr>
                <w:top w:val="nil"/>
                <w:left w:val="nil"/>
                <w:bottom w:val="nil"/>
                <w:right w:val="nil"/>
                <w:between w:val="nil"/>
              </w:pBd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810BA" w:rsidRPr="00A3565D" w:rsidRDefault="008F4367">
            <w:pPr>
              <w:pBdr>
                <w:top w:val="nil"/>
                <w:left w:val="nil"/>
                <w:bottom w:val="nil"/>
                <w:right w:val="nil"/>
                <w:between w:val="nil"/>
              </w:pBdr>
              <w:jc w:val="center"/>
            </w:pPr>
            <w:r w:rsidRPr="00A3565D">
              <w:rPr>
                <w:rFonts w:ascii="Palatino Linotype" w:eastAsia="Palatino Linotype" w:hAnsi="Palatino Linotype" w:cs="Palatino Linotype"/>
                <w:i/>
              </w:rPr>
              <w:t>Fundamento legal</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810BA" w:rsidRPr="00A3565D" w:rsidRDefault="008F4367">
            <w:pPr>
              <w:pBdr>
                <w:top w:val="nil"/>
                <w:left w:val="nil"/>
                <w:bottom w:val="nil"/>
                <w:right w:val="nil"/>
                <w:between w:val="nil"/>
              </w:pBdr>
              <w:jc w:val="both"/>
            </w:pPr>
            <w:r w:rsidRPr="00A3565D">
              <w:rPr>
                <w:rFonts w:ascii="Palatino Linotype" w:eastAsia="Palatino Linotype" w:hAnsi="Palatino Linotype" w:cs="Palatino Linotype"/>
                <w:i/>
              </w:rPr>
              <w:t>Se señalará el nombre del ordenamiento, el o los artículos, fracción(es), párrafo(s) con base en los cuales se sustente la reserva.</w:t>
            </w:r>
          </w:p>
        </w:tc>
      </w:tr>
      <w:tr w:rsidR="00A3565D" w:rsidRPr="00A3565D">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810BA" w:rsidRPr="00A3565D" w:rsidRDefault="00E810BA">
            <w:pPr>
              <w:widowControl w:val="0"/>
              <w:pBdr>
                <w:top w:val="nil"/>
                <w:left w:val="nil"/>
                <w:bottom w:val="nil"/>
                <w:right w:val="nil"/>
                <w:between w:val="nil"/>
              </w:pBd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810BA" w:rsidRPr="00A3565D" w:rsidRDefault="008F4367">
            <w:pPr>
              <w:pBdr>
                <w:top w:val="nil"/>
                <w:left w:val="nil"/>
                <w:bottom w:val="nil"/>
                <w:right w:val="nil"/>
                <w:between w:val="nil"/>
              </w:pBdr>
              <w:jc w:val="center"/>
            </w:pPr>
            <w:r w:rsidRPr="00A3565D">
              <w:rPr>
                <w:rFonts w:ascii="Palatino Linotype" w:eastAsia="Palatino Linotype" w:hAnsi="Palatino Linotype" w:cs="Palatino Linotype"/>
                <w:i/>
              </w:rPr>
              <w:t>Ampliación del periodo de reserva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810BA" w:rsidRPr="00A3565D" w:rsidRDefault="008F4367">
            <w:pPr>
              <w:pBdr>
                <w:top w:val="nil"/>
                <w:left w:val="nil"/>
                <w:bottom w:val="nil"/>
                <w:right w:val="nil"/>
                <w:between w:val="nil"/>
              </w:pBdr>
              <w:jc w:val="both"/>
            </w:pPr>
            <w:r w:rsidRPr="00A3565D">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A3565D" w:rsidRPr="00A3565D">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810BA" w:rsidRPr="00A3565D" w:rsidRDefault="00E810BA">
            <w:pPr>
              <w:widowControl w:val="0"/>
              <w:pBdr>
                <w:top w:val="nil"/>
                <w:left w:val="nil"/>
                <w:bottom w:val="nil"/>
                <w:right w:val="nil"/>
                <w:between w:val="nil"/>
              </w:pBd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810BA" w:rsidRPr="00A3565D" w:rsidRDefault="008F4367">
            <w:pPr>
              <w:pBdr>
                <w:top w:val="nil"/>
                <w:left w:val="nil"/>
                <w:bottom w:val="nil"/>
                <w:right w:val="nil"/>
                <w:between w:val="nil"/>
              </w:pBdr>
              <w:jc w:val="center"/>
            </w:pPr>
            <w:r w:rsidRPr="00A3565D">
              <w:rPr>
                <w:rFonts w:ascii="Palatino Linotype" w:eastAsia="Palatino Linotype" w:hAnsi="Palatino Linotype" w:cs="Palatino Linotype"/>
                <w:i/>
              </w:rPr>
              <w:t>Rúbrica del titular del área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810BA" w:rsidRPr="00A3565D" w:rsidRDefault="008F4367">
            <w:pPr>
              <w:pBdr>
                <w:top w:val="nil"/>
                <w:left w:val="nil"/>
                <w:bottom w:val="nil"/>
                <w:right w:val="nil"/>
                <w:between w:val="nil"/>
              </w:pBdr>
              <w:jc w:val="both"/>
            </w:pPr>
            <w:r w:rsidRPr="00A3565D">
              <w:rPr>
                <w:rFonts w:ascii="Palatino Linotype" w:eastAsia="Palatino Linotype" w:hAnsi="Palatino Linotype" w:cs="Palatino Linotype"/>
                <w:i/>
              </w:rPr>
              <w:t>Rúbrica autógrafa o firma digital de quien clasifica.</w:t>
            </w:r>
          </w:p>
        </w:tc>
      </w:tr>
      <w:tr w:rsidR="00A3565D" w:rsidRPr="00A3565D">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810BA" w:rsidRPr="00A3565D" w:rsidRDefault="00E810BA">
            <w:pPr>
              <w:widowControl w:val="0"/>
              <w:pBdr>
                <w:top w:val="nil"/>
                <w:left w:val="nil"/>
                <w:bottom w:val="nil"/>
                <w:right w:val="nil"/>
                <w:between w:val="nil"/>
              </w:pBd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810BA" w:rsidRPr="00A3565D" w:rsidRDefault="008F4367">
            <w:pPr>
              <w:pBdr>
                <w:top w:val="nil"/>
                <w:left w:val="nil"/>
                <w:bottom w:val="nil"/>
                <w:right w:val="nil"/>
                <w:between w:val="nil"/>
              </w:pBdr>
              <w:jc w:val="center"/>
            </w:pPr>
            <w:r w:rsidRPr="00A3565D">
              <w:rPr>
                <w:rFonts w:ascii="Palatino Linotype" w:eastAsia="Palatino Linotype" w:hAnsi="Palatino Linotype" w:cs="Palatino Linotype"/>
                <w:i/>
              </w:rPr>
              <w:t>Fecha de desclasificación</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810BA" w:rsidRPr="00A3565D" w:rsidRDefault="008F4367">
            <w:pPr>
              <w:pBdr>
                <w:top w:val="nil"/>
                <w:left w:val="nil"/>
                <w:bottom w:val="nil"/>
                <w:right w:val="nil"/>
                <w:between w:val="nil"/>
              </w:pBdr>
              <w:jc w:val="both"/>
            </w:pPr>
            <w:r w:rsidRPr="00A3565D">
              <w:rPr>
                <w:rFonts w:ascii="Palatino Linotype" w:eastAsia="Palatino Linotype" w:hAnsi="Palatino Linotype" w:cs="Palatino Linotype"/>
                <w:i/>
              </w:rPr>
              <w:t>Se anotará la fecha en que se desclasifica el documento.</w:t>
            </w:r>
          </w:p>
        </w:tc>
      </w:tr>
      <w:tr w:rsidR="00A3565D" w:rsidRPr="00A3565D">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810BA" w:rsidRPr="00A3565D" w:rsidRDefault="00E810BA">
            <w:pPr>
              <w:widowControl w:val="0"/>
              <w:pBdr>
                <w:top w:val="nil"/>
                <w:left w:val="nil"/>
                <w:bottom w:val="nil"/>
                <w:right w:val="nil"/>
                <w:between w:val="nil"/>
              </w:pBd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810BA" w:rsidRPr="00A3565D" w:rsidRDefault="008F4367">
            <w:pPr>
              <w:pBdr>
                <w:top w:val="nil"/>
                <w:left w:val="nil"/>
                <w:bottom w:val="nil"/>
                <w:right w:val="nil"/>
                <w:between w:val="nil"/>
              </w:pBdr>
              <w:jc w:val="center"/>
            </w:pPr>
            <w:r w:rsidRPr="00A3565D">
              <w:rPr>
                <w:rFonts w:ascii="Palatino Linotype" w:eastAsia="Palatino Linotype" w:hAnsi="Palatino Linotype" w:cs="Palatino Linotype"/>
                <w:i/>
              </w:rPr>
              <w:t>Rúbrica y cargo del servidor público</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810BA" w:rsidRPr="00A3565D" w:rsidRDefault="008F4367">
            <w:pPr>
              <w:pBdr>
                <w:top w:val="nil"/>
                <w:left w:val="nil"/>
                <w:bottom w:val="nil"/>
                <w:right w:val="nil"/>
                <w:between w:val="nil"/>
              </w:pBdr>
              <w:jc w:val="both"/>
            </w:pPr>
            <w:r w:rsidRPr="00A3565D">
              <w:rPr>
                <w:rFonts w:ascii="Palatino Linotype" w:eastAsia="Palatino Linotype" w:hAnsi="Palatino Linotype" w:cs="Palatino Linotype"/>
                <w:i/>
              </w:rPr>
              <w:t>Rúbrica autógrafa o firma digital de quien desclasifica.</w:t>
            </w:r>
          </w:p>
        </w:tc>
      </w:tr>
      <w:tr w:rsidR="00E810BA" w:rsidRPr="00A3565D">
        <w:trPr>
          <w:gridAfter w:val="1"/>
          <w:wAfter w:w="4063" w:type="dxa"/>
          <w:trHeight w:val="317"/>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810BA" w:rsidRPr="00A3565D" w:rsidRDefault="00E810BA">
            <w:pPr>
              <w:widowControl w:val="0"/>
              <w:pBdr>
                <w:top w:val="nil"/>
                <w:left w:val="nil"/>
                <w:bottom w:val="nil"/>
                <w:right w:val="nil"/>
                <w:between w:val="nil"/>
              </w:pBdr>
              <w:spacing w:line="276" w:lineRule="auto"/>
            </w:pPr>
          </w:p>
        </w:tc>
        <w:tc>
          <w:tcPr>
            <w:tcW w:w="1710" w:type="dxa"/>
            <w:vAlign w:val="center"/>
          </w:tcPr>
          <w:p w:rsidR="00E810BA" w:rsidRPr="00A3565D" w:rsidRDefault="00E810BA">
            <w:pPr>
              <w:rPr>
                <w:sz w:val="20"/>
                <w:szCs w:val="20"/>
              </w:rPr>
            </w:pPr>
          </w:p>
        </w:tc>
      </w:tr>
    </w:tbl>
    <w:p w:rsidR="00E810BA" w:rsidRPr="00A3565D" w:rsidRDefault="00E810BA">
      <w:pPr>
        <w:pBdr>
          <w:top w:val="nil"/>
          <w:left w:val="nil"/>
          <w:bottom w:val="nil"/>
          <w:right w:val="nil"/>
          <w:between w:val="nil"/>
        </w:pBdr>
        <w:ind w:right="851"/>
        <w:jc w:val="both"/>
        <w:rPr>
          <w:rFonts w:ascii="Palatino Linotype" w:eastAsia="Palatino Linotype" w:hAnsi="Palatino Linotype" w:cs="Palatino Linotype"/>
          <w:i/>
          <w:sz w:val="22"/>
          <w:szCs w:val="22"/>
        </w:rPr>
      </w:pPr>
    </w:p>
    <w:p w:rsidR="00E810BA" w:rsidRPr="00A3565D" w:rsidRDefault="008F436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3565D">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A3565D">
        <w:rPr>
          <w:rFonts w:ascii="Palatino Linotype" w:eastAsia="Palatino Linotype" w:hAnsi="Palatino Linotype" w:cs="Palatino Linotype"/>
          <w:i/>
          <w:sz w:val="22"/>
          <w:szCs w:val="22"/>
        </w:rPr>
        <w:t>testado</w:t>
      </w:r>
      <w:proofErr w:type="spellEnd"/>
      <w:r w:rsidRPr="00A3565D">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numPr>
          <w:ilvl w:val="0"/>
          <w:numId w:val="5"/>
        </w:numPr>
        <w:pBdr>
          <w:top w:val="nil"/>
          <w:left w:val="nil"/>
          <w:bottom w:val="nil"/>
          <w:right w:val="nil"/>
          <w:between w:val="nil"/>
        </w:pBdr>
        <w:spacing w:line="360" w:lineRule="auto"/>
        <w:jc w:val="center"/>
        <w:rPr>
          <w:rFonts w:ascii="Palatino Linotype" w:eastAsia="Palatino Linotype" w:hAnsi="Palatino Linotype" w:cs="Palatino Linotype"/>
          <w:b/>
        </w:rPr>
      </w:pPr>
      <w:r w:rsidRPr="00A3565D">
        <w:rPr>
          <w:rFonts w:ascii="Palatino Linotype" w:eastAsia="Palatino Linotype" w:hAnsi="Palatino Linotype" w:cs="Palatino Linotype"/>
          <w:b/>
        </w:rPr>
        <w:t>R E S U E L V E:</w:t>
      </w:r>
    </w:p>
    <w:p w:rsidR="00E810BA" w:rsidRPr="00A3565D" w:rsidRDefault="00E810BA">
      <w:pPr>
        <w:pBdr>
          <w:top w:val="nil"/>
          <w:left w:val="nil"/>
          <w:bottom w:val="nil"/>
          <w:right w:val="nil"/>
          <w:between w:val="nil"/>
        </w:pBdr>
        <w:spacing w:line="360" w:lineRule="auto"/>
        <w:rPr>
          <w:rFonts w:ascii="Palatino Linotype" w:eastAsia="Palatino Linotype" w:hAnsi="Palatino Linotype" w:cs="Palatino Linotype"/>
          <w:b/>
        </w:rPr>
      </w:pPr>
    </w:p>
    <w:p w:rsidR="00E810BA" w:rsidRPr="00A3565D" w:rsidRDefault="008F4367">
      <w:pPr>
        <w:spacing w:line="360" w:lineRule="auto"/>
        <w:jc w:val="both"/>
        <w:rPr>
          <w:rFonts w:ascii="Palatino Linotype" w:eastAsia="Palatino Linotype" w:hAnsi="Palatino Linotype" w:cs="Palatino Linotype"/>
          <w:b/>
        </w:rPr>
      </w:pPr>
      <w:r w:rsidRPr="00A3565D">
        <w:rPr>
          <w:rFonts w:ascii="Palatino Linotype" w:eastAsia="Palatino Linotype" w:hAnsi="Palatino Linotype" w:cs="Palatino Linotype"/>
          <w:b/>
        </w:rPr>
        <w:t xml:space="preserve">PRIMERO. </w:t>
      </w:r>
      <w:r w:rsidRPr="00A3565D">
        <w:rPr>
          <w:rFonts w:ascii="Palatino Linotype" w:eastAsia="Palatino Linotype" w:hAnsi="Palatino Linotype" w:cs="Palatino Linotype"/>
        </w:rPr>
        <w:t>Resultan</w:t>
      </w:r>
      <w:r w:rsidRPr="00A3565D">
        <w:rPr>
          <w:rFonts w:ascii="Palatino Linotype" w:eastAsia="Palatino Linotype" w:hAnsi="Palatino Linotype" w:cs="Palatino Linotype"/>
          <w:b/>
        </w:rPr>
        <w:t xml:space="preserve"> FUNDADOS</w:t>
      </w:r>
      <w:r w:rsidRPr="00A3565D">
        <w:rPr>
          <w:rFonts w:ascii="Palatino Linotype" w:eastAsia="Palatino Linotype" w:hAnsi="Palatino Linotype" w:cs="Palatino Linotype"/>
        </w:rPr>
        <w:t xml:space="preserve"> los motivos de inconformidad hechos valer por </w:t>
      </w:r>
      <w:r w:rsidRPr="00A3565D">
        <w:rPr>
          <w:rFonts w:ascii="Palatino Linotype" w:eastAsia="Palatino Linotype" w:hAnsi="Palatino Linotype" w:cs="Palatino Linotype"/>
          <w:b/>
        </w:rPr>
        <w:t xml:space="preserve">LA PARTE RECURRENTE </w:t>
      </w:r>
      <w:r w:rsidRPr="00A3565D">
        <w:rPr>
          <w:rFonts w:ascii="Palatino Linotype" w:eastAsia="Palatino Linotype" w:hAnsi="Palatino Linotype" w:cs="Palatino Linotype"/>
        </w:rPr>
        <w:t xml:space="preserve">en el recurso de revisión </w:t>
      </w:r>
      <w:r w:rsidRPr="00A3565D">
        <w:rPr>
          <w:rFonts w:ascii="Palatino Linotype" w:eastAsia="Palatino Linotype" w:hAnsi="Palatino Linotype" w:cs="Palatino Linotype"/>
          <w:b/>
        </w:rPr>
        <w:t xml:space="preserve">03304/INFOEM/IP/RR/2023, </w:t>
      </w:r>
      <w:r w:rsidRPr="00A3565D">
        <w:rPr>
          <w:rFonts w:ascii="Palatino Linotype" w:eastAsia="Palatino Linotype" w:hAnsi="Palatino Linotype" w:cs="Palatino Linotype"/>
        </w:rPr>
        <w:t xml:space="preserve">por lo que, en términos del </w:t>
      </w:r>
      <w:r w:rsidRPr="00A3565D">
        <w:rPr>
          <w:rFonts w:ascii="Palatino Linotype" w:eastAsia="Palatino Linotype" w:hAnsi="Palatino Linotype" w:cs="Palatino Linotype"/>
          <w:b/>
        </w:rPr>
        <w:t xml:space="preserve">CONSIDERANDO CUARTO </w:t>
      </w:r>
      <w:r w:rsidRPr="00A3565D">
        <w:rPr>
          <w:rFonts w:ascii="Palatino Linotype" w:eastAsia="Palatino Linotype" w:hAnsi="Palatino Linotype" w:cs="Palatino Linotype"/>
        </w:rPr>
        <w:t>de la presente resolución, se</w:t>
      </w:r>
      <w:r w:rsidRPr="00A3565D">
        <w:rPr>
          <w:rFonts w:ascii="Palatino Linotype" w:eastAsia="Palatino Linotype" w:hAnsi="Palatino Linotype" w:cs="Palatino Linotype"/>
          <w:b/>
        </w:rPr>
        <w:t xml:space="preserve"> MODIFICA </w:t>
      </w:r>
      <w:r w:rsidRPr="00A3565D">
        <w:rPr>
          <w:rFonts w:ascii="Palatino Linotype" w:eastAsia="Palatino Linotype" w:hAnsi="Palatino Linotype" w:cs="Palatino Linotype"/>
        </w:rPr>
        <w:t>la respuesta</w:t>
      </w:r>
      <w:r w:rsidRPr="00A3565D">
        <w:rPr>
          <w:rFonts w:ascii="Palatino Linotype" w:eastAsia="Palatino Linotype" w:hAnsi="Palatino Linotype" w:cs="Palatino Linotype"/>
          <w:b/>
        </w:rPr>
        <w:t xml:space="preserve"> </w:t>
      </w:r>
      <w:r w:rsidRPr="00A3565D">
        <w:rPr>
          <w:rFonts w:ascii="Palatino Linotype" w:eastAsia="Palatino Linotype" w:hAnsi="Palatino Linotype" w:cs="Palatino Linotype"/>
        </w:rPr>
        <w:t xml:space="preserve">del </w:t>
      </w:r>
      <w:r w:rsidRPr="00A3565D">
        <w:rPr>
          <w:rFonts w:ascii="Palatino Linotype" w:eastAsia="Palatino Linotype" w:hAnsi="Palatino Linotype" w:cs="Palatino Linotype"/>
          <w:b/>
        </w:rPr>
        <w:t>SUJETO OBLIGADO.</w:t>
      </w:r>
    </w:p>
    <w:p w:rsidR="00E810BA" w:rsidRPr="00A3565D" w:rsidRDefault="00E810BA">
      <w:pPr>
        <w:spacing w:line="360" w:lineRule="auto"/>
        <w:jc w:val="both"/>
        <w:rPr>
          <w:rFonts w:ascii="Palatino Linotype" w:eastAsia="Palatino Linotype" w:hAnsi="Palatino Linotype" w:cs="Palatino Linotype"/>
          <w:b/>
        </w:rPr>
      </w:pPr>
    </w:p>
    <w:p w:rsidR="00E810BA" w:rsidRPr="00A3565D" w:rsidRDefault="008F4367">
      <w:pPr>
        <w:spacing w:line="360" w:lineRule="auto"/>
        <w:jc w:val="both"/>
        <w:rPr>
          <w:rFonts w:ascii="Palatino Linotype" w:eastAsia="Palatino Linotype" w:hAnsi="Palatino Linotype" w:cs="Palatino Linotype"/>
        </w:rPr>
      </w:pPr>
      <w:bookmarkStart w:id="5" w:name="_heading=h.4d34og8" w:colFirst="0" w:colLast="0"/>
      <w:bookmarkEnd w:id="5"/>
      <w:r w:rsidRPr="00A3565D">
        <w:rPr>
          <w:rFonts w:ascii="Palatino Linotype" w:eastAsia="Palatino Linotype" w:hAnsi="Palatino Linotype" w:cs="Palatino Linotype"/>
          <w:b/>
        </w:rPr>
        <w:t xml:space="preserve">SEGUNDO. </w:t>
      </w:r>
      <w:r w:rsidRPr="00A3565D">
        <w:rPr>
          <w:rFonts w:ascii="Palatino Linotype" w:eastAsia="Palatino Linotype" w:hAnsi="Palatino Linotype" w:cs="Palatino Linotype"/>
        </w:rPr>
        <w:t xml:space="preserve">Se </w:t>
      </w:r>
      <w:r w:rsidRPr="00A3565D">
        <w:rPr>
          <w:rFonts w:ascii="Palatino Linotype" w:eastAsia="Palatino Linotype" w:hAnsi="Palatino Linotype" w:cs="Palatino Linotype"/>
          <w:b/>
        </w:rPr>
        <w:t>ORDENA</w:t>
      </w:r>
      <w:r w:rsidRPr="00A3565D">
        <w:rPr>
          <w:rFonts w:ascii="Palatino Linotype" w:eastAsia="Palatino Linotype" w:hAnsi="Palatino Linotype" w:cs="Palatino Linotype"/>
        </w:rPr>
        <w:t xml:space="preserve"> al </w:t>
      </w:r>
      <w:r w:rsidRPr="00A3565D">
        <w:rPr>
          <w:rFonts w:ascii="Palatino Linotype" w:eastAsia="Palatino Linotype" w:hAnsi="Palatino Linotype" w:cs="Palatino Linotype"/>
          <w:b/>
        </w:rPr>
        <w:t>SUJETO OBLIGADO</w:t>
      </w:r>
      <w:r w:rsidRPr="00A3565D">
        <w:rPr>
          <w:rFonts w:ascii="Palatino Linotype" w:eastAsia="Palatino Linotype" w:hAnsi="Palatino Linotype" w:cs="Palatino Linotype"/>
        </w:rPr>
        <w:t xml:space="preserve">, en términos de los </w:t>
      </w:r>
      <w:r w:rsidRPr="00A3565D">
        <w:rPr>
          <w:rFonts w:ascii="Palatino Linotype" w:eastAsia="Palatino Linotype" w:hAnsi="Palatino Linotype" w:cs="Palatino Linotype"/>
          <w:b/>
        </w:rPr>
        <w:t xml:space="preserve">CONSIDERANDOS CUARTO </w:t>
      </w:r>
      <w:r w:rsidRPr="00A3565D">
        <w:rPr>
          <w:rFonts w:ascii="Palatino Linotype" w:eastAsia="Palatino Linotype" w:hAnsi="Palatino Linotype" w:cs="Palatino Linotype"/>
        </w:rPr>
        <w:t>y</w:t>
      </w:r>
      <w:r w:rsidRPr="00A3565D">
        <w:rPr>
          <w:rFonts w:ascii="Palatino Linotype" w:eastAsia="Palatino Linotype" w:hAnsi="Palatino Linotype" w:cs="Palatino Linotype"/>
          <w:b/>
        </w:rPr>
        <w:t xml:space="preserve"> QUINTO </w:t>
      </w:r>
      <w:r w:rsidRPr="00A3565D">
        <w:rPr>
          <w:rFonts w:ascii="Palatino Linotype" w:eastAsia="Palatino Linotype" w:hAnsi="Palatino Linotype" w:cs="Palatino Linotype"/>
        </w:rPr>
        <w:t xml:space="preserve">de esta resolución, haga entrega, vía SAIMEX, en versión pública, del: </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numPr>
          <w:ilvl w:val="0"/>
          <w:numId w:val="6"/>
        </w:numPr>
        <w:pBdr>
          <w:top w:val="nil"/>
          <w:left w:val="nil"/>
          <w:bottom w:val="nil"/>
          <w:right w:val="nil"/>
          <w:between w:val="nil"/>
        </w:pBdr>
        <w:spacing w:line="360" w:lineRule="auto"/>
        <w:ind w:left="851" w:right="851"/>
        <w:jc w:val="both"/>
        <w:rPr>
          <w:rFonts w:ascii="Palatino Linotype" w:eastAsia="Palatino Linotype" w:hAnsi="Palatino Linotype" w:cs="Palatino Linotype"/>
        </w:rPr>
      </w:pPr>
      <w:bookmarkStart w:id="6" w:name="_heading=h.1fob9te" w:colFirst="0" w:colLast="0"/>
      <w:bookmarkEnd w:id="6"/>
      <w:r w:rsidRPr="00A3565D">
        <w:t>Documento donde conste la nómina de todo el personal adscrito al Ayuntamiento de Nicolás Romero de la primera quincena de mayo de dos mil veintitrés.</w:t>
      </w:r>
    </w:p>
    <w:p w:rsidR="00E810BA" w:rsidRPr="00A3565D" w:rsidRDefault="00E810BA">
      <w:pPr>
        <w:pBdr>
          <w:top w:val="nil"/>
          <w:left w:val="nil"/>
          <w:bottom w:val="nil"/>
          <w:right w:val="nil"/>
          <w:between w:val="nil"/>
        </w:pBdr>
        <w:spacing w:line="360" w:lineRule="auto"/>
        <w:ind w:left="720" w:right="851" w:hanging="360"/>
        <w:jc w:val="both"/>
        <w:rPr>
          <w:rFonts w:ascii="Palatino Linotype" w:eastAsia="Palatino Linotype" w:hAnsi="Palatino Linotype" w:cs="Palatino Linotype"/>
          <w:i/>
        </w:rPr>
      </w:pPr>
    </w:p>
    <w:p w:rsidR="00E810BA" w:rsidRPr="00A3565D" w:rsidRDefault="008F4367">
      <w:pPr>
        <w:pBdr>
          <w:top w:val="nil"/>
          <w:left w:val="nil"/>
          <w:bottom w:val="nil"/>
          <w:right w:val="nil"/>
          <w:between w:val="nil"/>
        </w:pBdr>
        <w:spacing w:line="360" w:lineRule="auto"/>
        <w:ind w:left="490" w:right="851"/>
        <w:jc w:val="both"/>
        <w:rPr>
          <w:rFonts w:ascii="Palatino Linotype" w:eastAsia="Palatino Linotype" w:hAnsi="Palatino Linotype" w:cs="Palatino Linotype"/>
          <w:i/>
        </w:rPr>
      </w:pPr>
      <w:r w:rsidRPr="00A3565D">
        <w:rPr>
          <w:rFonts w:ascii="Palatino Linotype" w:eastAsia="Palatino Linotype" w:hAnsi="Palatino Linotype" w:cs="Palatino Linotype"/>
          <w:i/>
          <w:sz w:val="22"/>
          <w:szCs w:val="22"/>
        </w:rPr>
        <w:t xml:space="preserve">Debiendo acompañar con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A3565D">
        <w:rPr>
          <w:rFonts w:ascii="Palatino Linotype" w:eastAsia="Palatino Linotype" w:hAnsi="Palatino Linotype" w:cs="Palatino Linotype"/>
          <w:b/>
          <w:i/>
          <w:sz w:val="22"/>
          <w:szCs w:val="22"/>
        </w:rPr>
        <w:t>LA PARTE RECURRENTE,</w:t>
      </w:r>
      <w:r w:rsidRPr="00A3565D">
        <w:rPr>
          <w:rFonts w:ascii="Palatino Linotype" w:eastAsia="Palatino Linotype" w:hAnsi="Palatino Linotype" w:cs="Palatino Linotype"/>
          <w:i/>
          <w:sz w:val="22"/>
          <w:szCs w:val="22"/>
        </w:rPr>
        <w:t xml:space="preserve"> mismo que igualmente hará de su conocimiento.</w:t>
      </w:r>
    </w:p>
    <w:p w:rsidR="00E810BA" w:rsidRPr="00A3565D" w:rsidRDefault="00E810B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E810BA" w:rsidRPr="00A3565D" w:rsidRDefault="008F4367">
      <w:pPr>
        <w:spacing w:line="360" w:lineRule="auto"/>
        <w:jc w:val="both"/>
        <w:rPr>
          <w:rFonts w:ascii="Palatino Linotype" w:eastAsia="Palatino Linotype" w:hAnsi="Palatino Linotype" w:cs="Palatino Linotype"/>
          <w:b/>
        </w:rPr>
      </w:pPr>
      <w:r w:rsidRPr="00A3565D">
        <w:rPr>
          <w:rFonts w:ascii="Palatino Linotype" w:eastAsia="Palatino Linotype" w:hAnsi="Palatino Linotype" w:cs="Palatino Linotype"/>
          <w:b/>
        </w:rPr>
        <w:t xml:space="preserve">TERCERO. NOTIFÍQUESE, </w:t>
      </w:r>
      <w:r w:rsidRPr="00A3565D">
        <w:rPr>
          <w:rFonts w:ascii="Palatino Linotype" w:eastAsia="Palatino Linotype" w:hAnsi="Palatino Linotype" w:cs="Palatino Linotype"/>
        </w:rPr>
        <w:t xml:space="preserve">vía SAIMEX, a la Persona Titular de la Unidad de Transparencia del </w:t>
      </w:r>
      <w:r w:rsidRPr="00A3565D">
        <w:rPr>
          <w:rFonts w:ascii="Palatino Linotype" w:eastAsia="Palatino Linotype" w:hAnsi="Palatino Linotype" w:cs="Palatino Linotype"/>
          <w:b/>
        </w:rPr>
        <w:t>SUJETO OBLIGADO,</w:t>
      </w:r>
      <w:r w:rsidRPr="00A3565D">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8F4367">
      <w:pPr>
        <w:pBdr>
          <w:top w:val="nil"/>
          <w:left w:val="nil"/>
          <w:bottom w:val="nil"/>
          <w:right w:val="nil"/>
          <w:between w:val="nil"/>
        </w:pBdr>
        <w:spacing w:line="360" w:lineRule="auto"/>
        <w:jc w:val="both"/>
        <w:rPr>
          <w:rFonts w:ascii="Palatino Linotype" w:eastAsia="Palatino Linotype" w:hAnsi="Palatino Linotype" w:cs="Palatino Linotype"/>
          <w:b/>
        </w:rPr>
      </w:pPr>
      <w:r w:rsidRPr="00A3565D">
        <w:rPr>
          <w:rFonts w:ascii="Palatino Linotype" w:eastAsia="Palatino Linotype" w:hAnsi="Palatino Linotype" w:cs="Palatino Linotype"/>
          <w:b/>
        </w:rPr>
        <w:t xml:space="preserve">CUARTO. </w:t>
      </w:r>
      <w:r w:rsidRPr="00A3565D">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A3565D">
        <w:rPr>
          <w:rFonts w:ascii="Palatino Linotype" w:eastAsia="Palatino Linotype" w:hAnsi="Palatino Linotype" w:cs="Palatino Linotype"/>
        </w:rPr>
        <w:lastRenderedPageBreak/>
        <w:t xml:space="preserve">procedente, </w:t>
      </w:r>
      <w:r w:rsidRPr="00A3565D">
        <w:rPr>
          <w:rFonts w:ascii="Palatino Linotype" w:eastAsia="Palatino Linotype" w:hAnsi="Palatino Linotype" w:cs="Palatino Linotype"/>
          <w:b/>
        </w:rPr>
        <w:t>EL SUJETO OBLIGADO</w:t>
      </w:r>
      <w:r w:rsidRPr="00A3565D">
        <w:rPr>
          <w:rFonts w:ascii="Palatino Linotype" w:eastAsia="Palatino Linotype" w:hAnsi="Palatino Linotype" w:cs="Palatino Linotype"/>
        </w:rPr>
        <w:t xml:space="preserve"> de manera fundada y motivada, podrá solicitar una ampliación de plazo para el cumplimiento de la presente resolución.</w:t>
      </w:r>
    </w:p>
    <w:p w:rsidR="00E810BA" w:rsidRPr="00A3565D" w:rsidRDefault="00E810BA">
      <w:pPr>
        <w:pBdr>
          <w:top w:val="nil"/>
          <w:left w:val="nil"/>
          <w:bottom w:val="nil"/>
          <w:right w:val="nil"/>
          <w:between w:val="nil"/>
        </w:pBdr>
        <w:spacing w:line="360" w:lineRule="auto"/>
        <w:jc w:val="both"/>
        <w:rPr>
          <w:rFonts w:ascii="Palatino Linotype" w:eastAsia="Palatino Linotype" w:hAnsi="Palatino Linotype" w:cs="Palatino Linotype"/>
          <w:b/>
        </w:rPr>
      </w:pPr>
    </w:p>
    <w:p w:rsidR="00E810BA" w:rsidRPr="00A3565D" w:rsidRDefault="008F4367">
      <w:pPr>
        <w:pBdr>
          <w:top w:val="nil"/>
          <w:left w:val="nil"/>
          <w:bottom w:val="nil"/>
          <w:right w:val="nil"/>
          <w:between w:val="nil"/>
        </w:pBdr>
        <w:spacing w:line="360" w:lineRule="auto"/>
        <w:jc w:val="both"/>
        <w:rPr>
          <w:rFonts w:ascii="Palatino Linotype" w:eastAsia="Palatino Linotype" w:hAnsi="Palatino Linotype" w:cs="Palatino Linotype"/>
        </w:rPr>
      </w:pPr>
      <w:r w:rsidRPr="00A3565D">
        <w:rPr>
          <w:rFonts w:ascii="Palatino Linotype" w:eastAsia="Palatino Linotype" w:hAnsi="Palatino Linotype" w:cs="Palatino Linotype"/>
          <w:b/>
        </w:rPr>
        <w:t xml:space="preserve">QUINTO. </w:t>
      </w:r>
      <w:r w:rsidRPr="00A3565D">
        <w:rPr>
          <w:rFonts w:ascii="Palatino Linotype" w:eastAsia="Palatino Linotype" w:hAnsi="Palatino Linotype" w:cs="Palatino Linotype"/>
        </w:rPr>
        <w:t>Notifíquese vía SAIMEX,</w:t>
      </w:r>
      <w:r w:rsidRPr="00A3565D">
        <w:rPr>
          <w:rFonts w:ascii="Palatino Linotype" w:eastAsia="Palatino Linotype" w:hAnsi="Palatino Linotype" w:cs="Palatino Linotype"/>
          <w:b/>
        </w:rPr>
        <w:t xml:space="preserve"> </w:t>
      </w:r>
      <w:r w:rsidRPr="00A3565D">
        <w:rPr>
          <w:rFonts w:ascii="Palatino Linotype" w:eastAsia="Palatino Linotype" w:hAnsi="Palatino Linotype" w:cs="Palatino Linotype"/>
        </w:rPr>
        <w:t xml:space="preserve">a </w:t>
      </w:r>
      <w:r w:rsidRPr="00A3565D">
        <w:rPr>
          <w:rFonts w:ascii="Palatino Linotype" w:eastAsia="Palatino Linotype" w:hAnsi="Palatino Linotype" w:cs="Palatino Linotype"/>
          <w:b/>
        </w:rPr>
        <w:t>LA PARTE</w:t>
      </w:r>
      <w:r w:rsidRPr="00A3565D">
        <w:rPr>
          <w:rFonts w:ascii="Palatino Linotype" w:eastAsia="Palatino Linotype" w:hAnsi="Palatino Linotype" w:cs="Palatino Linotype"/>
        </w:rPr>
        <w:t xml:space="preserve"> </w:t>
      </w:r>
      <w:r w:rsidRPr="00A3565D">
        <w:rPr>
          <w:rFonts w:ascii="Palatino Linotype" w:eastAsia="Palatino Linotype" w:hAnsi="Palatino Linotype" w:cs="Palatino Linotype"/>
          <w:b/>
        </w:rPr>
        <w:t>RECURRENTE</w:t>
      </w:r>
      <w:r w:rsidRPr="00A3565D">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E810BA" w:rsidRPr="00A3565D" w:rsidRDefault="00E810BA">
      <w:pPr>
        <w:spacing w:line="360" w:lineRule="auto"/>
        <w:jc w:val="both"/>
        <w:rPr>
          <w:rFonts w:ascii="Palatino Linotype" w:eastAsia="Palatino Linotype" w:hAnsi="Palatino Linotype" w:cs="Palatino Linotype"/>
          <w:b/>
        </w:rPr>
      </w:pPr>
    </w:p>
    <w:p w:rsidR="00E810BA" w:rsidRPr="00A3565D" w:rsidRDefault="008F4367">
      <w:pPr>
        <w:spacing w:line="360" w:lineRule="auto"/>
        <w:jc w:val="both"/>
        <w:rPr>
          <w:rFonts w:ascii="Palatino Linotype" w:eastAsia="Palatino Linotype" w:hAnsi="Palatino Linotype" w:cs="Palatino Linotype"/>
        </w:rPr>
      </w:pPr>
      <w:bookmarkStart w:id="7" w:name="_heading=h.2et92p0" w:colFirst="0" w:colLast="0"/>
      <w:bookmarkEnd w:id="7"/>
      <w:r w:rsidRPr="00A3565D">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7772CB" w:rsidRPr="00A3565D">
        <w:rPr>
          <w:rFonts w:ascii="Palatino Linotype" w:eastAsia="Palatino Linotype" w:hAnsi="Palatino Linotype" w:cs="Palatino Linotype"/>
        </w:rPr>
        <w:t xml:space="preserve"> EMITIENDO VOTO PARTICULAR</w:t>
      </w:r>
      <w:r w:rsidRPr="00A3565D">
        <w:rPr>
          <w:rFonts w:ascii="Palatino Linotype" w:eastAsia="Palatino Linotype" w:hAnsi="Palatino Linotype" w:cs="Palatino Linotype"/>
        </w:rPr>
        <w:t>, SHARON CRISTINA MORALES MARTÍNEZ, LUIS GUSTAVO PARRA NORIEGA</w:t>
      </w:r>
      <w:r w:rsidR="007772CB" w:rsidRPr="00A3565D">
        <w:rPr>
          <w:rFonts w:ascii="Palatino Linotype" w:eastAsia="Palatino Linotype" w:hAnsi="Palatino Linotype" w:cs="Palatino Linotype"/>
        </w:rPr>
        <w:t xml:space="preserve"> EMITIENDO VOTO PARTICULAR</w:t>
      </w:r>
      <w:r w:rsidRPr="00A3565D">
        <w:rPr>
          <w:rFonts w:ascii="Palatino Linotype" w:eastAsia="Palatino Linotype" w:hAnsi="Palatino Linotype" w:cs="Palatino Linotype"/>
        </w:rPr>
        <w:t xml:space="preserve"> Y GUADALUPE RAMÍREZ PEÑA</w:t>
      </w:r>
      <w:r w:rsidR="007772CB" w:rsidRPr="00A3565D">
        <w:rPr>
          <w:rFonts w:ascii="Palatino Linotype" w:eastAsia="Palatino Linotype" w:hAnsi="Palatino Linotype" w:cs="Palatino Linotype"/>
        </w:rPr>
        <w:t xml:space="preserve"> EMITIENDO VOTO PARTICULAR</w:t>
      </w:r>
      <w:r w:rsidRPr="00A3565D">
        <w:rPr>
          <w:rFonts w:ascii="Palatino Linotype" w:eastAsia="Palatino Linotype" w:hAnsi="Palatino Linotype" w:cs="Palatino Linotype"/>
        </w:rPr>
        <w:t>; EN LA TRIGÉSIMA OCTAVA SESIÓN ORDINARIA, CELEBRADA EL VEINTICINCO DE OCTUBRE DE DOS MIL VEINTITRÉS, ANTE EL SECRETARIO TÉCNICO DEL PLENO ALEXIS TAPIA RAMÍREZ.</w:t>
      </w: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E810BA">
      <w:pPr>
        <w:spacing w:line="360" w:lineRule="auto"/>
        <w:jc w:val="both"/>
        <w:rPr>
          <w:rFonts w:ascii="Palatino Linotype" w:eastAsia="Palatino Linotype" w:hAnsi="Palatino Linotype" w:cs="Palatino Linotype"/>
        </w:rPr>
      </w:pPr>
    </w:p>
    <w:p w:rsidR="00E810BA" w:rsidRPr="00A3565D" w:rsidRDefault="00E810BA">
      <w:pPr>
        <w:spacing w:line="360" w:lineRule="auto"/>
        <w:jc w:val="both"/>
        <w:rPr>
          <w:rFonts w:ascii="Palatino Linotype" w:eastAsia="Palatino Linotype" w:hAnsi="Palatino Linotype" w:cs="Palatino Linotype"/>
        </w:rPr>
      </w:pPr>
    </w:p>
    <w:sectPr w:rsidR="00E810BA" w:rsidRPr="00A3565D">
      <w:headerReference w:type="default" r:id="rId26"/>
      <w:footerReference w:type="default" r:id="rId27"/>
      <w:headerReference w:type="first" r:id="rId28"/>
      <w:footerReference w:type="first" r:id="rId2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72E" w:rsidRDefault="0074572E">
      <w:r>
        <w:separator/>
      </w:r>
    </w:p>
  </w:endnote>
  <w:endnote w:type="continuationSeparator" w:id="0">
    <w:p w:rsidR="0074572E" w:rsidRDefault="00745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0BA" w:rsidRDefault="008F436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646E8">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646E8">
      <w:rPr>
        <w:rFonts w:ascii="Palatino Linotype" w:eastAsia="Palatino Linotype" w:hAnsi="Palatino Linotype" w:cs="Palatino Linotype"/>
        <w:b/>
        <w:noProof/>
        <w:color w:val="000000"/>
        <w:sz w:val="20"/>
        <w:szCs w:val="20"/>
      </w:rPr>
      <w:t>78</w:t>
    </w:r>
    <w:r>
      <w:rPr>
        <w:rFonts w:ascii="Palatino Linotype" w:eastAsia="Palatino Linotype" w:hAnsi="Palatino Linotype" w:cs="Palatino Linotype"/>
        <w:b/>
        <w:color w:val="000000"/>
        <w:sz w:val="20"/>
        <w:szCs w:val="20"/>
      </w:rPr>
      <w:fldChar w:fldCharType="end"/>
    </w:r>
  </w:p>
  <w:p w:rsidR="00E810BA" w:rsidRDefault="00E810B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0BA" w:rsidRDefault="008F436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646E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646E8">
      <w:rPr>
        <w:rFonts w:ascii="Palatino Linotype" w:eastAsia="Palatino Linotype" w:hAnsi="Palatino Linotype" w:cs="Palatino Linotype"/>
        <w:b/>
        <w:noProof/>
        <w:color w:val="000000"/>
        <w:sz w:val="20"/>
        <w:szCs w:val="20"/>
      </w:rPr>
      <w:t>78</w:t>
    </w:r>
    <w:r>
      <w:rPr>
        <w:rFonts w:ascii="Palatino Linotype" w:eastAsia="Palatino Linotype" w:hAnsi="Palatino Linotype" w:cs="Palatino Linotype"/>
        <w:b/>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72E" w:rsidRDefault="0074572E">
      <w:r>
        <w:separator/>
      </w:r>
    </w:p>
  </w:footnote>
  <w:footnote w:type="continuationSeparator" w:id="0">
    <w:p w:rsidR="0074572E" w:rsidRDefault="0074572E">
      <w:r>
        <w:continuationSeparator/>
      </w:r>
    </w:p>
  </w:footnote>
  <w:footnote w:id="1">
    <w:p w:rsidR="00E810BA" w:rsidRDefault="008F436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0BA" w:rsidRDefault="008F4367">
    <w:pPr>
      <w:rPr>
        <w:rFonts w:ascii="Cambria" w:eastAsia="Cambria" w:hAnsi="Cambria" w:cs="Cambria"/>
      </w:rPr>
    </w:pPr>
    <w:r>
      <w:rPr>
        <w:noProof/>
      </w:rPr>
      <w:drawing>
        <wp:anchor distT="0" distB="0" distL="0" distR="0" simplePos="0" relativeHeight="251658240" behindDoc="1" locked="0" layoutInCell="1" hidden="0" allowOverlap="1">
          <wp:simplePos x="0" y="0"/>
          <wp:positionH relativeFrom="column">
            <wp:posOffset>-1079497</wp:posOffset>
          </wp:positionH>
          <wp:positionV relativeFrom="paragraph">
            <wp:posOffset>-430527</wp:posOffset>
          </wp:positionV>
          <wp:extent cx="7809865" cy="10165715"/>
          <wp:effectExtent l="0" t="0" r="0" b="0"/>
          <wp:wrapNone/>
          <wp:docPr id="8610319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6242" w:type="dxa"/>
      <w:tblInd w:w="2972" w:type="dxa"/>
      <w:tblLayout w:type="fixed"/>
      <w:tblLook w:val="0400" w:firstRow="0" w:lastRow="0" w:firstColumn="0" w:lastColumn="0" w:noHBand="0" w:noVBand="1"/>
    </w:tblPr>
    <w:tblGrid>
      <w:gridCol w:w="2410"/>
      <w:gridCol w:w="3832"/>
    </w:tblGrid>
    <w:tr w:rsidR="00E810BA">
      <w:tc>
        <w:tcPr>
          <w:tcW w:w="2410" w:type="dxa"/>
          <w:shd w:val="clear" w:color="auto" w:fill="auto"/>
        </w:tcPr>
        <w:p w:rsidR="00E810BA" w:rsidRDefault="008F436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32" w:type="dxa"/>
          <w:shd w:val="clear" w:color="auto" w:fill="auto"/>
          <w:vAlign w:val="center"/>
        </w:tcPr>
        <w:p w:rsidR="00E810BA" w:rsidRDefault="008F436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03304/INFOEM/IP/RR/2023</w:t>
          </w:r>
        </w:p>
      </w:tc>
    </w:tr>
    <w:tr w:rsidR="00E810BA">
      <w:trPr>
        <w:trHeight w:val="228"/>
      </w:trPr>
      <w:tc>
        <w:tcPr>
          <w:tcW w:w="2410" w:type="dxa"/>
          <w:shd w:val="clear" w:color="auto" w:fill="auto"/>
          <w:vAlign w:val="center"/>
        </w:tcPr>
        <w:p w:rsidR="00E810BA" w:rsidRDefault="008F436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32" w:type="dxa"/>
          <w:shd w:val="clear" w:color="auto" w:fill="auto"/>
          <w:vAlign w:val="center"/>
        </w:tcPr>
        <w:p w:rsidR="00E810BA" w:rsidRDefault="008F4367">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Nicolás Romero</w:t>
          </w:r>
        </w:p>
      </w:tc>
    </w:tr>
    <w:tr w:rsidR="00E810BA">
      <w:tc>
        <w:tcPr>
          <w:tcW w:w="2410" w:type="dxa"/>
          <w:shd w:val="clear" w:color="auto" w:fill="auto"/>
          <w:vAlign w:val="center"/>
        </w:tcPr>
        <w:p w:rsidR="00E810BA" w:rsidRDefault="008F436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32" w:type="dxa"/>
          <w:shd w:val="clear" w:color="auto" w:fill="auto"/>
          <w:vAlign w:val="center"/>
        </w:tcPr>
        <w:p w:rsidR="00E810BA" w:rsidRDefault="008F436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E810BA" w:rsidRDefault="008F4367">
    <w:pPr>
      <w:rPr>
        <w:rFonts w:ascii="Cambria" w:eastAsia="Cambria" w:hAnsi="Cambria" w:cs="Cambria"/>
      </w:rPr>
    </w:pPr>
    <w:r>
      <w:rPr>
        <w:rFonts w:ascii="Cambria" w:eastAsia="Cambria" w:hAnsi="Cambria" w:cs="Cambr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0BA" w:rsidRDefault="008F436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-1089022</wp:posOffset>
          </wp:positionH>
          <wp:positionV relativeFrom="paragraph">
            <wp:posOffset>-459737</wp:posOffset>
          </wp:positionV>
          <wp:extent cx="7809865" cy="10165715"/>
          <wp:effectExtent l="0" t="0" r="0" b="0"/>
          <wp:wrapNone/>
          <wp:docPr id="8610319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6"/>
      <w:tblW w:w="6379" w:type="dxa"/>
      <w:tblInd w:w="2547" w:type="dxa"/>
      <w:tblLayout w:type="fixed"/>
      <w:tblLook w:val="0400" w:firstRow="0" w:lastRow="0" w:firstColumn="0" w:lastColumn="0" w:noHBand="0" w:noVBand="1"/>
    </w:tblPr>
    <w:tblGrid>
      <w:gridCol w:w="2551"/>
      <w:gridCol w:w="3828"/>
    </w:tblGrid>
    <w:tr w:rsidR="00E810BA">
      <w:trPr>
        <w:trHeight w:val="213"/>
      </w:trPr>
      <w:tc>
        <w:tcPr>
          <w:tcW w:w="2551" w:type="dxa"/>
          <w:shd w:val="clear" w:color="auto" w:fill="auto"/>
          <w:vAlign w:val="center"/>
        </w:tcPr>
        <w:p w:rsidR="00E810BA" w:rsidRDefault="008F436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8" w:type="dxa"/>
          <w:shd w:val="clear" w:color="auto" w:fill="auto"/>
          <w:vAlign w:val="center"/>
        </w:tcPr>
        <w:p w:rsidR="00E810BA" w:rsidRDefault="008F4367">
          <w:pPr>
            <w:tabs>
              <w:tab w:val="left" w:pos="3153"/>
            </w:tabs>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03304/INFOEM/IP/RR/2023</w:t>
          </w:r>
        </w:p>
      </w:tc>
    </w:tr>
    <w:tr w:rsidR="00E810BA">
      <w:trPr>
        <w:trHeight w:val="91"/>
      </w:trPr>
      <w:tc>
        <w:tcPr>
          <w:tcW w:w="2551" w:type="dxa"/>
          <w:shd w:val="clear" w:color="auto" w:fill="auto"/>
          <w:vAlign w:val="center"/>
        </w:tcPr>
        <w:p w:rsidR="00E810BA" w:rsidRDefault="008F436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828" w:type="dxa"/>
          <w:shd w:val="clear" w:color="auto" w:fill="FFFFFF"/>
          <w:vAlign w:val="center"/>
        </w:tcPr>
        <w:p w:rsidR="00E810BA" w:rsidRDefault="00E810BA">
          <w:pPr>
            <w:jc w:val="both"/>
            <w:rPr>
              <w:rFonts w:ascii="Palatino Linotype" w:eastAsia="Palatino Linotype" w:hAnsi="Palatino Linotype" w:cs="Palatino Linotype"/>
              <w:b/>
              <w:sz w:val="22"/>
              <w:szCs w:val="22"/>
            </w:rPr>
          </w:pPr>
        </w:p>
      </w:tc>
    </w:tr>
    <w:tr w:rsidR="00E810BA">
      <w:trPr>
        <w:trHeight w:val="161"/>
      </w:trPr>
      <w:tc>
        <w:tcPr>
          <w:tcW w:w="2551" w:type="dxa"/>
          <w:shd w:val="clear" w:color="auto" w:fill="auto"/>
          <w:vAlign w:val="center"/>
        </w:tcPr>
        <w:p w:rsidR="00E810BA" w:rsidRDefault="008F436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8" w:type="dxa"/>
          <w:shd w:val="clear" w:color="auto" w:fill="auto"/>
          <w:vAlign w:val="center"/>
        </w:tcPr>
        <w:p w:rsidR="00E810BA" w:rsidRDefault="008F4367">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Nicolás Romero</w:t>
          </w:r>
        </w:p>
      </w:tc>
    </w:tr>
    <w:tr w:rsidR="00E810BA">
      <w:trPr>
        <w:trHeight w:val="102"/>
      </w:trPr>
      <w:tc>
        <w:tcPr>
          <w:tcW w:w="2551" w:type="dxa"/>
          <w:shd w:val="clear" w:color="auto" w:fill="auto"/>
          <w:vAlign w:val="center"/>
        </w:tcPr>
        <w:p w:rsidR="00E810BA" w:rsidRDefault="008F436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8" w:type="dxa"/>
          <w:shd w:val="clear" w:color="auto" w:fill="auto"/>
          <w:vAlign w:val="center"/>
        </w:tcPr>
        <w:p w:rsidR="00E810BA" w:rsidRDefault="008F436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E810BA" w:rsidRDefault="00E810B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83CCB"/>
    <w:multiLevelType w:val="multilevel"/>
    <w:tmpl w:val="FB184A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60F28E7"/>
    <w:multiLevelType w:val="multilevel"/>
    <w:tmpl w:val="DC843C1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0FAF6651"/>
    <w:multiLevelType w:val="multilevel"/>
    <w:tmpl w:val="F3268080"/>
    <w:lvl w:ilvl="0">
      <w:start w:val="3"/>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180056A"/>
    <w:multiLevelType w:val="multilevel"/>
    <w:tmpl w:val="C486005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5424AFC"/>
    <w:multiLevelType w:val="multilevel"/>
    <w:tmpl w:val="E0EECBB2"/>
    <w:lvl w:ilvl="0">
      <w:start w:val="1"/>
      <w:numFmt w:val="decimal"/>
      <w:lvlText w:val="%1."/>
      <w:lvlJc w:val="left"/>
      <w:pPr>
        <w:ind w:left="720" w:hanging="360"/>
      </w:pPr>
      <w:rPr>
        <w:rFonts w:ascii="Arial" w:eastAsia="Arial" w:hAnsi="Arial" w:cs="Arial"/>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0C370F5"/>
    <w:multiLevelType w:val="multilevel"/>
    <w:tmpl w:val="4CFCE9C6"/>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82F6705"/>
    <w:multiLevelType w:val="multilevel"/>
    <w:tmpl w:val="FDCC1C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5"/>
  </w:num>
  <w:num w:numId="3">
    <w:abstractNumId w:val="0"/>
  </w:num>
  <w:num w:numId="4">
    <w:abstractNumId w:val="6"/>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0BA"/>
    <w:rsid w:val="001144BA"/>
    <w:rsid w:val="00437B45"/>
    <w:rsid w:val="006A7EEC"/>
    <w:rsid w:val="0074572E"/>
    <w:rsid w:val="007772CB"/>
    <w:rsid w:val="008F4367"/>
    <w:rsid w:val="00A3565D"/>
    <w:rsid w:val="00AB7541"/>
    <w:rsid w:val="00B646E8"/>
    <w:rsid w:val="00E810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D5B6AC-E707-4C27-BF11-8CA7AAD5B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6F3"/>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1"/>
    <w:tblPr>
      <w:tblStyleRowBandSize w:val="1"/>
      <w:tblStyleColBandSize w:val="1"/>
      <w:tblCellMar>
        <w:top w:w="0" w:type="dxa"/>
        <w:left w:w="115" w:type="dxa"/>
        <w:bottom w:w="0" w:type="dxa"/>
        <w:right w:w="115" w:type="dxa"/>
      </w:tblCellMar>
    </w:tblPr>
  </w:style>
  <w:style w:type="table" w:customStyle="1" w:styleId="9">
    <w:name w:val="9"/>
    <w:basedOn w:val="TableNormal11"/>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1"/>
    <w:tblPr>
      <w:tblStyleRowBandSize w:val="1"/>
      <w:tblStyleColBandSize w:val="1"/>
      <w:tblCellMar>
        <w:top w:w="0" w:type="dxa"/>
        <w:left w:w="115" w:type="dxa"/>
        <w:bottom w:w="0" w:type="dxa"/>
        <w:right w:w="115" w:type="dxa"/>
      </w:tblCellMar>
    </w:tblPr>
  </w:style>
  <w:style w:type="table" w:customStyle="1" w:styleId="7">
    <w:name w:val="7"/>
    <w:basedOn w:val="TableNormal11"/>
    <w:tblPr>
      <w:tblStyleRowBandSize w:val="1"/>
      <w:tblStyleColBandSize w:val="1"/>
      <w:tblCellMar>
        <w:top w:w="0" w:type="dxa"/>
        <w:left w:w="115" w:type="dxa"/>
        <w:bottom w:w="0" w:type="dxa"/>
        <w:right w:w="115" w:type="dxa"/>
      </w:tblCellMar>
    </w:tblPr>
  </w:style>
  <w:style w:type="table" w:customStyle="1" w:styleId="6">
    <w:name w:val="6"/>
    <w:basedOn w:val="TableNormal20"/>
    <w:tblPr>
      <w:tblStyleRowBandSize w:val="1"/>
      <w:tblStyleColBandSize w:val="1"/>
      <w:tblCellMar>
        <w:top w:w="0" w:type="dxa"/>
        <w:left w:w="115" w:type="dxa"/>
        <w:bottom w:w="0" w:type="dxa"/>
        <w:right w:w="115" w:type="dxa"/>
      </w:tblCellMar>
    </w:tblPr>
  </w:style>
  <w:style w:type="table" w:customStyle="1" w:styleId="5">
    <w:name w:val="5"/>
    <w:basedOn w:val="TableNormal20"/>
    <w:tblPr>
      <w:tblStyleRowBandSize w:val="1"/>
      <w:tblStyleColBandSize w:val="1"/>
      <w:tblCellMar>
        <w:top w:w="0" w:type="dxa"/>
        <w:left w:w="115" w:type="dxa"/>
        <w:bottom w:w="0" w:type="dxa"/>
        <w:right w:w="115" w:type="dxa"/>
      </w:tblCellMar>
    </w:tblPr>
  </w:style>
  <w:style w:type="table" w:customStyle="1" w:styleId="4">
    <w:name w:val="4"/>
    <w:basedOn w:val="TableNormal30"/>
    <w:tblPr>
      <w:tblStyleRowBandSize w:val="1"/>
      <w:tblStyleColBandSize w:val="1"/>
      <w:tblCellMar>
        <w:top w:w="0" w:type="dxa"/>
        <w:left w:w="115" w:type="dxa"/>
        <w:bottom w:w="0" w:type="dxa"/>
        <w:right w:w="115" w:type="dxa"/>
      </w:tblCellMar>
    </w:tblPr>
  </w:style>
  <w:style w:type="table" w:customStyle="1" w:styleId="3">
    <w:name w:val="3"/>
    <w:basedOn w:val="TableNormal30"/>
    <w:tblPr>
      <w:tblStyleRowBandSize w:val="1"/>
      <w:tblStyleColBandSize w:val="1"/>
      <w:tblCellMar>
        <w:top w:w="0" w:type="dxa"/>
        <w:left w:w="115" w:type="dxa"/>
        <w:bottom w:w="0"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0"/>
    <w:tblPr>
      <w:tblStyleRowBandSize w:val="1"/>
      <w:tblStyleColBandSize w:val="1"/>
      <w:tblCellMar>
        <w:top w:w="0" w:type="dxa"/>
        <w:left w:w="115" w:type="dxa"/>
        <w:bottom w:w="0" w:type="dxa"/>
        <w:right w:w="115" w:type="dxa"/>
      </w:tblCellMar>
    </w:tblPr>
  </w:style>
  <w:style w:type="table" w:customStyle="1" w:styleId="1">
    <w:name w:val="1"/>
    <w:basedOn w:val="TableNormal40"/>
    <w:tblPr>
      <w:tblStyleRowBandSize w:val="1"/>
      <w:tblStyleColBandSize w:val="1"/>
      <w:tblCellMar>
        <w:top w:w="0" w:type="dxa"/>
        <w:left w:w="115" w:type="dxa"/>
        <w:bottom w:w="0" w:type="dxa"/>
        <w:right w:w="115" w:type="dxa"/>
      </w:tblCellMar>
    </w:tblPr>
  </w:style>
  <w:style w:type="table" w:customStyle="1" w:styleId="23">
    <w:name w:val="23"/>
    <w:basedOn w:val="TableNormal50"/>
    <w:tblPr>
      <w:tblStyleRowBandSize w:val="1"/>
      <w:tblStyleColBandSize w:val="1"/>
      <w:tblCellMar>
        <w:top w:w="0" w:type="dxa"/>
        <w:left w:w="115" w:type="dxa"/>
        <w:bottom w:w="0" w:type="dxa"/>
        <w:right w:w="115" w:type="dxa"/>
      </w:tblCellMar>
    </w:tblPr>
  </w:style>
  <w:style w:type="table" w:customStyle="1" w:styleId="22">
    <w:name w:val="22"/>
    <w:basedOn w:val="TableNormal50"/>
    <w:tblPr>
      <w:tblStyleRowBandSize w:val="1"/>
      <w:tblStyleColBandSize w:val="1"/>
      <w:tblCellMar>
        <w:top w:w="0" w:type="dxa"/>
        <w:left w:w="115" w:type="dxa"/>
        <w:bottom w:w="0" w:type="dxa"/>
        <w:right w:w="115" w:type="dxa"/>
      </w:tblCellMar>
    </w:tblPr>
  </w:style>
  <w:style w:type="table" w:customStyle="1" w:styleId="21">
    <w:name w:val="21"/>
    <w:basedOn w:val="TableNormal6"/>
    <w:tblPr>
      <w:tblStyleRowBandSize w:val="1"/>
      <w:tblStyleColBandSize w:val="1"/>
      <w:tblCellMar>
        <w:top w:w="0" w:type="dxa"/>
        <w:left w:w="115" w:type="dxa"/>
        <w:bottom w:w="0" w:type="dxa"/>
        <w:right w:w="115" w:type="dxa"/>
      </w:tblCellMar>
    </w:tblPr>
  </w:style>
  <w:style w:type="table" w:customStyle="1" w:styleId="20">
    <w:name w:val="20"/>
    <w:basedOn w:val="TableNormal6"/>
    <w:tblPr>
      <w:tblStyleRowBandSize w:val="1"/>
      <w:tblStyleColBandSize w:val="1"/>
      <w:tblCellMar>
        <w:top w:w="0" w:type="dxa"/>
        <w:left w:w="115" w:type="dxa"/>
        <w:bottom w:w="0" w:type="dxa"/>
        <w:right w:w="115" w:type="dxa"/>
      </w:tblCellMar>
    </w:tblPr>
  </w:style>
  <w:style w:type="table" w:customStyle="1" w:styleId="19">
    <w:name w:val="19"/>
    <w:basedOn w:val="TableNormal7"/>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8">
    <w:name w:val="18"/>
    <w:basedOn w:val="TableNormal7"/>
    <w:tblPr>
      <w:tblStyleRowBandSize w:val="1"/>
      <w:tblStyleColBandSize w:val="1"/>
      <w:tblCellMar>
        <w:top w:w="0" w:type="dxa"/>
        <w:left w:w="115" w:type="dxa"/>
        <w:bottom w:w="0" w:type="dxa"/>
        <w:right w:w="115" w:type="dxa"/>
      </w:tblCellMar>
    </w:tblPr>
  </w:style>
  <w:style w:type="table" w:customStyle="1" w:styleId="17">
    <w:name w:val="17"/>
    <w:basedOn w:val="TableNormal7"/>
    <w:tblPr>
      <w:tblStyleRowBandSize w:val="1"/>
      <w:tblStyleColBandSize w:val="1"/>
      <w:tblCellMar>
        <w:top w:w="0" w:type="dxa"/>
        <w:left w:w="115" w:type="dxa"/>
        <w:bottom w:w="0" w:type="dxa"/>
        <w:right w:w="115" w:type="dxa"/>
      </w:tblCellMar>
    </w:tblPr>
  </w:style>
  <w:style w:type="table" w:customStyle="1" w:styleId="16">
    <w:name w:val="16"/>
    <w:basedOn w:val="TableNormal8"/>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5">
    <w:name w:val="15"/>
    <w:basedOn w:val="TableNormal8"/>
    <w:tblPr>
      <w:tblStyleRowBandSize w:val="1"/>
      <w:tblStyleColBandSize w:val="1"/>
      <w:tblCellMar>
        <w:top w:w="0" w:type="dxa"/>
        <w:left w:w="115" w:type="dxa"/>
        <w:bottom w:w="0" w:type="dxa"/>
        <w:right w:w="115" w:type="dxa"/>
      </w:tblCellMar>
    </w:tblPr>
  </w:style>
  <w:style w:type="table" w:customStyle="1" w:styleId="14">
    <w:name w:val="14"/>
    <w:basedOn w:val="TableNormal8"/>
    <w:tblPr>
      <w:tblStyleRowBandSize w:val="1"/>
      <w:tblStyleColBandSize w:val="1"/>
      <w:tblCellMar>
        <w:top w:w="0" w:type="dxa"/>
        <w:left w:w="115" w:type="dxa"/>
        <w:bottom w:w="0" w:type="dxa"/>
        <w:right w:w="115" w:type="dxa"/>
      </w:tblCellMar>
    </w:tblPr>
  </w:style>
  <w:style w:type="table" w:customStyle="1" w:styleId="13">
    <w:name w:val="13"/>
    <w:basedOn w:val="TableNormal9"/>
    <w:tblPr>
      <w:tblStyleRowBandSize w:val="1"/>
      <w:tblStyleColBandSize w:val="1"/>
      <w:tblCellMar>
        <w:top w:w="0" w:type="dxa"/>
        <w:left w:w="115" w:type="dxa"/>
        <w:bottom w:w="0" w:type="dxa"/>
        <w:right w:w="115" w:type="dxa"/>
      </w:tblCellMar>
    </w:tblPr>
  </w:style>
  <w:style w:type="table" w:customStyle="1" w:styleId="12">
    <w:name w:val="12"/>
    <w:basedOn w:val="TableNormal9"/>
    <w:tblPr>
      <w:tblStyleRowBandSize w:val="1"/>
      <w:tblStyleColBandSize w:val="1"/>
      <w:tblCellMar>
        <w:top w:w="0" w:type="dxa"/>
        <w:left w:w="115" w:type="dxa"/>
        <w:bottom w:w="0" w:type="dxa"/>
        <w:right w:w="115" w:type="dxa"/>
      </w:tblCellMar>
    </w:tblPr>
  </w:style>
  <w:style w:type="table" w:customStyle="1" w:styleId="26">
    <w:name w:val="26"/>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5">
    <w:name w:val="25"/>
    <w:basedOn w:val="TableNormal10"/>
    <w:tblPr>
      <w:tblStyleRowBandSize w:val="1"/>
      <w:tblStyleColBandSize w:val="1"/>
      <w:tblCellMar>
        <w:top w:w="0" w:type="dxa"/>
        <w:left w:w="115" w:type="dxa"/>
        <w:bottom w:w="0" w:type="dxa"/>
        <w:right w:w="115" w:type="dxa"/>
      </w:tblCellMar>
    </w:tblPr>
  </w:style>
  <w:style w:type="table" w:customStyle="1" w:styleId="24">
    <w:name w:val="24"/>
    <w:basedOn w:val="TableNormal10"/>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96387C"/>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8A3C5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3C56"/>
    <w:rPr>
      <w:i/>
      <w:iCs/>
      <w:color w:val="404040" w:themeColor="text1" w:themeTint="BF"/>
    </w:rPr>
  </w:style>
  <w:style w:type="table" w:customStyle="1" w:styleId="a">
    <w:basedOn w:val="TableNormal5"/>
    <w:tblPr>
      <w:tblStyleRowBandSize w:val="1"/>
      <w:tblStyleColBandSize w:val="1"/>
      <w:tblCellMar>
        <w:top w:w="0" w:type="dxa"/>
        <w:left w:w="108" w:type="dxa"/>
        <w:bottom w:w="0" w:type="dxa"/>
        <w:right w:w="108" w:type="dxa"/>
      </w:tblCellMar>
    </w:tblPr>
  </w:style>
  <w:style w:type="table" w:customStyle="1" w:styleId="a0">
    <w:basedOn w:val="TableNormal5"/>
    <w:tblPr>
      <w:tblStyleRowBandSize w:val="1"/>
      <w:tblStyleColBandSize w:val="1"/>
      <w:tblCellMar>
        <w:top w:w="0" w:type="dxa"/>
        <w:left w:w="108" w:type="dxa"/>
        <w:bottom w:w="0" w:type="dxa"/>
        <w:right w:w="108" w:type="dxa"/>
      </w:tblCellMar>
    </w:tblPr>
  </w:style>
  <w:style w:type="table" w:customStyle="1" w:styleId="a2">
    <w:basedOn w:val="TableNormal5"/>
    <w:tblPr>
      <w:tblStyleRowBandSize w:val="1"/>
      <w:tblStyleColBandSize w:val="1"/>
      <w:tblCellMar>
        <w:top w:w="0" w:type="dxa"/>
        <w:left w:w="108" w:type="dxa"/>
        <w:bottom w:w="0" w:type="dxa"/>
        <w:right w:w="108" w:type="dxa"/>
      </w:tblCellMar>
    </w:tblPr>
  </w:style>
  <w:style w:type="table" w:customStyle="1" w:styleId="a3">
    <w:basedOn w:val="TableNormal5"/>
    <w:tblPr>
      <w:tblStyleRowBandSize w:val="1"/>
      <w:tblStyleColBandSize w:val="1"/>
      <w:tblCellMar>
        <w:top w:w="0" w:type="dxa"/>
        <w:left w:w="108" w:type="dxa"/>
        <w:bottom w:w="0" w:type="dxa"/>
        <w:right w:w="108" w:type="dxa"/>
      </w:tblCellMar>
    </w:tblPr>
  </w:style>
  <w:style w:type="table" w:customStyle="1" w:styleId="a4">
    <w:basedOn w:val="TableNormal5"/>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5"/>
    <w:tblPr>
      <w:tblStyleRowBandSize w:val="1"/>
      <w:tblStyleColBandSize w:val="1"/>
      <w:tblCellMar>
        <w:top w:w="0" w:type="dxa"/>
        <w:left w:w="115" w:type="dxa"/>
        <w:bottom w:w="0" w:type="dxa"/>
        <w:right w:w="115" w:type="dxa"/>
      </w:tblCellMar>
    </w:tblPr>
  </w:style>
  <w:style w:type="table" w:customStyle="1" w:styleId="a6">
    <w:basedOn w:val="TableNormal5"/>
    <w:tblPr>
      <w:tblStyleRowBandSize w:val="1"/>
      <w:tblStyleColBandSize w:val="1"/>
      <w:tblCellMar>
        <w:top w:w="0" w:type="dxa"/>
        <w:left w:w="115" w:type="dxa"/>
        <w:bottom w:w="0" w:type="dxa"/>
        <w:right w:w="115" w:type="dxa"/>
      </w:tblCellMar>
    </w:tblPr>
  </w:style>
  <w:style w:type="table" w:customStyle="1" w:styleId="a7">
    <w:basedOn w:val="TableNormal4"/>
    <w:tblPr>
      <w:tblStyleRowBandSize w:val="1"/>
      <w:tblStyleColBandSize w:val="1"/>
      <w:tblCellMar>
        <w:top w:w="0" w:type="dxa"/>
        <w:left w:w="115" w:type="dxa"/>
        <w:bottom w:w="0" w:type="dxa"/>
        <w:right w:w="115" w:type="dxa"/>
      </w:tblCellMar>
    </w:tblPr>
  </w:style>
  <w:style w:type="table" w:customStyle="1" w:styleId="a8">
    <w:basedOn w:val="TableNormal4"/>
    <w:tblPr>
      <w:tblStyleRowBandSize w:val="1"/>
      <w:tblStyleColBandSize w:val="1"/>
      <w:tblCellMar>
        <w:top w:w="0" w:type="dxa"/>
        <w:left w:w="115" w:type="dxa"/>
        <w:bottom w:w="0" w:type="dxa"/>
        <w:right w:w="115" w:type="dxa"/>
      </w:tblCellMar>
    </w:tblPr>
  </w:style>
  <w:style w:type="table" w:customStyle="1" w:styleId="a9">
    <w:basedOn w:val="TableNormal3"/>
    <w:tblPr>
      <w:tblStyleRowBandSize w:val="1"/>
      <w:tblStyleColBandSize w:val="1"/>
      <w:tblCellMar>
        <w:top w:w="0" w:type="dxa"/>
        <w:left w:w="115" w:type="dxa"/>
        <w:bottom w:w="0" w:type="dxa"/>
        <w:right w:w="115" w:type="dxa"/>
      </w:tblCellMar>
    </w:tblPr>
  </w:style>
  <w:style w:type="table" w:customStyle="1" w:styleId="aa">
    <w:basedOn w:val="TableNormal3"/>
    <w:tblPr>
      <w:tblStyleRowBandSize w:val="1"/>
      <w:tblStyleColBandSize w:val="1"/>
      <w:tblCellMar>
        <w:top w:w="0" w:type="dxa"/>
        <w:left w:w="115" w:type="dxa"/>
        <w:bottom w:w="0" w:type="dxa"/>
        <w:right w:w="115" w:type="dxa"/>
      </w:tblCellMar>
    </w:tblPr>
  </w:style>
  <w:style w:type="paragraph" w:customStyle="1" w:styleId="Citas">
    <w:name w:val="Citas"/>
    <w:basedOn w:val="Normal"/>
    <w:qFormat/>
    <w:rsid w:val="00853FB5"/>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b">
    <w:basedOn w:val="TableNormal2"/>
    <w:tblPr>
      <w:tblStyleRowBandSize w:val="1"/>
      <w:tblStyleColBandSize w:val="1"/>
      <w:tblCellMar>
        <w:top w:w="0" w:type="dxa"/>
        <w:left w:w="108" w:type="dxa"/>
        <w:bottom w:w="0" w:type="dxa"/>
        <w:right w:w="108" w:type="dxa"/>
      </w:tblCellMar>
    </w:tblPr>
  </w:style>
  <w:style w:type="table" w:customStyle="1" w:styleId="ac">
    <w:basedOn w:val="TableNormal2"/>
    <w:tblPr>
      <w:tblStyleRowBandSize w:val="1"/>
      <w:tblStyleColBandSize w:val="1"/>
      <w:tblCellMar>
        <w:top w:w="0" w:type="dxa"/>
        <w:left w:w="108" w:type="dxa"/>
        <w:bottom w:w="0" w:type="dxa"/>
        <w:right w:w="108" w:type="dxa"/>
      </w:tblCellMar>
    </w:tblPr>
  </w:style>
  <w:style w:type="table" w:customStyle="1" w:styleId="ad">
    <w:basedOn w:val="TableNormal2"/>
    <w:tblPr>
      <w:tblStyleRowBandSize w:val="1"/>
      <w:tblStyleColBandSize w:val="1"/>
      <w:tblCellMar>
        <w:top w:w="15" w:type="dxa"/>
        <w:left w:w="15" w:type="dxa"/>
        <w:bottom w:w="15" w:type="dxa"/>
        <w:right w:w="15" w:type="dxa"/>
      </w:tblCellMar>
    </w:tblPr>
  </w:style>
  <w:style w:type="table" w:customStyle="1" w:styleId="ae">
    <w:basedOn w:val="TableNormal2"/>
    <w:tblPr>
      <w:tblStyleRowBandSize w:val="1"/>
      <w:tblStyleColBandSize w:val="1"/>
      <w:tblCellMar>
        <w:top w:w="0" w:type="dxa"/>
        <w:left w:w="115" w:type="dxa"/>
        <w:bottom w:w="0" w:type="dxa"/>
        <w:right w:w="115" w:type="dxa"/>
      </w:tblCellMar>
    </w:tblPr>
  </w:style>
  <w:style w:type="table" w:customStyle="1" w:styleId="af">
    <w:basedOn w:val="TableNormal2"/>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08" w:type="dxa"/>
        <w:bottom w:w="0" w:type="dxa"/>
        <w:right w:w="108" w:type="dxa"/>
      </w:tblCellMar>
    </w:tblPr>
  </w:style>
  <w:style w:type="table" w:customStyle="1" w:styleId="af1">
    <w:basedOn w:val="TableNormal1"/>
    <w:tblPr>
      <w:tblStyleRowBandSize w:val="1"/>
      <w:tblStyleColBandSize w:val="1"/>
      <w:tblCellMar>
        <w:top w:w="15" w:type="dxa"/>
        <w:left w:w="15" w:type="dxa"/>
        <w:bottom w:w="15" w:type="dxa"/>
        <w:right w:w="15" w:type="dxa"/>
      </w:tblCellMar>
    </w:tblPr>
  </w:style>
  <w:style w:type="table" w:customStyle="1" w:styleId="af2">
    <w:basedOn w:val="TableNormal1"/>
    <w:tblPr>
      <w:tblStyleRowBandSize w:val="1"/>
      <w:tblStyleColBandSize w:val="1"/>
      <w:tblCellMar>
        <w:top w:w="15" w:type="dxa"/>
        <w:left w:w="115" w:type="dxa"/>
        <w:bottom w:w="15" w:type="dxa"/>
        <w:right w:w="115" w:type="dxa"/>
      </w:tblCellMar>
    </w:tblPr>
  </w:style>
  <w:style w:type="table" w:customStyle="1" w:styleId="af3">
    <w:basedOn w:val="TableNormal1"/>
    <w:tblPr>
      <w:tblStyleRowBandSize w:val="1"/>
      <w:tblStyleColBandSize w:val="1"/>
      <w:tblCellMar>
        <w:top w:w="15" w:type="dxa"/>
        <w:left w:w="115" w:type="dxa"/>
        <w:bottom w:w="15" w:type="dxa"/>
        <w:right w:w="115" w:type="dxa"/>
      </w:tblCellMar>
    </w:tblPr>
  </w:style>
  <w:style w:type="table" w:customStyle="1" w:styleId="af4">
    <w:basedOn w:val="TableNormal0"/>
    <w:tblPr>
      <w:tblStyleRowBandSize w:val="1"/>
      <w:tblStyleColBandSize w:val="1"/>
      <w:tblCellMar>
        <w:top w:w="15" w:type="dxa"/>
        <w:left w:w="115" w:type="dxa"/>
        <w:bottom w:w="15" w:type="dxa"/>
        <w:right w:w="115" w:type="dxa"/>
      </w:tblCellMar>
    </w:tblPr>
  </w:style>
  <w:style w:type="table" w:customStyle="1" w:styleId="af5">
    <w:basedOn w:val="TableNormal0"/>
    <w:tblPr>
      <w:tblStyleRowBandSize w:val="1"/>
      <w:tblStyleColBandSize w:val="1"/>
      <w:tblCellMar>
        <w:top w:w="15" w:type="dxa"/>
        <w:left w:w="115" w:type="dxa"/>
        <w:bottom w:w="15" w:type="dxa"/>
        <w:right w:w="115" w:type="dxa"/>
      </w:tblCellMar>
    </w:tbl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06907.page" TargetMode="External"/><Relationship Id="rId13" Type="http://schemas.openxmlformats.org/officeDocument/2006/relationships/hyperlink" Target="https://saimex.org.mx/saimex/solicitud/downloadAttach/1807220.page"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acrobat.adobe.com/mx/es/acrobat/pdf-reader.htm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807217.page"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www.monografias.com/trabajos14/verific-servicios/verific-servicios.shtml" TargetMode="External"/><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hyperlink" Target="https://saimex.org.mx/saimex/solicitud/downloadAttach/1807216.page"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8KeH/dYNAVZzhKWEZDLdCfuDjg==">CgMxLjAyCGgudHlqY3d0MghoLmdqZGd4czIJaC4yczhleW8xMgloLjMwajB6bGwyCWguMzBqMHpsbDIJaC40ZDM0b2c4MgloLjFmb2I5dGUyCWguMmV0OTJwMDgAciExb21QbGYxd19OUVpnOFRnZHFFc3ZFUFpKdURCM0NXR1g=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78</Pages>
  <Words>18741</Words>
  <Characters>103076</Characters>
  <Application>Microsoft Office Word</Application>
  <DocSecurity>0</DocSecurity>
  <Lines>858</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2023-10-27T18:43:00Z</cp:lastPrinted>
  <dcterms:created xsi:type="dcterms:W3CDTF">2023-11-07T20:09:00Z</dcterms:created>
  <dcterms:modified xsi:type="dcterms:W3CDTF">2023-11-07T20:09:00Z</dcterms:modified>
</cp:coreProperties>
</file>