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3139CDE2" w:rsidR="00EA0165" w:rsidRPr="00211BF5" w:rsidRDefault="00EA0165" w:rsidP="0092265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11BF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211BF5">
        <w:rPr>
          <w:rFonts w:ascii="Palatino Linotype" w:eastAsiaTheme="minorEastAsia" w:hAnsi="Palatino Linotype" w:cstheme="minorBidi"/>
          <w:color w:val="000000" w:themeColor="text1"/>
          <w:lang w:val="es-ES_tradnl"/>
        </w:rPr>
        <w:t xml:space="preserve">n Metepec, Estado </w:t>
      </w:r>
      <w:r w:rsidR="0065045C" w:rsidRPr="00211BF5">
        <w:rPr>
          <w:rFonts w:ascii="Palatino Linotype" w:eastAsiaTheme="minorEastAsia" w:hAnsi="Palatino Linotype" w:cstheme="minorBidi"/>
          <w:color w:val="000000" w:themeColor="text1"/>
          <w:lang w:val="es-ES_tradnl"/>
        </w:rPr>
        <w:t>de México; de veintidós</w:t>
      </w:r>
      <w:r w:rsidR="0018582E" w:rsidRPr="00211BF5">
        <w:rPr>
          <w:rFonts w:ascii="Palatino Linotype" w:eastAsiaTheme="minorEastAsia" w:hAnsi="Palatino Linotype" w:cstheme="minorBidi"/>
          <w:color w:val="000000" w:themeColor="text1"/>
          <w:lang w:val="es-MX"/>
        </w:rPr>
        <w:t xml:space="preserve"> </w:t>
      </w:r>
      <w:r w:rsidRPr="00211BF5">
        <w:rPr>
          <w:rFonts w:ascii="Palatino Linotype" w:eastAsiaTheme="minorEastAsia" w:hAnsi="Palatino Linotype" w:cstheme="minorBidi"/>
          <w:color w:val="000000" w:themeColor="text1"/>
          <w:lang w:val="es-MX"/>
        </w:rPr>
        <w:t>(</w:t>
      </w:r>
      <w:r w:rsidR="0065045C" w:rsidRPr="00211BF5">
        <w:rPr>
          <w:rFonts w:ascii="Palatino Linotype" w:eastAsiaTheme="minorEastAsia" w:hAnsi="Palatino Linotype" w:cstheme="minorBidi"/>
          <w:color w:val="000000" w:themeColor="text1"/>
          <w:lang w:val="es-MX"/>
        </w:rPr>
        <w:t>22</w:t>
      </w:r>
      <w:r w:rsidRPr="00211BF5">
        <w:rPr>
          <w:rFonts w:ascii="Palatino Linotype" w:eastAsiaTheme="minorEastAsia" w:hAnsi="Palatino Linotype" w:cstheme="minorBidi"/>
          <w:color w:val="000000" w:themeColor="text1"/>
          <w:lang w:val="es-MX"/>
        </w:rPr>
        <w:t>) de</w:t>
      </w:r>
      <w:r w:rsidR="0065045C" w:rsidRPr="00211BF5">
        <w:rPr>
          <w:rFonts w:ascii="Palatino Linotype" w:eastAsiaTheme="minorEastAsia" w:hAnsi="Palatino Linotype" w:cstheme="minorBidi"/>
          <w:color w:val="000000" w:themeColor="text1"/>
          <w:lang w:val="es-MX"/>
        </w:rPr>
        <w:t xml:space="preserve"> febrero</w:t>
      </w:r>
      <w:r w:rsidR="00C7224E" w:rsidRPr="00211BF5">
        <w:rPr>
          <w:rFonts w:ascii="Palatino Linotype" w:eastAsiaTheme="minorEastAsia" w:hAnsi="Palatino Linotype" w:cstheme="minorBidi"/>
          <w:color w:val="000000" w:themeColor="text1"/>
          <w:lang w:val="es-MX"/>
        </w:rPr>
        <w:t xml:space="preserve"> </w:t>
      </w:r>
      <w:r w:rsidR="0065045C" w:rsidRPr="00211BF5">
        <w:rPr>
          <w:rFonts w:ascii="Palatino Linotype" w:eastAsiaTheme="minorEastAsia" w:hAnsi="Palatino Linotype" w:cstheme="minorBidi"/>
          <w:color w:val="000000" w:themeColor="text1"/>
          <w:lang w:val="es-MX"/>
        </w:rPr>
        <w:t>de dos mil veintitrés</w:t>
      </w:r>
      <w:r w:rsidRPr="00211BF5">
        <w:rPr>
          <w:rFonts w:ascii="Palatino Linotype" w:eastAsiaTheme="minorEastAsia" w:hAnsi="Palatino Linotype" w:cstheme="minorBidi"/>
          <w:color w:val="000000" w:themeColor="text1"/>
          <w:lang w:val="es-ES_tradnl"/>
        </w:rPr>
        <w:t xml:space="preserve">. </w:t>
      </w:r>
    </w:p>
    <w:p w14:paraId="523905F9" w14:textId="36E16C45" w:rsidR="004F0684" w:rsidRPr="00211BF5" w:rsidRDefault="007C4587" w:rsidP="00922656">
      <w:pPr>
        <w:tabs>
          <w:tab w:val="left" w:pos="3465"/>
        </w:tabs>
        <w:spacing w:before="240" w:after="360" w:line="360" w:lineRule="auto"/>
        <w:jc w:val="both"/>
        <w:rPr>
          <w:rFonts w:ascii="Palatino Linotype" w:eastAsiaTheme="minorEastAsia" w:hAnsi="Palatino Linotype" w:cstheme="minorBidi"/>
          <w:color w:val="000000" w:themeColor="text1"/>
        </w:rPr>
      </w:pPr>
      <w:r w:rsidRPr="00211BF5">
        <w:rPr>
          <w:rFonts w:ascii="Palatino Linotype" w:eastAsiaTheme="minorEastAsia" w:hAnsi="Palatino Linotype" w:cstheme="minorBidi"/>
          <w:b/>
          <w:color w:val="000000" w:themeColor="text1"/>
          <w:lang w:val="es-ES_tradnl"/>
        </w:rPr>
        <w:t>VISTO</w:t>
      </w:r>
      <w:r w:rsidRPr="00211BF5">
        <w:rPr>
          <w:rFonts w:ascii="Palatino Linotype" w:eastAsiaTheme="minorEastAsia" w:hAnsi="Palatino Linotype" w:cstheme="minorBidi"/>
          <w:color w:val="000000" w:themeColor="text1"/>
          <w:lang w:val="es-ES_tradnl"/>
        </w:rPr>
        <w:t xml:space="preserve"> el expediente electrónico formado con motivo del recurso de revisión </w:t>
      </w:r>
      <w:bookmarkStart w:id="0" w:name="_GoBack"/>
      <w:r w:rsidR="0065045C" w:rsidRPr="00211BF5">
        <w:rPr>
          <w:rFonts w:ascii="Palatino Linotype" w:eastAsiaTheme="minorEastAsia" w:hAnsi="Palatino Linotype" w:cstheme="minorBidi"/>
          <w:b/>
          <w:bCs/>
          <w:color w:val="000000" w:themeColor="text1"/>
        </w:rPr>
        <w:t>00568</w:t>
      </w:r>
      <w:bookmarkEnd w:id="0"/>
      <w:r w:rsidR="0065045C" w:rsidRPr="00211BF5">
        <w:rPr>
          <w:rFonts w:ascii="Palatino Linotype" w:eastAsiaTheme="minorEastAsia" w:hAnsi="Palatino Linotype" w:cstheme="minorBidi"/>
          <w:b/>
          <w:bCs/>
          <w:color w:val="000000" w:themeColor="text1"/>
        </w:rPr>
        <w:t>/INFOEM/IP/RR/2023</w:t>
      </w:r>
      <w:r w:rsidRPr="00211BF5">
        <w:rPr>
          <w:rFonts w:ascii="Palatino Linotype" w:eastAsiaTheme="minorEastAsia" w:hAnsi="Palatino Linotype" w:cstheme="minorBidi"/>
          <w:b/>
          <w:bCs/>
          <w:color w:val="000000" w:themeColor="text1"/>
          <w:lang w:val="es-ES_tradnl"/>
        </w:rPr>
        <w:t xml:space="preserve">, </w:t>
      </w:r>
      <w:r w:rsidRPr="00211BF5">
        <w:rPr>
          <w:rFonts w:ascii="Palatino Linotype" w:eastAsiaTheme="minorEastAsia" w:hAnsi="Palatino Linotype" w:cstheme="minorBidi"/>
          <w:color w:val="000000" w:themeColor="text1"/>
          <w:lang w:val="es-ES_tradnl"/>
        </w:rPr>
        <w:t>promovido por</w:t>
      </w:r>
      <w:r w:rsidR="0065045C" w:rsidRPr="00211BF5">
        <w:rPr>
          <w:rFonts w:ascii="Palatino Linotype" w:eastAsiaTheme="minorEastAsia" w:hAnsi="Palatino Linotype" w:cstheme="minorBidi"/>
          <w:color w:val="000000" w:themeColor="text1"/>
          <w:lang w:val="es-ES_tradnl"/>
        </w:rPr>
        <w:t xml:space="preserve"> </w:t>
      </w:r>
      <w:r w:rsidR="00CB6E89">
        <w:rPr>
          <w:rFonts w:ascii="Palatino Linotype" w:eastAsiaTheme="minorEastAsia" w:hAnsi="Palatino Linotype" w:cstheme="minorBidi"/>
          <w:b/>
          <w:color w:val="000000" w:themeColor="text1"/>
          <w:lang w:val="es-ES_tradnl"/>
        </w:rPr>
        <w:t>XXXXXXXX</w:t>
      </w:r>
      <w:r w:rsidR="00CB6E89">
        <w:rPr>
          <w:rFonts w:ascii="Palatino Linotype" w:eastAsiaTheme="minorEastAsia" w:hAnsi="Palatino Linotype" w:cstheme="minorBidi"/>
          <w:color w:val="000000" w:themeColor="text1"/>
          <w:lang w:val="es-ES_tradnl"/>
        </w:rPr>
        <w:t xml:space="preserve"> </w:t>
      </w:r>
      <w:r w:rsidR="004F0684" w:rsidRPr="00211BF5">
        <w:rPr>
          <w:rFonts w:ascii="Palatino Linotype" w:eastAsiaTheme="minorEastAsia" w:hAnsi="Palatino Linotype" w:cstheme="minorBidi"/>
          <w:color w:val="000000" w:themeColor="text1"/>
          <w:lang w:val="es-ES_tradnl"/>
        </w:rPr>
        <w:t xml:space="preserve">en su calidad de </w:t>
      </w:r>
      <w:r w:rsidR="004F0684" w:rsidRPr="00211BF5">
        <w:rPr>
          <w:rFonts w:ascii="Palatino Linotype" w:eastAsiaTheme="minorEastAsia" w:hAnsi="Palatino Linotype" w:cstheme="minorBidi"/>
          <w:b/>
          <w:color w:val="000000" w:themeColor="text1"/>
          <w:lang w:val="es-ES_tradnl"/>
        </w:rPr>
        <w:t>RECURRENTE</w:t>
      </w:r>
      <w:r w:rsidR="004F0684" w:rsidRPr="00211BF5">
        <w:rPr>
          <w:rFonts w:ascii="Palatino Linotype" w:eastAsiaTheme="minorEastAsia" w:hAnsi="Palatino Linotype" w:cstheme="minorBidi"/>
          <w:color w:val="000000" w:themeColor="text1"/>
          <w:lang w:val="es-ES_tradnl"/>
        </w:rPr>
        <w:t>, en contra de las respuestas del</w:t>
      </w:r>
      <w:r w:rsidR="004F0684" w:rsidRPr="00211BF5">
        <w:rPr>
          <w:rFonts w:ascii="Palatino Linotype" w:eastAsiaTheme="minorEastAsia" w:hAnsi="Palatino Linotype" w:cstheme="minorBidi"/>
          <w:color w:val="000000" w:themeColor="text1"/>
        </w:rPr>
        <w:t xml:space="preserve"> </w:t>
      </w:r>
      <w:r w:rsidR="0065045C" w:rsidRPr="00211BF5">
        <w:rPr>
          <w:rFonts w:ascii="Palatino Linotype" w:eastAsiaTheme="minorEastAsia" w:hAnsi="Palatino Linotype" w:cstheme="minorBidi"/>
          <w:b/>
          <w:color w:val="000000" w:themeColor="text1"/>
        </w:rPr>
        <w:t>Instituto de Salud del Estado de México</w:t>
      </w:r>
      <w:r w:rsidR="0065045C" w:rsidRPr="00211BF5">
        <w:rPr>
          <w:rFonts w:ascii="Palatino Linotype" w:eastAsiaTheme="minorEastAsia" w:hAnsi="Palatino Linotype" w:cstheme="minorBidi"/>
          <w:color w:val="000000" w:themeColor="text1"/>
        </w:rPr>
        <w:t xml:space="preserve"> </w:t>
      </w:r>
      <w:r w:rsidR="004F0684" w:rsidRPr="00211BF5">
        <w:rPr>
          <w:rFonts w:ascii="Palatino Linotype" w:eastAsiaTheme="minorEastAsia" w:hAnsi="Palatino Linotype" w:cstheme="minorBidi"/>
          <w:color w:val="000000" w:themeColor="text1"/>
          <w:lang w:val="es-ES_tradnl"/>
        </w:rPr>
        <w:t>en lo sucesivo el</w:t>
      </w:r>
      <w:r w:rsidR="004F0684" w:rsidRPr="00211BF5">
        <w:rPr>
          <w:rFonts w:ascii="Palatino Linotype" w:eastAsiaTheme="minorEastAsia" w:hAnsi="Palatino Linotype" w:cstheme="minorBidi"/>
          <w:b/>
          <w:color w:val="000000" w:themeColor="text1"/>
          <w:lang w:val="es-ES_tradnl"/>
        </w:rPr>
        <w:t xml:space="preserve"> SUJETO OBLIGADO, </w:t>
      </w:r>
      <w:r w:rsidR="004F0684" w:rsidRPr="00211BF5">
        <w:rPr>
          <w:rFonts w:ascii="Palatino Linotype" w:eastAsiaTheme="minorEastAsia" w:hAnsi="Palatino Linotype" w:cstheme="minorBidi"/>
          <w:color w:val="000000" w:themeColor="text1"/>
          <w:lang w:val="es-ES_tradnl"/>
        </w:rPr>
        <w:t>se procede a dictar la presente resolución, con base en los siguientes</w:t>
      </w:r>
      <w:r w:rsidRPr="00211BF5">
        <w:rPr>
          <w:rFonts w:ascii="Palatino Linotype" w:eastAsiaTheme="minorEastAsia" w:hAnsi="Palatino Linotype" w:cstheme="minorBidi"/>
          <w:color w:val="000000" w:themeColor="text1"/>
          <w:lang w:val="es-ES_tradnl"/>
        </w:rPr>
        <w:t xml:space="preserve">: </w:t>
      </w:r>
    </w:p>
    <w:p w14:paraId="64D30E95" w14:textId="2F57A823" w:rsidR="00F216D7" w:rsidRPr="00211BF5" w:rsidRDefault="00EA0165" w:rsidP="00922656">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350000"/>
      <w:r w:rsidRPr="00211BF5">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75319785" w:rsidR="00707416" w:rsidRPr="00211BF5" w:rsidRDefault="00EA0165" w:rsidP="00216222">
      <w:pPr>
        <w:pStyle w:val="Prrafodelista"/>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211BF5">
        <w:rPr>
          <w:rFonts w:ascii="Palatino Linotype" w:eastAsia="Calibri" w:hAnsi="Palatino Linotype" w:cs="Arial"/>
          <w:color w:val="000000" w:themeColor="text1"/>
        </w:rPr>
        <w:t>El</w:t>
      </w:r>
      <w:r w:rsidR="0065045C" w:rsidRPr="00211BF5">
        <w:rPr>
          <w:rFonts w:ascii="Palatino Linotype" w:eastAsia="Calibri" w:hAnsi="Palatino Linotype" w:cs="Arial"/>
          <w:color w:val="000000" w:themeColor="text1"/>
        </w:rPr>
        <w:t xml:space="preserve"> cinco</w:t>
      </w:r>
      <w:r w:rsidR="00416E00" w:rsidRPr="00211BF5">
        <w:rPr>
          <w:rFonts w:ascii="Palatino Linotype" w:eastAsia="Calibri" w:hAnsi="Palatino Linotype" w:cs="Arial"/>
          <w:color w:val="000000" w:themeColor="text1"/>
        </w:rPr>
        <w:t xml:space="preserve"> </w:t>
      </w:r>
      <w:r w:rsidRPr="00211BF5">
        <w:rPr>
          <w:rFonts w:ascii="Palatino Linotype" w:eastAsia="Calibri" w:hAnsi="Palatino Linotype" w:cs="Arial"/>
          <w:color w:val="000000" w:themeColor="text1"/>
        </w:rPr>
        <w:t>(</w:t>
      </w:r>
      <w:r w:rsidR="0065045C" w:rsidRPr="00211BF5">
        <w:rPr>
          <w:rFonts w:ascii="Palatino Linotype" w:eastAsia="Calibri" w:hAnsi="Palatino Linotype" w:cs="Arial"/>
          <w:color w:val="000000" w:themeColor="text1"/>
        </w:rPr>
        <w:t>05</w:t>
      </w:r>
      <w:r w:rsidRPr="00211BF5">
        <w:rPr>
          <w:rFonts w:ascii="Palatino Linotype" w:eastAsia="Calibri" w:hAnsi="Palatino Linotype" w:cs="Arial"/>
          <w:color w:val="000000" w:themeColor="text1"/>
        </w:rPr>
        <w:t>) de</w:t>
      </w:r>
      <w:r w:rsidR="0065045C" w:rsidRPr="00211BF5">
        <w:rPr>
          <w:rFonts w:ascii="Palatino Linotype" w:eastAsia="Calibri" w:hAnsi="Palatino Linotype" w:cs="Arial"/>
          <w:color w:val="000000" w:themeColor="text1"/>
        </w:rPr>
        <w:t xml:space="preserve"> enero</w:t>
      </w:r>
      <w:r w:rsidR="00707416" w:rsidRPr="00211BF5">
        <w:rPr>
          <w:rFonts w:ascii="Palatino Linotype" w:eastAsia="Calibri" w:hAnsi="Palatino Linotype" w:cs="Arial"/>
          <w:color w:val="000000" w:themeColor="text1"/>
        </w:rPr>
        <w:t xml:space="preserve"> </w:t>
      </w:r>
      <w:r w:rsidRPr="00211BF5">
        <w:rPr>
          <w:rFonts w:ascii="Palatino Linotype" w:eastAsia="Calibri" w:hAnsi="Palatino Linotype" w:cs="Arial"/>
          <w:color w:val="000000" w:themeColor="text1"/>
        </w:rPr>
        <w:t xml:space="preserve">de dos mil </w:t>
      </w:r>
      <w:r w:rsidR="0065045C" w:rsidRPr="00211BF5">
        <w:rPr>
          <w:rFonts w:ascii="Palatino Linotype" w:eastAsia="Calibri" w:hAnsi="Palatino Linotype" w:cs="Arial"/>
          <w:color w:val="000000" w:themeColor="text1"/>
        </w:rPr>
        <w:t>veintitrés</w:t>
      </w:r>
      <w:r w:rsidRPr="00211BF5">
        <w:rPr>
          <w:rFonts w:ascii="Palatino Linotype" w:eastAsia="Calibri" w:hAnsi="Palatino Linotype" w:cs="Arial"/>
          <w:color w:val="000000" w:themeColor="text1"/>
        </w:rPr>
        <w:t xml:space="preserve">, </w:t>
      </w:r>
      <w:r w:rsidRPr="00211BF5">
        <w:rPr>
          <w:rFonts w:ascii="Palatino Linotype" w:eastAsiaTheme="minorEastAsia" w:hAnsi="Palatino Linotype" w:cstheme="minorBidi"/>
          <w:color w:val="000000" w:themeColor="text1"/>
          <w:lang w:val="es-ES_tradnl"/>
        </w:rPr>
        <w:t>el particular presentó</w:t>
      </w:r>
      <w:r w:rsidRPr="00211BF5">
        <w:rPr>
          <w:rFonts w:ascii="Palatino Linotype" w:eastAsiaTheme="minorEastAsia" w:hAnsi="Palatino Linotype" w:cstheme="minorBidi"/>
          <w:b/>
          <w:color w:val="000000" w:themeColor="text1"/>
          <w:lang w:val="es-ES_tradnl"/>
        </w:rPr>
        <w:t xml:space="preserve"> </w:t>
      </w:r>
      <w:r w:rsidR="00936BED" w:rsidRPr="00211BF5">
        <w:rPr>
          <w:rFonts w:ascii="Palatino Linotype" w:eastAsiaTheme="minorEastAsia" w:hAnsi="Palatino Linotype" w:cstheme="minorBidi"/>
          <w:bCs/>
          <w:color w:val="000000" w:themeColor="text1"/>
          <w:lang w:val="es-ES_tradnl"/>
        </w:rPr>
        <w:t>a través de</w:t>
      </w:r>
      <w:r w:rsidR="00923BD9" w:rsidRPr="00211BF5">
        <w:rPr>
          <w:rFonts w:ascii="Palatino Linotype" w:eastAsiaTheme="minorEastAsia" w:hAnsi="Palatino Linotype" w:cstheme="minorBidi"/>
          <w:bCs/>
          <w:color w:val="000000" w:themeColor="text1"/>
          <w:lang w:val="es-ES_tradnl"/>
        </w:rPr>
        <w:t>l</w:t>
      </w:r>
      <w:r w:rsidR="00923BD9" w:rsidRPr="00211BF5">
        <w:rPr>
          <w:rFonts w:ascii="Palatino Linotype" w:eastAsia="Calibri" w:hAnsi="Palatino Linotype" w:cs="Arial"/>
          <w:color w:val="000000" w:themeColor="text1"/>
        </w:rPr>
        <w:t xml:space="preserve"> </w:t>
      </w:r>
      <w:r w:rsidR="00923BD9" w:rsidRPr="00211BF5">
        <w:rPr>
          <w:rFonts w:ascii="Palatino Linotype" w:eastAsiaTheme="minorEastAsia" w:hAnsi="Palatino Linotype" w:cstheme="minorBidi"/>
          <w:bCs/>
          <w:color w:val="000000" w:themeColor="text1"/>
        </w:rPr>
        <w:t xml:space="preserve">Sistema de Acceso a la Información Mexiquense </w:t>
      </w:r>
      <w:r w:rsidR="00923BD9" w:rsidRPr="00211BF5">
        <w:rPr>
          <w:rFonts w:ascii="Palatino Linotype" w:eastAsiaTheme="minorEastAsia" w:hAnsi="Palatino Linotype" w:cstheme="minorBidi"/>
          <w:b/>
          <w:bCs/>
          <w:color w:val="000000" w:themeColor="text1"/>
        </w:rPr>
        <w:t>(SAIMEX)</w:t>
      </w:r>
      <w:r w:rsidRPr="00211BF5">
        <w:rPr>
          <w:rFonts w:ascii="Palatino Linotype" w:eastAsia="Calibri" w:hAnsi="Palatino Linotype" w:cs="Arial"/>
          <w:b/>
          <w:color w:val="000000" w:themeColor="text1"/>
        </w:rPr>
        <w:t xml:space="preserve">, </w:t>
      </w:r>
      <w:r w:rsidRPr="00211BF5">
        <w:rPr>
          <w:rFonts w:ascii="Palatino Linotype" w:eastAsia="Calibri" w:hAnsi="Palatino Linotype" w:cs="Arial"/>
          <w:color w:val="000000" w:themeColor="text1"/>
        </w:rPr>
        <w:t>la solicitud de información pública registrada con el número</w:t>
      </w:r>
      <w:r w:rsidR="00F82FD4" w:rsidRPr="00211BF5">
        <w:rPr>
          <w:rFonts w:ascii="Palatino Linotype" w:eastAsia="Calibri" w:hAnsi="Palatino Linotype" w:cs="Arial"/>
          <w:b/>
          <w:bCs/>
          <w:color w:val="000000" w:themeColor="text1"/>
        </w:rPr>
        <w:t xml:space="preserve"> </w:t>
      </w:r>
      <w:r w:rsidR="0065045C" w:rsidRPr="00211BF5">
        <w:rPr>
          <w:rFonts w:ascii="Palatino Linotype" w:eastAsia="Calibri" w:hAnsi="Palatino Linotype" w:cs="Arial"/>
          <w:b/>
          <w:color w:val="000000" w:themeColor="text1"/>
        </w:rPr>
        <w:t>00046/ISEM/IP/202</w:t>
      </w:r>
      <w:r w:rsidRPr="00211BF5">
        <w:rPr>
          <w:rFonts w:ascii="Palatino Linotype" w:eastAsiaTheme="minorEastAsia" w:hAnsi="Palatino Linotype" w:cstheme="minorBidi"/>
          <w:b/>
          <w:bCs/>
          <w:color w:val="000000" w:themeColor="text1"/>
          <w:lang w:val="es-ES_tradnl"/>
        </w:rPr>
        <w:t>,</w:t>
      </w:r>
      <w:r w:rsidRPr="00211BF5">
        <w:rPr>
          <w:rFonts w:ascii="Palatino Linotype" w:eastAsia="Calibri" w:hAnsi="Palatino Linotype" w:cs="Arial"/>
          <w:color w:val="000000" w:themeColor="text1"/>
        </w:rPr>
        <w:t xml:space="preserve"> mediante la cual requirió:</w:t>
      </w:r>
    </w:p>
    <w:p w14:paraId="119BF7E0" w14:textId="7F82D7AE" w:rsidR="00EA0165" w:rsidRPr="00211BF5" w:rsidRDefault="00EA0165" w:rsidP="0092265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211BF5">
        <w:rPr>
          <w:rFonts w:ascii="Palatino Linotype" w:eastAsiaTheme="minorEastAsia" w:hAnsi="Palatino Linotype" w:cstheme="minorBidi"/>
          <w:i/>
          <w:color w:val="000000" w:themeColor="text1"/>
          <w:lang w:val="es-ES_tradnl"/>
        </w:rPr>
        <w:t>“</w:t>
      </w:r>
      <w:r w:rsidR="0065045C" w:rsidRPr="00211BF5">
        <w:rPr>
          <w:rFonts w:ascii="Palatino Linotype" w:eastAsiaTheme="minorEastAsia" w:hAnsi="Palatino Linotype" w:cstheme="minorBidi"/>
          <w:i/>
          <w:color w:val="000000" w:themeColor="text1"/>
          <w:lang w:val="es-ES_tradnl"/>
        </w:rPr>
        <w:t xml:space="preserve">QUIERO SABER CUANDO FUE LA ULTIMA SUPERVISION Y/O VERIFICACION QUE REALIZO REGULACION SANITARIA DEPENDIENTE DEL INSTITUTO DE SALUD DEL ESTADO DE MEXICO, A LA CLINICA DE ESPECIALIDADES MEDICAS CARTAGENA, MISMA QUE SE ENCUENTRE EN EJE CUATRO, ENTRE CALLE CUATRO Y CALLE CINCO, EN LA COLONIA LOMAS DE CARTAGENA EN EL MUNICIPIO DE TULTITLAN, ESTADO DE MEXICO, LO ANTERIOR YA QUE DICHA CLINICA CUENTA CON </w:t>
      </w:r>
      <w:r w:rsidR="0065045C" w:rsidRPr="00211BF5">
        <w:rPr>
          <w:rFonts w:ascii="Palatino Linotype" w:eastAsiaTheme="minorEastAsia" w:hAnsi="Palatino Linotype" w:cstheme="minorBidi"/>
          <w:i/>
          <w:color w:val="000000" w:themeColor="text1"/>
          <w:lang w:val="es-ES_tradnl"/>
        </w:rPr>
        <w:lastRenderedPageBreak/>
        <w:t>INSTALACIONES EN MALAS CONDICIONES, EXISTENCIA DE FAUNA NOCIVA, MALOS MANEJOS DE RPBI Y DE ROPERIA, ASI COMO MEDICOS GENERALES RELIZAN PROCEDIMIENTOS, TANTO CONSULTAS COMO OPERACIONES QUE REQUIEREN ESPECIALIDAD</w:t>
      </w:r>
      <w:r w:rsidR="00A12CB8" w:rsidRPr="00211BF5">
        <w:rPr>
          <w:rFonts w:ascii="Palatino Linotype" w:eastAsiaTheme="minorEastAsia" w:hAnsi="Palatino Linotype" w:cstheme="minorBidi"/>
          <w:i/>
          <w:color w:val="000000" w:themeColor="text1"/>
          <w:lang w:val="es-ES_tradnl"/>
        </w:rPr>
        <w:t>."</w:t>
      </w:r>
      <w:r w:rsidRPr="00211BF5">
        <w:rPr>
          <w:rFonts w:ascii="Palatino Linotype" w:eastAsiaTheme="minorEastAsia" w:hAnsi="Palatino Linotype" w:cstheme="minorBidi"/>
          <w:i/>
          <w:color w:val="000000" w:themeColor="text1"/>
          <w:lang w:val="es-ES_tradnl"/>
        </w:rPr>
        <w:t xml:space="preserve"> </w:t>
      </w:r>
      <w:r w:rsidRPr="00211BF5">
        <w:rPr>
          <w:rFonts w:ascii="Palatino Linotype" w:eastAsiaTheme="minorEastAsia" w:hAnsi="Palatino Linotype" w:cstheme="minorBidi"/>
          <w:color w:val="000000" w:themeColor="text1"/>
          <w:lang w:val="es-ES_tradnl"/>
        </w:rPr>
        <w:t>(Sic).</w:t>
      </w:r>
    </w:p>
    <w:p w14:paraId="1046CCE1" w14:textId="304A6F03" w:rsidR="00A415DB" w:rsidRPr="00211BF5" w:rsidRDefault="00A415DB" w:rsidP="00922656">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1A590C3B" w14:textId="540F3AAB" w:rsidR="007C4587" w:rsidRPr="00211BF5" w:rsidRDefault="00923BD9" w:rsidP="00216222">
      <w:pPr>
        <w:pStyle w:val="Prrafodelista"/>
        <w:numPr>
          <w:ilvl w:val="0"/>
          <w:numId w:val="1"/>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211BF5">
        <w:rPr>
          <w:rFonts w:ascii="Palatino Linotype" w:hAnsi="Palatino Linotype" w:cs="Arial"/>
        </w:rPr>
        <w:t>Se hace constar que</w:t>
      </w:r>
      <w:r w:rsidR="0065045C" w:rsidRPr="00211BF5">
        <w:rPr>
          <w:rFonts w:ascii="Palatino Linotype" w:hAnsi="Palatino Linotype" w:cs="Arial"/>
        </w:rPr>
        <w:t xml:space="preserve"> el particular no señaló modalidad de entrega, sin embargo, de conformidad con lo dispuesto por el artículo </w:t>
      </w:r>
      <w:r w:rsidR="008F4622" w:rsidRPr="00211BF5">
        <w:rPr>
          <w:rFonts w:ascii="Palatino Linotype" w:hAnsi="Palatino Linotype" w:cs="Arial"/>
        </w:rPr>
        <w:t>156</w:t>
      </w:r>
      <w:r w:rsidR="0065045C" w:rsidRPr="00211BF5">
        <w:rPr>
          <w:rFonts w:ascii="Palatino Linotype" w:hAnsi="Palatino Linotype" w:cs="Arial"/>
        </w:rPr>
        <w:t xml:space="preserve"> de la Ley de Transparencia y  Acceso a la Información del Estado de México y Municipios, se entenderá</w:t>
      </w:r>
      <w:r w:rsidR="0065045C" w:rsidRPr="00211BF5">
        <w:rPr>
          <w:rFonts w:ascii="Palatino Linotype" w:hAnsi="Palatino Linotype" w:cs="Arial"/>
          <w:color w:val="000000" w:themeColor="text1"/>
        </w:rPr>
        <w:t xml:space="preserve"> </w:t>
      </w:r>
      <w:r w:rsidRPr="00211BF5">
        <w:rPr>
          <w:rFonts w:ascii="Palatino Linotype" w:hAnsi="Palatino Linotype" w:cs="Arial"/>
        </w:rPr>
        <w:t>como modalidad de entrega de la información</w:t>
      </w:r>
      <w:r w:rsidRPr="00211BF5">
        <w:rPr>
          <w:rFonts w:ascii="Palatino Linotype" w:hAnsi="Palatino Linotype" w:cs="Arial"/>
          <w:b/>
        </w:rPr>
        <w:t>:</w:t>
      </w:r>
      <w:r w:rsidRPr="00211BF5">
        <w:rPr>
          <w:rFonts w:ascii="Palatino Linotype" w:hAnsi="Palatino Linotype" w:cs="Arial"/>
        </w:rPr>
        <w:t xml:space="preserve"> </w:t>
      </w:r>
      <w:r w:rsidRPr="00211BF5">
        <w:rPr>
          <w:rFonts w:ascii="Palatino Linotype" w:hAnsi="Palatino Linotype" w:cs="Arial"/>
          <w:b/>
        </w:rPr>
        <w:t>A través del SAIMEX.</w:t>
      </w:r>
    </w:p>
    <w:p w14:paraId="674A8B95" w14:textId="77777777" w:rsidR="008F4622" w:rsidRPr="00211BF5" w:rsidRDefault="008F4622" w:rsidP="00922656">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1966F4C5" w:rsidR="004C338B" w:rsidRPr="00211BF5" w:rsidRDefault="00E54429" w:rsidP="00216222">
      <w:pPr>
        <w:pStyle w:val="Prrafodelista"/>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211BF5">
        <w:rPr>
          <w:rFonts w:ascii="Palatino Linotype" w:eastAsiaTheme="minorEastAsia" w:hAnsi="Palatino Linotype" w:cstheme="minorBidi"/>
          <w:color w:val="000000" w:themeColor="text1"/>
          <w:lang w:val="es-ES_tradnl"/>
        </w:rPr>
        <w:t>Posteriormente, el</w:t>
      </w:r>
      <w:r w:rsidR="001A0598" w:rsidRPr="00211BF5">
        <w:rPr>
          <w:rFonts w:ascii="Palatino Linotype" w:eastAsiaTheme="minorEastAsia" w:hAnsi="Palatino Linotype" w:cstheme="minorBidi"/>
          <w:color w:val="000000" w:themeColor="text1"/>
          <w:lang w:val="es-ES_tradnl"/>
        </w:rPr>
        <w:t xml:space="preserve"> </w:t>
      </w:r>
      <w:r w:rsidR="008F4622" w:rsidRPr="00211BF5">
        <w:rPr>
          <w:rFonts w:ascii="Palatino Linotype" w:eastAsiaTheme="minorEastAsia" w:hAnsi="Palatino Linotype" w:cstheme="minorBidi"/>
          <w:color w:val="000000" w:themeColor="text1"/>
          <w:lang w:val="es-ES_tradnl"/>
        </w:rPr>
        <w:t>treinta (30</w:t>
      </w:r>
      <w:r w:rsidR="00BA3CDE" w:rsidRPr="00211BF5">
        <w:rPr>
          <w:rFonts w:ascii="Palatino Linotype" w:eastAsiaTheme="minorEastAsia" w:hAnsi="Palatino Linotype" w:cstheme="minorBidi"/>
          <w:color w:val="000000" w:themeColor="text1"/>
          <w:lang w:val="es-ES_tradnl"/>
        </w:rPr>
        <w:t>) de</w:t>
      </w:r>
      <w:r w:rsidR="008F4622" w:rsidRPr="00211BF5">
        <w:rPr>
          <w:rFonts w:ascii="Palatino Linotype" w:eastAsiaTheme="minorEastAsia" w:hAnsi="Palatino Linotype" w:cstheme="minorBidi"/>
          <w:color w:val="000000" w:themeColor="text1"/>
          <w:lang w:val="es-ES_tradnl"/>
        </w:rPr>
        <w:t xml:space="preserve"> enero de dos mil veintitrés</w:t>
      </w:r>
      <w:r w:rsidR="00EA0165" w:rsidRPr="00211BF5">
        <w:rPr>
          <w:rFonts w:ascii="Palatino Linotype" w:eastAsiaTheme="minorEastAsia" w:hAnsi="Palatino Linotype" w:cstheme="minorBidi"/>
          <w:color w:val="000000" w:themeColor="text1"/>
          <w:lang w:val="es-ES_tradnl"/>
        </w:rPr>
        <w:t xml:space="preserve">, el </w:t>
      </w:r>
      <w:r w:rsidR="00EA0165" w:rsidRPr="00211BF5">
        <w:rPr>
          <w:rFonts w:ascii="Palatino Linotype" w:eastAsiaTheme="minorEastAsia" w:hAnsi="Palatino Linotype" w:cstheme="minorBidi"/>
          <w:b/>
          <w:color w:val="000000" w:themeColor="text1"/>
          <w:lang w:val="es-ES_tradnl"/>
        </w:rPr>
        <w:t>SUJETO OBLIGADO</w:t>
      </w:r>
      <w:r w:rsidR="00EA0165" w:rsidRPr="00211BF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0BDF5206" w14:textId="77777777" w:rsidR="007C4587" w:rsidRPr="00211BF5" w:rsidRDefault="007C4587" w:rsidP="00922656">
      <w:pPr>
        <w:pStyle w:val="Prrafodelista"/>
        <w:spacing w:line="360" w:lineRule="auto"/>
        <w:rPr>
          <w:rFonts w:ascii="Palatino Linotype" w:eastAsia="MS Mincho" w:hAnsi="Palatino Linotype"/>
          <w:color w:val="000000" w:themeColor="text1"/>
          <w:lang w:val="es-ES_tradnl"/>
        </w:rPr>
      </w:pPr>
    </w:p>
    <w:p w14:paraId="453AD7BD" w14:textId="77777777" w:rsidR="007C4587" w:rsidRPr="00211BF5" w:rsidRDefault="007C4587" w:rsidP="0092265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D5961DD" w14:textId="77777777" w:rsidR="008F4622" w:rsidRPr="00211BF5" w:rsidRDefault="00EA0165" w:rsidP="0092265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211BF5">
        <w:rPr>
          <w:rFonts w:ascii="Palatino Linotype" w:eastAsiaTheme="minorEastAsia" w:hAnsi="Palatino Linotype" w:cstheme="minorBidi"/>
          <w:i/>
          <w:noProof/>
          <w:color w:val="000000" w:themeColor="text1"/>
          <w:lang w:val="es-MX" w:eastAsia="es-MX"/>
        </w:rPr>
        <w:t>“</w:t>
      </w:r>
      <w:r w:rsidR="008F4622" w:rsidRPr="00211BF5">
        <w:rPr>
          <w:rFonts w:ascii="Palatino Linotype" w:eastAsiaTheme="minorEastAsia" w:hAnsi="Palatino Linotype" w:cstheme="minorBidi"/>
          <w:i/>
          <w:noProof/>
          <w:color w:val="000000" w:themeColor="text1"/>
          <w:lang w:val="es-MX" w:eastAsia="es-MX"/>
        </w:rPr>
        <w:t>Metepec, México a 30 de Enero de 2023</w:t>
      </w:r>
    </w:p>
    <w:p w14:paraId="790C2995" w14:textId="77777777" w:rsidR="008F4622" w:rsidRPr="00211BF5" w:rsidRDefault="008F4622" w:rsidP="0092265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211BF5">
        <w:rPr>
          <w:rFonts w:ascii="Palatino Linotype" w:eastAsiaTheme="minorEastAsia" w:hAnsi="Palatino Linotype" w:cstheme="minorBidi"/>
          <w:i/>
          <w:noProof/>
          <w:color w:val="000000" w:themeColor="text1"/>
          <w:lang w:val="es-MX" w:eastAsia="es-MX"/>
        </w:rPr>
        <w:t>Nombre del solicitante:</w:t>
      </w:r>
    </w:p>
    <w:p w14:paraId="62A43236" w14:textId="77777777" w:rsidR="008F4622" w:rsidRPr="00211BF5" w:rsidRDefault="008F4622" w:rsidP="0092265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211BF5">
        <w:rPr>
          <w:rFonts w:ascii="Palatino Linotype" w:eastAsiaTheme="minorEastAsia" w:hAnsi="Palatino Linotype" w:cstheme="minorBidi"/>
          <w:i/>
          <w:noProof/>
          <w:color w:val="000000" w:themeColor="text1"/>
          <w:lang w:val="es-MX" w:eastAsia="es-MX"/>
        </w:rPr>
        <w:t>Folio de la solicitud: 00046/ISEM/IP/2023</w:t>
      </w:r>
    </w:p>
    <w:p w14:paraId="7852A095" w14:textId="77777777" w:rsidR="008F4622" w:rsidRPr="00211BF5" w:rsidRDefault="008F4622" w:rsidP="0092265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50272FD6" w14:textId="77777777" w:rsidR="008F4622" w:rsidRPr="00211BF5" w:rsidRDefault="008F4622" w:rsidP="0092265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211BF5">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630601" w14:textId="77777777" w:rsidR="008F4622" w:rsidRPr="00211BF5" w:rsidRDefault="008F4622" w:rsidP="0092265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211BF5">
        <w:rPr>
          <w:rFonts w:ascii="Palatino Linotype" w:eastAsiaTheme="minorEastAsia" w:hAnsi="Palatino Linotype" w:cstheme="minorBidi"/>
          <w:i/>
          <w:noProof/>
          <w:color w:val="000000" w:themeColor="text1"/>
          <w:lang w:val="es-MX" w:eastAsia="es-MX"/>
        </w:rPr>
        <w:t>Se da atención a su solicitud.</w:t>
      </w:r>
    </w:p>
    <w:p w14:paraId="14E762E0" w14:textId="77777777" w:rsidR="008F4622" w:rsidRPr="00211BF5" w:rsidRDefault="008F4622" w:rsidP="0092265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13E9FF00" w14:textId="77777777" w:rsidR="008F4622" w:rsidRPr="00211BF5" w:rsidRDefault="008F4622" w:rsidP="0092265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211BF5">
        <w:rPr>
          <w:rFonts w:ascii="Palatino Linotype" w:eastAsiaTheme="minorEastAsia" w:hAnsi="Palatino Linotype" w:cstheme="minorBidi"/>
          <w:i/>
          <w:noProof/>
          <w:color w:val="000000" w:themeColor="text1"/>
          <w:lang w:val="es-MX" w:eastAsia="es-MX"/>
        </w:rPr>
        <w:t>ATENTAMENTE</w:t>
      </w:r>
    </w:p>
    <w:p w14:paraId="3FD7499C" w14:textId="7C051671" w:rsidR="00D01CEF" w:rsidRPr="00211BF5" w:rsidRDefault="008F4622" w:rsidP="0092265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211BF5">
        <w:rPr>
          <w:rFonts w:ascii="Palatino Linotype" w:eastAsiaTheme="minorEastAsia" w:hAnsi="Palatino Linotype" w:cstheme="minorBidi"/>
          <w:i/>
          <w:noProof/>
          <w:color w:val="000000" w:themeColor="text1"/>
          <w:lang w:val="es-MX" w:eastAsia="es-MX"/>
        </w:rPr>
        <w:t>LIC. ELOINA SILVETTE DÍAZ GUTIÉRREZ</w:t>
      </w:r>
      <w:r w:rsidR="001A0598" w:rsidRPr="00211BF5">
        <w:rPr>
          <w:rFonts w:ascii="Palatino Linotype" w:eastAsiaTheme="minorEastAsia" w:hAnsi="Palatino Linotype" w:cstheme="minorBidi"/>
          <w:i/>
          <w:noProof/>
          <w:color w:val="000000" w:themeColor="text1"/>
          <w:lang w:val="es-MX" w:eastAsia="es-MX"/>
        </w:rPr>
        <w:t>.” (Sic)</w:t>
      </w:r>
    </w:p>
    <w:p w14:paraId="43054D8F" w14:textId="77777777" w:rsidR="007C4587" w:rsidRPr="00211BF5" w:rsidRDefault="007C4587" w:rsidP="0092265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1AA97197" w14:textId="6CD40683" w:rsidR="00EA0165" w:rsidRPr="00211BF5" w:rsidRDefault="00EA0165" w:rsidP="00216222">
      <w:pPr>
        <w:pStyle w:val="Prrafodelista"/>
        <w:numPr>
          <w:ilvl w:val="0"/>
          <w:numId w:val="1"/>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11BF5">
        <w:rPr>
          <w:rFonts w:ascii="Palatino Linotype" w:eastAsiaTheme="minorEastAsia" w:hAnsi="Palatino Linotype" w:cstheme="minorBidi"/>
          <w:color w:val="000000" w:themeColor="text1"/>
          <w:lang w:val="es-ES_tradnl"/>
        </w:rPr>
        <w:t xml:space="preserve">Asimismo, el </w:t>
      </w:r>
      <w:r w:rsidRPr="00211BF5">
        <w:rPr>
          <w:rFonts w:ascii="Palatino Linotype" w:eastAsiaTheme="minorEastAsia" w:hAnsi="Palatino Linotype" w:cstheme="minorBidi"/>
          <w:b/>
          <w:bCs/>
          <w:color w:val="000000" w:themeColor="text1"/>
          <w:lang w:val="es-ES_tradnl"/>
        </w:rPr>
        <w:t>SUJETO OBLIGADO</w:t>
      </w:r>
      <w:r w:rsidRPr="00211BF5">
        <w:rPr>
          <w:rFonts w:ascii="Palatino Linotype" w:eastAsiaTheme="minorEastAsia" w:hAnsi="Palatino Linotype" w:cstheme="minorBidi"/>
          <w:color w:val="000000" w:themeColor="text1"/>
          <w:lang w:val="es-ES_tradnl"/>
        </w:rPr>
        <w:t xml:space="preserve"> adjuntó a su respuesta </w:t>
      </w:r>
      <w:r w:rsidR="00876F23" w:rsidRPr="00211BF5">
        <w:rPr>
          <w:rFonts w:ascii="Palatino Linotype" w:eastAsiaTheme="minorEastAsia" w:hAnsi="Palatino Linotype" w:cstheme="minorBidi"/>
          <w:color w:val="000000" w:themeColor="text1"/>
          <w:lang w:val="es-ES_tradnl"/>
        </w:rPr>
        <w:t>los</w:t>
      </w:r>
      <w:r w:rsidR="00F82FD4" w:rsidRPr="00211BF5">
        <w:rPr>
          <w:rFonts w:ascii="Palatino Linotype" w:eastAsiaTheme="minorEastAsia" w:hAnsi="Palatino Linotype" w:cstheme="minorBidi"/>
          <w:color w:val="000000" w:themeColor="text1"/>
          <w:lang w:val="es-ES_tradnl"/>
        </w:rPr>
        <w:t xml:space="preserve"> archivo</w:t>
      </w:r>
      <w:r w:rsidR="00876F23" w:rsidRPr="00211BF5">
        <w:rPr>
          <w:rFonts w:ascii="Palatino Linotype" w:eastAsiaTheme="minorEastAsia" w:hAnsi="Palatino Linotype" w:cstheme="minorBidi"/>
          <w:color w:val="000000" w:themeColor="text1"/>
          <w:lang w:val="es-ES_tradnl"/>
        </w:rPr>
        <w:t>s</w:t>
      </w:r>
      <w:r w:rsidR="00376142" w:rsidRPr="00211BF5">
        <w:rPr>
          <w:rFonts w:ascii="Palatino Linotype" w:eastAsiaTheme="minorEastAsia" w:hAnsi="Palatino Linotype" w:cstheme="minorBidi"/>
          <w:color w:val="000000" w:themeColor="text1"/>
          <w:lang w:val="es-ES_tradnl"/>
        </w:rPr>
        <w:t xml:space="preserve"> </w:t>
      </w:r>
      <w:r w:rsidRPr="00211BF5">
        <w:rPr>
          <w:rFonts w:ascii="Palatino Linotype" w:eastAsiaTheme="minorEastAsia" w:hAnsi="Palatino Linotype" w:cstheme="minorBidi"/>
          <w:color w:val="000000" w:themeColor="text1"/>
          <w:lang w:val="es-ES_tradnl"/>
        </w:rPr>
        <w:t>electrónico</w:t>
      </w:r>
      <w:r w:rsidR="00876F23" w:rsidRPr="00211BF5">
        <w:rPr>
          <w:rFonts w:ascii="Palatino Linotype" w:eastAsiaTheme="minorEastAsia" w:hAnsi="Palatino Linotype" w:cstheme="minorBidi"/>
          <w:color w:val="000000" w:themeColor="text1"/>
          <w:lang w:val="es-ES_tradnl"/>
        </w:rPr>
        <w:t>s</w:t>
      </w:r>
      <w:r w:rsidR="00F82FD4" w:rsidRPr="00211BF5">
        <w:rPr>
          <w:rFonts w:ascii="Palatino Linotype" w:eastAsiaTheme="minorEastAsia" w:hAnsi="Palatino Linotype" w:cstheme="minorBidi"/>
          <w:color w:val="000000" w:themeColor="text1"/>
          <w:lang w:val="es-ES_tradnl"/>
        </w:rPr>
        <w:t xml:space="preserve"> </w:t>
      </w:r>
      <w:r w:rsidRPr="00211BF5">
        <w:rPr>
          <w:rFonts w:ascii="Palatino Linotype" w:eastAsiaTheme="minorEastAsia" w:hAnsi="Palatino Linotype" w:cstheme="minorBidi"/>
          <w:color w:val="000000" w:themeColor="text1"/>
          <w:lang w:val="es-ES_tradnl"/>
        </w:rPr>
        <w:t>que se describe</w:t>
      </w:r>
      <w:r w:rsidR="00876F23" w:rsidRPr="00211BF5">
        <w:rPr>
          <w:rFonts w:ascii="Palatino Linotype" w:eastAsiaTheme="minorEastAsia" w:hAnsi="Palatino Linotype" w:cstheme="minorBidi"/>
          <w:color w:val="000000" w:themeColor="text1"/>
          <w:lang w:val="es-ES_tradnl"/>
        </w:rPr>
        <w:t>n</w:t>
      </w:r>
      <w:r w:rsidRPr="00211BF5">
        <w:rPr>
          <w:rFonts w:ascii="Palatino Linotype" w:eastAsiaTheme="minorEastAsia" w:hAnsi="Palatino Linotype" w:cstheme="minorBidi"/>
          <w:color w:val="000000" w:themeColor="text1"/>
          <w:lang w:val="es-ES_tradnl"/>
        </w:rPr>
        <w:t xml:space="preserve"> a continuación:</w:t>
      </w:r>
    </w:p>
    <w:p w14:paraId="72E028F0" w14:textId="77777777" w:rsidR="004C338B" w:rsidRPr="00211BF5" w:rsidRDefault="004C338B" w:rsidP="00922656">
      <w:pPr>
        <w:tabs>
          <w:tab w:val="left" w:pos="284"/>
          <w:tab w:val="left" w:pos="426"/>
        </w:tabs>
        <w:spacing w:line="360" w:lineRule="auto"/>
        <w:contextualSpacing/>
        <w:jc w:val="both"/>
        <w:rPr>
          <w:rFonts w:ascii="Palatino Linotype" w:hAnsi="Palatino Linotype"/>
        </w:rPr>
      </w:pPr>
    </w:p>
    <w:p w14:paraId="34EF06E8" w14:textId="77777777" w:rsidR="008F4622" w:rsidRPr="00211BF5" w:rsidRDefault="004331DC" w:rsidP="00216222">
      <w:pPr>
        <w:pStyle w:val="Prrafodelista"/>
        <w:numPr>
          <w:ilvl w:val="0"/>
          <w:numId w:val="4"/>
        </w:numPr>
        <w:tabs>
          <w:tab w:val="left" w:pos="284"/>
          <w:tab w:val="left" w:pos="360"/>
        </w:tabs>
        <w:spacing w:line="360" w:lineRule="auto"/>
        <w:ind w:left="567" w:right="616" w:firstLine="0"/>
        <w:contextualSpacing/>
        <w:jc w:val="both"/>
        <w:rPr>
          <w:rFonts w:ascii="Palatino Linotype" w:hAnsi="Palatino Linotype"/>
          <w:lang w:val="es-ES_tradnl"/>
        </w:rPr>
      </w:pPr>
      <w:hyperlink r:id="rId8" w:tgtFrame="_blank" w:history="1">
        <w:r w:rsidR="008F4622" w:rsidRPr="00211BF5">
          <w:rPr>
            <w:rStyle w:val="Hipervnculo"/>
            <w:rFonts w:ascii="Palatino Linotype" w:hAnsi="Palatino Linotype"/>
            <w:b/>
            <w:bCs/>
            <w:color w:val="0D0D0D" w:themeColor="text1" w:themeTint="F2"/>
            <w:u w:val="none"/>
          </w:rPr>
          <w:t>0073 SAIMEX 46.pdf</w:t>
        </w:r>
      </w:hyperlink>
      <w:hyperlink r:id="rId9" w:tgtFrame="_blank" w:history="1"/>
      <w:r w:rsidR="008F4622" w:rsidRPr="00211BF5">
        <w:rPr>
          <w:rFonts w:ascii="Palatino Linotype" w:hAnsi="Palatino Linotype"/>
          <w:b/>
          <w:lang w:val="es-ES_tradnl"/>
        </w:rPr>
        <w:t>:</w:t>
      </w:r>
      <w:r w:rsidR="008F4622" w:rsidRPr="00211BF5">
        <w:rPr>
          <w:rFonts w:ascii="Palatino Linotype" w:hAnsi="Palatino Linotype"/>
          <w:lang w:val="es-ES_tradnl"/>
        </w:rPr>
        <w:t xml:space="preserve"> Documento electrónico que en una (01) hoja contiene el oficio 208C0101200000L/0073/2023 dirigido a la Jefa de la Unidad de Información, Planeación, Programación y Evaluación del ISEM; y suscrito por el Coordinador de Regulación Sanitaria y Comisionado Para la Protección Contra Registros Sanitarios del Estado de México, mediante el cual refiere que: </w:t>
      </w:r>
    </w:p>
    <w:p w14:paraId="0AC3D747" w14:textId="77777777" w:rsidR="008F4622" w:rsidRPr="00211BF5" w:rsidRDefault="008F4622" w:rsidP="00922656">
      <w:pPr>
        <w:pStyle w:val="Prrafodelista"/>
        <w:tabs>
          <w:tab w:val="left" w:pos="284"/>
          <w:tab w:val="left" w:pos="360"/>
        </w:tabs>
        <w:spacing w:line="360" w:lineRule="auto"/>
        <w:ind w:left="567" w:right="616"/>
        <w:contextualSpacing/>
        <w:jc w:val="both"/>
        <w:rPr>
          <w:rFonts w:ascii="Palatino Linotype" w:hAnsi="Palatino Linotype"/>
          <w:lang w:val="es-ES_tradnl"/>
        </w:rPr>
      </w:pPr>
    </w:p>
    <w:p w14:paraId="28AAB544" w14:textId="50E8B711" w:rsidR="008F4622" w:rsidRPr="00211BF5" w:rsidRDefault="006B158B" w:rsidP="00922656">
      <w:pPr>
        <w:pStyle w:val="Prrafodelista"/>
        <w:tabs>
          <w:tab w:val="left" w:pos="284"/>
          <w:tab w:val="left" w:pos="360"/>
        </w:tabs>
        <w:spacing w:line="360" w:lineRule="auto"/>
        <w:ind w:left="567" w:right="616"/>
        <w:contextualSpacing/>
        <w:jc w:val="both"/>
        <w:rPr>
          <w:rFonts w:ascii="Palatino Linotype" w:hAnsi="Palatino Linotype"/>
          <w:lang w:val="es-ES_tradnl"/>
        </w:rPr>
      </w:pPr>
      <w:r w:rsidRPr="00211BF5">
        <w:rPr>
          <w:rFonts w:ascii="Palatino Linotype" w:hAnsi="Palatino Linotype"/>
          <w:i/>
          <w:lang w:val="es-ES_tradnl"/>
        </w:rPr>
        <w:t xml:space="preserve">“ … </w:t>
      </w:r>
      <w:r w:rsidR="008F4622" w:rsidRPr="00211BF5">
        <w:rPr>
          <w:rFonts w:ascii="Palatino Linotype" w:hAnsi="Palatino Linotype"/>
          <w:i/>
          <w:lang w:val="es-ES_tradnl"/>
        </w:rPr>
        <w:t xml:space="preserve">Con fundamento en lo dispuesto en el artículo 162 de la Ley de Transparencia y Acceso a la Información Pública del Estado de México y Municipios, de3spúes de realizar un búsqueda exhaustiva y razonable de la información solicitada en los controles de registro como lo son el Sistema Integral de Información de Protección de Verificación Sanitaria, no se localizó ninguna visita de verificación sanitaria practicada al establecimiento de mérito”  </w:t>
      </w:r>
    </w:p>
    <w:p w14:paraId="5C695EE7" w14:textId="77777777" w:rsidR="008F4622" w:rsidRPr="00211BF5" w:rsidRDefault="008F4622" w:rsidP="00922656">
      <w:pPr>
        <w:pStyle w:val="Prrafodelista"/>
        <w:tabs>
          <w:tab w:val="left" w:pos="284"/>
          <w:tab w:val="left" w:pos="360"/>
        </w:tabs>
        <w:spacing w:line="360" w:lineRule="auto"/>
        <w:ind w:left="360" w:right="616"/>
        <w:contextualSpacing/>
        <w:jc w:val="both"/>
        <w:rPr>
          <w:rFonts w:ascii="Palatino Linotype" w:hAnsi="Palatino Linotype"/>
          <w:i/>
          <w:lang w:val="es-ES_tradnl"/>
        </w:rPr>
      </w:pPr>
    </w:p>
    <w:p w14:paraId="5A8C15E9" w14:textId="3BF4C723" w:rsidR="008F4622" w:rsidRPr="00211BF5" w:rsidRDefault="004331DC" w:rsidP="00216222">
      <w:pPr>
        <w:pStyle w:val="Prrafodelista"/>
        <w:numPr>
          <w:ilvl w:val="0"/>
          <w:numId w:val="4"/>
        </w:numPr>
        <w:tabs>
          <w:tab w:val="left" w:pos="284"/>
          <w:tab w:val="left" w:pos="360"/>
        </w:tabs>
        <w:spacing w:line="360" w:lineRule="auto"/>
        <w:ind w:left="709" w:right="616" w:hanging="283"/>
        <w:contextualSpacing/>
        <w:jc w:val="both"/>
        <w:rPr>
          <w:rFonts w:ascii="Palatino Linotype" w:hAnsi="Palatino Linotype"/>
          <w:i/>
          <w:lang w:val="es-ES_tradnl"/>
        </w:rPr>
      </w:pPr>
      <w:hyperlink r:id="rId10" w:tgtFrame="_blank" w:history="1">
        <w:r w:rsidR="008F4622" w:rsidRPr="00211BF5">
          <w:rPr>
            <w:rStyle w:val="Hipervnculo"/>
            <w:rFonts w:ascii="Palatino Linotype" w:hAnsi="Palatino Linotype"/>
            <w:b/>
            <w:bCs/>
            <w:color w:val="0D0D0D" w:themeColor="text1" w:themeTint="F2"/>
            <w:u w:val="none"/>
          </w:rPr>
          <w:t>0073 SAIMEX 46.pdf</w:t>
        </w:r>
      </w:hyperlink>
      <w:hyperlink r:id="rId11" w:tgtFrame="_blank" w:history="1"/>
      <w:r w:rsidR="008F4622" w:rsidRPr="00211BF5">
        <w:rPr>
          <w:rFonts w:ascii="Palatino Linotype" w:hAnsi="Palatino Linotype"/>
          <w:b/>
          <w:lang w:val="es-ES_tradnl"/>
        </w:rPr>
        <w:t>:</w:t>
      </w:r>
      <w:r w:rsidR="008F4622" w:rsidRPr="00211BF5">
        <w:rPr>
          <w:rFonts w:ascii="Palatino Linotype" w:hAnsi="Palatino Linotype"/>
          <w:lang w:val="es-ES_tradnl"/>
        </w:rPr>
        <w:t xml:space="preserve"> Documento electrónico que en dos (02) hojas contiene el oficio ISEM/SAIMEX/061/2023 dirigido al solicitante y suscrito por el Jefe de la Unidad de Información, Planeación, </w:t>
      </w:r>
      <w:r w:rsidR="008F4622" w:rsidRPr="00211BF5">
        <w:rPr>
          <w:rFonts w:ascii="Palatino Linotype" w:hAnsi="Palatino Linotype"/>
          <w:lang w:val="es-ES_tradnl"/>
        </w:rPr>
        <w:lastRenderedPageBreak/>
        <w:t xml:space="preserve">Programación y Evaluación, mediante el cual medularmente se refiere que se pone a disposición la información remitida por el servidor público habilitado. </w:t>
      </w:r>
    </w:p>
    <w:p w14:paraId="30B63C9A" w14:textId="655FB93C" w:rsidR="00ED2605" w:rsidRPr="00211BF5" w:rsidRDefault="00ED2605" w:rsidP="00922656">
      <w:pPr>
        <w:tabs>
          <w:tab w:val="left" w:pos="284"/>
          <w:tab w:val="left" w:pos="360"/>
        </w:tabs>
        <w:spacing w:line="360" w:lineRule="auto"/>
        <w:ind w:right="616"/>
        <w:contextualSpacing/>
        <w:jc w:val="both"/>
        <w:rPr>
          <w:rFonts w:ascii="Palatino Linotype" w:hAnsi="Palatino Linotype"/>
          <w:i/>
          <w:lang w:val="es-ES_tradnl"/>
        </w:rPr>
      </w:pPr>
    </w:p>
    <w:p w14:paraId="4BB5C5BA" w14:textId="489C6F01" w:rsidR="00EA0165" w:rsidRPr="00211BF5" w:rsidRDefault="00EA0165" w:rsidP="00216222">
      <w:pPr>
        <w:pStyle w:val="Prrafodelista"/>
        <w:numPr>
          <w:ilvl w:val="0"/>
          <w:numId w:val="1"/>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11BF5">
        <w:rPr>
          <w:rFonts w:ascii="Palatino Linotype" w:hAnsi="Palatino Linotype" w:cs="Arial"/>
          <w:color w:val="000000" w:themeColor="text1"/>
        </w:rPr>
        <w:t xml:space="preserve">Derivado de la respuesta emitida por el </w:t>
      </w:r>
      <w:r w:rsidRPr="00211BF5">
        <w:rPr>
          <w:rFonts w:ascii="Palatino Linotype" w:hAnsi="Palatino Linotype" w:cs="Arial"/>
          <w:b/>
          <w:color w:val="000000" w:themeColor="text1"/>
        </w:rPr>
        <w:t>SUJETO OBLIGADO</w:t>
      </w:r>
      <w:r w:rsidRPr="00211BF5">
        <w:rPr>
          <w:rFonts w:ascii="Palatino Linotype" w:hAnsi="Palatino Linotype" w:cs="Arial"/>
          <w:color w:val="000000" w:themeColor="text1"/>
        </w:rPr>
        <w:t>, e</w:t>
      </w:r>
      <w:r w:rsidR="00A12CB8" w:rsidRPr="00211BF5">
        <w:rPr>
          <w:rFonts w:ascii="Palatino Linotype" w:hAnsi="Palatino Linotype" w:cs="Arial"/>
          <w:color w:val="000000" w:themeColor="text1"/>
        </w:rPr>
        <w:t xml:space="preserve">l </w:t>
      </w:r>
      <w:r w:rsidR="008F4622" w:rsidRPr="00211BF5">
        <w:rPr>
          <w:rFonts w:ascii="Palatino Linotype" w:hAnsi="Palatino Linotype" w:cs="Arial"/>
          <w:color w:val="000000" w:themeColor="text1"/>
        </w:rPr>
        <w:t>treinta y uno (31</w:t>
      </w:r>
      <w:r w:rsidR="00ED2605" w:rsidRPr="00211BF5">
        <w:rPr>
          <w:rFonts w:ascii="Palatino Linotype" w:hAnsi="Palatino Linotype" w:cs="Arial"/>
          <w:color w:val="000000" w:themeColor="text1"/>
        </w:rPr>
        <w:t xml:space="preserve">) </w:t>
      </w:r>
      <w:r w:rsidR="004936CD" w:rsidRPr="00211BF5">
        <w:rPr>
          <w:rFonts w:ascii="Palatino Linotype" w:hAnsi="Palatino Linotype" w:cs="Arial"/>
          <w:color w:val="000000" w:themeColor="text1"/>
        </w:rPr>
        <w:t>de</w:t>
      </w:r>
      <w:r w:rsidR="008F4622" w:rsidRPr="00211BF5">
        <w:rPr>
          <w:rFonts w:ascii="Palatino Linotype" w:hAnsi="Palatino Linotype" w:cs="Arial"/>
          <w:color w:val="000000" w:themeColor="text1"/>
        </w:rPr>
        <w:t xml:space="preserve"> enero </w:t>
      </w:r>
      <w:r w:rsidR="005419F6" w:rsidRPr="00211BF5">
        <w:rPr>
          <w:rFonts w:ascii="Palatino Linotype" w:hAnsi="Palatino Linotype" w:cs="Arial"/>
          <w:color w:val="000000" w:themeColor="text1"/>
        </w:rPr>
        <w:t>de dos mil veintitrés</w:t>
      </w:r>
      <w:r w:rsidR="00A12CB8" w:rsidRPr="00211BF5">
        <w:rPr>
          <w:rFonts w:ascii="Palatino Linotype" w:hAnsi="Palatino Linotype" w:cs="Arial"/>
          <w:color w:val="000000" w:themeColor="text1"/>
        </w:rPr>
        <w:t>, el</w:t>
      </w:r>
      <w:r w:rsidRPr="00211BF5">
        <w:rPr>
          <w:rFonts w:ascii="Palatino Linotype" w:hAnsi="Palatino Linotype" w:cs="Arial"/>
          <w:color w:val="000000" w:themeColor="text1"/>
        </w:rPr>
        <w:t xml:space="preserve"> particular interpuso el recurso de revisión</w:t>
      </w:r>
      <w:r w:rsidR="009815B6" w:rsidRPr="00211BF5">
        <w:rPr>
          <w:rFonts w:ascii="Palatino Linotype" w:eastAsiaTheme="minorEastAsia" w:hAnsi="Palatino Linotype" w:cstheme="minorBidi"/>
          <w:color w:val="000000" w:themeColor="text1"/>
          <w:lang w:val="es-ES_tradnl"/>
        </w:rPr>
        <w:t xml:space="preserve"> </w:t>
      </w:r>
      <w:r w:rsidR="005419F6" w:rsidRPr="00211BF5">
        <w:rPr>
          <w:rFonts w:ascii="Palatino Linotype" w:eastAsiaTheme="minorEastAsia" w:hAnsi="Palatino Linotype" w:cstheme="minorBidi"/>
          <w:b/>
          <w:color w:val="000000" w:themeColor="text1"/>
        </w:rPr>
        <w:t>00568/INFOEM/IP/RR/2023</w:t>
      </w:r>
      <w:r w:rsidRPr="00211BF5">
        <w:rPr>
          <w:rFonts w:ascii="Palatino Linotype" w:eastAsia="Calibri" w:hAnsi="Palatino Linotype" w:cs="Arial"/>
          <w:b/>
          <w:color w:val="000000" w:themeColor="text1"/>
        </w:rPr>
        <w:t>;</w:t>
      </w:r>
      <w:r w:rsidRPr="00211BF5">
        <w:rPr>
          <w:rFonts w:ascii="Palatino Linotype" w:hAnsi="Palatino Linotype" w:cs="Arial"/>
          <w:color w:val="000000" w:themeColor="text1"/>
        </w:rPr>
        <w:t xml:space="preserve"> impugnación en la que refirió lo siguiente:</w:t>
      </w:r>
    </w:p>
    <w:p w14:paraId="176F4252" w14:textId="77777777" w:rsidR="00EA0165" w:rsidRPr="00211BF5" w:rsidRDefault="00EA0165" w:rsidP="00922656">
      <w:pPr>
        <w:tabs>
          <w:tab w:val="left" w:pos="426"/>
        </w:tabs>
        <w:spacing w:line="360" w:lineRule="auto"/>
        <w:ind w:left="284"/>
        <w:contextualSpacing/>
        <w:jc w:val="both"/>
        <w:rPr>
          <w:rFonts w:ascii="Palatino Linotype" w:hAnsi="Palatino Linotype" w:cs="Arial"/>
          <w:color w:val="000000" w:themeColor="text1"/>
        </w:rPr>
      </w:pPr>
    </w:p>
    <w:p w14:paraId="6DCD2188" w14:textId="38E56AE0" w:rsidR="005419F6" w:rsidRPr="00211BF5" w:rsidRDefault="00EA0165" w:rsidP="00922656">
      <w:pPr>
        <w:tabs>
          <w:tab w:val="left" w:pos="426"/>
          <w:tab w:val="left" w:pos="567"/>
        </w:tabs>
        <w:spacing w:line="360" w:lineRule="auto"/>
        <w:ind w:left="567" w:right="918"/>
        <w:contextualSpacing/>
        <w:jc w:val="both"/>
        <w:rPr>
          <w:rFonts w:ascii="Palatino Linotype" w:hAnsi="Palatino Linotype" w:cs="Arial"/>
          <w:color w:val="000000" w:themeColor="text1"/>
        </w:rPr>
      </w:pPr>
      <w:r w:rsidRPr="00211BF5">
        <w:rPr>
          <w:rFonts w:ascii="Palatino Linotype" w:hAnsi="Palatino Linotype" w:cs="Arial"/>
          <w:b/>
          <w:color w:val="000000" w:themeColor="text1"/>
        </w:rPr>
        <w:t>Acto impugnado:</w:t>
      </w:r>
      <w:r w:rsidRPr="00211BF5">
        <w:rPr>
          <w:rFonts w:ascii="Palatino Linotype" w:hAnsi="Palatino Linotype" w:cs="Arial"/>
          <w:color w:val="000000" w:themeColor="text1"/>
        </w:rPr>
        <w:t xml:space="preserve"> </w:t>
      </w:r>
      <w:r w:rsidRPr="00211BF5">
        <w:rPr>
          <w:rFonts w:ascii="Palatino Linotype" w:hAnsi="Palatino Linotype" w:cs="Arial"/>
          <w:i/>
          <w:color w:val="000000" w:themeColor="text1"/>
        </w:rPr>
        <w:t>“</w:t>
      </w:r>
      <w:r w:rsidR="005419F6" w:rsidRPr="00211BF5">
        <w:rPr>
          <w:rFonts w:ascii="Palatino Linotype" w:hAnsi="Palatino Linotype" w:cs="Arial"/>
          <w:i/>
          <w:color w:val="000000" w:themeColor="text1"/>
        </w:rPr>
        <w:t>DERIVADO DE LA RESPUESTA EMITIDA EN FECHA 23 DE ENERO DEL PRESENTE AÑO, EN EL QUE LA QUE EL LICENCIADO SANTIAGO RAMOS MILLAN PINEDA, COORDINACION DE REGULACION SANITARIA Y COMISIONADO PARA LA PROTECCION CONTRA RIESGOS SANITARIOS DEL ESTADO DE MEXICO, INFORMO QUE NO SE LOCALIZO NINGUNA VISITA DE VERIFICACION SANITARIA PRACTICADA A LA CLINICA DE ESPECIALIDADES MEDICAS CARTAGENA, MISMA QUE SE ENCUENTRE EN EJE CUATRO, ENTRE CALLE CUATRO Y CALLE CINCO, EN LA COLONIA LOMAS DE CARTAGENA EN EL MUNICIPIO DE TULTITLAN, ESTADO DE MEXICO, QUIERO SABER EL MOTIVO POR EL CUAL EN TANTOS AÑOS NO SE HA RELIZADO NINGUN TIPO DE VISITA O VERIFICACION SANITARIA</w:t>
      </w:r>
      <w:r w:rsidR="005419F6" w:rsidRPr="00211BF5">
        <w:rPr>
          <w:rFonts w:ascii="Palatino Linotype" w:hAnsi="Palatino Linotype" w:cs="Arial"/>
          <w:color w:val="000000" w:themeColor="text1"/>
        </w:rPr>
        <w:t>.</w:t>
      </w:r>
      <w:r w:rsidR="005419F6" w:rsidRPr="00211BF5">
        <w:rPr>
          <w:rFonts w:ascii="Palatino Linotype" w:hAnsi="Palatino Linotype" w:cs="Arial"/>
          <w:i/>
          <w:color w:val="000000" w:themeColor="text1"/>
        </w:rPr>
        <w:t>..”</w:t>
      </w:r>
      <w:r w:rsidR="005419F6" w:rsidRPr="00211BF5">
        <w:rPr>
          <w:rFonts w:ascii="Palatino Linotype" w:hAnsi="Palatino Linotype" w:cs="Arial"/>
          <w:color w:val="000000" w:themeColor="text1"/>
        </w:rPr>
        <w:t>(Sic).</w:t>
      </w:r>
    </w:p>
    <w:p w14:paraId="552C6645" w14:textId="77777777" w:rsidR="001B234C" w:rsidRPr="00211BF5" w:rsidRDefault="001B234C" w:rsidP="00922656">
      <w:pPr>
        <w:tabs>
          <w:tab w:val="left" w:pos="0"/>
        </w:tabs>
        <w:spacing w:line="360" w:lineRule="auto"/>
        <w:ind w:right="616"/>
        <w:contextualSpacing/>
        <w:jc w:val="both"/>
        <w:rPr>
          <w:rFonts w:ascii="Palatino Linotype" w:hAnsi="Palatino Linotype" w:cs="Arial"/>
          <w:color w:val="000000" w:themeColor="text1"/>
        </w:rPr>
      </w:pPr>
    </w:p>
    <w:p w14:paraId="7B42BA50" w14:textId="5008EA96" w:rsidR="00EA0165" w:rsidRPr="00211BF5" w:rsidRDefault="00EA0165" w:rsidP="00216222">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211BF5">
        <w:rPr>
          <w:rFonts w:ascii="Palatino Linotype" w:hAnsi="Palatino Linotype" w:cs="Arial"/>
          <w:color w:val="000000" w:themeColor="text1"/>
        </w:rPr>
        <w:lastRenderedPageBreak/>
        <w:t xml:space="preserve">Se registró el recurso de revisión bajo el número de expediente </w:t>
      </w:r>
      <w:r w:rsidRPr="00211BF5">
        <w:rPr>
          <w:rFonts w:ascii="Palatino Linotype" w:eastAsiaTheme="minorEastAsia" w:hAnsi="Palatino Linotype" w:cs="Arial"/>
          <w:bCs/>
          <w:color w:val="000000" w:themeColor="text1"/>
          <w:lang w:val="es-ES_tradnl"/>
        </w:rPr>
        <w:t xml:space="preserve">al rubro indicado, asimismo, con fundamento en lo dispuesto por el </w:t>
      </w:r>
      <w:r w:rsidRPr="00211BF5">
        <w:rPr>
          <w:rFonts w:ascii="Palatino Linotype" w:eastAsia="Calibri" w:hAnsi="Palatino Linotype" w:cs="Arial"/>
          <w:color w:val="000000" w:themeColor="text1"/>
        </w:rPr>
        <w:t xml:space="preserve">artículo 185 fracción I de la </w:t>
      </w:r>
      <w:r w:rsidRPr="00211BF5">
        <w:rPr>
          <w:rFonts w:ascii="Palatino Linotype" w:eastAsia="Calibri" w:hAnsi="Palatino Linotype" w:cs="Arial"/>
          <w:b/>
          <w:color w:val="000000" w:themeColor="text1"/>
        </w:rPr>
        <w:t xml:space="preserve">Ley de Transparencia y Acceso a la Información Pública del Estado de México y Municipios </w:t>
      </w:r>
      <w:r w:rsidR="005E6282" w:rsidRPr="00211BF5">
        <w:rPr>
          <w:rFonts w:ascii="Palatino Linotype" w:hAnsi="Palatino Linotype" w:cs="Arial"/>
          <w:color w:val="000000" w:themeColor="text1"/>
        </w:rPr>
        <w:t>se turnó a</w:t>
      </w:r>
      <w:r w:rsidR="00351568" w:rsidRPr="00211BF5">
        <w:rPr>
          <w:rFonts w:ascii="Palatino Linotype" w:hAnsi="Palatino Linotype" w:cs="Arial"/>
          <w:color w:val="000000" w:themeColor="text1"/>
        </w:rPr>
        <w:t xml:space="preserve"> la </w:t>
      </w:r>
      <w:r w:rsidR="00E3149E" w:rsidRPr="00211BF5">
        <w:rPr>
          <w:rFonts w:ascii="Palatino Linotype" w:hAnsi="Palatino Linotype" w:cs="Arial"/>
          <w:b/>
          <w:color w:val="000000" w:themeColor="text1"/>
        </w:rPr>
        <w:t>C</w:t>
      </w:r>
      <w:r w:rsidR="00351568" w:rsidRPr="00211BF5">
        <w:rPr>
          <w:rFonts w:ascii="Palatino Linotype" w:hAnsi="Palatino Linotype" w:cs="Arial"/>
          <w:b/>
          <w:color w:val="000000" w:themeColor="text1"/>
        </w:rPr>
        <w:t>omisionada María del Rosario Mejía Ayala</w:t>
      </w:r>
      <w:r w:rsidRPr="00211BF5">
        <w:rPr>
          <w:rFonts w:ascii="Palatino Linotype" w:hAnsi="Palatino Linotype" w:cs="Arial"/>
          <w:b/>
          <w:color w:val="000000" w:themeColor="text1"/>
        </w:rPr>
        <w:t xml:space="preserve">, </w:t>
      </w:r>
      <w:r w:rsidRPr="00211BF5">
        <w:rPr>
          <w:rFonts w:ascii="Palatino Linotype" w:hAnsi="Palatino Linotype" w:cs="Arial"/>
          <w:color w:val="000000" w:themeColor="text1"/>
        </w:rPr>
        <w:t xml:space="preserve">con el objeto de </w:t>
      </w:r>
      <w:r w:rsidRPr="00211BF5">
        <w:rPr>
          <w:rFonts w:ascii="Palatino Linotype" w:hAnsi="Palatino Linotype" w:cs="Arial"/>
          <w:color w:val="000000" w:themeColor="text1"/>
          <w:lang w:val="es-MX"/>
        </w:rPr>
        <w:t>su análisis.</w:t>
      </w:r>
    </w:p>
    <w:p w14:paraId="49F28BD1" w14:textId="77777777" w:rsidR="00EA0165" w:rsidRPr="00211BF5" w:rsidRDefault="00EA0165" w:rsidP="00922656">
      <w:pPr>
        <w:tabs>
          <w:tab w:val="left" w:pos="426"/>
        </w:tabs>
        <w:spacing w:line="360" w:lineRule="auto"/>
        <w:contextualSpacing/>
        <w:jc w:val="both"/>
        <w:rPr>
          <w:rFonts w:ascii="Palatino Linotype" w:eastAsia="Calibri" w:hAnsi="Palatino Linotype" w:cs="Arial"/>
          <w:color w:val="000000" w:themeColor="text1"/>
        </w:rPr>
      </w:pPr>
    </w:p>
    <w:p w14:paraId="78EABB65" w14:textId="4D832EF7" w:rsidR="00EA0165" w:rsidRPr="00211BF5" w:rsidRDefault="00351568" w:rsidP="00216222">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211BF5">
        <w:rPr>
          <w:rFonts w:ascii="Palatino Linotype" w:hAnsi="Palatino Linotype" w:cs="Arial"/>
          <w:color w:val="000000" w:themeColor="text1"/>
        </w:rPr>
        <w:t xml:space="preserve">La </w:t>
      </w:r>
      <w:r w:rsidRPr="00211BF5">
        <w:rPr>
          <w:rFonts w:ascii="Palatino Linotype" w:hAnsi="Palatino Linotype" w:cs="Arial"/>
          <w:b/>
          <w:color w:val="000000" w:themeColor="text1"/>
        </w:rPr>
        <w:t>Comisionada María del Rosario Mejía Ayala</w:t>
      </w:r>
      <w:r w:rsidR="00EA0165" w:rsidRPr="00211BF5">
        <w:rPr>
          <w:rFonts w:ascii="Palatino Linotype" w:eastAsia="Calibri" w:hAnsi="Palatino Linotype" w:cs="Arial"/>
          <w:color w:val="000000" w:themeColor="text1"/>
        </w:rPr>
        <w:t>, con fundamento en lo dispuesto por el artículo 185 fracción II de la ley de la materia, a través del acuerdo de admisión de</w:t>
      </w:r>
      <w:r w:rsidR="009B02C7" w:rsidRPr="00211BF5">
        <w:rPr>
          <w:rFonts w:ascii="Palatino Linotype" w:eastAsia="Calibri" w:hAnsi="Palatino Linotype" w:cs="Arial"/>
          <w:color w:val="000000" w:themeColor="text1"/>
        </w:rPr>
        <w:t xml:space="preserve"> tres</w:t>
      </w:r>
      <w:r w:rsidR="008426D8" w:rsidRPr="00211BF5">
        <w:rPr>
          <w:rFonts w:ascii="Palatino Linotype" w:eastAsia="Calibri" w:hAnsi="Palatino Linotype" w:cs="Arial"/>
          <w:color w:val="000000" w:themeColor="text1"/>
        </w:rPr>
        <w:t xml:space="preserve"> </w:t>
      </w:r>
      <w:r w:rsidR="00EA0165" w:rsidRPr="00211BF5">
        <w:rPr>
          <w:rFonts w:ascii="Palatino Linotype" w:eastAsia="Calibri" w:hAnsi="Palatino Linotype" w:cs="Arial"/>
          <w:color w:val="000000" w:themeColor="text1"/>
        </w:rPr>
        <w:t>(</w:t>
      </w:r>
      <w:r w:rsidR="009B02C7" w:rsidRPr="00211BF5">
        <w:rPr>
          <w:rFonts w:ascii="Palatino Linotype" w:eastAsia="Calibri" w:hAnsi="Palatino Linotype" w:cs="Arial"/>
          <w:color w:val="000000" w:themeColor="text1"/>
        </w:rPr>
        <w:t>03</w:t>
      </w:r>
      <w:r w:rsidR="00EA0165" w:rsidRPr="00211BF5">
        <w:rPr>
          <w:rFonts w:ascii="Palatino Linotype" w:eastAsia="Calibri" w:hAnsi="Palatino Linotype" w:cs="Arial"/>
          <w:color w:val="000000" w:themeColor="text1"/>
        </w:rPr>
        <w:t>) de</w:t>
      </w:r>
      <w:r w:rsidR="005419F6" w:rsidRPr="00211BF5">
        <w:rPr>
          <w:rFonts w:ascii="Palatino Linotype" w:eastAsia="Calibri" w:hAnsi="Palatino Linotype" w:cs="Arial"/>
          <w:color w:val="000000" w:themeColor="text1"/>
        </w:rPr>
        <w:t xml:space="preserve"> febrero</w:t>
      </w:r>
      <w:r w:rsidR="009815B6" w:rsidRPr="00211BF5">
        <w:rPr>
          <w:rFonts w:ascii="Palatino Linotype" w:eastAsia="Calibri" w:hAnsi="Palatino Linotype" w:cs="Arial"/>
          <w:color w:val="000000" w:themeColor="text1"/>
        </w:rPr>
        <w:t xml:space="preserve"> d</w:t>
      </w:r>
      <w:r w:rsidR="009B02C7" w:rsidRPr="00211BF5">
        <w:rPr>
          <w:rFonts w:ascii="Palatino Linotype" w:eastAsia="Calibri" w:hAnsi="Palatino Linotype" w:cs="Arial"/>
          <w:color w:val="000000" w:themeColor="text1"/>
        </w:rPr>
        <w:t>e dos mil veintitrés</w:t>
      </w:r>
      <w:r w:rsidR="00EA0165" w:rsidRPr="00211BF5">
        <w:rPr>
          <w:rFonts w:ascii="Palatino Linotype" w:eastAsia="Calibri" w:hAnsi="Palatino Linotype" w:cs="Arial"/>
          <w:color w:val="000000" w:themeColor="text1"/>
        </w:rPr>
        <w:t xml:space="preserve">, puso a disposición de las partes el expediente electrónico </w:t>
      </w:r>
      <w:r w:rsidR="00EA0165" w:rsidRPr="00211BF5">
        <w:rPr>
          <w:rFonts w:ascii="Palatino Linotype" w:eastAsia="Calibri" w:hAnsi="Palatino Linotype" w:cs="Arial"/>
          <w:color w:val="000000" w:themeColor="text1"/>
          <w:lang w:val="es-ES_tradnl"/>
        </w:rPr>
        <w:t xml:space="preserve">vía </w:t>
      </w:r>
      <w:r w:rsidR="00EA0165" w:rsidRPr="00211BF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211BF5">
        <w:rPr>
          <w:rFonts w:ascii="Palatino Linotype" w:eastAsia="Calibri" w:hAnsi="Palatino Linotype" w:cs="Arial"/>
          <w:b/>
          <w:color w:val="000000" w:themeColor="text1"/>
        </w:rPr>
        <w:t>SUJETO OBLIGADO</w:t>
      </w:r>
      <w:r w:rsidR="00EA0165" w:rsidRPr="00211BF5">
        <w:rPr>
          <w:rFonts w:ascii="Palatino Linotype" w:eastAsia="Calibri" w:hAnsi="Palatino Linotype" w:cs="Arial"/>
          <w:color w:val="000000" w:themeColor="text1"/>
        </w:rPr>
        <w:t xml:space="preserve"> presentara el</w:t>
      </w:r>
      <w:r w:rsidR="00266490" w:rsidRPr="00211BF5">
        <w:rPr>
          <w:rFonts w:ascii="Palatino Linotype" w:eastAsia="Calibri" w:hAnsi="Palatino Linotype" w:cs="Arial"/>
          <w:color w:val="000000" w:themeColor="text1"/>
        </w:rPr>
        <w:t xml:space="preserve"> </w:t>
      </w:r>
      <w:r w:rsidR="005419F6" w:rsidRPr="00211BF5">
        <w:rPr>
          <w:rFonts w:ascii="Palatino Linotype" w:eastAsia="Calibri" w:hAnsi="Palatino Linotype" w:cs="Arial"/>
          <w:color w:val="000000" w:themeColor="text1"/>
        </w:rPr>
        <w:t xml:space="preserve">informe justificado procedente, situación que no aconteció por las partes. </w:t>
      </w:r>
    </w:p>
    <w:p w14:paraId="009237E4" w14:textId="77777777" w:rsidR="009612D3" w:rsidRPr="00211BF5" w:rsidRDefault="009612D3" w:rsidP="00922656">
      <w:pPr>
        <w:spacing w:line="360" w:lineRule="auto"/>
        <w:rPr>
          <w:rFonts w:ascii="Palatino Linotype" w:eastAsia="Calibri" w:hAnsi="Palatino Linotype" w:cs="Arial"/>
          <w:color w:val="000000" w:themeColor="text1"/>
          <w:lang w:val="es-MX"/>
        </w:rPr>
      </w:pPr>
      <w:bookmarkStart w:id="5" w:name="_Toc461555889"/>
      <w:bookmarkStart w:id="6" w:name="_Toc466371858"/>
    </w:p>
    <w:p w14:paraId="7A6ED569" w14:textId="64638C44" w:rsidR="0057690A" w:rsidRPr="00211BF5" w:rsidRDefault="0057690A" w:rsidP="00216222">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7" w:name="_Toc68804758"/>
      <w:r w:rsidRPr="00211BF5">
        <w:rPr>
          <w:rFonts w:ascii="Palatino Linotype" w:eastAsiaTheme="minorEastAsia" w:hAnsi="Palatino Linotype" w:cstheme="minorBidi"/>
          <w:color w:val="000000" w:themeColor="text1"/>
          <w:lang w:val="es-ES_tradnl"/>
        </w:rPr>
        <w:t>Así las cosas, la</w:t>
      </w:r>
      <w:r w:rsidRPr="00211BF5">
        <w:rPr>
          <w:rFonts w:ascii="Palatino Linotype" w:eastAsiaTheme="minorEastAsia" w:hAnsi="Palatino Linotype" w:cstheme="minorBidi"/>
          <w:b/>
          <w:color w:val="000000" w:themeColor="text1"/>
          <w:lang w:val="es-ES_tradnl"/>
        </w:rPr>
        <w:t xml:space="preserve"> Comisionada María del Rosario Mejía Ayala</w:t>
      </w:r>
      <w:r w:rsidRPr="00211BF5">
        <w:rPr>
          <w:rFonts w:ascii="Palatino Linotype" w:eastAsiaTheme="minorEastAsia" w:hAnsi="Palatino Linotype" w:cstheme="minorBidi"/>
          <w:color w:val="000000" w:themeColor="text1"/>
          <w:lang w:val="es-ES_tradnl"/>
        </w:rPr>
        <w:t xml:space="preserve"> decretó el cierre de instrucción mediante</w:t>
      </w:r>
      <w:r w:rsidR="00156607" w:rsidRPr="00211BF5">
        <w:rPr>
          <w:rFonts w:ascii="Palatino Linotype" w:eastAsiaTheme="minorEastAsia" w:hAnsi="Palatino Linotype" w:cstheme="minorBidi"/>
          <w:color w:val="000000" w:themeColor="text1"/>
          <w:lang w:val="es-ES_tradnl"/>
        </w:rPr>
        <w:t xml:space="preserve"> acuerdo de fecha dieciséis (16</w:t>
      </w:r>
      <w:r w:rsidRPr="00211BF5">
        <w:rPr>
          <w:rFonts w:ascii="Palatino Linotype" w:eastAsiaTheme="minorEastAsia" w:hAnsi="Palatino Linotype" w:cstheme="minorBidi"/>
          <w:color w:val="000000" w:themeColor="text1"/>
          <w:lang w:val="es-ES_tradnl"/>
        </w:rPr>
        <w:t>) de</w:t>
      </w:r>
      <w:r w:rsidR="005419F6" w:rsidRPr="00211BF5">
        <w:rPr>
          <w:rFonts w:ascii="Palatino Linotype" w:eastAsiaTheme="minorEastAsia" w:hAnsi="Palatino Linotype" w:cstheme="minorBidi"/>
          <w:color w:val="000000" w:themeColor="text1"/>
          <w:lang w:val="es-ES_tradnl"/>
        </w:rPr>
        <w:t xml:space="preserve"> febrero de dos mil veintitrés</w:t>
      </w:r>
      <w:r w:rsidR="008179A6" w:rsidRPr="00211BF5">
        <w:rPr>
          <w:rFonts w:ascii="Palatino Linotype" w:eastAsiaTheme="minorEastAsia" w:hAnsi="Palatino Linotype" w:cstheme="minorBidi"/>
          <w:color w:val="000000" w:themeColor="text1"/>
          <w:lang w:val="es-ES_tradnl"/>
        </w:rPr>
        <w:t xml:space="preserve">. </w:t>
      </w:r>
    </w:p>
    <w:p w14:paraId="1A06EC63" w14:textId="77777777" w:rsidR="0028674A" w:rsidRPr="00211BF5" w:rsidRDefault="0028674A" w:rsidP="00922656">
      <w:pPr>
        <w:spacing w:line="360" w:lineRule="auto"/>
        <w:rPr>
          <w:rFonts w:ascii="Palatino Linotype" w:hAnsi="Palatino Linotype"/>
          <w:lang w:val="es-ES_tradnl" w:eastAsia="en-US"/>
        </w:rPr>
      </w:pPr>
    </w:p>
    <w:p w14:paraId="0D7AA06B" w14:textId="7A39DB0D" w:rsidR="00EA0165" w:rsidRPr="00211BF5" w:rsidRDefault="00EA0165" w:rsidP="00922656">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211BF5">
        <w:rPr>
          <w:rFonts w:ascii="Palatino Linotype" w:hAnsi="Palatino Linotype"/>
          <w:b/>
          <w:color w:val="000000" w:themeColor="text1"/>
          <w:sz w:val="24"/>
          <w:szCs w:val="24"/>
          <w:lang w:val="es-MX" w:eastAsia="en-US"/>
        </w:rPr>
        <w:t>CONSIDERANDO</w:t>
      </w:r>
      <w:bookmarkEnd w:id="5"/>
      <w:bookmarkEnd w:id="6"/>
      <w:bookmarkEnd w:id="7"/>
      <w:bookmarkEnd w:id="8"/>
    </w:p>
    <w:p w14:paraId="3468D0CF" w14:textId="475BACAF" w:rsidR="00EA0165" w:rsidRPr="00211BF5" w:rsidRDefault="00EA0165" w:rsidP="00922656">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211BF5">
        <w:rPr>
          <w:rFonts w:ascii="Palatino Linotype" w:hAnsi="Palatino Linotype"/>
          <w:b/>
          <w:color w:val="000000" w:themeColor="text1"/>
          <w:sz w:val="24"/>
          <w:szCs w:val="24"/>
          <w:lang w:val="es-MX" w:eastAsia="en-US"/>
        </w:rPr>
        <w:t>PRIMERO. De la competencia</w:t>
      </w:r>
      <w:bookmarkEnd w:id="9"/>
      <w:bookmarkEnd w:id="10"/>
      <w:bookmarkEnd w:id="11"/>
      <w:r w:rsidR="00537427" w:rsidRPr="00211BF5">
        <w:rPr>
          <w:rFonts w:ascii="Palatino Linotype" w:hAnsi="Palatino Linotype"/>
          <w:b/>
          <w:color w:val="000000" w:themeColor="text1"/>
          <w:sz w:val="24"/>
          <w:szCs w:val="24"/>
          <w:lang w:val="es-MX" w:eastAsia="en-US"/>
        </w:rPr>
        <w:t>.</w:t>
      </w:r>
      <w:bookmarkEnd w:id="12"/>
    </w:p>
    <w:p w14:paraId="341F67EC" w14:textId="77777777" w:rsidR="00EA0165" w:rsidRPr="00211BF5" w:rsidRDefault="00EA0165" w:rsidP="00922656">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211BF5" w:rsidRDefault="00EA0165" w:rsidP="00216222">
      <w:pPr>
        <w:pStyle w:val="Prrafodelista"/>
        <w:numPr>
          <w:ilvl w:val="0"/>
          <w:numId w:val="1"/>
        </w:numPr>
        <w:tabs>
          <w:tab w:val="left" w:pos="0"/>
        </w:tabs>
        <w:spacing w:after="160" w:line="360" w:lineRule="auto"/>
        <w:ind w:left="0" w:hanging="11"/>
        <w:contextualSpacing/>
        <w:jc w:val="both"/>
        <w:rPr>
          <w:rFonts w:ascii="Palatino Linotype" w:eastAsia="MS Mincho" w:hAnsi="Palatino Linotype"/>
          <w:lang w:val="es-ES_tradnl"/>
        </w:rPr>
      </w:pPr>
      <w:r w:rsidRPr="00211BF5">
        <w:rPr>
          <w:rFonts w:ascii="Palatino Linotype" w:eastAsia="Calibri" w:hAnsi="Palatino Linotype"/>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11BF5">
        <w:rPr>
          <w:rFonts w:ascii="Palatino Linotype" w:eastAsia="Calibri" w:hAnsi="Palatino Linotype"/>
          <w:b/>
        </w:rPr>
        <w:t>Constitución Política de los Estados Unidos Mexicanos</w:t>
      </w:r>
      <w:r w:rsidRPr="00211BF5">
        <w:rPr>
          <w:rFonts w:ascii="Palatino Linotype" w:eastAsia="Calibri" w:hAnsi="Palatino Linotype"/>
        </w:rPr>
        <w:t xml:space="preserve">; </w:t>
      </w:r>
      <w:r w:rsidRPr="00211BF5">
        <w:rPr>
          <w:rFonts w:ascii="Palatino Linotype" w:eastAsia="Calibri" w:hAnsi="Palatino Linotype" w:cs="Arial"/>
          <w:bCs/>
          <w:color w:val="222222"/>
          <w:shd w:val="clear" w:color="auto" w:fill="FFFFFF"/>
          <w:lang w:eastAsia="en-US"/>
        </w:rPr>
        <w:t>5, párrafo</w:t>
      </w:r>
      <w:r w:rsidR="00543BF9" w:rsidRPr="00211BF5">
        <w:rPr>
          <w:rFonts w:ascii="Palatino Linotype" w:eastAsia="Calibri" w:hAnsi="Palatino Linotype"/>
          <w:lang w:val="es-MX" w:eastAsia="en-US"/>
        </w:rPr>
        <w:t xml:space="preserve"> trigésimo, trigésimo primero y trigésimo segundo, fracciones I, II, III, IV y V</w:t>
      </w:r>
      <w:r w:rsidR="00543BF9" w:rsidRPr="00211BF5">
        <w:rPr>
          <w:rFonts w:ascii="Palatino Linotype" w:eastAsia="MS Mincho" w:hAnsi="Palatino Linotype"/>
          <w:lang w:val="es-ES_tradnl"/>
        </w:rPr>
        <w:t xml:space="preserve"> </w:t>
      </w:r>
      <w:r w:rsidRPr="00211BF5">
        <w:rPr>
          <w:rFonts w:ascii="Palatino Linotype" w:eastAsia="Calibri" w:hAnsi="Palatino Linotype"/>
        </w:rPr>
        <w:t xml:space="preserve">de la </w:t>
      </w:r>
      <w:r w:rsidRPr="00211BF5">
        <w:rPr>
          <w:rFonts w:ascii="Palatino Linotype" w:eastAsia="Calibri" w:hAnsi="Palatino Linotype"/>
          <w:b/>
        </w:rPr>
        <w:t>Constitución Política del Estado Libre y Soberano de México</w:t>
      </w:r>
      <w:r w:rsidRPr="00211BF5">
        <w:rPr>
          <w:rFonts w:ascii="Palatino Linotype" w:eastAsia="Calibri" w:hAnsi="Palatino Linotype"/>
        </w:rPr>
        <w:t xml:space="preserve">; artículos 1, 2 fracción II, 13, 29, 36 fracciones I y II, 176, 178, 179, 181 párrafo tercero y 185 </w:t>
      </w:r>
      <w:r w:rsidRPr="00211BF5">
        <w:rPr>
          <w:rFonts w:ascii="Palatino Linotype" w:eastAsia="Calibri" w:hAnsi="Palatino Linotype" w:cs="Arial"/>
        </w:rPr>
        <w:t xml:space="preserve">de la </w:t>
      </w:r>
      <w:r w:rsidRPr="00211BF5">
        <w:rPr>
          <w:rFonts w:ascii="Palatino Linotype" w:eastAsia="Calibri" w:hAnsi="Palatino Linotype" w:cs="Arial"/>
          <w:b/>
        </w:rPr>
        <w:t>Ley de Transparencia y Acceso a la Información Pública del Estado de México y Municipios</w:t>
      </w:r>
      <w:r w:rsidRPr="00211BF5">
        <w:rPr>
          <w:rFonts w:ascii="Palatino Linotype" w:eastAsia="Calibri" w:hAnsi="Palatino Linotype" w:cs="Arial"/>
        </w:rPr>
        <w:t xml:space="preserve">; </w:t>
      </w:r>
      <w:r w:rsidRPr="00211BF5">
        <w:rPr>
          <w:rFonts w:ascii="Palatino Linotype" w:eastAsia="Calibri" w:hAnsi="Palatino Linotype" w:cs="Arial"/>
          <w:b/>
        </w:rPr>
        <w:t>7, 9 fracciones I y XXIV, y 11</w:t>
      </w:r>
      <w:r w:rsidRPr="00211BF5">
        <w:rPr>
          <w:rFonts w:ascii="Palatino Linotype" w:eastAsia="Calibri" w:hAnsi="Palatino Linotype" w:cs="Arial"/>
        </w:rPr>
        <w:t xml:space="preserve"> del </w:t>
      </w:r>
      <w:r w:rsidRPr="00211BF5">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211BF5">
        <w:rPr>
          <w:rFonts w:ascii="Palatino Linotype" w:eastAsia="Calibri" w:hAnsi="Palatino Linotype" w:cs="Arial"/>
          <w:b/>
        </w:rPr>
        <w:t>.</w:t>
      </w:r>
    </w:p>
    <w:p w14:paraId="343B0FCF" w14:textId="413622B7" w:rsidR="00EA0165" w:rsidRPr="00211BF5" w:rsidRDefault="00EA0165" w:rsidP="00922656">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350003"/>
      <w:r w:rsidRPr="00211BF5">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A952E6E" w14:textId="3BC859EF" w:rsidR="009815B6" w:rsidRPr="00211BF5" w:rsidRDefault="007C4587" w:rsidP="00216222">
      <w:pPr>
        <w:pStyle w:val="Ttulo1"/>
        <w:numPr>
          <w:ilvl w:val="0"/>
          <w:numId w:val="2"/>
        </w:numPr>
        <w:suppressAutoHyphens/>
        <w:spacing w:line="360" w:lineRule="auto"/>
        <w:ind w:left="0" w:firstLine="0"/>
        <w:rPr>
          <w:rFonts w:ascii="Palatino Linotype" w:hAnsi="Palatino Linotype"/>
          <w:sz w:val="24"/>
          <w:szCs w:val="24"/>
        </w:rPr>
      </w:pPr>
      <w:bookmarkStart w:id="17" w:name="_Toc113462271"/>
      <w:r w:rsidRPr="00211BF5">
        <w:rPr>
          <w:rFonts w:ascii="Palatino Linotype" w:hAnsi="Palatino Linotype"/>
          <w:b/>
          <w:color w:val="000000" w:themeColor="text1"/>
          <w:sz w:val="24"/>
          <w:szCs w:val="24"/>
        </w:rPr>
        <w:t>De la interposición del recurso</w:t>
      </w:r>
      <w:r w:rsidRPr="00211BF5">
        <w:rPr>
          <w:rFonts w:ascii="Palatino Linotype" w:hAnsi="Palatino Linotype"/>
          <w:sz w:val="24"/>
          <w:szCs w:val="24"/>
        </w:rPr>
        <w:t>.</w:t>
      </w:r>
      <w:bookmarkEnd w:id="17"/>
      <w:r w:rsidRPr="00211BF5">
        <w:rPr>
          <w:rFonts w:ascii="Palatino Linotype" w:hAnsi="Palatino Linotype"/>
          <w:sz w:val="24"/>
          <w:szCs w:val="24"/>
        </w:rPr>
        <w:t xml:space="preserve"> </w:t>
      </w:r>
    </w:p>
    <w:p w14:paraId="102F00F1" w14:textId="77777777" w:rsidR="009815B6" w:rsidRPr="00211BF5" w:rsidRDefault="009815B6" w:rsidP="00922656">
      <w:pPr>
        <w:spacing w:line="360" w:lineRule="auto"/>
        <w:rPr>
          <w:rFonts w:ascii="Palatino Linotype" w:hAnsi="Palatino Linotype"/>
        </w:rPr>
      </w:pPr>
    </w:p>
    <w:p w14:paraId="3522B5D0" w14:textId="0A9D1B6B" w:rsidR="007C4587" w:rsidRPr="00211BF5" w:rsidRDefault="009815B6" w:rsidP="00216222">
      <w:pPr>
        <w:pStyle w:val="Prrafodelista"/>
        <w:numPr>
          <w:ilvl w:val="0"/>
          <w:numId w:val="1"/>
        </w:numPr>
        <w:spacing w:line="360" w:lineRule="auto"/>
        <w:ind w:left="0" w:firstLine="0"/>
        <w:jc w:val="both"/>
        <w:rPr>
          <w:rFonts w:ascii="Palatino Linotype" w:hAnsi="Palatino Linotype"/>
          <w:lang w:eastAsia="en-US"/>
        </w:rPr>
      </w:pPr>
      <w:r w:rsidRPr="00211BF5">
        <w:rPr>
          <w:rFonts w:ascii="Palatino Linotype" w:hAnsi="Palatino Linotype"/>
          <w:lang w:eastAsia="en-US"/>
        </w:rPr>
        <w:t xml:space="preserve">El medio de impugnación fue presentado a través del </w:t>
      </w:r>
      <w:r w:rsidRPr="00211BF5">
        <w:rPr>
          <w:rFonts w:ascii="Palatino Linotype" w:hAnsi="Palatino Linotype"/>
          <w:b/>
          <w:lang w:eastAsia="en-US"/>
        </w:rPr>
        <w:t>SAIMEX</w:t>
      </w:r>
      <w:r w:rsidRPr="00211BF5">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211BF5">
        <w:rPr>
          <w:rFonts w:ascii="Palatino Linotype" w:hAnsi="Palatino Linotype"/>
          <w:b/>
          <w:lang w:eastAsia="en-US"/>
        </w:rPr>
        <w:t>SUJETO OBLIGADO</w:t>
      </w:r>
      <w:r w:rsidR="00675D2C" w:rsidRPr="00211BF5">
        <w:rPr>
          <w:rFonts w:ascii="Palatino Linotype" w:hAnsi="Palatino Linotype"/>
          <w:lang w:eastAsia="en-US"/>
        </w:rPr>
        <w:t xml:space="preserve"> entregó respuesta e</w:t>
      </w:r>
      <w:r w:rsidR="005419F6" w:rsidRPr="00211BF5">
        <w:rPr>
          <w:rFonts w:ascii="Palatino Linotype" w:hAnsi="Palatino Linotype"/>
          <w:lang w:eastAsia="en-US"/>
        </w:rPr>
        <w:t>l día treinta (30</w:t>
      </w:r>
      <w:r w:rsidRPr="00211BF5">
        <w:rPr>
          <w:rFonts w:ascii="Palatino Linotype" w:hAnsi="Palatino Linotype"/>
          <w:lang w:eastAsia="en-US"/>
        </w:rPr>
        <w:t>) de</w:t>
      </w:r>
      <w:r w:rsidR="005419F6" w:rsidRPr="00211BF5">
        <w:rPr>
          <w:rFonts w:ascii="Palatino Linotype" w:hAnsi="Palatino Linotype"/>
          <w:lang w:eastAsia="en-US"/>
        </w:rPr>
        <w:t xml:space="preserve"> enero de dos mil veintitrés</w:t>
      </w:r>
      <w:r w:rsidRPr="00211BF5">
        <w:rPr>
          <w:rFonts w:ascii="Palatino Linotype" w:hAnsi="Palatino Linotype"/>
          <w:lang w:eastAsia="en-US"/>
        </w:rPr>
        <w:t>, el plazo para interponer el recurso d</w:t>
      </w:r>
      <w:r w:rsidR="00E808E4" w:rsidRPr="00211BF5">
        <w:rPr>
          <w:rFonts w:ascii="Palatino Linotype" w:hAnsi="Palatino Linotype"/>
          <w:lang w:eastAsia="en-US"/>
        </w:rPr>
        <w:t>e re</w:t>
      </w:r>
      <w:r w:rsidR="00B02FC8" w:rsidRPr="00211BF5">
        <w:rPr>
          <w:rFonts w:ascii="Palatino Linotype" w:hAnsi="Palatino Linotype"/>
          <w:lang w:eastAsia="en-US"/>
        </w:rPr>
        <w:t xml:space="preserve">visión </w:t>
      </w:r>
      <w:r w:rsidR="005419F6" w:rsidRPr="00211BF5">
        <w:rPr>
          <w:rFonts w:ascii="Palatino Linotype" w:hAnsi="Palatino Linotype"/>
          <w:lang w:eastAsia="en-US"/>
        </w:rPr>
        <w:t>trascurrió del treinta y uno (31</w:t>
      </w:r>
      <w:r w:rsidRPr="00211BF5">
        <w:rPr>
          <w:rFonts w:ascii="Palatino Linotype" w:hAnsi="Palatino Linotype"/>
          <w:lang w:eastAsia="en-US"/>
        </w:rPr>
        <w:t>) de</w:t>
      </w:r>
      <w:r w:rsidR="005419F6" w:rsidRPr="00211BF5">
        <w:rPr>
          <w:rFonts w:ascii="Palatino Linotype" w:hAnsi="Palatino Linotype"/>
          <w:lang w:eastAsia="en-US"/>
        </w:rPr>
        <w:t xml:space="preserve"> enero septiembre al veintiuno (21</w:t>
      </w:r>
      <w:r w:rsidR="00156607" w:rsidRPr="00211BF5">
        <w:rPr>
          <w:rFonts w:ascii="Palatino Linotype" w:hAnsi="Palatino Linotype"/>
          <w:lang w:eastAsia="en-US"/>
        </w:rPr>
        <w:t>) de</w:t>
      </w:r>
      <w:r w:rsidR="005419F6" w:rsidRPr="00211BF5">
        <w:rPr>
          <w:rFonts w:ascii="Palatino Linotype" w:hAnsi="Palatino Linotype"/>
          <w:lang w:eastAsia="en-US"/>
        </w:rPr>
        <w:t xml:space="preserve"> febrero de dos mil veintitrés</w:t>
      </w:r>
      <w:r w:rsidRPr="00211BF5">
        <w:rPr>
          <w:rFonts w:ascii="Palatino Linotype" w:hAnsi="Palatino Linotype"/>
          <w:lang w:eastAsia="en-US"/>
        </w:rPr>
        <w:t xml:space="preserve">, por lo que si el particular interpuso recurso de </w:t>
      </w:r>
      <w:r w:rsidR="005419F6" w:rsidRPr="00211BF5">
        <w:rPr>
          <w:rFonts w:ascii="Palatino Linotype" w:hAnsi="Palatino Linotype"/>
          <w:lang w:eastAsia="en-US"/>
        </w:rPr>
        <w:t>revisión el treinta y uno (31</w:t>
      </w:r>
      <w:r w:rsidRPr="00211BF5">
        <w:rPr>
          <w:rFonts w:ascii="Palatino Linotype" w:hAnsi="Palatino Linotype"/>
          <w:lang w:eastAsia="en-US"/>
        </w:rPr>
        <w:t>) de</w:t>
      </w:r>
      <w:r w:rsidR="005419F6" w:rsidRPr="00211BF5">
        <w:rPr>
          <w:rFonts w:ascii="Palatino Linotype" w:hAnsi="Palatino Linotype"/>
          <w:lang w:eastAsia="en-US"/>
        </w:rPr>
        <w:t xml:space="preserve"> enero </w:t>
      </w:r>
      <w:r w:rsidRPr="00211BF5">
        <w:rPr>
          <w:rFonts w:ascii="Palatino Linotype" w:hAnsi="Palatino Linotype"/>
          <w:lang w:eastAsia="en-US"/>
        </w:rPr>
        <w:t>se encuentra dentro del periodo establecido por la Ley.</w:t>
      </w:r>
    </w:p>
    <w:p w14:paraId="048E5411" w14:textId="77777777" w:rsidR="00B02FC8" w:rsidRPr="00211BF5" w:rsidRDefault="00B02FC8" w:rsidP="00922656">
      <w:pPr>
        <w:pStyle w:val="Ttulo1"/>
        <w:spacing w:line="360" w:lineRule="auto"/>
        <w:jc w:val="both"/>
        <w:rPr>
          <w:rFonts w:ascii="Palatino Linotype" w:eastAsia="Calibri" w:hAnsi="Palatino Linotype" w:cs="Arial"/>
          <w:sz w:val="24"/>
          <w:szCs w:val="24"/>
        </w:rPr>
      </w:pPr>
      <w:bookmarkStart w:id="18" w:name="_Toc85137160"/>
      <w:bookmarkStart w:id="19" w:name="_Toc108698548"/>
      <w:r w:rsidRPr="00211BF5">
        <w:rPr>
          <w:rFonts w:ascii="Palatino Linotype" w:hAnsi="Palatino Linotype"/>
          <w:b/>
          <w:color w:val="auto"/>
          <w:sz w:val="24"/>
          <w:szCs w:val="24"/>
        </w:rPr>
        <w:lastRenderedPageBreak/>
        <w:t>II</w:t>
      </w:r>
      <w:bookmarkStart w:id="20" w:name="_Toc82023088"/>
      <w:bookmarkStart w:id="21" w:name="_Toc82784385"/>
      <w:bookmarkStart w:id="22" w:name="_Toc84940707"/>
      <w:bookmarkEnd w:id="18"/>
      <w:r w:rsidRPr="00211BF5">
        <w:rPr>
          <w:rFonts w:ascii="Palatino Linotype" w:hAnsi="Palatino Linotype"/>
          <w:b/>
          <w:color w:val="auto"/>
          <w:sz w:val="24"/>
          <w:szCs w:val="24"/>
        </w:rPr>
        <w:t>. Del nombre como requisito innecesario para la tramitación del recurso.</w:t>
      </w:r>
      <w:bookmarkEnd w:id="19"/>
      <w:bookmarkEnd w:id="20"/>
      <w:bookmarkEnd w:id="21"/>
      <w:bookmarkEnd w:id="22"/>
      <w:r w:rsidRPr="00211BF5">
        <w:rPr>
          <w:rFonts w:ascii="Palatino Linotype" w:hAnsi="Palatino Linotype"/>
          <w:b/>
          <w:color w:val="auto"/>
          <w:sz w:val="24"/>
          <w:szCs w:val="24"/>
        </w:rPr>
        <w:t xml:space="preserve"> </w:t>
      </w:r>
    </w:p>
    <w:p w14:paraId="633BD183" w14:textId="77777777" w:rsidR="00B02FC8" w:rsidRPr="00211BF5" w:rsidRDefault="00B02FC8" w:rsidP="00922656">
      <w:pPr>
        <w:tabs>
          <w:tab w:val="left" w:pos="426"/>
        </w:tabs>
        <w:spacing w:line="360" w:lineRule="auto"/>
        <w:ind w:right="49"/>
        <w:contextualSpacing/>
        <w:jc w:val="both"/>
        <w:rPr>
          <w:rFonts w:ascii="Palatino Linotype" w:hAnsi="Palatino Linotype" w:cs="Arial"/>
          <w:b/>
        </w:rPr>
      </w:pPr>
    </w:p>
    <w:p w14:paraId="08E1776B" w14:textId="0AE67A78" w:rsidR="00B02FC8" w:rsidRPr="00211BF5" w:rsidRDefault="00B02FC8" w:rsidP="00216222">
      <w:pPr>
        <w:pStyle w:val="Prrafodelista"/>
        <w:numPr>
          <w:ilvl w:val="0"/>
          <w:numId w:val="1"/>
        </w:numPr>
        <w:tabs>
          <w:tab w:val="left" w:pos="0"/>
        </w:tabs>
        <w:spacing w:after="160" w:line="360" w:lineRule="auto"/>
        <w:ind w:left="0" w:right="49" w:firstLine="0"/>
        <w:contextualSpacing/>
        <w:jc w:val="both"/>
        <w:rPr>
          <w:rFonts w:ascii="Palatino Linotype" w:hAnsi="Palatino Linotype" w:cs="Arial"/>
          <w:b/>
          <w:lang w:val="es-ES_tradnl"/>
        </w:rPr>
      </w:pPr>
      <w:r w:rsidRPr="00211BF5">
        <w:rPr>
          <w:rFonts w:ascii="Palatino Linotype" w:hAnsi="Palatino Linotype" w:cs="Arial"/>
          <w:bCs/>
          <w:lang w:val="es-ES_tradnl"/>
        </w:rPr>
        <w:t xml:space="preserve">Por </w:t>
      </w:r>
      <w:r w:rsidRPr="00211BF5">
        <w:rPr>
          <w:rFonts w:ascii="Palatino Linotype" w:hAnsi="Palatino Linotype" w:cs="Arial"/>
          <w:bCs/>
        </w:rPr>
        <w:t xml:space="preserve">otro lado, de la revisión a los expedientes electrónicos contenidos en el sistema </w:t>
      </w:r>
      <w:r w:rsidRPr="00211BF5">
        <w:rPr>
          <w:rFonts w:ascii="Palatino Linotype" w:hAnsi="Palatino Linotype" w:cs="Arial"/>
          <w:b/>
          <w:bCs/>
        </w:rPr>
        <w:t>SAIMEX,</w:t>
      </w:r>
      <w:r w:rsidRPr="00211BF5">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211BF5">
        <w:rPr>
          <w:rFonts w:ascii="Palatino Linotype" w:hAnsi="Palatino Linotype" w:cs="Arial"/>
          <w:b/>
          <w:bCs/>
        </w:rPr>
        <w:t>no señaló su nombre completo, ni se tiene certeza sobre su identidad</w:t>
      </w:r>
      <w:r w:rsidRPr="00211BF5">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CAEFBC4" w14:textId="77777777" w:rsidR="00B02FC8" w:rsidRPr="00211BF5" w:rsidRDefault="00B02FC8" w:rsidP="00922656">
      <w:pPr>
        <w:tabs>
          <w:tab w:val="left" w:pos="426"/>
        </w:tabs>
        <w:spacing w:line="360" w:lineRule="auto"/>
        <w:ind w:right="49"/>
        <w:contextualSpacing/>
        <w:jc w:val="both"/>
        <w:rPr>
          <w:rFonts w:ascii="Palatino Linotype" w:hAnsi="Palatino Linotype" w:cs="Arial"/>
          <w:b/>
        </w:rPr>
      </w:pPr>
    </w:p>
    <w:p w14:paraId="6FFD7B5F" w14:textId="77777777" w:rsidR="00B02FC8" w:rsidRPr="00211BF5" w:rsidRDefault="00B02FC8" w:rsidP="00216222">
      <w:pPr>
        <w:pStyle w:val="Prrafodelista"/>
        <w:numPr>
          <w:ilvl w:val="0"/>
          <w:numId w:val="1"/>
        </w:numPr>
        <w:tabs>
          <w:tab w:val="left" w:pos="426"/>
        </w:tabs>
        <w:spacing w:after="160" w:line="360" w:lineRule="auto"/>
        <w:ind w:left="0" w:right="49" w:firstLine="0"/>
        <w:contextualSpacing/>
        <w:jc w:val="both"/>
        <w:rPr>
          <w:rFonts w:ascii="Palatino Linotype" w:hAnsi="Palatino Linotype" w:cs="Arial"/>
          <w:b/>
        </w:rPr>
      </w:pPr>
      <w:r w:rsidRPr="00211BF5">
        <w:rPr>
          <w:rFonts w:ascii="Palatino Linotype" w:hAnsi="Palatino Linotype" w:cs="Arial"/>
          <w:bCs/>
        </w:rPr>
        <w:t xml:space="preserve">Esto es así, ya que de conformidad con los artículos 6, apartado A, fracciones III y IV de la </w:t>
      </w:r>
      <w:r w:rsidRPr="00211BF5">
        <w:rPr>
          <w:rFonts w:ascii="Palatino Linotype" w:hAnsi="Palatino Linotype" w:cs="Arial"/>
          <w:b/>
          <w:bCs/>
        </w:rPr>
        <w:t>Constitución Política de los Estados Unidos Mexicanos</w:t>
      </w:r>
      <w:r w:rsidRPr="00211BF5">
        <w:rPr>
          <w:rFonts w:ascii="Palatino Linotype" w:hAnsi="Palatino Linotype" w:cs="Arial"/>
          <w:bCs/>
        </w:rPr>
        <w:t xml:space="preserve">; 5, párrafos trigésimo, trigésimo primero y trigésimo segundo, fracciones III, IV y V, de la </w:t>
      </w:r>
      <w:r w:rsidRPr="00211BF5">
        <w:rPr>
          <w:rFonts w:ascii="Palatino Linotype" w:hAnsi="Palatino Linotype" w:cs="Arial"/>
          <w:b/>
          <w:bCs/>
        </w:rPr>
        <w:t>Constitución Política del Estado Libre y Soberano de México</w:t>
      </w:r>
      <w:r w:rsidRPr="00211BF5">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72DE4D" w14:textId="77777777" w:rsidR="00B02FC8" w:rsidRPr="00211BF5" w:rsidRDefault="00B02FC8" w:rsidP="00922656">
      <w:pPr>
        <w:tabs>
          <w:tab w:val="left" w:pos="426"/>
        </w:tabs>
        <w:spacing w:line="360" w:lineRule="auto"/>
        <w:ind w:right="49"/>
        <w:contextualSpacing/>
        <w:jc w:val="both"/>
        <w:rPr>
          <w:rFonts w:ascii="Palatino Linotype" w:hAnsi="Palatino Linotype" w:cs="Arial"/>
          <w:b/>
        </w:rPr>
      </w:pPr>
    </w:p>
    <w:p w14:paraId="53C7144D" w14:textId="77777777" w:rsidR="00B02FC8" w:rsidRPr="00211BF5" w:rsidRDefault="00B02FC8" w:rsidP="00216222">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211BF5">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62B022" w14:textId="77777777" w:rsidR="00B02FC8" w:rsidRPr="00211BF5" w:rsidRDefault="00B02FC8" w:rsidP="00922656">
      <w:pPr>
        <w:tabs>
          <w:tab w:val="left" w:pos="426"/>
        </w:tabs>
        <w:spacing w:line="360" w:lineRule="auto"/>
        <w:ind w:right="49"/>
        <w:contextualSpacing/>
        <w:jc w:val="both"/>
        <w:rPr>
          <w:rFonts w:ascii="Palatino Linotype" w:hAnsi="Palatino Linotype" w:cs="Arial"/>
          <w:b/>
        </w:rPr>
      </w:pPr>
    </w:p>
    <w:p w14:paraId="400BB9E1" w14:textId="77777777" w:rsidR="00B02FC8" w:rsidRPr="00211BF5" w:rsidRDefault="00B02FC8" w:rsidP="00216222">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211BF5">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1CE6C90D" w14:textId="77777777" w:rsidR="00B02FC8" w:rsidRPr="00211BF5" w:rsidRDefault="00B02FC8" w:rsidP="00922656">
      <w:pPr>
        <w:tabs>
          <w:tab w:val="left" w:pos="426"/>
        </w:tabs>
        <w:spacing w:line="360" w:lineRule="auto"/>
        <w:ind w:right="49"/>
        <w:contextualSpacing/>
        <w:jc w:val="both"/>
        <w:rPr>
          <w:rFonts w:ascii="Palatino Linotype" w:hAnsi="Palatino Linotype" w:cs="Arial"/>
          <w:b/>
        </w:rPr>
      </w:pPr>
    </w:p>
    <w:p w14:paraId="5CBBC92B" w14:textId="77777777" w:rsidR="00B02FC8" w:rsidRPr="00211BF5" w:rsidRDefault="00B02FC8" w:rsidP="00216222">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211BF5">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B216178" w14:textId="77777777" w:rsidR="00B02FC8" w:rsidRPr="00211BF5" w:rsidRDefault="00B02FC8" w:rsidP="00922656">
      <w:pPr>
        <w:tabs>
          <w:tab w:val="left" w:pos="426"/>
        </w:tabs>
        <w:spacing w:line="360" w:lineRule="auto"/>
        <w:ind w:right="49"/>
        <w:contextualSpacing/>
        <w:jc w:val="both"/>
        <w:rPr>
          <w:rFonts w:ascii="Palatino Linotype" w:hAnsi="Palatino Linotype" w:cs="Arial"/>
          <w:b/>
        </w:rPr>
      </w:pPr>
    </w:p>
    <w:p w14:paraId="4DC14ADB" w14:textId="4C9FF707" w:rsidR="00B02FC8" w:rsidRPr="00211BF5" w:rsidRDefault="00B02FC8" w:rsidP="00216222">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211BF5">
        <w:rPr>
          <w:rFonts w:ascii="Palatino Linotype" w:hAnsi="Palatino Linotype" w:cs="Arial"/>
          <w:bCs/>
        </w:rPr>
        <w:t xml:space="preserve">Por lo tanto, el nombre de la </w:t>
      </w:r>
      <w:r w:rsidRPr="00211BF5">
        <w:rPr>
          <w:rFonts w:ascii="Palatino Linotype" w:hAnsi="Palatino Linotype" w:cs="Arial"/>
          <w:b/>
          <w:bCs/>
        </w:rPr>
        <w:t>SOLICITANTE</w:t>
      </w:r>
      <w:r w:rsidRPr="00211BF5">
        <w:rPr>
          <w:rFonts w:ascii="Palatino Linotype" w:hAnsi="Palatino Linotype" w:cs="Arial"/>
          <w:bCs/>
        </w:rPr>
        <w:t xml:space="preserve"> y subsecuente </w:t>
      </w:r>
      <w:r w:rsidRPr="00211BF5">
        <w:rPr>
          <w:rFonts w:ascii="Palatino Linotype" w:hAnsi="Palatino Linotype" w:cs="Arial"/>
          <w:b/>
          <w:bCs/>
        </w:rPr>
        <w:t>RECURRENTE</w:t>
      </w:r>
      <w:r w:rsidRPr="00211BF5">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AC8063E" w14:textId="2D485E13" w:rsidR="007C4587" w:rsidRPr="00211BF5" w:rsidRDefault="007C4587" w:rsidP="00216222">
      <w:pPr>
        <w:pStyle w:val="TtulodeTDC"/>
        <w:numPr>
          <w:ilvl w:val="0"/>
          <w:numId w:val="3"/>
        </w:numPr>
        <w:spacing w:line="360" w:lineRule="auto"/>
        <w:ind w:left="0" w:firstLine="0"/>
        <w:rPr>
          <w:rFonts w:ascii="Palatino Linotype" w:hAnsi="Palatino Linotype"/>
          <w:b/>
          <w:color w:val="000000" w:themeColor="text1"/>
          <w:sz w:val="24"/>
          <w:szCs w:val="24"/>
        </w:rPr>
      </w:pPr>
      <w:bookmarkStart w:id="23" w:name="_Toc113462272"/>
      <w:r w:rsidRPr="00211BF5">
        <w:rPr>
          <w:rFonts w:ascii="Palatino Linotype" w:hAnsi="Palatino Linotype"/>
          <w:b/>
          <w:color w:val="000000" w:themeColor="text1"/>
          <w:sz w:val="24"/>
          <w:szCs w:val="24"/>
        </w:rPr>
        <w:lastRenderedPageBreak/>
        <w:t>De la determinación sobre la procedibilidad del recurso.</w:t>
      </w:r>
      <w:bookmarkEnd w:id="23"/>
    </w:p>
    <w:p w14:paraId="46A45715" w14:textId="77777777" w:rsidR="007C4587" w:rsidRPr="00211BF5" w:rsidRDefault="007C4587" w:rsidP="00922656">
      <w:pPr>
        <w:tabs>
          <w:tab w:val="left" w:pos="426"/>
        </w:tabs>
        <w:spacing w:line="360" w:lineRule="auto"/>
        <w:ind w:right="49"/>
        <w:contextualSpacing/>
        <w:jc w:val="both"/>
        <w:rPr>
          <w:rFonts w:ascii="Palatino Linotype" w:hAnsi="Palatino Linotype" w:cs="Arial"/>
          <w:b/>
          <w:lang w:val="es-ES_tradnl"/>
        </w:rPr>
      </w:pPr>
    </w:p>
    <w:p w14:paraId="2CAA4C68" w14:textId="2EE289CC" w:rsidR="00A2042B" w:rsidRPr="00211BF5" w:rsidRDefault="007C4587" w:rsidP="00216222">
      <w:pPr>
        <w:numPr>
          <w:ilvl w:val="0"/>
          <w:numId w:val="1"/>
        </w:numPr>
        <w:tabs>
          <w:tab w:val="left" w:pos="0"/>
        </w:tabs>
        <w:spacing w:after="160" w:line="360" w:lineRule="auto"/>
        <w:ind w:left="0" w:right="49" w:firstLine="0"/>
        <w:contextualSpacing/>
        <w:jc w:val="both"/>
        <w:rPr>
          <w:rFonts w:ascii="Palatino Linotype" w:hAnsi="Palatino Linotype" w:cs="Arial"/>
          <w:b/>
          <w:lang w:val="es-ES_tradnl"/>
        </w:rPr>
      </w:pPr>
      <w:r w:rsidRPr="00211BF5">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C3B8E16" w14:textId="77777777" w:rsidR="00336DCE" w:rsidRPr="00211BF5" w:rsidRDefault="00992BC7" w:rsidP="00922656">
      <w:pPr>
        <w:pStyle w:val="Ttulo1"/>
        <w:spacing w:line="360" w:lineRule="auto"/>
        <w:rPr>
          <w:rFonts w:ascii="Palatino Linotype" w:hAnsi="Palatino Linotype" w:cs="Times New Roman"/>
          <w:b/>
          <w:color w:val="000000" w:themeColor="text1"/>
          <w:sz w:val="24"/>
          <w:szCs w:val="24"/>
        </w:rPr>
      </w:pPr>
      <w:bookmarkStart w:id="24" w:name="_Toc89350006"/>
      <w:r w:rsidRPr="00211BF5">
        <w:rPr>
          <w:rFonts w:ascii="Palatino Linotype" w:eastAsia="MS Mincho" w:hAnsi="Palatino Linotype"/>
          <w:b/>
          <w:color w:val="000000" w:themeColor="text1"/>
          <w:sz w:val="24"/>
          <w:szCs w:val="24"/>
          <w:lang w:val="es-ES_tradnl"/>
        </w:rPr>
        <w:t>TERCERO</w:t>
      </w:r>
      <w:r w:rsidRPr="00211BF5">
        <w:rPr>
          <w:rFonts w:ascii="Palatino Linotype" w:hAnsi="Palatino Linotype" w:cs="Times New Roman"/>
          <w:b/>
          <w:color w:val="000000" w:themeColor="text1"/>
          <w:sz w:val="24"/>
          <w:szCs w:val="24"/>
        </w:rPr>
        <w:t>.</w:t>
      </w:r>
      <w:bookmarkStart w:id="25" w:name="_Toc67587990"/>
      <w:bookmarkStart w:id="26" w:name="_Toc68804766"/>
      <w:bookmarkStart w:id="27" w:name="_Toc455991148"/>
      <w:bookmarkStart w:id="28" w:name="_Toc450120669"/>
      <w:bookmarkStart w:id="29" w:name="_Toc461555896"/>
      <w:bookmarkStart w:id="30" w:name="_Toc462154385"/>
      <w:bookmarkStart w:id="31" w:name="_Toc462660376"/>
      <w:bookmarkStart w:id="32" w:name="_Toc462660687"/>
      <w:bookmarkStart w:id="33" w:name="_Toc462660766"/>
      <w:bookmarkStart w:id="34" w:name="_Toc465264624"/>
      <w:bookmarkStart w:id="35" w:name="_Toc465264870"/>
      <w:bookmarkStart w:id="36" w:name="_Toc465266520"/>
      <w:bookmarkStart w:id="37" w:name="_Toc466302258"/>
      <w:bookmarkStart w:id="38" w:name="_Toc466371866"/>
      <w:bookmarkStart w:id="39" w:name="_Toc466371925"/>
      <w:bookmarkStart w:id="40" w:name="_Toc466377654"/>
      <w:bookmarkStart w:id="41" w:name="_Toc478549736"/>
      <w:bookmarkStart w:id="42" w:name="_Toc478572850"/>
      <w:bookmarkStart w:id="43" w:name="_Toc479238537"/>
      <w:r w:rsidR="0065578F" w:rsidRPr="00211BF5">
        <w:rPr>
          <w:rFonts w:ascii="Palatino Linotype" w:hAnsi="Palatino Linotype" w:cs="Times New Roman"/>
          <w:b/>
          <w:color w:val="000000" w:themeColor="text1"/>
          <w:sz w:val="24"/>
          <w:szCs w:val="24"/>
        </w:rPr>
        <w:t xml:space="preserve"> </w:t>
      </w:r>
      <w:r w:rsidR="00336DCE" w:rsidRPr="00211BF5">
        <w:rPr>
          <w:rFonts w:ascii="Palatino Linotype" w:eastAsiaTheme="minorEastAsia" w:hAnsi="Palatino Linotype" w:cs="Arial"/>
          <w:b/>
          <w:color w:val="000000" w:themeColor="text1"/>
          <w:sz w:val="24"/>
          <w:szCs w:val="24"/>
          <w:lang w:val="es-MX"/>
        </w:rPr>
        <w:t>De las causales de sobreseimiento.</w:t>
      </w:r>
      <w:bookmarkStart w:id="44" w:name="_Toc466377653"/>
      <w:bookmarkStart w:id="45" w:name="_Toc466371865"/>
    </w:p>
    <w:p w14:paraId="2F965B21" w14:textId="77777777" w:rsidR="00336DCE" w:rsidRPr="00211BF5" w:rsidRDefault="00336DCE" w:rsidP="00216222">
      <w:pPr>
        <w:pStyle w:val="Prrafodelista"/>
        <w:numPr>
          <w:ilvl w:val="0"/>
          <w:numId w:val="1"/>
        </w:numPr>
        <w:tabs>
          <w:tab w:val="left" w:pos="284"/>
          <w:tab w:val="left" w:pos="426"/>
        </w:tabs>
        <w:spacing w:before="240" w:after="240" w:line="360" w:lineRule="auto"/>
        <w:ind w:left="0" w:right="49" w:firstLine="0"/>
        <w:contextualSpacing/>
        <w:jc w:val="both"/>
        <w:rPr>
          <w:rFonts w:ascii="Palatino Linotype" w:eastAsiaTheme="minorEastAsia" w:hAnsi="Palatino Linotype" w:cs="Arial"/>
          <w:lang w:val="es-ES_tradnl"/>
        </w:rPr>
      </w:pPr>
      <w:r w:rsidRPr="00211BF5">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211BF5">
        <w:rPr>
          <w:rFonts w:ascii="Palatino Linotype" w:eastAsia="Calibri" w:hAnsi="Palatino Linotype" w:cs="Arial"/>
          <w:lang w:val="es-ES_tradnl"/>
        </w:rPr>
        <w:t>Transparencia, Acceso a la Información Pública del Estado de México y Municipios</w:t>
      </w:r>
      <w:r w:rsidRPr="00211BF5">
        <w:rPr>
          <w:rFonts w:ascii="Palatino Linotype" w:eastAsiaTheme="minorEastAsia" w:hAnsi="Palatino Linotype" w:cs="Arial"/>
          <w:lang w:val="es-ES_tradnl"/>
        </w:rPr>
        <w:t xml:space="preserve">, y determinar la confirmación; revocación o modificación; desechamiento o </w:t>
      </w:r>
      <w:r w:rsidRPr="00211BF5">
        <w:rPr>
          <w:rFonts w:ascii="Palatino Linotype" w:eastAsiaTheme="minorEastAsia" w:hAnsi="Palatino Linotype" w:cs="Arial"/>
          <w:b/>
          <w:u w:val="single"/>
          <w:lang w:val="es-ES_tradnl"/>
        </w:rPr>
        <w:t>sobreseimiento</w:t>
      </w:r>
      <w:r w:rsidRPr="00211BF5">
        <w:rPr>
          <w:rFonts w:ascii="Palatino Linotype" w:eastAsiaTheme="minorEastAsia" w:hAnsi="Palatino Linotype" w:cs="Arial"/>
          <w:lang w:val="es-ES_tradnl"/>
        </w:rPr>
        <w:t xml:space="preserve">; y, en su caso, ordenar la entrega de la información respecto a la respuesta emitida por el </w:t>
      </w:r>
      <w:r w:rsidRPr="00211BF5">
        <w:rPr>
          <w:rFonts w:ascii="Palatino Linotype" w:eastAsiaTheme="minorEastAsia" w:hAnsi="Palatino Linotype" w:cs="Arial"/>
          <w:b/>
          <w:lang w:val="es-ES_tradnl"/>
        </w:rPr>
        <w:t>SUJETO</w:t>
      </w:r>
      <w:r w:rsidRPr="00211BF5">
        <w:rPr>
          <w:rFonts w:ascii="Palatino Linotype" w:eastAsiaTheme="minorEastAsia" w:hAnsi="Palatino Linotype" w:cs="Arial"/>
          <w:lang w:val="es-ES_tradnl"/>
        </w:rPr>
        <w:t xml:space="preserve"> </w:t>
      </w:r>
      <w:r w:rsidRPr="00211BF5">
        <w:rPr>
          <w:rFonts w:ascii="Palatino Linotype" w:eastAsiaTheme="minorEastAsia" w:hAnsi="Palatino Linotype" w:cs="Arial"/>
          <w:b/>
          <w:lang w:val="es-ES_tradnl"/>
        </w:rPr>
        <w:t>OBLIGADO</w:t>
      </w:r>
      <w:r w:rsidRPr="00211BF5">
        <w:rPr>
          <w:rFonts w:ascii="Palatino Linotype" w:eastAsiaTheme="minorEastAsia" w:hAnsi="Palatino Linotype" w:cs="Arial"/>
          <w:lang w:val="es-ES_tradnl"/>
        </w:rPr>
        <w:t>.</w:t>
      </w:r>
    </w:p>
    <w:p w14:paraId="55CB822A" w14:textId="77777777" w:rsidR="00336DCE" w:rsidRPr="00211BF5" w:rsidRDefault="00336DCE" w:rsidP="00922656">
      <w:pPr>
        <w:pStyle w:val="Prrafodelista"/>
        <w:tabs>
          <w:tab w:val="left" w:pos="284"/>
          <w:tab w:val="left" w:pos="426"/>
        </w:tabs>
        <w:spacing w:before="240" w:after="240" w:line="360" w:lineRule="auto"/>
        <w:ind w:left="0" w:right="49"/>
        <w:contextualSpacing/>
        <w:jc w:val="both"/>
        <w:rPr>
          <w:rFonts w:ascii="Palatino Linotype" w:eastAsiaTheme="minorEastAsia" w:hAnsi="Palatino Linotype" w:cs="Arial"/>
          <w:lang w:val="es-ES_tradnl"/>
        </w:rPr>
      </w:pPr>
    </w:p>
    <w:p w14:paraId="3530811A" w14:textId="40820085" w:rsidR="00336DCE" w:rsidRPr="00211BF5" w:rsidRDefault="00336DCE" w:rsidP="00216222">
      <w:pPr>
        <w:pStyle w:val="Prrafodelista"/>
        <w:numPr>
          <w:ilvl w:val="0"/>
          <w:numId w:val="1"/>
        </w:numPr>
        <w:tabs>
          <w:tab w:val="left" w:pos="284"/>
          <w:tab w:val="left" w:pos="426"/>
        </w:tabs>
        <w:spacing w:before="240" w:after="240" w:line="360" w:lineRule="auto"/>
        <w:ind w:left="0" w:right="49" w:firstLine="0"/>
        <w:contextualSpacing/>
        <w:jc w:val="both"/>
        <w:rPr>
          <w:rFonts w:ascii="Palatino Linotype" w:eastAsiaTheme="minorEastAsia" w:hAnsi="Palatino Linotype" w:cs="Arial"/>
          <w:lang w:val="es-ES_tradnl"/>
        </w:rPr>
      </w:pPr>
      <w:r w:rsidRPr="00211BF5">
        <w:rPr>
          <w:rFonts w:ascii="Palatino Linotype" w:eastAsiaTheme="minorEastAsia" w:hAnsi="Palatino Linotype" w:cstheme="minorBidi"/>
        </w:rPr>
        <w:t xml:space="preserve">Una </w:t>
      </w:r>
      <w:r w:rsidRPr="00211BF5">
        <w:rPr>
          <w:rFonts w:ascii="Palatino Linotype" w:eastAsiaTheme="minorEastAsia" w:hAnsi="Palatino Linotype" w:cstheme="minorBidi"/>
          <w:lang w:val="es-MX"/>
        </w:rPr>
        <w:t>vez expuesto lo anterior, de la lectura a la solicitud de información</w:t>
      </w:r>
      <w:r w:rsidRPr="00211BF5">
        <w:rPr>
          <w:rFonts w:ascii="Palatino Linotype" w:eastAsiaTheme="minorEastAsia" w:hAnsi="Palatino Linotype" w:cstheme="minorBidi"/>
          <w:color w:val="000000" w:themeColor="text1"/>
          <w:lang w:val="es-MX"/>
        </w:rPr>
        <w:t xml:space="preserve"> </w:t>
      </w:r>
      <w:r w:rsidR="00B178C3" w:rsidRPr="00211BF5">
        <w:rPr>
          <w:rFonts w:ascii="Palatino Linotype" w:eastAsiaTheme="minorEastAsia" w:hAnsi="Palatino Linotype" w:cs="Arial"/>
          <w:b/>
          <w:bCs/>
        </w:rPr>
        <w:t>00046/ISEM/IP/2023</w:t>
      </w:r>
      <w:r w:rsidRPr="00211BF5">
        <w:rPr>
          <w:rFonts w:ascii="Palatino Linotype" w:eastAsiaTheme="minorEastAsia" w:hAnsi="Palatino Linotype" w:cstheme="minorBidi"/>
          <w:lang w:val="es-MX"/>
        </w:rPr>
        <w:t xml:space="preserve">, se advierte que el particular requirió al </w:t>
      </w:r>
      <w:r w:rsidR="00B178C3" w:rsidRPr="00211BF5">
        <w:rPr>
          <w:rFonts w:ascii="Palatino Linotype" w:eastAsiaTheme="minorEastAsia" w:hAnsi="Palatino Linotype" w:cstheme="minorBidi"/>
          <w:b/>
          <w:lang w:val="es-MX"/>
        </w:rPr>
        <w:t>Instituto de Salud del Estado de México</w:t>
      </w:r>
      <w:r w:rsidRPr="00211BF5">
        <w:rPr>
          <w:rFonts w:ascii="Palatino Linotype" w:eastAsiaTheme="minorEastAsia" w:hAnsi="Palatino Linotype" w:cstheme="minorBidi"/>
          <w:lang w:val="es-MX"/>
        </w:rPr>
        <w:t>, l</w:t>
      </w:r>
      <w:r w:rsidR="00B178C3" w:rsidRPr="00211BF5">
        <w:rPr>
          <w:rFonts w:ascii="Palatino Linotype" w:eastAsiaTheme="minorEastAsia" w:hAnsi="Palatino Linotype" w:cstheme="minorBidi"/>
          <w:lang w:val="es-MX"/>
        </w:rPr>
        <w:t>a siguiente información de una clínica hospitalaria:</w:t>
      </w:r>
    </w:p>
    <w:p w14:paraId="20D596E4"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B26C26E" w14:textId="4F66F43C" w:rsidR="00336DCE" w:rsidRPr="00211BF5" w:rsidRDefault="00B178C3" w:rsidP="00216222">
      <w:pPr>
        <w:numPr>
          <w:ilvl w:val="1"/>
          <w:numId w:val="1"/>
        </w:numPr>
        <w:tabs>
          <w:tab w:val="left" w:pos="426"/>
        </w:tabs>
        <w:spacing w:before="240" w:after="240" w:line="360" w:lineRule="auto"/>
        <w:ind w:left="993" w:right="616" w:hanging="284"/>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ULTIMA SUPERVISION Y/O VERIFICACION QUE REALIZO REGULACION SANITARIA</w:t>
      </w:r>
    </w:p>
    <w:p w14:paraId="08FDB2BB"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AE69FC3" w14:textId="77777777" w:rsidR="00B178C3"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rPr>
        <w:t xml:space="preserve">En respuesta a </w:t>
      </w:r>
      <w:r w:rsidRPr="00211BF5">
        <w:rPr>
          <w:rFonts w:ascii="Palatino Linotype" w:eastAsiaTheme="minorEastAsia" w:hAnsi="Palatino Linotype" w:cstheme="minorBidi"/>
          <w:color w:val="000000" w:themeColor="text1"/>
          <w:lang w:val="es-MX"/>
        </w:rPr>
        <w:t xml:space="preserve">la solicitud de información, y como fuera señalado en el apartado de </w:t>
      </w:r>
      <w:r w:rsidRPr="00211BF5">
        <w:rPr>
          <w:rFonts w:ascii="Palatino Linotype" w:eastAsiaTheme="minorEastAsia" w:hAnsi="Palatino Linotype" w:cstheme="minorBidi"/>
          <w:i/>
          <w:iCs/>
          <w:color w:val="000000" w:themeColor="text1"/>
          <w:lang w:val="es-MX"/>
        </w:rPr>
        <w:t>Antecedentes</w:t>
      </w:r>
      <w:r w:rsidRPr="00211BF5">
        <w:rPr>
          <w:rFonts w:ascii="Palatino Linotype" w:eastAsiaTheme="minorEastAsia" w:hAnsi="Palatino Linotype" w:cstheme="minorBidi"/>
          <w:color w:val="000000" w:themeColor="text1"/>
          <w:lang w:val="es-MX"/>
        </w:rPr>
        <w:t xml:space="preserve"> de esta resolución, el </w:t>
      </w:r>
      <w:r w:rsidRPr="00211BF5">
        <w:rPr>
          <w:rFonts w:ascii="Palatino Linotype" w:eastAsiaTheme="minorEastAsia" w:hAnsi="Palatino Linotype" w:cstheme="minorBidi"/>
          <w:b/>
          <w:color w:val="000000" w:themeColor="text1"/>
          <w:lang w:val="es-MX"/>
        </w:rPr>
        <w:t>SUJETO OBLIGADO</w:t>
      </w:r>
      <w:r w:rsidRPr="00211BF5">
        <w:rPr>
          <w:rFonts w:ascii="Palatino Linotype" w:eastAsiaTheme="minorEastAsia" w:hAnsi="Palatino Linotype" w:cstheme="minorBidi"/>
          <w:color w:val="000000" w:themeColor="text1"/>
          <w:lang w:val="es-MX"/>
        </w:rPr>
        <w:t xml:space="preserve"> entregó el documento</w:t>
      </w:r>
    </w:p>
    <w:p w14:paraId="461FB9FD" w14:textId="421DAFED" w:rsidR="00B178C3" w:rsidRPr="00211BF5" w:rsidRDefault="00B178C3"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b/>
          <w:color w:val="000000" w:themeColor="text1"/>
          <w:lang w:val="es-MX"/>
        </w:rPr>
        <w:t>0073 SAIMEX 46.pdf</w:t>
      </w:r>
      <w:r w:rsidR="00336DCE" w:rsidRPr="00211BF5">
        <w:rPr>
          <w:rFonts w:ascii="Palatino Linotype" w:eastAsiaTheme="minorEastAsia" w:hAnsi="Palatino Linotype" w:cstheme="minorBidi"/>
          <w:color w:val="000000" w:themeColor="text1"/>
          <w:lang w:val="es-MX"/>
        </w:rPr>
        <w:t>, emitido por</w:t>
      </w:r>
      <w:r w:rsidRPr="00211BF5">
        <w:rPr>
          <w:rFonts w:ascii="Palatino Linotype" w:eastAsiaTheme="minorEastAsia" w:hAnsi="Palatino Linotype" w:cstheme="minorBidi"/>
          <w:color w:val="000000" w:themeColor="text1"/>
          <w:lang w:val="es-MX"/>
        </w:rPr>
        <w:t xml:space="preserve"> el Coordinador de Regulación Sanitaria y Comisionado Para la Protección Contra Registros Sanitarios del Estado de México</w:t>
      </w:r>
    </w:p>
    <w:p w14:paraId="5B66A814" w14:textId="07F2DD02" w:rsidR="00B178C3"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 la Titular de la Unidad de Transparencia y Acceso a la Información, cuyo contenido elemental refiere lo siguiente:</w:t>
      </w:r>
    </w:p>
    <w:p w14:paraId="5357B833" w14:textId="77777777" w:rsidR="009B02C7" w:rsidRPr="00211BF5" w:rsidRDefault="009B02C7"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C4AE5AE" w14:textId="77777777" w:rsidR="00B178C3" w:rsidRPr="00211BF5" w:rsidRDefault="00B178C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 … Con fundamento en lo dispuesto en el artículo 162 de la Ley de Transparencia y Acceso a la Información Pública del Estado de México y Municipios, de3spúes de realizar un búsqueda exhaustiva y razonable de la información solicitada en los controles de registro como lo son el Sistema Integral de Información de Protección de Verificación Sanitaria, no se localizó ninguna visita de verificación sanitaria practicada al establecimiento de mérito”  </w:t>
      </w:r>
    </w:p>
    <w:p w14:paraId="58DB9B50"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BE23688" w14:textId="3E876105"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Por su parte, el particular impugnó la respuesta del </w:t>
      </w:r>
      <w:r w:rsidRPr="00211BF5">
        <w:rPr>
          <w:rFonts w:ascii="Palatino Linotype" w:eastAsiaTheme="minorEastAsia" w:hAnsi="Palatino Linotype" w:cstheme="minorBidi"/>
          <w:b/>
          <w:bCs/>
          <w:color w:val="000000" w:themeColor="text1"/>
          <w:lang w:val="es-MX"/>
        </w:rPr>
        <w:t>SUJETO OBLIGADO</w:t>
      </w:r>
      <w:r w:rsidRPr="00211BF5">
        <w:rPr>
          <w:rFonts w:ascii="Palatino Linotype" w:eastAsiaTheme="minorEastAsia" w:hAnsi="Palatino Linotype" w:cstheme="minorBidi"/>
          <w:color w:val="000000" w:themeColor="text1"/>
          <w:lang w:val="es-MX"/>
        </w:rPr>
        <w:t xml:space="preserve"> mediante el recurso de revisión </w:t>
      </w:r>
      <w:r w:rsidR="00B178C3" w:rsidRPr="00211BF5">
        <w:rPr>
          <w:rFonts w:ascii="Palatino Linotype" w:eastAsiaTheme="minorEastAsia" w:hAnsi="Palatino Linotype" w:cstheme="minorBidi"/>
          <w:b/>
          <w:color w:val="000000" w:themeColor="text1"/>
          <w:lang w:val="es-MX"/>
        </w:rPr>
        <w:t>00568/INFOEM/IP/RR/2023</w:t>
      </w:r>
      <w:r w:rsidRPr="00211BF5">
        <w:rPr>
          <w:rFonts w:ascii="Palatino Linotype" w:eastAsiaTheme="minorEastAsia" w:hAnsi="Palatino Linotype" w:cstheme="minorBidi"/>
          <w:color w:val="000000" w:themeColor="text1"/>
          <w:lang w:val="es-MX"/>
        </w:rPr>
        <w:t>, en el que señaló por agravios, lo siguiente:</w:t>
      </w:r>
    </w:p>
    <w:p w14:paraId="305303E1" w14:textId="77777777" w:rsidR="00336DCE" w:rsidRPr="00211BF5" w:rsidRDefault="00336DCE" w:rsidP="00922656">
      <w:pPr>
        <w:tabs>
          <w:tab w:val="left" w:pos="426"/>
        </w:tabs>
        <w:spacing w:before="240" w:after="240" w:line="360" w:lineRule="auto"/>
        <w:ind w:right="616"/>
        <w:contextualSpacing/>
        <w:jc w:val="both"/>
        <w:rPr>
          <w:rFonts w:ascii="Palatino Linotype" w:eastAsiaTheme="minorEastAsia" w:hAnsi="Palatino Linotype" w:cstheme="minorBidi"/>
          <w:color w:val="000000" w:themeColor="text1"/>
          <w:lang w:val="es-MX"/>
        </w:rPr>
      </w:pPr>
    </w:p>
    <w:p w14:paraId="7BC8ADF8" w14:textId="2C140AD6" w:rsidR="00336DCE" w:rsidRPr="00211BF5" w:rsidRDefault="00B178C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“DERIVADO DE LA RESPUESTA EMITIDA EN FECHA 23 DE ENERO DEL PRESENTE AÑO, EN EL QUE LA QUE EL LICENCIADO SANTIAGO RAMOS MILLAN PINEDA, COORDINACION DE REGULACION SANITARIA Y COMISIONADO PARA LA PROTECCION CONTRA RIESGOS SANITARIOS DEL ESTADO DE MEXICO, </w:t>
      </w:r>
      <w:r w:rsidRPr="00211BF5">
        <w:rPr>
          <w:rFonts w:ascii="Palatino Linotype" w:eastAsiaTheme="minorEastAsia" w:hAnsi="Palatino Linotype" w:cstheme="minorBidi"/>
          <w:i/>
          <w:color w:val="000000" w:themeColor="text1"/>
          <w:lang w:val="es-MX"/>
        </w:rPr>
        <w:lastRenderedPageBreak/>
        <w:t xml:space="preserve">INFORMO QUE NO SE LOCALIZO NINGUNA VISITA DE VERIFICACION SANITARIA PRACTICADA A LA CLINICA DE ESPECIALIDADES MEDICAS CARTAGENA, MISMA QUE SE ENCUENTRE EN EJE CUATRO, ENTRE CALLE CUATRO Y CALLE CINCO, EN LA COLONIA LOMAS DE CARTAGENA EN EL MUNICIPIO DE TULTITLAN, ESTADO DE MEXICO, </w:t>
      </w:r>
      <w:r w:rsidRPr="00211BF5">
        <w:rPr>
          <w:rFonts w:ascii="Palatino Linotype" w:eastAsiaTheme="minorEastAsia" w:hAnsi="Palatino Linotype" w:cstheme="minorBidi"/>
          <w:b/>
          <w:i/>
          <w:color w:val="000000" w:themeColor="text1"/>
          <w:lang w:val="es-MX"/>
        </w:rPr>
        <w:t>QUIERO SABER EL MOTIVO POR EL CUAL EN TANTOS AÑOS NO SE HA RELIZADO NINGUN TIPO DE VISITA O VERIFICACION SANITARIA</w:t>
      </w:r>
      <w:r w:rsidRPr="00211BF5">
        <w:rPr>
          <w:rFonts w:ascii="Palatino Linotype" w:eastAsiaTheme="minorEastAsia" w:hAnsi="Palatino Linotype" w:cstheme="minorBidi"/>
          <w:i/>
          <w:color w:val="000000" w:themeColor="text1"/>
          <w:lang w:val="es-MX"/>
        </w:rPr>
        <w:t>.</w:t>
      </w:r>
      <w:r w:rsidR="00336DCE" w:rsidRPr="00211BF5">
        <w:rPr>
          <w:rFonts w:ascii="Palatino Linotype" w:eastAsiaTheme="minorEastAsia" w:hAnsi="Palatino Linotype" w:cstheme="minorBidi"/>
          <w:i/>
          <w:color w:val="000000" w:themeColor="text1"/>
          <w:lang w:val="es-MX"/>
        </w:rPr>
        <w:t>..</w:t>
      </w:r>
      <w:r w:rsidRPr="00211BF5">
        <w:rPr>
          <w:rFonts w:ascii="Palatino Linotype" w:eastAsiaTheme="minorEastAsia" w:hAnsi="Palatino Linotype" w:cstheme="minorBidi"/>
          <w:i/>
          <w:color w:val="000000" w:themeColor="text1"/>
          <w:lang w:val="es-MX"/>
        </w:rPr>
        <w:t>” (Sic)</w:t>
      </w:r>
    </w:p>
    <w:p w14:paraId="5CC6FE20"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90FF55A"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lang w:val="es-MX"/>
        </w:rPr>
        <w:t xml:space="preserve">Dicho lo anterior, conviene señalar que el </w:t>
      </w:r>
      <w:r w:rsidRPr="00211BF5">
        <w:rPr>
          <w:rFonts w:ascii="Palatino Linotype" w:eastAsiaTheme="minorEastAsia" w:hAnsi="Palatino Linotype" w:cs="Arial"/>
          <w:color w:val="000000"/>
          <w:lang w:val="es-MX" w:eastAsia="es-MX"/>
        </w:rPr>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11BF5">
        <w:rPr>
          <w:rFonts w:ascii="Palatino Linotype" w:eastAsiaTheme="minorEastAsia" w:hAnsi="Palatino Linotype" w:cs="Arial"/>
          <w:color w:val="000000"/>
          <w:lang w:val="es-MX"/>
        </w:rPr>
        <w:t xml:space="preserve"> </w:t>
      </w:r>
      <w:r w:rsidRPr="00211BF5">
        <w:rPr>
          <w:rFonts w:ascii="Palatino Linotype" w:eastAsiaTheme="minorEastAsia" w:hAnsi="Palatino Linotype" w:cs="Arial"/>
          <w:b/>
          <w:color w:val="000000"/>
          <w:lang w:val="es-MX"/>
        </w:rPr>
        <w:t>SUJETO OBLIGADO</w:t>
      </w:r>
      <w:r w:rsidRPr="00211BF5">
        <w:rPr>
          <w:rFonts w:ascii="Palatino Linotype" w:eastAsiaTheme="minorEastAsia" w:hAnsi="Palatino Linotype" w:cs="Arial"/>
          <w:color w:val="000000"/>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11BF5">
        <w:rPr>
          <w:rFonts w:ascii="Palatino Linotype" w:eastAsiaTheme="minorEastAsia" w:hAnsi="Palatino Linotype" w:cs="Arial"/>
          <w:b/>
          <w:color w:val="000000"/>
          <w:lang w:val="es-MX"/>
        </w:rPr>
        <w:t xml:space="preserve">Constitución Política de los Estados Unidos Mexicanos </w:t>
      </w:r>
      <w:r w:rsidRPr="00211BF5">
        <w:rPr>
          <w:rFonts w:ascii="Palatino Linotype" w:eastAsiaTheme="minorEastAsia" w:hAnsi="Palatino Linotype" w:cs="Arial"/>
          <w:color w:val="000000"/>
          <w:lang w:val="es-MX"/>
        </w:rPr>
        <w:t xml:space="preserve">al señalar la obligación de “promover, </w:t>
      </w:r>
      <w:r w:rsidRPr="00211BF5">
        <w:rPr>
          <w:rFonts w:ascii="Palatino Linotype" w:eastAsiaTheme="minorEastAsia" w:hAnsi="Palatino Linotype" w:cs="Arial"/>
          <w:b/>
          <w:color w:val="000000"/>
          <w:lang w:val="es-MX"/>
        </w:rPr>
        <w:t>respetar</w:t>
      </w:r>
      <w:r w:rsidRPr="00211BF5">
        <w:rPr>
          <w:rFonts w:ascii="Palatino Linotype" w:eastAsiaTheme="minorEastAsia" w:hAnsi="Palatino Linotype" w:cs="Arial"/>
          <w:color w:val="000000"/>
          <w:lang w:val="es-MX"/>
        </w:rPr>
        <w:t xml:space="preserve">, proteger y </w:t>
      </w:r>
      <w:r w:rsidRPr="00211BF5">
        <w:rPr>
          <w:rFonts w:ascii="Palatino Linotype" w:eastAsiaTheme="minorEastAsia" w:hAnsi="Palatino Linotype" w:cs="Arial"/>
          <w:b/>
          <w:color w:val="000000"/>
          <w:lang w:val="es-MX"/>
        </w:rPr>
        <w:t>garantizar</w:t>
      </w:r>
      <w:r w:rsidRPr="00211BF5">
        <w:rPr>
          <w:rFonts w:ascii="Palatino Linotype" w:eastAsiaTheme="minorEastAsia" w:hAnsi="Palatino Linotype" w:cs="Arial"/>
          <w:color w:val="000000"/>
          <w:lang w:val="es-MX"/>
        </w:rPr>
        <w:t xml:space="preserve"> los derechos humanos”, entre los cuales se encuentra dicho derecho. </w:t>
      </w:r>
    </w:p>
    <w:p w14:paraId="544474D5" w14:textId="77777777" w:rsidR="00336DCE" w:rsidRPr="00211BF5" w:rsidRDefault="00336DCE" w:rsidP="00922656">
      <w:pPr>
        <w:tabs>
          <w:tab w:val="left" w:pos="284"/>
        </w:tabs>
        <w:spacing w:before="240" w:after="240" w:line="360" w:lineRule="auto"/>
        <w:ind w:right="49"/>
        <w:contextualSpacing/>
        <w:jc w:val="both"/>
        <w:rPr>
          <w:rFonts w:ascii="Palatino Linotype" w:eastAsia="MS Mincho" w:hAnsi="Palatino Linotype"/>
          <w:color w:val="000000"/>
          <w:lang w:val="es-MX"/>
        </w:rPr>
      </w:pPr>
    </w:p>
    <w:p w14:paraId="5DE027B0" w14:textId="78FA0620" w:rsidR="00336DCE" w:rsidRPr="00211BF5" w:rsidRDefault="00336DCE" w:rsidP="00216222">
      <w:pPr>
        <w:numPr>
          <w:ilvl w:val="0"/>
          <w:numId w:val="1"/>
        </w:numPr>
        <w:tabs>
          <w:tab w:val="left" w:pos="284"/>
        </w:tabs>
        <w:spacing w:before="240" w:after="240" w:line="360" w:lineRule="auto"/>
        <w:ind w:left="0" w:firstLine="0"/>
        <w:contextualSpacing/>
        <w:jc w:val="both"/>
        <w:rPr>
          <w:rFonts w:ascii="Palatino Linotype" w:eastAsia="MS Mincho" w:hAnsi="Palatino Linotype"/>
          <w:lang w:val="es-MX"/>
        </w:rPr>
      </w:pPr>
      <w:r w:rsidRPr="00211BF5">
        <w:rPr>
          <w:rFonts w:ascii="Palatino Linotype" w:eastAsia="MS Mincho" w:hAnsi="Palatino Linotype"/>
          <w:lang w:val="es-MX"/>
        </w:rPr>
        <w:lastRenderedPageBreak/>
        <w:t xml:space="preserve">Definiendo el Derecho de Acceso a la Información Pública como: </w:t>
      </w:r>
      <w:r w:rsidRPr="00211BF5">
        <w:rPr>
          <w:rFonts w:ascii="Palatino Linotype" w:eastAsia="MS Mincho" w:hAnsi="Palatino Linotype"/>
          <w:i/>
          <w:color w:val="000000"/>
          <w:lang w:val="es-MX"/>
        </w:rPr>
        <w:t>La igualdad de oportunidades para recibir, buscar e impartir información</w:t>
      </w:r>
      <w:r w:rsidRPr="00211BF5">
        <w:rPr>
          <w:rFonts w:ascii="Palatino Linotype" w:eastAsia="MS Mincho" w:hAnsi="Palatino Linotype"/>
          <w:vertAlign w:val="superscript"/>
          <w:lang w:val="es-MX"/>
        </w:rPr>
        <w:footnoteReference w:id="1"/>
      </w:r>
      <w:r w:rsidRPr="00211BF5">
        <w:rPr>
          <w:rFonts w:ascii="Palatino Linotype" w:eastAsia="MS Mincho" w:hAnsi="Palatino Linotype"/>
          <w:i/>
          <w:color w:val="000000"/>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1BF5">
        <w:rPr>
          <w:rFonts w:ascii="Palatino Linotype" w:eastAsia="MS Mincho" w:hAnsi="Palatino Linotype"/>
          <w:vertAlign w:val="superscript"/>
          <w:lang w:val="es-MX"/>
        </w:rPr>
        <w:footnoteReference w:id="2"/>
      </w:r>
      <w:r w:rsidRPr="00211BF5">
        <w:rPr>
          <w:rFonts w:ascii="Palatino Linotype" w:eastAsia="MS Mincho" w:hAnsi="Palatino Linotype"/>
          <w:color w:val="000000"/>
          <w:lang w:val="es-MX"/>
        </w:rPr>
        <w:t>que se constituye como una herramienta fundamental para ejercer</w:t>
      </w:r>
      <w:r w:rsidRPr="00211BF5">
        <w:rPr>
          <w:rFonts w:ascii="Palatino Linotype" w:eastAsia="MS Mincho" w:hAnsi="Palatino Linotype"/>
          <w:i/>
          <w:color w:val="000000"/>
          <w:lang w:val="es-MX"/>
        </w:rPr>
        <w:t xml:space="preserve"> el control democrático de las gestiones estatales, de forma tal que puedan cuestionar, indagar y considerar si se está dando un adecuado cumplimiento a las funciones públicas,</w:t>
      </w:r>
      <w:r w:rsidRPr="00211BF5">
        <w:rPr>
          <w:rFonts w:ascii="Palatino Linotype" w:eastAsia="MS Mincho" w:hAnsi="Palatino Linotype"/>
          <w:vertAlign w:val="superscript"/>
          <w:lang w:val="es-MX"/>
        </w:rPr>
        <w:footnoteReference w:id="3"/>
      </w:r>
      <w:r w:rsidRPr="00211BF5">
        <w:rPr>
          <w:rFonts w:ascii="Palatino Linotype" w:eastAsia="MS Mincho" w:hAnsi="Palatino Linotype"/>
          <w:color w:val="000000"/>
          <w:lang w:val="es-MX"/>
        </w:rPr>
        <w:t>fomentando</w:t>
      </w:r>
      <w:r w:rsidRPr="00211BF5">
        <w:rPr>
          <w:rFonts w:ascii="Palatino Linotype" w:eastAsia="MS Mincho" w:hAnsi="Palatino Linotype"/>
          <w:i/>
          <w:color w:val="000000"/>
          <w:lang w:val="es-MX"/>
        </w:rPr>
        <w:t xml:space="preserve"> la transparencia de las actividades estatales y </w:t>
      </w:r>
      <w:r w:rsidRPr="00211BF5">
        <w:rPr>
          <w:rFonts w:ascii="Palatino Linotype" w:eastAsia="MS Mincho" w:hAnsi="Palatino Linotype"/>
          <w:color w:val="000000"/>
          <w:lang w:val="es-MX"/>
        </w:rPr>
        <w:t>promoviendo</w:t>
      </w:r>
      <w:r w:rsidRPr="00211BF5">
        <w:rPr>
          <w:rFonts w:ascii="Palatino Linotype" w:eastAsia="MS Mincho" w:hAnsi="Palatino Linotype"/>
          <w:i/>
          <w:color w:val="000000"/>
          <w:lang w:val="es-MX"/>
        </w:rPr>
        <w:t xml:space="preserve"> la responsabilidad de los funcionarios sobre su gestión pública,</w:t>
      </w:r>
      <w:r w:rsidRPr="00211BF5">
        <w:rPr>
          <w:rFonts w:ascii="Palatino Linotype" w:eastAsia="MS Mincho" w:hAnsi="Palatino Linotype"/>
          <w:vertAlign w:val="superscript"/>
          <w:lang w:val="es-MX"/>
        </w:rPr>
        <w:footnoteReference w:id="4"/>
      </w:r>
      <w:r w:rsidRPr="00211BF5">
        <w:rPr>
          <w:rFonts w:ascii="Palatino Linotype" w:eastAsia="MS Mincho" w:hAnsi="Palatino Linotype"/>
          <w:color w:val="000000"/>
          <w:lang w:val="es-MX"/>
        </w:rPr>
        <w:t>que permite</w:t>
      </w:r>
      <w:r w:rsidRPr="00211BF5">
        <w:rPr>
          <w:rFonts w:ascii="Palatino Linotype" w:eastAsia="MS Mincho" w:hAnsi="Palatino Linotype"/>
          <w:i/>
          <w:color w:val="000000"/>
          <w:lang w:val="es-MX"/>
        </w:rPr>
        <w:t xml:space="preserve"> saber qué están haciendo los gobiernos por sus pueblos, sin lo cual la verdad languidecería y la participación en el gobierno permanecería fragmentada.</w:t>
      </w:r>
    </w:p>
    <w:p w14:paraId="7B5F788E" w14:textId="77777777" w:rsidR="00336DCE" w:rsidRPr="00211BF5" w:rsidRDefault="00336DCE" w:rsidP="00922656">
      <w:pPr>
        <w:tabs>
          <w:tab w:val="left" w:pos="284"/>
        </w:tabs>
        <w:spacing w:line="360" w:lineRule="auto"/>
        <w:rPr>
          <w:rFonts w:ascii="Palatino Linotype" w:eastAsia="MS Mincho" w:hAnsi="Palatino Linotype"/>
          <w:lang w:val="es-MX"/>
        </w:rPr>
      </w:pPr>
    </w:p>
    <w:p w14:paraId="18A0D5D3" w14:textId="77777777" w:rsidR="00336DCE" w:rsidRPr="00211BF5" w:rsidRDefault="00336DCE" w:rsidP="00216222">
      <w:pPr>
        <w:numPr>
          <w:ilvl w:val="0"/>
          <w:numId w:val="1"/>
        </w:numPr>
        <w:tabs>
          <w:tab w:val="left" w:pos="284"/>
        </w:tabs>
        <w:spacing w:before="240" w:after="240" w:line="360" w:lineRule="auto"/>
        <w:ind w:left="0" w:firstLine="0"/>
        <w:contextualSpacing/>
        <w:jc w:val="both"/>
        <w:rPr>
          <w:rFonts w:ascii="Palatino Linotype" w:eastAsia="MS Mincho" w:hAnsi="Palatino Linotype"/>
          <w:i/>
          <w:lang w:val="es-MX"/>
        </w:rPr>
      </w:pPr>
      <w:r w:rsidRPr="00211BF5">
        <w:rPr>
          <w:rFonts w:ascii="Palatino Linotype" w:eastAsia="MS Mincho" w:hAnsi="Palatino Linotype"/>
          <w:lang w:val="es-MX"/>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09D3AFB" w14:textId="00F2F48B" w:rsidR="00336DCE" w:rsidRPr="00211BF5" w:rsidRDefault="00336DCE" w:rsidP="00922656">
      <w:pPr>
        <w:tabs>
          <w:tab w:val="left" w:pos="284"/>
        </w:tabs>
        <w:spacing w:before="240" w:after="240" w:line="360" w:lineRule="auto"/>
        <w:contextualSpacing/>
        <w:jc w:val="both"/>
        <w:rPr>
          <w:rFonts w:ascii="Palatino Linotype" w:eastAsia="MS Mincho" w:hAnsi="Palatino Linotype"/>
          <w:i/>
          <w:lang w:val="es-MX"/>
        </w:rPr>
      </w:pPr>
      <w:r w:rsidRPr="00211BF5">
        <w:rPr>
          <w:rFonts w:ascii="Palatino Linotype" w:eastAsia="MS Mincho" w:hAnsi="Palatino Linotype"/>
          <w:i/>
          <w:lang w:val="es-MX"/>
        </w:rPr>
        <w:t xml:space="preserve"> </w:t>
      </w:r>
    </w:p>
    <w:p w14:paraId="69EC7A83" w14:textId="4176E562" w:rsidR="00336DCE" w:rsidRPr="00211BF5" w:rsidRDefault="00B178C3" w:rsidP="00216222">
      <w:pPr>
        <w:numPr>
          <w:ilvl w:val="0"/>
          <w:numId w:val="1"/>
        </w:numPr>
        <w:tabs>
          <w:tab w:val="left" w:pos="284"/>
        </w:tabs>
        <w:spacing w:before="240" w:after="240" w:line="360" w:lineRule="auto"/>
        <w:ind w:left="0" w:firstLine="0"/>
        <w:contextualSpacing/>
        <w:jc w:val="both"/>
        <w:rPr>
          <w:rFonts w:ascii="Palatino Linotype" w:eastAsia="Calibri" w:hAnsi="Palatino Linotype"/>
          <w:lang w:val="es-MX"/>
        </w:rPr>
      </w:pPr>
      <w:r w:rsidRPr="00211BF5">
        <w:rPr>
          <w:rFonts w:ascii="Palatino Linotype" w:eastAsia="Calibri" w:hAnsi="Palatino Linotype"/>
          <w:lang w:val="es-MX"/>
        </w:rPr>
        <w:t>A</w:t>
      </w:r>
      <w:r w:rsidR="002E3553" w:rsidRPr="00211BF5">
        <w:rPr>
          <w:rFonts w:ascii="Palatino Linotype" w:eastAsia="Calibri" w:hAnsi="Palatino Linotype"/>
          <w:lang w:val="es-MX"/>
        </w:rPr>
        <w:t>l tenor de lo anterior</w:t>
      </w:r>
      <w:r w:rsidR="00336DCE" w:rsidRPr="00211BF5">
        <w:rPr>
          <w:rFonts w:ascii="Palatino Linotype" w:eastAsia="MS Mincho" w:hAnsi="Palatino Linotype" w:cs="Arial"/>
          <w:lang w:val="es-MX"/>
        </w:rPr>
        <w:t xml:space="preserve">, y para entender los alcances de la información pública se considera importante citar el criterio </w:t>
      </w:r>
      <w:r w:rsidR="00336DCE" w:rsidRPr="00211BF5">
        <w:rPr>
          <w:rFonts w:ascii="Palatino Linotype" w:eastAsia="MS Mincho" w:hAnsi="Palatino Linotype" w:cs="Arial"/>
          <w:bCs/>
          <w:lang w:val="es-MX" w:eastAsia="es-MX"/>
        </w:rPr>
        <w:t xml:space="preserve">de interpretación en el orden administrativo número 0002-11, emitido por Acuerdo del Pleno de este Instituto de Transparencia </w:t>
      </w:r>
      <w:r w:rsidR="00336DCE" w:rsidRPr="00211BF5">
        <w:rPr>
          <w:rFonts w:ascii="Palatino Linotype" w:eastAsia="MS Mincho" w:hAnsi="Palatino Linotype" w:cs="Arial"/>
          <w:bCs/>
          <w:lang w:val="es-MX" w:eastAsia="es-MX"/>
        </w:rPr>
        <w:lastRenderedPageBreak/>
        <w:t xml:space="preserve">y Acceso a la Información Pública del Estado de México y Municipios, publicado en el Periódico Oficial del Gobierno del Estado Libre y Soberano de México “Gaceta del Gobierno” el diecinueve de octubre de dos mil once, </w:t>
      </w:r>
      <w:r w:rsidR="00336DCE" w:rsidRPr="00211BF5">
        <w:rPr>
          <w:rFonts w:ascii="Palatino Linotype" w:eastAsia="MS Mincho" w:hAnsi="Palatino Linotype" w:cs="Arial"/>
          <w:lang w:val="es-MX"/>
        </w:rPr>
        <w:t>cuyo rubro y texto dispone:</w:t>
      </w:r>
    </w:p>
    <w:p w14:paraId="3024D719" w14:textId="77777777" w:rsidR="00336DCE" w:rsidRPr="00211BF5" w:rsidRDefault="00336DCE" w:rsidP="00922656">
      <w:pPr>
        <w:autoSpaceDE w:val="0"/>
        <w:autoSpaceDN w:val="0"/>
        <w:adjustRightInd w:val="0"/>
        <w:spacing w:line="360" w:lineRule="auto"/>
        <w:jc w:val="both"/>
        <w:rPr>
          <w:rFonts w:ascii="Palatino Linotype" w:eastAsia="MS Mincho" w:hAnsi="Palatino Linotype" w:cs="Arial"/>
          <w:lang w:val="es-MX"/>
        </w:rPr>
      </w:pPr>
    </w:p>
    <w:p w14:paraId="105C95F4" w14:textId="77777777" w:rsidR="00336DCE" w:rsidRPr="00211BF5" w:rsidRDefault="00336DCE" w:rsidP="00922656">
      <w:pPr>
        <w:autoSpaceDE w:val="0"/>
        <w:autoSpaceDN w:val="0"/>
        <w:adjustRightInd w:val="0"/>
        <w:spacing w:line="360" w:lineRule="auto"/>
        <w:ind w:left="567" w:right="567"/>
        <w:jc w:val="both"/>
        <w:rPr>
          <w:rFonts w:ascii="Palatino Linotype" w:eastAsia="MS Mincho" w:hAnsi="Palatino Linotype" w:cs="Arial"/>
          <w:b/>
          <w:i/>
          <w:lang w:val="es-MX" w:eastAsia="es-MX"/>
        </w:rPr>
      </w:pPr>
      <w:r w:rsidRPr="00211BF5">
        <w:rPr>
          <w:rFonts w:ascii="Palatino Linotype" w:eastAsia="MS Mincho" w:hAnsi="Palatino Linotype" w:cs="Arial"/>
          <w:b/>
          <w:i/>
          <w:lang w:val="es-MX" w:eastAsia="es-MX"/>
        </w:rPr>
        <w:t>“CRITERIO 0002-11</w:t>
      </w:r>
    </w:p>
    <w:p w14:paraId="4AF16A23" w14:textId="77777777" w:rsidR="00336DCE" w:rsidRPr="00211BF5" w:rsidRDefault="00336DCE" w:rsidP="00922656">
      <w:pPr>
        <w:autoSpaceDE w:val="0"/>
        <w:autoSpaceDN w:val="0"/>
        <w:adjustRightInd w:val="0"/>
        <w:spacing w:line="360" w:lineRule="auto"/>
        <w:ind w:left="567" w:right="567"/>
        <w:jc w:val="both"/>
        <w:rPr>
          <w:rFonts w:ascii="Palatino Linotype" w:eastAsia="MS Mincho" w:hAnsi="Palatino Linotype" w:cs="Arial"/>
          <w:i/>
          <w:lang w:val="es-MX" w:eastAsia="es-MX"/>
        </w:rPr>
      </w:pPr>
      <w:r w:rsidRPr="00211BF5">
        <w:rPr>
          <w:rFonts w:ascii="Palatino Linotype" w:eastAsia="MS Mincho" w:hAnsi="Palatino Linotype" w:cs="Arial"/>
          <w:b/>
          <w:i/>
          <w:lang w:val="es-MX" w:eastAsia="es-MX"/>
        </w:rPr>
        <w:t xml:space="preserve">INFORMACIÓN PÚBLICA, CONCEPTO DE, EN MATERIA DE TRANSPARENCIA. INTERPRETACIÓN TEMÁTICA DE LOS ARTÍCULOS 2, FRACCIÓN </w:t>
      </w:r>
      <w:r w:rsidRPr="00211BF5">
        <w:rPr>
          <w:rFonts w:ascii="Palatino Linotype" w:eastAsia="MS Mincho" w:hAnsi="Palatino Linotype" w:cs="Arial"/>
          <w:b/>
          <w:bCs/>
          <w:i/>
          <w:lang w:val="es-MX" w:eastAsia="es-MX"/>
        </w:rPr>
        <w:t xml:space="preserve">V, XV, Y XVI, </w:t>
      </w:r>
      <w:r w:rsidRPr="00211BF5">
        <w:rPr>
          <w:rFonts w:ascii="Palatino Linotype" w:eastAsia="MS Mincho" w:hAnsi="Palatino Linotype" w:cs="Arial"/>
          <w:b/>
          <w:i/>
          <w:lang w:val="es-MX" w:eastAsia="es-MX"/>
        </w:rPr>
        <w:t>3, 4,11 Y 41.</w:t>
      </w:r>
      <w:r w:rsidRPr="00211BF5">
        <w:rPr>
          <w:rFonts w:ascii="Palatino Linotype" w:eastAsia="MS Mincho"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8198E8" w14:textId="77777777" w:rsidR="00336DCE" w:rsidRPr="00211BF5" w:rsidRDefault="00336DCE" w:rsidP="00922656">
      <w:pPr>
        <w:autoSpaceDE w:val="0"/>
        <w:autoSpaceDN w:val="0"/>
        <w:adjustRightInd w:val="0"/>
        <w:spacing w:line="360" w:lineRule="auto"/>
        <w:ind w:left="567" w:right="567"/>
        <w:jc w:val="both"/>
        <w:rPr>
          <w:rFonts w:ascii="Palatino Linotype" w:eastAsia="MS Mincho" w:hAnsi="Palatino Linotype" w:cs="Arial"/>
          <w:i/>
          <w:lang w:val="es-MX" w:eastAsia="es-MX"/>
        </w:rPr>
      </w:pPr>
      <w:r w:rsidRPr="00211BF5">
        <w:rPr>
          <w:rFonts w:ascii="Palatino Linotype" w:eastAsia="MS Mincho" w:hAnsi="Palatino Linotype" w:cs="Arial"/>
          <w:i/>
          <w:lang w:val="es-MX" w:eastAsia="es-MX"/>
        </w:rPr>
        <w:t>En consecuencia el acceso a la información se refiere a que se cumplan cualquiera de los siguientes tres supuestos:</w:t>
      </w:r>
    </w:p>
    <w:p w14:paraId="48D3CE1A" w14:textId="77777777" w:rsidR="00336DCE" w:rsidRPr="00211BF5" w:rsidRDefault="00336DCE" w:rsidP="00922656">
      <w:pPr>
        <w:autoSpaceDE w:val="0"/>
        <w:autoSpaceDN w:val="0"/>
        <w:adjustRightInd w:val="0"/>
        <w:spacing w:line="360" w:lineRule="auto"/>
        <w:ind w:left="567" w:right="567"/>
        <w:jc w:val="both"/>
        <w:rPr>
          <w:rFonts w:ascii="Palatino Linotype" w:eastAsia="MS Mincho" w:hAnsi="Palatino Linotype" w:cs="Arial"/>
          <w:b/>
          <w:i/>
          <w:lang w:val="es-MX" w:eastAsia="es-MX"/>
        </w:rPr>
      </w:pPr>
      <w:r w:rsidRPr="00211BF5">
        <w:rPr>
          <w:rFonts w:ascii="Palatino Linotype" w:eastAsia="MS Mincho" w:hAnsi="Palatino Linotype" w:cs="Arial"/>
          <w:b/>
          <w:i/>
          <w:lang w:val="es-MX" w:eastAsia="es-MX"/>
        </w:rPr>
        <w:t>Que se trate de información registrada en cualquier soporte documental, que en ejercicio de las atribuciones conferidas, sea generada por los Sujetos Obligados;</w:t>
      </w:r>
    </w:p>
    <w:p w14:paraId="0096A2C7" w14:textId="77777777" w:rsidR="00336DCE" w:rsidRPr="00211BF5" w:rsidRDefault="00336DCE" w:rsidP="00922656">
      <w:pPr>
        <w:autoSpaceDE w:val="0"/>
        <w:autoSpaceDN w:val="0"/>
        <w:adjustRightInd w:val="0"/>
        <w:spacing w:line="360" w:lineRule="auto"/>
        <w:ind w:left="567" w:right="567"/>
        <w:jc w:val="both"/>
        <w:rPr>
          <w:rFonts w:ascii="Palatino Linotype" w:eastAsia="MS Mincho" w:hAnsi="Palatino Linotype" w:cs="Arial"/>
          <w:b/>
          <w:i/>
          <w:lang w:val="es-MX" w:eastAsia="es-MX"/>
        </w:rPr>
      </w:pPr>
      <w:r w:rsidRPr="00211BF5">
        <w:rPr>
          <w:rFonts w:ascii="Palatino Linotype" w:eastAsia="MS Mincho" w:hAnsi="Palatino Linotype" w:cs="Arial"/>
          <w:b/>
          <w:i/>
          <w:lang w:val="es-MX" w:eastAsia="es-MX"/>
        </w:rPr>
        <w:t>Que se trate de información registrada en cualquier soporte documental, que en ejercicio de las atribuciones conferidas, sea administrada por los Sujetos Obligados, y</w:t>
      </w:r>
    </w:p>
    <w:p w14:paraId="2DEF4BEA" w14:textId="77777777" w:rsidR="00336DCE" w:rsidRPr="00211BF5" w:rsidRDefault="00336DCE" w:rsidP="00922656">
      <w:pPr>
        <w:spacing w:line="360" w:lineRule="auto"/>
        <w:ind w:left="567" w:right="567"/>
        <w:jc w:val="both"/>
        <w:rPr>
          <w:rFonts w:ascii="Palatino Linotype" w:eastAsia="MS Mincho" w:hAnsi="Palatino Linotype" w:cs="Arial"/>
          <w:b/>
          <w:i/>
          <w:lang w:val="es-MX" w:eastAsia="es-MX"/>
        </w:rPr>
      </w:pPr>
      <w:r w:rsidRPr="00211BF5">
        <w:rPr>
          <w:rFonts w:ascii="Palatino Linotype" w:eastAsia="MS Mincho" w:hAnsi="Palatino Linotype" w:cs="Arial"/>
          <w:b/>
          <w:i/>
          <w:lang w:val="es-MX" w:eastAsia="es-MX"/>
        </w:rPr>
        <w:t>Que se trate de información registrada en cualquier soporte documental, que en ejercicio de las atribuciones conferidas, se encuentre en posesión de los Sujetos Obligados.”</w:t>
      </w:r>
    </w:p>
    <w:p w14:paraId="50401C83" w14:textId="77777777" w:rsidR="00336DCE" w:rsidRPr="00211BF5" w:rsidRDefault="00336DCE" w:rsidP="00922656">
      <w:pPr>
        <w:spacing w:line="360" w:lineRule="auto"/>
        <w:ind w:left="567" w:right="567"/>
        <w:jc w:val="both"/>
        <w:rPr>
          <w:rFonts w:ascii="Palatino Linotype" w:eastAsia="MS Mincho" w:hAnsi="Palatino Linotype" w:cs="Arial"/>
          <w:b/>
          <w:i/>
          <w:lang w:val="es-MX" w:eastAsia="es-MX"/>
        </w:rPr>
      </w:pPr>
    </w:p>
    <w:p w14:paraId="46929E06" w14:textId="77777777" w:rsidR="00336DCE" w:rsidRPr="00211BF5" w:rsidRDefault="00336DCE" w:rsidP="00922656">
      <w:pPr>
        <w:spacing w:line="360" w:lineRule="auto"/>
        <w:ind w:left="567" w:right="567"/>
        <w:jc w:val="both"/>
        <w:rPr>
          <w:rFonts w:ascii="Palatino Linotype" w:eastAsia="MS Mincho" w:hAnsi="Palatino Linotype" w:cs="Arial"/>
          <w:i/>
          <w:lang w:val="es-MX" w:eastAsia="es-MX"/>
        </w:rPr>
      </w:pPr>
      <w:r w:rsidRPr="00211BF5">
        <w:rPr>
          <w:rFonts w:ascii="Palatino Linotype" w:eastAsia="MS Mincho" w:hAnsi="Palatino Linotype" w:cs="Arial"/>
          <w:i/>
          <w:lang w:val="es-MX" w:eastAsia="es-MX"/>
        </w:rPr>
        <w:t xml:space="preserve">(Énfasis añadido) </w:t>
      </w:r>
    </w:p>
    <w:p w14:paraId="52CF063A" w14:textId="77777777" w:rsidR="00336DCE" w:rsidRPr="00211BF5" w:rsidRDefault="00336DCE" w:rsidP="00922656">
      <w:pPr>
        <w:spacing w:line="360" w:lineRule="auto"/>
        <w:ind w:left="567" w:right="567"/>
        <w:jc w:val="both"/>
        <w:rPr>
          <w:rFonts w:ascii="Palatino Linotype" w:eastAsia="MS Mincho" w:hAnsi="Palatino Linotype" w:cs="Arial"/>
          <w:i/>
          <w:lang w:val="es-MX" w:eastAsia="es-MX"/>
        </w:rPr>
      </w:pPr>
    </w:p>
    <w:p w14:paraId="01C538D4"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lang w:val="es-MX"/>
        </w:rPr>
      </w:pPr>
      <w:r w:rsidRPr="00211BF5">
        <w:rPr>
          <w:rFonts w:ascii="Palatino Linotype" w:eastAsiaTheme="minorEastAsia" w:hAnsi="Palatino Linotype" w:cstheme="minorBidi"/>
          <w:lang w:val="es-MX"/>
        </w:rPr>
        <w:t xml:space="preserve">En ese mismo contexto, el artículo 12 de la Ley de Transparencia y Acceso a la Información Pública del Estado de México y Municipios establece que los Sujetos Obligados solo proporcionaran la información que se les requiera y obre e sus archivos, como a continuación se observa: </w:t>
      </w:r>
    </w:p>
    <w:p w14:paraId="0621DF08"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lang w:val="es-MX"/>
        </w:rPr>
      </w:pPr>
    </w:p>
    <w:p w14:paraId="5C75EA5B" w14:textId="77777777" w:rsidR="00336DCE" w:rsidRPr="00211BF5" w:rsidRDefault="00336DCE" w:rsidP="00922656">
      <w:pPr>
        <w:tabs>
          <w:tab w:val="left" w:pos="426"/>
        </w:tabs>
        <w:spacing w:before="240" w:after="240" w:line="360" w:lineRule="auto"/>
        <w:ind w:left="567" w:right="616"/>
        <w:contextualSpacing/>
        <w:jc w:val="both"/>
        <w:rPr>
          <w:rFonts w:ascii="Palatino Linotype" w:eastAsiaTheme="minorEastAsia" w:hAnsi="Palatino Linotype" w:cstheme="minorBidi"/>
          <w:i/>
          <w:lang w:val="es-MX"/>
        </w:rPr>
      </w:pPr>
      <w:r w:rsidRPr="00211BF5">
        <w:rPr>
          <w:rFonts w:ascii="Palatino Linotype" w:eastAsiaTheme="minorEastAsia" w:hAnsi="Palatino Linotype" w:cstheme="minorBidi"/>
          <w:i/>
          <w:lang w:val="es-MX"/>
        </w:rPr>
        <w:t>“</w:t>
      </w:r>
      <w:r w:rsidRPr="00211BF5">
        <w:rPr>
          <w:rFonts w:ascii="Palatino Linotype" w:eastAsiaTheme="minorEastAsia" w:hAnsi="Palatino Linotype" w:cstheme="minorBidi"/>
          <w:b/>
          <w:i/>
          <w:lang w:val="es-MX"/>
        </w:rPr>
        <w:t>Artículo 12.</w:t>
      </w:r>
      <w:r w:rsidRPr="00211BF5">
        <w:rPr>
          <w:rFonts w:ascii="Palatino Linotype" w:eastAsiaTheme="minorEastAsia" w:hAnsi="Palatino Linotype" w:cstheme="minorBidi"/>
          <w:i/>
          <w:lang w:val="es-MX"/>
        </w:rPr>
        <w:t xml:space="preserve"> Quienes generen, recopilen, administren, manejen, procesen, archiven o conserven información pública serán responsables de la misma en los términos de las disposiciones jurídicas aplicables. </w:t>
      </w:r>
    </w:p>
    <w:p w14:paraId="32AC9B96" w14:textId="77777777" w:rsidR="00336DCE" w:rsidRPr="00211BF5" w:rsidRDefault="00336DCE" w:rsidP="00922656">
      <w:pPr>
        <w:tabs>
          <w:tab w:val="left" w:pos="426"/>
        </w:tabs>
        <w:spacing w:before="240" w:after="240" w:line="360" w:lineRule="auto"/>
        <w:ind w:left="567" w:right="616"/>
        <w:contextualSpacing/>
        <w:jc w:val="both"/>
        <w:rPr>
          <w:rFonts w:ascii="Palatino Linotype" w:eastAsiaTheme="minorEastAsia" w:hAnsi="Palatino Linotype" w:cstheme="minorBidi"/>
          <w:i/>
          <w:lang w:val="es-MX"/>
        </w:rPr>
      </w:pPr>
    </w:p>
    <w:p w14:paraId="22D9A1AF" w14:textId="77777777" w:rsidR="00336DCE" w:rsidRPr="00211BF5" w:rsidRDefault="00336DCE" w:rsidP="00922656">
      <w:pPr>
        <w:tabs>
          <w:tab w:val="left" w:pos="426"/>
        </w:tabs>
        <w:spacing w:before="240" w:after="240" w:line="360" w:lineRule="auto"/>
        <w:ind w:left="567" w:right="616"/>
        <w:contextualSpacing/>
        <w:jc w:val="both"/>
        <w:rPr>
          <w:rFonts w:ascii="Palatino Linotype" w:eastAsiaTheme="minorEastAsia" w:hAnsi="Palatino Linotype" w:cstheme="minorBidi"/>
          <w:i/>
          <w:lang w:val="es-MX"/>
        </w:rPr>
      </w:pPr>
      <w:r w:rsidRPr="00211BF5">
        <w:rPr>
          <w:rFonts w:ascii="Palatino Linotype" w:eastAsiaTheme="minorEastAsia" w:hAnsi="Palatino Linotype" w:cstheme="minorBidi"/>
          <w:b/>
          <w:i/>
          <w:lang w:val="es-MX"/>
        </w:rPr>
        <w:t>Los sujetos obligados sólo proporcionarán la información pública que se les requiera y que obre en sus archivos y en el estado en que ésta se encuentre</w:t>
      </w:r>
      <w:r w:rsidRPr="00211BF5">
        <w:rPr>
          <w:rFonts w:ascii="Palatino Linotype" w:eastAsiaTheme="minorEastAsia" w:hAnsi="Palatino Linotype" w:cstheme="minorBidi"/>
          <w:i/>
          <w:lang w:val="es-MX"/>
        </w:rPr>
        <w:t>. La obligación de proporcionar información no comprende el procesamiento de la misma, ni el presentarla conforme al interés del solicitante; no estarán obligados a generarla, resumirla, efectuar cálculos o practicar investigaciones.” (Sic)</w:t>
      </w:r>
    </w:p>
    <w:p w14:paraId="121C8866" w14:textId="77777777" w:rsidR="00336DCE" w:rsidRPr="00211BF5" w:rsidRDefault="00336DCE" w:rsidP="00922656">
      <w:pPr>
        <w:tabs>
          <w:tab w:val="left" w:pos="426"/>
        </w:tabs>
        <w:spacing w:before="240" w:after="240" w:line="360" w:lineRule="auto"/>
        <w:ind w:left="567" w:right="616"/>
        <w:contextualSpacing/>
        <w:jc w:val="both"/>
        <w:rPr>
          <w:rFonts w:ascii="Palatino Linotype" w:eastAsiaTheme="minorEastAsia" w:hAnsi="Palatino Linotype" w:cstheme="minorBidi"/>
          <w:i/>
          <w:lang w:val="es-MX"/>
        </w:rPr>
      </w:pPr>
    </w:p>
    <w:p w14:paraId="6BA97204" w14:textId="77777777" w:rsidR="00336DCE" w:rsidRPr="00211BF5" w:rsidRDefault="00336DCE" w:rsidP="00922656">
      <w:pPr>
        <w:tabs>
          <w:tab w:val="left" w:pos="426"/>
        </w:tabs>
        <w:spacing w:before="240" w:after="240" w:line="360" w:lineRule="auto"/>
        <w:ind w:left="567" w:right="616"/>
        <w:contextualSpacing/>
        <w:jc w:val="both"/>
        <w:rPr>
          <w:rFonts w:ascii="Palatino Linotype" w:eastAsiaTheme="minorEastAsia" w:hAnsi="Palatino Linotype" w:cstheme="minorBidi"/>
          <w:i/>
          <w:lang w:val="es-MX"/>
        </w:rPr>
      </w:pPr>
      <w:r w:rsidRPr="00211BF5">
        <w:rPr>
          <w:rFonts w:ascii="Palatino Linotype" w:eastAsiaTheme="minorEastAsia" w:hAnsi="Palatino Linotype" w:cstheme="minorBidi"/>
          <w:i/>
          <w:lang w:val="es-MX"/>
        </w:rPr>
        <w:t xml:space="preserve">(Énfasis añadido) </w:t>
      </w:r>
    </w:p>
    <w:p w14:paraId="5E87EFCC"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lang w:val="es-MX"/>
        </w:rPr>
      </w:pPr>
    </w:p>
    <w:p w14:paraId="60EEA174" w14:textId="0B5C6FC4" w:rsidR="002E3553"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lang w:val="es-MX"/>
        </w:rPr>
        <w:t>Así las cosas, los Sujetos Obligados solo proporcionaran la información que obra en sus archivos,  y tomando en consideración que, el ente recurrido,</w:t>
      </w:r>
      <w:r w:rsidR="002E3553" w:rsidRPr="00211BF5">
        <w:rPr>
          <w:rFonts w:ascii="Palatino Linotype" w:eastAsiaTheme="minorEastAsia" w:hAnsi="Palatino Linotype" w:cstheme="minorBidi"/>
        </w:rPr>
        <w:t xml:space="preserve"> manifestó  que dentro de sus archivos no se encuentra alguna verificación a la clínica señalada </w:t>
      </w:r>
      <w:r w:rsidR="002E3553" w:rsidRPr="00211BF5">
        <w:rPr>
          <w:rFonts w:ascii="Palatino Linotype" w:eastAsiaTheme="minorEastAsia" w:hAnsi="Palatino Linotype" w:cstheme="minorBidi"/>
        </w:rPr>
        <w:lastRenderedPageBreak/>
        <w:t xml:space="preserve">por el particular </w:t>
      </w:r>
      <w:r w:rsidRPr="00211BF5">
        <w:rPr>
          <w:rFonts w:ascii="Palatino Linotype" w:eastAsiaTheme="minorEastAsia" w:hAnsi="Palatino Linotype" w:cstheme="minorBidi"/>
        </w:rPr>
        <w:t>, este Órgano Garante de conformidad con los principios que le establece el artículo 9</w:t>
      </w:r>
      <w:r w:rsidRPr="00211BF5">
        <w:rPr>
          <w:rFonts w:ascii="Palatino Linotype" w:eastAsiaTheme="minorEastAsia" w:hAnsi="Palatino Linotype" w:cstheme="minorBidi"/>
          <w:vertAlign w:val="superscript"/>
        </w:rPr>
        <w:footnoteReference w:id="5"/>
      </w:r>
      <w:r w:rsidRPr="00211BF5">
        <w:rPr>
          <w:rFonts w:ascii="Palatino Linotype" w:eastAsiaTheme="minorEastAsia" w:hAnsi="Palatino Linotype" w:cstheme="minorBidi"/>
        </w:rPr>
        <w:t xml:space="preserve"> de la multicitada Ley de Transparencia Estatal,</w:t>
      </w:r>
      <w:r w:rsidR="002E3553" w:rsidRPr="00211BF5">
        <w:rPr>
          <w:rFonts w:ascii="Palatino Linotype" w:eastAsiaTheme="minorEastAsia" w:hAnsi="Palatino Linotype" w:cstheme="minorBidi"/>
          <w:color w:val="000000" w:themeColor="text1"/>
          <w:lang w:val="es-MX"/>
        </w:rPr>
        <w:t xml:space="preserve"> </w:t>
      </w:r>
      <w:r w:rsidR="002E3553" w:rsidRPr="00211BF5">
        <w:rPr>
          <w:rFonts w:ascii="Palatino Linotype" w:eastAsiaTheme="minorEastAsia" w:hAnsi="Palatino Linotype" w:cstheme="minorBidi"/>
        </w:rPr>
        <w:t>procedió</w:t>
      </w:r>
      <w:r w:rsidRPr="00211BF5">
        <w:rPr>
          <w:rFonts w:ascii="Palatino Linotype" w:eastAsiaTheme="minorEastAsia" w:hAnsi="Palatino Linotype" w:cstheme="minorBidi"/>
        </w:rPr>
        <w:t xml:space="preserve"> a verificar </w:t>
      </w:r>
      <w:r w:rsidR="002E3553" w:rsidRPr="00211BF5">
        <w:rPr>
          <w:rFonts w:ascii="Palatino Linotype" w:eastAsiaTheme="minorEastAsia" w:hAnsi="Palatino Linotype" w:cstheme="minorBidi"/>
          <w:color w:val="000000" w:themeColor="text1"/>
          <w:lang w:val="es-MX"/>
        </w:rPr>
        <w:t xml:space="preserve">el Manual General de Organización del Instituto de Salud del Estado de México a efecto de determinar que quien otorga respuesta está facultado para ello, encontrando que, en efecto,  el Coordinador de Regulación Sanitaria y Comisionado para la Protección Contra Riesgos Sanitarios del Estado de México, resulta ser el servidor público habilitado para contar con la información, como a continuación se observa: </w:t>
      </w:r>
    </w:p>
    <w:p w14:paraId="3DB4DBF9" w14:textId="77777777" w:rsidR="002E3553" w:rsidRPr="00211BF5" w:rsidRDefault="002E3553"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E67AA75"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color w:val="000000" w:themeColor="text1"/>
          <w:lang w:val="es-MX"/>
        </w:rPr>
        <w:t>“</w:t>
      </w:r>
      <w:r w:rsidRPr="00211BF5">
        <w:rPr>
          <w:rFonts w:ascii="Palatino Linotype" w:eastAsiaTheme="minorEastAsia" w:hAnsi="Palatino Linotype" w:cstheme="minorBidi"/>
          <w:i/>
          <w:color w:val="000000" w:themeColor="text1"/>
          <w:lang w:val="es-MX"/>
        </w:rPr>
        <w:t xml:space="preserve">217840000 COORDINACIÓN DE REGULACIÓN SANITARIA </w:t>
      </w:r>
    </w:p>
    <w:p w14:paraId="4A0343E3"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7A503F31"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OBJETIVO: Verificar y promover el cumplimiento de la normatividad en materia de regulación, control y fomento sanitarios, instrumentando acciones de carácter preventivo, respecto de los factores que condicionen y causen daños a la salud. </w:t>
      </w:r>
    </w:p>
    <w:p w14:paraId="739531EF"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3DA996D5"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FUNCIONES: </w:t>
      </w:r>
    </w:p>
    <w:p w14:paraId="2E0C50B5"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2980F5BD"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Conducir la política estatal en materia de regulación, control y fomento sanitarios, en los términos de las leyes aplicables. </w:t>
      </w:r>
    </w:p>
    <w:p w14:paraId="53602029"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Realizar dentro del ámbito de su competencia las funciones que se deriven de convenios y acuerdos de colaboración administrativa que al efecto celebren el Instituto de Salud y la Secretaría de Salud del Estado de México. </w:t>
      </w:r>
    </w:p>
    <w:p w14:paraId="29BEB032"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137A25D7"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 Vigilar el cumplimiento de la legislación sanitaria en la entidad. </w:t>
      </w:r>
    </w:p>
    <w:p w14:paraId="500A5B02"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38523484"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-Coordinar y supervisar que las actividades que se realizan en las jurisdicciones de regulación sanitaria se apeguen a la normatividad y programas establecidos, así como verificar la instauración de los procedimientos jurídico-administrativos que sean procedentes. </w:t>
      </w:r>
    </w:p>
    <w:p w14:paraId="44B58F29"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0441DE42"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Vigilar el cumplimiento de la normatividad sanitaria en la recolección, análisis, conservación, transfusión y destino final para la disposición de sangre humana </w:t>
      </w:r>
      <w:r w:rsidRPr="00211BF5">
        <w:rPr>
          <w:rFonts w:ascii="Palatino Linotype" w:eastAsiaTheme="minorEastAsia" w:hAnsi="Palatino Linotype" w:cstheme="minorBidi"/>
          <w:i/>
          <w:color w:val="000000" w:themeColor="text1"/>
          <w:lang w:val="es-MX"/>
        </w:rPr>
        <w:lastRenderedPageBreak/>
        <w:t xml:space="preserve">y sus componentes con fines terapéuticos de los bancos de sangre, servicios de transfusión y puestos de sangrado del sector público y privado. </w:t>
      </w:r>
    </w:p>
    <w:p w14:paraId="6DF82C97"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64D399E9"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xml:space="preserve">Participar en la integración y validación del Programa Estatal de Salud y vigilar su cumplimiento, en el ámbito de su competencia. </w:t>
      </w:r>
    </w:p>
    <w:p w14:paraId="24C45FA1" w14:textId="77777777"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p>
    <w:p w14:paraId="4674FFB2" w14:textId="1C95711E" w:rsidR="002E3553" w:rsidRPr="00211BF5" w:rsidRDefault="002E3553" w:rsidP="00922656">
      <w:pPr>
        <w:tabs>
          <w:tab w:val="left" w:pos="426"/>
        </w:tabs>
        <w:spacing w:before="240" w:after="240" w:line="360" w:lineRule="auto"/>
        <w:ind w:left="567" w:right="616"/>
        <w:contextualSpacing/>
        <w:jc w:val="both"/>
        <w:rPr>
          <w:rFonts w:ascii="Palatino Linotype" w:eastAsiaTheme="minorEastAsia" w:hAnsi="Palatino Linotype" w:cstheme="minorBidi"/>
          <w:i/>
          <w:color w:val="000000" w:themeColor="text1"/>
          <w:lang w:val="es-MX"/>
        </w:rPr>
      </w:pPr>
      <w:r w:rsidRPr="00211BF5">
        <w:rPr>
          <w:rFonts w:ascii="Palatino Linotype" w:eastAsiaTheme="minorEastAsia" w:hAnsi="Palatino Linotype" w:cstheme="minorBidi"/>
          <w:i/>
          <w:color w:val="000000" w:themeColor="text1"/>
          <w:lang w:val="es-MX"/>
        </w:rPr>
        <w:t>(…) (SIC)</w:t>
      </w:r>
    </w:p>
    <w:p w14:paraId="47A699C2"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D6574BA"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Señalado lo anterior, </w:t>
      </w:r>
      <w:r w:rsidRPr="00211BF5">
        <w:rPr>
          <w:rFonts w:ascii="Palatino Linotype" w:hAnsi="Palatino Linotype" w:cs="Arial"/>
          <w:lang w:val="es-MX"/>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211BF5">
        <w:rPr>
          <w:rFonts w:ascii="Palatino Linotype" w:hAnsi="Palatino Linotype" w:cs="Arial"/>
          <w:b/>
          <w:bCs/>
          <w:iCs/>
          <w:lang w:val="es-MX"/>
        </w:rPr>
        <w:t>SAIMEX</w:t>
      </w:r>
      <w:r w:rsidRPr="00211BF5">
        <w:rPr>
          <w:rFonts w:ascii="Palatino Linotype" w:hAnsi="Palatino Linotype" w:cs="Arial"/>
          <w:lang w:val="es-MX"/>
        </w:rPr>
        <w:t>.</w:t>
      </w:r>
    </w:p>
    <w:p w14:paraId="183BE7D4"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D3964D7"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Sirve </w:t>
      </w:r>
      <w:r w:rsidRPr="00211BF5">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2DDE681E" w14:textId="77777777" w:rsidR="00336DCE" w:rsidRPr="00211BF5" w:rsidRDefault="00336DCE" w:rsidP="00922656">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484D22D6" w14:textId="77777777" w:rsidR="00336DCE" w:rsidRPr="00211BF5" w:rsidRDefault="00336DCE" w:rsidP="00922656">
      <w:pPr>
        <w:autoSpaceDE w:val="0"/>
        <w:autoSpaceDN w:val="0"/>
        <w:adjustRightInd w:val="0"/>
        <w:spacing w:before="240" w:after="360" w:line="360" w:lineRule="auto"/>
        <w:ind w:left="567" w:right="567"/>
        <w:jc w:val="both"/>
        <w:rPr>
          <w:rFonts w:ascii="Palatino Linotype" w:eastAsia="Cambria" w:hAnsi="Palatino Linotype" w:cs="Arial"/>
          <w:i/>
          <w:color w:val="000000"/>
          <w:lang w:val="es-MX" w:eastAsia="en-US"/>
        </w:rPr>
      </w:pPr>
      <w:r w:rsidRPr="00211BF5">
        <w:rPr>
          <w:rFonts w:ascii="Palatino Linotype" w:eastAsia="Cambria" w:hAnsi="Palatino Linotype" w:cs="Arial"/>
          <w:b/>
          <w:i/>
          <w:color w:val="000000"/>
          <w:lang w:val="es-MX" w:eastAsia="en-US"/>
        </w:rPr>
        <w:t>EL INSTITUTO FEDERAL DE ACCESO A LA INFORMACIÓN Y PROTECCIÓN DE DATOS</w:t>
      </w:r>
      <w:r w:rsidRPr="00211BF5">
        <w:rPr>
          <w:rFonts w:ascii="Palatino Linotype" w:eastAsia="Cambria" w:hAnsi="Palatino Linotype" w:cs="Arial"/>
          <w:i/>
          <w:color w:val="000000"/>
          <w:lang w:val="es-MX" w:eastAsia="en-US"/>
        </w:rPr>
        <w:t xml:space="preserve"> </w:t>
      </w:r>
      <w:r w:rsidRPr="00211BF5">
        <w:rPr>
          <w:rFonts w:ascii="Palatino Linotype" w:eastAsia="Cambria" w:hAnsi="Palatino Linotype" w:cs="Arial"/>
          <w:b/>
          <w:i/>
          <w:color w:val="000000"/>
          <w:lang w:val="es-MX" w:eastAsia="en-US"/>
        </w:rPr>
        <w:t>NO CUENTA CON FACULTADES PARA PRONUNCIARSE RESPECTO DE LA VERACIDAD DE LOS DOCUMENTOS PROPORCIONADOS POR LOS SUJETOS OBLIGADOS.</w:t>
      </w:r>
      <w:r w:rsidRPr="00211BF5">
        <w:rPr>
          <w:rFonts w:ascii="Palatino Linotype" w:eastAsia="Cambria" w:hAnsi="Palatino Linotype" w:cs="Arial"/>
          <w:i/>
          <w:color w:val="000000"/>
          <w:lang w:val="es-MX" w:eastAsia="en-US"/>
        </w:rPr>
        <w:t xml:space="preserve"> “El Instituto Federal de Acceso a la Información y Protección de </w:t>
      </w:r>
      <w:r w:rsidRPr="00211BF5">
        <w:rPr>
          <w:rFonts w:ascii="Palatino Linotype" w:eastAsia="Cambria" w:hAnsi="Palatino Linotype" w:cs="Arial"/>
          <w:i/>
          <w:color w:val="000000"/>
          <w:lang w:val="es-MX" w:eastAsia="en-US"/>
        </w:rPr>
        <w:lastRenderedPageBreak/>
        <w:t xml:space="preserve">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11BF5">
        <w:rPr>
          <w:rFonts w:ascii="Palatino Linotype" w:eastAsia="Cambria"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211BF5">
        <w:rPr>
          <w:rFonts w:ascii="Palatino Linotype" w:eastAsia="Cambria"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3E40B6" w14:textId="77777777" w:rsidR="00336DCE" w:rsidRPr="00211BF5" w:rsidRDefault="00336DCE" w:rsidP="00922656">
      <w:pPr>
        <w:autoSpaceDE w:val="0"/>
        <w:autoSpaceDN w:val="0"/>
        <w:adjustRightInd w:val="0"/>
        <w:spacing w:before="240" w:after="360" w:line="360" w:lineRule="auto"/>
        <w:ind w:left="567" w:right="567"/>
        <w:jc w:val="both"/>
        <w:rPr>
          <w:rFonts w:ascii="Palatino Linotype" w:eastAsia="Cambria" w:hAnsi="Palatino Linotype" w:cs="Arial"/>
          <w:i/>
          <w:color w:val="000000"/>
          <w:lang w:val="es-MX" w:eastAsia="en-US"/>
        </w:rPr>
      </w:pPr>
      <w:r w:rsidRPr="00211BF5">
        <w:rPr>
          <w:rFonts w:ascii="Palatino Linotype" w:eastAsia="Cambria" w:hAnsi="Palatino Linotype" w:cs="Arial"/>
          <w:i/>
          <w:color w:val="000000"/>
          <w:lang w:val="es-MX" w:eastAsia="en-US"/>
        </w:rPr>
        <w:br/>
        <w:t>(Énfasis añadido)</w:t>
      </w:r>
    </w:p>
    <w:p w14:paraId="39455F35"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En </w:t>
      </w:r>
      <w:r w:rsidRPr="00211BF5">
        <w:rPr>
          <w:rFonts w:ascii="Palatino Linotype" w:hAnsi="Palatino Linotype" w:cs="Arial"/>
          <w:lang w:val="es-MX"/>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35624CF8"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72FA255" w14:textId="77777777" w:rsidR="00336DCE" w:rsidRPr="00211BF5" w:rsidRDefault="00336DCE" w:rsidP="00922656">
      <w:pPr>
        <w:spacing w:line="360" w:lineRule="auto"/>
        <w:ind w:left="567" w:right="567"/>
        <w:contextualSpacing/>
        <w:jc w:val="both"/>
        <w:rPr>
          <w:rFonts w:ascii="Palatino Linotype" w:eastAsiaTheme="minorEastAsia" w:hAnsi="Palatino Linotype" w:cs="Arial"/>
          <w:b/>
          <w:i/>
          <w:lang w:val="es-MX"/>
        </w:rPr>
      </w:pPr>
      <w:r w:rsidRPr="00211BF5">
        <w:rPr>
          <w:rFonts w:ascii="Palatino Linotype" w:eastAsiaTheme="minorEastAsia" w:hAnsi="Palatino Linotype" w:cs="Arial"/>
          <w:b/>
          <w:i/>
          <w:lang w:val="es-MX"/>
        </w:rPr>
        <w:lastRenderedPageBreak/>
        <w:t>Artículo 3.-</w:t>
      </w:r>
      <w:r w:rsidRPr="00211BF5">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211BF5">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1973615C" w14:textId="77777777" w:rsidR="00336DCE" w:rsidRPr="00211BF5" w:rsidRDefault="00336DCE" w:rsidP="00922656">
      <w:pPr>
        <w:spacing w:line="360" w:lineRule="auto"/>
        <w:ind w:left="567" w:right="567"/>
        <w:contextualSpacing/>
        <w:jc w:val="both"/>
        <w:rPr>
          <w:rFonts w:ascii="Palatino Linotype" w:eastAsiaTheme="minorEastAsia" w:hAnsi="Palatino Linotype" w:cs="Arial"/>
          <w:i/>
          <w:lang w:val="es-MX"/>
        </w:rPr>
      </w:pPr>
    </w:p>
    <w:p w14:paraId="7A6ACF06" w14:textId="77777777" w:rsidR="00336DCE" w:rsidRPr="00211BF5" w:rsidRDefault="00336DCE" w:rsidP="00922656">
      <w:pPr>
        <w:spacing w:line="360" w:lineRule="auto"/>
        <w:ind w:left="567" w:right="567"/>
        <w:contextualSpacing/>
        <w:jc w:val="both"/>
        <w:rPr>
          <w:rFonts w:ascii="Palatino Linotype" w:eastAsiaTheme="minorEastAsia" w:hAnsi="Palatino Linotype" w:cs="Arial"/>
          <w:i/>
          <w:iCs/>
          <w:lang w:val="es-MX"/>
        </w:rPr>
      </w:pPr>
      <w:r w:rsidRPr="00211BF5">
        <w:rPr>
          <w:rFonts w:ascii="Palatino Linotype" w:eastAsiaTheme="minorEastAsia" w:hAnsi="Palatino Linotype" w:cs="Arial"/>
          <w:i/>
          <w:iCs/>
          <w:lang w:val="es-MX"/>
        </w:rPr>
        <w:t>(Énfasis añadido)</w:t>
      </w:r>
    </w:p>
    <w:p w14:paraId="6E9519C1"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olor w:val="000000" w:themeColor="text1"/>
          <w:lang w:val="es-MX"/>
        </w:rPr>
      </w:pPr>
    </w:p>
    <w:p w14:paraId="6909F5A0" w14:textId="7CAAB06A"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Disposiciones que compelen al </w:t>
      </w:r>
      <w:r w:rsidRPr="00211BF5">
        <w:rPr>
          <w:rFonts w:ascii="Palatino Linotype" w:eastAsiaTheme="minorEastAsia" w:hAnsi="Palatino Linotype" w:cstheme="minorBidi"/>
          <w:b/>
          <w:color w:val="000000" w:themeColor="text1"/>
          <w:lang w:val="es-MX"/>
        </w:rPr>
        <w:t>SUJETO OBLIGADO</w:t>
      </w:r>
      <w:r w:rsidRPr="00211BF5">
        <w:rPr>
          <w:rFonts w:ascii="Palatino Linotype" w:eastAsiaTheme="minorEastAsia" w:hAnsi="Palatino Linotype" w:cstheme="minorBidi"/>
          <w:color w:val="000000" w:themeColor="text1"/>
          <w:lang w:val="es-MX"/>
        </w:rPr>
        <w:t xml:space="preserve"> a apegarse en todo momento a los criterios ya expuestos, impidiendo a este Órgano Colegiado cuestionar la veracidad de la información, por lo que razón de lo anterior, </w:t>
      </w:r>
      <w:r w:rsidRPr="00211BF5">
        <w:rPr>
          <w:rFonts w:ascii="Palatino Linotype" w:eastAsiaTheme="minorEastAsia" w:hAnsi="Palatino Linotype" w:cstheme="minorBidi"/>
          <w:iCs/>
          <w:lang w:val="es-MX"/>
        </w:rPr>
        <w:t xml:space="preserve">este Organismo Garante determina que el </w:t>
      </w:r>
      <w:r w:rsidRPr="00211BF5">
        <w:rPr>
          <w:rFonts w:ascii="Palatino Linotype" w:eastAsiaTheme="minorEastAsia" w:hAnsi="Palatino Linotype" w:cstheme="minorBidi"/>
          <w:b/>
          <w:bCs/>
          <w:iCs/>
          <w:lang w:val="es-MX"/>
        </w:rPr>
        <w:t>SUJETO OBLIGADO</w:t>
      </w:r>
      <w:r w:rsidRPr="00211BF5">
        <w:rPr>
          <w:rFonts w:ascii="Palatino Linotype" w:eastAsiaTheme="minorEastAsia" w:hAnsi="Palatino Linotype" w:cstheme="minorBidi"/>
          <w:iCs/>
          <w:lang w:val="es-MX"/>
        </w:rPr>
        <w:t xml:space="preserve"> atendió el derecho de acceso a la información del particular, toda vez</w:t>
      </w:r>
      <w:r w:rsidRPr="00211BF5">
        <w:rPr>
          <w:rFonts w:ascii="Palatino Linotype" w:eastAsiaTheme="minorEastAsia" w:hAnsi="Palatino Linotype" w:cstheme="minorBidi"/>
          <w:color w:val="000000" w:themeColor="text1"/>
          <w:lang w:val="es-MX"/>
        </w:rPr>
        <w:t xml:space="preserve"> que el propio </w:t>
      </w:r>
      <w:r w:rsidR="002E3553" w:rsidRPr="00211BF5">
        <w:rPr>
          <w:rFonts w:ascii="Palatino Linotype" w:eastAsiaTheme="minorEastAsia" w:hAnsi="Palatino Linotype" w:cstheme="minorBidi"/>
          <w:color w:val="000000" w:themeColor="text1"/>
          <w:lang w:val="es-MX"/>
        </w:rPr>
        <w:t>Coordinador de Regulación Sanitaria y Comisionado para la Protección Contra Riesgos Sanitarios del Estado de México manifestó</w:t>
      </w:r>
      <w:r w:rsidRPr="00211BF5">
        <w:rPr>
          <w:rFonts w:ascii="Palatino Linotype" w:eastAsiaTheme="minorEastAsia" w:hAnsi="Palatino Linotype" w:cstheme="minorBidi"/>
          <w:color w:val="000000" w:themeColor="text1"/>
          <w:lang w:val="es-MX"/>
        </w:rPr>
        <w:t xml:space="preserve"> que no se había generado, poseído o administrado en sus archivos información relacionada con lo solicitado</w:t>
      </w:r>
      <w:r w:rsidRPr="00211BF5">
        <w:rPr>
          <w:rFonts w:ascii="Palatino Linotype" w:eastAsiaTheme="minorEastAsia" w:hAnsi="Palatino Linotype" w:cstheme="minorBidi"/>
          <w:iCs/>
          <w:lang w:val="es-MX"/>
        </w:rPr>
        <w:t xml:space="preserve">, lo cual se considera como un </w:t>
      </w:r>
      <w:r w:rsidRPr="00211BF5">
        <w:rPr>
          <w:rFonts w:ascii="Palatino Linotype" w:eastAsiaTheme="minorEastAsia" w:hAnsi="Palatino Linotype" w:cstheme="minorBidi"/>
          <w:b/>
          <w:bCs/>
          <w:i/>
          <w:lang w:val="es-MX"/>
        </w:rPr>
        <w:t>hecho negativo</w:t>
      </w:r>
      <w:r w:rsidRPr="00211BF5">
        <w:rPr>
          <w:rFonts w:ascii="Palatino Linotype" w:eastAsiaTheme="minorEastAsia" w:hAnsi="Palatino Linotype" w:cstheme="minorBidi"/>
          <w:iCs/>
          <w:lang w:val="es-MX"/>
        </w:rPr>
        <w:t>.</w:t>
      </w:r>
    </w:p>
    <w:p w14:paraId="3E20E659"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F31BB67"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Lo </w:t>
      </w:r>
      <w:r w:rsidRPr="00211BF5">
        <w:rPr>
          <w:rFonts w:ascii="Palatino Linotype" w:eastAsiaTheme="minorEastAsia" w:hAnsi="Palatino Linotype" w:cs="Arial"/>
          <w:color w:val="000000" w:themeColor="text1"/>
          <w:lang w:val="es-MX"/>
        </w:rPr>
        <w:t>anterior encuentra sustento con la Jurisprudencia 267,287 y el Criterio 10/2004 emitidos por el Máximo Juzgador del país, Tesis que determinan lo siguiente:</w:t>
      </w:r>
    </w:p>
    <w:p w14:paraId="01EF1472"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BF00B77" w14:textId="77777777" w:rsidR="00336DCE" w:rsidRPr="00211BF5" w:rsidRDefault="00336DCE" w:rsidP="00922656">
      <w:pPr>
        <w:tabs>
          <w:tab w:val="left" w:pos="426"/>
        </w:tabs>
        <w:spacing w:before="240" w:after="240" w:line="360" w:lineRule="auto"/>
        <w:ind w:left="567" w:right="567"/>
        <w:contextualSpacing/>
        <w:jc w:val="both"/>
        <w:rPr>
          <w:rFonts w:ascii="Palatino Linotype" w:eastAsiaTheme="minorEastAsia" w:hAnsi="Palatino Linotype" w:cs="Arial"/>
          <w:i/>
          <w:lang w:val="es-MX"/>
        </w:rPr>
      </w:pPr>
      <w:r w:rsidRPr="00211BF5">
        <w:rPr>
          <w:rFonts w:ascii="Palatino Linotype" w:eastAsiaTheme="minorEastAsia" w:hAnsi="Palatino Linotype" w:cs="Arial"/>
          <w:i/>
          <w:lang w:val="es-MX"/>
        </w:rPr>
        <w:lastRenderedPageBreak/>
        <w:t>“</w:t>
      </w:r>
      <w:r w:rsidRPr="00211BF5">
        <w:rPr>
          <w:rFonts w:ascii="Palatino Linotype" w:eastAsiaTheme="minorEastAsia" w:hAnsi="Palatino Linotype" w:cs="Arial"/>
          <w:b/>
          <w:i/>
          <w:lang w:val="es-MX"/>
        </w:rPr>
        <w:t>HECHOS NEGATIVOS, NO SON SUSCEPTIBLES DE DEMOSTRACION.</w:t>
      </w:r>
      <w:r w:rsidRPr="00211BF5">
        <w:rPr>
          <w:rFonts w:ascii="Palatino Linotype" w:eastAsiaTheme="minorEastAsia" w:hAnsi="Palatino Linotype" w:cs="Arial"/>
          <w:i/>
          <w:lang w:val="es-MX"/>
        </w:rPr>
        <w:t xml:space="preserve"> </w:t>
      </w:r>
      <w:r w:rsidRPr="00211BF5">
        <w:rPr>
          <w:rFonts w:ascii="Palatino Linotype" w:eastAsiaTheme="minorEastAsia" w:hAnsi="Palatino Linotype" w:cs="Arial"/>
          <w:b/>
          <w:i/>
          <w:lang w:val="es-MX"/>
        </w:rPr>
        <w:t>Tratándose de un hecho negativo, el Juez no tiene por que invocar prueba alguna de la que se desprenda</w:t>
      </w:r>
      <w:r w:rsidRPr="00211BF5">
        <w:rPr>
          <w:rFonts w:ascii="Palatino Linotype" w:eastAsiaTheme="minorEastAsia" w:hAnsi="Palatino Linotype" w:cs="Arial"/>
          <w:i/>
          <w:lang w:val="es-MX"/>
        </w:rPr>
        <w:t>, ya que es bien sabido que esta clase de hechos no son susceptibles de demostración.”</w:t>
      </w:r>
    </w:p>
    <w:p w14:paraId="52F4BAF5" w14:textId="77777777" w:rsidR="00336DCE" w:rsidRPr="00211BF5" w:rsidRDefault="00336DCE" w:rsidP="00922656">
      <w:pPr>
        <w:tabs>
          <w:tab w:val="left" w:pos="426"/>
        </w:tabs>
        <w:spacing w:before="240" w:after="240" w:line="360" w:lineRule="auto"/>
        <w:ind w:left="567" w:right="567"/>
        <w:contextualSpacing/>
        <w:jc w:val="both"/>
        <w:rPr>
          <w:rFonts w:ascii="Palatino Linotype" w:eastAsiaTheme="minorEastAsia" w:hAnsi="Palatino Linotype" w:cs="Arial"/>
          <w:i/>
          <w:lang w:val="es-MX"/>
        </w:rPr>
      </w:pPr>
    </w:p>
    <w:p w14:paraId="11B53AF9" w14:textId="77777777" w:rsidR="00336DCE" w:rsidRPr="00211BF5" w:rsidRDefault="00336DCE" w:rsidP="00922656">
      <w:pPr>
        <w:tabs>
          <w:tab w:val="left" w:pos="426"/>
        </w:tabs>
        <w:spacing w:before="240" w:after="240" w:line="360" w:lineRule="auto"/>
        <w:ind w:left="567" w:right="567"/>
        <w:contextualSpacing/>
        <w:jc w:val="both"/>
        <w:rPr>
          <w:rFonts w:ascii="Palatino Linotype" w:eastAsiaTheme="minorEastAsia" w:hAnsi="Palatino Linotype" w:cs="Arial"/>
          <w:i/>
          <w:lang w:val="es-MX"/>
        </w:rPr>
      </w:pPr>
      <w:r w:rsidRPr="00211BF5">
        <w:rPr>
          <w:rFonts w:ascii="Palatino Linotype" w:eastAsiaTheme="minorEastAsia" w:hAnsi="Palatino Linotype" w:cs="Arial"/>
          <w:i/>
          <w:lang w:val="es-MX"/>
        </w:rPr>
        <w:t>“</w:t>
      </w:r>
      <w:r w:rsidRPr="00211BF5">
        <w:rPr>
          <w:rFonts w:ascii="Palatino Linotype" w:eastAsiaTheme="minorEastAsia" w:hAnsi="Palatino Linotype" w:cs="Arial"/>
          <w:b/>
          <w:i/>
          <w:lang w:val="es-MX"/>
        </w:rPr>
        <w:t>INEXISTENCIA DE LA INFORMACIÓN. EL COMITÉ DE ACCESO A LA INFORMACIÓN PUEDE DECLARARLA ANTE SU EVIDENCIA, SIN NECESIDAD DE DICTAR MEDIDAS PARA SU LOCALIZACIÓN.</w:t>
      </w:r>
      <w:r w:rsidRPr="00211BF5">
        <w:rPr>
          <w:rFonts w:ascii="Palatino Linotype" w:eastAsiaTheme="minorEastAsia" w:hAnsi="Palatino Linotype" w:cs="Arial"/>
          <w:i/>
          <w:lang w:val="es-MX"/>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211BF5">
        <w:rPr>
          <w:rFonts w:ascii="Palatino Linotype" w:eastAsiaTheme="minorEastAsia" w:hAnsi="Palatino Linotype" w:cs="Arial"/>
          <w:b/>
          <w:i/>
          <w:lang w:val="es-MX"/>
        </w:rPr>
        <w:t>ndo la referida Unidad señala, o</w:t>
      </w:r>
      <w:r w:rsidRPr="00211BF5">
        <w:rPr>
          <w:rFonts w:ascii="Palatino Linotype" w:eastAsiaTheme="minorEastAsia" w:hAnsi="Palatino Linotype" w:cs="Arial"/>
          <w:i/>
          <w:lang w:val="es-MX"/>
        </w:rPr>
        <w:t xml:space="preserve"> el mencionado Comité </w:t>
      </w:r>
      <w:r w:rsidRPr="00211BF5">
        <w:rPr>
          <w:rFonts w:ascii="Palatino Linotype" w:eastAsiaTheme="minorEastAsia" w:hAnsi="Palatino Linotype" w:cs="Arial"/>
          <w:b/>
          <w:i/>
          <w:lang w:val="es-MX"/>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211BF5">
        <w:rPr>
          <w:rFonts w:ascii="Palatino Linotype" w:eastAsiaTheme="minorEastAsia" w:hAnsi="Palatino Linotype" w:cs="Arial"/>
          <w:i/>
          <w:lang w:val="es-MX"/>
        </w:rPr>
        <w:t>”</w:t>
      </w:r>
    </w:p>
    <w:p w14:paraId="70A4207F" w14:textId="77777777" w:rsidR="00336DCE" w:rsidRPr="00211BF5" w:rsidRDefault="00336DCE" w:rsidP="00922656">
      <w:pPr>
        <w:tabs>
          <w:tab w:val="left" w:pos="426"/>
        </w:tabs>
        <w:spacing w:before="240" w:after="240" w:line="360" w:lineRule="auto"/>
        <w:ind w:left="567" w:right="567"/>
        <w:contextualSpacing/>
        <w:jc w:val="both"/>
        <w:rPr>
          <w:rFonts w:ascii="Palatino Linotype" w:eastAsiaTheme="minorEastAsia" w:hAnsi="Palatino Linotype" w:cs="Arial"/>
          <w:i/>
          <w:lang w:val="es-MX"/>
        </w:rPr>
      </w:pPr>
    </w:p>
    <w:p w14:paraId="637F9142" w14:textId="77777777" w:rsidR="00336DCE" w:rsidRPr="00211BF5" w:rsidRDefault="00336DCE" w:rsidP="00922656">
      <w:pPr>
        <w:tabs>
          <w:tab w:val="left" w:pos="426"/>
        </w:tabs>
        <w:spacing w:line="360" w:lineRule="auto"/>
        <w:ind w:left="567" w:right="567"/>
        <w:contextualSpacing/>
        <w:jc w:val="both"/>
        <w:rPr>
          <w:rFonts w:ascii="Palatino Linotype" w:eastAsiaTheme="minorEastAsia" w:hAnsi="Palatino Linotype" w:cs="Arial"/>
          <w:i/>
          <w:iCs/>
          <w:lang w:val="es-MX"/>
        </w:rPr>
      </w:pPr>
      <w:r w:rsidRPr="00211BF5">
        <w:rPr>
          <w:rFonts w:ascii="Palatino Linotype" w:eastAsiaTheme="minorEastAsia" w:hAnsi="Palatino Linotype" w:cs="Arial"/>
          <w:i/>
          <w:iCs/>
          <w:lang w:val="es-MX"/>
        </w:rPr>
        <w:lastRenderedPageBreak/>
        <w:t>(Énfasis añadido)</w:t>
      </w:r>
    </w:p>
    <w:p w14:paraId="2FF48B30"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olor w:val="000000" w:themeColor="text1"/>
          <w:lang w:val="es-MX"/>
        </w:rPr>
      </w:pPr>
    </w:p>
    <w:p w14:paraId="4D5A68BD" w14:textId="2F629595"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Razones </w:t>
      </w:r>
      <w:r w:rsidRPr="00211BF5">
        <w:rPr>
          <w:rFonts w:ascii="Palatino Linotype" w:eastAsiaTheme="minorEastAsia" w:hAnsi="Palatino Linotype" w:cs="Arial"/>
          <w:color w:val="000000" w:themeColor="text1"/>
          <w:lang w:val="es-MX"/>
        </w:rPr>
        <w:t xml:space="preserve">por las que no ha lugar a ordenar un Acuerdo de Inexistencia, ya que no existen nociones o evidencias documentales que pudieran suponer que el </w:t>
      </w:r>
      <w:r w:rsidRPr="00211BF5">
        <w:rPr>
          <w:rFonts w:ascii="Palatino Linotype" w:eastAsiaTheme="minorEastAsia" w:hAnsi="Palatino Linotype" w:cs="Arial"/>
          <w:b/>
          <w:bCs/>
          <w:color w:val="000000" w:themeColor="text1"/>
          <w:lang w:val="es-MX"/>
        </w:rPr>
        <w:t>SUJETO OBLIGADO</w:t>
      </w:r>
      <w:r w:rsidRPr="00211BF5">
        <w:rPr>
          <w:rFonts w:ascii="Palatino Linotype" w:eastAsiaTheme="minorEastAsia" w:hAnsi="Palatino Linotype" w:cs="Arial"/>
          <w:color w:val="000000" w:themeColor="text1"/>
          <w:lang w:val="es-MX"/>
        </w:rPr>
        <w:t xml:space="preserve"> alguna vez haya </w:t>
      </w:r>
      <w:r w:rsidR="002E3553" w:rsidRPr="00211BF5">
        <w:rPr>
          <w:rFonts w:ascii="Palatino Linotype" w:eastAsiaTheme="minorEastAsia" w:hAnsi="Palatino Linotype" w:cs="Arial"/>
          <w:color w:val="000000" w:themeColor="text1"/>
          <w:lang w:val="es-MX"/>
        </w:rPr>
        <w:t>realizado la verificación a la clínica referida por el particular.</w:t>
      </w:r>
    </w:p>
    <w:p w14:paraId="5C5E8194" w14:textId="77777777" w:rsidR="002E3553" w:rsidRPr="00211BF5" w:rsidRDefault="002E3553"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070F148" w14:textId="500AA3D3" w:rsidR="00336DCE" w:rsidRPr="00211BF5" w:rsidRDefault="002E3553"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Ahora bien, como segundo punto, es importante destacar que el particular en sus motivos de inconformidad</w:t>
      </w:r>
      <w:r w:rsidR="009B02C7" w:rsidRPr="00211BF5">
        <w:rPr>
          <w:rFonts w:ascii="Palatino Linotype" w:eastAsiaTheme="minorEastAsia" w:hAnsi="Palatino Linotype" w:cstheme="minorBidi"/>
          <w:color w:val="000000" w:themeColor="text1"/>
          <w:lang w:val="es-MX"/>
        </w:rPr>
        <w:t xml:space="preserve"> establece </w:t>
      </w:r>
      <w:r w:rsidRPr="00211BF5">
        <w:rPr>
          <w:rFonts w:ascii="Palatino Linotype" w:eastAsiaTheme="minorEastAsia" w:hAnsi="Palatino Linotype" w:cstheme="minorBidi"/>
          <w:color w:val="000000" w:themeColor="text1"/>
          <w:lang w:val="es-MX"/>
        </w:rPr>
        <w:t xml:space="preserve"> “</w:t>
      </w:r>
      <w:r w:rsidR="00137771" w:rsidRPr="00211BF5">
        <w:rPr>
          <w:rFonts w:ascii="Palatino Linotype" w:eastAsiaTheme="minorEastAsia" w:hAnsi="Palatino Linotype" w:cstheme="minorBidi"/>
          <w:i/>
          <w:color w:val="000000" w:themeColor="text1"/>
          <w:lang w:val="es-MX"/>
        </w:rPr>
        <w:t>QUIERO SABER EL MOTIVO POR EL CUAL EN TANTOS AÑOS NO SE HA RELIZADO NINGUN TIPO DE VISITA O VERIFICACION SANITARIA</w:t>
      </w:r>
      <w:r w:rsidR="00137771" w:rsidRPr="00211BF5">
        <w:rPr>
          <w:rFonts w:ascii="Palatino Linotype" w:eastAsiaTheme="minorEastAsia" w:hAnsi="Palatino Linotype" w:cstheme="minorBidi"/>
          <w:color w:val="000000" w:themeColor="text1"/>
          <w:lang w:val="es-MX"/>
        </w:rPr>
        <w:t xml:space="preserve">” </w:t>
      </w:r>
      <w:r w:rsidR="00336DCE" w:rsidRPr="00211BF5">
        <w:rPr>
          <w:rFonts w:ascii="Palatino Linotype" w:eastAsiaTheme="minorEastAsia" w:hAnsi="Palatino Linotype" w:cstheme="minorBidi"/>
          <w:color w:val="000000" w:themeColor="text1"/>
          <w:lang w:val="es-MX"/>
        </w:rPr>
        <w:t>lo cual se identifica como</w:t>
      </w:r>
      <w:r w:rsidR="00137771" w:rsidRPr="00211BF5">
        <w:rPr>
          <w:rFonts w:ascii="Palatino Linotype" w:eastAsiaTheme="minorEastAsia" w:hAnsi="Palatino Linotype" w:cstheme="minorBidi"/>
          <w:color w:val="000000" w:themeColor="text1"/>
          <w:lang w:val="es-MX"/>
        </w:rPr>
        <w:t xml:space="preserve"> un requerimiento de información adicional</w:t>
      </w:r>
      <w:r w:rsidR="00336DCE" w:rsidRPr="00211BF5">
        <w:rPr>
          <w:rFonts w:ascii="Palatino Linotype" w:eastAsiaTheme="minorEastAsia" w:hAnsi="Palatino Linotype" w:cstheme="minorBidi"/>
          <w:color w:val="000000" w:themeColor="text1"/>
          <w:lang w:val="es-MX"/>
        </w:rPr>
        <w:t>.</w:t>
      </w:r>
    </w:p>
    <w:p w14:paraId="27E509BC" w14:textId="77777777" w:rsidR="00336DCE" w:rsidRPr="00211BF5" w:rsidRDefault="00336DCE" w:rsidP="00922656">
      <w:pPr>
        <w:spacing w:line="360" w:lineRule="auto"/>
        <w:contextualSpacing/>
        <w:rPr>
          <w:rFonts w:ascii="Palatino Linotype" w:eastAsiaTheme="minorEastAsia" w:hAnsi="Palatino Linotype" w:cstheme="minorBidi"/>
          <w:color w:val="000000" w:themeColor="text1"/>
          <w:lang w:val="es-MX"/>
        </w:rPr>
      </w:pPr>
    </w:p>
    <w:p w14:paraId="18B33C14"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lang w:val="es-MX"/>
        </w:rPr>
      </w:pPr>
      <w:r w:rsidRPr="00211BF5">
        <w:rPr>
          <w:rFonts w:ascii="Palatino Linotype" w:eastAsiaTheme="minorEastAsia" w:hAnsi="Palatino Linotype" w:cstheme="minorBidi"/>
          <w:color w:val="000000" w:themeColor="text1"/>
          <w:lang w:val="es-MX"/>
        </w:rPr>
        <w:t xml:space="preserve">Luego entonces, resulta concluyente que </w:t>
      </w:r>
      <w:r w:rsidRPr="00211BF5">
        <w:rPr>
          <w:rFonts w:ascii="Palatino Linotype" w:eastAsiaTheme="minorEastAsia" w:hAnsi="Palatino Linotype" w:cstheme="minorBidi"/>
          <w:color w:val="000000"/>
          <w:lang w:val="es-MX"/>
        </w:rPr>
        <w:t xml:space="preserve">el artículo 191 </w:t>
      </w:r>
      <w:r w:rsidRPr="00211BF5">
        <w:rPr>
          <w:rFonts w:ascii="Palatino Linotype" w:eastAsiaTheme="minorEastAsia" w:hAnsi="Palatino Linotype" w:cstheme="minorBidi"/>
          <w:lang w:val="es-MX"/>
        </w:rPr>
        <w:t xml:space="preserve">de la </w:t>
      </w:r>
      <w:r w:rsidRPr="00211BF5">
        <w:rPr>
          <w:rFonts w:ascii="Palatino Linotype" w:eastAsiaTheme="minorEastAsia" w:hAnsi="Palatino Linotype" w:cstheme="minorBidi"/>
          <w:color w:val="000000"/>
          <w:lang w:val="es-MX"/>
        </w:rPr>
        <w:t>Ley de Transparencia y Acceso a la Información Pública del Estado de México y Municipios, establece lo siguiente:</w:t>
      </w:r>
    </w:p>
    <w:p w14:paraId="2F148962"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1E73E55" w14:textId="77777777" w:rsidR="00336DCE" w:rsidRPr="00211BF5" w:rsidRDefault="00336DCE" w:rsidP="00922656">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11BF5">
        <w:rPr>
          <w:rFonts w:ascii="Palatino Linotype" w:eastAsiaTheme="minorEastAsia" w:hAnsi="Palatino Linotype" w:cstheme="minorBidi"/>
          <w:i/>
          <w:lang w:val="es-MX"/>
        </w:rPr>
        <w:t>“</w:t>
      </w:r>
      <w:r w:rsidRPr="00211BF5">
        <w:rPr>
          <w:rFonts w:ascii="Palatino Linotype" w:eastAsiaTheme="minorEastAsia" w:hAnsi="Palatino Linotype" w:cstheme="minorBidi"/>
          <w:b/>
          <w:i/>
          <w:lang w:val="es-MX"/>
        </w:rPr>
        <w:t>Artículo 191.</w:t>
      </w:r>
      <w:r w:rsidRPr="00211BF5">
        <w:rPr>
          <w:rFonts w:ascii="Palatino Linotype" w:eastAsiaTheme="minorEastAsia" w:hAnsi="Palatino Linotype" w:cstheme="minorBidi"/>
          <w:i/>
          <w:lang w:val="es-MX"/>
        </w:rPr>
        <w:t xml:space="preserve"> El recurso será desechado por improcedente cuando:</w:t>
      </w:r>
    </w:p>
    <w:p w14:paraId="5F4F1287" w14:textId="77777777" w:rsidR="00336DCE" w:rsidRPr="00211BF5" w:rsidRDefault="00336DCE" w:rsidP="00922656">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11BF5">
        <w:rPr>
          <w:rFonts w:ascii="Palatino Linotype" w:eastAsiaTheme="minorEastAsia" w:hAnsi="Palatino Linotype" w:cstheme="minorBidi"/>
          <w:i/>
          <w:lang w:val="es-MX"/>
        </w:rPr>
        <w:t>(…)</w:t>
      </w:r>
    </w:p>
    <w:p w14:paraId="7786A21A" w14:textId="0F5D53B5" w:rsidR="00336DCE" w:rsidRPr="00211BF5" w:rsidRDefault="00137771" w:rsidP="00922656">
      <w:pPr>
        <w:tabs>
          <w:tab w:val="left" w:pos="426"/>
        </w:tabs>
        <w:spacing w:before="240" w:after="240" w:line="360" w:lineRule="auto"/>
        <w:ind w:left="567" w:right="567"/>
        <w:contextualSpacing/>
        <w:jc w:val="both"/>
        <w:rPr>
          <w:rFonts w:ascii="Palatino Linotype" w:eastAsiaTheme="minorEastAsia" w:hAnsi="Palatino Linotype" w:cstheme="minorBidi"/>
          <w:b/>
          <w:i/>
          <w:lang w:val="es-MX"/>
        </w:rPr>
      </w:pPr>
      <w:r w:rsidRPr="00211BF5">
        <w:rPr>
          <w:rFonts w:ascii="Palatino Linotype" w:eastAsiaTheme="minorEastAsia" w:hAnsi="Palatino Linotype" w:cstheme="minorBidi"/>
          <w:b/>
          <w:i/>
          <w:lang w:val="es-MX"/>
        </w:rPr>
        <w:t>VII. El recurrente amplíe su solicitud en el recurso de revisión, únicamente respecto de los nuevos contenidos.</w:t>
      </w:r>
    </w:p>
    <w:p w14:paraId="0305B037" w14:textId="77777777" w:rsidR="00336DCE" w:rsidRPr="00211BF5" w:rsidRDefault="00336DCE" w:rsidP="00922656">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211BF5">
        <w:rPr>
          <w:rFonts w:ascii="Palatino Linotype" w:eastAsiaTheme="minorEastAsia" w:hAnsi="Palatino Linotype" w:cstheme="minorBidi"/>
          <w:i/>
          <w:lang w:val="es-MX"/>
        </w:rPr>
        <w:t>(…)”</w:t>
      </w:r>
    </w:p>
    <w:p w14:paraId="72093E9A"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7B3A0F4" w14:textId="471E8794"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lastRenderedPageBreak/>
        <w:t xml:space="preserve">Precisado </w:t>
      </w:r>
      <w:r w:rsidRPr="00211BF5">
        <w:rPr>
          <w:rFonts w:ascii="Palatino Linotype" w:eastAsiaTheme="minorEastAsia" w:hAnsi="Palatino Linotype" w:cstheme="minorBidi"/>
          <w:lang w:val="es-MX" w:eastAsia="en-US"/>
        </w:rPr>
        <w:t xml:space="preserve">lo anterior, </w:t>
      </w:r>
      <w:r w:rsidRPr="00211BF5">
        <w:rPr>
          <w:rFonts w:ascii="Palatino Linotype" w:eastAsia="Batang" w:hAnsi="Palatino Linotype" w:cs="Arial"/>
          <w:lang w:val="es-MX"/>
        </w:rPr>
        <w:t xml:space="preserve">por lo que hace a las causas de sobreseimiento contenidas en </w:t>
      </w:r>
      <w:r w:rsidRPr="00211BF5">
        <w:rPr>
          <w:rFonts w:ascii="Palatino Linotype" w:eastAsiaTheme="minorEastAsia" w:hAnsi="Palatino Linotype" w:cs="Arial"/>
          <w:lang w:val="es-MX"/>
        </w:rPr>
        <w:t xml:space="preserve">la fracción IV del artículo 192 </w:t>
      </w:r>
      <w:r w:rsidRPr="00211BF5">
        <w:rPr>
          <w:rFonts w:ascii="Palatino Linotype" w:eastAsia="Batang" w:hAnsi="Palatino Linotype" w:cs="Arial"/>
          <w:lang w:val="es-MX"/>
        </w:rPr>
        <w:t xml:space="preserve">de la </w:t>
      </w:r>
      <w:r w:rsidRPr="00211BF5">
        <w:rPr>
          <w:rFonts w:ascii="Palatino Linotype" w:eastAsia="Batang" w:hAnsi="Palatino Linotype" w:cs="Arial"/>
          <w:b/>
          <w:lang w:val="es-MX"/>
        </w:rPr>
        <w:t>Ley de Transparencia y Acceso a la Información Pública del Estado de México y Municipios</w:t>
      </w:r>
      <w:r w:rsidRPr="00211BF5">
        <w:rPr>
          <w:rFonts w:ascii="Palatino Linotype" w:eastAsia="Batang" w:hAnsi="Palatino Linotype" w:cs="Arial"/>
          <w:lang w:val="es-MX"/>
        </w:rPr>
        <w:t>, es oportuno señalar que el recurso de revisión será sobreseído, “una vez admitido” aparezca una causal de improcedencia; de ahí que la actualización de alguna causal como la ya referida en el artículo 191 fracción V</w:t>
      </w:r>
      <w:r w:rsidR="00137771" w:rsidRPr="00211BF5">
        <w:rPr>
          <w:rFonts w:ascii="Palatino Linotype" w:eastAsia="Batang" w:hAnsi="Palatino Linotype" w:cs="Arial"/>
          <w:lang w:val="es-MX"/>
        </w:rPr>
        <w:t xml:space="preserve">II </w:t>
      </w:r>
      <w:r w:rsidRPr="00211BF5">
        <w:rPr>
          <w:rFonts w:ascii="Palatino Linotype" w:eastAsiaTheme="minorEastAsia" w:hAnsi="Palatino Linotype" w:cstheme="minorBidi"/>
          <w:color w:val="000000" w:themeColor="text1"/>
          <w:lang w:val="es-MX"/>
        </w:rPr>
        <w:t xml:space="preserve"> </w:t>
      </w:r>
      <w:r w:rsidRPr="00211BF5">
        <w:rPr>
          <w:rFonts w:ascii="Palatino Linotype" w:eastAsia="Batang" w:hAnsi="Palatino Linotype" w:cs="Arial"/>
          <w:lang w:val="es-MX"/>
        </w:rPr>
        <w:t>trae como consecuencia que el medio de impugnación se concluya sin que se analice el objeto de estudio planteado, es decir se sobresea.</w:t>
      </w:r>
    </w:p>
    <w:p w14:paraId="7132ADD8"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DE69400" w14:textId="77777777" w:rsidR="00137771" w:rsidRPr="00211BF5" w:rsidRDefault="00137771"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Batang" w:hAnsi="Palatino Linotype" w:cs="Arial"/>
          <w:lang w:val="es-MX"/>
        </w:rPr>
        <w:t xml:space="preserve">En efecto, </w:t>
      </w:r>
      <w:r w:rsidRPr="00211BF5">
        <w:rPr>
          <w:rFonts w:ascii="Palatino Linotype" w:eastAsiaTheme="minorEastAsia" w:hAnsi="Palatino Linotype" w:cstheme="minorBidi"/>
          <w:color w:val="000000" w:themeColor="text1"/>
          <w:lang w:val="es-MX"/>
        </w:rPr>
        <w:t xml:space="preserve">derivado de la manifestación emitida por el particular, en la cual se requiere que la autoridad se manifieste sobre la información remitida es oportuno señalar que </w:t>
      </w:r>
      <w:r w:rsidRPr="00211BF5">
        <w:rPr>
          <w:rFonts w:ascii="Palatino Linotype" w:hAnsi="Palatino Linotype" w:cs="Arial"/>
          <w:lang w:val="es-MX" w:eastAsia="en-US"/>
        </w:rPr>
        <w:t>este Órgano Garante se encuentra impedido para entrar al estudio de dicha manifestación ya que se traduce como un requerimiento de información adicional</w:t>
      </w:r>
      <w:r w:rsidRPr="00211BF5">
        <w:rPr>
          <w:rFonts w:ascii="Palatino Linotype" w:eastAsia="Calibri" w:hAnsi="Palatino Linotype"/>
          <w:lang w:val="es-MX" w:eastAsia="en-US"/>
        </w:rPr>
        <w:t>.</w:t>
      </w:r>
    </w:p>
    <w:p w14:paraId="17F49770" w14:textId="77777777" w:rsidR="00137771" w:rsidRPr="00211BF5" w:rsidRDefault="00137771" w:rsidP="00922656">
      <w:pPr>
        <w:spacing w:line="360" w:lineRule="auto"/>
        <w:rPr>
          <w:rFonts w:ascii="Palatino Linotype" w:eastAsia="Calibri" w:hAnsi="Palatino Linotype" w:cs="Arial"/>
          <w:lang w:val="es-MX" w:eastAsia="en-US"/>
        </w:rPr>
      </w:pPr>
    </w:p>
    <w:p w14:paraId="38055831" w14:textId="51C89B24" w:rsidR="00137771" w:rsidRPr="00211BF5" w:rsidRDefault="00137771"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Calibri" w:hAnsi="Palatino Linotype" w:cs="Arial"/>
          <w:lang w:val="es-MX" w:eastAsia="en-US"/>
        </w:rPr>
        <w:t xml:space="preserve">Robusteciendo lo anterior, tiene aplicación al respecto por analogía la siguiente tesis aislada, </w:t>
      </w:r>
      <w:r w:rsidRPr="00211BF5">
        <w:rPr>
          <w:rFonts w:ascii="Palatino Linotype" w:hAnsi="Palatino Linotype" w:cs="Arial"/>
          <w:color w:val="000000"/>
          <w:lang w:val="es-MX" w:eastAsia="en-US"/>
        </w:rPr>
        <w:t>que lleva por rubro y texto lo siguiente:</w:t>
      </w:r>
    </w:p>
    <w:p w14:paraId="4015267E" w14:textId="77777777" w:rsidR="00137771" w:rsidRPr="00211BF5" w:rsidRDefault="00137771" w:rsidP="00922656">
      <w:pPr>
        <w:tabs>
          <w:tab w:val="left" w:pos="426"/>
        </w:tabs>
        <w:spacing w:after="160" w:line="360" w:lineRule="auto"/>
        <w:ind w:right="49"/>
        <w:contextualSpacing/>
        <w:jc w:val="both"/>
        <w:rPr>
          <w:rFonts w:ascii="Palatino Linotype" w:eastAsia="MS Mincho" w:hAnsi="Palatino Linotype" w:cs="Arial"/>
          <w:lang w:val="es-MX" w:eastAsia="en-US"/>
        </w:rPr>
      </w:pPr>
    </w:p>
    <w:p w14:paraId="06728FAF" w14:textId="77777777" w:rsidR="00137771" w:rsidRPr="00211BF5" w:rsidRDefault="00137771" w:rsidP="00922656">
      <w:pPr>
        <w:shd w:val="clear" w:color="auto" w:fill="FFFFFF"/>
        <w:spacing w:after="160" w:line="360" w:lineRule="auto"/>
        <w:ind w:left="567" w:right="616"/>
        <w:jc w:val="both"/>
        <w:rPr>
          <w:rFonts w:ascii="Palatino Linotype" w:hAnsi="Palatino Linotype" w:cs="Arial"/>
          <w:color w:val="000000"/>
          <w:lang w:val="es-MX" w:eastAsia="en-US"/>
        </w:rPr>
      </w:pPr>
      <w:r w:rsidRPr="00211BF5">
        <w:rPr>
          <w:rFonts w:ascii="Palatino Linotype" w:hAnsi="Palatino Linotype" w:cs="Arial"/>
          <w:b/>
          <w:bCs/>
          <w:i/>
          <w:iCs/>
          <w:color w:val="000000"/>
          <w:lang w:val="es-MX" w:eastAsia="en-U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73FEF33B" w14:textId="77777777" w:rsidR="00137771" w:rsidRPr="00211BF5" w:rsidRDefault="00137771" w:rsidP="00922656">
      <w:pPr>
        <w:shd w:val="clear" w:color="auto" w:fill="FFFFFF"/>
        <w:spacing w:after="160" w:line="360" w:lineRule="auto"/>
        <w:ind w:left="567" w:right="616"/>
        <w:jc w:val="both"/>
        <w:rPr>
          <w:rFonts w:ascii="Palatino Linotype" w:hAnsi="Palatino Linotype" w:cs="Arial"/>
          <w:i/>
          <w:iCs/>
          <w:color w:val="000000"/>
          <w:lang w:val="es-MX" w:eastAsia="en-US"/>
        </w:rPr>
      </w:pPr>
      <w:r w:rsidRPr="00211BF5">
        <w:rPr>
          <w:rFonts w:ascii="Palatino Linotype" w:hAnsi="Palatino Linotype" w:cs="Arial"/>
          <w:i/>
          <w:iCs/>
          <w:color w:val="000000"/>
          <w:lang w:val="es-MX" w:eastAsia="en-US"/>
        </w:rPr>
        <w:lastRenderedPageBreak/>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6C6034A" w14:textId="77777777" w:rsidR="00137771" w:rsidRPr="00211BF5" w:rsidRDefault="00137771" w:rsidP="00922656">
      <w:pPr>
        <w:shd w:val="clear" w:color="auto" w:fill="FFFFFF"/>
        <w:spacing w:after="160" w:line="360" w:lineRule="auto"/>
        <w:ind w:left="567" w:right="616"/>
        <w:jc w:val="both"/>
        <w:rPr>
          <w:rFonts w:ascii="Palatino Linotype" w:hAnsi="Palatino Linotype" w:cs="Arial"/>
          <w:i/>
          <w:iCs/>
          <w:color w:val="000000"/>
          <w:lang w:val="es-MX" w:eastAsia="en-US"/>
        </w:rPr>
      </w:pPr>
    </w:p>
    <w:p w14:paraId="4578F43E" w14:textId="77777777" w:rsidR="00137771" w:rsidRPr="00211BF5" w:rsidRDefault="00137771" w:rsidP="00922656">
      <w:pPr>
        <w:shd w:val="clear" w:color="auto" w:fill="FFFFFF"/>
        <w:spacing w:after="160" w:line="360" w:lineRule="auto"/>
        <w:ind w:left="567" w:right="616"/>
        <w:jc w:val="both"/>
        <w:rPr>
          <w:rFonts w:ascii="Palatino Linotype" w:hAnsi="Palatino Linotype" w:cs="Arial"/>
          <w:iCs/>
          <w:color w:val="000000"/>
          <w:lang w:val="es-MX" w:eastAsia="en-US"/>
        </w:rPr>
      </w:pPr>
      <w:r w:rsidRPr="00211BF5">
        <w:rPr>
          <w:rFonts w:ascii="Palatino Linotype" w:hAnsi="Palatino Linotype" w:cs="Arial"/>
          <w:iCs/>
          <w:color w:val="000000"/>
          <w:lang w:val="es-MX" w:eastAsia="en-US"/>
        </w:rPr>
        <w:t>(Énfasis añadido)</w:t>
      </w:r>
    </w:p>
    <w:p w14:paraId="4C3EB781" w14:textId="77777777" w:rsidR="00137771" w:rsidRPr="00211BF5" w:rsidRDefault="00137771" w:rsidP="00922656">
      <w:pPr>
        <w:tabs>
          <w:tab w:val="left" w:pos="426"/>
        </w:tabs>
        <w:spacing w:after="160" w:line="360" w:lineRule="auto"/>
        <w:ind w:right="49"/>
        <w:contextualSpacing/>
        <w:jc w:val="both"/>
        <w:rPr>
          <w:rFonts w:ascii="Palatino Linotype" w:eastAsia="MS Mincho" w:hAnsi="Palatino Linotype" w:cs="Arial"/>
          <w:lang w:val="es-MX" w:eastAsia="en-US"/>
        </w:rPr>
      </w:pPr>
    </w:p>
    <w:p w14:paraId="1D12A68F" w14:textId="3EF7EDF3" w:rsidR="00137771" w:rsidRPr="00211BF5" w:rsidRDefault="00137771" w:rsidP="00216222">
      <w:pPr>
        <w:pStyle w:val="Prrafodelista"/>
        <w:numPr>
          <w:ilvl w:val="0"/>
          <w:numId w:val="1"/>
        </w:numPr>
        <w:tabs>
          <w:tab w:val="left" w:pos="426"/>
        </w:tabs>
        <w:spacing w:after="160" w:line="360" w:lineRule="auto"/>
        <w:ind w:left="0" w:right="49" w:firstLine="0"/>
        <w:contextualSpacing/>
        <w:jc w:val="both"/>
        <w:rPr>
          <w:rFonts w:ascii="Palatino Linotype" w:eastAsia="MS Mincho" w:hAnsi="Palatino Linotype" w:cs="Arial"/>
          <w:lang w:val="es-MX" w:eastAsia="en-US"/>
        </w:rPr>
      </w:pPr>
      <w:r w:rsidRPr="00211BF5">
        <w:rPr>
          <w:rFonts w:ascii="Palatino Linotype" w:eastAsia="Calibri" w:hAnsi="Palatino Linotype" w:cs="Arial"/>
          <w:lang w:val="es-MX" w:eastAsia="en-US"/>
        </w:rPr>
        <w:t xml:space="preserve">Asimismo, ha sido criterio del Instituto Nacional de Transparencia, Acceso a la Información y Protección de Datos Personales bajo el número 27/10 que resulta </w:t>
      </w:r>
      <w:r w:rsidRPr="00211BF5">
        <w:rPr>
          <w:rFonts w:ascii="Palatino Linotype" w:eastAsia="Calibri" w:hAnsi="Palatino Linotype" w:cs="Arial"/>
          <w:lang w:val="es-MX" w:eastAsia="en-US"/>
        </w:rPr>
        <w:lastRenderedPageBreak/>
        <w:t>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6F8C757E" w14:textId="77777777" w:rsidR="00137771" w:rsidRPr="00211BF5" w:rsidRDefault="00137771" w:rsidP="00922656">
      <w:pPr>
        <w:tabs>
          <w:tab w:val="left" w:pos="426"/>
        </w:tabs>
        <w:spacing w:after="160" w:line="360" w:lineRule="auto"/>
        <w:ind w:right="49"/>
        <w:contextualSpacing/>
        <w:jc w:val="both"/>
        <w:rPr>
          <w:rFonts w:ascii="Palatino Linotype" w:eastAsia="MS Mincho" w:hAnsi="Palatino Linotype" w:cs="Arial"/>
          <w:lang w:val="es-MX" w:eastAsia="en-US"/>
        </w:rPr>
      </w:pPr>
    </w:p>
    <w:p w14:paraId="7A844FCA" w14:textId="77777777" w:rsidR="00137771" w:rsidRPr="00211BF5" w:rsidRDefault="00137771" w:rsidP="00922656">
      <w:pPr>
        <w:shd w:val="clear" w:color="auto" w:fill="FFFFFF"/>
        <w:spacing w:before="240" w:after="240" w:line="360" w:lineRule="auto"/>
        <w:ind w:left="567" w:right="616"/>
        <w:contextualSpacing/>
        <w:jc w:val="both"/>
        <w:rPr>
          <w:rFonts w:ascii="Palatino Linotype" w:hAnsi="Palatino Linotype" w:cs="Arial"/>
          <w:color w:val="000000"/>
          <w:lang w:val="es-MX" w:eastAsia="en-US"/>
        </w:rPr>
      </w:pPr>
      <w:r w:rsidRPr="00211BF5">
        <w:rPr>
          <w:rFonts w:ascii="Palatino Linotype" w:hAnsi="Palatino Linotype" w:cs="Arial"/>
          <w:b/>
          <w:bCs/>
          <w:i/>
          <w:iCs/>
          <w:color w:val="000000"/>
          <w:lang w:val="es-MX" w:eastAsia="en-US"/>
        </w:rPr>
        <w:t>“Es improcedente ampliar las solicitudes de acceso a información pública o datos personales, a través de la interposición del recurso de revisión.</w:t>
      </w:r>
      <w:r w:rsidRPr="00211BF5">
        <w:rPr>
          <w:rFonts w:ascii="Palatino Linotype" w:hAnsi="Palatino Linotype" w:cs="Arial"/>
          <w:i/>
          <w:iCs/>
          <w:color w:val="000000"/>
          <w:lang w:val="es-MX" w:eastAsia="en-U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40F603AD" w14:textId="77777777" w:rsidR="00137771" w:rsidRPr="00211BF5" w:rsidRDefault="00137771" w:rsidP="00922656">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r w:rsidRPr="00211BF5">
        <w:rPr>
          <w:rFonts w:ascii="Palatino Linotype" w:hAnsi="Palatino Linotype" w:cs="Arial"/>
          <w:i/>
          <w:iCs/>
          <w:color w:val="000000"/>
          <w:lang w:val="es-MX" w:eastAsia="en-US"/>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p>
    <w:p w14:paraId="38F7D119" w14:textId="77777777" w:rsidR="00137771" w:rsidRPr="00211BF5" w:rsidRDefault="00137771" w:rsidP="00922656">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p>
    <w:p w14:paraId="161D9057" w14:textId="77777777" w:rsidR="00137771" w:rsidRPr="00211BF5" w:rsidRDefault="00137771" w:rsidP="00922656">
      <w:pPr>
        <w:shd w:val="clear" w:color="auto" w:fill="FFFFFF"/>
        <w:spacing w:before="240" w:after="240" w:line="360" w:lineRule="auto"/>
        <w:ind w:left="567" w:right="616"/>
        <w:contextualSpacing/>
        <w:jc w:val="both"/>
        <w:rPr>
          <w:rFonts w:ascii="Palatino Linotype" w:hAnsi="Palatino Linotype" w:cs="Arial"/>
          <w:iCs/>
          <w:color w:val="000000"/>
          <w:lang w:val="es-MX" w:eastAsia="en-US"/>
        </w:rPr>
      </w:pPr>
      <w:r w:rsidRPr="00211BF5">
        <w:rPr>
          <w:rFonts w:ascii="Palatino Linotype" w:hAnsi="Palatino Linotype" w:cs="Arial"/>
          <w:iCs/>
          <w:color w:val="000000"/>
          <w:lang w:val="es-MX" w:eastAsia="en-US"/>
        </w:rPr>
        <w:t>(Énfasis añadido)</w:t>
      </w:r>
    </w:p>
    <w:p w14:paraId="06C62960" w14:textId="77777777" w:rsidR="00137771" w:rsidRPr="00211BF5" w:rsidRDefault="00137771"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DA90206" w14:textId="77777777" w:rsidR="00137771" w:rsidRPr="00211BF5" w:rsidRDefault="00137771"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0442550" w14:textId="73ED5EA8"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Batang" w:hAnsi="Palatino Linotype" w:cs="Arial"/>
          <w:lang w:val="es-MX"/>
        </w:rPr>
        <w:t xml:space="preserve">Por </w:t>
      </w:r>
      <w:r w:rsidRPr="00211BF5">
        <w:rPr>
          <w:rFonts w:ascii="Palatino Linotype" w:eastAsia="Batang" w:hAnsi="Palatino Linotype" w:cs="Arial"/>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15852FE" w14:textId="77777777" w:rsidR="00336DCE" w:rsidRPr="00211BF5" w:rsidRDefault="00336DCE" w:rsidP="00922656">
      <w:pPr>
        <w:tabs>
          <w:tab w:val="left" w:pos="426"/>
        </w:tabs>
        <w:spacing w:before="240" w:after="240" w:line="360" w:lineRule="auto"/>
        <w:ind w:right="51"/>
        <w:contextualSpacing/>
        <w:jc w:val="both"/>
        <w:rPr>
          <w:rFonts w:ascii="Palatino Linotype" w:eastAsia="Batang" w:hAnsi="Palatino Linotype" w:cs="Arial"/>
        </w:rPr>
      </w:pPr>
    </w:p>
    <w:p w14:paraId="0474A774" w14:textId="77777777" w:rsidR="00336DCE" w:rsidRPr="00211BF5" w:rsidRDefault="00336DCE" w:rsidP="00922656">
      <w:pPr>
        <w:autoSpaceDE w:val="0"/>
        <w:autoSpaceDN w:val="0"/>
        <w:adjustRightInd w:val="0"/>
        <w:spacing w:before="240" w:after="240" w:line="360" w:lineRule="auto"/>
        <w:ind w:left="720" w:right="616"/>
        <w:contextualSpacing/>
        <w:jc w:val="both"/>
        <w:rPr>
          <w:rFonts w:ascii="Palatino Linotype" w:eastAsia="Batang" w:hAnsi="Palatino Linotype" w:cs="Arial"/>
          <w:iCs/>
          <w:lang w:val="es-AR"/>
        </w:rPr>
      </w:pPr>
      <w:r w:rsidRPr="00211BF5">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211BF5">
        <w:rPr>
          <w:rFonts w:ascii="Palatino Linotype" w:eastAsia="Batang" w:hAnsi="Palatino Linotype" w:cs="Arial"/>
          <w:i/>
          <w:lang w:val="es-AR"/>
        </w:rPr>
        <w:t xml:space="preserve"> en el juicio de amparo directo </w:t>
      </w:r>
      <w:r w:rsidRPr="00211BF5">
        <w:rPr>
          <w:rFonts w:ascii="Palatino Linotype" w:eastAsia="Batang" w:hAnsi="Palatino Linotype" w:cs="Arial"/>
          <w:b/>
          <w:i/>
          <w:lang w:val="es-AR"/>
        </w:rPr>
        <w:t>provoca la terminación de la controversia planteada</w:t>
      </w:r>
      <w:r w:rsidRPr="00211BF5">
        <w:rPr>
          <w:rFonts w:ascii="Palatino Linotype" w:eastAsia="Batang" w:hAnsi="Palatino Linotype" w:cs="Arial"/>
          <w:i/>
          <w:lang w:val="es-AR"/>
        </w:rPr>
        <w:t xml:space="preserve"> por el quejoso en la demanda de amparo</w:t>
      </w:r>
      <w:r w:rsidRPr="00211BF5">
        <w:rPr>
          <w:rFonts w:ascii="Palatino Linotype" w:eastAsia="Batang" w:hAnsi="Palatino Linotype" w:cs="Arial"/>
          <w:b/>
          <w:i/>
          <w:lang w:val="es-AR"/>
        </w:rPr>
        <w:t>, sin hacer un pronunciamiento de fondo sobre la legalidad o ilegalidad de la sentencia reclamada</w:t>
      </w:r>
      <w:r w:rsidRPr="00211BF5">
        <w:rPr>
          <w:rFonts w:ascii="Palatino Linotype" w:eastAsia="Batang" w:hAnsi="Palatino Linotype" w:cs="Arial"/>
          <w:i/>
          <w:lang w:val="es-AR"/>
        </w:rPr>
        <w:t xml:space="preserve">. </w:t>
      </w:r>
      <w:r w:rsidRPr="00211BF5">
        <w:rPr>
          <w:rFonts w:ascii="Palatino Linotype" w:eastAsia="Batang" w:hAnsi="Palatino Linotype" w:cs="Arial"/>
          <w:b/>
          <w:i/>
          <w:lang w:val="es-AR"/>
        </w:rPr>
        <w:t xml:space="preserve">Por consiguiente, si al sobreseerse en el juicio de amparo </w:t>
      </w:r>
      <w:r w:rsidRPr="00211BF5">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11BF5">
        <w:rPr>
          <w:rFonts w:ascii="Palatino Linotype" w:eastAsia="Batang" w:hAnsi="Palatino Linotype" w:cs="Arial"/>
          <w:i/>
          <w:lang w:val="es-AR"/>
        </w:rPr>
        <w:t>.”</w:t>
      </w:r>
    </w:p>
    <w:p w14:paraId="0A48C411" w14:textId="77777777" w:rsidR="00336DCE" w:rsidRPr="00211BF5" w:rsidRDefault="00336DCE" w:rsidP="00922656">
      <w:pPr>
        <w:autoSpaceDE w:val="0"/>
        <w:autoSpaceDN w:val="0"/>
        <w:adjustRightInd w:val="0"/>
        <w:spacing w:before="240" w:after="240" w:line="360" w:lineRule="auto"/>
        <w:ind w:left="720" w:right="616"/>
        <w:contextualSpacing/>
        <w:jc w:val="both"/>
        <w:rPr>
          <w:rFonts w:ascii="Palatino Linotype" w:eastAsia="Batang" w:hAnsi="Palatino Linotype" w:cs="Arial"/>
          <w:iCs/>
          <w:lang w:val="es-AR"/>
        </w:rPr>
      </w:pPr>
      <w:r w:rsidRPr="00211BF5">
        <w:rPr>
          <w:rFonts w:ascii="Palatino Linotype" w:eastAsia="Batang" w:hAnsi="Palatino Linotype" w:cs="Arial"/>
          <w:iCs/>
          <w:lang w:val="es-AR"/>
        </w:rPr>
        <w:t>(Énfasis añadido)</w:t>
      </w:r>
    </w:p>
    <w:p w14:paraId="24967920" w14:textId="77777777" w:rsidR="00336DCE" w:rsidRPr="00211BF5" w:rsidRDefault="00336DCE" w:rsidP="00922656">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BB175E6" w14:textId="00394D53"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Batang" w:hAnsi="Palatino Linotype" w:cs="Arial"/>
        </w:rPr>
        <w:t xml:space="preserve">De este modo, se puede deducir que </w:t>
      </w:r>
      <w:r w:rsidR="00922656" w:rsidRPr="00211BF5">
        <w:rPr>
          <w:rFonts w:ascii="Palatino Linotype" w:eastAsia="Batang" w:hAnsi="Palatino Linotype" w:cs="Arial"/>
        </w:rPr>
        <w:t xml:space="preserve">se estima procedente SOBRESEER el recurso de revisión ya que no encontramos ante un requerimiento de información adicional a la solicitud de información primigenia, lo cual impide a este Órgano </w:t>
      </w:r>
      <w:r w:rsidR="00922656" w:rsidRPr="00211BF5">
        <w:rPr>
          <w:rFonts w:ascii="Palatino Linotype" w:eastAsia="Batang" w:hAnsi="Palatino Linotype" w:cs="Arial"/>
        </w:rPr>
        <w:lastRenderedPageBreak/>
        <w:t xml:space="preserve">Garante entrar al estudio de los motivos de inconformidad, se dejan a salvo los derechos para que de estimarlo procedente el </w:t>
      </w:r>
      <w:r w:rsidR="00922656" w:rsidRPr="00211BF5">
        <w:rPr>
          <w:rFonts w:ascii="Palatino Linotype" w:eastAsia="Batang" w:hAnsi="Palatino Linotype" w:cs="Arial"/>
          <w:b/>
        </w:rPr>
        <w:t xml:space="preserve">PARTICULAR, </w:t>
      </w:r>
      <w:r w:rsidR="00922656" w:rsidRPr="00211BF5">
        <w:rPr>
          <w:rFonts w:ascii="Palatino Linotype" w:eastAsia="Batang" w:hAnsi="Palatino Linotype" w:cs="Arial"/>
        </w:rPr>
        <w:t xml:space="preserve">realice una nueva solicitud de información tendiente a subsanar dicho requerimiento. </w:t>
      </w:r>
    </w:p>
    <w:p w14:paraId="2204D804"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EDFD4AA" w14:textId="77777777" w:rsidR="00336DCE" w:rsidRPr="00211BF5" w:rsidRDefault="00336DCE" w:rsidP="00922656">
      <w:pPr>
        <w:tabs>
          <w:tab w:val="left" w:pos="426"/>
        </w:tabs>
        <w:spacing w:before="240" w:after="240" w:line="360" w:lineRule="auto"/>
        <w:ind w:right="51"/>
        <w:contextualSpacing/>
        <w:jc w:val="both"/>
        <w:outlineLvl w:val="1"/>
        <w:rPr>
          <w:rFonts w:ascii="Palatino Linotype" w:eastAsiaTheme="minorEastAsia" w:hAnsi="Palatino Linotype" w:cstheme="minorBidi"/>
          <w:b/>
          <w:bCs/>
          <w:color w:val="000000" w:themeColor="text1"/>
          <w:lang w:val="es-MX"/>
        </w:rPr>
      </w:pPr>
      <w:bookmarkStart w:id="46" w:name="_Toc86945046"/>
      <w:r w:rsidRPr="00211BF5">
        <w:rPr>
          <w:rFonts w:ascii="Palatino Linotype" w:eastAsiaTheme="minorEastAsia" w:hAnsi="Palatino Linotype" w:cstheme="minorBidi"/>
          <w:b/>
          <w:bCs/>
          <w:color w:val="000000" w:themeColor="text1"/>
          <w:lang w:val="es-MX"/>
        </w:rPr>
        <w:t>CUARTO. Decisión</w:t>
      </w:r>
      <w:bookmarkEnd w:id="46"/>
      <w:r w:rsidRPr="00211BF5">
        <w:rPr>
          <w:rFonts w:ascii="Palatino Linotype" w:eastAsiaTheme="minorEastAsia" w:hAnsi="Palatino Linotype" w:cstheme="minorBidi"/>
          <w:b/>
          <w:bCs/>
          <w:color w:val="000000" w:themeColor="text1"/>
          <w:lang w:val="es-MX"/>
        </w:rPr>
        <w:t>.</w:t>
      </w:r>
    </w:p>
    <w:p w14:paraId="5BEE54F9"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13EBEC7" w14:textId="6DD3EEFE"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lang w:val="es-MX"/>
        </w:rPr>
        <w:t xml:space="preserve">Así y luego de analizar las actuaciones realizadas por las partes en el expediente radicado en el Sistema de Acceso a la Información Mexiquense </w:t>
      </w:r>
      <w:r w:rsidRPr="00211BF5">
        <w:rPr>
          <w:rFonts w:ascii="Palatino Linotype" w:eastAsiaTheme="minorEastAsia" w:hAnsi="Palatino Linotype" w:cstheme="minorBidi"/>
          <w:b/>
          <w:color w:val="000000" w:themeColor="text1"/>
          <w:lang w:val="es-MX"/>
        </w:rPr>
        <w:t>(SAIMEX</w:t>
      </w:r>
      <w:r w:rsidRPr="00211BF5">
        <w:rPr>
          <w:rFonts w:ascii="Palatino Linotype" w:eastAsiaTheme="minorEastAsia" w:hAnsi="Palatino Linotype" w:cstheme="minorBidi"/>
          <w:color w:val="000000" w:themeColor="text1"/>
          <w:lang w:val="es-MX"/>
        </w:rPr>
        <w:t xml:space="preserve">), bajo el número </w:t>
      </w:r>
      <w:r w:rsidR="00922656" w:rsidRPr="00211BF5">
        <w:rPr>
          <w:rFonts w:ascii="Palatino Linotype" w:eastAsiaTheme="minorEastAsia" w:hAnsi="Palatino Linotype" w:cstheme="minorBidi"/>
          <w:b/>
          <w:bCs/>
          <w:color w:val="000000" w:themeColor="text1"/>
        </w:rPr>
        <w:t>00568/INFOEM/IP/RR/2023</w:t>
      </w:r>
      <w:r w:rsidR="00922656" w:rsidRPr="00211BF5">
        <w:rPr>
          <w:rFonts w:ascii="Palatino Linotype" w:eastAsiaTheme="minorEastAsia" w:hAnsi="Palatino Linotype" w:cstheme="minorBidi"/>
          <w:color w:val="000000" w:themeColor="text1"/>
          <w:lang w:val="es-MX"/>
        </w:rPr>
        <w:t xml:space="preserve"> </w:t>
      </w:r>
      <w:r w:rsidRPr="00211BF5">
        <w:rPr>
          <w:rFonts w:ascii="Palatino Linotype" w:eastAsiaTheme="minorEastAsia" w:hAnsi="Palatino Linotype" w:cstheme="minorBidi"/>
        </w:rPr>
        <w:t>con fundamento en la fracción V</w:t>
      </w:r>
      <w:r w:rsidR="00922656" w:rsidRPr="00211BF5">
        <w:rPr>
          <w:rFonts w:ascii="Palatino Linotype" w:eastAsiaTheme="minorEastAsia" w:hAnsi="Palatino Linotype" w:cstheme="minorBidi"/>
        </w:rPr>
        <w:t>II</w:t>
      </w:r>
      <w:r w:rsidRPr="00211BF5">
        <w:rPr>
          <w:rFonts w:ascii="Palatino Linotype" w:eastAsiaTheme="minorEastAsia" w:hAnsi="Palatino Linotype" w:cstheme="minorBidi"/>
        </w:rPr>
        <w:t xml:space="preserve"> del artículo 191 en relación con la fracción IV del artículo 192,</w:t>
      </w:r>
      <w:r w:rsidRPr="00211BF5">
        <w:rPr>
          <w:rFonts w:ascii="Palatino Linotype" w:eastAsiaTheme="minorEastAsia" w:hAnsi="Palatino Linotype" w:cstheme="minorBidi"/>
          <w:b/>
        </w:rPr>
        <w:t xml:space="preserve"> </w:t>
      </w:r>
      <w:r w:rsidRPr="00211BF5">
        <w:rPr>
          <w:rFonts w:ascii="Palatino Linotype" w:eastAsiaTheme="minorEastAsia" w:hAnsi="Palatino Linotype" w:cstheme="minorBidi"/>
        </w:rPr>
        <w:t xml:space="preserve">de la Ley de Transparencia y Acceso a la Información Pública del Estado de México y Municipios, se </w:t>
      </w:r>
      <w:r w:rsidRPr="00211BF5">
        <w:rPr>
          <w:rFonts w:ascii="Palatino Linotype" w:eastAsiaTheme="minorEastAsia" w:hAnsi="Palatino Linotype" w:cstheme="minorBidi"/>
          <w:b/>
        </w:rPr>
        <w:t xml:space="preserve">SOBRESEE </w:t>
      </w:r>
      <w:r w:rsidRPr="00211BF5">
        <w:rPr>
          <w:rFonts w:ascii="Palatino Linotype" w:eastAsiaTheme="minorEastAsia" w:hAnsi="Palatino Linotype" w:cstheme="minorBidi"/>
        </w:rPr>
        <w:t>el recurso de revisión, que ha sido materia del presente fallo, por</w:t>
      </w:r>
      <w:r w:rsidR="00922656" w:rsidRPr="00211BF5">
        <w:rPr>
          <w:rFonts w:ascii="Palatino Linotype" w:eastAsiaTheme="minorEastAsia" w:hAnsi="Palatino Linotype" w:cstheme="minorBidi"/>
        </w:rPr>
        <w:t xml:space="preserve"> realizarse un requerimiento de información adicional a lo solicitado. </w:t>
      </w:r>
    </w:p>
    <w:p w14:paraId="3F29CED4" w14:textId="77777777" w:rsidR="00336DCE" w:rsidRPr="00211BF5" w:rsidRDefault="00336DCE" w:rsidP="0092265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1F0827E" w14:textId="77777777" w:rsidR="00336DCE" w:rsidRPr="00211BF5" w:rsidRDefault="00336DCE" w:rsidP="00216222">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211BF5">
        <w:rPr>
          <w:rFonts w:ascii="Palatino Linotype" w:eastAsiaTheme="minorEastAsia" w:hAnsi="Palatino Linotype" w:cstheme="minorBidi"/>
          <w:color w:val="000000" w:themeColor="text1"/>
        </w:rPr>
        <w:t xml:space="preserve">Por </w:t>
      </w:r>
      <w:r w:rsidRPr="00211BF5">
        <w:rPr>
          <w:rFonts w:ascii="Palatino Linotype" w:eastAsiaTheme="minorEastAsia" w:hAnsi="Palatino Linotype" w:cstheme="minorBidi"/>
          <w:color w:val="000000" w:themeColor="text1"/>
          <w:lang w:val="es-MX"/>
        </w:rPr>
        <w:t xml:space="preserve">lo anteriormente expuesto y fundado, este </w:t>
      </w:r>
      <w:r w:rsidRPr="00211BF5">
        <w:rPr>
          <w:rFonts w:ascii="Palatino Linotype" w:eastAsiaTheme="minorEastAsia" w:hAnsi="Palatino Linotype" w:cstheme="minorBidi"/>
          <w:b/>
          <w:color w:val="000000" w:themeColor="text1"/>
          <w:lang w:val="es-MX"/>
        </w:rPr>
        <w:t>ÓRGANO GARANTE</w:t>
      </w:r>
      <w:r w:rsidRPr="00211BF5">
        <w:rPr>
          <w:rFonts w:ascii="Palatino Linotype" w:eastAsiaTheme="minorEastAsia" w:hAnsi="Palatino Linotype" w:cstheme="minorBidi"/>
          <w:color w:val="000000" w:themeColor="text1"/>
          <w:lang w:val="es-MX"/>
        </w:rPr>
        <w:t xml:space="preserve"> emite los siguientes: ------------------------------------------------------------------------------------------------------------------------------------------------------------------------------------------------------------</w:t>
      </w:r>
    </w:p>
    <w:p w14:paraId="42CAEFB1" w14:textId="34D545B4" w:rsidR="00336DCE" w:rsidRPr="00211BF5" w:rsidRDefault="00336DCE" w:rsidP="00922656">
      <w:pPr>
        <w:spacing w:line="360" w:lineRule="auto"/>
        <w:rPr>
          <w:rFonts w:ascii="Palatino Linotype" w:eastAsia="MS Mincho" w:hAnsi="Palatino Linotype"/>
          <w:color w:val="000000" w:themeColor="text1"/>
          <w:lang w:val="es-MX"/>
        </w:rPr>
      </w:pPr>
    </w:p>
    <w:p w14:paraId="7E5A43EC" w14:textId="77777777" w:rsidR="00336DCE" w:rsidRPr="00211BF5" w:rsidRDefault="00336DCE" w:rsidP="00922656">
      <w:pPr>
        <w:keepNext/>
        <w:keepLines/>
        <w:spacing w:before="240" w:line="360" w:lineRule="auto"/>
        <w:jc w:val="center"/>
        <w:outlineLvl w:val="0"/>
        <w:rPr>
          <w:rFonts w:ascii="Palatino Linotype" w:eastAsia="MS Gothic" w:hAnsi="Palatino Linotype"/>
          <w:b/>
          <w:color w:val="000000" w:themeColor="text1"/>
          <w:lang w:val="es-MX" w:eastAsia="en-US"/>
        </w:rPr>
      </w:pPr>
      <w:bookmarkStart w:id="47" w:name="_Toc86945047"/>
      <w:bookmarkStart w:id="48" w:name="_Toc497905366"/>
      <w:bookmarkStart w:id="49" w:name="_Toc495427547"/>
      <w:r w:rsidRPr="00211BF5">
        <w:rPr>
          <w:rFonts w:ascii="Palatino Linotype" w:eastAsia="MS Gothic" w:hAnsi="Palatino Linotype"/>
          <w:b/>
          <w:color w:val="000000" w:themeColor="text1"/>
          <w:lang w:val="es-MX" w:eastAsia="en-US"/>
        </w:rPr>
        <w:t>R E S O L U T I V O S</w:t>
      </w:r>
      <w:bookmarkEnd w:id="44"/>
      <w:bookmarkEnd w:id="45"/>
      <w:bookmarkEnd w:id="47"/>
      <w:bookmarkEnd w:id="48"/>
      <w:bookmarkEnd w:id="49"/>
    </w:p>
    <w:p w14:paraId="67ECA0C7" w14:textId="77777777" w:rsidR="00336DCE" w:rsidRPr="00211BF5" w:rsidRDefault="00336DCE" w:rsidP="00922656">
      <w:pPr>
        <w:spacing w:line="360" w:lineRule="auto"/>
        <w:jc w:val="both"/>
        <w:rPr>
          <w:rFonts w:ascii="Palatino Linotype" w:eastAsiaTheme="minorEastAsia" w:hAnsi="Palatino Linotype" w:cstheme="minorBidi"/>
          <w:b/>
          <w:lang w:val="es-ES_tradnl"/>
        </w:rPr>
      </w:pPr>
    </w:p>
    <w:p w14:paraId="7BE0EFCB" w14:textId="6B1BA032" w:rsidR="00336DCE" w:rsidRPr="00211BF5" w:rsidRDefault="00336DCE" w:rsidP="00922656">
      <w:pPr>
        <w:spacing w:line="360" w:lineRule="auto"/>
        <w:jc w:val="both"/>
        <w:rPr>
          <w:rFonts w:ascii="Palatino Linotype" w:eastAsiaTheme="minorEastAsia" w:hAnsi="Palatino Linotype" w:cstheme="minorBidi"/>
          <w:lang w:val="es-MX"/>
        </w:rPr>
      </w:pPr>
      <w:r w:rsidRPr="00211BF5">
        <w:rPr>
          <w:rFonts w:ascii="Palatino Linotype" w:eastAsiaTheme="minorEastAsia" w:hAnsi="Palatino Linotype" w:cstheme="minorBidi"/>
          <w:b/>
          <w:lang w:val="es-ES_tradnl"/>
        </w:rPr>
        <w:t xml:space="preserve">PRIMERO. </w:t>
      </w:r>
      <w:r w:rsidRPr="00211BF5">
        <w:rPr>
          <w:rFonts w:ascii="Palatino Linotype" w:eastAsiaTheme="minorEastAsia" w:hAnsi="Palatino Linotype" w:cstheme="minorBidi"/>
          <w:lang w:val="es-MX"/>
        </w:rPr>
        <w:t xml:space="preserve">Se </w:t>
      </w:r>
      <w:r w:rsidRPr="00211BF5">
        <w:rPr>
          <w:rFonts w:ascii="Palatino Linotype" w:eastAsiaTheme="minorEastAsia" w:hAnsi="Palatino Linotype" w:cstheme="minorBidi"/>
          <w:b/>
          <w:lang w:val="es-MX"/>
        </w:rPr>
        <w:t>SOBRESEE</w:t>
      </w:r>
      <w:r w:rsidRPr="00211BF5">
        <w:rPr>
          <w:rFonts w:ascii="Palatino Linotype" w:eastAsiaTheme="minorEastAsia" w:hAnsi="Palatino Linotype" w:cstheme="minorBidi"/>
          <w:lang w:val="es-MX"/>
        </w:rPr>
        <w:t xml:space="preserve"> el recurso de revisión número </w:t>
      </w:r>
      <w:r w:rsidR="00922656" w:rsidRPr="00211BF5">
        <w:rPr>
          <w:rFonts w:ascii="Palatino Linotype" w:eastAsiaTheme="minorEastAsia" w:hAnsi="Palatino Linotype" w:cstheme="minorBidi"/>
          <w:b/>
          <w:bCs/>
        </w:rPr>
        <w:t>00568/INFOEM/IP/RR/2023</w:t>
      </w:r>
      <w:r w:rsidRPr="00211BF5">
        <w:rPr>
          <w:rFonts w:ascii="Palatino Linotype" w:eastAsiaTheme="minorEastAsia" w:hAnsi="Palatino Linotype" w:cstheme="minorBidi"/>
          <w:lang w:val="es-MX"/>
        </w:rPr>
        <w:t>, de</w:t>
      </w:r>
      <w:r w:rsidRPr="00211BF5">
        <w:rPr>
          <w:rFonts w:ascii="Palatino Linotype" w:eastAsiaTheme="minorEastAsia" w:hAnsi="Palatino Linotype" w:cstheme="minorBidi"/>
          <w:b/>
          <w:lang w:val="es-MX"/>
        </w:rPr>
        <w:t xml:space="preserve"> </w:t>
      </w:r>
      <w:r w:rsidRPr="00211BF5">
        <w:rPr>
          <w:rFonts w:ascii="Palatino Linotype" w:eastAsiaTheme="minorEastAsia" w:hAnsi="Palatino Linotype" w:cstheme="minorBidi"/>
          <w:lang w:val="es-MX"/>
        </w:rPr>
        <w:t>conformidad con</w:t>
      </w:r>
      <w:r w:rsidRPr="00211BF5">
        <w:rPr>
          <w:rFonts w:ascii="Palatino Linotype" w:eastAsiaTheme="minorEastAsia" w:hAnsi="Palatino Linotype" w:cstheme="minorBidi"/>
          <w:b/>
          <w:lang w:val="es-MX"/>
        </w:rPr>
        <w:t xml:space="preserve"> </w:t>
      </w:r>
      <w:r w:rsidR="00922656" w:rsidRPr="00211BF5">
        <w:rPr>
          <w:rFonts w:ascii="Palatino Linotype" w:eastAsiaTheme="minorEastAsia" w:hAnsi="Palatino Linotype" w:cstheme="minorBidi"/>
          <w:lang w:val="es-MX"/>
        </w:rPr>
        <w:t>al artículo 191 fracción VII</w:t>
      </w:r>
      <w:r w:rsidRPr="00211BF5">
        <w:rPr>
          <w:rFonts w:ascii="Palatino Linotype" w:eastAsiaTheme="minorEastAsia" w:hAnsi="Palatino Linotype" w:cstheme="minorBidi"/>
          <w:lang w:val="es-MX"/>
        </w:rPr>
        <w:t xml:space="preserve"> en relación con el artículo 192 fracción IV de la Ley de Transparencia y Acceso a la </w:t>
      </w:r>
      <w:r w:rsidRPr="00211BF5">
        <w:rPr>
          <w:rFonts w:ascii="Palatino Linotype" w:eastAsiaTheme="minorEastAsia" w:hAnsi="Palatino Linotype" w:cstheme="minorBidi"/>
          <w:lang w:val="es-MX"/>
        </w:rPr>
        <w:lastRenderedPageBreak/>
        <w:t>Información Pública del Estado de México y Municipios</w:t>
      </w:r>
      <w:r w:rsidR="00922656" w:rsidRPr="00211BF5">
        <w:rPr>
          <w:rFonts w:ascii="Palatino Linotype" w:eastAsiaTheme="minorEastAsia" w:hAnsi="Palatino Linotype" w:cstheme="minorBidi"/>
          <w:b/>
          <w:lang w:val="es-MX"/>
        </w:rPr>
        <w:t xml:space="preserve">, </w:t>
      </w:r>
      <w:r w:rsidRPr="00211BF5">
        <w:rPr>
          <w:rFonts w:ascii="Palatino Linotype" w:eastAsiaTheme="minorEastAsia" w:hAnsi="Palatino Linotype" w:cstheme="minorBidi"/>
          <w:lang w:val="es-MX"/>
        </w:rPr>
        <w:t xml:space="preserve">en términos del </w:t>
      </w:r>
      <w:r w:rsidRPr="00211BF5">
        <w:rPr>
          <w:rFonts w:ascii="Palatino Linotype" w:eastAsiaTheme="minorEastAsia" w:hAnsi="Palatino Linotype" w:cstheme="minorBidi"/>
          <w:b/>
          <w:lang w:val="es-MX"/>
        </w:rPr>
        <w:t>Considerando TERCERO</w:t>
      </w:r>
      <w:r w:rsidRPr="00211BF5">
        <w:rPr>
          <w:rFonts w:ascii="Palatino Linotype" w:eastAsiaTheme="minorEastAsia" w:hAnsi="Palatino Linotype" w:cstheme="minorBidi"/>
          <w:lang w:val="es-MX"/>
        </w:rPr>
        <w:t xml:space="preserve"> de la presente resolución.</w:t>
      </w:r>
    </w:p>
    <w:p w14:paraId="7F5C4876" w14:textId="77777777" w:rsidR="00336DCE" w:rsidRPr="00211BF5" w:rsidRDefault="00336DCE" w:rsidP="00922656">
      <w:pPr>
        <w:spacing w:line="360" w:lineRule="auto"/>
        <w:jc w:val="both"/>
        <w:rPr>
          <w:rFonts w:ascii="Palatino Linotype" w:eastAsia="MS Mincho" w:hAnsi="Palatino Linotype"/>
          <w:lang w:val="es-ES_tradnl"/>
        </w:rPr>
      </w:pPr>
    </w:p>
    <w:p w14:paraId="1254D1AE" w14:textId="77777777" w:rsidR="00336DCE" w:rsidRPr="00211BF5" w:rsidRDefault="00336DCE" w:rsidP="00922656">
      <w:pPr>
        <w:spacing w:line="360" w:lineRule="auto"/>
        <w:jc w:val="both"/>
        <w:rPr>
          <w:rFonts w:ascii="Palatino Linotype" w:eastAsia="Calibri" w:hAnsi="Palatino Linotype" w:cs="Arial"/>
          <w:b/>
          <w:bCs/>
        </w:rPr>
      </w:pPr>
      <w:r w:rsidRPr="00211BF5">
        <w:rPr>
          <w:rFonts w:ascii="Palatino Linotype" w:eastAsia="Calibri" w:hAnsi="Palatino Linotype" w:cs="Arial"/>
          <w:b/>
          <w:bCs/>
        </w:rPr>
        <w:t xml:space="preserve">SEGUNDO. Notifíquese </w:t>
      </w:r>
      <w:r w:rsidRPr="00211BF5">
        <w:rPr>
          <w:rFonts w:ascii="Palatino Linotype" w:eastAsia="Calibri" w:hAnsi="Palatino Linotype" w:cs="Arial"/>
          <w:bCs/>
        </w:rPr>
        <w:t xml:space="preserve">a través del Sistema de Acceso a la Información Mexiquense </w:t>
      </w:r>
      <w:r w:rsidRPr="00211BF5">
        <w:rPr>
          <w:rFonts w:ascii="Palatino Linotype" w:eastAsia="Calibri" w:hAnsi="Palatino Linotype" w:cs="Arial"/>
          <w:b/>
          <w:bCs/>
        </w:rPr>
        <w:t xml:space="preserve">(SAIMEX) </w:t>
      </w:r>
      <w:r w:rsidRPr="00211BF5">
        <w:rPr>
          <w:rFonts w:ascii="Palatino Linotype" w:eastAsia="Calibri" w:hAnsi="Palatino Linotype" w:cs="Arial"/>
          <w:bCs/>
        </w:rPr>
        <w:t>la presente resolución a la Titular de la Unidad de Transparencia del</w:t>
      </w:r>
      <w:r w:rsidRPr="00211BF5">
        <w:rPr>
          <w:rFonts w:ascii="Palatino Linotype" w:eastAsia="Calibri" w:hAnsi="Palatino Linotype" w:cs="Arial"/>
          <w:b/>
          <w:bCs/>
        </w:rPr>
        <w:t xml:space="preserve"> SUJETO OBLIGADO. </w:t>
      </w:r>
    </w:p>
    <w:p w14:paraId="5AFCA899" w14:textId="77777777" w:rsidR="00336DCE" w:rsidRPr="00211BF5" w:rsidRDefault="00336DCE" w:rsidP="00922656">
      <w:pPr>
        <w:spacing w:line="360" w:lineRule="auto"/>
        <w:jc w:val="both"/>
        <w:rPr>
          <w:rFonts w:ascii="Palatino Linotype" w:eastAsia="Calibri" w:hAnsi="Palatino Linotype" w:cs="Arial"/>
          <w:b/>
          <w:bCs/>
        </w:rPr>
      </w:pPr>
    </w:p>
    <w:p w14:paraId="29DCCBC0" w14:textId="77777777" w:rsidR="00336DCE" w:rsidRPr="00211BF5" w:rsidRDefault="00336DCE" w:rsidP="00922656">
      <w:pPr>
        <w:spacing w:line="360" w:lineRule="auto"/>
        <w:jc w:val="both"/>
        <w:rPr>
          <w:rFonts w:ascii="Palatino Linotype" w:hAnsi="Palatino Linotype"/>
          <w:color w:val="222222"/>
          <w:lang w:eastAsia="es-MX"/>
        </w:rPr>
      </w:pPr>
      <w:r w:rsidRPr="00211BF5">
        <w:rPr>
          <w:rFonts w:ascii="Palatino Linotype" w:hAnsi="Palatino Linotype" w:cs="Arial"/>
          <w:b/>
          <w:lang w:val="es-ES_tradnl"/>
        </w:rPr>
        <w:t xml:space="preserve">TERCERO. </w:t>
      </w:r>
      <w:r w:rsidRPr="00211BF5">
        <w:rPr>
          <w:rFonts w:ascii="Palatino Linotype" w:hAnsi="Palatino Linotype"/>
          <w:b/>
          <w:bCs/>
          <w:color w:val="222222"/>
        </w:rPr>
        <w:t xml:space="preserve">Notifíquese </w:t>
      </w:r>
      <w:r w:rsidRPr="00211BF5">
        <w:rPr>
          <w:rFonts w:ascii="Palatino Linotype" w:hAnsi="Palatino Linotype"/>
          <w:bCs/>
          <w:color w:val="222222"/>
        </w:rPr>
        <w:t xml:space="preserve">al </w:t>
      </w:r>
      <w:r w:rsidRPr="00211BF5">
        <w:rPr>
          <w:rFonts w:ascii="Palatino Linotype" w:eastAsia="MS Mincho" w:hAnsi="Palatino Linotype"/>
          <w:b/>
          <w:lang w:val="es-ES_tradnl"/>
        </w:rPr>
        <w:t xml:space="preserve">RECURRENTE </w:t>
      </w:r>
      <w:r w:rsidRPr="00211BF5">
        <w:rPr>
          <w:rFonts w:ascii="Palatino Linotype" w:eastAsia="Calibri" w:hAnsi="Palatino Linotype" w:cs="Arial"/>
          <w:bCs/>
        </w:rPr>
        <w:t xml:space="preserve">a través del Sistema de Acceso a la Información Mexiquense </w:t>
      </w:r>
      <w:r w:rsidRPr="00211BF5">
        <w:rPr>
          <w:rFonts w:ascii="Palatino Linotype" w:eastAsia="Calibri" w:hAnsi="Palatino Linotype" w:cs="Arial"/>
          <w:b/>
          <w:bCs/>
        </w:rPr>
        <w:t xml:space="preserve">(SAIMEX) </w:t>
      </w:r>
      <w:r w:rsidRPr="00211BF5">
        <w:rPr>
          <w:rFonts w:ascii="Palatino Linotype" w:hAnsi="Palatino Linotype"/>
          <w:color w:val="222222"/>
          <w:lang w:eastAsia="es-MX"/>
        </w:rPr>
        <w:t>la presente resolución.</w:t>
      </w:r>
    </w:p>
    <w:p w14:paraId="16815A3F" w14:textId="77777777" w:rsidR="00336DCE" w:rsidRPr="00211BF5" w:rsidRDefault="00336DCE" w:rsidP="00922656">
      <w:pPr>
        <w:spacing w:line="360" w:lineRule="auto"/>
        <w:jc w:val="both"/>
        <w:rPr>
          <w:rFonts w:ascii="Palatino Linotype" w:hAnsi="Palatino Linotype"/>
          <w:color w:val="222222"/>
          <w:lang w:eastAsia="es-MX"/>
        </w:rPr>
      </w:pPr>
    </w:p>
    <w:p w14:paraId="7B6FE006" w14:textId="77777777" w:rsidR="00336DCE" w:rsidRPr="00211BF5" w:rsidRDefault="00336DCE" w:rsidP="00922656">
      <w:pPr>
        <w:spacing w:line="360" w:lineRule="auto"/>
        <w:jc w:val="both"/>
        <w:rPr>
          <w:rFonts w:ascii="Palatino Linotype" w:eastAsia="MS Mincho" w:hAnsi="Palatino Linotype"/>
        </w:rPr>
      </w:pPr>
      <w:r w:rsidRPr="00211BF5">
        <w:rPr>
          <w:rFonts w:ascii="Palatino Linotype" w:eastAsia="MS Mincho" w:hAnsi="Palatino Linotype"/>
          <w:b/>
          <w:lang w:val="es-MX"/>
        </w:rPr>
        <w:t>CUARTO.</w:t>
      </w:r>
      <w:r w:rsidRPr="00211BF5">
        <w:rPr>
          <w:rFonts w:ascii="Palatino Linotype" w:eastAsia="MS Mincho" w:hAnsi="Palatino Linotype"/>
          <w:lang w:val="es-MX"/>
        </w:rPr>
        <w:t xml:space="preserve"> </w:t>
      </w:r>
      <w:r w:rsidRPr="00211BF5">
        <w:rPr>
          <w:rFonts w:ascii="Palatino Linotype" w:eastAsia="MS Mincho" w:hAnsi="Palatino Linotype"/>
        </w:rPr>
        <w:t xml:space="preserve">Se hace del conocimiento del </w:t>
      </w:r>
      <w:r w:rsidRPr="00211BF5">
        <w:rPr>
          <w:rFonts w:ascii="Palatino Linotype" w:eastAsia="MS Mincho" w:hAnsi="Palatino Linotype"/>
          <w:b/>
          <w:lang w:val="es-ES_tradnl"/>
        </w:rPr>
        <w:t xml:space="preserve">RECURRENTE </w:t>
      </w:r>
      <w:r w:rsidRPr="00211BF5">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11BF5">
        <w:rPr>
          <w:rFonts w:ascii="Palatino Linotype" w:eastAsia="MS Mincho" w:hAnsi="Palatino Linotype"/>
          <w:bCs/>
        </w:rPr>
        <w:t xml:space="preserve">vía juicio de amparo </w:t>
      </w:r>
      <w:r w:rsidRPr="00211BF5">
        <w:rPr>
          <w:rFonts w:ascii="Palatino Linotype" w:eastAsia="MS Mincho" w:hAnsi="Palatino Linotype"/>
        </w:rPr>
        <w:t>en los términos de las leyes aplicables.</w:t>
      </w:r>
    </w:p>
    <w:p w14:paraId="0DF24EC7" w14:textId="77777777" w:rsidR="00336DCE" w:rsidRPr="00211BF5" w:rsidRDefault="00336DCE" w:rsidP="00922656">
      <w:pPr>
        <w:spacing w:line="360" w:lineRule="auto"/>
        <w:jc w:val="both"/>
        <w:rPr>
          <w:rFonts w:ascii="Palatino Linotype" w:eastAsiaTheme="minorEastAsia" w:hAnsi="Palatino Linotype" w:cstheme="minorBidi"/>
          <w:lang w:val="es-ES_tradnl"/>
        </w:rPr>
      </w:pPr>
    </w:p>
    <w:p w14:paraId="596F8377" w14:textId="77777777" w:rsidR="00211BF5" w:rsidRPr="00624AAD" w:rsidRDefault="00211BF5" w:rsidP="00211BF5">
      <w:pPr>
        <w:spacing w:before="240" w:after="240" w:line="360" w:lineRule="auto"/>
        <w:ind w:firstLine="1"/>
        <w:jc w:val="both"/>
        <w:rPr>
          <w:rFonts w:ascii="Palatino Linotype" w:hAnsi="Palatino Linotype"/>
        </w:rPr>
      </w:pPr>
      <w:bookmarkStart w:id="50" w:name="_Hlk99014733"/>
      <w:r w:rsidRPr="00211BF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w:t>
      </w:r>
      <w:r w:rsidRPr="00211BF5">
        <w:rPr>
          <w:rFonts w:ascii="Palatino Linotype" w:hAnsi="Palatino Linotype"/>
        </w:rPr>
        <w:lastRenderedPageBreak/>
        <w:t>VEINTIDÓS (22) DE FEBRERO DE DOS MIL VEINTITRÉS, ANTE EL SECRETARIO TÉCNICO DEL PLENO ALEXIS TAPIA RAMÍREZ.</w:t>
      </w:r>
      <w:r w:rsidRPr="00624AAD">
        <w:rPr>
          <w:rFonts w:ascii="Palatino Linotype" w:hAnsi="Palatino Linotype"/>
        </w:rPr>
        <w:t xml:space="preserve"> </w:t>
      </w:r>
    </w:p>
    <w:bookmarkEnd w:id="50"/>
    <w:p w14:paraId="145BBC3D" w14:textId="77777777" w:rsidR="00336DCE" w:rsidRPr="00922656" w:rsidRDefault="00336DCE" w:rsidP="00922656">
      <w:pPr>
        <w:spacing w:line="360" w:lineRule="auto"/>
        <w:rPr>
          <w:rFonts w:ascii="Palatino Linotype" w:eastAsia="MS Mincho" w:hAnsi="Palatino Linotype" w:cs="Arial"/>
          <w:color w:val="000000" w:themeColor="text1"/>
          <w:lang w:val="es-MX"/>
        </w:rPr>
      </w:pPr>
    </w:p>
    <w:p w14:paraId="1BD47971" w14:textId="77777777" w:rsidR="00336DCE" w:rsidRPr="00922656" w:rsidRDefault="00336DCE" w:rsidP="00922656">
      <w:pPr>
        <w:pStyle w:val="Ttulo1"/>
        <w:spacing w:line="360" w:lineRule="auto"/>
        <w:rPr>
          <w:rFonts w:ascii="Palatino Linotype" w:hAnsi="Palatino Linotype" w:cs="Times New Roman"/>
          <w:b/>
          <w:color w:val="000000" w:themeColor="text1"/>
          <w:sz w:val="24"/>
          <w:szCs w:val="24"/>
        </w:rPr>
      </w:pPr>
    </w:p>
    <w:p w14:paraId="4143A610" w14:textId="77777777" w:rsidR="00336DCE" w:rsidRPr="00922656" w:rsidRDefault="00336DCE" w:rsidP="00922656">
      <w:pPr>
        <w:pStyle w:val="Ttulo1"/>
        <w:spacing w:line="360" w:lineRule="auto"/>
        <w:rPr>
          <w:rFonts w:ascii="Palatino Linotype" w:hAnsi="Palatino Linotype" w:cs="Times New Roman"/>
          <w:b/>
          <w:color w:val="000000" w:themeColor="text1"/>
          <w:sz w:val="24"/>
          <w:szCs w:val="24"/>
        </w:rPr>
      </w:pPr>
    </w:p>
    <w:p w14:paraId="7B7439FD" w14:textId="77777777" w:rsidR="00674B40" w:rsidRPr="00922656" w:rsidRDefault="00674B40" w:rsidP="00922656">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51" w:name="_Toc459174366"/>
      <w:bookmarkStart w:id="52" w:name="_Toc459659884"/>
      <w:bookmarkStart w:id="53" w:name="_Toc461687280"/>
      <w:bookmarkStart w:id="54" w:name="_Toc462771051"/>
      <w:bookmarkStart w:id="55" w:name="_Toc46413920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37D684A" w14:textId="77777777" w:rsidR="002F3CC1" w:rsidRPr="00922656" w:rsidRDefault="002F3CC1" w:rsidP="00922656">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74672769" w14:textId="77777777" w:rsidR="00A06807" w:rsidRPr="00922656" w:rsidRDefault="00A06807" w:rsidP="00922656">
      <w:pPr>
        <w:tabs>
          <w:tab w:val="left" w:pos="0"/>
          <w:tab w:val="left" w:pos="426"/>
        </w:tabs>
        <w:spacing w:before="240" w:after="240" w:line="360" w:lineRule="auto"/>
        <w:ind w:right="49"/>
        <w:contextualSpacing/>
        <w:jc w:val="both"/>
        <w:rPr>
          <w:rFonts w:ascii="Palatino Linotype" w:eastAsia="MS Mincho" w:hAnsi="Palatino Linotype" w:cs="Arial"/>
          <w:color w:val="000000"/>
          <w:lang w:val="es-ES_tradnl"/>
        </w:rPr>
      </w:pPr>
    </w:p>
    <w:bookmarkEnd w:id="51"/>
    <w:bookmarkEnd w:id="52"/>
    <w:bookmarkEnd w:id="53"/>
    <w:bookmarkEnd w:id="54"/>
    <w:bookmarkEnd w:id="55"/>
    <w:p w14:paraId="4453F8E6" w14:textId="0CDC3D99" w:rsidR="00090DE6" w:rsidRPr="00922656" w:rsidRDefault="00090DE6" w:rsidP="00922656">
      <w:pPr>
        <w:spacing w:before="240" w:after="240" w:line="360" w:lineRule="auto"/>
        <w:ind w:firstLine="1"/>
        <w:jc w:val="both"/>
        <w:rPr>
          <w:rFonts w:ascii="Palatino Linotype" w:hAnsi="Palatino Linotype"/>
          <w:lang w:val="es-ES_tradnl"/>
        </w:rPr>
      </w:pPr>
    </w:p>
    <w:sectPr w:rsidR="00090DE6" w:rsidRPr="00922656"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8B441" w14:textId="77777777" w:rsidR="004331DC" w:rsidRDefault="004331DC" w:rsidP="00C80F8C">
      <w:r>
        <w:separator/>
      </w:r>
    </w:p>
  </w:endnote>
  <w:endnote w:type="continuationSeparator" w:id="0">
    <w:p w14:paraId="45EC49D0" w14:textId="77777777" w:rsidR="004331DC" w:rsidRDefault="004331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BB71D5B" w:rsidR="00963CF3" w:rsidRPr="00817AAB" w:rsidRDefault="00963CF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427C9">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427C9">
      <w:rPr>
        <w:rFonts w:ascii="Palatino Linotype" w:hAnsi="Palatino Linotype" w:cs="Arial"/>
        <w:b/>
        <w:bCs/>
        <w:noProof/>
      </w:rPr>
      <w:t>28</w:t>
    </w:r>
    <w:r w:rsidRPr="00817AAB">
      <w:rPr>
        <w:rFonts w:ascii="Palatino Linotype" w:hAnsi="Palatino Linotype" w:cs="Arial"/>
        <w:b/>
        <w:bCs/>
      </w:rPr>
      <w:fldChar w:fldCharType="end"/>
    </w:r>
  </w:p>
  <w:p w14:paraId="1192A578" w14:textId="77777777" w:rsidR="00963CF3" w:rsidRDefault="00963CF3" w:rsidP="00935A0D">
    <w:pPr>
      <w:pStyle w:val="Piedepgina"/>
      <w:rPr>
        <w:rFonts w:ascii="Times New Roman" w:hAnsi="Times New Roman" w:cs="Times New Roman"/>
      </w:rPr>
    </w:pPr>
  </w:p>
  <w:p w14:paraId="14A770F8" w14:textId="77777777" w:rsidR="00963CF3" w:rsidRDefault="00963CF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EC59532" w:rsidR="00963CF3" w:rsidRDefault="00963CF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B6E8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B6E89">
      <w:rPr>
        <w:rFonts w:ascii="Arial" w:hAnsi="Arial" w:cs="Arial"/>
        <w:b/>
        <w:bCs/>
        <w:noProof/>
        <w:sz w:val="20"/>
        <w:szCs w:val="20"/>
      </w:rPr>
      <w:t>28</w:t>
    </w:r>
    <w:r>
      <w:rPr>
        <w:rFonts w:ascii="Arial" w:hAnsi="Arial" w:cs="Arial"/>
        <w:b/>
        <w:bCs/>
        <w:sz w:val="20"/>
        <w:szCs w:val="20"/>
      </w:rPr>
      <w:fldChar w:fldCharType="end"/>
    </w:r>
  </w:p>
  <w:p w14:paraId="5D98ABD5" w14:textId="77777777" w:rsidR="00963CF3" w:rsidRDefault="00963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EC0B1" w14:textId="77777777" w:rsidR="004331DC" w:rsidRDefault="004331DC" w:rsidP="00C80F8C">
      <w:r>
        <w:separator/>
      </w:r>
    </w:p>
  </w:footnote>
  <w:footnote w:type="continuationSeparator" w:id="0">
    <w:p w14:paraId="6BE26F01" w14:textId="77777777" w:rsidR="004331DC" w:rsidRDefault="004331DC" w:rsidP="00C80F8C">
      <w:r>
        <w:continuationSeparator/>
      </w:r>
    </w:p>
  </w:footnote>
  <w:footnote w:id="1">
    <w:p w14:paraId="41713D92" w14:textId="77777777" w:rsidR="00963CF3" w:rsidRDefault="00963CF3" w:rsidP="00336DCE">
      <w:pPr>
        <w:pStyle w:val="Textonotapie"/>
        <w:rPr>
          <w:rFonts w:ascii="Cambria" w:hAnsi="Cambria" w:cs="Times New Roman"/>
        </w:rPr>
      </w:pPr>
      <w:r>
        <w:rPr>
          <w:rStyle w:val="Refdenotaalpie"/>
        </w:rPr>
        <w:footnoteRef/>
      </w:r>
      <w:r>
        <w:t xml:space="preserve"> Convención Americana sobre Derechos Humanos. Artículo 13.</w:t>
      </w:r>
    </w:p>
  </w:footnote>
  <w:footnote w:id="2">
    <w:p w14:paraId="3053EC32" w14:textId="77777777" w:rsidR="00963CF3" w:rsidRDefault="00963CF3" w:rsidP="00336DCE">
      <w:pPr>
        <w:pStyle w:val="Textonotapie"/>
      </w:pPr>
      <w:r>
        <w:rPr>
          <w:rStyle w:val="Refdenotaalpie"/>
        </w:rPr>
        <w:footnoteRef/>
      </w:r>
      <w:r>
        <w:t xml:space="preserve"> Constitución Política de los Estados Unidos Mexicanos. Artículo sexto, sección A, fracción I.</w:t>
      </w:r>
    </w:p>
  </w:footnote>
  <w:footnote w:id="3">
    <w:p w14:paraId="1E99120F" w14:textId="77777777" w:rsidR="00963CF3" w:rsidRDefault="00963CF3" w:rsidP="00336D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567F65" w14:textId="77777777" w:rsidR="00963CF3" w:rsidRDefault="00963CF3" w:rsidP="00336DCE">
      <w:pPr>
        <w:pStyle w:val="Textonotapie"/>
      </w:pPr>
      <w:r>
        <w:rPr>
          <w:rStyle w:val="Refdenotaalpie"/>
        </w:rPr>
        <w:footnoteRef/>
      </w:r>
      <w:r>
        <w:t xml:space="preserve"> Ibídem. Parr. 87.</w:t>
      </w:r>
    </w:p>
  </w:footnote>
  <w:footnote w:id="5">
    <w:p w14:paraId="1E623D81" w14:textId="77777777" w:rsidR="00963CF3" w:rsidRDefault="00963CF3" w:rsidP="00336DCE">
      <w:pPr>
        <w:pStyle w:val="Textonotapie"/>
        <w:jc w:val="both"/>
      </w:pPr>
      <w:r>
        <w:rPr>
          <w:rStyle w:val="Refdenotaalpie"/>
        </w:rPr>
        <w:footnoteRef/>
      </w:r>
      <w:r>
        <w:t xml:space="preserve"> Artículo 9. El Instituto deberá regir su funcionamiento de acuerdo a los siguientes principios:</w:t>
      </w:r>
    </w:p>
    <w:p w14:paraId="39DE426C" w14:textId="77777777" w:rsidR="00963CF3" w:rsidRDefault="00963CF3" w:rsidP="00336DCE">
      <w:pPr>
        <w:pStyle w:val="Textonotapie"/>
        <w:jc w:val="both"/>
      </w:pPr>
      <w:r>
        <w:t>I. Certeza: Principio que otorga seguridad y certidumbre jurídica a los particulares, en virtud de que</w:t>
      </w:r>
    </w:p>
    <w:p w14:paraId="1EA70ACB" w14:textId="77777777" w:rsidR="00963CF3" w:rsidRDefault="00963CF3" w:rsidP="00336DCE">
      <w:pPr>
        <w:pStyle w:val="Textonotapie"/>
        <w:jc w:val="both"/>
      </w:pPr>
      <w:r>
        <w:t>permite conocer si las acciones del Instituto son apegadas a derecho y garantiza que los</w:t>
      </w:r>
    </w:p>
    <w:p w14:paraId="0955D442" w14:textId="77777777" w:rsidR="00963CF3" w:rsidRDefault="00963CF3" w:rsidP="00336DCE">
      <w:pPr>
        <w:pStyle w:val="Textonotapie"/>
        <w:jc w:val="both"/>
      </w:pPr>
      <w:r>
        <w:t>procedimientos sean completamente verificables, fidedignos y confiables;</w:t>
      </w:r>
    </w:p>
    <w:p w14:paraId="3CBC9888" w14:textId="77777777" w:rsidR="00963CF3" w:rsidRDefault="00963CF3" w:rsidP="00336DCE">
      <w:pPr>
        <w:pStyle w:val="Textonotapie"/>
        <w:jc w:val="both"/>
      </w:pPr>
      <w:r>
        <w:t>II. Eficacia: Obligación del Instituto para tutelar, de manera efectiva, el derecho de acceso a la</w:t>
      </w:r>
    </w:p>
    <w:p w14:paraId="2A3467DC" w14:textId="77777777" w:rsidR="00963CF3" w:rsidRDefault="00963CF3" w:rsidP="00336DCE">
      <w:pPr>
        <w:pStyle w:val="Textonotapie"/>
        <w:jc w:val="both"/>
      </w:pPr>
      <w:r>
        <w:t>información;</w:t>
      </w:r>
    </w:p>
    <w:p w14:paraId="37811D38" w14:textId="77777777" w:rsidR="00963CF3" w:rsidRDefault="00963CF3" w:rsidP="00336DCE">
      <w:pPr>
        <w:pStyle w:val="Textonotapie"/>
        <w:jc w:val="both"/>
      </w:pPr>
      <w:r>
        <w:t>III. Gratuidad: Consiste en que el acceso a la información pública no genera costo alguno para los</w:t>
      </w:r>
    </w:p>
    <w:p w14:paraId="6F4AACF5" w14:textId="77777777" w:rsidR="00963CF3" w:rsidRDefault="00963CF3" w:rsidP="00336DCE">
      <w:pPr>
        <w:pStyle w:val="Textonotapie"/>
        <w:jc w:val="both"/>
      </w:pPr>
      <w:r>
        <w:t>solicitantes, sólo podrá requerirse el cobro correspondiente a la modalidad de reproducción y entrega</w:t>
      </w:r>
    </w:p>
    <w:p w14:paraId="1EDA1503" w14:textId="77777777" w:rsidR="00963CF3" w:rsidRDefault="00963CF3" w:rsidP="00336DCE">
      <w:pPr>
        <w:pStyle w:val="Textonotapie"/>
        <w:jc w:val="both"/>
      </w:pPr>
      <w:r>
        <w:t>solicitada conforme a lo establecido en la presente Ley y demás disposiciones jurídicas aplicables;</w:t>
      </w:r>
    </w:p>
    <w:p w14:paraId="2F64DE0C" w14:textId="77777777" w:rsidR="00963CF3" w:rsidRDefault="00963CF3" w:rsidP="00336DCE">
      <w:pPr>
        <w:pStyle w:val="Textonotapie"/>
        <w:jc w:val="both"/>
      </w:pPr>
      <w:r>
        <w:t>IV. Imparcialidad: Cualidad que debe tener el Instituto respecto de sus actuaciones de ser ajenos o</w:t>
      </w:r>
    </w:p>
    <w:p w14:paraId="4BA7308D" w14:textId="77777777" w:rsidR="00963CF3" w:rsidRDefault="00963CF3" w:rsidP="00336DCE">
      <w:pPr>
        <w:pStyle w:val="Textonotapie"/>
        <w:jc w:val="both"/>
      </w:pPr>
      <w:r>
        <w:t>extraños a los intereses de las partes en controversia y resolver sin favorecer indebidamente a ninguna</w:t>
      </w:r>
    </w:p>
    <w:p w14:paraId="67FE61EB" w14:textId="77777777" w:rsidR="00963CF3" w:rsidRDefault="00963CF3" w:rsidP="00336DCE">
      <w:pPr>
        <w:pStyle w:val="Textonotapie"/>
        <w:jc w:val="both"/>
      </w:pPr>
      <w:r>
        <w:t>de ellas;</w:t>
      </w:r>
    </w:p>
    <w:p w14:paraId="24FF6644" w14:textId="77777777" w:rsidR="00963CF3" w:rsidRDefault="00963CF3" w:rsidP="00336DCE">
      <w:pPr>
        <w:pStyle w:val="Textonotapie"/>
        <w:jc w:val="both"/>
      </w:pPr>
      <w:r>
        <w:t>V. Independencia: Cualidad que debe tener el Instituto para actuar sin supeditarse a interés,</w:t>
      </w:r>
    </w:p>
    <w:p w14:paraId="7502F5C6" w14:textId="77777777" w:rsidR="00963CF3" w:rsidRDefault="00963CF3" w:rsidP="00336DCE">
      <w:pPr>
        <w:pStyle w:val="Textonotapie"/>
        <w:jc w:val="both"/>
      </w:pPr>
      <w:r>
        <w:t>autoridad o persona alguna;</w:t>
      </w:r>
    </w:p>
    <w:p w14:paraId="0D9B9A2E" w14:textId="77777777" w:rsidR="00963CF3" w:rsidRDefault="00963CF3" w:rsidP="00336DCE">
      <w:pPr>
        <w:pStyle w:val="Textonotapie"/>
        <w:jc w:val="both"/>
      </w:pPr>
      <w:r>
        <w:t xml:space="preserve">VI. Legalidad: Obligación del Instituto de ajustar su actuación, que funde y motive sus resoluciones y </w:t>
      </w:r>
      <w:r>
        <w:rPr>
          <w:lang w:val="es-ES"/>
        </w:rPr>
        <w:t>actos en las normas aplicables;</w:t>
      </w:r>
    </w:p>
    <w:p w14:paraId="257683E5" w14:textId="77777777" w:rsidR="00963CF3" w:rsidRDefault="00963CF3" w:rsidP="00336DCE">
      <w:pPr>
        <w:pStyle w:val="Textonotapie"/>
        <w:jc w:val="both"/>
        <w:rPr>
          <w:lang w:val="es-ES"/>
        </w:rPr>
      </w:pPr>
      <w:r>
        <w:rPr>
          <w:lang w:val="es-ES"/>
        </w:rPr>
        <w:t>VII. Máxima Publicidad: Toda la información en posesión de los sujetos obligados será pública,</w:t>
      </w:r>
    </w:p>
    <w:p w14:paraId="4EAEAFF9" w14:textId="77777777" w:rsidR="00963CF3" w:rsidRDefault="00963CF3" w:rsidP="00336DCE">
      <w:pPr>
        <w:pStyle w:val="Textonotapie"/>
        <w:jc w:val="both"/>
        <w:rPr>
          <w:lang w:val="es-ES"/>
        </w:rPr>
      </w:pPr>
      <w:r>
        <w:rPr>
          <w:lang w:val="es-ES"/>
        </w:rPr>
        <w:t>completa, oportuna y accesible, sujeta a un claro régimen de excepciones que deberán estar definidas y</w:t>
      </w:r>
    </w:p>
    <w:p w14:paraId="1EA1BDBF" w14:textId="77777777" w:rsidR="00963CF3" w:rsidRDefault="00963CF3" w:rsidP="00336DCE">
      <w:pPr>
        <w:pStyle w:val="Textonotapie"/>
        <w:jc w:val="both"/>
        <w:rPr>
          <w:lang w:val="es-ES"/>
        </w:rPr>
      </w:pPr>
      <w:r>
        <w:rPr>
          <w:lang w:val="es-ES"/>
        </w:rPr>
        <w:t>ser además legítimas y estrictamente necesarias en una sociedad democrática;</w:t>
      </w:r>
    </w:p>
    <w:p w14:paraId="3DF91D81" w14:textId="77777777" w:rsidR="00963CF3" w:rsidRDefault="00963CF3" w:rsidP="00336DCE">
      <w:pPr>
        <w:pStyle w:val="Textonotapie"/>
        <w:jc w:val="both"/>
        <w:rPr>
          <w:lang w:val="es-ES"/>
        </w:rPr>
      </w:pPr>
      <w:r>
        <w:rPr>
          <w:lang w:val="es-ES"/>
        </w:rPr>
        <w:t>VIII. Objetividad: Obligación del Instituto de ajustar su actuación a los presupuestos de ley que deben</w:t>
      </w:r>
    </w:p>
    <w:p w14:paraId="18EDC4E4" w14:textId="77777777" w:rsidR="00963CF3" w:rsidRDefault="00963CF3" w:rsidP="00336DCE">
      <w:pPr>
        <w:pStyle w:val="Textonotapie"/>
        <w:jc w:val="both"/>
        <w:rPr>
          <w:lang w:val="es-ES"/>
        </w:rPr>
      </w:pPr>
      <w:r>
        <w:rPr>
          <w:lang w:val="es-ES"/>
        </w:rPr>
        <w:t>ser aplicados al analizar el caso en concreto y resolver todos los hechos, prescindiendo de las</w:t>
      </w:r>
    </w:p>
    <w:p w14:paraId="74A72F4C" w14:textId="77777777" w:rsidR="00963CF3" w:rsidRDefault="00963CF3" w:rsidP="00336DCE">
      <w:pPr>
        <w:pStyle w:val="Textonotapie"/>
        <w:jc w:val="both"/>
        <w:rPr>
          <w:lang w:val="es-ES"/>
        </w:rPr>
      </w:pPr>
      <w:r>
        <w:rPr>
          <w:lang w:val="es-ES"/>
        </w:rPr>
        <w:t>consideraciones y criterios personales;</w:t>
      </w:r>
    </w:p>
    <w:p w14:paraId="4CCE79F5" w14:textId="77777777" w:rsidR="00963CF3" w:rsidRDefault="00963CF3" w:rsidP="00336DCE">
      <w:pPr>
        <w:pStyle w:val="Textonotapie"/>
        <w:jc w:val="both"/>
        <w:rPr>
          <w:lang w:val="es-ES"/>
        </w:rPr>
      </w:pPr>
      <w:r>
        <w:rPr>
          <w:lang w:val="es-ES"/>
        </w:rPr>
        <w:t>IX. Profesionalismo: Los servidores públicos que laboren en el Instituto deberán sujetar su actuación</w:t>
      </w:r>
    </w:p>
    <w:p w14:paraId="282995E1" w14:textId="77777777" w:rsidR="00963CF3" w:rsidRDefault="00963CF3" w:rsidP="00336DCE">
      <w:pPr>
        <w:pStyle w:val="Textonotapie"/>
        <w:jc w:val="both"/>
        <w:rPr>
          <w:lang w:val="es-ES"/>
        </w:rPr>
      </w:pPr>
      <w:r>
        <w:rPr>
          <w:lang w:val="es-ES"/>
        </w:rPr>
        <w:t>a conocimientos técnicos, teóricos y metodológicos que garanticen un desempeño eficiente y eficaz en el ejercicio de la función pública que tienen encomendada; y</w:t>
      </w:r>
    </w:p>
    <w:p w14:paraId="5E67A577" w14:textId="77777777" w:rsidR="00963CF3" w:rsidRDefault="00963CF3" w:rsidP="00336DCE">
      <w:pPr>
        <w:pStyle w:val="Textonotapie"/>
        <w:jc w:val="both"/>
        <w:rPr>
          <w:lang w:val="es-ES"/>
        </w:rPr>
      </w:pPr>
      <w:r>
        <w:rPr>
          <w:lang w:val="es-ES"/>
        </w:rPr>
        <w:t>X. Transparencia: Obligación del Instituto de dar publicidad a las deliberaciones y actos relacionados</w:t>
      </w:r>
    </w:p>
    <w:p w14:paraId="4943A012" w14:textId="77777777" w:rsidR="00963CF3" w:rsidRDefault="00963CF3" w:rsidP="00336DCE">
      <w:pPr>
        <w:pStyle w:val="Textonotapie"/>
        <w:jc w:val="both"/>
        <w:rPr>
          <w:lang w:val="es-ES"/>
        </w:rPr>
      </w:pPr>
      <w:r>
        <w:rPr>
          <w:lang w:val="es-ES"/>
        </w:rPr>
        <w:t>con sus atribuciones así como dar acceso a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63CF3" w14:paraId="6B4E3B81" w14:textId="77777777" w:rsidTr="00B4299A">
      <w:tc>
        <w:tcPr>
          <w:tcW w:w="2701" w:type="dxa"/>
          <w:vAlign w:val="center"/>
          <w:hideMark/>
        </w:tcPr>
        <w:p w14:paraId="0ABBC6C0" w14:textId="1226DAAF" w:rsidR="00963CF3" w:rsidRPr="00B4299A" w:rsidRDefault="00963CF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C3F8D52" w:rsidR="00963CF3" w:rsidRPr="00B4299A" w:rsidRDefault="00922656" w:rsidP="00922656">
          <w:pPr>
            <w:rPr>
              <w:rFonts w:ascii="Palatino Linotype" w:hAnsi="Palatino Linotype"/>
              <w:b/>
              <w:szCs w:val="22"/>
              <w:lang w:val="es-ES_tradnl"/>
            </w:rPr>
          </w:pPr>
          <w:r w:rsidRPr="00922656">
            <w:rPr>
              <w:rFonts w:ascii="Palatino Linotype" w:hAnsi="Palatino Linotype"/>
              <w:b/>
              <w:szCs w:val="22"/>
              <w:lang w:val="es-ES_tradnl"/>
            </w:rPr>
            <w:t>00568/INFOEM/IP/RR/2023</w:t>
          </w:r>
        </w:p>
      </w:tc>
    </w:tr>
    <w:tr w:rsidR="00963CF3" w14:paraId="31CB780F" w14:textId="77777777" w:rsidTr="00B4299A">
      <w:trPr>
        <w:trHeight w:val="228"/>
      </w:trPr>
      <w:tc>
        <w:tcPr>
          <w:tcW w:w="2701" w:type="dxa"/>
          <w:vAlign w:val="center"/>
          <w:hideMark/>
        </w:tcPr>
        <w:p w14:paraId="4F49CB4A" w14:textId="6966D32E" w:rsidR="00963CF3" w:rsidRPr="00B4299A" w:rsidRDefault="00963CF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E8009AD" w:rsidR="00963CF3" w:rsidRPr="00B4299A" w:rsidRDefault="00922656" w:rsidP="0018582E">
          <w:pPr>
            <w:jc w:val="both"/>
            <w:rPr>
              <w:rFonts w:ascii="Palatino Linotype" w:hAnsi="Palatino Linotype"/>
              <w:b/>
              <w:szCs w:val="22"/>
              <w:lang w:val="es-ES_tradnl"/>
            </w:rPr>
          </w:pPr>
          <w:r w:rsidRPr="00922656">
            <w:rPr>
              <w:rFonts w:ascii="Palatino Linotype" w:hAnsi="Palatino Linotype"/>
              <w:b/>
              <w:szCs w:val="22"/>
              <w:lang w:val="es-ES_tradnl"/>
            </w:rPr>
            <w:t>Instituto de Salud del Estado de México</w:t>
          </w:r>
        </w:p>
      </w:tc>
    </w:tr>
    <w:tr w:rsidR="00963CF3" w14:paraId="69050F56" w14:textId="77777777" w:rsidTr="00B4299A">
      <w:tc>
        <w:tcPr>
          <w:tcW w:w="2701" w:type="dxa"/>
          <w:vAlign w:val="center"/>
          <w:hideMark/>
        </w:tcPr>
        <w:p w14:paraId="65C9B735" w14:textId="75C78F81" w:rsidR="00963CF3" w:rsidRPr="00B4299A" w:rsidRDefault="00963CF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63CF3" w:rsidRPr="00B4299A" w:rsidRDefault="00963CF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963CF3" w:rsidRDefault="00963CF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63CF3" w:rsidRDefault="00963CF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63CF3" w:rsidRDefault="00963CF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63CF3" w14:paraId="477E149B" w14:textId="77777777" w:rsidTr="00CB57FD">
      <w:trPr>
        <w:trHeight w:val="277"/>
      </w:trPr>
      <w:tc>
        <w:tcPr>
          <w:tcW w:w="2693" w:type="dxa"/>
          <w:vAlign w:val="center"/>
          <w:hideMark/>
        </w:tcPr>
        <w:p w14:paraId="5C0586E4" w14:textId="77777777" w:rsidR="00963CF3" w:rsidRPr="009B3353" w:rsidRDefault="00963CF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17E2C7C" w:rsidR="00963CF3" w:rsidRPr="0072522F" w:rsidRDefault="00963CF3" w:rsidP="0018582E">
          <w:pPr>
            <w:rPr>
              <w:rFonts w:ascii="Palatino Linotype" w:hAnsi="Palatino Linotype"/>
              <w:b/>
              <w:bCs/>
              <w:szCs w:val="22"/>
            </w:rPr>
          </w:pPr>
          <w:r w:rsidRPr="0065045C">
            <w:rPr>
              <w:rFonts w:ascii="Palatino Linotype" w:hAnsi="Palatino Linotype"/>
              <w:b/>
              <w:bCs/>
              <w:szCs w:val="22"/>
            </w:rPr>
            <w:t>00568/INFOEM/IP/RR/2023</w:t>
          </w:r>
        </w:p>
      </w:tc>
    </w:tr>
    <w:tr w:rsidR="00963CF3" w14:paraId="5B5BE21C" w14:textId="77777777" w:rsidTr="00CB57FD">
      <w:tc>
        <w:tcPr>
          <w:tcW w:w="2693" w:type="dxa"/>
          <w:vAlign w:val="center"/>
          <w:hideMark/>
        </w:tcPr>
        <w:p w14:paraId="4AE96902" w14:textId="4E063913" w:rsidR="00963CF3" w:rsidRPr="009B3353" w:rsidRDefault="00963CF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EF855F1" w:rsidR="00963CF3" w:rsidRPr="009B3353" w:rsidRDefault="00CB6E89" w:rsidP="002B7BCC">
          <w:pPr>
            <w:rPr>
              <w:rFonts w:ascii="Palatino Linotype" w:hAnsi="Palatino Linotype"/>
              <w:b/>
              <w:szCs w:val="22"/>
              <w:lang w:val="es-ES_tradnl"/>
            </w:rPr>
          </w:pPr>
          <w:r>
            <w:rPr>
              <w:rFonts w:ascii="Palatino Linotype" w:hAnsi="Palatino Linotype"/>
              <w:b/>
              <w:szCs w:val="22"/>
              <w:lang w:val="es-ES_tradnl"/>
            </w:rPr>
            <w:t>XXXXXXXXX</w:t>
          </w:r>
        </w:p>
      </w:tc>
    </w:tr>
    <w:tr w:rsidR="00963CF3" w14:paraId="22601A11" w14:textId="77777777" w:rsidTr="00CB57FD">
      <w:trPr>
        <w:trHeight w:val="228"/>
      </w:trPr>
      <w:tc>
        <w:tcPr>
          <w:tcW w:w="2693" w:type="dxa"/>
          <w:vAlign w:val="center"/>
          <w:hideMark/>
        </w:tcPr>
        <w:p w14:paraId="6EFE221D" w14:textId="49C5F800" w:rsidR="00963CF3" w:rsidRPr="009B3353" w:rsidRDefault="00963CF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2DB0321" w:rsidR="00963CF3" w:rsidRPr="009B3353" w:rsidRDefault="00963CF3" w:rsidP="0018582E">
          <w:pPr>
            <w:jc w:val="both"/>
            <w:rPr>
              <w:rFonts w:ascii="Palatino Linotype" w:eastAsia="Calibri" w:hAnsi="Palatino Linotype"/>
              <w:b/>
              <w:szCs w:val="22"/>
              <w:lang w:val="es-MX" w:eastAsia="en-US"/>
            </w:rPr>
          </w:pPr>
          <w:r w:rsidRPr="0065045C">
            <w:rPr>
              <w:rFonts w:ascii="Palatino Linotype" w:eastAsia="Calibri" w:hAnsi="Palatino Linotype"/>
              <w:b/>
              <w:szCs w:val="22"/>
              <w:lang w:val="es-MX" w:eastAsia="en-US"/>
            </w:rPr>
            <w:t>Instituto de Salud del Estado de México</w:t>
          </w:r>
        </w:p>
      </w:tc>
    </w:tr>
    <w:tr w:rsidR="00963CF3" w14:paraId="2D6C630E" w14:textId="77777777" w:rsidTr="00CB57FD">
      <w:tc>
        <w:tcPr>
          <w:tcW w:w="2693" w:type="dxa"/>
          <w:vAlign w:val="center"/>
          <w:hideMark/>
        </w:tcPr>
        <w:p w14:paraId="5BD4C6DB" w14:textId="7CF21504" w:rsidR="00963CF3" w:rsidRPr="009B3353" w:rsidRDefault="00963CF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63CF3" w:rsidRPr="009B3353" w:rsidRDefault="00963CF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63CF3" w:rsidRDefault="00963CF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B6727"/>
    <w:multiLevelType w:val="hybridMultilevel"/>
    <w:tmpl w:val="A2D408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4C4D60D9"/>
    <w:multiLevelType w:val="hybridMultilevel"/>
    <w:tmpl w:val="A4560F1A"/>
    <w:lvl w:ilvl="0" w:tplc="F1D28EE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3204EE"/>
    <w:multiLevelType w:val="hybridMultilevel"/>
    <w:tmpl w:val="E476079C"/>
    <w:lvl w:ilvl="0" w:tplc="AAE0F64C">
      <w:start w:val="1"/>
      <w:numFmt w:val="decimal"/>
      <w:lvlText w:val="%1."/>
      <w:lvlJc w:val="left"/>
      <w:pPr>
        <w:ind w:left="786"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09B"/>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E52"/>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4DE"/>
    <w:rsid w:val="00126994"/>
    <w:rsid w:val="00126F04"/>
    <w:rsid w:val="00127CCA"/>
    <w:rsid w:val="00130642"/>
    <w:rsid w:val="001306E4"/>
    <w:rsid w:val="00130AA5"/>
    <w:rsid w:val="00130BA7"/>
    <w:rsid w:val="00135D98"/>
    <w:rsid w:val="00136083"/>
    <w:rsid w:val="001362C2"/>
    <w:rsid w:val="00137771"/>
    <w:rsid w:val="00137C1F"/>
    <w:rsid w:val="00141F78"/>
    <w:rsid w:val="00143012"/>
    <w:rsid w:val="00143967"/>
    <w:rsid w:val="001445AB"/>
    <w:rsid w:val="0014506E"/>
    <w:rsid w:val="00147E1D"/>
    <w:rsid w:val="00150789"/>
    <w:rsid w:val="00150C0D"/>
    <w:rsid w:val="0015187C"/>
    <w:rsid w:val="00151A0D"/>
    <w:rsid w:val="00151D19"/>
    <w:rsid w:val="00152866"/>
    <w:rsid w:val="00152C91"/>
    <w:rsid w:val="0015311F"/>
    <w:rsid w:val="0015332B"/>
    <w:rsid w:val="001539B3"/>
    <w:rsid w:val="00153F8E"/>
    <w:rsid w:val="001543BC"/>
    <w:rsid w:val="0015502B"/>
    <w:rsid w:val="0015554A"/>
    <w:rsid w:val="0015575F"/>
    <w:rsid w:val="00155BCB"/>
    <w:rsid w:val="00156607"/>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582E"/>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AA2"/>
    <w:rsid w:val="001F174A"/>
    <w:rsid w:val="001F1B46"/>
    <w:rsid w:val="001F1F7D"/>
    <w:rsid w:val="001F20AB"/>
    <w:rsid w:val="001F21C4"/>
    <w:rsid w:val="001F2CA8"/>
    <w:rsid w:val="001F41FB"/>
    <w:rsid w:val="001F465A"/>
    <w:rsid w:val="001F4E10"/>
    <w:rsid w:val="001F501F"/>
    <w:rsid w:val="001F6D50"/>
    <w:rsid w:val="001F7214"/>
    <w:rsid w:val="0020054B"/>
    <w:rsid w:val="00201E21"/>
    <w:rsid w:val="00203E4E"/>
    <w:rsid w:val="00204C2A"/>
    <w:rsid w:val="00205361"/>
    <w:rsid w:val="00205ADF"/>
    <w:rsid w:val="002066DF"/>
    <w:rsid w:val="002070E6"/>
    <w:rsid w:val="00211BF5"/>
    <w:rsid w:val="00212FE4"/>
    <w:rsid w:val="00213228"/>
    <w:rsid w:val="0021442C"/>
    <w:rsid w:val="002155B0"/>
    <w:rsid w:val="002158CB"/>
    <w:rsid w:val="00215922"/>
    <w:rsid w:val="002162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3553"/>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126F"/>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6DCE"/>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5D9F"/>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1CC4"/>
    <w:rsid w:val="00392E2B"/>
    <w:rsid w:val="00397B01"/>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1A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43A"/>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1DC"/>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632C"/>
    <w:rsid w:val="004E74B5"/>
    <w:rsid w:val="004F0684"/>
    <w:rsid w:val="004F0A75"/>
    <w:rsid w:val="004F1841"/>
    <w:rsid w:val="004F227C"/>
    <w:rsid w:val="004F2CC0"/>
    <w:rsid w:val="004F3B64"/>
    <w:rsid w:val="004F5243"/>
    <w:rsid w:val="004F64AD"/>
    <w:rsid w:val="004F759E"/>
    <w:rsid w:val="004F7AC2"/>
    <w:rsid w:val="00501721"/>
    <w:rsid w:val="00503053"/>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9F6"/>
    <w:rsid w:val="00541C7E"/>
    <w:rsid w:val="00542386"/>
    <w:rsid w:val="00542D8A"/>
    <w:rsid w:val="00543427"/>
    <w:rsid w:val="00543BF9"/>
    <w:rsid w:val="00544117"/>
    <w:rsid w:val="00544E0A"/>
    <w:rsid w:val="0054561B"/>
    <w:rsid w:val="00550CA5"/>
    <w:rsid w:val="00551BA4"/>
    <w:rsid w:val="00552D59"/>
    <w:rsid w:val="00553835"/>
    <w:rsid w:val="00555349"/>
    <w:rsid w:val="005553D7"/>
    <w:rsid w:val="00555595"/>
    <w:rsid w:val="005556E4"/>
    <w:rsid w:val="0055597D"/>
    <w:rsid w:val="005563DC"/>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00C3"/>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45C"/>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4B40"/>
    <w:rsid w:val="00675974"/>
    <w:rsid w:val="00675D2C"/>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5A58"/>
    <w:rsid w:val="006A737B"/>
    <w:rsid w:val="006A77F3"/>
    <w:rsid w:val="006A7829"/>
    <w:rsid w:val="006A7D53"/>
    <w:rsid w:val="006B158B"/>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AC2"/>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27C9"/>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11E"/>
    <w:rsid w:val="00764B6A"/>
    <w:rsid w:val="00766A3B"/>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1A9"/>
    <w:rsid w:val="00773601"/>
    <w:rsid w:val="007738EC"/>
    <w:rsid w:val="00773EA1"/>
    <w:rsid w:val="007753ED"/>
    <w:rsid w:val="00775414"/>
    <w:rsid w:val="00775CB2"/>
    <w:rsid w:val="0077600B"/>
    <w:rsid w:val="007760A5"/>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41A"/>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622"/>
    <w:rsid w:val="008F4C62"/>
    <w:rsid w:val="008F51A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2656"/>
    <w:rsid w:val="009233BF"/>
    <w:rsid w:val="00923433"/>
    <w:rsid w:val="00923961"/>
    <w:rsid w:val="009239BB"/>
    <w:rsid w:val="00923BD9"/>
    <w:rsid w:val="0092433B"/>
    <w:rsid w:val="00924969"/>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2D3"/>
    <w:rsid w:val="0096146C"/>
    <w:rsid w:val="00962E4E"/>
    <w:rsid w:val="00963CF3"/>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00F5"/>
    <w:rsid w:val="009815B6"/>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D63"/>
    <w:rsid w:val="009A6863"/>
    <w:rsid w:val="009A6A8A"/>
    <w:rsid w:val="009A78A9"/>
    <w:rsid w:val="009A78F0"/>
    <w:rsid w:val="009A7C52"/>
    <w:rsid w:val="009B02C7"/>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2CB8"/>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495"/>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1D1A"/>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FC8"/>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8C3"/>
    <w:rsid w:val="00B17A5B"/>
    <w:rsid w:val="00B21982"/>
    <w:rsid w:val="00B21F2B"/>
    <w:rsid w:val="00B22F9E"/>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C9F"/>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260"/>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3C30"/>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42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052"/>
    <w:rsid w:val="00E733A6"/>
    <w:rsid w:val="00E7373D"/>
    <w:rsid w:val="00E742B9"/>
    <w:rsid w:val="00E747D5"/>
    <w:rsid w:val="00E74EB3"/>
    <w:rsid w:val="00E75D14"/>
    <w:rsid w:val="00E8003A"/>
    <w:rsid w:val="00E805C5"/>
    <w:rsid w:val="00E8080E"/>
    <w:rsid w:val="00E808E4"/>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0D0"/>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2EC2"/>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4EC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243E"/>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27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577163">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5834867">
      <w:bodyDiv w:val="1"/>
      <w:marLeft w:val="0"/>
      <w:marRight w:val="0"/>
      <w:marTop w:val="0"/>
      <w:marBottom w:val="0"/>
      <w:divBdr>
        <w:top w:val="none" w:sz="0" w:space="0" w:color="auto"/>
        <w:left w:val="none" w:sz="0" w:space="0" w:color="auto"/>
        <w:bottom w:val="none" w:sz="0" w:space="0" w:color="auto"/>
        <w:right w:val="none" w:sz="0" w:space="0" w:color="auto"/>
      </w:divBdr>
    </w:div>
    <w:div w:id="36799582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0275974">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11286324">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5847381">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8267633">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7660117">
      <w:bodyDiv w:val="1"/>
      <w:marLeft w:val="0"/>
      <w:marRight w:val="0"/>
      <w:marTop w:val="0"/>
      <w:marBottom w:val="0"/>
      <w:divBdr>
        <w:top w:val="none" w:sz="0" w:space="0" w:color="auto"/>
        <w:left w:val="none" w:sz="0" w:space="0" w:color="auto"/>
        <w:bottom w:val="none" w:sz="0" w:space="0" w:color="auto"/>
        <w:right w:val="none" w:sz="0" w:space="0" w:color="auto"/>
      </w:divBdr>
    </w:div>
    <w:div w:id="101970137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4389932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641524">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9034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03933.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690340.page" TargetMode="External"/><Relationship Id="rId4" Type="http://schemas.openxmlformats.org/officeDocument/2006/relationships/settings" Target="settings.xml"/><Relationship Id="rId9" Type="http://schemas.openxmlformats.org/officeDocument/2006/relationships/hyperlink" Target="https://saimex.org.mx/saimex/solicitud/downloadAttach/150393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34E5-2817-44E0-BBAE-6D54DA51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5388</Words>
  <Characters>29635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2021-11-25T20:29:00Z</cp:lastPrinted>
  <dcterms:created xsi:type="dcterms:W3CDTF">2023-02-16T21:08:00Z</dcterms:created>
  <dcterms:modified xsi:type="dcterms:W3CDTF">2023-03-07T22:12:00Z</dcterms:modified>
</cp:coreProperties>
</file>