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C31" w:rsidRPr="00296E39" w:rsidRDefault="00D94118">
      <w:pPr>
        <w:spacing w:before="240" w:after="240" w:line="360" w:lineRule="auto"/>
        <w:jc w:val="both"/>
        <w:rPr>
          <w:rFonts w:ascii="Palatino Linotype" w:eastAsia="Palatino Linotype" w:hAnsi="Palatino Linotype" w:cs="Palatino Linotype"/>
        </w:rPr>
      </w:pPr>
      <w:bookmarkStart w:id="0" w:name="_GoBack"/>
      <w:bookmarkEnd w:id="0"/>
      <w:r w:rsidRPr="00296E3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dos de agosto de dos mil veintitrés. </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VISTO</w:t>
      </w:r>
      <w:r w:rsidRPr="00296E39">
        <w:rPr>
          <w:rFonts w:ascii="Palatino Linotype" w:eastAsia="Palatino Linotype" w:hAnsi="Palatino Linotype" w:cs="Palatino Linotype"/>
        </w:rPr>
        <w:t xml:space="preserve"> el expediente formado con motivo del recurso de revisión </w:t>
      </w:r>
      <w:r w:rsidRPr="00296E39">
        <w:rPr>
          <w:rFonts w:ascii="Palatino Linotype" w:eastAsia="Palatino Linotype" w:hAnsi="Palatino Linotype" w:cs="Palatino Linotype"/>
          <w:b/>
        </w:rPr>
        <w:t>01654/INFOEM/IP/RR/2023</w:t>
      </w:r>
      <w:r w:rsidRPr="00296E39">
        <w:rPr>
          <w:rFonts w:ascii="Palatino Linotype" w:eastAsia="Palatino Linotype" w:hAnsi="Palatino Linotype" w:cs="Palatino Linotype"/>
        </w:rPr>
        <w:t>, interpuesto por</w:t>
      </w:r>
      <w:r w:rsidRPr="00296E39">
        <w:rPr>
          <w:rFonts w:ascii="Palatino Linotype" w:eastAsia="Palatino Linotype" w:hAnsi="Palatino Linotype" w:cs="Palatino Linotype"/>
          <w:b/>
        </w:rPr>
        <w:t xml:space="preserve"> un particular que no proporcionó su nombre</w:t>
      </w:r>
      <w:r w:rsidRPr="00296E39">
        <w:rPr>
          <w:rFonts w:ascii="Palatino Linotype" w:eastAsia="Palatino Linotype" w:hAnsi="Palatino Linotype" w:cs="Palatino Linotype"/>
        </w:rPr>
        <w:t xml:space="preserve">, en lo sucesivo la parte </w:t>
      </w:r>
      <w:r w:rsidRPr="00296E39">
        <w:rPr>
          <w:rFonts w:ascii="Palatino Linotype" w:eastAsia="Palatino Linotype" w:hAnsi="Palatino Linotype" w:cs="Palatino Linotype"/>
          <w:b/>
        </w:rPr>
        <w:t>RECURRENTE,</w:t>
      </w:r>
      <w:r w:rsidRPr="00296E39">
        <w:rPr>
          <w:rFonts w:ascii="Palatino Linotype" w:eastAsia="Palatino Linotype" w:hAnsi="Palatino Linotype" w:cs="Palatino Linotype"/>
        </w:rPr>
        <w:t xml:space="preserve"> en contra de la respuesta a su solicitud de información con número de folio</w:t>
      </w:r>
      <w:r w:rsidRPr="00296E39">
        <w:rPr>
          <w:rFonts w:ascii="Palatino Linotype" w:eastAsia="Palatino Linotype" w:hAnsi="Palatino Linotype" w:cs="Palatino Linotype"/>
          <w:b/>
        </w:rPr>
        <w:t xml:space="preserve"> 00019/ALMOJU/IP/2023, </w:t>
      </w:r>
      <w:r w:rsidRPr="00296E39">
        <w:rPr>
          <w:rFonts w:ascii="Palatino Linotype" w:eastAsia="Palatino Linotype" w:hAnsi="Palatino Linotype" w:cs="Palatino Linotype"/>
        </w:rPr>
        <w:t xml:space="preserve">por parte del </w:t>
      </w:r>
      <w:r w:rsidRPr="00296E39">
        <w:rPr>
          <w:rFonts w:ascii="Palatino Linotype" w:eastAsia="Palatino Linotype" w:hAnsi="Palatino Linotype" w:cs="Palatino Linotype"/>
          <w:b/>
        </w:rPr>
        <w:t xml:space="preserve">Ayuntamiento de Almoloya de Juárez, </w:t>
      </w:r>
      <w:r w:rsidRPr="00296E39">
        <w:rPr>
          <w:rFonts w:ascii="Palatino Linotype" w:eastAsia="Palatino Linotype" w:hAnsi="Palatino Linotype" w:cs="Palatino Linotype"/>
        </w:rPr>
        <w:t xml:space="preserve">en lo sucesivo el </w:t>
      </w:r>
      <w:r w:rsidRPr="00296E39">
        <w:rPr>
          <w:rFonts w:ascii="Palatino Linotype" w:eastAsia="Palatino Linotype" w:hAnsi="Palatino Linotype" w:cs="Palatino Linotype"/>
          <w:b/>
        </w:rPr>
        <w:t xml:space="preserve">SUJETO OBLIGADO, </w:t>
      </w:r>
      <w:r w:rsidRPr="00296E39">
        <w:rPr>
          <w:rFonts w:ascii="Palatino Linotype" w:eastAsia="Palatino Linotype" w:hAnsi="Palatino Linotype" w:cs="Palatino Linotype"/>
        </w:rPr>
        <w:t xml:space="preserve">se procede a dictar la presente resolución con base en los siguientes: </w:t>
      </w:r>
    </w:p>
    <w:p w:rsidR="00E32C31" w:rsidRPr="00296E39" w:rsidRDefault="00D94118">
      <w:pPr>
        <w:spacing w:before="240" w:after="240" w:line="360" w:lineRule="auto"/>
        <w:jc w:val="center"/>
        <w:rPr>
          <w:rFonts w:ascii="Palatino Linotype" w:eastAsia="Palatino Linotype" w:hAnsi="Palatino Linotype" w:cs="Palatino Linotype"/>
          <w:b/>
        </w:rPr>
      </w:pPr>
      <w:r w:rsidRPr="00296E39">
        <w:rPr>
          <w:rFonts w:ascii="Palatino Linotype" w:eastAsia="Palatino Linotype" w:hAnsi="Palatino Linotype" w:cs="Palatino Linotype"/>
          <w:b/>
        </w:rPr>
        <w:t>I. A N T E C E D E N T E S</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1. Solicitud de acceso a la información.</w:t>
      </w:r>
      <w:r w:rsidRPr="00296E39">
        <w:rPr>
          <w:rFonts w:ascii="Palatino Linotype" w:eastAsia="Palatino Linotype" w:hAnsi="Palatino Linotype" w:cs="Palatino Linotype"/>
        </w:rPr>
        <w:t xml:space="preserve"> Con fecha </w:t>
      </w:r>
      <w:r w:rsidRPr="00296E39">
        <w:rPr>
          <w:rFonts w:ascii="Palatino Linotype" w:eastAsia="Palatino Linotype" w:hAnsi="Palatino Linotype" w:cs="Palatino Linotype"/>
          <w:b/>
        </w:rPr>
        <w:t>primero de febrero de dos mil veintitrés,</w:t>
      </w:r>
      <w:r w:rsidRPr="00296E39">
        <w:rPr>
          <w:rFonts w:ascii="Palatino Linotype" w:eastAsia="Palatino Linotype" w:hAnsi="Palatino Linotype" w:cs="Palatino Linotype"/>
        </w:rPr>
        <w:t xml:space="preserve"> la parte </w:t>
      </w:r>
      <w:r w:rsidRPr="00296E39">
        <w:rPr>
          <w:rFonts w:ascii="Palatino Linotype" w:eastAsia="Palatino Linotype" w:hAnsi="Palatino Linotype" w:cs="Palatino Linotype"/>
          <w:b/>
        </w:rPr>
        <w:t xml:space="preserve">RECURRENTE </w:t>
      </w:r>
      <w:r w:rsidRPr="00296E39">
        <w:rPr>
          <w:rFonts w:ascii="Palatino Linotype" w:eastAsia="Palatino Linotype" w:hAnsi="Palatino Linotype" w:cs="Palatino Linotype"/>
        </w:rPr>
        <w:t xml:space="preserve">presentó, a través del Sistema de Acceso a la Información Mexiquense, en lo subsecuente el </w:t>
      </w:r>
      <w:r w:rsidRPr="00296E39">
        <w:rPr>
          <w:rFonts w:ascii="Palatino Linotype" w:eastAsia="Palatino Linotype" w:hAnsi="Palatino Linotype" w:cs="Palatino Linotype"/>
          <w:b/>
        </w:rPr>
        <w:t>SAIMEX,</w:t>
      </w:r>
      <w:r w:rsidRPr="00296E39">
        <w:rPr>
          <w:rFonts w:ascii="Palatino Linotype" w:eastAsia="Palatino Linotype" w:hAnsi="Palatino Linotype" w:cs="Palatino Linotype"/>
        </w:rPr>
        <w:t xml:space="preserve"> ante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la solicitud de acceso a la información pública, a la que se le asignó el número</w:t>
      </w:r>
      <w:r w:rsidRPr="00296E39">
        <w:rPr>
          <w:rFonts w:ascii="Palatino Linotype" w:eastAsia="Palatino Linotype" w:hAnsi="Palatino Linotype" w:cs="Palatino Linotype"/>
          <w:b/>
        </w:rPr>
        <w:t xml:space="preserve"> 00019/ALMOJU/IP/2023, </w:t>
      </w:r>
      <w:r w:rsidRPr="00296E39">
        <w:rPr>
          <w:rFonts w:ascii="Palatino Linotype" w:eastAsia="Palatino Linotype" w:hAnsi="Palatino Linotype" w:cs="Palatino Linotype"/>
        </w:rPr>
        <w:t xml:space="preserve">mediante la cual requirió la información siguiente: </w:t>
      </w:r>
    </w:p>
    <w:p w:rsidR="00E32C31" w:rsidRPr="00296E39" w:rsidRDefault="00D94118">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296E39">
        <w:rPr>
          <w:rFonts w:ascii="Palatino Linotype" w:eastAsia="Palatino Linotype" w:hAnsi="Palatino Linotype" w:cs="Palatino Linotype"/>
          <w:i/>
          <w:sz w:val="22"/>
          <w:szCs w:val="22"/>
        </w:rPr>
        <w:t>“CURSOS DE CAPACITACIÓN DE LOS SERVIDORES PÚBLICOS QUE SE ENCUENTRAN ADSCRITOS AL CATASTRO MUNICIPAL Y/O QUE SE ENCARGAN DE DARLE TRAMITE A LAS SOLICITUDES DE LOS PARTICULARES CORRESPONDIENTES A LA MEDICIÓN DE LOS PREDIOS O TERRENOS PARA OBTENER SU CLAVE CATASTRAL, LOS CURSOS DE CAPACITACIÓN SE SOLICITAN DEL EJERSICIO FISCAL 2022 Y LO QUE VA DEL 2023” (Sic)</w:t>
      </w:r>
    </w:p>
    <w:p w:rsidR="00E32C31" w:rsidRPr="00296E39" w:rsidRDefault="00E32C31">
      <w:pPr>
        <w:spacing w:before="240"/>
        <w:ind w:left="851" w:right="902"/>
        <w:jc w:val="both"/>
        <w:rPr>
          <w:rFonts w:ascii="Palatino Linotype" w:eastAsia="Palatino Linotype" w:hAnsi="Palatino Linotype" w:cs="Palatino Linotype"/>
          <w:i/>
          <w:sz w:val="22"/>
          <w:szCs w:val="22"/>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lastRenderedPageBreak/>
        <w:t>Modalidad de Entrega:</w:t>
      </w:r>
      <w:r w:rsidRPr="00296E39">
        <w:rPr>
          <w:rFonts w:ascii="Palatino Linotype" w:eastAsia="Palatino Linotype" w:hAnsi="Palatino Linotype" w:cs="Palatino Linotype"/>
        </w:rPr>
        <w:t xml:space="preserve"> A través de SAIMEX.</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after="240" w:line="360" w:lineRule="auto"/>
        <w:jc w:val="both"/>
        <w:rPr>
          <w:rFonts w:ascii="Palatino Linotype" w:eastAsia="Palatino Linotype" w:hAnsi="Palatino Linotype" w:cs="Palatino Linotype"/>
          <w:b/>
        </w:rPr>
      </w:pPr>
      <w:r w:rsidRPr="00296E39">
        <w:rPr>
          <w:rFonts w:ascii="Palatino Linotype" w:eastAsia="Palatino Linotype" w:hAnsi="Palatino Linotype" w:cs="Palatino Linotype"/>
          <w:b/>
        </w:rPr>
        <w:t xml:space="preserve">2. Respuesta. </w:t>
      </w:r>
      <w:r w:rsidRPr="00296E39">
        <w:rPr>
          <w:rFonts w:ascii="Palatino Linotype" w:eastAsia="Palatino Linotype" w:hAnsi="Palatino Linotype" w:cs="Palatino Linotype"/>
        </w:rPr>
        <w:t xml:space="preserve">Con fecha </w:t>
      </w:r>
      <w:r w:rsidRPr="00296E39">
        <w:rPr>
          <w:rFonts w:ascii="Palatino Linotype" w:eastAsia="Palatino Linotype" w:hAnsi="Palatino Linotype" w:cs="Palatino Linotype"/>
          <w:b/>
        </w:rPr>
        <w:t>veintitrés de febrero de dos mil veintitrés</w:t>
      </w:r>
      <w:r w:rsidRPr="00296E39">
        <w:rPr>
          <w:rFonts w:ascii="Palatino Linotype" w:eastAsia="Palatino Linotype" w:hAnsi="Palatino Linotype" w:cs="Palatino Linotype"/>
        </w:rPr>
        <w:t xml:space="preserve">, el </w:t>
      </w:r>
      <w:r w:rsidRPr="00296E39">
        <w:rPr>
          <w:rFonts w:ascii="Palatino Linotype" w:eastAsia="Palatino Linotype" w:hAnsi="Palatino Linotype" w:cs="Palatino Linotype"/>
          <w:b/>
        </w:rPr>
        <w:t xml:space="preserve">SUJETO OBLIGADO </w:t>
      </w:r>
      <w:r w:rsidRPr="00296E39">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E32C31" w:rsidRPr="00296E39" w:rsidRDefault="00D94118">
      <w:pPr>
        <w:spacing w:before="240"/>
        <w:ind w:left="851" w:right="902"/>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“…Con fundamento en los artículos 4, 12 y 59 de la Ley de Transparencia y Acceso a la Información Pública del Estado de México y Municipios se anexa al presente la respuesta emitida por el área de Catastro Municipal para dar cumplimiento en tiempo y forma al requerimiento interpuesto por el solicitante...” (Sic)</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adjuntó a su respuesta el archivo electrónico siguiente:</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rPr>
        <w:t>“</w:t>
      </w:r>
      <w:hyperlink r:id="rId8">
        <w:r w:rsidRPr="00296E39">
          <w:rPr>
            <w:rFonts w:ascii="Palatino Linotype" w:eastAsia="Palatino Linotype" w:hAnsi="Palatino Linotype" w:cs="Palatino Linotype"/>
          </w:rPr>
          <w:t>37.pdf</w:t>
        </w:r>
      </w:hyperlink>
      <w:r w:rsidRPr="00296E39">
        <w:rPr>
          <w:rFonts w:ascii="Palatino Linotype" w:eastAsia="Palatino Linotype" w:hAnsi="Palatino Linotype" w:cs="Palatino Linotype"/>
        </w:rPr>
        <w:t>”, por medio del cual la Coordinación del Área de Catastro Municipal de Almoloya de Juárez, informó cuales son los cursos de capacitación tomados por los servidores públicos adscritos a esta Coordinación, como se observa a continuación:</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noProof/>
          <w:lang w:val="es-MX"/>
        </w:rPr>
        <w:drawing>
          <wp:inline distT="0" distB="0" distL="0" distR="0">
            <wp:extent cx="5625155" cy="3024568"/>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5606" t="51917" r="30166" b="20792"/>
                    <a:stretch>
                      <a:fillRect/>
                    </a:stretch>
                  </pic:blipFill>
                  <pic:spPr>
                    <a:xfrm>
                      <a:off x="0" y="0"/>
                      <a:ext cx="5625155" cy="3024568"/>
                    </a:xfrm>
                    <a:prstGeom prst="rect">
                      <a:avLst/>
                    </a:prstGeom>
                    <a:ln/>
                  </pic:spPr>
                </pic:pic>
              </a:graphicData>
            </a:graphic>
          </wp:inline>
        </w:drawing>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b/>
        </w:rPr>
        <w:lastRenderedPageBreak/>
        <w:t xml:space="preserve">3. Interposición del recurso de revisión. </w:t>
      </w:r>
      <w:r w:rsidRPr="00296E39">
        <w:rPr>
          <w:rFonts w:ascii="Palatino Linotype" w:eastAsia="Palatino Linotype" w:hAnsi="Palatino Linotype" w:cs="Palatino Linotype"/>
        </w:rPr>
        <w:t xml:space="preserve">Inconforme con los términos de la respuesta emitida por parte del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el </w:t>
      </w:r>
      <w:r w:rsidRPr="00296E39">
        <w:rPr>
          <w:rFonts w:ascii="Palatino Linotype" w:eastAsia="Palatino Linotype" w:hAnsi="Palatino Linotype" w:cs="Palatino Linotype"/>
          <w:b/>
        </w:rPr>
        <w:t>veinticuatro de marzo del dos mil veintitrés,</w:t>
      </w:r>
      <w:r w:rsidRPr="00296E39">
        <w:rPr>
          <w:rFonts w:ascii="Palatino Linotype" w:eastAsia="Palatino Linotype" w:hAnsi="Palatino Linotype" w:cs="Palatino Linotype"/>
        </w:rPr>
        <w:t xml:space="preserve"> la parte recurrente interpuso el recurso de revisión a través de </w:t>
      </w:r>
      <w:r w:rsidRPr="00296E39">
        <w:rPr>
          <w:rFonts w:ascii="Palatino Linotype" w:eastAsia="Palatino Linotype" w:hAnsi="Palatino Linotype" w:cs="Palatino Linotype"/>
          <w:b/>
        </w:rPr>
        <w:t xml:space="preserve">SAIMEX, </w:t>
      </w:r>
      <w:r w:rsidRPr="00296E39">
        <w:rPr>
          <w:rFonts w:ascii="Palatino Linotype" w:eastAsia="Palatino Linotype" w:hAnsi="Palatino Linotype" w:cs="Palatino Linotype"/>
        </w:rPr>
        <w:t>en donde se manifestó de la siguiente manera:</w:t>
      </w:r>
    </w:p>
    <w:p w:rsidR="00E32C31" w:rsidRPr="00296E39" w:rsidRDefault="00D94118">
      <w:pPr>
        <w:tabs>
          <w:tab w:val="left" w:pos="2745"/>
        </w:tabs>
        <w:spacing w:before="240" w:after="240" w:line="360" w:lineRule="auto"/>
        <w:jc w:val="both"/>
        <w:rPr>
          <w:rFonts w:ascii="Palatino Linotype" w:eastAsia="Palatino Linotype" w:hAnsi="Palatino Linotype" w:cs="Palatino Linotype"/>
          <w:b/>
        </w:rPr>
      </w:pPr>
      <w:r w:rsidRPr="00296E39">
        <w:rPr>
          <w:rFonts w:ascii="Palatino Linotype" w:eastAsia="Palatino Linotype" w:hAnsi="Palatino Linotype" w:cs="Palatino Linotype"/>
          <w:b/>
        </w:rPr>
        <w:t xml:space="preserve">Acto impugnado: </w:t>
      </w:r>
      <w:r w:rsidRPr="00296E39">
        <w:rPr>
          <w:rFonts w:ascii="Palatino Linotype" w:eastAsia="Palatino Linotype" w:hAnsi="Palatino Linotype" w:cs="Palatino Linotype"/>
          <w:b/>
        </w:rPr>
        <w:tab/>
      </w:r>
    </w:p>
    <w:p w:rsidR="00E32C31" w:rsidRPr="00296E39" w:rsidRDefault="00D94118">
      <w:pPr>
        <w:ind w:left="851" w:right="902"/>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“NIEGAN INFORMACIÓN, NO ENTREGAN TODO LO PETICIONADO” (Sic)</w:t>
      </w:r>
    </w:p>
    <w:p w:rsidR="00E32C31" w:rsidRPr="00296E39" w:rsidRDefault="00E32C31">
      <w:pPr>
        <w:ind w:left="851" w:right="902"/>
        <w:jc w:val="both"/>
        <w:rPr>
          <w:rFonts w:ascii="Palatino Linotype" w:eastAsia="Palatino Linotype" w:hAnsi="Palatino Linotype" w:cs="Palatino Linotype"/>
          <w:i/>
          <w:sz w:val="22"/>
          <w:szCs w:val="22"/>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Y Razones o motivos de inconformidad</w:t>
      </w:r>
      <w:r w:rsidRPr="00296E39">
        <w:rPr>
          <w:rFonts w:ascii="Palatino Linotype" w:eastAsia="Palatino Linotype" w:hAnsi="Palatino Linotype" w:cs="Palatino Linotype"/>
        </w:rPr>
        <w:t>:</w:t>
      </w:r>
    </w:p>
    <w:p w:rsidR="00E32C31" w:rsidRPr="00296E39" w:rsidRDefault="00D94118">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296E39">
        <w:rPr>
          <w:rFonts w:ascii="Palatino Linotype" w:eastAsia="Palatino Linotype" w:hAnsi="Palatino Linotype" w:cs="Palatino Linotype"/>
          <w:i/>
          <w:sz w:val="22"/>
          <w:szCs w:val="22"/>
        </w:rPr>
        <w:t xml:space="preserve"> “NIEGAN INFORMACIÓN, NO ENTREGAN TODO LO PETICIONADO” (Sic)</w:t>
      </w:r>
    </w:p>
    <w:p w:rsidR="00E32C31" w:rsidRPr="00296E39" w:rsidRDefault="00E32C31">
      <w:pPr>
        <w:ind w:left="851" w:right="902"/>
        <w:jc w:val="both"/>
        <w:rPr>
          <w:rFonts w:ascii="Palatino Linotype" w:eastAsia="Palatino Linotype" w:hAnsi="Palatino Linotype" w:cs="Palatino Linotype"/>
          <w:i/>
          <w:sz w:val="22"/>
          <w:szCs w:val="22"/>
        </w:rPr>
      </w:pPr>
    </w:p>
    <w:p w:rsidR="00E32C31" w:rsidRPr="00296E39" w:rsidRDefault="00D94118">
      <w:pPr>
        <w:spacing w:line="360" w:lineRule="auto"/>
        <w:ind w:right="51"/>
        <w:jc w:val="both"/>
        <w:rPr>
          <w:rFonts w:ascii="Palatino Linotype" w:eastAsia="Palatino Linotype" w:hAnsi="Palatino Linotype" w:cs="Palatino Linotype"/>
        </w:rPr>
      </w:pPr>
      <w:r w:rsidRPr="00296E39">
        <w:rPr>
          <w:rFonts w:ascii="Palatino Linotype" w:eastAsia="Palatino Linotype" w:hAnsi="Palatino Linotype" w:cs="Palatino Linotype"/>
          <w:b/>
        </w:rPr>
        <w:t xml:space="preserve">4. Turno. </w:t>
      </w:r>
      <w:r w:rsidRPr="00296E3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96E39">
        <w:rPr>
          <w:rFonts w:ascii="Palatino Linotype" w:eastAsia="Palatino Linotype" w:hAnsi="Palatino Linotype" w:cs="Palatino Linotype"/>
          <w:b/>
        </w:rPr>
        <w:t xml:space="preserve">Guadalupe Ramírez Peña, </w:t>
      </w:r>
      <w:r w:rsidRPr="00296E39">
        <w:rPr>
          <w:rFonts w:ascii="Palatino Linotype" w:eastAsia="Palatino Linotype" w:hAnsi="Palatino Linotype" w:cs="Palatino Linotype"/>
        </w:rPr>
        <w:t xml:space="preserve">a efecto de que analizara sobre su admisión o su </w:t>
      </w:r>
      <w:proofErr w:type="spellStart"/>
      <w:r w:rsidRPr="00296E39">
        <w:rPr>
          <w:rFonts w:ascii="Palatino Linotype" w:eastAsia="Palatino Linotype" w:hAnsi="Palatino Linotype" w:cs="Palatino Linotype"/>
        </w:rPr>
        <w:t>desechamiento</w:t>
      </w:r>
      <w:proofErr w:type="spellEnd"/>
      <w:r w:rsidRPr="00296E39">
        <w:rPr>
          <w:rFonts w:ascii="Palatino Linotype" w:eastAsia="Palatino Linotype" w:hAnsi="Palatino Linotype" w:cs="Palatino Linotype"/>
        </w:rPr>
        <w:t>.</w:t>
      </w:r>
    </w:p>
    <w:p w:rsidR="00E32C31" w:rsidRPr="00296E39" w:rsidRDefault="00E32C31">
      <w:pPr>
        <w:spacing w:line="360" w:lineRule="auto"/>
        <w:ind w:right="51"/>
        <w:jc w:val="both"/>
        <w:rPr>
          <w:rFonts w:ascii="Palatino Linotype" w:eastAsia="Palatino Linotype" w:hAnsi="Palatino Linotype" w:cs="Palatino Linotype"/>
        </w:rPr>
      </w:pPr>
    </w:p>
    <w:p w:rsidR="00E32C31" w:rsidRPr="00296E39" w:rsidRDefault="00D94118">
      <w:pPr>
        <w:spacing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5. Admisión del Recurso de revisión.</w:t>
      </w:r>
      <w:r w:rsidRPr="00296E39">
        <w:rPr>
          <w:rFonts w:ascii="Palatino Linotype" w:eastAsia="Palatino Linotype" w:hAnsi="Palatino Linotype" w:cs="Palatino Linotype"/>
        </w:rPr>
        <w:t xml:space="preserve"> Con fecha</w:t>
      </w:r>
      <w:r w:rsidRPr="00296E39">
        <w:rPr>
          <w:rFonts w:ascii="Palatino Linotype" w:eastAsia="Palatino Linotype" w:hAnsi="Palatino Linotype" w:cs="Palatino Linotype"/>
          <w:b/>
        </w:rPr>
        <w:t xml:space="preserve"> veintinueve de abril de dos mil veintitrés, </w:t>
      </w:r>
      <w:r w:rsidRPr="00296E3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296E39">
        <w:rPr>
          <w:rFonts w:ascii="Palatino Linotype" w:eastAsia="Palatino Linotype" w:hAnsi="Palatino Linotype" w:cs="Palatino Linotype"/>
        </w:rPr>
        <w:lastRenderedPageBreak/>
        <w:t xml:space="preserve">conveniente, ofrecieran pruebas, formularan alegatos y el </w:t>
      </w:r>
      <w:r w:rsidRPr="00296E39">
        <w:rPr>
          <w:rFonts w:ascii="Palatino Linotype" w:eastAsia="Palatino Linotype" w:hAnsi="Palatino Linotype" w:cs="Palatino Linotype"/>
          <w:b/>
        </w:rPr>
        <w:t xml:space="preserve">SUJETO OBLIGADO </w:t>
      </w:r>
      <w:r w:rsidRPr="00296E39">
        <w:rPr>
          <w:rFonts w:ascii="Palatino Linotype" w:eastAsia="Palatino Linotype" w:hAnsi="Palatino Linotype" w:cs="Palatino Linotype"/>
        </w:rPr>
        <w:t>presentara su informe justificado.</w:t>
      </w:r>
    </w:p>
    <w:p w:rsidR="00E32C31" w:rsidRPr="00296E39" w:rsidRDefault="00D94118">
      <w:pPr>
        <w:spacing w:before="240" w:after="240" w:line="360" w:lineRule="auto"/>
        <w:jc w:val="both"/>
      </w:pPr>
      <w:r w:rsidRPr="00296E39">
        <w:rPr>
          <w:rFonts w:ascii="Palatino Linotype" w:eastAsia="Palatino Linotype" w:hAnsi="Palatino Linotype" w:cs="Palatino Linotype"/>
          <w:b/>
        </w:rPr>
        <w:t>6. Manifestaciones</w:t>
      </w:r>
      <w:r w:rsidRPr="00296E39">
        <w:rPr>
          <w:rFonts w:ascii="Palatino Linotype" w:eastAsia="Palatino Linotype" w:hAnsi="Palatino Linotype" w:cs="Palatino Linotype"/>
        </w:rPr>
        <w:t xml:space="preserve">. De las constancias que obran en el expediente electrónico del SAIMEX se desprende que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no rindió su informe justificado, del mismo modo la parte</w:t>
      </w:r>
      <w:r w:rsidRPr="00296E39">
        <w:rPr>
          <w:rFonts w:ascii="Palatino Linotype" w:eastAsia="Palatino Linotype" w:hAnsi="Palatino Linotype" w:cs="Palatino Linotype"/>
          <w:b/>
        </w:rPr>
        <w:t xml:space="preserve"> RECURRENTE</w:t>
      </w:r>
      <w:r w:rsidRPr="00296E39">
        <w:rPr>
          <w:rFonts w:ascii="Palatino Linotype" w:eastAsia="Palatino Linotype" w:hAnsi="Palatino Linotype" w:cs="Palatino Linotype"/>
        </w:rPr>
        <w:t xml:space="preserve"> omitió realizar manifestaciones, como se observa a continuación:</w:t>
      </w:r>
    </w:p>
    <w:p w:rsidR="00E32C31" w:rsidRPr="00296E39" w:rsidRDefault="00D94118">
      <w:pPr>
        <w:spacing w:before="240" w:after="240" w:line="360" w:lineRule="auto"/>
        <w:jc w:val="both"/>
      </w:pPr>
      <w:r w:rsidRPr="00296E39">
        <w:rPr>
          <w:noProof/>
          <w:lang w:val="es-MX"/>
        </w:rPr>
        <w:drawing>
          <wp:inline distT="0" distB="0" distL="0" distR="0">
            <wp:extent cx="5626544" cy="123603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9156" t="36116" r="20104" b="36218"/>
                    <a:stretch>
                      <a:fillRect/>
                    </a:stretch>
                  </pic:blipFill>
                  <pic:spPr>
                    <a:xfrm>
                      <a:off x="0" y="0"/>
                      <a:ext cx="5626544" cy="1236033"/>
                    </a:xfrm>
                    <a:prstGeom prst="rect">
                      <a:avLst/>
                    </a:prstGeom>
                    <a:ln/>
                  </pic:spPr>
                </pic:pic>
              </a:graphicData>
            </a:graphic>
          </wp:inline>
        </w:drawing>
      </w:r>
    </w:p>
    <w:p w:rsidR="00E32C31" w:rsidRPr="00296E39" w:rsidRDefault="00D94118">
      <w:pPr>
        <w:widowControl w:val="0"/>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7</w:t>
      </w:r>
      <w:r w:rsidRPr="00296E39">
        <w:rPr>
          <w:rFonts w:ascii="Palatino Linotype" w:eastAsia="Palatino Linotype" w:hAnsi="Palatino Linotype" w:cs="Palatino Linotype"/>
        </w:rPr>
        <w:t xml:space="preserve">. </w:t>
      </w:r>
      <w:r w:rsidRPr="00296E39">
        <w:rPr>
          <w:rFonts w:ascii="Palatino Linotype" w:eastAsia="Palatino Linotype" w:hAnsi="Palatino Linotype" w:cs="Palatino Linotype"/>
          <w:b/>
        </w:rPr>
        <w:t>Ampliación del plazo.</w:t>
      </w:r>
      <w:r w:rsidRPr="00296E39">
        <w:rPr>
          <w:rFonts w:ascii="Palatino Linotype" w:eastAsia="Palatino Linotype" w:hAnsi="Palatino Linotype" w:cs="Palatino Linotype"/>
        </w:rPr>
        <w:t xml:space="preserve"> En fecha doce de julio del año dos mil veintitrés, con fundamento en el artículo 181, párrafo tercero de la Ley de Transparencia y Acceso a la Información Pública del Estado de México y Municipios, se acordó la ampliación del plazo para su resolución.</w:t>
      </w:r>
    </w:p>
    <w:p w:rsidR="00E32C31" w:rsidRPr="00296E39" w:rsidRDefault="00E32C31">
      <w:pPr>
        <w:widowControl w:val="0"/>
        <w:spacing w:line="360" w:lineRule="auto"/>
        <w:jc w:val="both"/>
        <w:rPr>
          <w:rFonts w:ascii="Palatino Linotype" w:eastAsia="Palatino Linotype" w:hAnsi="Palatino Linotype" w:cs="Palatino Linotype"/>
        </w:rPr>
      </w:pPr>
    </w:p>
    <w:p w:rsidR="00E32C31" w:rsidRPr="00296E39" w:rsidRDefault="00D94118">
      <w:pPr>
        <w:widowControl w:val="0"/>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strike/>
        </w:rPr>
      </w:pPr>
      <w:r w:rsidRPr="00296E3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numPr>
          <w:ilvl w:val="0"/>
          <w:numId w:val="1"/>
        </w:numPr>
        <w:spacing w:line="360" w:lineRule="auto"/>
        <w:ind w:left="850" w:hanging="357"/>
        <w:jc w:val="both"/>
        <w:rPr>
          <w:rFonts w:ascii="Palatino Linotype" w:eastAsia="Palatino Linotype" w:hAnsi="Palatino Linotype" w:cs="Palatino Linotype"/>
        </w:rPr>
      </w:pPr>
      <w:r w:rsidRPr="00296E3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E32C31" w:rsidRPr="00296E39" w:rsidRDefault="00E32C31">
      <w:pPr>
        <w:spacing w:line="360" w:lineRule="auto"/>
        <w:ind w:left="850" w:hanging="357"/>
        <w:jc w:val="both"/>
        <w:rPr>
          <w:rFonts w:ascii="Palatino Linotype" w:eastAsia="Palatino Linotype" w:hAnsi="Palatino Linotype" w:cs="Palatino Linotype"/>
        </w:rPr>
      </w:pPr>
    </w:p>
    <w:p w:rsidR="00E32C31" w:rsidRPr="00296E39" w:rsidRDefault="00D94118">
      <w:pPr>
        <w:numPr>
          <w:ilvl w:val="0"/>
          <w:numId w:val="1"/>
        </w:numPr>
        <w:spacing w:line="360" w:lineRule="auto"/>
        <w:ind w:left="850" w:hanging="357"/>
        <w:jc w:val="both"/>
        <w:rPr>
          <w:rFonts w:ascii="Palatino Linotype" w:eastAsia="Palatino Linotype" w:hAnsi="Palatino Linotype" w:cs="Palatino Linotype"/>
        </w:rPr>
      </w:pPr>
      <w:r w:rsidRPr="00296E39">
        <w:rPr>
          <w:rFonts w:ascii="Palatino Linotype" w:eastAsia="Palatino Linotype" w:hAnsi="Palatino Linotype" w:cs="Palatino Linotype"/>
        </w:rPr>
        <w:t>Actividad Procesal del interesado. Acciones u omisiones del interesado.</w:t>
      </w:r>
    </w:p>
    <w:p w:rsidR="00E32C31" w:rsidRPr="00296E39" w:rsidRDefault="00E32C31">
      <w:pPr>
        <w:spacing w:line="360" w:lineRule="auto"/>
        <w:ind w:left="850" w:hanging="357"/>
        <w:jc w:val="both"/>
        <w:rPr>
          <w:rFonts w:ascii="Palatino Linotype" w:eastAsia="Palatino Linotype" w:hAnsi="Palatino Linotype" w:cs="Palatino Linotype"/>
        </w:rPr>
      </w:pPr>
    </w:p>
    <w:p w:rsidR="00E32C31" w:rsidRPr="00296E39" w:rsidRDefault="00D94118">
      <w:pPr>
        <w:numPr>
          <w:ilvl w:val="0"/>
          <w:numId w:val="1"/>
        </w:numPr>
        <w:spacing w:line="360" w:lineRule="auto"/>
        <w:ind w:left="850" w:hanging="357"/>
        <w:jc w:val="both"/>
        <w:rPr>
          <w:rFonts w:ascii="Palatino Linotype" w:eastAsia="Palatino Linotype" w:hAnsi="Palatino Linotype" w:cs="Palatino Linotype"/>
        </w:rPr>
      </w:pPr>
      <w:r w:rsidRPr="00296E39">
        <w:rPr>
          <w:rFonts w:ascii="Palatino Linotype" w:eastAsia="Palatino Linotype" w:hAnsi="Palatino Linotype" w:cs="Palatino Linotype"/>
        </w:rPr>
        <w:t>Conducta de la Autoridad: Las Acciones u omisiones realizadas en el procedimiento. Así como si la autoridad actuó con la debida diligencia.</w:t>
      </w:r>
    </w:p>
    <w:p w:rsidR="00E32C31" w:rsidRPr="00296E39" w:rsidRDefault="00E32C31">
      <w:pPr>
        <w:spacing w:line="360" w:lineRule="auto"/>
        <w:ind w:left="850" w:hanging="357"/>
        <w:rPr>
          <w:rFonts w:ascii="Palatino Linotype" w:eastAsia="Palatino Linotype" w:hAnsi="Palatino Linotype" w:cs="Palatino Linotype"/>
        </w:rPr>
      </w:pPr>
    </w:p>
    <w:p w:rsidR="00E32C31" w:rsidRPr="00296E39" w:rsidRDefault="00D94118">
      <w:pPr>
        <w:spacing w:line="360" w:lineRule="auto"/>
        <w:ind w:left="850" w:hanging="357"/>
        <w:jc w:val="both"/>
        <w:rPr>
          <w:rFonts w:ascii="Palatino Linotype" w:eastAsia="Palatino Linotype" w:hAnsi="Palatino Linotype" w:cs="Palatino Linotype"/>
        </w:rPr>
      </w:pPr>
      <w:r w:rsidRPr="00296E39">
        <w:rPr>
          <w:rFonts w:ascii="Palatino Linotype" w:eastAsia="Palatino Linotype" w:hAnsi="Palatino Linotype" w:cs="Palatino Linotype"/>
        </w:rPr>
        <w:t>d) La afectación generada en la situación jurídica de la persona involucrada en el proceso: Violación a sus derechos humanos.</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b/>
        </w:rPr>
      </w:pPr>
      <w:r w:rsidRPr="00296E39">
        <w:rPr>
          <w:rFonts w:ascii="Palatino Linotype" w:eastAsia="Palatino Linotype" w:hAnsi="Palatino Linotype" w:cs="Palatino Linotype"/>
        </w:rPr>
        <w:t>Argumento que encuentra sustento en la jurisprudencia P</w:t>
      </w:r>
      <w:proofErr w:type="gramStart"/>
      <w:r w:rsidRPr="00296E39">
        <w:rPr>
          <w:rFonts w:ascii="Palatino Linotype" w:eastAsia="Palatino Linotype" w:hAnsi="Palatino Linotype" w:cs="Palatino Linotype"/>
        </w:rPr>
        <w:t>./</w:t>
      </w:r>
      <w:proofErr w:type="gramEnd"/>
      <w:r w:rsidRPr="00296E39">
        <w:rPr>
          <w:rFonts w:ascii="Palatino Linotype" w:eastAsia="Palatino Linotype" w:hAnsi="Palatino Linotype" w:cs="Palatino Linotype"/>
        </w:rPr>
        <w:t xml:space="preserve">J. 32/92 emitida por el Pleno de la Suprema Corte de Justicia de la Nación de rubro </w:t>
      </w:r>
      <w:r w:rsidRPr="00296E39">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296E39">
        <w:rPr>
          <w:rFonts w:ascii="Palatino Linotype" w:eastAsia="Palatino Linotype" w:hAnsi="Palatino Linotype" w:cs="Palatino Linotype"/>
          <w:i/>
        </w:rPr>
        <w:lastRenderedPageBreak/>
        <w:t>CARACTERÍSTICAS DEL CASO.”</w:t>
      </w:r>
      <w:r w:rsidRPr="00296E39">
        <w:rPr>
          <w:rFonts w:ascii="Palatino Linotype" w:eastAsia="Palatino Linotype" w:hAnsi="Palatino Linotype" w:cs="Palatino Linotype"/>
        </w:rPr>
        <w:t>, visible en la Gaceta del Seminario Judicial de la Federación con el registro digital 205635.</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32C31" w:rsidRPr="00296E39" w:rsidRDefault="00E32C31">
      <w:pPr>
        <w:spacing w:line="360" w:lineRule="auto"/>
        <w:jc w:val="both"/>
        <w:rPr>
          <w:rFonts w:ascii="Palatino Linotype" w:eastAsia="Palatino Linotype" w:hAnsi="Palatino Linotype" w:cs="Palatino Linotype"/>
          <w:i/>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i/>
        </w:rPr>
        <w:t>“PLAZO RAZONABLE PARA RESOLVER. DIMENSIÓN Y EFECTOS DE ESTE CONCEPTO CUANDO SE ADUCE EXCESIVA CARGA DE TRABAJO.”</w:t>
      </w:r>
      <w:r w:rsidRPr="00296E39">
        <w:rPr>
          <w:rFonts w:ascii="Palatino Linotype" w:eastAsia="Palatino Linotype" w:hAnsi="Palatino Linotype" w:cs="Palatino Linotype"/>
        </w:rPr>
        <w:t xml:space="preserve"> consultable en el Seminario Judicial de la Federación y su gaceta, con el registro digital 2002351.</w:t>
      </w:r>
    </w:p>
    <w:p w:rsidR="00E32C31" w:rsidRPr="00296E39" w:rsidRDefault="00E32C31">
      <w:pPr>
        <w:spacing w:line="360" w:lineRule="auto"/>
        <w:jc w:val="both"/>
        <w:rPr>
          <w:rFonts w:ascii="Palatino Linotype" w:eastAsia="Palatino Linotype" w:hAnsi="Palatino Linotype" w:cs="Palatino Linotype"/>
          <w:b/>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i/>
        </w:rPr>
        <w:t xml:space="preserve">“PLAZO RAZONABLE PARA RESOLVER. CONCEPTO Y ELEMENTOS QUE LO INTEGRAN A LA LUZ DEL DERECHO INTERNACIONAL DE LOS DERECHOS </w:t>
      </w:r>
      <w:r w:rsidRPr="00296E39">
        <w:rPr>
          <w:rFonts w:ascii="Palatino Linotype" w:eastAsia="Palatino Linotype" w:hAnsi="Palatino Linotype" w:cs="Palatino Linotype"/>
          <w:i/>
        </w:rPr>
        <w:lastRenderedPageBreak/>
        <w:t>HUMANOS.”</w:t>
      </w:r>
      <w:r w:rsidRPr="00296E39">
        <w:rPr>
          <w:rFonts w:ascii="Palatino Linotype" w:eastAsia="Palatino Linotype" w:hAnsi="Palatino Linotype" w:cs="Palatino Linotype"/>
        </w:rPr>
        <w:t>, visible en el Seminario Judicial de la Federación y su gaceta, con el registro digital 2002350.</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 xml:space="preserve">8. Cierre de instrucción. </w:t>
      </w:r>
      <w:r w:rsidRPr="00296E3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96E39">
        <w:rPr>
          <w:rFonts w:ascii="Palatino Linotype" w:eastAsia="Palatino Linotype" w:hAnsi="Palatino Linotype" w:cs="Palatino Linotype"/>
          <w:b/>
        </w:rPr>
        <w:t>doce de julio de dos mil veintitrés</w:t>
      </w:r>
      <w:r w:rsidRPr="00296E3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E32C31" w:rsidRPr="00296E39" w:rsidRDefault="00D94118">
      <w:pPr>
        <w:widowControl w:val="0"/>
        <w:spacing w:line="360" w:lineRule="auto"/>
        <w:jc w:val="center"/>
        <w:rPr>
          <w:rFonts w:ascii="Palatino Linotype" w:eastAsia="Palatino Linotype" w:hAnsi="Palatino Linotype" w:cs="Palatino Linotype"/>
          <w:b/>
        </w:rPr>
      </w:pPr>
      <w:r w:rsidRPr="00296E39">
        <w:rPr>
          <w:rFonts w:ascii="Palatino Linotype" w:eastAsia="Palatino Linotype" w:hAnsi="Palatino Linotype" w:cs="Palatino Linotype"/>
          <w:b/>
        </w:rPr>
        <w:t>II. C O N S I D E R A N D O S</w:t>
      </w:r>
    </w:p>
    <w:p w:rsidR="00E32C31" w:rsidRPr="00296E39" w:rsidRDefault="00E32C31">
      <w:pPr>
        <w:widowControl w:val="0"/>
        <w:spacing w:line="360" w:lineRule="auto"/>
        <w:jc w:val="center"/>
        <w:rPr>
          <w:rFonts w:ascii="Palatino Linotype" w:eastAsia="Palatino Linotype" w:hAnsi="Palatino Linotype" w:cs="Palatino Linotype"/>
          <w:b/>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Primero. Competencia.</w:t>
      </w:r>
      <w:r w:rsidRPr="00296E3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296E39">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 xml:space="preserve">Segundo. Oportunidad y </w:t>
      </w:r>
      <w:proofErr w:type="spellStart"/>
      <w:r w:rsidRPr="00296E39">
        <w:rPr>
          <w:rFonts w:ascii="Palatino Linotype" w:eastAsia="Palatino Linotype" w:hAnsi="Palatino Linotype" w:cs="Palatino Linotype"/>
          <w:b/>
        </w:rPr>
        <w:t>Procedibilidad</w:t>
      </w:r>
      <w:proofErr w:type="spellEnd"/>
      <w:r w:rsidRPr="00296E39">
        <w:rPr>
          <w:rFonts w:ascii="Palatino Linotype" w:eastAsia="Palatino Linotype" w:hAnsi="Palatino Linotype" w:cs="Palatino Linotype"/>
          <w:b/>
        </w:rPr>
        <w:t xml:space="preserve"> del Recurso de Revisión</w:t>
      </w:r>
      <w:r w:rsidRPr="00296E39">
        <w:rPr>
          <w:rFonts w:ascii="Palatino Linotype" w:eastAsia="Palatino Linotype" w:hAnsi="Palatino Linotype" w:cs="Palatino Linotype"/>
        </w:rPr>
        <w:t xml:space="preserve">. Previo al estudio del fondo del asunto, se procede a analizar los requisitos de oportunidad y </w:t>
      </w:r>
      <w:proofErr w:type="spellStart"/>
      <w:r w:rsidRPr="00296E39">
        <w:rPr>
          <w:rFonts w:ascii="Palatino Linotype" w:eastAsia="Palatino Linotype" w:hAnsi="Palatino Linotype" w:cs="Palatino Linotype"/>
        </w:rPr>
        <w:t>procedibilidad</w:t>
      </w:r>
      <w:proofErr w:type="spellEnd"/>
      <w:r w:rsidRPr="00296E3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proporcionó su respuesta a la solicitud de información el veintitrés de febrero del dos mil veintitrés y el </w:t>
      </w:r>
      <w:r w:rsidRPr="00296E39">
        <w:rPr>
          <w:rFonts w:ascii="Palatino Linotype" w:eastAsia="Palatino Linotype" w:hAnsi="Palatino Linotype" w:cs="Palatino Linotype"/>
          <w:b/>
        </w:rPr>
        <w:t>RECURRENTE</w:t>
      </w:r>
      <w:r w:rsidRPr="00296E39">
        <w:rPr>
          <w:rFonts w:ascii="Palatino Linotype" w:eastAsia="Palatino Linotype" w:hAnsi="Palatino Linotype" w:cs="Palatino Linotype"/>
        </w:rPr>
        <w:t xml:space="preserve"> presentó su recurso de revisión el veinticuatro de marzo del mismo año; esto es, al décimo noveno día hábil siguiente que tuvo conocimiento de la respuesta, lo que daría que fuera extemporáneo; sin embargo en términos de los acuerdos siguientes:</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noProof/>
          <w:lang w:val="es-MX"/>
        </w:rPr>
        <w:lastRenderedPageBreak/>
        <w:drawing>
          <wp:inline distT="0" distB="0" distL="0" distR="0">
            <wp:extent cx="5396321" cy="1252274"/>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50305" t="15237" r="25869" b="70524"/>
                    <a:stretch>
                      <a:fillRect/>
                    </a:stretch>
                  </pic:blipFill>
                  <pic:spPr>
                    <a:xfrm>
                      <a:off x="0" y="0"/>
                      <a:ext cx="5396321" cy="1252274"/>
                    </a:xfrm>
                    <a:prstGeom prst="rect">
                      <a:avLst/>
                    </a:prstGeom>
                    <a:ln/>
                  </pic:spPr>
                </pic:pic>
              </a:graphicData>
            </a:graphic>
          </wp:inline>
        </w:drawing>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noProof/>
          <w:lang w:val="es-MX"/>
        </w:rPr>
        <w:drawing>
          <wp:inline distT="0" distB="0" distL="0" distR="0">
            <wp:extent cx="5381447" cy="1338866"/>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9644" t="17414" r="27004" b="67342"/>
                    <a:stretch>
                      <a:fillRect/>
                    </a:stretch>
                  </pic:blipFill>
                  <pic:spPr>
                    <a:xfrm>
                      <a:off x="0" y="0"/>
                      <a:ext cx="5381447" cy="1338866"/>
                    </a:xfrm>
                    <a:prstGeom prst="rect">
                      <a:avLst/>
                    </a:prstGeom>
                    <a:ln/>
                  </pic:spPr>
                </pic:pic>
              </a:graphicData>
            </a:graphic>
          </wp:inline>
        </w:drawing>
      </w:r>
    </w:p>
    <w:p w:rsidR="00E32C31" w:rsidRPr="00296E39" w:rsidRDefault="00D94118">
      <w:pPr>
        <w:spacing w:before="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El pleno del este Organismo Garante, suspendió los plazos y términos para el trámite y desahogo de los procedimientos y medios de impugnación, hasta que se restableciera lo relacionado a la firma electrónica, los días siete, ocho, nueve, diez y trece de marzo del año 2023, reanudase los mismos hasta el día 14 de marzo del mismo año.</w:t>
      </w:r>
    </w:p>
    <w:p w:rsidR="00E32C31" w:rsidRPr="00296E39" w:rsidRDefault="00D94118">
      <w:pPr>
        <w:spacing w:before="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En ese sentido, tomando en consideración la respuesta del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y lo indicado en los párrafos anteriores, se tiene que el recurso de revisión se interpuso al décimo cuarto día hábil siguiente que tuvo conocimiento de la respuesta. </w:t>
      </w:r>
    </w:p>
    <w:p w:rsidR="00E32C31" w:rsidRPr="00296E39" w:rsidRDefault="00D94118">
      <w:pPr>
        <w:spacing w:before="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Al mismo tiempo, por cuanto hace a la </w:t>
      </w:r>
      <w:proofErr w:type="spellStart"/>
      <w:r w:rsidRPr="00296E39">
        <w:rPr>
          <w:rFonts w:ascii="Palatino Linotype" w:eastAsia="Palatino Linotype" w:hAnsi="Palatino Linotype" w:cs="Palatino Linotype"/>
        </w:rPr>
        <w:t>procedibilidad</w:t>
      </w:r>
      <w:proofErr w:type="spellEnd"/>
      <w:r w:rsidRPr="00296E39">
        <w:rPr>
          <w:rFonts w:ascii="Palatino Linotype" w:eastAsia="Palatino Linotype" w:hAnsi="Palatino Linotype" w:cs="Palatino Linotype"/>
        </w:rPr>
        <w:t xml:space="preserve">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w:t>
      </w:r>
      <w:r w:rsidRPr="00296E39">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E32C31" w:rsidRPr="00296E39" w:rsidRDefault="00E32C31">
      <w:pPr>
        <w:ind w:left="567" w:right="474"/>
        <w:jc w:val="both"/>
        <w:rPr>
          <w:rFonts w:ascii="Palatino Linotype" w:eastAsia="Palatino Linotype" w:hAnsi="Palatino Linotype" w:cs="Palatino Linotype"/>
          <w:i/>
        </w:rPr>
      </w:pPr>
    </w:p>
    <w:p w:rsidR="00E32C31" w:rsidRPr="00296E39" w:rsidRDefault="00D94118">
      <w:pPr>
        <w:ind w:left="567" w:right="474"/>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Las solicitudes anónimas</w:t>
      </w:r>
      <w:r w:rsidRPr="00296E39">
        <w:rPr>
          <w:rFonts w:ascii="Palatino Linotype" w:eastAsia="Palatino Linotype" w:hAnsi="Palatino Linotype" w:cs="Palatino Linotype"/>
          <w:i/>
          <w:sz w:val="22"/>
          <w:szCs w:val="22"/>
        </w:rPr>
        <w:t xml:space="preserve">, con nombre incompleto o seudónimo </w:t>
      </w:r>
      <w:r w:rsidRPr="00296E39">
        <w:rPr>
          <w:rFonts w:ascii="Palatino Linotype" w:eastAsia="Palatino Linotype" w:hAnsi="Palatino Linotype" w:cs="Palatino Linotype"/>
          <w:b/>
          <w:i/>
          <w:sz w:val="22"/>
          <w:szCs w:val="22"/>
        </w:rPr>
        <w:t>serán procedentes para su trámite por parte del sujeto obligado ante quien se presente</w:t>
      </w:r>
      <w:r w:rsidRPr="00296E39">
        <w:rPr>
          <w:rFonts w:ascii="Palatino Linotype" w:eastAsia="Palatino Linotype" w:hAnsi="Palatino Linotype" w:cs="Palatino Linotype"/>
          <w:i/>
          <w:sz w:val="22"/>
          <w:szCs w:val="22"/>
        </w:rPr>
        <w:t>. No podrá requerirse información adicional con motivo del nombre proporcionado por el solicitante."(Sic)</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rsidR="00E32C31" w:rsidRPr="00296E39" w:rsidRDefault="00D94118">
      <w:pPr>
        <w:ind w:left="1276" w:right="1752"/>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 xml:space="preserve">Artículo 179. </w:t>
      </w:r>
      <w:r w:rsidRPr="00296E3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96E39">
        <w:rPr>
          <w:rFonts w:ascii="Palatino Linotype" w:eastAsia="Palatino Linotype" w:hAnsi="Palatino Linotype" w:cs="Palatino Linotype"/>
          <w:i/>
        </w:rPr>
        <w:t>causas</w:t>
      </w:r>
      <w:r w:rsidRPr="00296E39">
        <w:rPr>
          <w:rFonts w:ascii="Palatino Linotype" w:eastAsia="Palatino Linotype" w:hAnsi="Palatino Linotype" w:cs="Palatino Linotype"/>
          <w:i/>
          <w:sz w:val="22"/>
          <w:szCs w:val="22"/>
        </w:rPr>
        <w:t>:</w:t>
      </w:r>
    </w:p>
    <w:p w:rsidR="00E32C31" w:rsidRPr="00296E39" w:rsidRDefault="00D94118">
      <w:pPr>
        <w:numPr>
          <w:ilvl w:val="0"/>
          <w:numId w:val="3"/>
        </w:numPr>
        <w:pBdr>
          <w:top w:val="nil"/>
          <w:left w:val="nil"/>
          <w:bottom w:val="nil"/>
          <w:right w:val="nil"/>
          <w:between w:val="nil"/>
        </w:pBdr>
        <w:ind w:right="1752"/>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La negativa de la información solicitada…” (Sic)</w:t>
      </w:r>
    </w:p>
    <w:p w:rsidR="00E32C31" w:rsidRPr="00296E39" w:rsidRDefault="00D94118">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296E39">
        <w:rPr>
          <w:rFonts w:ascii="Palatino Linotype" w:eastAsia="Palatino Linotype" w:hAnsi="Palatino Linotype" w:cs="Palatino Linotype"/>
          <w:b/>
        </w:rPr>
        <w:t>Tercero. Materia de Revisión</w:t>
      </w:r>
      <w:r w:rsidRPr="00296E39">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96E3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96E39">
        <w:rPr>
          <w:rFonts w:ascii="Palatino Linotype" w:eastAsia="Palatino Linotype" w:hAnsi="Palatino Linotype" w:cs="Palatino Linotype"/>
        </w:rPr>
        <w:t xml:space="preserve">de la PARTE </w:t>
      </w:r>
      <w:r w:rsidRPr="00296E39">
        <w:rPr>
          <w:rFonts w:ascii="Palatino Linotype" w:eastAsia="Palatino Linotype" w:hAnsi="Palatino Linotype" w:cs="Palatino Linotype"/>
          <w:b/>
        </w:rPr>
        <w:t>RECURRENTE</w:t>
      </w:r>
      <w:r w:rsidRPr="00296E39">
        <w:rPr>
          <w:rFonts w:ascii="Palatino Linotype" w:eastAsia="Palatino Linotype" w:hAnsi="Palatino Linotype" w:cs="Palatino Linotype"/>
        </w:rPr>
        <w:t>, o en su defecto, en caso de ser procedente, ordenar la entrega de información.</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lastRenderedPageBreak/>
        <w:t xml:space="preserve">Cuarto. Estudio de fondo del asunto. </w:t>
      </w:r>
      <w:r w:rsidRPr="00296E39">
        <w:rPr>
          <w:rFonts w:ascii="Palatino Linotype" w:eastAsia="Palatino Linotype" w:hAnsi="Palatino Linotype" w:cs="Palatino Linotype"/>
        </w:rPr>
        <w:t xml:space="preserve">es conveniente analizar si la respuesta del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32C31" w:rsidRPr="00296E39" w:rsidRDefault="00D94118">
      <w:pPr>
        <w:spacing w:before="240"/>
        <w:ind w:left="709" w:right="760"/>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Artículo 4.</w:t>
      </w:r>
      <w:r w:rsidRPr="00296E3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32C31" w:rsidRPr="00296E39" w:rsidRDefault="00D94118">
      <w:pPr>
        <w:ind w:left="709" w:right="760"/>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96E3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32C31" w:rsidRPr="00296E39" w:rsidRDefault="00D94118">
      <w:pPr>
        <w:ind w:left="709" w:right="760"/>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96E39">
        <w:rPr>
          <w:rFonts w:ascii="Palatino Linotype" w:eastAsia="Palatino Linotype" w:hAnsi="Palatino Linotype" w:cs="Palatino Linotype"/>
          <w:i/>
          <w:sz w:val="22"/>
          <w:szCs w:val="22"/>
        </w:rPr>
        <w:t>.”(Sic)</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w:t>
      </w:r>
      <w:r w:rsidRPr="00296E39">
        <w:rPr>
          <w:rFonts w:ascii="Palatino Linotype" w:eastAsia="Palatino Linotype" w:hAnsi="Palatino Linotype" w:cs="Palatino Linotype"/>
        </w:rPr>
        <w:lastRenderedPageBreak/>
        <w:t>presentarla conforme al interés del solicitante; como así lo establece el artículo 12 de la Ley de Transparencia y Acceso a la Información Pública del Estado de México y Municipios, el cual a la letra dice:</w:t>
      </w:r>
    </w:p>
    <w:p w:rsidR="00E32C31" w:rsidRPr="00296E39" w:rsidRDefault="00D94118">
      <w:pPr>
        <w:ind w:left="567" w:right="758"/>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Artículo12.-</w:t>
      </w:r>
      <w:r w:rsidRPr="00296E3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32C31" w:rsidRPr="00296E39" w:rsidRDefault="00D94118">
      <w:pPr>
        <w:ind w:left="567" w:right="758"/>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96E39">
        <w:rPr>
          <w:rFonts w:ascii="Palatino Linotype" w:eastAsia="Palatino Linotype" w:hAnsi="Palatino Linotype" w:cs="Palatino Linotype"/>
          <w:i/>
          <w:sz w:val="22"/>
          <w:szCs w:val="22"/>
        </w:rPr>
        <w:t xml:space="preserve">. </w:t>
      </w:r>
      <w:r w:rsidRPr="00296E3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E32C31" w:rsidRPr="00296E39" w:rsidRDefault="00E32C31">
      <w:pPr>
        <w:spacing w:line="360" w:lineRule="auto"/>
        <w:ind w:right="-93"/>
        <w:jc w:val="both"/>
        <w:rPr>
          <w:rFonts w:ascii="Palatino Linotype" w:eastAsia="Palatino Linotype" w:hAnsi="Palatino Linotype" w:cs="Palatino Linotype"/>
        </w:rPr>
      </w:pPr>
    </w:p>
    <w:p w:rsidR="00E32C31" w:rsidRPr="00296E39" w:rsidRDefault="00D94118">
      <w:pPr>
        <w:spacing w:line="360" w:lineRule="auto"/>
        <w:ind w:right="-93"/>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rsidR="00E32C31" w:rsidRPr="00296E39" w:rsidRDefault="00D94118">
      <w:pPr>
        <w:spacing w:line="360" w:lineRule="auto"/>
        <w:jc w:val="both"/>
        <w:rPr>
          <w:rFonts w:ascii="Palatino Linotype" w:eastAsia="Palatino Linotype" w:hAnsi="Palatino Linotype" w:cs="Palatino Linotype"/>
          <w:b/>
        </w:rPr>
      </w:pPr>
      <w:r w:rsidRPr="00296E39">
        <w:rPr>
          <w:rFonts w:ascii="Palatino Linotype" w:eastAsia="Palatino Linotype" w:hAnsi="Palatino Linotype" w:cs="Palatino Linotype"/>
          <w:b/>
        </w:rPr>
        <w:t xml:space="preserve"> </w:t>
      </w:r>
    </w:p>
    <w:p w:rsidR="00E32C31" w:rsidRPr="00296E39" w:rsidRDefault="00D94118">
      <w:pPr>
        <w:ind w:left="851" w:right="901"/>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No existe obligación de elaborar documentos ad hoc para atender las solicitudes de acceso a la información.</w:t>
      </w:r>
      <w:r w:rsidRPr="00296E3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w:t>
      </w:r>
      <w:r w:rsidRPr="00296E39">
        <w:rPr>
          <w:rFonts w:ascii="Palatino Linotype" w:eastAsia="Palatino Linotype" w:hAnsi="Palatino Linotype" w:cs="Palatino Linotype"/>
          <w:i/>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32C31" w:rsidRPr="00296E39" w:rsidRDefault="00D94118">
      <w:pPr>
        <w:ind w:left="851" w:right="901"/>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 xml:space="preserve">Resoluciones: </w:t>
      </w:r>
    </w:p>
    <w:p w:rsidR="00E32C31" w:rsidRPr="00296E39" w:rsidRDefault="00D94118">
      <w:pPr>
        <w:ind w:left="851" w:right="901"/>
        <w:jc w:val="both"/>
        <w:rPr>
          <w:rFonts w:ascii="Palatino Linotype" w:eastAsia="Palatino Linotype" w:hAnsi="Palatino Linotype" w:cs="Palatino Linotype"/>
          <w:i/>
          <w:sz w:val="22"/>
          <w:szCs w:val="22"/>
        </w:rPr>
      </w:pPr>
      <w:r w:rsidRPr="00296E39">
        <w:rPr>
          <w:rFonts w:ascii="Symbol" w:eastAsia="Symbol" w:hAnsi="Symbol" w:cs="Symbol"/>
          <w:i/>
          <w:sz w:val="22"/>
          <w:szCs w:val="22"/>
        </w:rPr>
        <w:t>∙</w:t>
      </w:r>
      <w:r w:rsidRPr="00296E39">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E32C31" w:rsidRPr="00296E39" w:rsidRDefault="00D94118">
      <w:pPr>
        <w:ind w:left="851" w:right="901"/>
        <w:jc w:val="both"/>
        <w:rPr>
          <w:rFonts w:ascii="Palatino Linotype" w:eastAsia="Palatino Linotype" w:hAnsi="Palatino Linotype" w:cs="Palatino Linotype"/>
          <w:i/>
          <w:sz w:val="22"/>
          <w:szCs w:val="22"/>
        </w:rPr>
      </w:pPr>
      <w:r w:rsidRPr="00296E39">
        <w:rPr>
          <w:rFonts w:ascii="Symbol" w:eastAsia="Symbol" w:hAnsi="Symbol" w:cs="Symbol"/>
          <w:i/>
          <w:sz w:val="22"/>
          <w:szCs w:val="22"/>
        </w:rPr>
        <w:t>∙</w:t>
      </w:r>
      <w:r w:rsidRPr="00296E39">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E32C31" w:rsidRPr="00296E39" w:rsidRDefault="00D94118">
      <w:pPr>
        <w:ind w:left="851" w:right="901"/>
        <w:jc w:val="both"/>
        <w:rPr>
          <w:rFonts w:ascii="Palatino Linotype" w:eastAsia="Palatino Linotype" w:hAnsi="Palatino Linotype" w:cs="Palatino Linotype"/>
          <w:i/>
          <w:sz w:val="22"/>
          <w:szCs w:val="22"/>
        </w:rPr>
      </w:pPr>
      <w:r w:rsidRPr="00296E39">
        <w:rPr>
          <w:rFonts w:ascii="Symbol" w:eastAsia="Symbol" w:hAnsi="Symbol" w:cs="Symbol"/>
          <w:i/>
          <w:sz w:val="22"/>
          <w:szCs w:val="22"/>
        </w:rPr>
        <w:t>∙</w:t>
      </w:r>
      <w:r w:rsidRPr="00296E39">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strike/>
        </w:rPr>
      </w:pPr>
      <w:r w:rsidRPr="00296E39">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296E39">
        <w:rPr>
          <w:rFonts w:ascii="Palatino Linotype" w:eastAsia="Palatino Linotype" w:hAnsi="Palatino Linotype" w:cs="Palatino Linotype"/>
        </w:rPr>
        <w:lastRenderedPageBreak/>
        <w:t>Ley de Transparencia y Acceso a la Información Pública del Estado de México y Municipios.</w:t>
      </w:r>
    </w:p>
    <w:p w:rsidR="00E32C31" w:rsidRPr="00296E39" w:rsidRDefault="00E32C31">
      <w:pPr>
        <w:spacing w:line="360" w:lineRule="auto"/>
        <w:ind w:right="49"/>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32C31" w:rsidRPr="00296E39" w:rsidRDefault="00E32C31">
      <w:pPr>
        <w:ind w:left="851" w:right="899"/>
        <w:jc w:val="both"/>
        <w:rPr>
          <w:rFonts w:ascii="Palatino Linotype" w:eastAsia="Palatino Linotype" w:hAnsi="Palatino Linotype" w:cs="Palatino Linotype"/>
          <w:i/>
          <w:sz w:val="22"/>
          <w:szCs w:val="22"/>
        </w:rPr>
      </w:pP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 xml:space="preserve">Artículo 3. </w:t>
      </w:r>
      <w:r w:rsidRPr="00296E39">
        <w:rPr>
          <w:rFonts w:ascii="Palatino Linotype" w:eastAsia="Palatino Linotype" w:hAnsi="Palatino Linotype" w:cs="Palatino Linotype"/>
          <w:i/>
          <w:sz w:val="22"/>
          <w:szCs w:val="22"/>
        </w:rPr>
        <w:t>Para los efectos de la presente Ley se entenderá por:</w:t>
      </w: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b/>
          <w:i/>
          <w:sz w:val="22"/>
          <w:szCs w:val="22"/>
        </w:rPr>
        <w:t>XI. Documento:</w:t>
      </w:r>
      <w:r w:rsidRPr="00296E39">
        <w:rPr>
          <w:rFonts w:ascii="Palatino Linotype" w:eastAsia="Palatino Linotype" w:hAnsi="Palatino Linotype" w:cs="Palatino Linotype"/>
          <w:i/>
          <w:sz w:val="22"/>
          <w:szCs w:val="22"/>
        </w:rPr>
        <w:t xml:space="preserve"> Los expedientes, reportes, estudios, actas</w:t>
      </w:r>
      <w:r w:rsidRPr="00296E39">
        <w:rPr>
          <w:rFonts w:ascii="Palatino Linotype" w:eastAsia="Palatino Linotype" w:hAnsi="Palatino Linotype" w:cs="Palatino Linotype"/>
          <w:b/>
          <w:i/>
          <w:sz w:val="22"/>
          <w:szCs w:val="22"/>
        </w:rPr>
        <w:t>,</w:t>
      </w:r>
      <w:r w:rsidRPr="00296E3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32C31" w:rsidRPr="00296E39" w:rsidRDefault="00E32C31">
      <w:pPr>
        <w:ind w:left="851" w:right="899"/>
        <w:jc w:val="both"/>
        <w:rPr>
          <w:rFonts w:ascii="Palatino Linotype" w:eastAsia="Palatino Linotype" w:hAnsi="Palatino Linotype" w:cs="Palatino Linotype"/>
          <w:sz w:val="22"/>
          <w:szCs w:val="22"/>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32C31" w:rsidRPr="00296E39" w:rsidRDefault="00E32C31">
      <w:pPr>
        <w:ind w:left="851" w:right="899"/>
        <w:jc w:val="both"/>
        <w:rPr>
          <w:rFonts w:ascii="Palatino Linotype" w:eastAsia="Palatino Linotype" w:hAnsi="Palatino Linotype" w:cs="Palatino Linotype"/>
        </w:rPr>
      </w:pPr>
    </w:p>
    <w:p w:rsidR="00E32C31" w:rsidRPr="00296E39" w:rsidRDefault="00D94118">
      <w:pPr>
        <w:ind w:left="851" w:right="899"/>
        <w:jc w:val="both"/>
        <w:rPr>
          <w:rFonts w:ascii="Palatino Linotype" w:eastAsia="Palatino Linotype" w:hAnsi="Palatino Linotype" w:cs="Palatino Linotype"/>
          <w:b/>
          <w:i/>
          <w:sz w:val="22"/>
          <w:szCs w:val="22"/>
        </w:rPr>
      </w:pPr>
      <w:r w:rsidRPr="00296E39">
        <w:rPr>
          <w:rFonts w:ascii="Palatino Linotype" w:eastAsia="Palatino Linotype" w:hAnsi="Palatino Linotype" w:cs="Palatino Linotype"/>
          <w:b/>
          <w:sz w:val="22"/>
          <w:szCs w:val="22"/>
        </w:rPr>
        <w:t>“</w:t>
      </w:r>
      <w:r w:rsidRPr="00296E39">
        <w:rPr>
          <w:rFonts w:ascii="Palatino Linotype" w:eastAsia="Palatino Linotype" w:hAnsi="Palatino Linotype" w:cs="Palatino Linotype"/>
          <w:b/>
          <w:i/>
          <w:sz w:val="22"/>
          <w:szCs w:val="22"/>
        </w:rPr>
        <w:t>CRITERIO 0002-11</w:t>
      </w: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96E3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32C31" w:rsidRPr="00296E39" w:rsidRDefault="00D94118">
      <w:pPr>
        <w:ind w:left="851" w:right="899"/>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32C31" w:rsidRPr="00296E39" w:rsidRDefault="00D94118">
      <w:pPr>
        <w:ind w:left="851" w:right="899"/>
        <w:jc w:val="both"/>
        <w:rPr>
          <w:rFonts w:ascii="Palatino Linotype" w:eastAsia="Palatino Linotype" w:hAnsi="Palatino Linotype" w:cs="Palatino Linotype"/>
          <w:b/>
          <w:i/>
          <w:sz w:val="22"/>
          <w:szCs w:val="22"/>
        </w:rPr>
      </w:pPr>
      <w:r w:rsidRPr="00296E3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E32C31" w:rsidRPr="00296E39" w:rsidRDefault="00D94118">
      <w:pPr>
        <w:ind w:left="851" w:right="899"/>
        <w:jc w:val="both"/>
        <w:rPr>
          <w:rFonts w:ascii="Palatino Linotype" w:eastAsia="Palatino Linotype" w:hAnsi="Palatino Linotype" w:cs="Palatino Linotype"/>
          <w:b/>
          <w:i/>
          <w:sz w:val="22"/>
          <w:szCs w:val="22"/>
        </w:rPr>
      </w:pPr>
      <w:r w:rsidRPr="00296E3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Almoloya de Juárez, lo siguiente</w:t>
      </w:r>
    </w:p>
    <w:p w:rsidR="00E32C31" w:rsidRPr="00296E39" w:rsidRDefault="00D94118">
      <w:pPr>
        <w:numPr>
          <w:ilvl w:val="0"/>
          <w:numId w:val="2"/>
        </w:numPr>
        <w:pBdr>
          <w:top w:val="nil"/>
          <w:left w:val="nil"/>
          <w:bottom w:val="nil"/>
          <w:right w:val="nil"/>
          <w:between w:val="nil"/>
        </w:pBdr>
        <w:spacing w:before="240" w:after="240" w:line="360" w:lineRule="auto"/>
        <w:jc w:val="both"/>
        <w:rPr>
          <w:rFonts w:ascii="Verdana" w:eastAsia="Verdana" w:hAnsi="Verdana" w:cs="Verdana"/>
          <w:sz w:val="14"/>
          <w:szCs w:val="14"/>
        </w:rPr>
      </w:pPr>
      <w:r w:rsidRPr="00296E39">
        <w:rPr>
          <w:rFonts w:ascii="Palatino Linotype" w:eastAsia="Palatino Linotype" w:hAnsi="Palatino Linotype" w:cs="Palatino Linotype"/>
        </w:rPr>
        <w:t>Cursos de capacitación del ejercicio fiscal 2022 y lo que va del 2023, de los servidores públicos que se encuentran adscritos al catastro municipal y/o que se encargan de darle trámite a las solicitudes de los particulares correspondientes a la medición de los predios o terrenos para obtener su clave catastral.</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En respuesta, el </w:t>
      </w:r>
      <w:r w:rsidRPr="00296E39">
        <w:rPr>
          <w:rFonts w:ascii="Palatino Linotype" w:eastAsia="Palatino Linotype" w:hAnsi="Palatino Linotype" w:cs="Palatino Linotype"/>
          <w:b/>
        </w:rPr>
        <w:t xml:space="preserve">SUJETO OBLIGADO </w:t>
      </w:r>
      <w:r w:rsidRPr="00296E39">
        <w:rPr>
          <w:rFonts w:ascii="Palatino Linotype" w:eastAsia="Palatino Linotype" w:hAnsi="Palatino Linotype" w:cs="Palatino Linotype"/>
        </w:rPr>
        <w:t xml:space="preserve">a través de su Coordinación del Área de Catastro Municipal de Almoloya de Juárez, informó cuales son los cursos de </w:t>
      </w:r>
      <w:r w:rsidRPr="00296E39">
        <w:rPr>
          <w:rFonts w:ascii="Palatino Linotype" w:eastAsia="Palatino Linotype" w:hAnsi="Palatino Linotype" w:cs="Palatino Linotype"/>
        </w:rPr>
        <w:lastRenderedPageBreak/>
        <w:t>capacitación tomados por los servidores públicos adscritos a esta Coordinación, como se observa a continuación:</w:t>
      </w:r>
    </w:p>
    <w:p w:rsidR="00E32C31" w:rsidRPr="00296E39" w:rsidRDefault="00D94118">
      <w:pPr>
        <w:spacing w:before="240" w:after="240" w:line="360" w:lineRule="auto"/>
        <w:ind w:right="49"/>
        <w:jc w:val="both"/>
        <w:rPr>
          <w:rFonts w:ascii="Palatino Linotype" w:eastAsia="Palatino Linotype" w:hAnsi="Palatino Linotype" w:cs="Palatino Linotype"/>
        </w:rPr>
      </w:pPr>
      <w:r w:rsidRPr="00296E39">
        <w:rPr>
          <w:noProof/>
          <w:lang w:val="es-MX"/>
        </w:rPr>
        <w:drawing>
          <wp:inline distT="0" distB="0" distL="0" distR="0">
            <wp:extent cx="5625155" cy="3024568"/>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5606" t="51917" r="30166" b="20792"/>
                    <a:stretch>
                      <a:fillRect/>
                    </a:stretch>
                  </pic:blipFill>
                  <pic:spPr>
                    <a:xfrm>
                      <a:off x="0" y="0"/>
                      <a:ext cx="5625155" cy="3024568"/>
                    </a:xfrm>
                    <a:prstGeom prst="rect">
                      <a:avLst/>
                    </a:prstGeom>
                    <a:ln/>
                  </pic:spPr>
                </pic:pic>
              </a:graphicData>
            </a:graphic>
          </wp:inline>
        </w:drawing>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No conforme con la respuesta la parte </w:t>
      </w:r>
      <w:r w:rsidRPr="00296E39">
        <w:rPr>
          <w:rFonts w:ascii="Palatino Linotype" w:eastAsia="Palatino Linotype" w:hAnsi="Palatino Linotype" w:cs="Palatino Linotype"/>
          <w:b/>
        </w:rPr>
        <w:t>RECURRENTE</w:t>
      </w:r>
      <w:r w:rsidRPr="00296E39">
        <w:rPr>
          <w:rFonts w:ascii="Palatino Linotype" w:eastAsia="Palatino Linotype" w:hAnsi="Palatino Linotype" w:cs="Palatino Linotype"/>
        </w:rPr>
        <w:t xml:space="preserve"> interpuso el recurso de revisión que se analiza en el presente asunto, por medio del cual se inconformó en lo medular porque la negativa de la información solicitada.</w:t>
      </w: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Ante la interposición del recurso de revisión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fue omiso en rendir su informe justificado.</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Con base en lo precedente, se determina que la información proporcionada por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w:t>
      </w:r>
      <w:r w:rsidRPr="00296E39">
        <w:rPr>
          <w:rFonts w:ascii="Palatino Linotype" w:eastAsia="Palatino Linotype" w:hAnsi="Palatino Linotype" w:cs="Palatino Linotype"/>
        </w:rPr>
        <w:lastRenderedPageBreak/>
        <w:t xml:space="preserve">acontecen infundados para modificar o revocar la respuesta del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xml:space="preserve"> en razón de las consideraciones de derecho que a continuación se exponen:</w:t>
      </w:r>
    </w:p>
    <w:p w:rsidR="00E32C31" w:rsidRPr="00296E39" w:rsidRDefault="00D94118">
      <w:pPr>
        <w:spacing w:line="360" w:lineRule="auto"/>
        <w:jc w:val="both"/>
        <w:rPr>
          <w:rFonts w:ascii="Palatino Linotype" w:eastAsia="Palatino Linotype" w:hAnsi="Palatino Linotype" w:cs="Palatino Linotype"/>
        </w:rPr>
      </w:pPr>
      <w:bookmarkStart w:id="4" w:name="_heading=h.3znysh7" w:colFirst="0" w:colLast="0"/>
      <w:bookmarkEnd w:id="4"/>
      <w:r w:rsidRPr="00296E39">
        <w:rPr>
          <w:rFonts w:ascii="Palatino Linotype" w:eastAsia="Palatino Linotype" w:hAnsi="Palatino Linotype" w:cs="Palatino Linotype"/>
        </w:rPr>
        <w:t xml:space="preserve">De una revisión a la respuesta se advierte que esta fue proporcionada Coordinación del Área de Catastro Municipal de Almoloya de Juárez, en donde informó cuales son los cursos de capacitación del ejercicio fiscal 2022 y lo que va del 2023 de los servidores públicos que se encuentran adscritos al catastro municipal; siendo el área competente para conocer de la información, en términos de lo señalado por el artículo 33 y 35 del Bando Municipal de Almoloya de Juárez para el año 2023, que señalan: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pPr>
      <w:r w:rsidRPr="00296E39">
        <w:rPr>
          <w:noProof/>
          <w:lang w:val="es-MX"/>
        </w:rPr>
        <w:drawing>
          <wp:inline distT="0" distB="0" distL="0" distR="0">
            <wp:extent cx="2333419" cy="3179415"/>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6440" t="48915" r="42631" b="23595"/>
                    <a:stretch>
                      <a:fillRect/>
                    </a:stretch>
                  </pic:blipFill>
                  <pic:spPr>
                    <a:xfrm>
                      <a:off x="0" y="0"/>
                      <a:ext cx="2333419" cy="3179415"/>
                    </a:xfrm>
                    <a:prstGeom prst="rect">
                      <a:avLst/>
                    </a:prstGeom>
                    <a:ln/>
                  </pic:spPr>
                </pic:pic>
              </a:graphicData>
            </a:graphic>
          </wp:inline>
        </w:drawing>
      </w:r>
      <w:r w:rsidRPr="00296E39">
        <w:t xml:space="preserve"> </w:t>
      </w:r>
      <w:r w:rsidRPr="00296E39">
        <w:rPr>
          <w:noProof/>
          <w:lang w:val="es-MX"/>
        </w:rPr>
        <w:drawing>
          <wp:inline distT="0" distB="0" distL="0" distR="0">
            <wp:extent cx="3021521" cy="3187171"/>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57638" t="25625" r="31056" b="12851"/>
                    <a:stretch>
                      <a:fillRect/>
                    </a:stretch>
                  </pic:blipFill>
                  <pic:spPr>
                    <a:xfrm>
                      <a:off x="0" y="0"/>
                      <a:ext cx="3021521" cy="3187171"/>
                    </a:xfrm>
                    <a:prstGeom prst="rect">
                      <a:avLst/>
                    </a:prstGeom>
                    <a:ln/>
                  </pic:spPr>
                </pic:pic>
              </a:graphicData>
            </a:graphic>
          </wp:inline>
        </w:drawing>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noProof/>
          <w:lang w:val="es-MX"/>
        </w:rPr>
        <w:lastRenderedPageBreak/>
        <w:drawing>
          <wp:inline distT="0" distB="0" distL="0" distR="0">
            <wp:extent cx="5767232" cy="3730049"/>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6441" t="25117" r="31428" b="11057"/>
                    <a:stretch>
                      <a:fillRect/>
                    </a:stretch>
                  </pic:blipFill>
                  <pic:spPr>
                    <a:xfrm>
                      <a:off x="0" y="0"/>
                      <a:ext cx="5767232" cy="3730049"/>
                    </a:xfrm>
                    <a:prstGeom prst="rect">
                      <a:avLst/>
                    </a:prstGeom>
                    <a:ln/>
                  </pic:spPr>
                </pic:pic>
              </a:graphicData>
            </a:graphic>
          </wp:inline>
        </w:drawing>
      </w:r>
      <w:r w:rsidRPr="00296E39">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3022600</wp:posOffset>
                </wp:positionH>
                <wp:positionV relativeFrom="paragraph">
                  <wp:posOffset>1371600</wp:posOffset>
                </wp:positionV>
                <wp:extent cx="2837312" cy="474671"/>
                <wp:effectExtent l="0" t="0" r="0" b="0"/>
                <wp:wrapNone/>
                <wp:docPr id="34" name="Rectángulo 34"/>
                <wp:cNvGraphicFramePr/>
                <a:graphic xmlns:a="http://schemas.openxmlformats.org/drawingml/2006/main">
                  <a:graphicData uri="http://schemas.microsoft.com/office/word/2010/wordprocessingShape">
                    <wps:wsp>
                      <wps:cNvSpPr/>
                      <wps:spPr>
                        <a:xfrm>
                          <a:off x="3940044" y="3555365"/>
                          <a:ext cx="2811912" cy="449271"/>
                        </a:xfrm>
                        <a:prstGeom prst="rect">
                          <a:avLst/>
                        </a:prstGeom>
                        <a:noFill/>
                        <a:ln w="25400" cap="flat" cmpd="sng">
                          <a:solidFill>
                            <a:srgbClr val="4A7DBA"/>
                          </a:solidFill>
                          <a:prstDash val="solid"/>
                          <a:round/>
                          <a:headEnd type="none" w="sm" len="sm"/>
                          <a:tailEnd type="none" w="sm" len="sm"/>
                        </a:ln>
                      </wps:spPr>
                      <wps:txbx>
                        <w:txbxContent>
                          <w:p w:rsidR="00E32C31" w:rsidRDefault="00E32C3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3022600</wp:posOffset>
                </wp:positionH>
                <wp:positionV relativeFrom="paragraph">
                  <wp:posOffset>1371600</wp:posOffset>
                </wp:positionV>
                <wp:extent cx="2837312" cy="474671"/>
                <wp:effectExtent b="0" l="0" r="0" t="0"/>
                <wp:wrapNone/>
                <wp:docPr id="3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837312" cy="474671"/>
                        </a:xfrm>
                        <a:prstGeom prst="rect"/>
                        <a:ln/>
                      </pic:spPr>
                    </pic:pic>
                  </a:graphicData>
                </a:graphic>
              </wp:anchor>
            </w:drawing>
          </mc:Fallback>
        </mc:AlternateConten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Por consiguiente, lo proporcionado en respuesta corresponde con lo solicitado, colmando con ello el derecho de acceso a la información del particular. </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E32C31" w:rsidRPr="00296E39" w:rsidRDefault="00D94118">
      <w:pPr>
        <w:spacing w:before="120" w:after="120"/>
        <w:ind w:left="851" w:right="851"/>
        <w:jc w:val="both"/>
        <w:rPr>
          <w:rFonts w:ascii="Palatino Linotype" w:eastAsia="Palatino Linotype" w:hAnsi="Palatino Linotype" w:cs="Palatino Linotype"/>
          <w:i/>
          <w:sz w:val="22"/>
          <w:szCs w:val="22"/>
        </w:rPr>
      </w:pPr>
      <w:r w:rsidRPr="00296E39">
        <w:rPr>
          <w:rFonts w:ascii="Palatino Linotype" w:eastAsia="Palatino Linotype" w:hAnsi="Palatino Linotype" w:cs="Palatino Linotype"/>
          <w:i/>
          <w:sz w:val="22"/>
          <w:szCs w:val="22"/>
        </w:rPr>
        <w:t>“</w:t>
      </w:r>
      <w:r w:rsidRPr="00296E39">
        <w:rPr>
          <w:rFonts w:ascii="Palatino Linotype" w:eastAsia="Palatino Linotype" w:hAnsi="Palatino Linotype" w:cs="Palatino Linotype"/>
          <w:b/>
          <w:i/>
          <w:sz w:val="22"/>
          <w:szCs w:val="22"/>
        </w:rPr>
        <w:t xml:space="preserve">El Instituto Federal de Acceso a la Información y Protección de Datos no cuenta con facultades para pronunciarse respecto de la veracidad de los </w:t>
      </w:r>
      <w:r w:rsidRPr="00296E39">
        <w:rPr>
          <w:rFonts w:ascii="Palatino Linotype" w:eastAsia="Palatino Linotype" w:hAnsi="Palatino Linotype" w:cs="Palatino Linotype"/>
          <w:b/>
          <w:i/>
          <w:sz w:val="22"/>
          <w:szCs w:val="22"/>
        </w:rPr>
        <w:lastRenderedPageBreak/>
        <w:t>documentos proporcionados por los sujetos obligados.</w:t>
      </w:r>
      <w:r w:rsidRPr="00296E3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E32C31" w:rsidRPr="00296E39" w:rsidRDefault="00E32C31">
      <w:pPr>
        <w:spacing w:line="360" w:lineRule="auto"/>
        <w:jc w:val="both"/>
        <w:rPr>
          <w:rFonts w:ascii="Palatino Linotype" w:eastAsia="Palatino Linotype" w:hAnsi="Palatino Linotype" w:cs="Palatino Linotype"/>
        </w:rPr>
      </w:pPr>
    </w:p>
    <w:p w:rsidR="00E32C31" w:rsidRPr="00296E39" w:rsidRDefault="00D94118">
      <w:pPr>
        <w:spacing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 xml:space="preserve">De lo anterior, este Órgano </w:t>
      </w:r>
      <w:proofErr w:type="spellStart"/>
      <w:r w:rsidRPr="00296E39">
        <w:rPr>
          <w:rFonts w:ascii="Palatino Linotype" w:eastAsia="Palatino Linotype" w:hAnsi="Palatino Linotype" w:cs="Palatino Linotype"/>
        </w:rPr>
        <w:t>Resolutor</w:t>
      </w:r>
      <w:proofErr w:type="spellEnd"/>
      <w:r w:rsidRPr="00296E39">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E32C31" w:rsidRPr="00296E39" w:rsidRDefault="00D94118">
      <w:pPr>
        <w:spacing w:before="240" w:after="240" w:line="360" w:lineRule="auto"/>
        <w:ind w:right="51"/>
        <w:jc w:val="both"/>
        <w:rPr>
          <w:rFonts w:ascii="Palatino Linotype" w:eastAsia="Palatino Linotype" w:hAnsi="Palatino Linotype" w:cs="Palatino Linotype"/>
          <w:b/>
        </w:rPr>
      </w:pPr>
      <w:r w:rsidRPr="00296E39">
        <w:rPr>
          <w:rFonts w:ascii="Palatino Linotype" w:eastAsia="Palatino Linotype" w:hAnsi="Palatino Linotype" w:cs="Palatino Linotype"/>
        </w:rPr>
        <w:t xml:space="preserve">En consecuencia de todo lo anterior, y una vez analizada las constancias que integran el expediente en que se actúa, lo </w:t>
      </w:r>
      <w:r w:rsidRPr="00296E39">
        <w:rPr>
          <w:rFonts w:ascii="Palatino Linotype" w:eastAsia="Palatino Linotype" w:hAnsi="Palatino Linotype" w:cs="Palatino Linotype"/>
          <w:b/>
        </w:rPr>
        <w:t>PROCEDENTE</w:t>
      </w:r>
      <w:r w:rsidRPr="00296E39">
        <w:rPr>
          <w:rFonts w:ascii="Palatino Linotype" w:eastAsia="Palatino Linotype" w:hAnsi="Palatino Linotype" w:cs="Palatino Linotype"/>
        </w:rPr>
        <w:t xml:space="preserve"> es </w:t>
      </w:r>
      <w:r w:rsidRPr="00296E39">
        <w:rPr>
          <w:rFonts w:ascii="Palatino Linotype" w:eastAsia="Palatino Linotype" w:hAnsi="Palatino Linotype" w:cs="Palatino Linotype"/>
          <w:b/>
        </w:rPr>
        <w:t>CONFIRMAR</w:t>
      </w:r>
      <w:r w:rsidRPr="00296E39">
        <w:rPr>
          <w:rFonts w:ascii="Palatino Linotype" w:eastAsia="Palatino Linotype" w:hAnsi="Palatino Linotype" w:cs="Palatino Linotype"/>
        </w:rPr>
        <w:t xml:space="preserve"> la respuesta del </w:t>
      </w:r>
      <w:r w:rsidRPr="00296E39">
        <w:rPr>
          <w:rFonts w:ascii="Palatino Linotype" w:eastAsia="Palatino Linotype" w:hAnsi="Palatino Linotype" w:cs="Palatino Linotype"/>
          <w:b/>
        </w:rPr>
        <w:t>SUJETO OBLIGADO.</w:t>
      </w:r>
    </w:p>
    <w:p w:rsidR="00E32C31" w:rsidRPr="00296E39" w:rsidRDefault="00D9411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32C31" w:rsidRPr="00296E39" w:rsidRDefault="00D9411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96E39">
        <w:rPr>
          <w:rFonts w:ascii="Palatino Linotype" w:eastAsia="Palatino Linotype" w:hAnsi="Palatino Linotype" w:cs="Palatino Linotype"/>
          <w:b/>
        </w:rPr>
        <w:lastRenderedPageBreak/>
        <w:t>III. R E S U E L V E:</w:t>
      </w:r>
    </w:p>
    <w:p w:rsidR="00E32C31" w:rsidRPr="00296E39" w:rsidRDefault="00D94118">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5" w:name="_heading=h.3dy6vkm" w:colFirst="0" w:colLast="0"/>
      <w:bookmarkEnd w:id="5"/>
      <w:r w:rsidRPr="00296E39">
        <w:rPr>
          <w:rFonts w:ascii="Palatino Linotype" w:eastAsia="Palatino Linotype" w:hAnsi="Palatino Linotype" w:cs="Palatino Linotype"/>
          <w:b/>
        </w:rPr>
        <w:t>Primero.</w:t>
      </w:r>
      <w:r w:rsidRPr="00296E39">
        <w:rPr>
          <w:rFonts w:ascii="Palatino Linotype" w:eastAsia="Palatino Linotype" w:hAnsi="Palatino Linotype" w:cs="Palatino Linotype"/>
        </w:rPr>
        <w:t xml:space="preserve"> Resulta infundado el motivo de inconformidad aducido por la parte </w:t>
      </w:r>
      <w:r w:rsidRPr="00296E39">
        <w:rPr>
          <w:rFonts w:ascii="Palatino Linotype" w:eastAsia="Palatino Linotype" w:hAnsi="Palatino Linotype" w:cs="Palatino Linotype"/>
          <w:b/>
        </w:rPr>
        <w:t>RECURRENTE</w:t>
      </w:r>
      <w:r w:rsidRPr="00296E39">
        <w:rPr>
          <w:rFonts w:ascii="Palatino Linotype" w:eastAsia="Palatino Linotype" w:hAnsi="Palatino Linotype" w:cs="Palatino Linotype"/>
        </w:rPr>
        <w:t xml:space="preserve"> en el recurso de revisión </w:t>
      </w:r>
      <w:r w:rsidRPr="00296E39">
        <w:rPr>
          <w:rFonts w:ascii="Palatino Linotype" w:eastAsia="Palatino Linotype" w:hAnsi="Palatino Linotype" w:cs="Palatino Linotype"/>
          <w:b/>
        </w:rPr>
        <w:t>01654/INFOEM/IP/RR/2023</w:t>
      </w:r>
      <w:r w:rsidRPr="00296E39">
        <w:rPr>
          <w:rFonts w:ascii="Palatino Linotype" w:eastAsia="Palatino Linotype" w:hAnsi="Palatino Linotype" w:cs="Palatino Linotype"/>
        </w:rPr>
        <w:t xml:space="preserve">; por lo que, en términos de los argumentos señalados en el Considerando Cuarto se </w:t>
      </w:r>
      <w:r w:rsidRPr="00296E39">
        <w:rPr>
          <w:rFonts w:ascii="Palatino Linotype" w:eastAsia="Palatino Linotype" w:hAnsi="Palatino Linotype" w:cs="Palatino Linotype"/>
          <w:b/>
        </w:rPr>
        <w:t>CONFIRMA</w:t>
      </w:r>
      <w:r w:rsidRPr="00296E39">
        <w:rPr>
          <w:rFonts w:ascii="Palatino Linotype" w:eastAsia="Palatino Linotype" w:hAnsi="Palatino Linotype" w:cs="Palatino Linotype"/>
        </w:rPr>
        <w:t xml:space="preserve"> la respuesta emitida por 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w:t>
      </w:r>
    </w:p>
    <w:p w:rsidR="00E32C31" w:rsidRPr="00296E39" w:rsidRDefault="00D94118">
      <w:pPr>
        <w:spacing w:before="240" w:after="240" w:line="360" w:lineRule="auto"/>
        <w:jc w:val="both"/>
        <w:rPr>
          <w:rFonts w:ascii="Palatino Linotype" w:eastAsia="Palatino Linotype" w:hAnsi="Palatino Linotype" w:cs="Palatino Linotype"/>
        </w:rPr>
      </w:pPr>
      <w:r w:rsidRPr="00296E39">
        <w:rPr>
          <w:rFonts w:ascii="Palatino Linotype" w:eastAsia="Palatino Linotype" w:hAnsi="Palatino Linotype" w:cs="Palatino Linotype"/>
          <w:b/>
        </w:rPr>
        <w:t>Segundo. Notifíquese</w:t>
      </w:r>
      <w:r w:rsidRPr="00296E39">
        <w:rPr>
          <w:rFonts w:ascii="Palatino Linotype" w:eastAsia="Palatino Linotype" w:hAnsi="Palatino Linotype" w:cs="Palatino Linotype"/>
        </w:rPr>
        <w:t xml:space="preserve"> vía </w:t>
      </w:r>
      <w:r w:rsidRPr="00296E39">
        <w:rPr>
          <w:rFonts w:ascii="Palatino Linotype" w:eastAsia="Palatino Linotype" w:hAnsi="Palatino Linotype" w:cs="Palatino Linotype"/>
          <w:b/>
        </w:rPr>
        <w:t xml:space="preserve">SAIMEX </w:t>
      </w:r>
      <w:r w:rsidRPr="00296E39">
        <w:rPr>
          <w:rFonts w:ascii="Palatino Linotype" w:eastAsia="Palatino Linotype" w:hAnsi="Palatino Linotype" w:cs="Palatino Linotype"/>
        </w:rPr>
        <w:t xml:space="preserve">la presente resolución a la Titular de la Unidad de Transparencia del </w:t>
      </w:r>
      <w:r w:rsidRPr="00296E39">
        <w:rPr>
          <w:rFonts w:ascii="Palatino Linotype" w:eastAsia="Palatino Linotype" w:hAnsi="Palatino Linotype" w:cs="Palatino Linotype"/>
          <w:b/>
        </w:rPr>
        <w:t>SUJETO OBLIGADO</w:t>
      </w:r>
      <w:r w:rsidRPr="00296E39">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E32C31" w:rsidRPr="00296E39" w:rsidRDefault="00D94118">
      <w:pPr>
        <w:tabs>
          <w:tab w:val="left" w:pos="8647"/>
        </w:tabs>
        <w:spacing w:before="240" w:after="240" w:line="360" w:lineRule="auto"/>
        <w:ind w:right="51"/>
        <w:jc w:val="both"/>
        <w:rPr>
          <w:rFonts w:ascii="Palatino Linotype" w:eastAsia="Palatino Linotype" w:hAnsi="Palatino Linotype" w:cs="Palatino Linotype"/>
        </w:rPr>
      </w:pPr>
      <w:r w:rsidRPr="00296E39">
        <w:rPr>
          <w:rFonts w:ascii="Palatino Linotype" w:eastAsia="Palatino Linotype" w:hAnsi="Palatino Linotype" w:cs="Palatino Linotype"/>
          <w:b/>
        </w:rPr>
        <w:t xml:space="preserve">Tercero. Notifíquese, vía SAIMEX </w:t>
      </w:r>
      <w:r w:rsidRPr="00296E39">
        <w:rPr>
          <w:rFonts w:ascii="Palatino Linotype" w:eastAsia="Palatino Linotype" w:hAnsi="Palatino Linotype" w:cs="Palatino Linotype"/>
        </w:rPr>
        <w:t>a</w:t>
      </w:r>
      <w:r w:rsidRPr="00296E39">
        <w:rPr>
          <w:rFonts w:ascii="Palatino Linotype" w:eastAsia="Palatino Linotype" w:hAnsi="Palatino Linotype" w:cs="Palatino Linotype"/>
          <w:b/>
        </w:rPr>
        <w:t xml:space="preserve"> </w:t>
      </w:r>
      <w:r w:rsidRPr="00296E39">
        <w:rPr>
          <w:rFonts w:ascii="Palatino Linotype" w:eastAsia="Palatino Linotype" w:hAnsi="Palatino Linotype" w:cs="Palatino Linotype"/>
        </w:rPr>
        <w:t>la parte</w:t>
      </w:r>
      <w:r w:rsidRPr="00296E39">
        <w:rPr>
          <w:rFonts w:ascii="Palatino Linotype" w:eastAsia="Palatino Linotype" w:hAnsi="Palatino Linotype" w:cs="Palatino Linotype"/>
          <w:b/>
        </w:rPr>
        <w:t xml:space="preserve"> RECURRENTE</w:t>
      </w:r>
      <w:r w:rsidRPr="00296E39">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E32C31" w:rsidRPr="00296E39" w:rsidRDefault="00D94118">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296E3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296E39">
        <w:rPr>
          <w:rFonts w:ascii="Palatino Linotype" w:eastAsia="Palatino Linotype" w:hAnsi="Palatino Linotype" w:cs="Palatino Linotype"/>
        </w:rPr>
        <w:lastRenderedPageBreak/>
        <w:t>RAMÍREZ PEÑA; EN LA VIGÉSIMA SÉPTIMA SESIÓN ORDINARIA CELEBRADA EL DOS DE AGOSTO DE DOS MIL VEINTITRÉS, ANTE EL SECRETARIO TÉCNICO DEL PLENO ALEXIS TAPIA RAMÍREZ.</w:t>
      </w:r>
    </w:p>
    <w:p w:rsidR="00E32C31" w:rsidRDefault="00AD19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396239</wp:posOffset>
                </wp:positionH>
                <wp:positionV relativeFrom="paragraph">
                  <wp:posOffset>66039</wp:posOffset>
                </wp:positionV>
                <wp:extent cx="4981575" cy="54387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981575" cy="54387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3F1D49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2pt,5.2pt" to="423.45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" strokecolor="#f68c36 [3049]"/>
            </w:pict>
          </mc:Fallback>
        </mc:AlternateContent>
      </w: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Default="00AD19CA">
      <w:pPr>
        <w:spacing w:before="240" w:after="240" w:line="360" w:lineRule="auto"/>
        <w:jc w:val="both"/>
        <w:rPr>
          <w:rFonts w:ascii="Palatino Linotype" w:eastAsia="Palatino Linotype" w:hAnsi="Palatino Linotype" w:cs="Palatino Linotype"/>
        </w:rPr>
      </w:pPr>
    </w:p>
    <w:p w:rsidR="00AD19CA" w:rsidRPr="00296E39" w:rsidRDefault="00AD19CA">
      <w:pPr>
        <w:spacing w:before="240" w:after="240" w:line="360" w:lineRule="auto"/>
        <w:jc w:val="both"/>
        <w:rPr>
          <w:rFonts w:ascii="Palatino Linotype" w:eastAsia="Palatino Linotype" w:hAnsi="Palatino Linotype" w:cs="Palatino Linotype"/>
        </w:rPr>
      </w:pPr>
    </w:p>
    <w:sectPr w:rsidR="00AD19CA" w:rsidRPr="00296E39">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A2D" w:rsidRDefault="00B85A2D">
      <w:r>
        <w:separator/>
      </w:r>
    </w:p>
  </w:endnote>
  <w:endnote w:type="continuationSeparator" w:id="0">
    <w:p w:rsidR="00B85A2D" w:rsidRDefault="00B8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C31" w:rsidRDefault="00D941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147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147D">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E32C31" w:rsidRDefault="00E32C3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C31" w:rsidRDefault="00D941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147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147D">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E32C31" w:rsidRDefault="00E32C3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A2D" w:rsidRDefault="00B85A2D">
      <w:r>
        <w:separator/>
      </w:r>
    </w:p>
  </w:footnote>
  <w:footnote w:type="continuationSeparator" w:id="0">
    <w:p w:rsidR="00B85A2D" w:rsidRDefault="00B85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C31" w:rsidRDefault="00D9411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E32C31">
      <w:tc>
        <w:tcPr>
          <w:tcW w:w="2489" w:type="dxa"/>
          <w:shd w:val="clear" w:color="auto" w:fill="auto"/>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E32C31" w:rsidRDefault="00D941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01654/INFOEM/IP/RR/2023</w:t>
          </w:r>
        </w:p>
      </w:tc>
    </w:tr>
    <w:tr w:rsidR="00E32C31">
      <w:trPr>
        <w:trHeight w:val="228"/>
      </w:trPr>
      <w:tc>
        <w:tcPr>
          <w:tcW w:w="2489" w:type="dxa"/>
          <w:shd w:val="clear" w:color="auto" w:fill="auto"/>
          <w:vAlign w:val="center"/>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E32C31" w:rsidRDefault="00D94118">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Almoloya de Juárez.</w:t>
          </w:r>
        </w:p>
      </w:tc>
    </w:tr>
    <w:tr w:rsidR="00E32C31">
      <w:tc>
        <w:tcPr>
          <w:tcW w:w="2489" w:type="dxa"/>
          <w:shd w:val="clear" w:color="auto" w:fill="auto"/>
          <w:vAlign w:val="center"/>
        </w:tcPr>
        <w:p w:rsidR="00E32C31" w:rsidRDefault="00D9411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E32C31" w:rsidRDefault="00D941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32C31" w:rsidRDefault="00D9411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C31" w:rsidRDefault="00E32C31">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E32C31">
      <w:tc>
        <w:tcPr>
          <w:tcW w:w="2551" w:type="dxa"/>
          <w:shd w:val="clear" w:color="auto" w:fill="auto"/>
          <w:vAlign w:val="center"/>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E32C31" w:rsidRDefault="00D9411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01654/INFOEM/IP/RR/2023</w:t>
          </w:r>
        </w:p>
      </w:tc>
    </w:tr>
    <w:tr w:rsidR="00E32C31">
      <w:trPr>
        <w:trHeight w:val="130"/>
      </w:trPr>
      <w:tc>
        <w:tcPr>
          <w:tcW w:w="2551" w:type="dxa"/>
          <w:shd w:val="clear" w:color="auto" w:fill="auto"/>
          <w:vAlign w:val="center"/>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E32C31" w:rsidRDefault="00E32C31">
          <w:pPr>
            <w:ind w:left="-45" w:right="-533"/>
            <w:jc w:val="both"/>
            <w:rPr>
              <w:rFonts w:ascii="Palatino Linotype" w:eastAsia="Palatino Linotype" w:hAnsi="Palatino Linotype" w:cs="Palatino Linotype"/>
              <w:b/>
              <w:sz w:val="22"/>
              <w:szCs w:val="22"/>
            </w:rPr>
          </w:pPr>
        </w:p>
      </w:tc>
    </w:tr>
    <w:tr w:rsidR="00E32C31">
      <w:trPr>
        <w:trHeight w:val="228"/>
      </w:trPr>
      <w:tc>
        <w:tcPr>
          <w:tcW w:w="2551" w:type="dxa"/>
          <w:shd w:val="clear" w:color="auto" w:fill="auto"/>
          <w:vAlign w:val="center"/>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E32C31" w:rsidRDefault="00D94118">
          <w:pPr>
            <w:ind w:left="-45" w:right="27"/>
            <w:jc w:val="both"/>
          </w:pPr>
          <w:r>
            <w:rPr>
              <w:rFonts w:ascii="Palatino Linotype" w:eastAsia="Palatino Linotype" w:hAnsi="Palatino Linotype" w:cs="Palatino Linotype"/>
              <w:b/>
              <w:sz w:val="22"/>
              <w:szCs w:val="22"/>
            </w:rPr>
            <w:t>Ayuntamiento de Almoloya de Juárez.</w:t>
          </w:r>
        </w:p>
      </w:tc>
    </w:tr>
    <w:tr w:rsidR="00E32C31">
      <w:tc>
        <w:tcPr>
          <w:tcW w:w="2551" w:type="dxa"/>
          <w:shd w:val="clear" w:color="auto" w:fill="auto"/>
          <w:vAlign w:val="center"/>
        </w:tcPr>
        <w:p w:rsidR="00E32C31" w:rsidRDefault="00D941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E32C31" w:rsidRDefault="00D9411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32C31" w:rsidRDefault="00D9411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4C3114"/>
    <w:multiLevelType w:val="multilevel"/>
    <w:tmpl w:val="0A50F1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D2E4651"/>
    <w:multiLevelType w:val="multilevel"/>
    <w:tmpl w:val="83C22DC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
    <w:nsid w:val="680558FB"/>
    <w:multiLevelType w:val="multilevel"/>
    <w:tmpl w:val="97DC7E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C31"/>
    <w:rsid w:val="00296E39"/>
    <w:rsid w:val="0056264C"/>
    <w:rsid w:val="005D3D4A"/>
    <w:rsid w:val="00663BB9"/>
    <w:rsid w:val="00AD19CA"/>
    <w:rsid w:val="00B85A2D"/>
    <w:rsid w:val="00D94118"/>
    <w:rsid w:val="00E32C31"/>
    <w:rsid w:val="00E614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FE829-027B-4199-90D2-B50DF169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8097.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X7T5tPanCSap1ALdlqUVnAcXw==">CgMxLjAyCGguZ2pkZ3hzMgloLjMwajB6bGwyCGgudHlqY3d0MgloLjN6bnlzaDcyCWguM2R5NnZrbTIJaC4xZm9iOXRlOAByITEtbEY4VUYtNzM5M1R6WkZiR0tNQzNFcXV2VF9Jbi1kLQ==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4532</Words>
  <Characters>24929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2023-08-04T17:06:00Z</cp:lastPrinted>
  <dcterms:created xsi:type="dcterms:W3CDTF">2023-08-16T17:33:00Z</dcterms:created>
  <dcterms:modified xsi:type="dcterms:W3CDTF">2023-08-16T17:33:00Z</dcterms:modified>
</cp:coreProperties>
</file>